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21061">
      <w:pPr>
        <w:jc w:val="center"/>
        <w:rPr>
          <w:rFonts w:ascii="黑体" w:eastAsia="黑体"/>
          <w:b/>
          <w:color w:val="auto"/>
          <w:sz w:val="32"/>
          <w:szCs w:val="32"/>
          <w:highlight w:val="none"/>
        </w:rPr>
      </w:pPr>
    </w:p>
    <w:p w14:paraId="60139EC2">
      <w:pPr>
        <w:jc w:val="center"/>
        <w:rPr>
          <w:b/>
          <w:color w:val="auto"/>
          <w:sz w:val="72"/>
          <w:szCs w:val="32"/>
          <w:highlight w:val="none"/>
        </w:rPr>
      </w:pPr>
      <w:r>
        <w:rPr>
          <w:rFonts w:hint="eastAsia" w:ascii="黑体" w:eastAsia="黑体"/>
          <w:b/>
          <w:color w:val="auto"/>
          <w:sz w:val="72"/>
          <w:szCs w:val="32"/>
          <w:highlight w:val="none"/>
        </w:rPr>
        <w:t>公开招标文件</w:t>
      </w:r>
    </w:p>
    <w:p w14:paraId="7E1C6C48">
      <w:pPr>
        <w:jc w:val="center"/>
        <w:rPr>
          <w:color w:val="auto"/>
          <w:highlight w:val="none"/>
        </w:rPr>
      </w:pPr>
      <w:r>
        <w:rPr>
          <w:rFonts w:hint="eastAsia" w:ascii="黑体" w:hAnsi="黑体" w:eastAsia="黑体" w:cs="黑体"/>
          <w:bCs/>
          <w:color w:val="auto"/>
          <w:spacing w:val="57"/>
          <w:sz w:val="72"/>
          <w:szCs w:val="72"/>
          <w:highlight w:val="none"/>
        </w:rPr>
        <w:t>国内采购</w:t>
      </w:r>
    </w:p>
    <w:p w14:paraId="3F453BA2">
      <w:pPr>
        <w:pStyle w:val="10"/>
        <w:jc w:val="center"/>
        <w:rPr>
          <w:rFonts w:ascii="黑体" w:eastAsia="黑体"/>
          <w:color w:val="auto"/>
          <w:szCs w:val="21"/>
          <w:highlight w:val="none"/>
        </w:rPr>
      </w:pPr>
      <w:r>
        <w:rPr>
          <w:rFonts w:hint="eastAsia" w:ascii="黑体" w:eastAsia="黑体"/>
          <w:color w:val="auto"/>
          <w:szCs w:val="21"/>
          <w:highlight w:val="none"/>
          <w:lang w:val="en-US" w:bidi="ar-SA"/>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4"/>
                    <a:srcRect l="6233" t="18358" r="67326" b="19339"/>
                    <a:stretch>
                      <a:fillRect/>
                    </a:stretch>
                  </pic:blipFill>
                  <pic:spPr>
                    <a:xfrm>
                      <a:off x="0" y="0"/>
                      <a:ext cx="2129790" cy="2035175"/>
                    </a:xfrm>
                    <a:prstGeom prst="rect">
                      <a:avLst/>
                    </a:prstGeom>
                  </pic:spPr>
                </pic:pic>
              </a:graphicData>
            </a:graphic>
          </wp:inline>
        </w:drawing>
      </w:r>
    </w:p>
    <w:p w14:paraId="11344EC9">
      <w:pPr>
        <w:pStyle w:val="29"/>
        <w:ind w:firstLine="240"/>
        <w:rPr>
          <w:rFonts w:ascii="黑体" w:eastAsia="黑体"/>
          <w:color w:val="auto"/>
          <w:szCs w:val="21"/>
          <w:highlight w:val="none"/>
        </w:rPr>
      </w:pPr>
    </w:p>
    <w:tbl>
      <w:tblPr>
        <w:tblStyle w:val="31"/>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338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4C68CB9">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5F2BDCE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GDZT2026141C</w:t>
            </w:r>
          </w:p>
        </w:tc>
      </w:tr>
      <w:tr w14:paraId="552C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trPr>
        <w:tc>
          <w:tcPr>
            <w:tcW w:w="3100" w:type="dxa"/>
            <w:noWrap/>
            <w:vAlign w:val="center"/>
          </w:tcPr>
          <w:p w14:paraId="56194802">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4F667B8C">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东莞市寮步华衍学校食材原料等配送服务项目</w:t>
            </w:r>
          </w:p>
        </w:tc>
      </w:tr>
      <w:tr w14:paraId="0B4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749D46B">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015D93B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东莞市寮步华衍学校</w:t>
            </w:r>
          </w:p>
        </w:tc>
      </w:tr>
      <w:tr w14:paraId="74AA9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E7184CC">
            <w:pPr>
              <w:spacing w:before="200"/>
              <w:jc w:val="distribute"/>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354EDB4D">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2B3F372D">
      <w:pPr>
        <w:jc w:val="both"/>
        <w:rPr>
          <w:rFonts w:ascii="黑体" w:eastAsia="黑体"/>
          <w:color w:val="auto"/>
          <w:szCs w:val="21"/>
          <w:highlight w:val="none"/>
        </w:rPr>
      </w:pPr>
    </w:p>
    <w:p w14:paraId="21EAC221">
      <w:pPr>
        <w:pStyle w:val="25"/>
        <w:ind w:left="420"/>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NumType w:start="1"/>
          <w:cols w:space="708" w:num="1"/>
          <w:titlePg/>
          <w:docGrid w:type="lines" w:linePitch="360" w:charSpace="0"/>
        </w:sectPr>
      </w:pPr>
    </w:p>
    <w:p w14:paraId="4A58FCA2">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温馨提示</w:t>
      </w:r>
    </w:p>
    <w:p w14:paraId="426805FB">
      <w:pPr>
        <w:spacing w:line="480" w:lineRule="auto"/>
        <w:rPr>
          <w:rFonts w:ascii="宋体" w:hAnsi="宋体" w:cs="宋体"/>
          <w:b/>
          <w:color w:val="auto"/>
          <w:szCs w:val="21"/>
          <w:highlight w:val="none"/>
        </w:rPr>
      </w:pPr>
      <w:r>
        <w:rPr>
          <w:rFonts w:hint="eastAsia" w:ascii="宋体" w:hAnsi="宋体" w:cs="宋体"/>
          <w:b/>
          <w:color w:val="auto"/>
          <w:szCs w:val="21"/>
          <w:highlight w:val="none"/>
        </w:rPr>
        <w:t>（本提示内容非招标文件的组成部分，仅起提醒作用；如有不一致，以招标文件为准）</w:t>
      </w:r>
    </w:p>
    <w:p w14:paraId="1E34976C">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1、请各投标供应商在制作投标文件时认真阅读本招标文件的内容。</w:t>
      </w:r>
    </w:p>
    <w:p w14:paraId="1FBC500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2、建议投标供应商将投标文件正本、副本、唱标信封分别密封包装，并按照招标文件“第四部分 投标人须知 第四章投标文件的递交”中相关要求进行提交，避免因密封包装不符合要求而导致投标文件被退回。</w:t>
      </w:r>
    </w:p>
    <w:p w14:paraId="588D80FD">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3、请正确填写《唱标一览表》。多包项目请仔细检查包组号，包组号跟包组名称必须一致。</w:t>
      </w:r>
    </w:p>
    <w:p w14:paraId="7B409D0A">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4、投标文件应编制目录及按顺序编制页码。</w:t>
      </w:r>
    </w:p>
    <w:p w14:paraId="2347B1F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5、请仔细检查投标文件是否已按招标文件盖章、签名(或盖私章)、签署日期。</w:t>
      </w:r>
    </w:p>
    <w:p w14:paraId="5D642F4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6、加★号条款必须完全响应，不响应或负偏离将导致投标无效。</w:t>
      </w:r>
    </w:p>
    <w:p w14:paraId="50E2C2EC">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7、为避免因迟到而无法按时递交投标文件，投标供应商应自行计算路途可能出现塞车的时间，建议在投标文件递交截止时间之前30分钟内到达开标地点，投标截止时间一到，本公司不接收任何投标文件。</w:t>
      </w:r>
    </w:p>
    <w:p w14:paraId="72D8D4CF">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8、为了提高采购效率，节约社会交易成本与时间，希望领购了招标文件而决定不参加本项目投标的供应商，在投标文件递交截止时间的2日前，按《投标邀请函》中的联系方式，以书面形式告知采购代理机构。对您的支持与配合，谨此致谢。</w:t>
      </w:r>
    </w:p>
    <w:p w14:paraId="6B9FA6D4">
      <w:pPr>
        <w:pStyle w:val="25"/>
        <w:ind w:left="0" w:leftChars="0"/>
        <w:rPr>
          <w:color w:val="auto"/>
          <w:sz w:val="40"/>
          <w:szCs w:val="40"/>
          <w:highlight w:val="none"/>
        </w:rPr>
      </w:pPr>
    </w:p>
    <w:p w14:paraId="7938DB6C">
      <w:pPr>
        <w:pStyle w:val="25"/>
        <w:ind w:left="0" w:leftChars="0"/>
        <w:rPr>
          <w:color w:val="auto"/>
          <w:sz w:val="40"/>
          <w:szCs w:val="40"/>
          <w:highlight w:val="none"/>
        </w:rPr>
        <w:sectPr>
          <w:footerReference r:id="rId10" w:type="first"/>
          <w:footerReference r:id="rId9" w:type="default"/>
          <w:pgSz w:w="11906" w:h="16838"/>
          <w:pgMar w:top="1440" w:right="1800" w:bottom="1440" w:left="1800" w:header="708" w:footer="708" w:gutter="0"/>
          <w:cols w:space="708" w:num="1"/>
          <w:titlePg/>
          <w:docGrid w:type="lines" w:linePitch="360" w:charSpace="0"/>
        </w:sectPr>
      </w:pPr>
    </w:p>
    <w:p w14:paraId="74D854AB">
      <w:pPr>
        <w:pStyle w:val="25"/>
        <w:ind w:left="0" w:leftChars="0"/>
        <w:rPr>
          <w:color w:val="auto"/>
          <w:sz w:val="40"/>
          <w:szCs w:val="40"/>
          <w:highlight w:val="none"/>
        </w:rPr>
      </w:pPr>
      <w:r>
        <w:rPr>
          <w:rFonts w:hint="eastAsia"/>
          <w:color w:val="auto"/>
          <w:sz w:val="40"/>
          <w:szCs w:val="40"/>
          <w:highlight w:val="none"/>
        </w:rPr>
        <w:t>目录</w:t>
      </w:r>
    </w:p>
    <w:p w14:paraId="737C7C60">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"1-4"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第一部分 投标邀请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_Toc7186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51A01BD">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_Toc3467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第二部分 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_Toc3467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77062EA">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_Toc22437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第三部分 评分权重分配表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_Toc22437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A0AC7D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_Toc1289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价格及商务技术评分权重细则表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28BE571">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_Toc3316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第四部分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_Toc3316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857DCA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_Toc27487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_Toc27487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C72D29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_Toc29837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_Toc29837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2AE3A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_Toc5054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第三章投标文件的编制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_Toc5054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9253BBE">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_Toc24585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第四章投标文件的递交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_Toc24585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166E2AB">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_Toc5814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第五章开标与评标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_Toc5814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2914DE1">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_Toc17983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第六章授予合同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_Toc17983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B235CA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_Toc6517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第七章询问或质疑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_Toc6517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4BF9418">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_Toc1751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第八章其他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55F0A01">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_Toc19502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_Toc19502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12800A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_Toc4897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_Toc4897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6A87B1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2C7DCA3">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_Toc28924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_Toc28924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0F43A12">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_Toc18891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第七部分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_Toc18891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589961A">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_Toc595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1DEC0C">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一、唱标一览表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F02B39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_Toc4360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二、报价明细表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_Toc4360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C69169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_Toc29127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三、小型或微型企业（货物/服务/承担的工程）明细表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_Toc29127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27C7C93">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_Toc15859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四、节能产品或环境标志产品明细表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_Toc15859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7DEC67B">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_Toc27880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五、中小企业声明函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_Toc27880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774437C">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_Toc18831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bCs/>
          <w:color w:val="auto"/>
          <w:sz w:val="21"/>
          <w:szCs w:val="21"/>
          <w:highlight w:val="none"/>
        </w:rPr>
        <w:t>中小企业声明函（货物）</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_Toc18831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187097F">
      <w:pPr>
        <w:pStyle w:val="25"/>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_Toc17130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bCs/>
          <w:color w:val="auto"/>
          <w:sz w:val="21"/>
          <w:szCs w:val="21"/>
          <w:highlight w:val="none"/>
        </w:rPr>
        <w:t>中小企业声明函（工程、服务）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_Toc17130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ACD7373">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_Toc23440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六、残疾人福利性单位声明函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_Toc23440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389F3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_Toc28974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_Toc28974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1309BF">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_Toc13526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一、投标函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_Toc13526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371BE81">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_Toc12997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二、资格申明函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_Toc12997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B6AC52B">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_Toc6899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三、在参与政府采购活动前三年未有重大违法记录、没有不良信用记录的声明函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_Toc6899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A708C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_Toc18026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_Toc18026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925EF38">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_Toc14893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_Toc14893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1C6619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_Toc21981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六、投标人基本情况说明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_Toc21981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D2C89D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_Toc20883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_Toc20883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D213697">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_Toc5908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八、特殊资格要求证明文件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_Toc5908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5F2028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_Toc28121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九、承诺书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_Toc28121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3094B0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_Toc16417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十、招标代理服务费承诺书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_Toc16417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A9007A0">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_Toc8244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十一、商务条款偏离表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_Toc8244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5538F2D">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_Toc11048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十二、业绩表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_Toc11048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ACD2C2D">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_Toc14578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第三章技术文件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_Toc14578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725B6D6">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_Toc13077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_Toc13077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8AE4EAC">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CC8178E">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_Toc16865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三、实质性条款（标记★）投标响应表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_Toc16865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635F16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_Toc30194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四、项目技术方案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_Toc30194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BAF0135">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_Toc6343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五、项目负责人及团队成员资料表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_Toc6343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233E848">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_Toc25633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六、投标货物明细一览表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_Toc25633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ACDFC69">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七、采购履约担保函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_Toc21430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B9A0184">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_Toc2172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第四章唱标信封（单独封装）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_Toc2172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A77B1A2">
      <w:pPr>
        <w:pStyle w:val="12"/>
        <w:keepNext w:val="0"/>
        <w:keepLines w:val="0"/>
        <w:pageBreakBefore w:val="0"/>
        <w:widowControl/>
        <w:tabs>
          <w:tab w:val="right" w:leader="dot" w:pos="8306"/>
          <w:tab w:val="clear" w:pos="829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_Toc13897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第五章联合体共同投标协议书（如有需要）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_Toc13897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E9E0251">
      <w:pPr>
        <w:pStyle w:val="19"/>
        <w:keepNext w:val="0"/>
        <w:keepLines w:val="0"/>
        <w:pageBreakBefore w:val="0"/>
        <w:widowControl/>
        <w:tabs>
          <w:tab w:val="right" w:leader="dot" w:pos="8306"/>
        </w:tabs>
        <w:kinsoku/>
        <w:wordWrap/>
        <w:overflowPunct/>
        <w:topLinePunct w:val="0"/>
        <w:autoSpaceDE/>
        <w:autoSpaceDN/>
        <w:bidi w:val="0"/>
        <w:adjustRightInd w:val="0"/>
        <w:snapToGrid w:val="0"/>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_Toc9978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获取招标文件登记表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_Toc9978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5C2063">
      <w:pPr>
        <w:pStyle w:val="20"/>
        <w:keepNext w:val="0"/>
        <w:keepLines w:val="0"/>
        <w:pageBreakBefore w:val="0"/>
        <w:widowControl/>
        <w:tabs>
          <w:tab w:val="right" w:leader="dot" w:pos="8306"/>
          <w:tab w:val="clear" w:pos="8296"/>
        </w:tabs>
        <w:kinsoku/>
        <w:wordWrap/>
        <w:overflowPunct/>
        <w:topLinePunct w:val="0"/>
        <w:autoSpaceDE/>
        <w:autoSpaceDN/>
        <w:bidi w:val="0"/>
        <w:adjustRightInd w:val="0"/>
        <w:snapToGrid w:val="0"/>
        <w:spacing w:after="0"/>
        <w:ind w:left="0" w:leftChars="0"/>
        <w:jc w:val="both"/>
        <w:textAlignment w:val="auto"/>
        <w:rPr>
          <w:rFonts w:cs="宋体"/>
          <w:color w:val="auto"/>
          <w:szCs w:val="21"/>
          <w:highlight w:val="none"/>
        </w:rPr>
      </w:pPr>
      <w:r>
        <w:rPr>
          <w:rFonts w:hint="eastAsia" w:ascii="宋体" w:hAnsi="宋体" w:eastAsia="宋体" w:cs="宋体"/>
          <w:color w:val="auto"/>
          <w:sz w:val="21"/>
          <w:szCs w:val="21"/>
          <w:highlight w:val="none"/>
        </w:rPr>
        <w:fldChar w:fldCharType="end"/>
      </w:r>
    </w:p>
    <w:p w14:paraId="5569E400">
      <w:pPr>
        <w:rPr>
          <w:rFonts w:ascii="宋体" w:hAnsi="宋体" w:cs="宋体"/>
          <w:color w:val="auto"/>
          <w:szCs w:val="21"/>
          <w:highlight w:val="none"/>
        </w:rPr>
      </w:pPr>
      <w:r>
        <w:rPr>
          <w:rFonts w:hint="eastAsia" w:ascii="宋体" w:hAnsi="宋体" w:cs="宋体"/>
          <w:color w:val="auto"/>
          <w:szCs w:val="21"/>
          <w:highlight w:val="none"/>
        </w:rPr>
        <w:br w:type="page"/>
      </w:r>
    </w:p>
    <w:p w14:paraId="56CFB9AD">
      <w:pPr>
        <w:pStyle w:val="3"/>
        <w:spacing w:before="0" w:after="0" w:line="240" w:lineRule="auto"/>
        <w:rPr>
          <w:color w:val="auto"/>
          <w:sz w:val="28"/>
          <w:szCs w:val="28"/>
          <w:highlight w:val="none"/>
        </w:rPr>
      </w:pPr>
      <w:bookmarkStart w:id="0" w:name="_Toc17306"/>
      <w:bookmarkStart w:id="1" w:name="_Toc7186"/>
      <w:r>
        <w:rPr>
          <w:rFonts w:hint="eastAsia"/>
          <w:color w:val="auto"/>
          <w:sz w:val="28"/>
          <w:szCs w:val="28"/>
          <w:highlight w:val="none"/>
        </w:rPr>
        <w:t>第一部分 投标邀请</w:t>
      </w:r>
      <w:bookmarkEnd w:id="0"/>
      <w:bookmarkEnd w:id="1"/>
    </w:p>
    <w:p w14:paraId="476306F6">
      <w:pPr>
        <w:pStyle w:val="4"/>
        <w:jc w:val="center"/>
        <w:rPr>
          <w:rFonts w:ascii="宋体" w:hAnsi="宋体" w:cs="宋体"/>
          <w:color w:val="auto"/>
          <w:highlight w:val="none"/>
        </w:rPr>
      </w:pPr>
      <w:bookmarkStart w:id="2" w:name="_Toc30633"/>
      <w:bookmarkStart w:id="3" w:name="_Toc8850"/>
      <w:bookmarkStart w:id="4" w:name="_Toc1420"/>
      <w:r>
        <w:rPr>
          <w:rFonts w:hint="eastAsia" w:ascii="宋体" w:hAnsi="宋体" w:cs="宋体"/>
          <w:color w:val="auto"/>
          <w:highlight w:val="none"/>
        </w:rPr>
        <w:t>投标邀请书</w:t>
      </w:r>
      <w:bookmarkEnd w:id="2"/>
      <w:bookmarkEnd w:id="3"/>
      <w:bookmarkEnd w:id="4"/>
    </w:p>
    <w:p w14:paraId="5A32670A">
      <w:pPr>
        <w:ind w:firstLine="420" w:firstLineChars="200"/>
        <w:rPr>
          <w:rFonts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东莞市寮步华衍学校</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东莞市寮步华衍学校食材原料等配送服务项目</w:t>
      </w:r>
      <w:r>
        <w:rPr>
          <w:rFonts w:hint="eastAsia" w:ascii="宋体" w:hAnsi="宋体" w:cs="Times New Roman"/>
          <w:color w:val="auto"/>
          <w:szCs w:val="21"/>
          <w:highlight w:val="none"/>
        </w:rPr>
        <w:t>进行国内公开招标采购</w:t>
      </w:r>
      <w:r>
        <w:rPr>
          <w:rFonts w:hint="eastAsia" w:ascii="宋体" w:hAnsi="宋体"/>
          <w:color w:val="auto"/>
          <w:szCs w:val="21"/>
          <w:highlight w:val="none"/>
        </w:rPr>
        <w:t>，欢迎符合招标文件要求的国内投标人参加投标</w:t>
      </w:r>
      <w:r>
        <w:rPr>
          <w:rFonts w:ascii="宋体" w:hAnsi="宋体"/>
          <w:color w:val="auto"/>
          <w:szCs w:val="21"/>
          <w:highlight w:val="none"/>
        </w:rPr>
        <w:t>。</w:t>
      </w:r>
    </w:p>
    <w:p w14:paraId="77B1A970">
      <w:pPr>
        <w:ind w:firstLine="422" w:firstLineChars="200"/>
        <w:rPr>
          <w:rFonts w:ascii="宋体" w:hAnsi="宋体"/>
          <w:b/>
          <w:color w:val="auto"/>
          <w:szCs w:val="21"/>
          <w:highlight w:val="none"/>
        </w:rPr>
      </w:pPr>
    </w:p>
    <w:p w14:paraId="217DCB6D">
      <w:pPr>
        <w:numPr>
          <w:ilvl w:val="0"/>
          <w:numId w:val="1"/>
        </w:numPr>
        <w:ind w:firstLine="413" w:firstLineChars="196"/>
        <w:outlineLvl w:val="9"/>
        <w:rPr>
          <w:rFonts w:ascii="宋体" w:hAnsi="宋体"/>
          <w:b/>
          <w:color w:val="auto"/>
          <w:szCs w:val="21"/>
          <w:highlight w:val="none"/>
        </w:rPr>
      </w:pPr>
      <w:r>
        <w:rPr>
          <w:rFonts w:hint="eastAsia" w:ascii="宋体" w:hAnsi="宋体"/>
          <w:b/>
          <w:color w:val="auto"/>
          <w:szCs w:val="21"/>
          <w:highlight w:val="none"/>
        </w:rPr>
        <w:t>招标项目信息</w:t>
      </w:r>
    </w:p>
    <w:p w14:paraId="4BAD5BAE">
      <w:pPr>
        <w:numPr>
          <w:ilvl w:val="0"/>
          <w:numId w:val="2"/>
        </w:numPr>
        <w:ind w:firstLine="420" w:firstLineChars="200"/>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GDZT2026141C</w:t>
      </w:r>
      <w:r>
        <w:rPr>
          <w:rFonts w:hint="eastAsia" w:ascii="宋体" w:hAnsi="宋体"/>
          <w:color w:val="auto"/>
          <w:szCs w:val="21"/>
          <w:highlight w:val="none"/>
        </w:rPr>
        <w:t>；</w:t>
      </w:r>
    </w:p>
    <w:p w14:paraId="0A4AC3C3">
      <w:pPr>
        <w:numPr>
          <w:ilvl w:val="0"/>
          <w:numId w:val="2"/>
        </w:numPr>
        <w:ind w:firstLine="420" w:firstLineChars="200"/>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东莞市寮步华衍学校食材原料等配送服务项目</w:t>
      </w:r>
      <w:r>
        <w:rPr>
          <w:rFonts w:hint="eastAsia" w:ascii="宋体" w:hAnsi="宋体"/>
          <w:color w:val="auto"/>
          <w:szCs w:val="21"/>
          <w:highlight w:val="none"/>
        </w:rPr>
        <w:t>；</w:t>
      </w:r>
    </w:p>
    <w:p w14:paraId="13938A40">
      <w:pPr>
        <w:numPr>
          <w:ilvl w:val="0"/>
          <w:numId w:val="0"/>
        </w:numPr>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w:t>
      </w:r>
      <w:r>
        <w:rPr>
          <w:rFonts w:hint="eastAsia" w:ascii="宋体" w:hAnsi="宋体" w:eastAsia="宋体"/>
          <w:color w:val="auto"/>
          <w:sz w:val="21"/>
          <w:szCs w:val="21"/>
          <w:highlight w:val="none"/>
        </w:rPr>
        <w:t>项目内容：</w:t>
      </w:r>
      <w:r>
        <w:rPr>
          <w:rFonts w:hint="eastAsia" w:ascii="宋体" w:hAnsi="宋体" w:eastAsia="宋体"/>
          <w:b/>
          <w:color w:val="auto"/>
          <w:sz w:val="21"/>
          <w:szCs w:val="21"/>
          <w:highlight w:val="none"/>
          <w:u w:val="single"/>
        </w:rPr>
        <w:t>食材原料等配送服务</w:t>
      </w:r>
      <w:r>
        <w:rPr>
          <w:rFonts w:hint="eastAsia" w:ascii="宋体" w:hAnsi="宋体" w:eastAsia="宋体"/>
          <w:color w:val="auto"/>
          <w:sz w:val="21"/>
          <w:szCs w:val="21"/>
          <w:highlight w:val="none"/>
        </w:rPr>
        <w:t>采购一项，</w:t>
      </w:r>
      <w:r>
        <w:rPr>
          <w:rFonts w:hint="eastAsia" w:ascii="宋体" w:hAnsi="宋体" w:eastAsia="宋体"/>
          <w:color w:val="auto"/>
          <w:sz w:val="21"/>
          <w:szCs w:val="21"/>
          <w:highlight w:val="none"/>
          <w:lang w:eastAsia="zh-CN"/>
        </w:rPr>
        <w:t>服务期：</w:t>
      </w:r>
      <w:r>
        <w:rPr>
          <w:rFonts w:hint="eastAsia" w:ascii="宋体" w:hAnsi="宋体"/>
          <w:b/>
          <w:bCs/>
          <w:color w:val="auto"/>
          <w:szCs w:val="21"/>
          <w:highlight w:val="none"/>
          <w:u w:val="single"/>
          <w:lang w:eastAsia="zh-CN"/>
        </w:rPr>
        <w:t>自合同签订并生效之日起1年</w:t>
      </w:r>
      <w:r>
        <w:rPr>
          <w:rFonts w:hint="eastAsia" w:ascii="宋体" w:hAnsi="宋体" w:eastAsia="宋体"/>
          <w:color w:val="auto"/>
          <w:sz w:val="21"/>
          <w:szCs w:val="21"/>
          <w:highlight w:val="none"/>
          <w:lang w:val="en-US" w:eastAsia="zh-CN"/>
        </w:rPr>
        <w:t>，</w:t>
      </w:r>
      <w:r>
        <w:rPr>
          <w:rFonts w:hint="eastAsia" w:ascii="宋体" w:hAnsi="宋体" w:eastAsia="宋体"/>
          <w:color w:val="auto"/>
          <w:sz w:val="21"/>
          <w:szCs w:val="21"/>
          <w:highlight w:val="none"/>
          <w:lang w:eastAsia="zh-CN"/>
        </w:rPr>
        <w:t>包组情况如下：</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2200"/>
        <w:gridCol w:w="1200"/>
        <w:gridCol w:w="4345"/>
      </w:tblGrid>
      <w:tr w14:paraId="0D56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68" w:type="dxa"/>
            <w:vAlign w:val="center"/>
          </w:tcPr>
          <w:p w14:paraId="4951DF5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采购包号</w:t>
            </w:r>
          </w:p>
        </w:tc>
        <w:tc>
          <w:tcPr>
            <w:tcW w:w="2200" w:type="dxa"/>
            <w:vAlign w:val="center"/>
          </w:tcPr>
          <w:p w14:paraId="1453687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采购标的</w:t>
            </w:r>
          </w:p>
        </w:tc>
        <w:tc>
          <w:tcPr>
            <w:tcW w:w="1200" w:type="dxa"/>
            <w:vAlign w:val="center"/>
          </w:tcPr>
          <w:p w14:paraId="7EDD3B7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b/>
                <w:bCs/>
                <w:color w:val="auto"/>
                <w:sz w:val="21"/>
                <w:szCs w:val="21"/>
                <w:highlight w:val="none"/>
                <w:lang w:val="en-US"/>
              </w:rPr>
            </w:pPr>
            <w:r>
              <w:rPr>
                <w:rFonts w:hint="eastAsia" w:ascii="宋体" w:hAnsi="宋体" w:eastAsia="宋体"/>
                <w:b/>
                <w:bCs/>
                <w:color w:val="auto"/>
                <w:sz w:val="21"/>
                <w:szCs w:val="21"/>
                <w:highlight w:val="none"/>
                <w:lang w:val="en-US" w:eastAsia="zh-CN"/>
              </w:rPr>
              <w:t>中标供应商家数</w:t>
            </w:r>
          </w:p>
        </w:tc>
        <w:tc>
          <w:tcPr>
            <w:tcW w:w="4345" w:type="dxa"/>
            <w:vAlign w:val="center"/>
          </w:tcPr>
          <w:p w14:paraId="20C4FF0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服务地点</w:t>
            </w:r>
          </w:p>
        </w:tc>
      </w:tr>
      <w:tr w14:paraId="56F9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1FFAC2C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包A</w:t>
            </w:r>
          </w:p>
        </w:tc>
        <w:tc>
          <w:tcPr>
            <w:tcW w:w="2200" w:type="dxa"/>
            <w:vAlign w:val="center"/>
          </w:tcPr>
          <w:p w14:paraId="3ACFD67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rPr>
            </w:pPr>
            <w:r>
              <w:rPr>
                <w:rFonts w:hint="eastAsia" w:ascii="宋体" w:hAnsi="宋体" w:eastAsia="宋体"/>
                <w:color w:val="auto"/>
                <w:sz w:val="21"/>
                <w:szCs w:val="21"/>
                <w:highlight w:val="none"/>
                <w:lang w:val="en-US" w:eastAsia="zh-CN"/>
              </w:rPr>
              <w:t>肉类、蔬菜类</w:t>
            </w:r>
          </w:p>
        </w:tc>
        <w:tc>
          <w:tcPr>
            <w:tcW w:w="1200" w:type="dxa"/>
            <w:vAlign w:val="center"/>
          </w:tcPr>
          <w:p w14:paraId="2E399DE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7EF9062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r w14:paraId="474C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43E4470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val="en-US" w:eastAsia="zh-CN"/>
              </w:rPr>
              <w:t>B</w:t>
            </w:r>
          </w:p>
        </w:tc>
        <w:tc>
          <w:tcPr>
            <w:tcW w:w="2200" w:type="dxa"/>
            <w:vAlign w:val="center"/>
          </w:tcPr>
          <w:p w14:paraId="65ED849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粮油、干货、调味品类</w:t>
            </w:r>
          </w:p>
        </w:tc>
        <w:tc>
          <w:tcPr>
            <w:tcW w:w="1200" w:type="dxa"/>
            <w:vAlign w:val="center"/>
          </w:tcPr>
          <w:p w14:paraId="33672AD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6F8F8C5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r w14:paraId="73BF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105D423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val="en-US" w:eastAsia="zh-CN"/>
              </w:rPr>
              <w:t>C</w:t>
            </w:r>
          </w:p>
        </w:tc>
        <w:tc>
          <w:tcPr>
            <w:tcW w:w="2200" w:type="dxa"/>
            <w:vAlign w:val="center"/>
          </w:tcPr>
          <w:p w14:paraId="5339EFC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包点类</w:t>
            </w:r>
          </w:p>
        </w:tc>
        <w:tc>
          <w:tcPr>
            <w:tcW w:w="1200" w:type="dxa"/>
            <w:vAlign w:val="center"/>
          </w:tcPr>
          <w:p w14:paraId="0A382CF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39E550D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r w14:paraId="3902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124DC36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val="en-US" w:eastAsia="zh-CN"/>
              </w:rPr>
              <w:t>D</w:t>
            </w:r>
          </w:p>
        </w:tc>
        <w:tc>
          <w:tcPr>
            <w:tcW w:w="2200" w:type="dxa"/>
            <w:vAlign w:val="center"/>
          </w:tcPr>
          <w:p w14:paraId="05F65FAF">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牛奶、饼干类</w:t>
            </w:r>
          </w:p>
        </w:tc>
        <w:tc>
          <w:tcPr>
            <w:tcW w:w="1200" w:type="dxa"/>
            <w:vAlign w:val="center"/>
          </w:tcPr>
          <w:p w14:paraId="1D87E5F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4FF59C76">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bl>
    <w:p w14:paraId="606B4A8A">
      <w:pPr>
        <w:pStyle w:val="10"/>
        <w:keepNext w:val="0"/>
        <w:keepLines w:val="0"/>
        <w:pageBreakBefore w:val="0"/>
        <w:widowControl/>
        <w:kinsoku/>
        <w:wordWrap/>
        <w:overflowPunct/>
        <w:topLinePunct w:val="0"/>
        <w:autoSpaceDE/>
        <w:autoSpaceDN/>
        <w:bidi w:val="0"/>
        <w:adjustRightInd w:val="0"/>
        <w:snapToGrid w:val="0"/>
        <w:spacing w:before="0"/>
        <w:ind w:left="0" w:firstLine="420" w:firstLineChars="200"/>
        <w:textAlignment w:val="auto"/>
        <w:rPr>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项目兼投兼中（兼投不兼中）规则：</w:t>
      </w:r>
      <w:r>
        <w:rPr>
          <w:rFonts w:hint="eastAsia" w:ascii="宋体" w:hAnsi="宋体" w:eastAsia="宋体" w:cs="宋体"/>
          <w:b/>
          <w:color w:val="auto"/>
          <w:sz w:val="21"/>
          <w:szCs w:val="21"/>
          <w:highlight w:val="none"/>
        </w:rPr>
        <w:t>各采购包兼投不兼中。</w:t>
      </w:r>
      <w:r>
        <w:rPr>
          <w:rFonts w:hint="eastAsia" w:ascii="宋体" w:hAnsi="宋体" w:eastAsia="宋体" w:cs="宋体"/>
          <w:color w:val="auto"/>
          <w:sz w:val="21"/>
          <w:szCs w:val="21"/>
          <w:highlight w:val="none"/>
        </w:rPr>
        <w:t>投标人可对其中任意一个或</w:t>
      </w:r>
      <w:r>
        <w:rPr>
          <w:rFonts w:hint="eastAsia" w:ascii="宋体" w:hAnsi="宋体" w:eastAsia="宋体" w:cs="宋体"/>
          <w:color w:val="auto"/>
          <w:sz w:val="21"/>
          <w:szCs w:val="21"/>
          <w:highlight w:val="none"/>
          <w:lang w:val="en-US" w:eastAsia="zh-CN"/>
        </w:rPr>
        <w:t>多</w:t>
      </w:r>
      <w:r>
        <w:rPr>
          <w:rFonts w:hint="eastAsia" w:ascii="宋体" w:hAnsi="宋体" w:eastAsia="宋体" w:cs="宋体"/>
          <w:color w:val="auto"/>
          <w:sz w:val="21"/>
          <w:szCs w:val="21"/>
          <w:highlight w:val="none"/>
        </w:rPr>
        <w:t>个</w:t>
      </w:r>
      <w:r>
        <w:rPr>
          <w:rFonts w:hint="eastAsia" w:ascii="宋体" w:hAnsi="宋体" w:eastAsia="宋体" w:cs="宋体"/>
          <w:color w:val="auto"/>
          <w:sz w:val="21"/>
          <w:szCs w:val="21"/>
          <w:highlight w:val="none"/>
          <w:lang w:val="en-US" w:eastAsia="zh-CN"/>
        </w:rPr>
        <w:t>采购</w:t>
      </w:r>
      <w:r>
        <w:rPr>
          <w:rFonts w:hint="eastAsia" w:ascii="宋体" w:hAnsi="宋体" w:eastAsia="宋体" w:cs="宋体"/>
          <w:color w:val="auto"/>
          <w:sz w:val="21"/>
          <w:szCs w:val="21"/>
          <w:highlight w:val="none"/>
        </w:rPr>
        <w:t>包进行投标，可兼投但不能兼中，每个投标人最多只能被确定为1个采购包的第一中标候选人。本项目按采购包由</w:t>
      </w: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rPr>
        <w:t>到</w:t>
      </w:r>
      <w:r>
        <w:rPr>
          <w:rFonts w:hint="eastAsia" w:ascii="宋体" w:hAnsi="宋体" w:eastAsia="宋体" w:cs="宋体"/>
          <w:color w:val="auto"/>
          <w:sz w:val="21"/>
          <w:szCs w:val="21"/>
          <w:highlight w:val="none"/>
          <w:lang w:val="en-US" w:eastAsia="zh-CN"/>
        </w:rPr>
        <w:t>D</w:t>
      </w:r>
      <w:r>
        <w:rPr>
          <w:rFonts w:hint="eastAsia" w:ascii="宋体" w:hAnsi="宋体" w:eastAsia="宋体" w:cs="宋体"/>
          <w:color w:val="auto"/>
          <w:sz w:val="21"/>
          <w:szCs w:val="21"/>
          <w:highlight w:val="none"/>
        </w:rPr>
        <w:t>的顺序评审，每个</w:t>
      </w:r>
      <w:r>
        <w:rPr>
          <w:rFonts w:hint="eastAsia" w:ascii="宋体" w:hAnsi="宋体" w:eastAsia="宋体" w:cs="宋体"/>
          <w:color w:val="auto"/>
          <w:sz w:val="21"/>
          <w:szCs w:val="21"/>
          <w:highlight w:val="none"/>
          <w:lang w:val="en-US" w:eastAsia="zh-CN"/>
        </w:rPr>
        <w:t>采购包</w:t>
      </w:r>
      <w:r>
        <w:rPr>
          <w:rFonts w:hint="eastAsia" w:ascii="宋体" w:hAnsi="宋体" w:eastAsia="宋体" w:cs="宋体"/>
          <w:color w:val="auto"/>
          <w:sz w:val="21"/>
          <w:szCs w:val="21"/>
          <w:highlight w:val="none"/>
        </w:rPr>
        <w:t>按照评标总得分由高到低的顺序推荐三名中标候选人。前面</w:t>
      </w:r>
      <w:r>
        <w:rPr>
          <w:rFonts w:hint="eastAsia" w:ascii="宋体" w:hAnsi="宋体" w:eastAsia="宋体" w:cs="宋体"/>
          <w:color w:val="auto"/>
          <w:sz w:val="21"/>
          <w:szCs w:val="21"/>
          <w:highlight w:val="none"/>
          <w:lang w:val="en-US" w:eastAsia="zh-CN"/>
        </w:rPr>
        <w:t>采购包</w:t>
      </w:r>
      <w:r>
        <w:rPr>
          <w:rFonts w:hint="eastAsia" w:ascii="宋体" w:hAnsi="宋体" w:eastAsia="宋体" w:cs="宋体"/>
          <w:color w:val="auto"/>
          <w:sz w:val="21"/>
          <w:szCs w:val="21"/>
          <w:highlight w:val="none"/>
        </w:rPr>
        <w:t>的第一中标候选人如参加后面</w:t>
      </w:r>
      <w:r>
        <w:rPr>
          <w:rFonts w:hint="eastAsia" w:ascii="宋体" w:hAnsi="宋体" w:eastAsia="宋体" w:cs="宋体"/>
          <w:color w:val="auto"/>
          <w:sz w:val="21"/>
          <w:szCs w:val="21"/>
          <w:highlight w:val="none"/>
          <w:lang w:val="en-US" w:eastAsia="zh-CN"/>
        </w:rPr>
        <w:t>采购包</w:t>
      </w:r>
      <w:r>
        <w:rPr>
          <w:rFonts w:hint="eastAsia" w:ascii="宋体" w:hAnsi="宋体" w:eastAsia="宋体" w:cs="宋体"/>
          <w:color w:val="auto"/>
          <w:sz w:val="21"/>
          <w:szCs w:val="21"/>
          <w:highlight w:val="none"/>
        </w:rPr>
        <w:t>号的投标，将不能通过后面</w:t>
      </w:r>
      <w:r>
        <w:rPr>
          <w:rFonts w:hint="eastAsia" w:ascii="宋体" w:hAnsi="宋体" w:eastAsia="宋体" w:cs="宋体"/>
          <w:color w:val="auto"/>
          <w:sz w:val="21"/>
          <w:szCs w:val="21"/>
          <w:highlight w:val="none"/>
          <w:lang w:val="en-US" w:eastAsia="zh-CN"/>
        </w:rPr>
        <w:t>采购包</w:t>
      </w:r>
      <w:r>
        <w:rPr>
          <w:rFonts w:hint="eastAsia" w:ascii="宋体" w:hAnsi="宋体" w:eastAsia="宋体" w:cs="宋体"/>
          <w:color w:val="auto"/>
          <w:sz w:val="21"/>
          <w:szCs w:val="21"/>
          <w:highlight w:val="none"/>
        </w:rPr>
        <w:t>的符合性审查。若第一中标候选人放弃中标资格，或因不可抗力无法签订合同，</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可以按照评审报告推荐该</w:t>
      </w:r>
      <w:r>
        <w:rPr>
          <w:rFonts w:hint="eastAsia" w:ascii="宋体" w:hAnsi="宋体" w:eastAsia="宋体" w:cs="宋体"/>
          <w:color w:val="auto"/>
          <w:sz w:val="21"/>
          <w:szCs w:val="21"/>
          <w:highlight w:val="none"/>
          <w:lang w:val="en-US" w:eastAsia="zh-CN"/>
        </w:rPr>
        <w:t>采购包</w:t>
      </w:r>
      <w:r>
        <w:rPr>
          <w:rFonts w:hint="eastAsia" w:ascii="宋体" w:hAnsi="宋体" w:eastAsia="宋体" w:cs="宋体"/>
          <w:color w:val="auto"/>
          <w:sz w:val="21"/>
          <w:szCs w:val="21"/>
          <w:highlight w:val="none"/>
        </w:rPr>
        <w:t>的中标候选人名单排序，确定下一候选人为中标人；</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亦可决定重新组织招标。</w:t>
      </w:r>
    </w:p>
    <w:p w14:paraId="39EBC7AA">
      <w:pPr>
        <w:ind w:firstLine="413" w:firstLineChars="196"/>
        <w:outlineLvl w:val="9"/>
        <w:rPr>
          <w:rFonts w:ascii="宋体" w:hAnsi="宋体"/>
          <w:b/>
          <w:color w:val="auto"/>
          <w:szCs w:val="21"/>
          <w:highlight w:val="none"/>
        </w:rPr>
      </w:pPr>
      <w:r>
        <w:rPr>
          <w:rFonts w:hint="eastAsia" w:ascii="宋体" w:hAnsi="宋体"/>
          <w:b/>
          <w:color w:val="auto"/>
          <w:szCs w:val="21"/>
          <w:highlight w:val="none"/>
        </w:rPr>
        <w:t>二、投标人资格要求</w:t>
      </w:r>
    </w:p>
    <w:p w14:paraId="3D4D6E6F">
      <w:pPr>
        <w:ind w:firstLine="411" w:firstLineChars="196"/>
        <w:rPr>
          <w:rFonts w:ascii="宋体" w:hAnsi="宋体"/>
          <w:color w:val="auto"/>
          <w:szCs w:val="21"/>
          <w:highlight w:val="none"/>
        </w:rPr>
      </w:pPr>
      <w:r>
        <w:rPr>
          <w:rFonts w:hint="eastAsia" w:ascii="宋体" w:hAnsi="宋体"/>
          <w:color w:val="auto"/>
          <w:szCs w:val="21"/>
          <w:highlight w:val="none"/>
        </w:rPr>
        <w:t>1、一般要求：</w:t>
      </w:r>
    </w:p>
    <w:p w14:paraId="245892A1">
      <w:pPr>
        <w:ind w:firstLine="420" w:firstLineChars="200"/>
        <w:rPr>
          <w:rFonts w:ascii="宋体" w:hAnsi="宋体"/>
          <w:color w:val="auto"/>
          <w:szCs w:val="21"/>
          <w:highlight w:val="none"/>
        </w:rPr>
      </w:pPr>
      <w:r>
        <w:rPr>
          <w:rFonts w:hint="eastAsia" w:ascii="宋体" w:hAnsi="宋体"/>
          <w:color w:val="auto"/>
          <w:szCs w:val="21"/>
          <w:highlight w:val="none"/>
        </w:rPr>
        <w:t>（1）投标人应具备以下资格的条件，提供下列材料：</w:t>
      </w:r>
    </w:p>
    <w:p w14:paraId="71A6EAA3">
      <w:pPr>
        <w:ind w:firstLine="420" w:firstLineChars="200"/>
        <w:rPr>
          <w:rFonts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055718CA">
      <w:pPr>
        <w:ind w:firstLine="420" w:firstLineChars="200"/>
        <w:rPr>
          <w:rFonts w:ascii="宋体" w:hAnsi="宋体"/>
          <w:color w:val="auto"/>
          <w:szCs w:val="21"/>
          <w:highlight w:val="none"/>
        </w:rPr>
      </w:pPr>
      <w:r>
        <w:rPr>
          <w:rFonts w:hint="eastAsia" w:ascii="宋体" w:hAnsi="宋体"/>
          <w:color w:val="auto"/>
          <w:szCs w:val="21"/>
          <w:highlight w:val="none"/>
        </w:rPr>
        <w:t>2）有依法缴纳税收和社会保障资金的良好记录：投标（响应）文件中提供《资格声明函》。</w:t>
      </w:r>
    </w:p>
    <w:p w14:paraId="2C0AE72F">
      <w:pPr>
        <w:ind w:firstLine="420" w:firstLineChars="200"/>
        <w:rPr>
          <w:rFonts w:ascii="宋体" w:hAnsi="宋体"/>
          <w:color w:val="auto"/>
          <w:szCs w:val="21"/>
          <w:highlight w:val="none"/>
        </w:rPr>
      </w:pPr>
      <w:r>
        <w:rPr>
          <w:rFonts w:hint="eastAsia" w:ascii="宋体" w:hAnsi="宋体"/>
          <w:color w:val="auto"/>
          <w:szCs w:val="21"/>
          <w:highlight w:val="none"/>
        </w:rPr>
        <w:t>3）具有良好的商业信誉和健全的财务会计制度：投标（响应）文件中提供《资格声明函》。</w:t>
      </w:r>
    </w:p>
    <w:p w14:paraId="385B0087">
      <w:pPr>
        <w:ind w:firstLine="420" w:firstLineChars="200"/>
        <w:rPr>
          <w:rFonts w:ascii="宋体" w:hAnsi="宋体"/>
          <w:color w:val="auto"/>
          <w:szCs w:val="21"/>
          <w:highlight w:val="none"/>
        </w:rPr>
      </w:pPr>
      <w:r>
        <w:rPr>
          <w:rFonts w:hint="eastAsia" w:ascii="宋体" w:hAnsi="宋体"/>
          <w:color w:val="auto"/>
          <w:szCs w:val="21"/>
          <w:highlight w:val="none"/>
        </w:rPr>
        <w:t>4）履行合同所必需的设备和专业技术能力：投标（响应）文件中提供《资格声明函》。</w:t>
      </w:r>
    </w:p>
    <w:p w14:paraId="28B4DFF4">
      <w:pPr>
        <w:ind w:firstLine="420" w:firstLineChars="200"/>
        <w:rPr>
          <w:rFonts w:ascii="宋体" w:hAnsi="宋体"/>
          <w:color w:val="auto"/>
          <w:szCs w:val="21"/>
          <w:highlight w:val="none"/>
        </w:rPr>
      </w:pPr>
      <w:r>
        <w:rPr>
          <w:rFonts w:hint="eastAsia" w:ascii="宋体" w:hAnsi="宋体"/>
          <w:color w:val="auto"/>
          <w:szCs w:val="21"/>
          <w:highlight w:val="none"/>
        </w:rPr>
        <w:t>5）参加采购活动前三年内，在经营活动中没有重大违法记录：投标（响应）文件中提供《资格声明函》</w:t>
      </w:r>
      <w:r>
        <w:rPr>
          <w:rFonts w:hint="eastAsia" w:ascii="宋体" w:hAnsi="宋体" w:cs="宋体"/>
          <w:color w:val="auto"/>
          <w:sz w:val="22"/>
          <w:highlight w:val="none"/>
        </w:rPr>
        <w:t>。</w:t>
      </w:r>
      <w:r>
        <w:rPr>
          <w:rFonts w:hint="eastAsia" w:ascii="宋体" w:hAnsi="宋体" w:cs="宋体"/>
          <w:color w:val="auto"/>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2CC43F4">
      <w:pPr>
        <w:ind w:firstLine="420" w:firstLineChars="200"/>
        <w:rPr>
          <w:rFonts w:ascii="宋体" w:hAnsi="宋体"/>
          <w:color w:val="auto"/>
          <w:szCs w:val="21"/>
          <w:highlight w:val="none"/>
        </w:rPr>
      </w:pPr>
      <w:r>
        <w:rPr>
          <w:rFonts w:hint="eastAsia" w:ascii="宋体" w:hAnsi="宋体"/>
          <w:color w:val="auto"/>
          <w:szCs w:val="21"/>
          <w:highlight w:val="none"/>
        </w:rPr>
        <w:t xml:space="preserve">（2）投标人的单位负责人为同一人或者存在直接控股、管理关系的不同投标人，不得参加同一合同项下的采购活动。为本项目提供整体设计、规范编制或者项目管理、监理、检测等服务的投标人，不得参加本采购项目的采购活动； </w:t>
      </w:r>
    </w:p>
    <w:p w14:paraId="6FB06F10">
      <w:pPr>
        <w:ind w:firstLine="420" w:firstLineChars="200"/>
        <w:rPr>
          <w:rFonts w:ascii="宋体" w:hAnsi="宋体"/>
          <w:color w:val="auto"/>
          <w:szCs w:val="21"/>
          <w:highlight w:val="none"/>
        </w:rPr>
      </w:pPr>
      <w:r>
        <w:rPr>
          <w:rFonts w:hint="eastAsia" w:ascii="宋体" w:hAnsi="宋体"/>
          <w:color w:val="auto"/>
          <w:szCs w:val="21"/>
          <w:highlight w:val="none"/>
        </w:rPr>
        <w:t>（3）未被列入“信用中国”网站(www.creditchina.gov.cn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14:paraId="72C9161A">
      <w:pPr>
        <w:ind w:firstLine="420" w:firstLineChars="200"/>
        <w:rPr>
          <w:color w:val="auto"/>
          <w:highlight w:val="none"/>
        </w:rPr>
      </w:pPr>
      <w:r>
        <w:rPr>
          <w:rFonts w:hint="eastAsia" w:ascii="宋体" w:hAnsi="宋体"/>
          <w:color w:val="auto"/>
          <w:szCs w:val="21"/>
          <w:highlight w:val="none"/>
        </w:rPr>
        <w:t>（4）本项目（是/否）接受联合体投标：否</w:t>
      </w:r>
    </w:p>
    <w:p w14:paraId="676976A4">
      <w:pPr>
        <w:ind w:firstLine="413" w:firstLineChars="196"/>
        <w:outlineLvl w:val="9"/>
        <w:rPr>
          <w:rFonts w:ascii="宋体" w:hAnsi="宋体"/>
          <w:b/>
          <w:color w:val="auto"/>
          <w:szCs w:val="21"/>
          <w:highlight w:val="none"/>
        </w:rPr>
      </w:pPr>
      <w:r>
        <w:rPr>
          <w:rFonts w:hint="eastAsia" w:ascii="宋体" w:hAnsi="宋体"/>
          <w:b/>
          <w:color w:val="auto"/>
          <w:szCs w:val="21"/>
          <w:highlight w:val="none"/>
        </w:rPr>
        <w:br w:type="textWrapping"/>
      </w:r>
      <w:r>
        <w:rPr>
          <w:rFonts w:hint="eastAsia" w:ascii="宋体" w:hAnsi="宋体"/>
          <w:b/>
          <w:color w:val="auto"/>
          <w:szCs w:val="21"/>
          <w:highlight w:val="none"/>
        </w:rPr>
        <w:t>三、项目公示时间、招标文件领购时间、地点、方式</w:t>
      </w:r>
    </w:p>
    <w:p w14:paraId="00DACBFE">
      <w:pPr>
        <w:ind w:firstLine="420" w:firstLineChars="200"/>
        <w:rPr>
          <w:rFonts w:ascii="宋体" w:hAnsi="宋体"/>
          <w:color w:val="auto"/>
          <w:szCs w:val="21"/>
          <w:highlight w:val="none"/>
        </w:rPr>
      </w:pPr>
      <w:r>
        <w:rPr>
          <w:rFonts w:hint="eastAsia" w:ascii="宋体" w:hAnsi="宋体"/>
          <w:color w:val="auto"/>
          <w:szCs w:val="21"/>
          <w:highlight w:val="none"/>
        </w:rPr>
        <w:t>1、项目公示时间：202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日起至202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w:t>
      </w:r>
    </w:p>
    <w:p w14:paraId="0CECD98A">
      <w:pPr>
        <w:ind w:firstLine="420" w:firstLineChars="200"/>
        <w:rPr>
          <w:rFonts w:ascii="宋体" w:hAnsi="宋体"/>
          <w:color w:val="auto"/>
          <w:szCs w:val="21"/>
          <w:highlight w:val="none"/>
        </w:rPr>
      </w:pPr>
      <w:r>
        <w:rPr>
          <w:rFonts w:hint="eastAsia" w:ascii="宋体" w:hAnsi="宋体"/>
          <w:color w:val="auto"/>
          <w:szCs w:val="21"/>
          <w:highlight w:val="none"/>
        </w:rPr>
        <w:t>2、招标文件领购</w:t>
      </w:r>
      <w:r>
        <w:rPr>
          <w:rFonts w:ascii="宋体" w:hAnsi="宋体"/>
          <w:color w:val="auto"/>
          <w:szCs w:val="21"/>
          <w:highlight w:val="none"/>
        </w:rPr>
        <w:t>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10</w:t>
      </w:r>
      <w:r>
        <w:rPr>
          <w:rFonts w:hint="eastAsia" w:ascii="宋体" w:hAnsi="宋体"/>
          <w:color w:val="auto"/>
          <w:szCs w:val="21"/>
          <w:highlight w:val="none"/>
        </w:rPr>
        <w:t>日起至202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17</w:t>
      </w:r>
      <w:r>
        <w:rPr>
          <w:rFonts w:hint="eastAsia" w:ascii="宋体" w:hAnsi="宋体"/>
          <w:color w:val="auto"/>
          <w:szCs w:val="21"/>
          <w:highlight w:val="none"/>
        </w:rPr>
        <w:t>日（节假日除外），上午9：00～12：00，下午14：30～17：30（北京时间）。</w:t>
      </w:r>
    </w:p>
    <w:p w14:paraId="03D4AE67">
      <w:pPr>
        <w:ind w:firstLine="420" w:firstLineChars="200"/>
        <w:rPr>
          <w:rFonts w:ascii="宋体" w:hAnsi="宋体"/>
          <w:color w:val="auto"/>
          <w:szCs w:val="21"/>
          <w:highlight w:val="none"/>
        </w:rPr>
      </w:pPr>
      <w:r>
        <w:rPr>
          <w:rFonts w:hint="eastAsia" w:ascii="宋体" w:hAnsi="宋体"/>
          <w:color w:val="auto"/>
          <w:szCs w:val="21"/>
          <w:highlight w:val="none"/>
        </w:rPr>
        <w:t>注：（1）投标人可自行打印招标文件最后1页中的“获取招标文件登记表”进行填写并带到现场进行领购，并现场领取发票。（招标文件领购价：人民币300元整）</w:t>
      </w:r>
    </w:p>
    <w:p w14:paraId="0E365139">
      <w:pPr>
        <w:ind w:firstLine="420" w:firstLineChars="200"/>
        <w:rPr>
          <w:rFonts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018C9D22">
      <w:pPr>
        <w:ind w:firstLine="420" w:firstLineChars="200"/>
        <w:rPr>
          <w:rFonts w:ascii="宋体" w:hAnsi="宋体"/>
          <w:color w:val="auto"/>
          <w:szCs w:val="21"/>
          <w:highlight w:val="none"/>
        </w:rPr>
      </w:pPr>
      <w:r>
        <w:rPr>
          <w:rFonts w:hint="eastAsia" w:ascii="宋体" w:hAnsi="宋体"/>
          <w:color w:val="auto"/>
          <w:szCs w:val="21"/>
          <w:highlight w:val="none"/>
        </w:rPr>
        <w:t>（3）招标文件电子版可在政通招标网（http://www.zttendering.com/）相关招标信息公告下自行下载。</w:t>
      </w:r>
    </w:p>
    <w:p w14:paraId="5482C496">
      <w:pPr>
        <w:ind w:firstLine="420" w:firstLineChars="200"/>
        <w:rPr>
          <w:rFonts w:ascii="宋体" w:hAnsi="宋体"/>
          <w:color w:val="auto"/>
          <w:szCs w:val="21"/>
          <w:highlight w:val="none"/>
        </w:rPr>
      </w:pPr>
      <w:r>
        <w:rPr>
          <w:rFonts w:hint="eastAsia" w:ascii="宋体" w:hAnsi="宋体"/>
          <w:color w:val="auto"/>
          <w:szCs w:val="21"/>
          <w:highlight w:val="none"/>
        </w:rPr>
        <w:t>3、招标文件领购地点：</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6885E32E">
      <w:pPr>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val="en-US" w:eastAsia="zh-CN"/>
        </w:rPr>
        <w:t>简小姐</w:t>
      </w:r>
    </w:p>
    <w:p w14:paraId="7BBDCE28">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31B13BFC">
      <w:pPr>
        <w:ind w:firstLine="420" w:firstLineChars="200"/>
        <w:rPr>
          <w:rFonts w:ascii="宋体" w:hAnsi="宋体"/>
          <w:color w:val="auto"/>
          <w:szCs w:val="21"/>
          <w:highlight w:val="none"/>
        </w:rPr>
      </w:pPr>
      <w:r>
        <w:rPr>
          <w:rFonts w:hint="eastAsia" w:ascii="宋体" w:hAnsi="宋体"/>
          <w:color w:val="auto"/>
          <w:szCs w:val="21"/>
          <w:highlight w:val="none"/>
        </w:rPr>
        <w:t>4、招标文件领购方式：现场领购。</w:t>
      </w:r>
    </w:p>
    <w:p w14:paraId="0D6ADACF">
      <w:pPr>
        <w:ind w:firstLine="420" w:firstLineChars="200"/>
        <w:rPr>
          <w:rFonts w:ascii="宋体" w:hAnsi="宋体"/>
          <w:color w:val="auto"/>
          <w:szCs w:val="21"/>
          <w:highlight w:val="none"/>
        </w:rPr>
      </w:pPr>
      <w:r>
        <w:rPr>
          <w:rFonts w:hint="eastAsia" w:ascii="宋体" w:hAnsi="宋体"/>
          <w:color w:val="auto"/>
          <w:szCs w:val="21"/>
          <w:highlight w:val="none"/>
        </w:rPr>
        <w:t>投标人在领购招标文件时须提供如下证明材料：《营业执照》复印件（加盖公章）或《事业单位法人证书》复印件（加盖公章）或其他主体证书复印件（加盖公章），自然人参加投标须提供自然人的身份证明材料。</w:t>
      </w:r>
    </w:p>
    <w:p w14:paraId="41CA664E">
      <w:pPr>
        <w:rPr>
          <w:color w:val="auto"/>
          <w:highlight w:val="none"/>
        </w:rPr>
      </w:pPr>
    </w:p>
    <w:p w14:paraId="7879332C">
      <w:pPr>
        <w:ind w:firstLine="413" w:firstLineChars="196"/>
        <w:outlineLvl w:val="9"/>
        <w:rPr>
          <w:rFonts w:ascii="宋体" w:hAnsi="宋体"/>
          <w:b/>
          <w:color w:val="auto"/>
          <w:szCs w:val="21"/>
          <w:highlight w:val="none"/>
        </w:rPr>
      </w:pPr>
      <w:r>
        <w:rPr>
          <w:rFonts w:hint="eastAsia" w:ascii="宋体" w:hAnsi="宋体"/>
          <w:b/>
          <w:color w:val="auto"/>
          <w:szCs w:val="21"/>
          <w:highlight w:val="none"/>
        </w:rPr>
        <w:t>四、投标截止时间、开标时间及地点</w:t>
      </w:r>
    </w:p>
    <w:p w14:paraId="74B1BA44">
      <w:pPr>
        <w:ind w:firstLine="420" w:firstLineChars="200"/>
        <w:rPr>
          <w:rFonts w:ascii="宋体" w:hAnsi="宋体"/>
          <w:bCs/>
          <w:color w:val="auto"/>
          <w:szCs w:val="21"/>
          <w:highlight w:val="none"/>
        </w:rPr>
      </w:pPr>
      <w:r>
        <w:rPr>
          <w:rFonts w:hint="eastAsia" w:ascii="宋体" w:hAnsi="宋体"/>
          <w:bCs/>
          <w:color w:val="auto"/>
          <w:szCs w:val="21"/>
          <w:highlight w:val="none"/>
        </w:rPr>
        <w:t>1、递交投标文件时间：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上午9</w:t>
      </w:r>
      <w:r>
        <w:rPr>
          <w:rFonts w:hint="eastAsia" w:ascii="宋体" w:hAnsi="宋体"/>
          <w:bCs/>
          <w:color w:val="auto"/>
          <w:szCs w:val="21"/>
          <w:highlight w:val="none"/>
        </w:rPr>
        <w:t>：00～</w:t>
      </w:r>
      <w:r>
        <w:rPr>
          <w:rFonts w:hint="eastAsia" w:ascii="宋体" w:hAnsi="宋体"/>
          <w:bCs/>
          <w:color w:val="auto"/>
          <w:szCs w:val="21"/>
          <w:highlight w:val="none"/>
          <w:lang w:val="en-US" w:eastAsia="zh-CN"/>
        </w:rPr>
        <w:t>9</w:t>
      </w:r>
      <w:r>
        <w:rPr>
          <w:rFonts w:hint="eastAsia" w:ascii="宋体" w:hAnsi="宋体"/>
          <w:bCs/>
          <w:color w:val="auto"/>
          <w:szCs w:val="21"/>
          <w:highlight w:val="none"/>
        </w:rPr>
        <w:t>：30。</w:t>
      </w:r>
    </w:p>
    <w:p w14:paraId="2C7A215E">
      <w:pPr>
        <w:ind w:firstLine="420" w:firstLineChars="200"/>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投标截止</w:t>
      </w:r>
      <w:r>
        <w:rPr>
          <w:rFonts w:hint="eastAsia" w:ascii="宋体" w:hAnsi="宋体"/>
          <w:bCs/>
          <w:color w:val="auto"/>
          <w:szCs w:val="21"/>
          <w:highlight w:val="none"/>
        </w:rPr>
        <w:t>及开标时间：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8</w:t>
      </w:r>
      <w:r>
        <w:rPr>
          <w:rFonts w:hint="eastAsia" w:ascii="宋体" w:hAnsi="宋体"/>
          <w:bCs/>
          <w:color w:val="auto"/>
          <w:szCs w:val="21"/>
          <w:highlight w:val="none"/>
        </w:rPr>
        <w:t>月</w:t>
      </w:r>
      <w:r>
        <w:rPr>
          <w:rFonts w:hint="eastAsia" w:ascii="宋体" w:hAnsi="宋体"/>
          <w:bCs/>
          <w:color w:val="auto"/>
          <w:szCs w:val="21"/>
          <w:highlight w:val="none"/>
          <w:lang w:val="en-US" w:eastAsia="zh-CN"/>
        </w:rPr>
        <w:t>31</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上午9</w:t>
      </w:r>
      <w:r>
        <w:rPr>
          <w:rFonts w:hint="eastAsia" w:ascii="宋体" w:hAnsi="宋体"/>
          <w:bCs/>
          <w:color w:val="auto"/>
          <w:szCs w:val="21"/>
          <w:highlight w:val="none"/>
        </w:rPr>
        <w:t>时30分。</w:t>
      </w:r>
    </w:p>
    <w:p w14:paraId="435CA1A6">
      <w:pPr>
        <w:ind w:firstLine="420" w:firstLineChars="200"/>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开标地点：</w:t>
      </w:r>
      <w:r>
        <w:rPr>
          <w:rFonts w:hint="eastAsia" w:ascii="宋体" w:hAnsi="宋体"/>
          <w:color w:val="auto"/>
          <w:szCs w:val="21"/>
          <w:highlight w:val="none"/>
          <w:lang w:eastAsia="zh-CN"/>
        </w:rPr>
        <w:t>东莞市南城街道鸿福西路81号国际商会大厦13A层01室</w:t>
      </w:r>
      <w:r>
        <w:rPr>
          <w:rFonts w:hint="eastAsia" w:ascii="宋体" w:hAnsi="宋体"/>
          <w:bCs/>
          <w:color w:val="auto"/>
          <w:szCs w:val="21"/>
          <w:highlight w:val="none"/>
        </w:rPr>
        <w:t>。</w:t>
      </w:r>
    </w:p>
    <w:p w14:paraId="454E3B87">
      <w:pPr>
        <w:ind w:firstLine="411" w:firstLineChars="196"/>
        <w:rPr>
          <w:rFonts w:ascii="宋体" w:hAnsi="宋体"/>
          <w:bCs/>
          <w:color w:val="auto"/>
          <w:szCs w:val="21"/>
          <w:highlight w:val="none"/>
        </w:rPr>
      </w:pPr>
    </w:p>
    <w:p w14:paraId="72BA9867">
      <w:pPr>
        <w:ind w:firstLine="413" w:firstLineChars="196"/>
        <w:outlineLvl w:val="9"/>
        <w:rPr>
          <w:rFonts w:hint="eastAsia" w:ascii="宋体" w:hAnsi="宋体"/>
          <w:b/>
          <w:color w:val="auto"/>
          <w:szCs w:val="21"/>
          <w:highlight w:val="none"/>
        </w:rPr>
      </w:pPr>
    </w:p>
    <w:p w14:paraId="63144AD9">
      <w:pPr>
        <w:ind w:firstLine="413" w:firstLineChars="196"/>
        <w:outlineLvl w:val="9"/>
        <w:rPr>
          <w:rFonts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7D97E399">
      <w:pPr>
        <w:spacing w:after="0" w:line="360" w:lineRule="auto"/>
        <w:ind w:firstLine="420" w:firstLineChars="200"/>
        <w:rPr>
          <w:rFonts w:hint="eastAsia" w:ascii="宋体" w:hAnsi="宋体" w:eastAsia="宋体"/>
          <w:bCs/>
          <w:color w:val="auto"/>
          <w:sz w:val="21"/>
          <w:szCs w:val="21"/>
          <w:highlight w:val="none"/>
          <w:lang w:val="en-US" w:eastAsia="zh-CN"/>
        </w:rPr>
      </w:pPr>
      <w:r>
        <w:rPr>
          <w:rFonts w:hint="eastAsia" w:ascii="宋体" w:hAnsi="宋体" w:eastAsia="宋体"/>
          <w:bCs/>
          <w:color w:val="auto"/>
          <w:sz w:val="21"/>
          <w:szCs w:val="21"/>
          <w:highlight w:val="none"/>
        </w:rPr>
        <w:t>采购人联系人：</w:t>
      </w:r>
      <w:r>
        <w:rPr>
          <w:rFonts w:hint="eastAsia" w:ascii="宋体" w:hAnsi="宋体"/>
          <w:bCs/>
          <w:color w:val="auto"/>
          <w:sz w:val="21"/>
          <w:szCs w:val="21"/>
          <w:highlight w:val="none"/>
          <w:lang w:val="en-US" w:eastAsia="zh-CN"/>
        </w:rPr>
        <w:t>陈先生</w:t>
      </w:r>
    </w:p>
    <w:p w14:paraId="127A0DDE">
      <w:pPr>
        <w:spacing w:after="0" w:line="360" w:lineRule="auto"/>
        <w:ind w:firstLine="420" w:firstLineChars="200"/>
        <w:rPr>
          <w:rFonts w:hint="eastAsia" w:ascii="宋体" w:hAnsi="宋体" w:eastAsia="宋体"/>
          <w:bCs/>
          <w:color w:val="auto"/>
          <w:sz w:val="21"/>
          <w:szCs w:val="21"/>
          <w:highlight w:val="none"/>
          <w:lang w:val="en-US" w:eastAsia="zh-CN"/>
        </w:rPr>
      </w:pPr>
      <w:r>
        <w:rPr>
          <w:rFonts w:hint="eastAsia" w:ascii="宋体" w:hAnsi="宋体" w:eastAsia="宋体"/>
          <w:bCs/>
          <w:color w:val="auto"/>
          <w:sz w:val="21"/>
          <w:szCs w:val="21"/>
          <w:highlight w:val="none"/>
        </w:rPr>
        <w:t>地址：东莞</w:t>
      </w:r>
      <w:r>
        <w:rPr>
          <w:rFonts w:hint="eastAsia" w:ascii="宋体" w:hAnsi="宋体"/>
          <w:bCs/>
          <w:color w:val="auto"/>
          <w:sz w:val="21"/>
          <w:szCs w:val="21"/>
          <w:highlight w:val="none"/>
          <w:lang w:val="en-US" w:eastAsia="zh-CN"/>
        </w:rPr>
        <w:t>寮步镇</w:t>
      </w:r>
    </w:p>
    <w:p w14:paraId="7D2C362D">
      <w:pPr>
        <w:ind w:firstLine="420" w:firstLineChars="200"/>
        <w:rPr>
          <w:rFonts w:hint="eastAsia" w:ascii="宋体" w:hAnsi="宋体"/>
          <w:color w:val="auto"/>
          <w:szCs w:val="21"/>
          <w:highlight w:val="none"/>
        </w:rPr>
      </w:pPr>
    </w:p>
    <w:p w14:paraId="715D2299">
      <w:pPr>
        <w:ind w:firstLine="420" w:firstLineChars="200"/>
        <w:rPr>
          <w:rFonts w:ascii="宋体" w:hAnsi="宋体"/>
          <w:color w:val="auto"/>
          <w:szCs w:val="21"/>
          <w:highlight w:val="none"/>
        </w:rPr>
      </w:pPr>
      <w:r>
        <w:rPr>
          <w:rFonts w:hint="eastAsia" w:ascii="宋体" w:hAnsi="宋体"/>
          <w:color w:val="auto"/>
          <w:szCs w:val="21"/>
          <w:highlight w:val="none"/>
        </w:rPr>
        <w:t>采购代理机构名称：广东政通招标有限公司</w:t>
      </w:r>
    </w:p>
    <w:p w14:paraId="14D57B41">
      <w:pPr>
        <w:ind w:firstLine="420" w:firstLineChars="20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07491646">
      <w:pPr>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采购代理机构联系人：</w:t>
      </w:r>
      <w:r>
        <w:rPr>
          <w:rFonts w:hint="eastAsia" w:ascii="宋体" w:hAnsi="宋体"/>
          <w:color w:val="auto"/>
          <w:szCs w:val="21"/>
          <w:highlight w:val="none"/>
          <w:lang w:eastAsia="zh-CN"/>
        </w:rPr>
        <w:t>陈先生</w:t>
      </w:r>
    </w:p>
    <w:p w14:paraId="77DAA370">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3E7C555F">
      <w:pPr>
        <w:ind w:firstLine="420" w:firstLineChars="200"/>
        <w:rPr>
          <w:color w:val="auto"/>
          <w:highlight w:val="none"/>
        </w:rPr>
      </w:pPr>
      <w:r>
        <w:rPr>
          <w:rFonts w:hint="eastAsia" w:ascii="宋体" w:hAnsi="宋体"/>
          <w:color w:val="auto"/>
          <w:szCs w:val="21"/>
          <w:highlight w:val="none"/>
        </w:rPr>
        <w:t>E－ mail：</w:t>
      </w:r>
      <w:r>
        <w:rPr>
          <w:rFonts w:hint="eastAsia" w:ascii="宋体" w:hAnsi="宋体"/>
          <w:color w:val="auto"/>
          <w:szCs w:val="21"/>
          <w:highlight w:val="none"/>
          <w:lang w:eastAsia="zh-CN"/>
        </w:rPr>
        <w:t>1107730826</w:t>
      </w:r>
      <w:r>
        <w:rPr>
          <w:rFonts w:hint="eastAsia" w:ascii="宋体" w:hAnsi="宋体"/>
          <w:color w:val="auto"/>
          <w:szCs w:val="21"/>
          <w:highlight w:val="none"/>
        </w:rPr>
        <w:t>@qq.com</w:t>
      </w:r>
    </w:p>
    <w:p w14:paraId="0B4F4149">
      <w:pPr>
        <w:rPr>
          <w:color w:val="auto"/>
          <w:highlight w:val="none"/>
        </w:rPr>
      </w:pPr>
    </w:p>
    <w:p w14:paraId="5E222579">
      <w:pPr>
        <w:ind w:right="752" w:rightChars="358"/>
        <w:jc w:val="both"/>
        <w:rPr>
          <w:color w:val="auto"/>
          <w:highlight w:val="none"/>
        </w:rPr>
      </w:pPr>
    </w:p>
    <w:p w14:paraId="06E9E2D8">
      <w:pPr>
        <w:keepNext w:val="0"/>
        <w:keepLines w:val="0"/>
        <w:pageBreakBefore w:val="0"/>
        <w:widowControl/>
        <w:kinsoku/>
        <w:wordWrap/>
        <w:overflowPunct/>
        <w:topLinePunct w:val="0"/>
        <w:autoSpaceDE/>
        <w:autoSpaceDN/>
        <w:bidi w:val="0"/>
        <w:adjustRightInd w:val="0"/>
        <w:snapToGrid w:val="0"/>
        <w:ind w:left="0" w:leftChars="0" w:right="0" w:rightChars="0"/>
        <w:jc w:val="right"/>
        <w:textAlignment w:val="auto"/>
        <w:rPr>
          <w:rFonts w:ascii="宋体" w:hAnsi="宋体" w:cs="宋体"/>
          <w:color w:val="auto"/>
          <w:szCs w:val="21"/>
          <w:highlight w:val="none"/>
        </w:rPr>
      </w:pPr>
      <w:r>
        <w:rPr>
          <w:rFonts w:hint="eastAsia" w:ascii="宋体" w:hAnsi="宋体" w:cs="宋体"/>
          <w:color w:val="auto"/>
          <w:szCs w:val="21"/>
          <w:highlight w:val="none"/>
        </w:rPr>
        <w:t>广东政通招标有限公司</w:t>
      </w:r>
    </w:p>
    <w:p w14:paraId="0003D6E2">
      <w:pPr>
        <w:keepNext w:val="0"/>
        <w:keepLines w:val="0"/>
        <w:pageBreakBefore w:val="0"/>
        <w:widowControl/>
        <w:kinsoku/>
        <w:wordWrap/>
        <w:overflowPunct/>
        <w:topLinePunct w:val="0"/>
        <w:autoSpaceDE/>
        <w:autoSpaceDN/>
        <w:bidi w:val="0"/>
        <w:adjustRightInd w:val="0"/>
        <w:snapToGrid w:val="0"/>
        <w:ind w:left="420" w:leftChars="0" w:right="0" w:rightChars="0" w:hanging="420" w:hangingChars="200"/>
        <w:jc w:val="right"/>
        <w:textAlignment w:val="auto"/>
        <w:rPr>
          <w:rFonts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p>
    <w:p w14:paraId="2E357D57">
      <w:pPr>
        <w:pStyle w:val="10"/>
        <w:rPr>
          <w:color w:val="auto"/>
          <w:sz w:val="21"/>
          <w:szCs w:val="21"/>
          <w:highlight w:val="none"/>
        </w:rPr>
      </w:pPr>
    </w:p>
    <w:p w14:paraId="18B3A8CB">
      <w:pPr>
        <w:rPr>
          <w:color w:val="auto"/>
          <w:sz w:val="28"/>
          <w:szCs w:val="28"/>
          <w:highlight w:val="none"/>
        </w:rPr>
      </w:pPr>
      <w:bookmarkStart w:id="5" w:name="_Toc28550"/>
      <w:r>
        <w:rPr>
          <w:rFonts w:hint="eastAsia"/>
          <w:color w:val="auto"/>
          <w:sz w:val="28"/>
          <w:szCs w:val="28"/>
          <w:highlight w:val="none"/>
        </w:rPr>
        <w:br w:type="page"/>
      </w:r>
    </w:p>
    <w:p w14:paraId="5785E631">
      <w:pPr>
        <w:pStyle w:val="3"/>
        <w:spacing w:before="0" w:after="0" w:line="240" w:lineRule="auto"/>
        <w:rPr>
          <w:color w:val="auto"/>
          <w:sz w:val="28"/>
          <w:szCs w:val="28"/>
          <w:highlight w:val="none"/>
        </w:rPr>
      </w:pPr>
      <w:bookmarkStart w:id="6" w:name="_Toc3467"/>
      <w:r>
        <w:rPr>
          <w:rFonts w:hint="eastAsia"/>
          <w:color w:val="auto"/>
          <w:sz w:val="28"/>
          <w:szCs w:val="28"/>
          <w:highlight w:val="none"/>
        </w:rPr>
        <w:t xml:space="preserve">第二部分 </w:t>
      </w:r>
      <w:bookmarkStart w:id="7" w:name="_Toc20683"/>
      <w:r>
        <w:rPr>
          <w:rFonts w:hint="eastAsia"/>
          <w:color w:val="auto"/>
          <w:sz w:val="28"/>
          <w:szCs w:val="28"/>
          <w:highlight w:val="none"/>
        </w:rPr>
        <w:t>投标资料表</w:t>
      </w:r>
      <w:bookmarkEnd w:id="5"/>
      <w:bookmarkEnd w:id="6"/>
      <w:bookmarkEnd w:id="7"/>
    </w:p>
    <w:tbl>
      <w:tblPr>
        <w:tblStyle w:val="30"/>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F4C48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6084916D">
            <w:pPr>
              <w:jc w:val="center"/>
              <w:rPr>
                <w:rFonts w:ascii="宋体" w:hAnsi="宋体"/>
                <w:color w:val="auto"/>
                <w:szCs w:val="21"/>
                <w:highlight w:val="none"/>
              </w:rPr>
            </w:pPr>
            <w:r>
              <w:rPr>
                <w:rFonts w:hint="eastAsia" w:ascii="宋体" w:hAnsi="宋体"/>
                <w:color w:val="auto"/>
                <w:szCs w:val="21"/>
                <w:highlight w:val="none"/>
              </w:rPr>
              <w:t>序号</w:t>
            </w:r>
          </w:p>
        </w:tc>
        <w:tc>
          <w:tcPr>
            <w:tcW w:w="7532" w:type="dxa"/>
            <w:gridSpan w:val="4"/>
            <w:vAlign w:val="center"/>
          </w:tcPr>
          <w:p w14:paraId="62C356D5">
            <w:pPr>
              <w:jc w:val="center"/>
              <w:rPr>
                <w:rFonts w:ascii="宋体" w:hAnsi="宋体"/>
                <w:b/>
                <w:color w:val="auto"/>
                <w:szCs w:val="21"/>
                <w:highlight w:val="none"/>
              </w:rPr>
            </w:pPr>
            <w:r>
              <w:rPr>
                <w:rFonts w:hint="eastAsia" w:ascii="宋体" w:hAnsi="宋体"/>
                <w:b/>
                <w:color w:val="auto"/>
                <w:szCs w:val="21"/>
                <w:highlight w:val="none"/>
              </w:rPr>
              <w:t>内容</w:t>
            </w:r>
          </w:p>
        </w:tc>
      </w:tr>
      <w:tr w14:paraId="4A70DBC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6A78D79">
            <w:pPr>
              <w:jc w:val="center"/>
              <w:rPr>
                <w:rFonts w:ascii="宋体" w:hAnsi="宋体"/>
                <w:b/>
                <w:color w:val="auto"/>
                <w:szCs w:val="21"/>
                <w:highlight w:val="none"/>
              </w:rPr>
            </w:pPr>
            <w:r>
              <w:rPr>
                <w:rFonts w:hint="eastAsia" w:ascii="宋体" w:hAnsi="宋体"/>
                <w:b/>
                <w:color w:val="auto"/>
                <w:szCs w:val="21"/>
                <w:highlight w:val="none"/>
              </w:rPr>
              <w:t>一、说明</w:t>
            </w:r>
          </w:p>
        </w:tc>
      </w:tr>
      <w:tr w14:paraId="12F32C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B1DC75">
            <w:pPr>
              <w:jc w:val="center"/>
              <w:rPr>
                <w:rFonts w:ascii="宋体" w:hAnsi="宋体"/>
                <w:color w:val="auto"/>
                <w:szCs w:val="21"/>
                <w:highlight w:val="none"/>
              </w:rPr>
            </w:pPr>
            <w:r>
              <w:rPr>
                <w:rFonts w:hint="eastAsia" w:ascii="宋体" w:hAnsi="宋体"/>
                <w:color w:val="auto"/>
                <w:szCs w:val="21"/>
                <w:highlight w:val="none"/>
              </w:rPr>
              <w:t>1</w:t>
            </w:r>
          </w:p>
        </w:tc>
        <w:tc>
          <w:tcPr>
            <w:tcW w:w="7532" w:type="dxa"/>
            <w:gridSpan w:val="4"/>
            <w:vAlign w:val="center"/>
          </w:tcPr>
          <w:p w14:paraId="5006CFF0">
            <w:pPr>
              <w:rPr>
                <w:rFonts w:ascii="宋体" w:hAnsi="宋体"/>
                <w:b/>
                <w:bCs/>
                <w:color w:val="auto"/>
                <w:szCs w:val="21"/>
                <w:highlight w:val="none"/>
              </w:rPr>
            </w:pPr>
            <w:r>
              <w:rPr>
                <w:rFonts w:hint="eastAsia" w:ascii="宋体" w:hAnsi="宋体"/>
                <w:b/>
                <w:bCs/>
                <w:color w:val="auto"/>
                <w:szCs w:val="21"/>
                <w:highlight w:val="none"/>
              </w:rPr>
              <w:t>项目类型</w:t>
            </w:r>
          </w:p>
        </w:tc>
      </w:tr>
      <w:tr w14:paraId="05DF5F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3BAF5CE">
            <w:pPr>
              <w:jc w:val="center"/>
              <w:rPr>
                <w:rFonts w:ascii="宋体" w:hAnsi="宋体"/>
                <w:color w:val="auto"/>
                <w:szCs w:val="21"/>
                <w:highlight w:val="none"/>
              </w:rPr>
            </w:pPr>
          </w:p>
        </w:tc>
        <w:tc>
          <w:tcPr>
            <w:tcW w:w="7532" w:type="dxa"/>
            <w:gridSpan w:val="4"/>
            <w:vAlign w:val="center"/>
          </w:tcPr>
          <w:p w14:paraId="1A86B3AB">
            <w:pPr>
              <w:rPr>
                <w:rFonts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2329AEB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3B5DF9A">
            <w:pPr>
              <w:jc w:val="center"/>
              <w:rPr>
                <w:rFonts w:ascii="宋体" w:hAnsi="宋体"/>
                <w:color w:val="auto"/>
                <w:szCs w:val="21"/>
                <w:highlight w:val="none"/>
              </w:rPr>
            </w:pPr>
          </w:p>
        </w:tc>
        <w:tc>
          <w:tcPr>
            <w:tcW w:w="7532" w:type="dxa"/>
            <w:gridSpan w:val="4"/>
            <w:vAlign w:val="center"/>
          </w:tcPr>
          <w:p w14:paraId="3E3EC16C">
            <w:pPr>
              <w:rPr>
                <w:rFonts w:hint="default" w:ascii="宋体" w:hAnsi="宋体"/>
                <w:bCs/>
                <w:color w:val="auto"/>
                <w:szCs w:val="21"/>
                <w:highlight w:val="none"/>
                <w:lang w:val="en-US"/>
              </w:rPr>
            </w:pPr>
            <w:r>
              <w:rPr>
                <w:rFonts w:hint="eastAsia" w:ascii="宋体" w:hAnsi="宋体"/>
                <w:bCs/>
                <w:color w:val="auto"/>
                <w:szCs w:val="21"/>
                <w:highlight w:val="none"/>
              </w:rPr>
              <w:t>所属行业：</w:t>
            </w:r>
            <w:r>
              <w:rPr>
                <w:rFonts w:hint="eastAsia" w:ascii="宋体" w:hAnsi="宋体"/>
                <w:bCs/>
                <w:color w:val="auto"/>
                <w:szCs w:val="21"/>
                <w:highlight w:val="none"/>
                <w:lang w:val="en-US" w:eastAsia="zh-CN"/>
              </w:rPr>
              <w:t>批发业</w:t>
            </w:r>
          </w:p>
        </w:tc>
      </w:tr>
      <w:tr w14:paraId="20F40F3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F66E33C">
            <w:pPr>
              <w:jc w:val="center"/>
              <w:rPr>
                <w:rFonts w:ascii="宋体" w:hAnsi="宋体"/>
                <w:color w:val="auto"/>
                <w:szCs w:val="21"/>
                <w:highlight w:val="none"/>
              </w:rPr>
            </w:pPr>
            <w:r>
              <w:rPr>
                <w:rFonts w:hint="eastAsia" w:ascii="宋体" w:hAnsi="宋体"/>
                <w:color w:val="auto"/>
                <w:szCs w:val="21"/>
                <w:highlight w:val="none"/>
              </w:rPr>
              <w:t>2</w:t>
            </w:r>
          </w:p>
        </w:tc>
        <w:tc>
          <w:tcPr>
            <w:tcW w:w="7532" w:type="dxa"/>
            <w:gridSpan w:val="4"/>
            <w:vAlign w:val="center"/>
          </w:tcPr>
          <w:p w14:paraId="307F8D8A">
            <w:pPr>
              <w:rPr>
                <w:rFonts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3F2F42B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E0F891C">
            <w:pPr>
              <w:jc w:val="center"/>
              <w:rPr>
                <w:rFonts w:ascii="宋体" w:hAnsi="宋体"/>
                <w:color w:val="auto"/>
                <w:szCs w:val="21"/>
                <w:highlight w:val="none"/>
              </w:rPr>
            </w:pPr>
          </w:p>
        </w:tc>
        <w:tc>
          <w:tcPr>
            <w:tcW w:w="7532" w:type="dxa"/>
            <w:gridSpan w:val="4"/>
            <w:vAlign w:val="center"/>
          </w:tcPr>
          <w:p w14:paraId="7014E27D">
            <w:pPr>
              <w:rPr>
                <w:rFonts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0D6F297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E6CBC8">
            <w:pPr>
              <w:jc w:val="center"/>
              <w:rPr>
                <w:rFonts w:ascii="宋体" w:hAnsi="宋体"/>
                <w:color w:val="auto"/>
                <w:szCs w:val="21"/>
                <w:highlight w:val="none"/>
              </w:rPr>
            </w:pPr>
            <w:r>
              <w:rPr>
                <w:rFonts w:hint="eastAsia" w:ascii="宋体" w:hAnsi="宋体"/>
                <w:color w:val="auto"/>
                <w:szCs w:val="21"/>
                <w:highlight w:val="none"/>
              </w:rPr>
              <w:t>3</w:t>
            </w:r>
          </w:p>
        </w:tc>
        <w:tc>
          <w:tcPr>
            <w:tcW w:w="7532" w:type="dxa"/>
            <w:gridSpan w:val="4"/>
            <w:vAlign w:val="center"/>
          </w:tcPr>
          <w:p w14:paraId="6B62D3F2">
            <w:pPr>
              <w:rPr>
                <w:rFonts w:ascii="宋体" w:hAnsi="宋体"/>
                <w:b/>
                <w:color w:val="auto"/>
                <w:szCs w:val="21"/>
                <w:highlight w:val="none"/>
              </w:rPr>
            </w:pPr>
            <w:r>
              <w:rPr>
                <w:rFonts w:hint="eastAsia" w:ascii="宋体" w:hAnsi="宋体"/>
                <w:b/>
                <w:bCs/>
                <w:color w:val="auto"/>
                <w:szCs w:val="21"/>
                <w:highlight w:val="none"/>
              </w:rPr>
              <w:t>资金来源</w:t>
            </w:r>
          </w:p>
        </w:tc>
      </w:tr>
      <w:tr w14:paraId="5FD840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7A7651D4">
            <w:pPr>
              <w:jc w:val="center"/>
              <w:rPr>
                <w:rFonts w:ascii="宋体" w:hAnsi="宋体"/>
                <w:color w:val="auto"/>
                <w:szCs w:val="21"/>
                <w:highlight w:val="none"/>
              </w:rPr>
            </w:pPr>
          </w:p>
        </w:tc>
        <w:tc>
          <w:tcPr>
            <w:tcW w:w="7532" w:type="dxa"/>
            <w:gridSpan w:val="4"/>
            <w:vAlign w:val="center"/>
          </w:tcPr>
          <w:p w14:paraId="54A8054B">
            <w:pPr>
              <w:rPr>
                <w:rFonts w:ascii="宋体" w:hAnsi="宋体"/>
                <w:b/>
                <w:color w:val="auto"/>
                <w:szCs w:val="21"/>
                <w:highlight w:val="none"/>
              </w:rPr>
            </w:pPr>
            <w:r>
              <w:rPr>
                <w:rFonts w:hint="eastAsia" w:ascii="宋体" w:hAnsi="宋体"/>
                <w:color w:val="auto"/>
                <w:szCs w:val="21"/>
                <w:highlight w:val="none"/>
              </w:rPr>
              <w:t>自</w:t>
            </w:r>
            <w:r>
              <w:rPr>
                <w:rFonts w:hint="eastAsia" w:ascii="宋体" w:hAnsi="宋体"/>
                <w:color w:val="auto"/>
                <w:szCs w:val="21"/>
                <w:highlight w:val="none"/>
                <w:lang w:val="en-US" w:eastAsia="zh-CN"/>
              </w:rPr>
              <w:t>有</w:t>
            </w:r>
            <w:r>
              <w:rPr>
                <w:rFonts w:hint="eastAsia" w:ascii="宋体" w:hAnsi="宋体"/>
                <w:color w:val="auto"/>
                <w:szCs w:val="21"/>
                <w:highlight w:val="none"/>
              </w:rPr>
              <w:t>资金。</w:t>
            </w:r>
          </w:p>
        </w:tc>
      </w:tr>
      <w:tr w14:paraId="6372D76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A15A9A4">
            <w:pPr>
              <w:jc w:val="center"/>
              <w:rPr>
                <w:rFonts w:ascii="宋体" w:hAnsi="宋体"/>
                <w:color w:val="auto"/>
                <w:szCs w:val="21"/>
                <w:highlight w:val="none"/>
              </w:rPr>
            </w:pPr>
            <w:r>
              <w:rPr>
                <w:rFonts w:hint="eastAsia" w:ascii="宋体" w:hAnsi="宋体"/>
                <w:color w:val="auto"/>
                <w:szCs w:val="21"/>
                <w:highlight w:val="none"/>
              </w:rPr>
              <w:t>4</w:t>
            </w:r>
          </w:p>
        </w:tc>
        <w:tc>
          <w:tcPr>
            <w:tcW w:w="7532" w:type="dxa"/>
            <w:gridSpan w:val="4"/>
            <w:vAlign w:val="center"/>
          </w:tcPr>
          <w:p w14:paraId="06594756">
            <w:pPr>
              <w:rPr>
                <w:rFonts w:ascii="宋体" w:hAnsi="宋体"/>
                <w:color w:val="auto"/>
                <w:szCs w:val="21"/>
                <w:highlight w:val="none"/>
              </w:rPr>
            </w:pPr>
            <w:r>
              <w:rPr>
                <w:rFonts w:hint="eastAsia" w:ascii="宋体" w:hAnsi="宋体"/>
                <w:b/>
                <w:bCs/>
                <w:color w:val="auto"/>
                <w:szCs w:val="21"/>
                <w:highlight w:val="none"/>
              </w:rPr>
              <w:t>项目最高限价（单位：元）</w:t>
            </w:r>
          </w:p>
        </w:tc>
      </w:tr>
      <w:tr w14:paraId="460A33B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68D2FF62">
            <w:pPr>
              <w:jc w:val="center"/>
              <w:rPr>
                <w:rFonts w:ascii="宋体" w:hAnsi="宋体"/>
                <w:color w:val="auto"/>
                <w:szCs w:val="21"/>
                <w:highlight w:val="none"/>
              </w:rPr>
            </w:pPr>
          </w:p>
        </w:tc>
        <w:tc>
          <w:tcPr>
            <w:tcW w:w="7532" w:type="dxa"/>
            <w:gridSpan w:val="4"/>
            <w:vAlign w:val="center"/>
          </w:tcPr>
          <w:p w14:paraId="1EEA04DA">
            <w:pPr>
              <w:rPr>
                <w:rFonts w:ascii="宋体" w:hAnsi="宋体"/>
                <w:color w:val="auto"/>
                <w:szCs w:val="21"/>
                <w:highlight w:val="none"/>
              </w:rPr>
            </w:pPr>
            <w:r>
              <w:rPr>
                <w:rFonts w:hint="eastAsia" w:ascii="宋体" w:hAnsi="宋体"/>
                <w:bCs/>
                <w:color w:val="auto"/>
                <w:szCs w:val="21"/>
                <w:highlight w:val="none"/>
              </w:rPr>
              <w:t>与项目预算一致。</w:t>
            </w:r>
          </w:p>
        </w:tc>
      </w:tr>
      <w:tr w14:paraId="354603E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61E7344">
            <w:pPr>
              <w:jc w:val="center"/>
              <w:rPr>
                <w:rFonts w:ascii="宋体" w:hAnsi="宋体"/>
                <w:color w:val="auto"/>
                <w:szCs w:val="21"/>
                <w:highlight w:val="none"/>
              </w:rPr>
            </w:pPr>
            <w:r>
              <w:rPr>
                <w:rFonts w:hint="eastAsia" w:ascii="宋体" w:hAnsi="宋体"/>
                <w:color w:val="auto"/>
                <w:szCs w:val="21"/>
                <w:highlight w:val="none"/>
              </w:rPr>
              <w:t>5</w:t>
            </w:r>
          </w:p>
        </w:tc>
        <w:tc>
          <w:tcPr>
            <w:tcW w:w="7532" w:type="dxa"/>
            <w:gridSpan w:val="4"/>
            <w:vAlign w:val="center"/>
          </w:tcPr>
          <w:p w14:paraId="614083E3">
            <w:pPr>
              <w:rPr>
                <w:rFonts w:ascii="宋体" w:hAnsi="宋体"/>
                <w:b/>
                <w:color w:val="auto"/>
                <w:szCs w:val="21"/>
                <w:highlight w:val="none"/>
              </w:rPr>
            </w:pPr>
            <w:r>
              <w:rPr>
                <w:rFonts w:hint="eastAsia" w:ascii="宋体" w:hAnsi="宋体"/>
                <w:b/>
                <w:color w:val="auto"/>
                <w:szCs w:val="21"/>
                <w:highlight w:val="none"/>
              </w:rPr>
              <w:t>踏勘现场</w:t>
            </w:r>
          </w:p>
        </w:tc>
      </w:tr>
      <w:tr w14:paraId="001D5B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B164FB">
            <w:pPr>
              <w:jc w:val="center"/>
              <w:rPr>
                <w:rFonts w:ascii="宋体" w:hAnsi="宋体"/>
                <w:color w:val="auto"/>
                <w:szCs w:val="21"/>
                <w:highlight w:val="none"/>
              </w:rPr>
            </w:pPr>
          </w:p>
        </w:tc>
        <w:tc>
          <w:tcPr>
            <w:tcW w:w="7532" w:type="dxa"/>
            <w:gridSpan w:val="4"/>
            <w:vAlign w:val="center"/>
          </w:tcPr>
          <w:p w14:paraId="72197356">
            <w:pPr>
              <w:rPr>
                <w:rFonts w:ascii="宋体" w:hAnsi="宋体"/>
                <w:b/>
                <w:color w:val="auto"/>
                <w:szCs w:val="21"/>
                <w:highlight w:val="none"/>
              </w:rPr>
            </w:pPr>
            <w:r>
              <w:rPr>
                <w:rFonts w:hint="eastAsia" w:ascii="宋体" w:hAnsi="宋体"/>
                <w:bCs/>
                <w:color w:val="auto"/>
                <w:szCs w:val="21"/>
                <w:highlight w:val="none"/>
              </w:rPr>
              <w:t>本项目不组织踏勘现场。</w:t>
            </w:r>
          </w:p>
        </w:tc>
      </w:tr>
      <w:tr w14:paraId="216048A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26D8AE5A">
            <w:pPr>
              <w:jc w:val="center"/>
              <w:rPr>
                <w:rFonts w:ascii="宋体" w:hAnsi="宋体"/>
                <w:color w:val="auto"/>
                <w:szCs w:val="21"/>
                <w:highlight w:val="none"/>
              </w:rPr>
            </w:pPr>
            <w:r>
              <w:rPr>
                <w:rFonts w:hint="eastAsia" w:ascii="宋体" w:hAnsi="宋体"/>
                <w:color w:val="auto"/>
                <w:szCs w:val="21"/>
                <w:highlight w:val="none"/>
              </w:rPr>
              <w:t>6</w:t>
            </w:r>
          </w:p>
        </w:tc>
        <w:tc>
          <w:tcPr>
            <w:tcW w:w="7532" w:type="dxa"/>
            <w:gridSpan w:val="4"/>
            <w:vAlign w:val="center"/>
          </w:tcPr>
          <w:p w14:paraId="3B076E74">
            <w:pPr>
              <w:jc w:val="center"/>
              <w:rPr>
                <w:rFonts w:ascii="宋体" w:hAnsi="宋体"/>
                <w:b/>
                <w:color w:val="auto"/>
                <w:szCs w:val="21"/>
                <w:highlight w:val="none"/>
              </w:rPr>
            </w:pPr>
            <w:r>
              <w:rPr>
                <w:rFonts w:hint="eastAsia" w:ascii="宋体" w:hAnsi="宋体"/>
                <w:b/>
                <w:color w:val="auto"/>
                <w:szCs w:val="21"/>
                <w:highlight w:val="none"/>
              </w:rPr>
              <w:t>招标信息发布网站</w:t>
            </w:r>
          </w:p>
        </w:tc>
      </w:tr>
      <w:tr w14:paraId="3974F23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39579020">
            <w:pPr>
              <w:jc w:val="center"/>
              <w:rPr>
                <w:rFonts w:ascii="宋体" w:hAnsi="宋体"/>
                <w:color w:val="auto"/>
                <w:szCs w:val="21"/>
                <w:highlight w:val="none"/>
              </w:rPr>
            </w:pPr>
          </w:p>
        </w:tc>
        <w:tc>
          <w:tcPr>
            <w:tcW w:w="3841" w:type="dxa"/>
            <w:gridSpan w:val="3"/>
            <w:vAlign w:val="center"/>
          </w:tcPr>
          <w:p w14:paraId="74EA49EE">
            <w:pPr>
              <w:jc w:val="center"/>
              <w:rPr>
                <w:rFonts w:ascii="宋体" w:hAnsi="宋体"/>
                <w:b/>
                <w:color w:val="auto"/>
                <w:szCs w:val="21"/>
                <w:highlight w:val="none"/>
              </w:rPr>
            </w:pPr>
            <w:r>
              <w:rPr>
                <w:rFonts w:hint="eastAsia" w:ascii="宋体" w:hAnsi="宋体"/>
                <w:b/>
                <w:bCs/>
                <w:color w:val="auto"/>
                <w:szCs w:val="21"/>
                <w:highlight w:val="none"/>
              </w:rPr>
              <w:t>政通招标网</w:t>
            </w:r>
          </w:p>
        </w:tc>
        <w:tc>
          <w:tcPr>
            <w:tcW w:w="3691" w:type="dxa"/>
            <w:vAlign w:val="center"/>
          </w:tcPr>
          <w:p w14:paraId="41EE6CC2">
            <w:pPr>
              <w:jc w:val="center"/>
              <w:rPr>
                <w:rFonts w:ascii="宋体" w:hAnsi="宋体"/>
                <w:b/>
                <w:color w:val="auto"/>
                <w:szCs w:val="21"/>
                <w:highlight w:val="none"/>
              </w:rPr>
            </w:pPr>
            <w:r>
              <w:rPr>
                <w:rFonts w:hint="eastAsia" w:ascii="宋体" w:hAnsi="宋体"/>
                <w:b/>
                <w:color w:val="auto"/>
                <w:szCs w:val="21"/>
                <w:highlight w:val="none"/>
              </w:rPr>
              <w:t>中国</w:t>
            </w:r>
            <w:r>
              <w:rPr>
                <w:rFonts w:hint="eastAsia" w:ascii="宋体" w:hAnsi="宋体"/>
                <w:b/>
                <w:color w:val="auto"/>
                <w:szCs w:val="21"/>
                <w:highlight w:val="none"/>
                <w:lang w:val="en-US" w:eastAsia="zh-CN"/>
              </w:rPr>
              <w:t>采购与招标网</w:t>
            </w:r>
          </w:p>
        </w:tc>
      </w:tr>
      <w:tr w14:paraId="5495BDA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92E708F">
            <w:pPr>
              <w:jc w:val="center"/>
              <w:rPr>
                <w:rFonts w:ascii="宋体" w:hAnsi="宋体"/>
                <w:color w:val="auto"/>
                <w:szCs w:val="21"/>
                <w:highlight w:val="none"/>
              </w:rPr>
            </w:pPr>
          </w:p>
        </w:tc>
        <w:tc>
          <w:tcPr>
            <w:tcW w:w="3841" w:type="dxa"/>
            <w:gridSpan w:val="3"/>
            <w:vAlign w:val="center"/>
          </w:tcPr>
          <w:p w14:paraId="005D4446">
            <w:pPr>
              <w:jc w:val="center"/>
              <w:rPr>
                <w:rFonts w:ascii="宋体" w:hAnsi="宋体"/>
                <w:b/>
                <w:color w:val="auto"/>
                <w:szCs w:val="21"/>
                <w:highlight w:val="none"/>
              </w:rPr>
            </w:pPr>
            <w:r>
              <w:rPr>
                <w:rFonts w:hint="eastAsia" w:ascii="宋体" w:hAnsi="宋体"/>
                <w:color w:val="auto"/>
                <w:szCs w:val="21"/>
                <w:highlight w:val="none"/>
              </w:rPr>
              <w:t>http://www.zttendering.com/</w:t>
            </w:r>
          </w:p>
        </w:tc>
        <w:tc>
          <w:tcPr>
            <w:tcW w:w="3691" w:type="dxa"/>
            <w:vAlign w:val="center"/>
          </w:tcPr>
          <w:p w14:paraId="0F497DDB">
            <w:pPr>
              <w:jc w:val="center"/>
              <w:rPr>
                <w:rFonts w:ascii="宋体" w:hAnsi="宋体"/>
                <w:b/>
                <w:color w:val="auto"/>
                <w:szCs w:val="21"/>
                <w:highlight w:val="none"/>
              </w:rPr>
            </w:pPr>
            <w:r>
              <w:rPr>
                <w:rFonts w:hint="eastAsia" w:ascii="宋体" w:hAnsi="宋体"/>
                <w:bCs/>
                <w:color w:val="auto"/>
                <w:szCs w:val="21"/>
                <w:highlight w:val="none"/>
              </w:rPr>
              <w:t>https://www.chinabidding.com.cn</w:t>
            </w:r>
          </w:p>
        </w:tc>
      </w:tr>
      <w:tr w14:paraId="1244B49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1D7DB00A">
            <w:pPr>
              <w:jc w:val="center"/>
              <w:rPr>
                <w:rFonts w:ascii="宋体" w:hAnsi="宋体"/>
                <w:b/>
                <w:color w:val="auto"/>
                <w:szCs w:val="21"/>
                <w:highlight w:val="none"/>
              </w:rPr>
            </w:pPr>
            <w:r>
              <w:rPr>
                <w:rFonts w:hint="eastAsia" w:ascii="宋体" w:hAnsi="宋体"/>
                <w:b/>
                <w:color w:val="auto"/>
                <w:szCs w:val="21"/>
                <w:highlight w:val="none"/>
              </w:rPr>
              <w:t>二、投标文件的编制</w:t>
            </w:r>
          </w:p>
        </w:tc>
      </w:tr>
      <w:tr w14:paraId="676056B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5613DAD">
            <w:pPr>
              <w:jc w:val="center"/>
              <w:rPr>
                <w:rFonts w:ascii="宋体" w:hAnsi="宋体"/>
                <w:color w:val="auto"/>
                <w:szCs w:val="21"/>
                <w:highlight w:val="none"/>
              </w:rPr>
            </w:pPr>
            <w:r>
              <w:rPr>
                <w:rFonts w:hint="eastAsia" w:ascii="宋体" w:hAnsi="宋体"/>
                <w:color w:val="auto"/>
                <w:szCs w:val="21"/>
                <w:highlight w:val="none"/>
              </w:rPr>
              <w:t>7</w:t>
            </w:r>
          </w:p>
        </w:tc>
        <w:tc>
          <w:tcPr>
            <w:tcW w:w="7532" w:type="dxa"/>
            <w:gridSpan w:val="4"/>
            <w:vAlign w:val="center"/>
          </w:tcPr>
          <w:p w14:paraId="463D4869">
            <w:pPr>
              <w:rPr>
                <w:rFonts w:ascii="宋体" w:hAnsi="宋体"/>
                <w:b/>
                <w:color w:val="auto"/>
                <w:szCs w:val="21"/>
                <w:highlight w:val="none"/>
              </w:rPr>
            </w:pPr>
            <w:r>
              <w:rPr>
                <w:rFonts w:hint="eastAsia" w:ascii="宋体" w:hAnsi="宋体"/>
                <w:b/>
                <w:color w:val="auto"/>
                <w:szCs w:val="21"/>
                <w:highlight w:val="none"/>
              </w:rPr>
              <w:t>投标语言</w:t>
            </w:r>
          </w:p>
        </w:tc>
      </w:tr>
      <w:tr w14:paraId="4C5B087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2B74AA7">
            <w:pPr>
              <w:jc w:val="center"/>
              <w:rPr>
                <w:rFonts w:ascii="宋体" w:hAnsi="宋体"/>
                <w:color w:val="auto"/>
                <w:szCs w:val="21"/>
                <w:highlight w:val="none"/>
              </w:rPr>
            </w:pPr>
          </w:p>
        </w:tc>
        <w:tc>
          <w:tcPr>
            <w:tcW w:w="7532" w:type="dxa"/>
            <w:gridSpan w:val="4"/>
            <w:vAlign w:val="center"/>
          </w:tcPr>
          <w:p w14:paraId="1E34F7BE">
            <w:pPr>
              <w:rPr>
                <w:rFonts w:ascii="宋体" w:hAnsi="宋体"/>
                <w:b/>
                <w:color w:val="auto"/>
                <w:szCs w:val="21"/>
                <w:highlight w:val="none"/>
              </w:rPr>
            </w:pPr>
            <w:r>
              <w:rPr>
                <w:rFonts w:hint="eastAsia" w:ascii="宋体" w:hAnsi="宋体"/>
                <w:color w:val="auto"/>
                <w:szCs w:val="21"/>
                <w:highlight w:val="none"/>
              </w:rPr>
              <w:t>中文。</w:t>
            </w:r>
          </w:p>
        </w:tc>
      </w:tr>
      <w:tr w14:paraId="3DE5E91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34191B9">
            <w:pPr>
              <w:jc w:val="center"/>
              <w:rPr>
                <w:rFonts w:ascii="宋体" w:hAnsi="宋体"/>
                <w:color w:val="auto"/>
                <w:szCs w:val="21"/>
                <w:highlight w:val="none"/>
              </w:rPr>
            </w:pPr>
            <w:r>
              <w:rPr>
                <w:rFonts w:hint="eastAsia" w:ascii="宋体" w:hAnsi="宋体"/>
                <w:color w:val="auto"/>
                <w:szCs w:val="21"/>
                <w:highlight w:val="none"/>
              </w:rPr>
              <w:t>8</w:t>
            </w:r>
          </w:p>
        </w:tc>
        <w:tc>
          <w:tcPr>
            <w:tcW w:w="7532" w:type="dxa"/>
            <w:gridSpan w:val="4"/>
            <w:vAlign w:val="center"/>
          </w:tcPr>
          <w:p w14:paraId="177C0FD4">
            <w:pPr>
              <w:jc w:val="both"/>
              <w:rPr>
                <w:rFonts w:ascii="宋体" w:hAnsi="宋体"/>
                <w:b/>
                <w:color w:val="auto"/>
                <w:szCs w:val="21"/>
                <w:highlight w:val="none"/>
              </w:rPr>
            </w:pPr>
            <w:r>
              <w:rPr>
                <w:rFonts w:hint="eastAsia" w:ascii="宋体" w:hAnsi="宋体"/>
                <w:b/>
                <w:color w:val="auto"/>
                <w:szCs w:val="21"/>
                <w:highlight w:val="none"/>
              </w:rPr>
              <w:t>投标报价</w:t>
            </w:r>
          </w:p>
        </w:tc>
      </w:tr>
      <w:tr w14:paraId="763AC97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BE67894">
            <w:pPr>
              <w:jc w:val="center"/>
              <w:rPr>
                <w:rFonts w:ascii="宋体" w:hAnsi="宋体"/>
                <w:color w:val="auto"/>
                <w:szCs w:val="21"/>
                <w:highlight w:val="none"/>
              </w:rPr>
            </w:pPr>
          </w:p>
        </w:tc>
        <w:tc>
          <w:tcPr>
            <w:tcW w:w="7532" w:type="dxa"/>
            <w:gridSpan w:val="4"/>
            <w:vAlign w:val="center"/>
          </w:tcPr>
          <w:p w14:paraId="1C703180">
            <w:pPr>
              <w:jc w:val="both"/>
              <w:rPr>
                <w:rFonts w:ascii="宋体" w:hAnsi="宋体"/>
                <w:b/>
                <w:color w:val="auto"/>
                <w:szCs w:val="21"/>
                <w:highlight w:val="none"/>
              </w:rPr>
            </w:pPr>
            <w:r>
              <w:rPr>
                <w:rFonts w:hint="eastAsia" w:ascii="宋体" w:hAnsi="宋体"/>
                <w:color w:val="auto"/>
                <w:szCs w:val="21"/>
                <w:highlight w:val="none"/>
              </w:rPr>
              <w:t>详见投标人须知。</w:t>
            </w:r>
          </w:p>
        </w:tc>
      </w:tr>
      <w:tr w14:paraId="0256986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CEA0C5C">
            <w:pPr>
              <w:jc w:val="center"/>
              <w:rPr>
                <w:rFonts w:ascii="宋体" w:hAnsi="宋体"/>
                <w:color w:val="auto"/>
                <w:szCs w:val="21"/>
                <w:highlight w:val="none"/>
              </w:rPr>
            </w:pPr>
            <w:r>
              <w:rPr>
                <w:rFonts w:hint="eastAsia" w:ascii="宋体" w:hAnsi="宋体"/>
                <w:color w:val="auto"/>
                <w:szCs w:val="21"/>
                <w:highlight w:val="none"/>
              </w:rPr>
              <w:t>9</w:t>
            </w:r>
          </w:p>
        </w:tc>
        <w:tc>
          <w:tcPr>
            <w:tcW w:w="7532" w:type="dxa"/>
            <w:gridSpan w:val="4"/>
            <w:vAlign w:val="center"/>
          </w:tcPr>
          <w:p w14:paraId="427EED78">
            <w:pPr>
              <w:jc w:val="both"/>
              <w:rPr>
                <w:rFonts w:ascii="宋体" w:hAnsi="宋体"/>
                <w:b/>
                <w:color w:val="auto"/>
                <w:szCs w:val="21"/>
                <w:highlight w:val="none"/>
              </w:rPr>
            </w:pPr>
            <w:r>
              <w:rPr>
                <w:rFonts w:hint="eastAsia" w:ascii="宋体" w:hAnsi="宋体"/>
                <w:b/>
                <w:color w:val="auto"/>
                <w:szCs w:val="21"/>
                <w:highlight w:val="none"/>
              </w:rPr>
              <w:t>投标样品</w:t>
            </w:r>
          </w:p>
        </w:tc>
      </w:tr>
      <w:tr w14:paraId="0E388A8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250C654">
            <w:pPr>
              <w:jc w:val="center"/>
              <w:rPr>
                <w:rFonts w:ascii="宋体" w:hAnsi="宋体"/>
                <w:color w:val="auto"/>
                <w:szCs w:val="21"/>
                <w:highlight w:val="none"/>
              </w:rPr>
            </w:pPr>
          </w:p>
        </w:tc>
        <w:tc>
          <w:tcPr>
            <w:tcW w:w="7532" w:type="dxa"/>
            <w:gridSpan w:val="4"/>
            <w:vAlign w:val="center"/>
          </w:tcPr>
          <w:p w14:paraId="3A1BBAE8">
            <w:pPr>
              <w:jc w:val="both"/>
              <w:rPr>
                <w:rFonts w:ascii="宋体" w:hAnsi="宋体"/>
                <w:b/>
                <w:color w:val="auto"/>
                <w:szCs w:val="21"/>
                <w:highlight w:val="none"/>
              </w:rPr>
            </w:pPr>
            <w:r>
              <w:rPr>
                <w:rFonts w:hint="eastAsia" w:ascii="宋体" w:hAnsi="宋体"/>
                <w:color w:val="auto"/>
                <w:szCs w:val="21"/>
                <w:highlight w:val="none"/>
              </w:rPr>
              <w:t>详见用户需求。</w:t>
            </w:r>
          </w:p>
        </w:tc>
      </w:tr>
      <w:tr w14:paraId="516B3C2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262A90E8">
            <w:pPr>
              <w:jc w:val="center"/>
              <w:rPr>
                <w:rFonts w:ascii="宋体" w:hAnsi="宋体"/>
                <w:color w:val="auto"/>
                <w:szCs w:val="21"/>
                <w:highlight w:val="none"/>
              </w:rPr>
            </w:pPr>
            <w:r>
              <w:rPr>
                <w:rFonts w:hint="eastAsia" w:ascii="宋体" w:hAnsi="宋体"/>
                <w:color w:val="auto"/>
                <w:szCs w:val="21"/>
                <w:highlight w:val="none"/>
              </w:rPr>
              <w:t>10</w:t>
            </w:r>
          </w:p>
        </w:tc>
        <w:tc>
          <w:tcPr>
            <w:tcW w:w="7532" w:type="dxa"/>
            <w:gridSpan w:val="4"/>
            <w:vAlign w:val="center"/>
          </w:tcPr>
          <w:p w14:paraId="778963CA">
            <w:pPr>
              <w:jc w:val="both"/>
              <w:rPr>
                <w:rFonts w:ascii="宋体" w:hAnsi="宋体"/>
                <w:color w:val="auto"/>
                <w:szCs w:val="21"/>
                <w:highlight w:val="none"/>
              </w:rPr>
            </w:pPr>
            <w:r>
              <w:rPr>
                <w:rFonts w:hint="eastAsia" w:ascii="宋体" w:hAnsi="宋体"/>
                <w:b/>
                <w:color w:val="auto"/>
                <w:szCs w:val="21"/>
                <w:highlight w:val="none"/>
              </w:rPr>
              <w:t>核心产品</w:t>
            </w:r>
          </w:p>
        </w:tc>
      </w:tr>
      <w:tr w14:paraId="24612A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6F07F4A">
            <w:pPr>
              <w:jc w:val="both"/>
              <w:rPr>
                <w:rFonts w:ascii="宋体" w:hAnsi="宋体"/>
                <w:color w:val="auto"/>
                <w:szCs w:val="21"/>
                <w:highlight w:val="none"/>
              </w:rPr>
            </w:pPr>
          </w:p>
        </w:tc>
        <w:tc>
          <w:tcPr>
            <w:tcW w:w="7532" w:type="dxa"/>
            <w:gridSpan w:val="4"/>
            <w:vAlign w:val="center"/>
          </w:tcPr>
          <w:p w14:paraId="74B82500">
            <w:pPr>
              <w:jc w:val="both"/>
              <w:rPr>
                <w:rFonts w:ascii="宋体" w:hAnsi="宋体"/>
                <w:color w:val="auto"/>
                <w:szCs w:val="21"/>
                <w:highlight w:val="none"/>
              </w:rPr>
            </w:pPr>
            <w:r>
              <w:rPr>
                <w:rFonts w:hint="eastAsia" w:ascii="宋体" w:hAnsi="宋体"/>
                <w:color w:val="auto"/>
                <w:szCs w:val="21"/>
                <w:highlight w:val="none"/>
              </w:rPr>
              <w:t>“●”为核心产品</w:t>
            </w:r>
          </w:p>
        </w:tc>
      </w:tr>
      <w:tr w14:paraId="7A3FAB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04B70D70">
            <w:pPr>
              <w:jc w:val="center"/>
              <w:rPr>
                <w:rFonts w:ascii="宋体" w:hAnsi="宋体"/>
                <w:color w:val="auto"/>
                <w:szCs w:val="21"/>
                <w:highlight w:val="none"/>
              </w:rPr>
            </w:pPr>
            <w:r>
              <w:rPr>
                <w:rFonts w:hint="eastAsia" w:ascii="宋体" w:hAnsi="宋体"/>
                <w:color w:val="auto"/>
                <w:szCs w:val="21"/>
                <w:highlight w:val="none"/>
              </w:rPr>
              <w:t>11</w:t>
            </w:r>
          </w:p>
        </w:tc>
        <w:tc>
          <w:tcPr>
            <w:tcW w:w="7532" w:type="dxa"/>
            <w:gridSpan w:val="4"/>
            <w:vAlign w:val="center"/>
          </w:tcPr>
          <w:p w14:paraId="387C3AC5">
            <w:pPr>
              <w:jc w:val="both"/>
              <w:rPr>
                <w:rFonts w:ascii="宋体" w:hAnsi="宋体"/>
                <w:b/>
                <w:color w:val="auto"/>
                <w:szCs w:val="21"/>
                <w:highlight w:val="none"/>
              </w:rPr>
            </w:pPr>
            <w:r>
              <w:rPr>
                <w:rFonts w:hint="eastAsia" w:ascii="宋体" w:hAnsi="宋体"/>
                <w:b/>
                <w:color w:val="auto"/>
                <w:szCs w:val="21"/>
                <w:highlight w:val="none"/>
              </w:rPr>
              <w:t>投标保证金：本项目不需提供投标保证金</w:t>
            </w:r>
          </w:p>
        </w:tc>
      </w:tr>
      <w:tr w14:paraId="0AFA4D6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67A75FB">
            <w:pPr>
              <w:jc w:val="center"/>
              <w:rPr>
                <w:rFonts w:ascii="宋体" w:hAnsi="宋体"/>
                <w:color w:val="auto"/>
                <w:szCs w:val="21"/>
                <w:highlight w:val="none"/>
              </w:rPr>
            </w:pPr>
            <w:r>
              <w:rPr>
                <w:rFonts w:hint="eastAsia" w:ascii="宋体" w:hAnsi="宋体"/>
                <w:color w:val="auto"/>
                <w:szCs w:val="21"/>
                <w:highlight w:val="none"/>
              </w:rPr>
              <w:t>12</w:t>
            </w:r>
          </w:p>
        </w:tc>
        <w:tc>
          <w:tcPr>
            <w:tcW w:w="7532" w:type="dxa"/>
            <w:gridSpan w:val="4"/>
            <w:vAlign w:val="center"/>
          </w:tcPr>
          <w:p w14:paraId="10A2DC92">
            <w:pPr>
              <w:jc w:val="both"/>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投标有效期</w:t>
            </w:r>
          </w:p>
        </w:tc>
      </w:tr>
      <w:tr w14:paraId="2975C6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D95F39D">
            <w:pPr>
              <w:jc w:val="center"/>
              <w:rPr>
                <w:rFonts w:ascii="宋体" w:hAnsi="宋体"/>
                <w:color w:val="auto"/>
                <w:szCs w:val="21"/>
                <w:highlight w:val="none"/>
              </w:rPr>
            </w:pPr>
          </w:p>
        </w:tc>
        <w:tc>
          <w:tcPr>
            <w:tcW w:w="7532" w:type="dxa"/>
            <w:gridSpan w:val="4"/>
            <w:vAlign w:val="center"/>
          </w:tcPr>
          <w:p w14:paraId="1958B5C5">
            <w:pPr>
              <w:jc w:val="both"/>
              <w:rPr>
                <w:rFonts w:ascii="宋体" w:hAnsi="宋体"/>
                <w:b/>
                <w:color w:val="auto"/>
                <w:szCs w:val="21"/>
                <w:highlight w:val="none"/>
              </w:rPr>
            </w:pPr>
            <w:r>
              <w:rPr>
                <w:rFonts w:hint="eastAsia" w:ascii="宋体" w:hAnsi="宋体"/>
                <w:color w:val="auto"/>
                <w:szCs w:val="21"/>
                <w:highlight w:val="none"/>
              </w:rPr>
              <w:t>九十天。</w:t>
            </w:r>
          </w:p>
        </w:tc>
      </w:tr>
      <w:tr w14:paraId="0BEF6D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6F354077">
            <w:pPr>
              <w:jc w:val="center"/>
              <w:rPr>
                <w:rFonts w:ascii="宋体" w:hAnsi="宋体"/>
                <w:color w:val="auto"/>
                <w:szCs w:val="21"/>
                <w:highlight w:val="none"/>
              </w:rPr>
            </w:pPr>
            <w:r>
              <w:rPr>
                <w:rFonts w:hint="eastAsia" w:ascii="宋体" w:hAnsi="宋体"/>
                <w:color w:val="auto"/>
                <w:szCs w:val="21"/>
                <w:highlight w:val="none"/>
              </w:rPr>
              <w:t>13</w:t>
            </w:r>
          </w:p>
        </w:tc>
        <w:tc>
          <w:tcPr>
            <w:tcW w:w="7532" w:type="dxa"/>
            <w:gridSpan w:val="4"/>
            <w:vAlign w:val="center"/>
          </w:tcPr>
          <w:p w14:paraId="5832CA0D">
            <w:pPr>
              <w:jc w:val="center"/>
              <w:rPr>
                <w:rFonts w:ascii="宋体" w:hAnsi="宋体"/>
                <w:color w:val="auto"/>
                <w:szCs w:val="21"/>
                <w:highlight w:val="none"/>
              </w:rPr>
            </w:pPr>
            <w:r>
              <w:rPr>
                <w:rFonts w:hint="eastAsia" w:ascii="宋体" w:hAnsi="宋体"/>
                <w:b/>
                <w:color w:val="auto"/>
                <w:szCs w:val="21"/>
                <w:highlight w:val="none"/>
              </w:rPr>
              <w:t>信用信息查询渠道</w:t>
            </w:r>
          </w:p>
        </w:tc>
      </w:tr>
      <w:tr w14:paraId="5D701C8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E3EF525">
            <w:pPr>
              <w:jc w:val="center"/>
              <w:rPr>
                <w:rFonts w:ascii="宋体" w:hAnsi="宋体"/>
                <w:color w:val="auto"/>
                <w:szCs w:val="21"/>
                <w:highlight w:val="none"/>
              </w:rPr>
            </w:pPr>
          </w:p>
        </w:tc>
        <w:tc>
          <w:tcPr>
            <w:tcW w:w="3766" w:type="dxa"/>
            <w:gridSpan w:val="2"/>
            <w:vAlign w:val="center"/>
          </w:tcPr>
          <w:p w14:paraId="2F2D6297">
            <w:pPr>
              <w:jc w:val="center"/>
              <w:rPr>
                <w:rFonts w:ascii="宋体" w:hAnsi="宋体"/>
                <w:b/>
                <w:color w:val="auto"/>
                <w:szCs w:val="21"/>
                <w:highlight w:val="none"/>
              </w:rPr>
            </w:pPr>
            <w:r>
              <w:rPr>
                <w:rFonts w:hint="eastAsia" w:ascii="宋体" w:hAnsi="宋体"/>
                <w:b/>
                <w:color w:val="auto"/>
                <w:szCs w:val="21"/>
                <w:highlight w:val="none"/>
              </w:rPr>
              <w:t>信用中国</w:t>
            </w:r>
          </w:p>
        </w:tc>
        <w:tc>
          <w:tcPr>
            <w:tcW w:w="3766" w:type="dxa"/>
            <w:gridSpan w:val="2"/>
            <w:vAlign w:val="center"/>
          </w:tcPr>
          <w:p w14:paraId="7264BD2A">
            <w:pPr>
              <w:jc w:val="center"/>
              <w:rPr>
                <w:rFonts w:ascii="宋体" w:hAnsi="宋体"/>
                <w:b/>
                <w:color w:val="auto"/>
                <w:szCs w:val="21"/>
                <w:highlight w:val="none"/>
              </w:rPr>
            </w:pPr>
            <w:r>
              <w:rPr>
                <w:rFonts w:hint="eastAsia" w:ascii="宋体" w:hAnsi="宋体"/>
                <w:b/>
                <w:color w:val="auto"/>
                <w:szCs w:val="21"/>
                <w:highlight w:val="none"/>
              </w:rPr>
              <w:t>中国政府采购网</w:t>
            </w:r>
          </w:p>
        </w:tc>
      </w:tr>
      <w:tr w14:paraId="053D7C8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E70D1B0">
            <w:pPr>
              <w:jc w:val="center"/>
              <w:rPr>
                <w:rFonts w:ascii="宋体" w:hAnsi="宋体"/>
                <w:color w:val="auto"/>
                <w:szCs w:val="21"/>
                <w:highlight w:val="none"/>
              </w:rPr>
            </w:pPr>
          </w:p>
        </w:tc>
        <w:tc>
          <w:tcPr>
            <w:tcW w:w="3766" w:type="dxa"/>
            <w:gridSpan w:val="2"/>
            <w:vAlign w:val="center"/>
          </w:tcPr>
          <w:p w14:paraId="4681BAFB">
            <w:pPr>
              <w:jc w:val="center"/>
              <w:rPr>
                <w:rFonts w:ascii="宋体" w:hAnsi="宋体"/>
                <w:color w:val="auto"/>
                <w:szCs w:val="21"/>
                <w:highlight w:val="none"/>
              </w:rPr>
            </w:pPr>
            <w:r>
              <w:rPr>
                <w:rFonts w:hint="eastAsia" w:ascii="宋体" w:hAnsi="宋体"/>
                <w:color w:val="auto"/>
                <w:szCs w:val="21"/>
                <w:highlight w:val="none"/>
              </w:rPr>
              <w:t>https://www.creditchina.gov.cn/</w:t>
            </w:r>
          </w:p>
        </w:tc>
        <w:tc>
          <w:tcPr>
            <w:tcW w:w="3766" w:type="dxa"/>
            <w:gridSpan w:val="2"/>
            <w:vAlign w:val="center"/>
          </w:tcPr>
          <w:p w14:paraId="21BCD37A">
            <w:pPr>
              <w:jc w:val="center"/>
              <w:rPr>
                <w:rFonts w:ascii="宋体" w:hAnsi="宋体"/>
                <w:color w:val="auto"/>
                <w:szCs w:val="21"/>
                <w:highlight w:val="none"/>
              </w:rPr>
            </w:pPr>
            <w:r>
              <w:rPr>
                <w:rFonts w:ascii="宋体" w:hAnsi="宋体"/>
                <w:color w:val="auto"/>
                <w:szCs w:val="21"/>
                <w:highlight w:val="none"/>
              </w:rPr>
              <w:t>http://www.ccgp.gov.cn/</w:t>
            </w:r>
          </w:p>
        </w:tc>
      </w:tr>
      <w:tr w14:paraId="4BF63E2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7E200A82">
            <w:pPr>
              <w:jc w:val="center"/>
              <w:rPr>
                <w:rFonts w:ascii="宋体" w:hAnsi="宋体"/>
                <w:color w:val="auto"/>
                <w:szCs w:val="21"/>
                <w:highlight w:val="none"/>
              </w:rPr>
            </w:pPr>
            <w:r>
              <w:rPr>
                <w:rFonts w:hint="eastAsia" w:ascii="宋体" w:hAnsi="宋体"/>
                <w:color w:val="auto"/>
                <w:szCs w:val="21"/>
                <w:highlight w:val="none"/>
              </w:rPr>
              <w:t>14</w:t>
            </w:r>
          </w:p>
        </w:tc>
        <w:tc>
          <w:tcPr>
            <w:tcW w:w="7532" w:type="dxa"/>
            <w:gridSpan w:val="4"/>
            <w:vAlign w:val="center"/>
          </w:tcPr>
          <w:p w14:paraId="22DE43AF">
            <w:pPr>
              <w:jc w:val="center"/>
              <w:rPr>
                <w:rFonts w:ascii="宋体" w:hAnsi="宋体"/>
                <w:b/>
                <w:color w:val="auto"/>
                <w:szCs w:val="21"/>
                <w:highlight w:val="none"/>
              </w:rPr>
            </w:pPr>
            <w:r>
              <w:rPr>
                <w:rFonts w:hint="eastAsia" w:ascii="宋体" w:hAnsi="宋体"/>
                <w:b/>
                <w:color w:val="auto"/>
                <w:szCs w:val="21"/>
                <w:highlight w:val="none"/>
              </w:rPr>
              <w:t>投标人应提交以下投标文件</w:t>
            </w:r>
          </w:p>
        </w:tc>
      </w:tr>
      <w:tr w14:paraId="3FA35DB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25B4B26">
            <w:pPr>
              <w:jc w:val="center"/>
              <w:rPr>
                <w:rFonts w:ascii="宋体" w:hAnsi="宋体"/>
                <w:color w:val="auto"/>
                <w:szCs w:val="21"/>
                <w:highlight w:val="none"/>
              </w:rPr>
            </w:pPr>
          </w:p>
        </w:tc>
        <w:tc>
          <w:tcPr>
            <w:tcW w:w="2608" w:type="dxa"/>
            <w:vAlign w:val="center"/>
          </w:tcPr>
          <w:p w14:paraId="7B753E56">
            <w:pPr>
              <w:jc w:val="center"/>
              <w:rPr>
                <w:rFonts w:ascii="宋体" w:hAnsi="宋体"/>
                <w:b/>
                <w:color w:val="auto"/>
                <w:szCs w:val="21"/>
                <w:highlight w:val="none"/>
              </w:rPr>
            </w:pPr>
            <w:r>
              <w:rPr>
                <w:rFonts w:hint="eastAsia" w:ascii="宋体" w:hAnsi="宋体"/>
                <w:b/>
                <w:color w:val="auto"/>
                <w:szCs w:val="21"/>
                <w:highlight w:val="none"/>
              </w:rPr>
              <w:t>投标文件类型</w:t>
            </w:r>
          </w:p>
        </w:tc>
        <w:tc>
          <w:tcPr>
            <w:tcW w:w="4924" w:type="dxa"/>
            <w:gridSpan w:val="3"/>
            <w:vAlign w:val="center"/>
          </w:tcPr>
          <w:p w14:paraId="123C92BB">
            <w:pPr>
              <w:jc w:val="center"/>
              <w:rPr>
                <w:rFonts w:ascii="宋体" w:hAnsi="宋体"/>
                <w:b/>
                <w:color w:val="auto"/>
                <w:szCs w:val="21"/>
                <w:highlight w:val="none"/>
              </w:rPr>
            </w:pPr>
            <w:r>
              <w:rPr>
                <w:rFonts w:hint="eastAsia" w:ascii="宋体" w:hAnsi="宋体"/>
                <w:b/>
                <w:color w:val="auto"/>
                <w:szCs w:val="21"/>
                <w:highlight w:val="none"/>
              </w:rPr>
              <w:t>份数</w:t>
            </w:r>
          </w:p>
        </w:tc>
      </w:tr>
      <w:tr w14:paraId="3ACD76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CDFD0C1">
            <w:pPr>
              <w:jc w:val="center"/>
              <w:rPr>
                <w:rFonts w:ascii="宋体" w:hAnsi="宋体"/>
                <w:color w:val="auto"/>
                <w:szCs w:val="21"/>
                <w:highlight w:val="none"/>
              </w:rPr>
            </w:pPr>
          </w:p>
        </w:tc>
        <w:tc>
          <w:tcPr>
            <w:tcW w:w="2608" w:type="dxa"/>
            <w:vAlign w:val="center"/>
          </w:tcPr>
          <w:p w14:paraId="01D1FFCB">
            <w:pPr>
              <w:jc w:val="center"/>
              <w:rPr>
                <w:rFonts w:ascii="宋体" w:hAnsi="宋体"/>
                <w:b/>
                <w:color w:val="auto"/>
                <w:szCs w:val="21"/>
                <w:highlight w:val="none"/>
              </w:rPr>
            </w:pPr>
            <w:r>
              <w:rPr>
                <w:rFonts w:hint="eastAsia" w:ascii="宋体" w:hAnsi="宋体"/>
                <w:b/>
                <w:color w:val="auto"/>
                <w:szCs w:val="21"/>
                <w:highlight w:val="none"/>
              </w:rPr>
              <w:t>唱标文件</w:t>
            </w:r>
          </w:p>
        </w:tc>
        <w:tc>
          <w:tcPr>
            <w:tcW w:w="4924" w:type="dxa"/>
            <w:gridSpan w:val="3"/>
            <w:vAlign w:val="center"/>
          </w:tcPr>
          <w:p w14:paraId="05F28E34">
            <w:pPr>
              <w:jc w:val="center"/>
              <w:rPr>
                <w:rFonts w:ascii="宋体" w:hAnsi="宋体"/>
                <w:b/>
                <w:color w:val="auto"/>
                <w:szCs w:val="21"/>
                <w:highlight w:val="none"/>
              </w:rPr>
            </w:pPr>
            <w:r>
              <w:rPr>
                <w:rFonts w:hint="eastAsia" w:ascii="宋体" w:hAnsi="宋体"/>
                <w:b/>
                <w:color w:val="auto"/>
                <w:szCs w:val="21"/>
                <w:highlight w:val="none"/>
              </w:rPr>
              <w:t>1</w:t>
            </w:r>
          </w:p>
        </w:tc>
      </w:tr>
      <w:tr w14:paraId="543BF7D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2973071">
            <w:pPr>
              <w:jc w:val="center"/>
              <w:rPr>
                <w:rFonts w:ascii="宋体" w:hAnsi="宋体"/>
                <w:color w:val="auto"/>
                <w:szCs w:val="21"/>
                <w:highlight w:val="none"/>
              </w:rPr>
            </w:pPr>
          </w:p>
        </w:tc>
        <w:tc>
          <w:tcPr>
            <w:tcW w:w="2608" w:type="dxa"/>
            <w:vAlign w:val="center"/>
          </w:tcPr>
          <w:p w14:paraId="14A340A2">
            <w:pPr>
              <w:jc w:val="center"/>
              <w:rPr>
                <w:rFonts w:ascii="宋体" w:hAnsi="宋体"/>
                <w:b/>
                <w:color w:val="auto"/>
                <w:szCs w:val="21"/>
                <w:highlight w:val="none"/>
              </w:rPr>
            </w:pPr>
            <w:r>
              <w:rPr>
                <w:rFonts w:hint="eastAsia" w:ascii="宋体" w:hAnsi="宋体"/>
                <w:b/>
                <w:color w:val="auto"/>
                <w:szCs w:val="21"/>
                <w:highlight w:val="none"/>
              </w:rPr>
              <w:t>投标文件正本</w:t>
            </w:r>
          </w:p>
        </w:tc>
        <w:tc>
          <w:tcPr>
            <w:tcW w:w="4924" w:type="dxa"/>
            <w:gridSpan w:val="3"/>
            <w:vAlign w:val="center"/>
          </w:tcPr>
          <w:p w14:paraId="7E121FB1">
            <w:pPr>
              <w:jc w:val="center"/>
              <w:rPr>
                <w:rFonts w:ascii="宋体" w:hAnsi="宋体"/>
                <w:b/>
                <w:color w:val="auto"/>
                <w:szCs w:val="21"/>
                <w:highlight w:val="none"/>
              </w:rPr>
            </w:pPr>
            <w:r>
              <w:rPr>
                <w:rFonts w:hint="eastAsia" w:ascii="宋体" w:hAnsi="宋体"/>
                <w:b/>
                <w:color w:val="auto"/>
                <w:szCs w:val="21"/>
                <w:highlight w:val="none"/>
              </w:rPr>
              <w:t>1</w:t>
            </w:r>
          </w:p>
        </w:tc>
      </w:tr>
      <w:tr w14:paraId="062790C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B5AD312">
            <w:pPr>
              <w:jc w:val="center"/>
              <w:rPr>
                <w:rFonts w:ascii="宋体" w:hAnsi="宋体"/>
                <w:color w:val="auto"/>
                <w:szCs w:val="21"/>
                <w:highlight w:val="none"/>
              </w:rPr>
            </w:pPr>
          </w:p>
        </w:tc>
        <w:tc>
          <w:tcPr>
            <w:tcW w:w="2608" w:type="dxa"/>
            <w:vAlign w:val="center"/>
          </w:tcPr>
          <w:p w14:paraId="01A7AE1F">
            <w:pPr>
              <w:jc w:val="center"/>
              <w:rPr>
                <w:rFonts w:ascii="宋体" w:hAnsi="宋体"/>
                <w:b/>
                <w:color w:val="auto"/>
                <w:szCs w:val="21"/>
                <w:highlight w:val="none"/>
              </w:rPr>
            </w:pPr>
            <w:r>
              <w:rPr>
                <w:rFonts w:hint="eastAsia" w:ascii="宋体" w:hAnsi="宋体"/>
                <w:b/>
                <w:color w:val="auto"/>
                <w:szCs w:val="21"/>
                <w:highlight w:val="none"/>
              </w:rPr>
              <w:t>投标文件副本</w:t>
            </w:r>
          </w:p>
        </w:tc>
        <w:tc>
          <w:tcPr>
            <w:tcW w:w="4924" w:type="dxa"/>
            <w:gridSpan w:val="3"/>
            <w:vAlign w:val="center"/>
          </w:tcPr>
          <w:p w14:paraId="01B83A51">
            <w:pPr>
              <w:jc w:val="center"/>
              <w:rPr>
                <w:rFonts w:ascii="宋体" w:hAnsi="宋体"/>
                <w:b/>
                <w:color w:val="auto"/>
                <w:szCs w:val="21"/>
                <w:highlight w:val="none"/>
              </w:rPr>
            </w:pPr>
            <w:r>
              <w:rPr>
                <w:rFonts w:hint="eastAsia" w:ascii="宋体" w:hAnsi="宋体"/>
                <w:b/>
                <w:color w:val="auto"/>
                <w:szCs w:val="21"/>
                <w:highlight w:val="none"/>
              </w:rPr>
              <w:t>5</w:t>
            </w:r>
          </w:p>
        </w:tc>
      </w:tr>
      <w:tr w14:paraId="589EE35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43271B9">
            <w:pPr>
              <w:jc w:val="center"/>
              <w:rPr>
                <w:rFonts w:ascii="宋体" w:hAnsi="宋体"/>
                <w:color w:val="auto"/>
                <w:szCs w:val="21"/>
                <w:highlight w:val="none"/>
              </w:rPr>
            </w:pPr>
          </w:p>
        </w:tc>
        <w:tc>
          <w:tcPr>
            <w:tcW w:w="2608" w:type="dxa"/>
            <w:vAlign w:val="center"/>
          </w:tcPr>
          <w:p w14:paraId="70C5CD13">
            <w:pPr>
              <w:jc w:val="center"/>
              <w:rPr>
                <w:rFonts w:ascii="宋体" w:hAnsi="宋体"/>
                <w:b/>
                <w:color w:val="auto"/>
                <w:szCs w:val="21"/>
                <w:highlight w:val="none"/>
              </w:rPr>
            </w:pPr>
            <w:r>
              <w:rPr>
                <w:rFonts w:hint="eastAsia" w:ascii="宋体" w:hAnsi="宋体"/>
                <w:b/>
                <w:color w:val="auto"/>
                <w:szCs w:val="21"/>
                <w:highlight w:val="none"/>
              </w:rPr>
              <w:t>电子文档</w:t>
            </w:r>
          </w:p>
        </w:tc>
        <w:tc>
          <w:tcPr>
            <w:tcW w:w="4924" w:type="dxa"/>
            <w:gridSpan w:val="3"/>
            <w:vAlign w:val="center"/>
          </w:tcPr>
          <w:p w14:paraId="78344EEE">
            <w:pPr>
              <w:jc w:val="center"/>
              <w:rPr>
                <w:rFonts w:ascii="宋体" w:hAnsi="宋体"/>
                <w:b/>
                <w:color w:val="auto"/>
                <w:szCs w:val="21"/>
                <w:highlight w:val="none"/>
              </w:rPr>
            </w:pPr>
            <w:r>
              <w:rPr>
                <w:rFonts w:hint="eastAsia" w:ascii="宋体" w:hAnsi="宋体"/>
                <w:b/>
                <w:color w:val="auto"/>
                <w:szCs w:val="21"/>
                <w:highlight w:val="none"/>
              </w:rPr>
              <w:t>1</w:t>
            </w:r>
          </w:p>
        </w:tc>
      </w:tr>
      <w:tr w14:paraId="7210E0B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4BE014C1">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01B8C59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7779AF0">
            <w:pPr>
              <w:jc w:val="center"/>
              <w:rPr>
                <w:rFonts w:ascii="宋体" w:hAnsi="宋体"/>
                <w:color w:val="auto"/>
                <w:szCs w:val="21"/>
                <w:highlight w:val="none"/>
              </w:rPr>
            </w:pPr>
            <w:r>
              <w:rPr>
                <w:rFonts w:hint="eastAsia" w:ascii="宋体" w:hAnsi="宋体"/>
                <w:color w:val="auto"/>
                <w:szCs w:val="21"/>
                <w:highlight w:val="none"/>
              </w:rPr>
              <w:t>15</w:t>
            </w:r>
          </w:p>
        </w:tc>
        <w:tc>
          <w:tcPr>
            <w:tcW w:w="7532" w:type="dxa"/>
            <w:gridSpan w:val="4"/>
            <w:vAlign w:val="center"/>
          </w:tcPr>
          <w:p w14:paraId="50A90BC9">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536C627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5FC51E7">
            <w:pPr>
              <w:jc w:val="center"/>
              <w:rPr>
                <w:rFonts w:ascii="宋体" w:hAnsi="宋体"/>
                <w:color w:val="auto"/>
                <w:szCs w:val="21"/>
                <w:highlight w:val="none"/>
              </w:rPr>
            </w:pPr>
          </w:p>
        </w:tc>
        <w:tc>
          <w:tcPr>
            <w:tcW w:w="7532" w:type="dxa"/>
            <w:gridSpan w:val="4"/>
            <w:vAlign w:val="center"/>
          </w:tcPr>
          <w:p w14:paraId="122B29A2">
            <w:pPr>
              <w:jc w:val="both"/>
              <w:rPr>
                <w:rFonts w:ascii="宋体" w:hAnsi="宋体"/>
                <w:b/>
                <w:color w:val="auto"/>
                <w:szCs w:val="21"/>
                <w:highlight w:val="none"/>
              </w:rPr>
            </w:pPr>
            <w:r>
              <w:rPr>
                <w:rFonts w:hint="eastAsia" w:ascii="宋体" w:hAnsi="宋体"/>
                <w:color w:val="auto"/>
                <w:szCs w:val="21"/>
                <w:highlight w:val="none"/>
              </w:rPr>
              <w:t>综合评分法。</w:t>
            </w:r>
          </w:p>
        </w:tc>
      </w:tr>
      <w:tr w14:paraId="3CFCD9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7D7C3EC5">
            <w:pPr>
              <w:jc w:val="center"/>
              <w:rPr>
                <w:rFonts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4"/>
            <w:vAlign w:val="center"/>
          </w:tcPr>
          <w:p w14:paraId="6CD8D7D0">
            <w:pPr>
              <w:jc w:val="both"/>
              <w:rPr>
                <w:rFonts w:ascii="宋体" w:hAnsi="宋体"/>
                <w:color w:val="auto"/>
                <w:szCs w:val="21"/>
                <w:highlight w:val="none"/>
              </w:rPr>
            </w:pPr>
            <w:r>
              <w:rPr>
                <w:rFonts w:hint="eastAsia" w:ascii="宋体" w:hAnsi="宋体"/>
                <w:b/>
                <w:color w:val="auto"/>
                <w:szCs w:val="21"/>
                <w:highlight w:val="none"/>
              </w:rPr>
              <w:t>小型或微型企业、监狱企业、残疾人福利性单位投标价格折扣标准</w:t>
            </w:r>
          </w:p>
        </w:tc>
      </w:tr>
      <w:tr w14:paraId="744F31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F365E8A">
            <w:pPr>
              <w:jc w:val="center"/>
              <w:rPr>
                <w:rFonts w:ascii="宋体" w:hAnsi="宋体"/>
                <w:color w:val="auto"/>
                <w:szCs w:val="21"/>
                <w:highlight w:val="none"/>
              </w:rPr>
            </w:pPr>
          </w:p>
        </w:tc>
        <w:tc>
          <w:tcPr>
            <w:tcW w:w="7532" w:type="dxa"/>
            <w:gridSpan w:val="4"/>
            <w:vAlign w:val="center"/>
          </w:tcPr>
          <w:p w14:paraId="2AE9C1DB">
            <w:pPr>
              <w:jc w:val="both"/>
              <w:rPr>
                <w:rFonts w:ascii="宋体" w:hAnsi="宋体"/>
                <w:color w:val="auto"/>
                <w:szCs w:val="21"/>
                <w:highlight w:val="none"/>
              </w:rPr>
            </w:pPr>
            <w:r>
              <w:rPr>
                <w:rFonts w:hint="eastAsia" w:ascii="宋体" w:hAnsi="宋体"/>
                <w:color w:val="auto"/>
                <w:szCs w:val="21"/>
                <w:highlight w:val="none"/>
              </w:rPr>
              <w:t>10%。</w:t>
            </w:r>
          </w:p>
        </w:tc>
      </w:tr>
      <w:tr w14:paraId="16F3B47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9B00CA6">
            <w:pPr>
              <w:jc w:val="center"/>
              <w:rPr>
                <w:rFonts w:ascii="宋体" w:hAnsi="宋体"/>
                <w:color w:val="auto"/>
                <w:szCs w:val="21"/>
                <w:highlight w:val="none"/>
              </w:rPr>
            </w:pPr>
          </w:p>
        </w:tc>
        <w:tc>
          <w:tcPr>
            <w:tcW w:w="7532" w:type="dxa"/>
            <w:gridSpan w:val="4"/>
            <w:vAlign w:val="center"/>
          </w:tcPr>
          <w:p w14:paraId="0F3F29F7">
            <w:pPr>
              <w:jc w:val="both"/>
              <w:rPr>
                <w:rFonts w:ascii="宋体" w:hAnsi="宋体"/>
                <w:color w:val="auto"/>
                <w:szCs w:val="21"/>
                <w:highlight w:val="none"/>
              </w:rPr>
            </w:pPr>
            <w:r>
              <w:rPr>
                <w:rFonts w:hint="eastAsia" w:ascii="宋体" w:hAnsi="宋体"/>
                <w:b/>
                <w:color w:val="auto"/>
                <w:szCs w:val="21"/>
                <w:highlight w:val="none"/>
              </w:rPr>
              <w:t>投标人符合须知“优惠政策”中联合体规定的投标价格折扣标准</w:t>
            </w:r>
          </w:p>
        </w:tc>
      </w:tr>
      <w:tr w14:paraId="453C312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4D8E070">
            <w:pPr>
              <w:jc w:val="center"/>
              <w:rPr>
                <w:rFonts w:ascii="宋体" w:hAnsi="宋体"/>
                <w:color w:val="auto"/>
                <w:szCs w:val="21"/>
                <w:highlight w:val="none"/>
              </w:rPr>
            </w:pPr>
          </w:p>
        </w:tc>
        <w:tc>
          <w:tcPr>
            <w:tcW w:w="7532" w:type="dxa"/>
            <w:gridSpan w:val="4"/>
            <w:vAlign w:val="center"/>
          </w:tcPr>
          <w:p w14:paraId="3D83DA62">
            <w:pPr>
              <w:jc w:val="both"/>
              <w:rPr>
                <w:rFonts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4D41905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BEF9B40">
            <w:pPr>
              <w:jc w:val="center"/>
              <w:rPr>
                <w:rFonts w:ascii="宋体" w:hAnsi="宋体"/>
                <w:color w:val="auto"/>
                <w:szCs w:val="21"/>
                <w:highlight w:val="none"/>
              </w:rPr>
            </w:pPr>
          </w:p>
        </w:tc>
        <w:tc>
          <w:tcPr>
            <w:tcW w:w="7532" w:type="dxa"/>
            <w:gridSpan w:val="4"/>
            <w:vAlign w:val="center"/>
          </w:tcPr>
          <w:p w14:paraId="5765D687">
            <w:pPr>
              <w:jc w:val="both"/>
              <w:rPr>
                <w:rFonts w:ascii="宋体" w:hAnsi="宋体"/>
                <w:color w:val="auto"/>
                <w:szCs w:val="21"/>
                <w:highlight w:val="none"/>
              </w:rPr>
            </w:pPr>
            <w:r>
              <w:rPr>
                <w:rFonts w:hint="eastAsia" w:ascii="宋体" w:hAnsi="宋体"/>
                <w:b/>
                <w:bCs/>
                <w:color w:val="auto"/>
                <w:szCs w:val="21"/>
                <w:highlight w:val="none"/>
              </w:rPr>
              <w:t>投标人所投产品为获得节能产品认证或环境标志产品认证证书的价格折扣标准（相关规定详见投标人须知“优惠政策”）</w:t>
            </w:r>
          </w:p>
        </w:tc>
      </w:tr>
      <w:tr w14:paraId="6685AF6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200CC1AA">
            <w:pPr>
              <w:jc w:val="center"/>
              <w:rPr>
                <w:rFonts w:ascii="宋体" w:hAnsi="宋体"/>
                <w:color w:val="auto"/>
                <w:szCs w:val="21"/>
                <w:highlight w:val="none"/>
              </w:rPr>
            </w:pPr>
          </w:p>
        </w:tc>
        <w:tc>
          <w:tcPr>
            <w:tcW w:w="7532" w:type="dxa"/>
            <w:gridSpan w:val="4"/>
            <w:vAlign w:val="center"/>
          </w:tcPr>
          <w:p w14:paraId="44BB6386">
            <w:pPr>
              <w:jc w:val="both"/>
              <w:rPr>
                <w:rFonts w:ascii="宋体" w:hAnsi="宋体"/>
                <w:color w:val="auto"/>
                <w:szCs w:val="21"/>
                <w:highlight w:val="none"/>
              </w:rPr>
            </w:pPr>
            <w:r>
              <w:rPr>
                <w:rFonts w:hint="eastAsia" w:ascii="宋体" w:hAnsi="宋体"/>
                <w:color w:val="auto"/>
                <w:szCs w:val="21"/>
                <w:highlight w:val="none"/>
              </w:rPr>
              <w:t>该项节能或环境标志产品折扣3%。</w:t>
            </w:r>
          </w:p>
        </w:tc>
      </w:tr>
      <w:tr w14:paraId="58FAD76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31D3C8F9">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2F8BBF4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2437D44A">
            <w:pPr>
              <w:jc w:val="center"/>
              <w:rPr>
                <w:rFonts w:ascii="宋体" w:hAnsi="宋体"/>
                <w:color w:val="auto"/>
                <w:szCs w:val="21"/>
                <w:highlight w:val="none"/>
              </w:rPr>
            </w:pPr>
            <w:r>
              <w:rPr>
                <w:rFonts w:hint="eastAsia" w:ascii="宋体" w:hAnsi="宋体"/>
                <w:color w:val="auto"/>
                <w:szCs w:val="21"/>
                <w:highlight w:val="none"/>
              </w:rPr>
              <w:t>17</w:t>
            </w:r>
          </w:p>
        </w:tc>
        <w:tc>
          <w:tcPr>
            <w:tcW w:w="7532" w:type="dxa"/>
            <w:gridSpan w:val="4"/>
            <w:shd w:val="clear" w:color="auto" w:fill="auto"/>
            <w:vAlign w:val="center"/>
          </w:tcPr>
          <w:p w14:paraId="33A80E30">
            <w:pPr>
              <w:jc w:val="both"/>
              <w:rPr>
                <w:rFonts w:ascii="宋体" w:hAnsi="宋体"/>
                <w:b/>
                <w:color w:val="auto"/>
                <w:szCs w:val="21"/>
                <w:highlight w:val="none"/>
              </w:rPr>
            </w:pPr>
            <w:r>
              <w:rPr>
                <w:rFonts w:hint="eastAsia" w:ascii="宋体" w:hAnsi="宋体"/>
                <w:b/>
                <w:color w:val="auto"/>
                <w:szCs w:val="21"/>
                <w:highlight w:val="none"/>
              </w:rPr>
              <w:t>履约保证金（如有需要）</w:t>
            </w:r>
          </w:p>
        </w:tc>
      </w:tr>
      <w:tr w14:paraId="6743677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6006543C">
            <w:pPr>
              <w:jc w:val="center"/>
              <w:rPr>
                <w:rFonts w:ascii="宋体" w:hAnsi="宋体"/>
                <w:color w:val="auto"/>
                <w:szCs w:val="21"/>
                <w:highlight w:val="none"/>
              </w:rPr>
            </w:pPr>
          </w:p>
        </w:tc>
        <w:tc>
          <w:tcPr>
            <w:tcW w:w="7532" w:type="dxa"/>
            <w:gridSpan w:val="4"/>
            <w:shd w:val="clear" w:color="auto" w:fill="auto"/>
            <w:vAlign w:val="center"/>
          </w:tcPr>
          <w:p w14:paraId="4DAB84CD">
            <w:pPr>
              <w:jc w:val="both"/>
              <w:rPr>
                <w:rFonts w:ascii="宋体" w:hAnsi="宋体"/>
                <w:b/>
                <w:color w:val="auto"/>
                <w:szCs w:val="21"/>
                <w:highlight w:val="none"/>
              </w:rPr>
            </w:pPr>
            <w:r>
              <w:rPr>
                <w:rFonts w:hint="eastAsia" w:ascii="宋体" w:hAnsi="宋体"/>
                <w:color w:val="auto"/>
                <w:szCs w:val="21"/>
                <w:highlight w:val="none"/>
              </w:rPr>
              <w:t>履约保证金的数额为合同金额的5%。</w:t>
            </w:r>
          </w:p>
        </w:tc>
      </w:tr>
      <w:tr w14:paraId="6840080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2577E901">
            <w:pPr>
              <w:jc w:val="center"/>
              <w:rPr>
                <w:rFonts w:ascii="宋体" w:hAnsi="宋体"/>
                <w:color w:val="auto"/>
                <w:szCs w:val="21"/>
                <w:highlight w:val="none"/>
              </w:rPr>
            </w:pPr>
            <w:r>
              <w:rPr>
                <w:rFonts w:hint="eastAsia" w:ascii="宋体" w:hAnsi="宋体"/>
                <w:color w:val="auto"/>
                <w:szCs w:val="21"/>
                <w:highlight w:val="none"/>
              </w:rPr>
              <w:t>18</w:t>
            </w:r>
          </w:p>
        </w:tc>
        <w:tc>
          <w:tcPr>
            <w:tcW w:w="7532" w:type="dxa"/>
            <w:gridSpan w:val="4"/>
            <w:vAlign w:val="center"/>
          </w:tcPr>
          <w:p w14:paraId="47865313">
            <w:pPr>
              <w:jc w:val="both"/>
              <w:rPr>
                <w:rFonts w:ascii="宋体" w:hAnsi="宋体"/>
                <w:b/>
                <w:color w:val="auto"/>
                <w:szCs w:val="21"/>
                <w:highlight w:val="none"/>
              </w:rPr>
            </w:pPr>
            <w:r>
              <w:rPr>
                <w:rFonts w:hint="eastAsia" w:ascii="宋体" w:hAnsi="宋体"/>
                <w:b/>
                <w:color w:val="auto"/>
                <w:szCs w:val="21"/>
                <w:highlight w:val="none"/>
              </w:rPr>
              <w:t>中标服务费</w:t>
            </w:r>
          </w:p>
        </w:tc>
      </w:tr>
      <w:tr w14:paraId="753439D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75" w:hRule="atLeast"/>
        </w:trPr>
        <w:tc>
          <w:tcPr>
            <w:tcW w:w="878" w:type="dxa"/>
            <w:vMerge w:val="continue"/>
            <w:vAlign w:val="center"/>
          </w:tcPr>
          <w:p w14:paraId="769DB050">
            <w:pPr>
              <w:jc w:val="center"/>
              <w:rPr>
                <w:rFonts w:ascii="宋体" w:hAnsi="宋体"/>
                <w:color w:val="auto"/>
                <w:szCs w:val="21"/>
                <w:highlight w:val="none"/>
              </w:rPr>
            </w:pPr>
          </w:p>
        </w:tc>
        <w:tc>
          <w:tcPr>
            <w:tcW w:w="7532" w:type="dxa"/>
            <w:gridSpan w:val="4"/>
            <w:vAlign w:val="center"/>
          </w:tcPr>
          <w:p w14:paraId="2770302F">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（1）中标服务费由中标人在领取《中标通知书》原件前向招标代理机构一次性支付，本项目招标代理服务费按照包A：人民币</w:t>
            </w:r>
            <w:r>
              <w:rPr>
                <w:rFonts w:hint="eastAsia" w:ascii="宋体" w:hAnsi="宋体"/>
                <w:color w:val="auto"/>
                <w:szCs w:val="21"/>
                <w:highlight w:val="none"/>
                <w:lang w:val="en-US" w:eastAsia="zh-CN"/>
              </w:rPr>
              <w:t>壹万</w:t>
            </w:r>
            <w:r>
              <w:rPr>
                <w:rFonts w:hint="eastAsia" w:ascii="宋体" w:hAnsi="宋体"/>
                <w:color w:val="auto"/>
                <w:szCs w:val="21"/>
                <w:highlight w:val="none"/>
              </w:rPr>
              <w:t>元</w:t>
            </w:r>
            <w:r>
              <w:rPr>
                <w:rFonts w:hint="eastAsia" w:ascii="宋体" w:hAnsi="宋体"/>
                <w:color w:val="auto"/>
                <w:szCs w:val="21"/>
                <w:highlight w:val="none"/>
                <w:lang w:val="en-US" w:eastAsia="zh-CN"/>
              </w:rPr>
              <w:t>整</w:t>
            </w:r>
            <w:r>
              <w:rPr>
                <w:rFonts w:hint="eastAsia" w:ascii="宋体" w:hAnsi="宋体"/>
                <w:color w:val="auto"/>
                <w:szCs w:val="21"/>
                <w:highlight w:val="none"/>
              </w:rPr>
              <w:t>（¥</w:t>
            </w:r>
            <w:r>
              <w:rPr>
                <w:rFonts w:hint="eastAsia" w:ascii="宋体" w:hAnsi="宋体"/>
                <w:color w:val="auto"/>
                <w:szCs w:val="21"/>
                <w:highlight w:val="none"/>
                <w:lang w:val="en-US" w:eastAsia="zh-CN"/>
              </w:rPr>
              <w:t>10,000.00</w:t>
            </w:r>
            <w:r>
              <w:rPr>
                <w:rFonts w:hint="eastAsia" w:ascii="宋体" w:hAnsi="宋体"/>
                <w:color w:val="auto"/>
                <w:szCs w:val="21"/>
                <w:highlight w:val="none"/>
              </w:rPr>
              <w:t>元）、包B：人民币</w:t>
            </w:r>
            <w:r>
              <w:rPr>
                <w:rFonts w:hint="eastAsia" w:ascii="宋体" w:hAnsi="宋体"/>
                <w:color w:val="auto"/>
                <w:szCs w:val="21"/>
                <w:highlight w:val="none"/>
                <w:lang w:val="en-US" w:eastAsia="zh-CN"/>
              </w:rPr>
              <w:t>玖仟</w:t>
            </w:r>
            <w:r>
              <w:rPr>
                <w:rFonts w:hint="eastAsia" w:ascii="宋体" w:hAnsi="宋体"/>
                <w:color w:val="auto"/>
                <w:szCs w:val="21"/>
                <w:highlight w:val="none"/>
              </w:rPr>
              <w:t>元</w:t>
            </w:r>
            <w:r>
              <w:rPr>
                <w:rFonts w:hint="eastAsia" w:ascii="宋体" w:hAnsi="宋体"/>
                <w:color w:val="auto"/>
                <w:szCs w:val="21"/>
                <w:highlight w:val="none"/>
                <w:lang w:val="en-US" w:eastAsia="zh-CN"/>
              </w:rPr>
              <w:t>整</w:t>
            </w:r>
            <w:r>
              <w:rPr>
                <w:rFonts w:hint="eastAsia" w:ascii="宋体" w:hAnsi="宋体"/>
                <w:color w:val="auto"/>
                <w:szCs w:val="21"/>
                <w:highlight w:val="none"/>
              </w:rPr>
              <w:t>（¥</w:t>
            </w:r>
            <w:r>
              <w:rPr>
                <w:rFonts w:hint="eastAsia" w:ascii="宋体" w:hAnsi="宋体"/>
                <w:color w:val="auto"/>
                <w:szCs w:val="21"/>
                <w:highlight w:val="none"/>
                <w:lang w:val="en-US" w:eastAsia="zh-CN"/>
              </w:rPr>
              <w:t>9,000.00</w:t>
            </w:r>
            <w:r>
              <w:rPr>
                <w:rFonts w:hint="eastAsia" w:ascii="宋体" w:hAnsi="宋体"/>
                <w:color w:val="auto"/>
                <w:szCs w:val="21"/>
                <w:highlight w:val="none"/>
              </w:rPr>
              <w:t>元）、包C：人民币</w:t>
            </w:r>
            <w:r>
              <w:rPr>
                <w:rFonts w:hint="eastAsia" w:ascii="宋体" w:hAnsi="宋体"/>
                <w:color w:val="auto"/>
                <w:szCs w:val="21"/>
                <w:highlight w:val="none"/>
                <w:lang w:val="en-US" w:eastAsia="zh-CN"/>
              </w:rPr>
              <w:t>伍仟</w:t>
            </w:r>
            <w:r>
              <w:rPr>
                <w:rFonts w:hint="eastAsia" w:ascii="宋体" w:hAnsi="宋体"/>
                <w:color w:val="auto"/>
                <w:szCs w:val="21"/>
                <w:highlight w:val="none"/>
              </w:rPr>
              <w:t>元</w:t>
            </w:r>
            <w:r>
              <w:rPr>
                <w:rFonts w:hint="eastAsia" w:ascii="宋体" w:hAnsi="宋体"/>
                <w:color w:val="auto"/>
                <w:szCs w:val="21"/>
                <w:highlight w:val="none"/>
                <w:lang w:val="en-US" w:eastAsia="zh-CN"/>
              </w:rPr>
              <w:t>整</w:t>
            </w:r>
            <w:r>
              <w:rPr>
                <w:rFonts w:hint="eastAsia" w:ascii="宋体" w:hAnsi="宋体"/>
                <w:color w:val="auto"/>
                <w:szCs w:val="21"/>
                <w:highlight w:val="none"/>
              </w:rPr>
              <w:t>（¥</w:t>
            </w:r>
            <w:r>
              <w:rPr>
                <w:rFonts w:hint="eastAsia" w:ascii="宋体" w:hAnsi="宋体"/>
                <w:color w:val="auto"/>
                <w:szCs w:val="21"/>
                <w:highlight w:val="none"/>
                <w:lang w:val="en-US" w:eastAsia="zh-CN"/>
              </w:rPr>
              <w:t>5,000.00</w:t>
            </w:r>
            <w:r>
              <w:rPr>
                <w:rFonts w:hint="eastAsia" w:ascii="宋体" w:hAnsi="宋体"/>
                <w:color w:val="auto"/>
                <w:szCs w:val="21"/>
                <w:highlight w:val="none"/>
              </w:rPr>
              <w:t>元）、包D：人民币</w:t>
            </w:r>
            <w:r>
              <w:rPr>
                <w:rFonts w:hint="eastAsia" w:ascii="宋体" w:hAnsi="宋体"/>
                <w:color w:val="auto"/>
                <w:szCs w:val="21"/>
                <w:highlight w:val="none"/>
                <w:lang w:val="en-US" w:eastAsia="zh-CN"/>
              </w:rPr>
              <w:t>伍仟</w:t>
            </w:r>
            <w:r>
              <w:rPr>
                <w:rFonts w:hint="eastAsia" w:ascii="宋体" w:hAnsi="宋体"/>
                <w:color w:val="auto"/>
                <w:szCs w:val="21"/>
                <w:highlight w:val="none"/>
              </w:rPr>
              <w:t>元</w:t>
            </w:r>
            <w:r>
              <w:rPr>
                <w:rFonts w:hint="eastAsia" w:ascii="宋体" w:hAnsi="宋体"/>
                <w:color w:val="auto"/>
                <w:szCs w:val="21"/>
                <w:highlight w:val="none"/>
                <w:lang w:val="en-US" w:eastAsia="zh-CN"/>
              </w:rPr>
              <w:t>整</w:t>
            </w:r>
            <w:r>
              <w:rPr>
                <w:rFonts w:hint="eastAsia" w:ascii="宋体" w:hAnsi="宋体"/>
                <w:color w:val="auto"/>
                <w:szCs w:val="21"/>
                <w:highlight w:val="none"/>
              </w:rPr>
              <w:t>（¥</w:t>
            </w:r>
            <w:r>
              <w:rPr>
                <w:rFonts w:hint="eastAsia" w:ascii="宋体" w:hAnsi="宋体"/>
                <w:color w:val="auto"/>
                <w:szCs w:val="21"/>
                <w:highlight w:val="none"/>
                <w:lang w:val="en-US" w:eastAsia="zh-CN"/>
              </w:rPr>
              <w:t>5,000.00</w:t>
            </w:r>
            <w:r>
              <w:rPr>
                <w:rFonts w:hint="eastAsia" w:ascii="宋体" w:hAnsi="宋体"/>
                <w:color w:val="auto"/>
                <w:szCs w:val="21"/>
                <w:highlight w:val="none"/>
              </w:rPr>
              <w:t>元）收取。</w:t>
            </w:r>
          </w:p>
        </w:tc>
      </w:tr>
      <w:tr w14:paraId="6F28BF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40" w:hRule="atLeast"/>
        </w:trPr>
        <w:tc>
          <w:tcPr>
            <w:tcW w:w="878" w:type="dxa"/>
            <w:vMerge w:val="continue"/>
            <w:vAlign w:val="center"/>
          </w:tcPr>
          <w:p w14:paraId="0EE2F5BB">
            <w:pPr>
              <w:jc w:val="center"/>
              <w:rPr>
                <w:rFonts w:ascii="宋体" w:hAnsi="宋体"/>
                <w:color w:val="auto"/>
                <w:szCs w:val="21"/>
                <w:highlight w:val="none"/>
              </w:rPr>
            </w:pPr>
          </w:p>
        </w:tc>
        <w:tc>
          <w:tcPr>
            <w:tcW w:w="7532" w:type="dxa"/>
            <w:gridSpan w:val="4"/>
            <w:vAlign w:val="center"/>
          </w:tcPr>
          <w:p w14:paraId="214C98EE">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（2）中标服务费以转账或现金的形式支付。采购代理机构服务费汇入账号：</w:t>
            </w:r>
          </w:p>
          <w:p w14:paraId="315D36E0">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收 款 人：广东政通招标有限公司</w:t>
            </w:r>
          </w:p>
          <w:p w14:paraId="55F6336D">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开户银行：广发银行股份有限公司东莞南城支行</w:t>
            </w:r>
          </w:p>
          <w:p w14:paraId="6AB16A8F">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账　　号：9550880331235700173</w:t>
            </w:r>
          </w:p>
        </w:tc>
      </w:tr>
      <w:tr w14:paraId="5668C34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78C5F1FC">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w:t>
            </w:r>
          </w:p>
        </w:tc>
      </w:tr>
    </w:tbl>
    <w:p w14:paraId="69416CC3">
      <w:pPr>
        <w:rPr>
          <w:color w:val="auto"/>
          <w:highlight w:val="none"/>
        </w:rPr>
      </w:pPr>
    </w:p>
    <w:p w14:paraId="59BB7B16">
      <w:pPr>
        <w:rPr>
          <w:color w:val="auto"/>
          <w:highlight w:val="none"/>
        </w:rPr>
      </w:pPr>
    </w:p>
    <w:p w14:paraId="5E529373">
      <w:pPr>
        <w:rPr>
          <w:color w:val="auto"/>
          <w:highlight w:val="none"/>
        </w:rPr>
      </w:pPr>
    </w:p>
    <w:p w14:paraId="591956EE">
      <w:pPr>
        <w:rPr>
          <w:color w:val="auto"/>
          <w:highlight w:val="none"/>
        </w:rPr>
      </w:pPr>
    </w:p>
    <w:p w14:paraId="465B4172">
      <w:pPr>
        <w:rPr>
          <w:color w:val="auto"/>
          <w:highlight w:val="none"/>
        </w:rPr>
      </w:pPr>
    </w:p>
    <w:p w14:paraId="7E8A2FE3">
      <w:pPr>
        <w:rPr>
          <w:color w:val="auto"/>
          <w:highlight w:val="none"/>
        </w:rPr>
      </w:pPr>
    </w:p>
    <w:p w14:paraId="3502859C">
      <w:pPr>
        <w:rPr>
          <w:color w:val="auto"/>
          <w:highlight w:val="none"/>
        </w:rPr>
      </w:pPr>
    </w:p>
    <w:p w14:paraId="44AA91DD">
      <w:pPr>
        <w:rPr>
          <w:color w:val="auto"/>
          <w:highlight w:val="none"/>
        </w:rPr>
      </w:pPr>
    </w:p>
    <w:p w14:paraId="586FA195">
      <w:pPr>
        <w:rPr>
          <w:color w:val="auto"/>
          <w:highlight w:val="none"/>
        </w:rPr>
      </w:pPr>
    </w:p>
    <w:p w14:paraId="7457B7A2">
      <w:pPr>
        <w:rPr>
          <w:color w:val="auto"/>
          <w:highlight w:val="none"/>
        </w:rPr>
      </w:pPr>
    </w:p>
    <w:p w14:paraId="06FDEA7F">
      <w:pPr>
        <w:pStyle w:val="10"/>
        <w:rPr>
          <w:color w:val="auto"/>
          <w:highlight w:val="none"/>
        </w:rPr>
      </w:pPr>
    </w:p>
    <w:p w14:paraId="4B7C8150">
      <w:pPr>
        <w:rPr>
          <w:color w:val="auto"/>
          <w:highlight w:val="none"/>
        </w:rPr>
      </w:pPr>
    </w:p>
    <w:p w14:paraId="18664D51">
      <w:pPr>
        <w:rPr>
          <w:color w:val="auto"/>
          <w:highlight w:val="none"/>
        </w:rPr>
      </w:pPr>
    </w:p>
    <w:p w14:paraId="143B481D">
      <w:pPr>
        <w:rPr>
          <w:color w:val="auto"/>
          <w:highlight w:val="none"/>
        </w:rPr>
      </w:pPr>
    </w:p>
    <w:p w14:paraId="19126CC3">
      <w:pPr>
        <w:rPr>
          <w:color w:val="auto"/>
          <w:highlight w:val="none"/>
        </w:rPr>
      </w:pPr>
    </w:p>
    <w:p w14:paraId="4B8312DF">
      <w:pPr>
        <w:rPr>
          <w:color w:val="auto"/>
          <w:highlight w:val="none"/>
        </w:rPr>
      </w:pPr>
    </w:p>
    <w:p w14:paraId="05D4A4F5">
      <w:pPr>
        <w:rPr>
          <w:color w:val="auto"/>
          <w:highlight w:val="none"/>
        </w:rPr>
      </w:pPr>
    </w:p>
    <w:p w14:paraId="162A2632">
      <w:pPr>
        <w:rPr>
          <w:color w:val="auto"/>
          <w:sz w:val="28"/>
          <w:szCs w:val="28"/>
          <w:highlight w:val="none"/>
        </w:rPr>
      </w:pPr>
      <w:bookmarkStart w:id="8" w:name="_Hlk55300595"/>
      <w:bookmarkStart w:id="9" w:name="_Toc13473"/>
      <w:bookmarkStart w:id="10" w:name="_Toc9572"/>
      <w:r>
        <w:rPr>
          <w:rFonts w:hint="eastAsia"/>
          <w:color w:val="auto"/>
          <w:sz w:val="28"/>
          <w:szCs w:val="28"/>
          <w:highlight w:val="none"/>
        </w:rPr>
        <w:br w:type="page"/>
      </w:r>
    </w:p>
    <w:p w14:paraId="5F3F0925">
      <w:pPr>
        <w:pStyle w:val="3"/>
        <w:spacing w:before="0" w:after="0" w:line="360" w:lineRule="auto"/>
        <w:rPr>
          <w:color w:val="auto"/>
          <w:highlight w:val="none"/>
        </w:rPr>
      </w:pPr>
      <w:bookmarkStart w:id="11" w:name="_Toc22437"/>
      <w:r>
        <w:rPr>
          <w:rFonts w:hint="eastAsia"/>
          <w:color w:val="auto"/>
          <w:sz w:val="28"/>
          <w:szCs w:val="28"/>
          <w:highlight w:val="none"/>
        </w:rPr>
        <w:t xml:space="preserve">第三部分 </w:t>
      </w:r>
      <w:bookmarkStart w:id="12" w:name="_Hlk55300643"/>
      <w:bookmarkStart w:id="13" w:name="_Toc7113352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1"/>
      <w:bookmarkEnd w:id="12"/>
      <w:bookmarkEnd w:id="13"/>
      <w:bookmarkEnd w:id="14"/>
    </w:p>
    <w:p w14:paraId="4E8B2A2A">
      <w:pPr>
        <w:pStyle w:val="4"/>
        <w:spacing w:line="240" w:lineRule="auto"/>
        <w:jc w:val="center"/>
        <w:rPr>
          <w:rFonts w:hint="eastAsia" w:ascii="宋体" w:hAnsi="宋体" w:eastAsia="宋体" w:cs="宋体"/>
          <w:color w:val="auto"/>
          <w:sz w:val="24"/>
          <w:szCs w:val="24"/>
          <w:highlight w:val="none"/>
          <w:lang w:eastAsia="zh-CN"/>
        </w:rPr>
      </w:pPr>
      <w:bookmarkStart w:id="15" w:name="_Toc18413"/>
      <w:bookmarkStart w:id="16" w:name="_Toc1289"/>
      <w:r>
        <w:rPr>
          <w:rFonts w:hint="eastAsia" w:ascii="宋体" w:hAnsi="宋体" w:cs="宋体"/>
          <w:color w:val="auto"/>
          <w:sz w:val="24"/>
          <w:szCs w:val="24"/>
          <w:highlight w:val="none"/>
        </w:rPr>
        <w:t>价格及商务技术评分权重细则表</w:t>
      </w:r>
      <w:bookmarkEnd w:id="10"/>
      <w:bookmarkEnd w:id="15"/>
      <w:bookmarkEnd w:id="16"/>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适用于所有采购包</w:t>
      </w:r>
      <w:r>
        <w:rPr>
          <w:rFonts w:hint="eastAsia" w:ascii="宋体" w:hAnsi="宋体" w:cs="宋体"/>
          <w:color w:val="auto"/>
          <w:sz w:val="24"/>
          <w:szCs w:val="24"/>
          <w:highlight w:val="none"/>
          <w:lang w:eastAsia="zh-CN"/>
        </w:rPr>
        <w:t>）</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609"/>
        <w:gridCol w:w="734"/>
        <w:gridCol w:w="28"/>
        <w:gridCol w:w="5461"/>
      </w:tblGrid>
      <w:tr w14:paraId="7044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62D2EE5E">
            <w:pPr>
              <w:pStyle w:val="45"/>
              <w:spacing w:line="240" w:lineRule="auto"/>
              <w:ind w:firstLine="0" w:firstLineChars="0"/>
              <w:jc w:val="center"/>
              <w:rPr>
                <w:rFonts w:ascii="宋体" w:eastAsia="宋体" w:cs="宋体"/>
                <w:b/>
                <w:bCs/>
                <w:color w:val="auto"/>
                <w:sz w:val="21"/>
                <w:szCs w:val="21"/>
                <w:highlight w:val="none"/>
              </w:rPr>
            </w:pPr>
            <w:bookmarkStart w:id="17" w:name="_Toc29685"/>
            <w:bookmarkStart w:id="18" w:name="_Toc2479"/>
            <w:bookmarkStart w:id="19" w:name="_Toc14146"/>
            <w:r>
              <w:rPr>
                <w:rFonts w:hint="eastAsia" w:ascii="宋体" w:eastAsia="宋体" w:cs="宋体"/>
                <w:b/>
                <w:bCs/>
                <w:color w:val="auto"/>
                <w:sz w:val="21"/>
                <w:szCs w:val="21"/>
                <w:highlight w:val="none"/>
              </w:rPr>
              <w:t>序号</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B388717">
            <w:pPr>
              <w:pStyle w:val="45"/>
              <w:spacing w:line="24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评审项目</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20FB2CC6">
            <w:pPr>
              <w:pStyle w:val="45"/>
              <w:spacing w:line="24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分值</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7706BE58">
            <w:pPr>
              <w:pStyle w:val="45"/>
              <w:spacing w:line="24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评审细则</w:t>
            </w:r>
          </w:p>
        </w:tc>
      </w:tr>
      <w:tr w14:paraId="0538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5"/>
            <w:tcBorders>
              <w:top w:val="single" w:color="auto" w:sz="4" w:space="0"/>
              <w:left w:val="single" w:color="auto" w:sz="4" w:space="0"/>
              <w:bottom w:val="single" w:color="auto" w:sz="4" w:space="0"/>
              <w:right w:val="single" w:color="auto" w:sz="4" w:space="0"/>
            </w:tcBorders>
            <w:noWrap w:val="0"/>
            <w:vAlign w:val="center"/>
          </w:tcPr>
          <w:p w14:paraId="3C1F028B">
            <w:pPr>
              <w:pStyle w:val="45"/>
              <w:spacing w:line="240" w:lineRule="auto"/>
              <w:ind w:firstLine="0" w:firstLineChars="0"/>
              <w:jc w:val="center"/>
              <w:rPr>
                <w:rFonts w:ascii="宋体" w:eastAsia="宋体" w:cs="宋体"/>
                <w:b/>
                <w:bCs/>
                <w:color w:val="auto"/>
                <w:sz w:val="21"/>
                <w:szCs w:val="21"/>
                <w:highlight w:val="none"/>
              </w:rPr>
            </w:pPr>
            <w:r>
              <w:rPr>
                <w:rFonts w:hint="eastAsia" w:ascii="宋体" w:eastAsia="宋体" w:cs="宋体"/>
                <w:b/>
                <w:bCs/>
                <w:color w:val="auto"/>
                <w:sz w:val="21"/>
                <w:szCs w:val="21"/>
                <w:highlight w:val="none"/>
              </w:rPr>
              <w:t>商务评审（</w:t>
            </w:r>
            <w:r>
              <w:rPr>
                <w:rFonts w:hint="eastAsia" w:ascii="宋体" w:eastAsia="宋体" w:cs="宋体"/>
                <w:b/>
                <w:bCs/>
                <w:color w:val="auto"/>
                <w:sz w:val="21"/>
                <w:szCs w:val="21"/>
                <w:highlight w:val="none"/>
                <w:lang w:val="en-US" w:eastAsia="zh-CN"/>
              </w:rPr>
              <w:t>30</w:t>
            </w:r>
            <w:r>
              <w:rPr>
                <w:rFonts w:hint="eastAsia" w:ascii="宋体" w:eastAsia="宋体" w:cs="宋体"/>
                <w:b/>
                <w:bCs/>
                <w:color w:val="auto"/>
                <w:sz w:val="21"/>
                <w:szCs w:val="21"/>
                <w:highlight w:val="none"/>
              </w:rPr>
              <w:t>分）</w:t>
            </w:r>
          </w:p>
        </w:tc>
      </w:tr>
      <w:tr w14:paraId="1343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90" w:type="dxa"/>
            <w:tcBorders>
              <w:top w:val="single" w:color="auto" w:sz="4" w:space="0"/>
              <w:left w:val="single" w:color="auto" w:sz="4" w:space="0"/>
              <w:right w:val="single" w:color="auto" w:sz="4" w:space="0"/>
            </w:tcBorders>
            <w:noWrap w:val="0"/>
            <w:vAlign w:val="center"/>
          </w:tcPr>
          <w:p w14:paraId="5949C83B">
            <w:pPr>
              <w:pStyle w:val="45"/>
              <w:keepNext w:val="0"/>
              <w:keepLines w:val="0"/>
              <w:pageBreakBefore w:val="0"/>
              <w:kinsoku/>
              <w:wordWrap/>
              <w:overflowPunct/>
              <w:topLinePunct w:val="0"/>
              <w:autoSpaceDE/>
              <w:autoSpaceDN/>
              <w:bidi w:val="0"/>
              <w:spacing w:after="0" w:line="360" w:lineRule="auto"/>
              <w:ind w:firstLine="0" w:firstLineChars="0"/>
              <w:jc w:val="center"/>
              <w:textAlignment w:val="auto"/>
              <w:rPr>
                <w:rFonts w:asci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609" w:type="dxa"/>
            <w:tcBorders>
              <w:top w:val="single" w:color="auto" w:sz="4" w:space="0"/>
              <w:left w:val="single" w:color="auto" w:sz="4" w:space="0"/>
              <w:right w:val="single" w:color="auto" w:sz="4" w:space="0"/>
            </w:tcBorders>
            <w:noWrap w:val="0"/>
            <w:vAlign w:val="center"/>
          </w:tcPr>
          <w:p w14:paraId="3AAB28B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cs="宋体"/>
                <w:color w:val="auto"/>
                <w:szCs w:val="21"/>
                <w:highlight w:val="none"/>
              </w:rPr>
            </w:pPr>
            <w:r>
              <w:rPr>
                <w:rFonts w:hint="eastAsia" w:ascii="宋体" w:hAnsi="宋体" w:eastAsia="宋体" w:cs="宋体"/>
                <w:color w:val="auto"/>
                <w:kern w:val="2"/>
                <w:sz w:val="21"/>
                <w:szCs w:val="21"/>
                <w:highlight w:val="none"/>
              </w:rPr>
              <w:t>业绩情况</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5E2348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cs="宋体"/>
                <w:color w:val="auto"/>
                <w:szCs w:val="21"/>
                <w:highlight w:val="none"/>
                <w:lang w:val="en-US"/>
              </w:rPr>
            </w:pPr>
            <w:r>
              <w:rPr>
                <w:rFonts w:hint="eastAsia" w:ascii="宋体" w:hAnsi="宋体" w:cs="宋体"/>
                <w:color w:val="auto"/>
                <w:kern w:val="2"/>
                <w:sz w:val="21"/>
                <w:szCs w:val="21"/>
                <w:highlight w:val="none"/>
                <w:lang w:val="en-US" w:eastAsia="zh-CN"/>
              </w:rPr>
              <w:t>24</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73CE8E21">
            <w:pPr>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both"/>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投标人承接的项目业绩包含对应采购包配送服务内容【</w:t>
            </w:r>
            <w:r>
              <w:rPr>
                <w:rFonts w:hint="eastAsia" w:ascii="宋体" w:hAnsi="宋体" w:eastAsia="宋体" w:cs="宋体"/>
                <w:bCs/>
                <w:color w:val="auto"/>
                <w:kern w:val="2"/>
                <w:sz w:val="21"/>
                <w:szCs w:val="21"/>
                <w:highlight w:val="none"/>
                <w:lang w:val="en-US" w:eastAsia="zh-CN"/>
              </w:rPr>
              <w:t>或包含其中一类（或以上）类别的</w:t>
            </w:r>
            <w:r>
              <w:rPr>
                <w:rFonts w:hint="eastAsia" w:ascii="宋体" w:hAnsi="宋体" w:eastAsia="宋体" w:cs="宋体"/>
                <w:bCs/>
                <w:color w:val="auto"/>
                <w:kern w:val="2"/>
                <w:sz w:val="21"/>
                <w:szCs w:val="21"/>
                <w:highlight w:val="none"/>
                <w:lang w:val="zh-CN"/>
              </w:rPr>
              <w:t>】的，每提供一个业绩得</w:t>
            </w:r>
            <w:r>
              <w:rPr>
                <w:rFonts w:hint="eastAsia" w:ascii="宋体" w:hAnsi="宋体" w:cs="宋体"/>
                <w:bCs/>
                <w:color w:val="auto"/>
                <w:kern w:val="2"/>
                <w:sz w:val="21"/>
                <w:szCs w:val="21"/>
                <w:highlight w:val="none"/>
                <w:lang w:val="en-US" w:eastAsia="zh-CN"/>
              </w:rPr>
              <w:t>6</w:t>
            </w:r>
            <w:r>
              <w:rPr>
                <w:rFonts w:hint="eastAsia" w:ascii="宋体" w:hAnsi="宋体" w:eastAsia="宋体" w:cs="宋体"/>
                <w:bCs/>
                <w:color w:val="auto"/>
                <w:kern w:val="2"/>
                <w:sz w:val="21"/>
                <w:szCs w:val="21"/>
                <w:highlight w:val="none"/>
                <w:lang w:val="zh-CN"/>
              </w:rPr>
              <w:t>分，本项最高得</w:t>
            </w:r>
            <w:r>
              <w:rPr>
                <w:rFonts w:hint="eastAsia" w:ascii="宋体" w:hAnsi="宋体" w:cs="宋体"/>
                <w:bCs/>
                <w:color w:val="auto"/>
                <w:kern w:val="2"/>
                <w:sz w:val="21"/>
                <w:szCs w:val="21"/>
                <w:highlight w:val="none"/>
                <w:lang w:val="en-US" w:eastAsia="zh-CN"/>
              </w:rPr>
              <w:t>24</w:t>
            </w:r>
            <w:r>
              <w:rPr>
                <w:rFonts w:hint="eastAsia" w:ascii="宋体" w:hAnsi="宋体" w:eastAsia="宋体" w:cs="宋体"/>
                <w:bCs/>
                <w:color w:val="auto"/>
                <w:kern w:val="2"/>
                <w:sz w:val="21"/>
                <w:szCs w:val="21"/>
                <w:highlight w:val="none"/>
                <w:lang w:val="zh-CN"/>
              </w:rPr>
              <w:t>分。</w:t>
            </w:r>
          </w:p>
          <w:p w14:paraId="53E85D00">
            <w:pPr>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both"/>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注：</w:t>
            </w:r>
          </w:p>
          <w:p w14:paraId="64F2C9DB">
            <w:pPr>
              <w:keepNext w:val="0"/>
              <w:keepLines w:val="0"/>
              <w:pageBreakBefore w:val="0"/>
              <w:widowControl w:val="0"/>
              <w:kinsoku/>
              <w:wordWrap/>
              <w:overflowPunct/>
              <w:topLinePunct w:val="0"/>
              <w:autoSpaceDE/>
              <w:autoSpaceDN/>
              <w:bidi w:val="0"/>
              <w:adjustRightInd/>
              <w:snapToGrid/>
              <w:spacing w:after="0" w:line="240" w:lineRule="auto"/>
              <w:ind w:firstLine="420" w:firstLineChars="200"/>
              <w:jc w:val="both"/>
              <w:textAlignment w:val="auto"/>
              <w:rPr>
                <w:rFonts w:hint="eastAsia" w:ascii="宋体" w:hAnsi="宋体" w:eastAsia="宋体" w:cs="宋体"/>
                <w:bCs/>
                <w:color w:val="auto"/>
                <w:kern w:val="2"/>
                <w:sz w:val="21"/>
                <w:szCs w:val="21"/>
                <w:highlight w:val="none"/>
                <w:lang w:val="zh-CN"/>
              </w:rPr>
            </w:pPr>
            <w:r>
              <w:rPr>
                <w:rFonts w:hint="eastAsia" w:ascii="宋体" w:hAnsi="宋体" w:eastAsia="宋体" w:cs="宋体"/>
                <w:bCs/>
                <w:color w:val="auto"/>
                <w:kern w:val="2"/>
                <w:sz w:val="21"/>
                <w:szCs w:val="21"/>
                <w:highlight w:val="none"/>
                <w:lang w:val="zh-CN"/>
              </w:rPr>
              <w:t>①对应采购包配送服务内容：</w:t>
            </w:r>
          </w:p>
          <w:tbl>
            <w:tblPr>
              <w:tblStyle w:val="3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3889"/>
            </w:tblGrid>
            <w:tr w14:paraId="4007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5" w:type="pct"/>
                </w:tcPr>
                <w:p w14:paraId="0B297B61">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Cs/>
                      <w:color w:val="auto"/>
                      <w:kern w:val="2"/>
                      <w:sz w:val="21"/>
                      <w:szCs w:val="21"/>
                      <w:highlight w:val="none"/>
                      <w:lang w:val="zh-CN" w:eastAsia="zh-CN"/>
                    </w:rPr>
                  </w:pPr>
                  <w:r>
                    <w:rPr>
                      <w:rFonts w:hint="eastAsia" w:ascii="宋体" w:hAnsi="宋体" w:eastAsia="宋体" w:cs="宋体"/>
                      <w:bCs/>
                      <w:color w:val="auto"/>
                      <w:kern w:val="2"/>
                      <w:sz w:val="21"/>
                      <w:szCs w:val="21"/>
                      <w:highlight w:val="none"/>
                      <w:lang w:val="zh-CN" w:eastAsia="zh-CN"/>
                    </w:rPr>
                    <w:t>采购包号</w:t>
                  </w:r>
                </w:p>
              </w:tc>
              <w:tc>
                <w:tcPr>
                  <w:tcW w:w="3714" w:type="pct"/>
                </w:tcPr>
                <w:p w14:paraId="39400FDA">
                  <w:pPr>
                    <w:keepNext w:val="0"/>
                    <w:keepLines w:val="0"/>
                    <w:pageBreakBefore w:val="0"/>
                    <w:widowControl/>
                    <w:kinsoku/>
                    <w:wordWrap/>
                    <w:overflowPunct/>
                    <w:topLinePunct w:val="0"/>
                    <w:autoSpaceDE/>
                    <w:autoSpaceDN/>
                    <w:bidi w:val="0"/>
                    <w:adjustRightInd/>
                    <w:snapToGrid/>
                    <w:spacing w:after="0" w:line="360" w:lineRule="auto"/>
                    <w:ind w:firstLine="0" w:firstLineChars="0"/>
                    <w:jc w:val="center"/>
                    <w:textAlignment w:val="auto"/>
                    <w:rPr>
                      <w:rFonts w:hint="eastAsia" w:ascii="宋体" w:hAnsi="宋体" w:eastAsia="宋体"/>
                      <w:b w:val="0"/>
                      <w:bCs w:val="0"/>
                      <w:color w:val="auto"/>
                      <w:sz w:val="21"/>
                      <w:szCs w:val="21"/>
                      <w:highlight w:val="none"/>
                      <w:lang w:eastAsia="zh-CN"/>
                    </w:rPr>
                  </w:pPr>
                  <w:r>
                    <w:rPr>
                      <w:rFonts w:hint="eastAsia" w:ascii="宋体" w:hAnsi="宋体" w:eastAsia="宋体" w:cs="Times New Roman"/>
                      <w:b w:val="0"/>
                      <w:bCs w:val="0"/>
                      <w:color w:val="auto"/>
                      <w:sz w:val="21"/>
                      <w:szCs w:val="21"/>
                      <w:highlight w:val="none"/>
                      <w:vertAlign w:val="baseline"/>
                      <w:lang w:val="en-US" w:eastAsia="zh-CN" w:bidi="ar-SA"/>
                    </w:rPr>
                    <w:t>采购内容</w:t>
                  </w:r>
                </w:p>
              </w:tc>
            </w:tr>
            <w:tr w14:paraId="49686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6787181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zh-CN"/>
                    </w:rPr>
                    <w:t>包A</w:t>
                  </w:r>
                </w:p>
              </w:tc>
              <w:tc>
                <w:tcPr>
                  <w:tcW w:w="3889" w:type="dxa"/>
                  <w:vAlign w:val="center"/>
                </w:tcPr>
                <w:p w14:paraId="4E200E1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Times New Roman"/>
                      <w:b w:val="0"/>
                      <w:bCs w:val="0"/>
                      <w:color w:val="auto"/>
                      <w:sz w:val="21"/>
                      <w:szCs w:val="21"/>
                      <w:highlight w:val="none"/>
                      <w:vertAlign w:val="baseline"/>
                      <w:lang w:val="en-US" w:eastAsia="zh-CN" w:bidi="ar-SA"/>
                    </w:rPr>
                  </w:pPr>
                  <w:r>
                    <w:rPr>
                      <w:rFonts w:hint="eastAsia" w:ascii="宋体" w:hAnsi="宋体" w:eastAsia="宋体"/>
                      <w:color w:val="auto"/>
                      <w:sz w:val="21"/>
                      <w:szCs w:val="21"/>
                      <w:highlight w:val="none"/>
                      <w:lang w:val="en-US" w:eastAsia="zh-CN"/>
                    </w:rPr>
                    <w:t>肉类、蔬菜类</w:t>
                  </w:r>
                </w:p>
              </w:tc>
            </w:tr>
            <w:tr w14:paraId="5A37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573E6927">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zh-CN"/>
                    </w:rPr>
                    <w:t>包</w:t>
                  </w:r>
                  <w:r>
                    <w:rPr>
                      <w:rFonts w:hint="eastAsia" w:ascii="宋体" w:hAnsi="宋体" w:eastAsia="宋体" w:cs="宋体"/>
                      <w:bCs/>
                      <w:color w:val="auto"/>
                      <w:kern w:val="2"/>
                      <w:sz w:val="21"/>
                      <w:szCs w:val="21"/>
                      <w:highlight w:val="none"/>
                      <w:lang w:val="en-US" w:eastAsia="zh-CN"/>
                    </w:rPr>
                    <w:t>B</w:t>
                  </w:r>
                </w:p>
              </w:tc>
              <w:tc>
                <w:tcPr>
                  <w:tcW w:w="3889" w:type="dxa"/>
                  <w:vAlign w:val="center"/>
                </w:tcPr>
                <w:p w14:paraId="110882B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Times New Roman"/>
                      <w:b w:val="0"/>
                      <w:bCs w:val="0"/>
                      <w:color w:val="auto"/>
                      <w:sz w:val="21"/>
                      <w:szCs w:val="21"/>
                      <w:highlight w:val="none"/>
                      <w:vertAlign w:val="baseline"/>
                      <w:lang w:val="en-US" w:eastAsia="zh-CN" w:bidi="ar-SA"/>
                    </w:rPr>
                  </w:pPr>
                  <w:r>
                    <w:rPr>
                      <w:rFonts w:hint="eastAsia" w:ascii="宋体" w:hAnsi="宋体"/>
                      <w:color w:val="auto"/>
                      <w:sz w:val="21"/>
                      <w:szCs w:val="21"/>
                      <w:highlight w:val="none"/>
                      <w:lang w:val="en-US" w:eastAsia="zh-CN"/>
                    </w:rPr>
                    <w:t>粮油、干货、调味品类</w:t>
                  </w:r>
                </w:p>
              </w:tc>
            </w:tr>
            <w:tr w14:paraId="1AA0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1C65F50A">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zh-CN"/>
                    </w:rPr>
                    <w:t>包</w:t>
                  </w:r>
                  <w:r>
                    <w:rPr>
                      <w:rFonts w:hint="eastAsia" w:ascii="宋体" w:hAnsi="宋体" w:eastAsia="宋体" w:cs="宋体"/>
                      <w:bCs/>
                      <w:color w:val="auto"/>
                      <w:kern w:val="2"/>
                      <w:sz w:val="21"/>
                      <w:szCs w:val="21"/>
                      <w:highlight w:val="none"/>
                      <w:lang w:val="en-US" w:eastAsia="zh-CN"/>
                    </w:rPr>
                    <w:t>C</w:t>
                  </w:r>
                </w:p>
              </w:tc>
              <w:tc>
                <w:tcPr>
                  <w:tcW w:w="3889" w:type="dxa"/>
                  <w:vAlign w:val="center"/>
                </w:tcPr>
                <w:p w14:paraId="128E5295">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Times New Roman"/>
                      <w:b w:val="0"/>
                      <w:bCs w:val="0"/>
                      <w:color w:val="auto"/>
                      <w:sz w:val="21"/>
                      <w:szCs w:val="21"/>
                      <w:highlight w:val="none"/>
                      <w:vertAlign w:val="baseline"/>
                      <w:lang w:val="en-US" w:eastAsia="zh-CN" w:bidi="ar-SA"/>
                    </w:rPr>
                  </w:pPr>
                  <w:r>
                    <w:rPr>
                      <w:rFonts w:hint="eastAsia" w:ascii="宋体" w:hAnsi="宋体" w:eastAsia="宋体"/>
                      <w:color w:val="auto"/>
                      <w:sz w:val="21"/>
                      <w:szCs w:val="21"/>
                      <w:highlight w:val="none"/>
                      <w:lang w:val="en-US" w:eastAsia="zh-CN"/>
                    </w:rPr>
                    <w:t>包点类</w:t>
                  </w:r>
                </w:p>
              </w:tc>
            </w:tr>
            <w:tr w14:paraId="4E7D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45" w:type="dxa"/>
                  <w:vAlign w:val="center"/>
                </w:tcPr>
                <w:p w14:paraId="07A6721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bCs/>
                      <w:color w:val="auto"/>
                      <w:kern w:val="2"/>
                      <w:sz w:val="21"/>
                      <w:szCs w:val="21"/>
                      <w:highlight w:val="none"/>
                      <w:lang w:val="en-US" w:eastAsia="zh-CN"/>
                    </w:rPr>
                  </w:pPr>
                  <w:r>
                    <w:rPr>
                      <w:rFonts w:hint="eastAsia" w:ascii="宋体" w:hAnsi="宋体" w:eastAsia="宋体" w:cs="宋体"/>
                      <w:bCs/>
                      <w:color w:val="auto"/>
                      <w:kern w:val="2"/>
                      <w:sz w:val="21"/>
                      <w:szCs w:val="21"/>
                      <w:highlight w:val="none"/>
                      <w:lang w:val="zh-CN"/>
                    </w:rPr>
                    <w:t>包</w:t>
                  </w:r>
                  <w:r>
                    <w:rPr>
                      <w:rFonts w:hint="eastAsia" w:ascii="宋体" w:hAnsi="宋体" w:eastAsia="宋体" w:cs="宋体"/>
                      <w:bCs/>
                      <w:color w:val="auto"/>
                      <w:kern w:val="2"/>
                      <w:sz w:val="21"/>
                      <w:szCs w:val="21"/>
                      <w:highlight w:val="none"/>
                      <w:lang w:val="en-US" w:eastAsia="zh-CN"/>
                    </w:rPr>
                    <w:t>D</w:t>
                  </w:r>
                </w:p>
              </w:tc>
              <w:tc>
                <w:tcPr>
                  <w:tcW w:w="3889" w:type="dxa"/>
                  <w:vAlign w:val="center"/>
                </w:tcPr>
                <w:p w14:paraId="28B2BFC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Times New Roman"/>
                      <w:b w:val="0"/>
                      <w:bCs w:val="0"/>
                      <w:color w:val="auto"/>
                      <w:sz w:val="21"/>
                      <w:szCs w:val="21"/>
                      <w:highlight w:val="none"/>
                      <w:vertAlign w:val="baseline"/>
                      <w:lang w:val="en-US" w:eastAsia="zh-CN" w:bidi="ar-SA"/>
                    </w:rPr>
                  </w:pPr>
                  <w:r>
                    <w:rPr>
                      <w:rFonts w:hint="eastAsia" w:ascii="宋体" w:hAnsi="宋体" w:eastAsia="宋体"/>
                      <w:color w:val="auto"/>
                      <w:sz w:val="21"/>
                      <w:szCs w:val="21"/>
                      <w:highlight w:val="none"/>
                      <w:lang w:val="en-US" w:eastAsia="zh-CN"/>
                    </w:rPr>
                    <w:t>牛奶、饼干类</w:t>
                  </w:r>
                </w:p>
              </w:tc>
            </w:tr>
          </w:tbl>
          <w:p w14:paraId="0084068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ascii="宋体" w:cs="宋体"/>
                <w:bCs/>
                <w:color w:val="auto"/>
                <w:szCs w:val="21"/>
                <w:highlight w:val="none"/>
                <w:lang w:val="zh-CN"/>
              </w:rPr>
            </w:pPr>
            <w:r>
              <w:rPr>
                <w:rFonts w:hint="eastAsia" w:ascii="宋体" w:hAnsi="宋体" w:eastAsia="宋体" w:cs="宋体"/>
                <w:bCs/>
                <w:color w:val="auto"/>
                <w:sz w:val="21"/>
                <w:szCs w:val="21"/>
                <w:highlight w:val="none"/>
                <w:lang w:val="zh-CN"/>
              </w:rPr>
              <w:t>②须提供合同复印件并加盖公章，提供的合同复印件不全、不清晰、未提供或无法判断内容的，不得分。</w:t>
            </w:r>
          </w:p>
        </w:tc>
      </w:tr>
      <w:tr w14:paraId="5895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12797275">
            <w:pPr>
              <w:pStyle w:val="45"/>
              <w:spacing w:line="360" w:lineRule="auto"/>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lang w:val="en-US" w:eastAsia="zh-CN"/>
              </w:rPr>
              <w:t>2</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ADB0464">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ascii="宋体" w:cs="宋体"/>
                <w:color w:val="auto"/>
                <w:szCs w:val="21"/>
                <w:highlight w:val="none"/>
              </w:rPr>
            </w:pPr>
            <w:r>
              <w:rPr>
                <w:rFonts w:hint="eastAsia" w:ascii="宋体" w:hAnsi="宋体" w:eastAsia="宋体" w:cs="宋体"/>
                <w:color w:val="auto"/>
                <w:kern w:val="2"/>
                <w:sz w:val="21"/>
                <w:szCs w:val="21"/>
                <w:highlight w:val="none"/>
              </w:rPr>
              <w:t>服务便利性</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0BD3135E">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eastAsia" w:ascii="宋体" w:eastAsia="宋体" w:cs="宋体"/>
                <w:color w:val="auto"/>
                <w:szCs w:val="21"/>
                <w:highlight w:val="none"/>
                <w:lang w:eastAsia="zh-CN"/>
              </w:rPr>
            </w:pPr>
            <w:r>
              <w:rPr>
                <w:rFonts w:hint="eastAsia" w:ascii="宋体" w:hAnsi="宋体" w:cs="宋体"/>
                <w:color w:val="auto"/>
                <w:kern w:val="2"/>
                <w:sz w:val="21"/>
                <w:szCs w:val="21"/>
                <w:highlight w:val="none"/>
                <w:lang w:val="en-US" w:eastAsia="zh-CN"/>
              </w:rPr>
              <w:t>6</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079BB017">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bCs/>
                <w:color w:val="auto"/>
                <w:sz w:val="21"/>
                <w:szCs w:val="21"/>
                <w:highlight w:val="none"/>
                <w:lang w:val="pt-BR" w:eastAsia="zh-CN"/>
              </w:rPr>
            </w:pPr>
            <w:r>
              <w:rPr>
                <w:rFonts w:hint="eastAsia" w:ascii="宋体" w:hAnsi="宋体" w:eastAsia="宋体" w:cs="宋体"/>
                <w:bCs/>
                <w:color w:val="auto"/>
                <w:sz w:val="21"/>
                <w:szCs w:val="21"/>
                <w:highlight w:val="none"/>
                <w:lang w:val="pt-BR"/>
              </w:rPr>
              <w:t>根据投标人提供的服务响应时间承诺进行</w:t>
            </w:r>
            <w:r>
              <w:rPr>
                <w:rFonts w:hint="eastAsia" w:ascii="宋体" w:hAnsi="宋体" w:eastAsia="宋体" w:cs="宋体"/>
                <w:bCs/>
                <w:color w:val="auto"/>
                <w:sz w:val="21"/>
                <w:szCs w:val="21"/>
                <w:highlight w:val="none"/>
                <w:lang w:val="pt-BR" w:eastAsia="zh-CN"/>
              </w:rPr>
              <w:t>评审：</w:t>
            </w:r>
          </w:p>
          <w:p w14:paraId="4B1608A9">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bCs/>
                <w:color w:val="auto"/>
                <w:sz w:val="21"/>
                <w:szCs w:val="21"/>
                <w:highlight w:val="none"/>
                <w:lang w:val="pt-BR"/>
              </w:rPr>
            </w:pPr>
            <w:r>
              <w:rPr>
                <w:rFonts w:hint="eastAsia" w:ascii="宋体" w:hAnsi="宋体" w:eastAsia="宋体" w:cs="宋体"/>
                <w:bCs/>
                <w:color w:val="auto"/>
                <w:sz w:val="21"/>
                <w:szCs w:val="21"/>
                <w:highlight w:val="none"/>
                <w:lang w:val="pt-BR"/>
              </w:rPr>
              <w:t>（1）投标人承诺在接到采购人通知后</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lang w:val="pt-BR"/>
              </w:rPr>
              <w:t>小时</w:t>
            </w:r>
            <w:r>
              <w:rPr>
                <w:rFonts w:hint="eastAsia" w:ascii="宋体" w:hAnsi="宋体" w:cs="宋体"/>
                <w:bCs/>
                <w:color w:val="auto"/>
                <w:sz w:val="21"/>
                <w:szCs w:val="21"/>
                <w:highlight w:val="none"/>
                <w:lang w:val="pt-BR" w:eastAsia="zh-CN"/>
              </w:rPr>
              <w:t>（</w:t>
            </w:r>
            <w:r>
              <w:rPr>
                <w:rFonts w:hint="eastAsia" w:ascii="宋体" w:hAnsi="宋体" w:cs="宋体"/>
                <w:bCs/>
                <w:color w:val="auto"/>
                <w:sz w:val="21"/>
                <w:szCs w:val="21"/>
                <w:highlight w:val="none"/>
                <w:lang w:val="en-US" w:eastAsia="zh-CN"/>
              </w:rPr>
              <w:t>含</w:t>
            </w:r>
            <w:r>
              <w:rPr>
                <w:rFonts w:hint="eastAsia" w:ascii="宋体" w:hAnsi="宋体" w:cs="宋体"/>
                <w:bCs/>
                <w:color w:val="auto"/>
                <w:sz w:val="21"/>
                <w:szCs w:val="21"/>
                <w:highlight w:val="none"/>
                <w:lang w:val="pt-BR" w:eastAsia="zh-CN"/>
              </w:rPr>
              <w:t>）</w:t>
            </w:r>
            <w:r>
              <w:rPr>
                <w:rFonts w:hint="eastAsia" w:ascii="宋体" w:hAnsi="宋体" w:eastAsia="宋体" w:cs="宋体"/>
                <w:bCs/>
                <w:color w:val="auto"/>
                <w:sz w:val="21"/>
                <w:szCs w:val="21"/>
                <w:highlight w:val="none"/>
                <w:lang w:val="pt-BR"/>
              </w:rPr>
              <w:t>内到现场，得</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pt-BR"/>
              </w:rPr>
              <w:t>分；</w:t>
            </w:r>
          </w:p>
          <w:p w14:paraId="3670E46A">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bCs/>
                <w:color w:val="auto"/>
                <w:sz w:val="21"/>
                <w:szCs w:val="21"/>
                <w:highlight w:val="none"/>
                <w:lang w:val="pt-BR"/>
              </w:rPr>
            </w:pPr>
            <w:r>
              <w:rPr>
                <w:rFonts w:hint="eastAsia" w:ascii="宋体" w:hAnsi="宋体" w:eastAsia="宋体" w:cs="宋体"/>
                <w:bCs/>
                <w:color w:val="auto"/>
                <w:sz w:val="21"/>
                <w:szCs w:val="21"/>
                <w:highlight w:val="none"/>
                <w:lang w:val="pt-BR"/>
              </w:rPr>
              <w:t>（2）投标人承诺在接到采购人通知后</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pt-BR"/>
              </w:rPr>
              <w:t>小时</w:t>
            </w:r>
            <w:r>
              <w:rPr>
                <w:rFonts w:hint="eastAsia" w:ascii="宋体" w:hAnsi="宋体" w:cs="宋体"/>
                <w:bCs/>
                <w:color w:val="auto"/>
                <w:sz w:val="21"/>
                <w:szCs w:val="21"/>
                <w:highlight w:val="none"/>
                <w:lang w:val="pt-BR" w:eastAsia="zh-CN"/>
              </w:rPr>
              <w:t>（</w:t>
            </w:r>
            <w:r>
              <w:rPr>
                <w:rFonts w:hint="eastAsia" w:ascii="宋体" w:hAnsi="宋体" w:cs="宋体"/>
                <w:bCs/>
                <w:color w:val="auto"/>
                <w:sz w:val="21"/>
                <w:szCs w:val="21"/>
                <w:highlight w:val="none"/>
                <w:lang w:val="en-US" w:eastAsia="zh-CN"/>
              </w:rPr>
              <w:t>含</w:t>
            </w:r>
            <w:r>
              <w:rPr>
                <w:rFonts w:hint="eastAsia" w:ascii="宋体" w:hAnsi="宋体" w:cs="宋体"/>
                <w:bCs/>
                <w:color w:val="auto"/>
                <w:sz w:val="21"/>
                <w:szCs w:val="21"/>
                <w:highlight w:val="none"/>
                <w:lang w:val="pt-BR" w:eastAsia="zh-CN"/>
              </w:rPr>
              <w:t>）</w:t>
            </w:r>
            <w:r>
              <w:rPr>
                <w:rFonts w:hint="eastAsia" w:ascii="宋体" w:hAnsi="宋体" w:eastAsia="宋体" w:cs="宋体"/>
                <w:bCs/>
                <w:color w:val="auto"/>
                <w:sz w:val="21"/>
                <w:szCs w:val="21"/>
                <w:highlight w:val="none"/>
                <w:lang w:val="pt-BR"/>
              </w:rPr>
              <w:t>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pt-BR"/>
              </w:rPr>
              <w:t>分；</w:t>
            </w:r>
          </w:p>
          <w:p w14:paraId="7DB20AD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bCs/>
                <w:color w:val="auto"/>
                <w:sz w:val="21"/>
                <w:szCs w:val="21"/>
                <w:highlight w:val="none"/>
                <w:lang w:val="pt-BR"/>
              </w:rPr>
            </w:pPr>
            <w:r>
              <w:rPr>
                <w:rFonts w:hint="eastAsia" w:ascii="宋体" w:hAnsi="宋体" w:eastAsia="宋体" w:cs="宋体"/>
                <w:bCs/>
                <w:color w:val="auto"/>
                <w:sz w:val="21"/>
                <w:szCs w:val="21"/>
                <w:highlight w:val="none"/>
                <w:lang w:val="pt-BR"/>
              </w:rPr>
              <w:t>（3）投标人承诺在接到采购人通知后</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pt-BR"/>
              </w:rPr>
              <w:t>小时</w:t>
            </w:r>
            <w:r>
              <w:rPr>
                <w:rFonts w:hint="eastAsia" w:ascii="宋体" w:hAnsi="宋体" w:cs="宋体"/>
                <w:bCs/>
                <w:color w:val="auto"/>
                <w:sz w:val="21"/>
                <w:szCs w:val="21"/>
                <w:highlight w:val="none"/>
                <w:lang w:val="pt-BR" w:eastAsia="zh-CN"/>
              </w:rPr>
              <w:t>（</w:t>
            </w:r>
            <w:r>
              <w:rPr>
                <w:rFonts w:hint="eastAsia" w:ascii="宋体" w:hAnsi="宋体" w:cs="宋体"/>
                <w:bCs/>
                <w:color w:val="auto"/>
                <w:sz w:val="21"/>
                <w:szCs w:val="21"/>
                <w:highlight w:val="none"/>
                <w:lang w:val="en-US" w:eastAsia="zh-CN"/>
              </w:rPr>
              <w:t>含</w:t>
            </w:r>
            <w:r>
              <w:rPr>
                <w:rFonts w:hint="eastAsia" w:ascii="宋体" w:hAnsi="宋体" w:cs="宋体"/>
                <w:bCs/>
                <w:color w:val="auto"/>
                <w:sz w:val="21"/>
                <w:szCs w:val="21"/>
                <w:highlight w:val="none"/>
                <w:lang w:val="pt-BR" w:eastAsia="zh-CN"/>
              </w:rPr>
              <w:t>）</w:t>
            </w:r>
            <w:r>
              <w:rPr>
                <w:rFonts w:hint="eastAsia" w:ascii="宋体" w:hAnsi="宋体" w:eastAsia="宋体" w:cs="宋体"/>
                <w:bCs/>
                <w:color w:val="auto"/>
                <w:sz w:val="21"/>
                <w:szCs w:val="21"/>
                <w:highlight w:val="none"/>
                <w:lang w:val="pt-BR"/>
              </w:rPr>
              <w:t>内到现场，得</w:t>
            </w:r>
            <w:r>
              <w:rPr>
                <w:rFonts w:hint="eastAsia" w:ascii="宋体" w:hAnsi="宋体" w:cs="宋体"/>
                <w:bCs/>
                <w:color w:val="auto"/>
                <w:sz w:val="21"/>
                <w:szCs w:val="21"/>
                <w:highlight w:val="none"/>
                <w:lang w:val="en-US" w:eastAsia="zh-CN"/>
              </w:rPr>
              <w:t>1</w:t>
            </w:r>
            <w:r>
              <w:rPr>
                <w:rFonts w:hint="eastAsia" w:ascii="宋体" w:hAnsi="宋体" w:eastAsia="宋体" w:cs="宋体"/>
                <w:bCs/>
                <w:color w:val="auto"/>
                <w:sz w:val="21"/>
                <w:szCs w:val="21"/>
                <w:highlight w:val="none"/>
                <w:lang w:val="pt-BR"/>
              </w:rPr>
              <w:t>分；</w:t>
            </w:r>
          </w:p>
          <w:p w14:paraId="23CBBBD9">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bCs/>
                <w:color w:val="auto"/>
                <w:sz w:val="21"/>
                <w:szCs w:val="21"/>
                <w:highlight w:val="none"/>
                <w:lang w:val="pt-BR"/>
              </w:rPr>
            </w:pPr>
            <w:r>
              <w:rPr>
                <w:rFonts w:hint="eastAsia" w:ascii="宋体" w:hAnsi="宋体" w:eastAsia="宋体" w:cs="宋体"/>
                <w:bCs/>
                <w:color w:val="auto"/>
                <w:sz w:val="21"/>
                <w:szCs w:val="21"/>
                <w:highlight w:val="none"/>
                <w:lang w:val="pt-BR"/>
              </w:rPr>
              <w:t>（4）投标人未承诺或承诺在接到采购人通知后超过</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pt-BR"/>
              </w:rPr>
              <w:t>小时</w:t>
            </w:r>
            <w:r>
              <w:rPr>
                <w:rFonts w:hint="eastAsia" w:ascii="宋体" w:hAnsi="宋体" w:cs="宋体"/>
                <w:bCs/>
                <w:color w:val="auto"/>
                <w:sz w:val="21"/>
                <w:szCs w:val="21"/>
                <w:highlight w:val="none"/>
                <w:lang w:val="pt-BR" w:eastAsia="zh-CN"/>
              </w:rPr>
              <w:t>（</w:t>
            </w:r>
            <w:r>
              <w:rPr>
                <w:rFonts w:hint="eastAsia" w:ascii="宋体" w:hAnsi="宋体" w:cs="宋体"/>
                <w:bCs/>
                <w:color w:val="auto"/>
                <w:sz w:val="21"/>
                <w:szCs w:val="21"/>
                <w:highlight w:val="none"/>
                <w:lang w:val="en-US" w:eastAsia="zh-CN"/>
              </w:rPr>
              <w:t>不含</w:t>
            </w:r>
            <w:r>
              <w:rPr>
                <w:rFonts w:hint="eastAsia" w:ascii="宋体" w:hAnsi="宋体" w:cs="宋体"/>
                <w:bCs/>
                <w:color w:val="auto"/>
                <w:sz w:val="21"/>
                <w:szCs w:val="21"/>
                <w:highlight w:val="none"/>
                <w:lang w:val="pt-BR" w:eastAsia="zh-CN"/>
              </w:rPr>
              <w:t>）</w:t>
            </w:r>
            <w:r>
              <w:rPr>
                <w:rFonts w:hint="eastAsia" w:ascii="宋体" w:hAnsi="宋体" w:eastAsia="宋体" w:cs="宋体"/>
                <w:bCs/>
                <w:color w:val="auto"/>
                <w:sz w:val="21"/>
                <w:szCs w:val="21"/>
                <w:highlight w:val="none"/>
                <w:lang w:val="pt-BR"/>
              </w:rPr>
              <w:t>到现场，不得分。</w:t>
            </w:r>
          </w:p>
          <w:p w14:paraId="2DF4DEFB">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ascii="宋体" w:cs="宋体"/>
                <w:bCs/>
                <w:color w:val="auto"/>
                <w:szCs w:val="21"/>
                <w:highlight w:val="none"/>
                <w:lang w:val="zh-CN"/>
              </w:rPr>
            </w:pPr>
            <w:r>
              <w:rPr>
                <w:rFonts w:hint="eastAsia" w:ascii="宋体" w:hAnsi="宋体" w:eastAsia="宋体" w:cs="宋体"/>
                <w:bCs/>
                <w:color w:val="auto"/>
                <w:sz w:val="21"/>
                <w:szCs w:val="21"/>
                <w:highlight w:val="none"/>
                <w:lang w:val="pt-BR"/>
              </w:rPr>
              <w:t>注：须提供服务承诺书并加盖投标人公章，否则不得分。</w:t>
            </w:r>
          </w:p>
        </w:tc>
      </w:tr>
      <w:tr w14:paraId="623B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5"/>
            <w:tcBorders>
              <w:top w:val="single" w:color="auto" w:sz="4" w:space="0"/>
              <w:left w:val="single" w:color="auto" w:sz="4" w:space="0"/>
              <w:bottom w:val="single" w:color="auto" w:sz="4" w:space="0"/>
              <w:right w:val="single" w:color="auto" w:sz="4" w:space="0"/>
            </w:tcBorders>
            <w:noWrap w:val="0"/>
            <w:vAlign w:val="center"/>
          </w:tcPr>
          <w:p w14:paraId="02324D1E">
            <w:pPr>
              <w:pStyle w:val="45"/>
              <w:spacing w:line="240" w:lineRule="auto"/>
              <w:ind w:firstLine="0" w:firstLineChars="0"/>
              <w:jc w:val="center"/>
              <w:rPr>
                <w:rFonts w:ascii="宋体" w:eastAsia="宋体" w:cs="宋体"/>
                <w:color w:val="auto"/>
                <w:sz w:val="21"/>
                <w:szCs w:val="21"/>
                <w:highlight w:val="none"/>
              </w:rPr>
            </w:pPr>
            <w:r>
              <w:rPr>
                <w:rFonts w:hint="eastAsia" w:ascii="宋体" w:eastAsia="宋体" w:cs="宋体"/>
                <w:b/>
                <w:bCs/>
                <w:color w:val="auto"/>
                <w:sz w:val="21"/>
                <w:szCs w:val="21"/>
                <w:highlight w:val="none"/>
              </w:rPr>
              <w:t>技术评审（</w:t>
            </w:r>
            <w:r>
              <w:rPr>
                <w:rFonts w:hint="eastAsia" w:ascii="宋体" w:eastAsia="宋体" w:cs="宋体"/>
                <w:b/>
                <w:bCs/>
                <w:color w:val="auto"/>
                <w:sz w:val="21"/>
                <w:szCs w:val="21"/>
                <w:highlight w:val="none"/>
                <w:lang w:val="en-US" w:eastAsia="zh-CN"/>
              </w:rPr>
              <w:t>60</w:t>
            </w:r>
            <w:r>
              <w:rPr>
                <w:rFonts w:hint="eastAsia" w:ascii="宋体" w:eastAsia="宋体" w:cs="宋体"/>
                <w:b/>
                <w:bCs/>
                <w:color w:val="auto"/>
                <w:sz w:val="21"/>
                <w:szCs w:val="21"/>
                <w:highlight w:val="none"/>
              </w:rPr>
              <w:t>分）</w:t>
            </w:r>
          </w:p>
        </w:tc>
      </w:tr>
      <w:tr w14:paraId="2FE4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1A446C1D">
            <w:pPr>
              <w:pStyle w:val="45"/>
              <w:spacing w:line="36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7215C0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ascii="宋体" w:cs="宋体"/>
                <w:color w:val="auto"/>
                <w:szCs w:val="21"/>
                <w:highlight w:val="none"/>
              </w:rPr>
            </w:pPr>
            <w:r>
              <w:rPr>
                <w:rFonts w:hint="eastAsia" w:ascii="宋体" w:hAnsi="宋体" w:eastAsia="宋体" w:cs="宋体"/>
                <w:color w:val="auto"/>
                <w:kern w:val="2"/>
                <w:sz w:val="21"/>
                <w:szCs w:val="21"/>
                <w:highlight w:val="none"/>
              </w:rPr>
              <w:t>对项目重点难点分析</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01A6985B">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default" w:ascii="宋体" w:cs="宋体"/>
                <w:color w:val="auto"/>
                <w:szCs w:val="21"/>
                <w:highlight w:val="none"/>
                <w:lang w:val="en-US"/>
              </w:rPr>
            </w:pPr>
            <w:r>
              <w:rPr>
                <w:rFonts w:hint="eastAsia" w:ascii="宋体" w:hAnsi="宋体" w:cs="宋体"/>
                <w:bCs/>
                <w:color w:val="auto"/>
                <w:sz w:val="21"/>
                <w:szCs w:val="21"/>
                <w:highlight w:val="none"/>
                <w:lang w:val="en-US" w:eastAsia="zh-CN"/>
              </w:rPr>
              <w:t>10</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03E8D7C5">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根据投标人对</w:t>
            </w:r>
            <w:r>
              <w:rPr>
                <w:rFonts w:hint="eastAsia" w:ascii="宋体" w:hAnsi="宋体" w:eastAsia="宋体" w:cs="宋体"/>
                <w:color w:val="auto"/>
                <w:kern w:val="2"/>
                <w:sz w:val="21"/>
                <w:szCs w:val="21"/>
                <w:highlight w:val="none"/>
              </w:rPr>
              <w:t>项目重点难点分析</w:t>
            </w:r>
            <w:r>
              <w:rPr>
                <w:rFonts w:hint="eastAsia" w:ascii="宋体" w:hAnsi="宋体" w:cs="宋体"/>
                <w:color w:val="auto"/>
                <w:kern w:val="2"/>
                <w:sz w:val="21"/>
                <w:szCs w:val="21"/>
                <w:highlight w:val="none"/>
                <w:lang w:val="en-US" w:eastAsia="zh-CN"/>
              </w:rPr>
              <w:t>的</w:t>
            </w:r>
            <w:r>
              <w:rPr>
                <w:rFonts w:hint="eastAsia" w:ascii="宋体" w:hAnsi="宋体" w:eastAsia="宋体" w:cs="宋体"/>
                <w:color w:val="auto"/>
                <w:kern w:val="2"/>
                <w:sz w:val="21"/>
                <w:szCs w:val="21"/>
                <w:highlight w:val="none"/>
              </w:rPr>
              <w:t>详细、透彻</w:t>
            </w:r>
            <w:r>
              <w:rPr>
                <w:rFonts w:hint="eastAsia" w:ascii="宋体" w:hAnsi="宋体" w:cs="宋体"/>
                <w:color w:val="auto"/>
                <w:kern w:val="2"/>
                <w:sz w:val="21"/>
                <w:szCs w:val="21"/>
                <w:highlight w:val="none"/>
                <w:lang w:val="en-US" w:eastAsia="zh-CN"/>
              </w:rPr>
              <w:t>程度及能否</w:t>
            </w:r>
            <w:r>
              <w:rPr>
                <w:rFonts w:hint="eastAsia" w:ascii="宋体" w:hAnsi="宋体" w:eastAsia="宋体" w:cs="宋体"/>
                <w:color w:val="auto"/>
                <w:kern w:val="2"/>
                <w:sz w:val="21"/>
                <w:szCs w:val="21"/>
                <w:highlight w:val="none"/>
              </w:rPr>
              <w:t>结合本项目实际情况</w:t>
            </w:r>
            <w:r>
              <w:rPr>
                <w:rFonts w:hint="eastAsia" w:ascii="宋体" w:hAnsi="宋体" w:cs="宋体"/>
                <w:color w:val="auto"/>
                <w:kern w:val="2"/>
                <w:sz w:val="21"/>
                <w:szCs w:val="21"/>
                <w:highlight w:val="none"/>
                <w:lang w:val="en-US" w:eastAsia="zh-CN"/>
              </w:rPr>
              <w:t>分析等情况进行综合评审：</w:t>
            </w:r>
          </w:p>
          <w:p w14:paraId="75D9C058">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1)对本项目重点难点分析详细、透彻，能结合本项目实际情况分析，科学、合理的，得</w:t>
            </w:r>
            <w:r>
              <w:rPr>
                <w:rFonts w:hint="eastAsia" w:ascii="宋体" w:hAnsi="宋体" w:cs="宋体"/>
                <w:color w:val="auto"/>
                <w:kern w:val="2"/>
                <w:sz w:val="21"/>
                <w:szCs w:val="21"/>
                <w:highlight w:val="none"/>
                <w:lang w:val="en-US" w:eastAsia="zh-CN"/>
              </w:rPr>
              <w:t>10</w:t>
            </w:r>
            <w:r>
              <w:rPr>
                <w:rFonts w:hint="eastAsia" w:ascii="宋体" w:hAnsi="宋体" w:eastAsia="宋体" w:cs="宋体"/>
                <w:color w:val="auto"/>
                <w:kern w:val="2"/>
                <w:sz w:val="21"/>
                <w:szCs w:val="21"/>
                <w:highlight w:val="none"/>
              </w:rPr>
              <w:t>分；</w:t>
            </w:r>
          </w:p>
          <w:p w14:paraId="43D11FFB">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2)对本项目重点难点分析较详细、透彻，能结合本项目实际情况分析，较科学、合理的，得</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分；</w:t>
            </w:r>
          </w:p>
          <w:p w14:paraId="047F55AA">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)对本项目重点难点分析</w:t>
            </w:r>
            <w:r>
              <w:rPr>
                <w:rFonts w:hint="eastAsia" w:ascii="宋体" w:hAnsi="宋体" w:cs="宋体"/>
                <w:color w:val="auto"/>
                <w:kern w:val="2"/>
                <w:sz w:val="21"/>
                <w:szCs w:val="21"/>
                <w:highlight w:val="none"/>
                <w:lang w:val="en-US" w:eastAsia="zh-CN"/>
              </w:rPr>
              <w:t>基本</w:t>
            </w:r>
            <w:r>
              <w:rPr>
                <w:rFonts w:hint="eastAsia" w:ascii="宋体" w:hAnsi="宋体" w:eastAsia="宋体" w:cs="宋体"/>
                <w:color w:val="auto"/>
                <w:kern w:val="2"/>
                <w:sz w:val="21"/>
                <w:szCs w:val="21"/>
                <w:highlight w:val="none"/>
              </w:rPr>
              <w:t>详细、透彻，能结合本项目实际情况分析，合理</w:t>
            </w:r>
            <w:r>
              <w:rPr>
                <w:rFonts w:hint="eastAsia" w:ascii="宋体" w:hAnsi="宋体" w:cs="宋体"/>
                <w:color w:val="auto"/>
                <w:kern w:val="2"/>
                <w:sz w:val="21"/>
                <w:szCs w:val="21"/>
                <w:highlight w:val="none"/>
                <w:lang w:val="en-US" w:eastAsia="zh-CN"/>
              </w:rPr>
              <w:t>性一般</w:t>
            </w:r>
            <w:r>
              <w:rPr>
                <w:rFonts w:hint="eastAsia" w:ascii="宋体" w:hAnsi="宋体" w:eastAsia="宋体" w:cs="宋体"/>
                <w:color w:val="auto"/>
                <w:kern w:val="2"/>
                <w:sz w:val="21"/>
                <w:szCs w:val="21"/>
                <w:highlight w:val="none"/>
              </w:rPr>
              <w:t>的，得</w:t>
            </w: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分；</w:t>
            </w:r>
          </w:p>
          <w:p w14:paraId="297D8FE8">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)对本项目重点难点分析不详细，不能结合本项目实际情况分析，缺乏科学合理性的，得</w:t>
            </w:r>
            <w:r>
              <w:rPr>
                <w:rFonts w:hint="eastAsia" w:ascii="宋体"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p>
          <w:p w14:paraId="46C06E58">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ascii="宋体" w:hAnsi="宋体" w:cs="宋体"/>
                <w:bCs/>
                <w:color w:val="auto"/>
                <w:szCs w:val="21"/>
                <w:highlight w:val="none"/>
              </w:rPr>
            </w:pPr>
            <w:r>
              <w:rPr>
                <w:rFonts w:hint="eastAsia" w:ascii="宋体" w:hAnsi="宋体" w:eastAsia="宋体" w:cs="宋体"/>
                <w:color w:val="auto"/>
                <w:kern w:val="2"/>
                <w:sz w:val="21"/>
                <w:szCs w:val="21"/>
                <w:highlight w:val="none"/>
              </w:rPr>
              <w:t>5)其他或无响应，得0分。</w:t>
            </w:r>
          </w:p>
        </w:tc>
      </w:tr>
      <w:tr w14:paraId="5B6D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right w:val="single" w:color="auto" w:sz="4" w:space="0"/>
            </w:tcBorders>
            <w:noWrap w:val="0"/>
            <w:vAlign w:val="center"/>
          </w:tcPr>
          <w:p w14:paraId="5EFBD02F">
            <w:pPr>
              <w:pStyle w:val="45"/>
              <w:spacing w:line="36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2</w:t>
            </w:r>
          </w:p>
        </w:tc>
        <w:tc>
          <w:tcPr>
            <w:tcW w:w="1609" w:type="dxa"/>
            <w:tcBorders>
              <w:top w:val="single" w:color="auto" w:sz="4" w:space="0"/>
              <w:left w:val="single" w:color="auto" w:sz="4" w:space="0"/>
              <w:right w:val="single" w:color="auto" w:sz="4" w:space="0"/>
            </w:tcBorders>
            <w:noWrap w:val="0"/>
            <w:vAlign w:val="center"/>
          </w:tcPr>
          <w:p w14:paraId="4DDF3020">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ascii="宋体" w:cs="宋体"/>
                <w:color w:val="auto"/>
                <w:szCs w:val="21"/>
                <w:highlight w:val="none"/>
              </w:rPr>
            </w:pPr>
            <w:r>
              <w:rPr>
                <w:rFonts w:hint="eastAsia" w:ascii="宋体" w:hAnsi="宋体" w:eastAsia="宋体" w:cs="宋体"/>
                <w:bCs/>
                <w:color w:val="auto"/>
                <w:kern w:val="2"/>
                <w:sz w:val="21"/>
                <w:szCs w:val="21"/>
                <w:highlight w:val="none"/>
              </w:rPr>
              <w:t>投标产品的质量保证和食品安全保障措施方案</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493C6F3D">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ascii="宋体" w:cs="宋体"/>
                <w:color w:val="auto"/>
                <w:szCs w:val="21"/>
                <w:highlight w:val="none"/>
              </w:rPr>
            </w:pPr>
            <w:r>
              <w:rPr>
                <w:rFonts w:hint="eastAsia" w:ascii="宋体" w:hAnsi="宋体" w:cs="宋体"/>
                <w:color w:val="auto"/>
                <w:kern w:val="2"/>
                <w:sz w:val="21"/>
                <w:szCs w:val="21"/>
                <w:highlight w:val="none"/>
                <w:lang w:val="en-US" w:eastAsia="zh-CN"/>
              </w:rPr>
              <w:t>15</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2D2CBA8D">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根据投标人对</w:t>
            </w:r>
            <w:r>
              <w:rPr>
                <w:rFonts w:hint="eastAsia" w:ascii="宋体" w:hAnsi="宋体" w:eastAsia="宋体" w:cs="宋体"/>
                <w:bCs/>
                <w:color w:val="auto"/>
                <w:kern w:val="2"/>
                <w:sz w:val="21"/>
                <w:szCs w:val="21"/>
                <w:highlight w:val="none"/>
              </w:rPr>
              <w:t>投标产品的质量保证和食品安全保障措施方案</w:t>
            </w:r>
            <w:r>
              <w:rPr>
                <w:rFonts w:hint="eastAsia" w:ascii="宋体" w:hAnsi="宋体" w:cs="宋体"/>
                <w:bCs/>
                <w:color w:val="auto"/>
                <w:kern w:val="2"/>
                <w:sz w:val="21"/>
                <w:szCs w:val="21"/>
                <w:highlight w:val="none"/>
                <w:lang w:val="en-US" w:eastAsia="zh-CN"/>
              </w:rPr>
              <w:t>进行综合评审：</w:t>
            </w:r>
          </w:p>
          <w:p w14:paraId="73D706DF">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1)投标产品的来源回溯、运储、仓储各环节的质量保证及食品安全保障措施完整、科学、合理的得</w:t>
            </w:r>
            <w:r>
              <w:rPr>
                <w:rFonts w:hint="eastAsia" w:ascii="宋体" w:hAnsi="宋体" w:cs="宋体"/>
                <w:color w:val="auto"/>
                <w:kern w:val="2"/>
                <w:sz w:val="21"/>
                <w:szCs w:val="21"/>
                <w:highlight w:val="none"/>
                <w:lang w:val="en-US" w:eastAsia="zh-CN"/>
              </w:rPr>
              <w:t>15</w:t>
            </w:r>
            <w:r>
              <w:rPr>
                <w:rFonts w:hint="eastAsia" w:ascii="宋体" w:hAnsi="宋体" w:eastAsia="宋体" w:cs="宋体"/>
                <w:color w:val="auto"/>
                <w:kern w:val="2"/>
                <w:sz w:val="21"/>
                <w:szCs w:val="21"/>
                <w:highlight w:val="none"/>
              </w:rPr>
              <w:t>分；</w:t>
            </w:r>
          </w:p>
          <w:p w14:paraId="58BE440F">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2)投标产品的来源回溯、运储、仓储各环节的质量保证及食品安全保障措施</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完整、较科学、</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合理的得</w:t>
            </w:r>
            <w:r>
              <w:rPr>
                <w:rFonts w:hint="eastAsia" w:ascii="宋体" w:hAnsi="宋体" w:cs="宋体"/>
                <w:color w:val="auto"/>
                <w:kern w:val="2"/>
                <w:sz w:val="21"/>
                <w:szCs w:val="21"/>
                <w:highlight w:val="none"/>
                <w:lang w:val="en-US" w:eastAsia="zh-CN"/>
              </w:rPr>
              <w:t>10</w:t>
            </w:r>
            <w:r>
              <w:rPr>
                <w:rFonts w:hint="eastAsia" w:ascii="宋体" w:hAnsi="宋体" w:eastAsia="宋体" w:cs="宋体"/>
                <w:color w:val="auto"/>
                <w:kern w:val="2"/>
                <w:sz w:val="21"/>
                <w:szCs w:val="21"/>
                <w:highlight w:val="none"/>
              </w:rPr>
              <w:t>分；</w:t>
            </w:r>
          </w:p>
          <w:p w14:paraId="5C3F5CC5">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3)投标产品的来源回溯、运储、仓储各环节的质量保证及食品安全保障措施基本完整、基本科学、</w:t>
            </w:r>
            <w:r>
              <w:rPr>
                <w:rFonts w:hint="eastAsia" w:ascii="宋体" w:hAnsi="宋体" w:cs="宋体"/>
                <w:color w:val="auto"/>
                <w:kern w:val="2"/>
                <w:sz w:val="21"/>
                <w:szCs w:val="21"/>
                <w:highlight w:val="none"/>
                <w:lang w:val="en-US" w:eastAsia="zh-CN"/>
              </w:rPr>
              <w:t>基本</w:t>
            </w:r>
            <w:r>
              <w:rPr>
                <w:rFonts w:hint="eastAsia" w:ascii="宋体" w:hAnsi="宋体" w:eastAsia="宋体" w:cs="宋体"/>
                <w:color w:val="auto"/>
                <w:kern w:val="2"/>
                <w:sz w:val="21"/>
                <w:szCs w:val="21"/>
                <w:highlight w:val="none"/>
              </w:rPr>
              <w:t>合理的得</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分；</w:t>
            </w:r>
          </w:p>
          <w:p w14:paraId="25C4C8E0">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4)投标产品的来源回溯、运储、仓储各环节的质量保证及食品安全保障措施不完整、缺乏科学合理性的得1分；</w:t>
            </w:r>
          </w:p>
          <w:p w14:paraId="3B7EC54A">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ascii="宋体" w:hAnsi="宋体" w:cs="宋体"/>
                <w:bCs/>
                <w:color w:val="auto"/>
                <w:szCs w:val="21"/>
                <w:highlight w:val="none"/>
              </w:rPr>
            </w:pPr>
            <w:r>
              <w:rPr>
                <w:rFonts w:hint="eastAsia" w:ascii="宋体" w:hAnsi="宋体" w:eastAsia="宋体" w:cs="宋体"/>
                <w:color w:val="auto"/>
                <w:kern w:val="2"/>
                <w:sz w:val="21"/>
                <w:szCs w:val="21"/>
                <w:highlight w:val="none"/>
              </w:rPr>
              <w:t>5)其他或无响应，得0分。</w:t>
            </w:r>
          </w:p>
        </w:tc>
      </w:tr>
      <w:tr w14:paraId="5B3B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0E02C074">
            <w:pPr>
              <w:pStyle w:val="45"/>
              <w:spacing w:line="360" w:lineRule="auto"/>
              <w:ind w:firstLine="0" w:firstLineChars="0"/>
              <w:jc w:val="center"/>
              <w:rPr>
                <w:rFonts w:hint="eastAsia" w:ascii="宋体" w:eastAsia="宋体" w:cs="宋体"/>
                <w:color w:val="auto"/>
                <w:sz w:val="21"/>
                <w:szCs w:val="21"/>
                <w:highlight w:val="none"/>
                <w:lang w:eastAsia="zh-CN"/>
              </w:rPr>
            </w:pPr>
            <w:r>
              <w:rPr>
                <w:rFonts w:hint="eastAsia" w:ascii="宋体" w:eastAsia="宋体" w:cs="宋体"/>
                <w:color w:val="auto"/>
                <w:sz w:val="21"/>
                <w:szCs w:val="21"/>
                <w:highlight w:val="none"/>
              </w:rPr>
              <w:t>3</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576B3569">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ascii="宋体" w:eastAsia="宋体" w:cs="宋体"/>
                <w:color w:val="auto"/>
                <w:sz w:val="21"/>
                <w:szCs w:val="21"/>
                <w:highlight w:val="none"/>
              </w:rPr>
            </w:pPr>
            <w:r>
              <w:rPr>
                <w:rFonts w:hint="eastAsia" w:ascii="宋体" w:hAnsi="宋体" w:eastAsia="宋体" w:cs="宋体"/>
                <w:color w:val="auto"/>
                <w:kern w:val="2"/>
                <w:sz w:val="21"/>
                <w:szCs w:val="21"/>
                <w:highlight w:val="none"/>
              </w:rPr>
              <w:t>配送服务方案</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704F0460">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default" w:ascii="宋体" w:eastAsia="宋体" w:cs="宋体"/>
                <w:color w:val="auto"/>
                <w:sz w:val="21"/>
                <w:szCs w:val="21"/>
                <w:highlight w:val="none"/>
                <w:lang w:val="en-US"/>
              </w:rPr>
            </w:pPr>
            <w:r>
              <w:rPr>
                <w:rFonts w:hint="eastAsia" w:ascii="宋体" w:hAnsi="宋体" w:cs="宋体"/>
                <w:bCs/>
                <w:color w:val="auto"/>
                <w:sz w:val="21"/>
                <w:szCs w:val="21"/>
                <w:highlight w:val="none"/>
                <w:lang w:val="en-US" w:eastAsia="zh-CN"/>
              </w:rPr>
              <w:t>15</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5E3AC238">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default" w:ascii="宋体" w:hAnsi="宋体" w:eastAsia="宋体"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rPr>
              <w:t>根据投标人提供的</w:t>
            </w:r>
            <w:r>
              <w:rPr>
                <w:rFonts w:hint="eastAsia" w:ascii="宋体" w:hAnsi="宋体" w:eastAsia="宋体" w:cs="宋体"/>
                <w:color w:val="auto"/>
                <w:kern w:val="2"/>
                <w:sz w:val="21"/>
                <w:szCs w:val="21"/>
                <w:highlight w:val="none"/>
              </w:rPr>
              <w:t>配送服务方案</w:t>
            </w:r>
            <w:r>
              <w:rPr>
                <w:rFonts w:hint="eastAsia" w:ascii="宋体" w:hAnsi="宋体" w:cs="宋体"/>
                <w:color w:val="auto"/>
                <w:kern w:val="2"/>
                <w:sz w:val="21"/>
                <w:szCs w:val="21"/>
                <w:highlight w:val="none"/>
                <w:lang w:val="en-US" w:eastAsia="zh-CN"/>
              </w:rPr>
              <w:t>进行综合评审：</w:t>
            </w:r>
          </w:p>
          <w:p w14:paraId="51B8BC48">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1)方案内容完整、详细、表述清晰、科学合理、切实可行，得</w:t>
            </w:r>
            <w:r>
              <w:rPr>
                <w:rFonts w:hint="eastAsia" w:ascii="宋体" w:hAnsi="宋体" w:cs="宋体"/>
                <w:color w:val="auto"/>
                <w:kern w:val="2"/>
                <w:sz w:val="21"/>
                <w:szCs w:val="21"/>
                <w:highlight w:val="none"/>
                <w:lang w:val="en-US" w:eastAsia="zh-CN"/>
              </w:rPr>
              <w:t>15</w:t>
            </w:r>
            <w:r>
              <w:rPr>
                <w:rFonts w:hint="eastAsia" w:ascii="宋体" w:hAnsi="宋体" w:eastAsia="宋体" w:cs="宋体"/>
                <w:color w:val="auto"/>
                <w:kern w:val="2"/>
                <w:sz w:val="21"/>
                <w:szCs w:val="21"/>
                <w:highlight w:val="none"/>
              </w:rPr>
              <w:t>分；</w:t>
            </w:r>
          </w:p>
          <w:p w14:paraId="6C0A7E6E">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2)方案内容较完整、</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详细、表述较清晰、合理可行，得</w:t>
            </w:r>
            <w:r>
              <w:rPr>
                <w:rFonts w:hint="eastAsia" w:ascii="宋体" w:hAnsi="宋体" w:cs="宋体"/>
                <w:color w:val="auto"/>
                <w:kern w:val="2"/>
                <w:sz w:val="21"/>
                <w:szCs w:val="21"/>
                <w:highlight w:val="none"/>
                <w:lang w:val="en-US" w:eastAsia="zh-CN"/>
              </w:rPr>
              <w:t>10</w:t>
            </w:r>
            <w:r>
              <w:rPr>
                <w:rFonts w:hint="eastAsia" w:ascii="宋体" w:hAnsi="宋体" w:eastAsia="宋体" w:cs="宋体"/>
                <w:color w:val="auto"/>
                <w:kern w:val="2"/>
                <w:sz w:val="21"/>
                <w:szCs w:val="21"/>
                <w:highlight w:val="none"/>
              </w:rPr>
              <w:t>分；</w:t>
            </w:r>
          </w:p>
          <w:p w14:paraId="61D33752">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3)方案内容基本完整、表述基本清晰、基本合理可行，得</w:t>
            </w: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分；</w:t>
            </w:r>
          </w:p>
          <w:p w14:paraId="466F1A64">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4)方案内容不完整、表述不清晰、缺乏合理性，得1分；</w:t>
            </w:r>
          </w:p>
          <w:p w14:paraId="25D61A35">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ascii="宋体" w:hAnsi="宋体" w:cs="宋体"/>
                <w:bCs/>
                <w:color w:val="auto"/>
                <w:szCs w:val="21"/>
                <w:highlight w:val="none"/>
                <w:lang w:val="zh-CN"/>
              </w:rPr>
            </w:pPr>
            <w:r>
              <w:rPr>
                <w:rFonts w:hint="eastAsia" w:ascii="宋体" w:hAnsi="宋体" w:eastAsia="宋体" w:cs="宋体"/>
                <w:color w:val="auto"/>
                <w:kern w:val="2"/>
                <w:sz w:val="21"/>
                <w:szCs w:val="21"/>
                <w:highlight w:val="none"/>
              </w:rPr>
              <w:t>5)其他或无响应，得0分。</w:t>
            </w:r>
          </w:p>
        </w:tc>
      </w:tr>
      <w:tr w14:paraId="2E3F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72539E61">
            <w:pPr>
              <w:pStyle w:val="45"/>
              <w:spacing w:line="360" w:lineRule="auto"/>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rPr>
              <w:t>4</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CD33A26">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eastAsia" w:ascii="宋体" w:eastAsia="宋体" w:cs="宋体"/>
                <w:color w:val="auto"/>
                <w:sz w:val="21"/>
                <w:szCs w:val="21"/>
                <w:highlight w:val="none"/>
              </w:rPr>
            </w:pPr>
            <w:r>
              <w:rPr>
                <w:rFonts w:hint="eastAsia" w:ascii="宋体" w:hAnsi="宋体" w:eastAsia="宋体" w:cs="宋体"/>
                <w:color w:val="auto"/>
                <w:kern w:val="2"/>
                <w:sz w:val="21"/>
                <w:szCs w:val="21"/>
                <w:highlight w:val="none"/>
              </w:rPr>
              <w:t>出现产品质量问题退换货方案</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58C254E7">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eastAsia" w:ascii="宋体" w:eastAsia="宋体" w:cs="宋体"/>
                <w:color w:val="auto"/>
                <w:sz w:val="21"/>
                <w:szCs w:val="21"/>
                <w:highlight w:val="none"/>
              </w:rPr>
            </w:pPr>
            <w:r>
              <w:rPr>
                <w:rFonts w:hint="eastAsia" w:ascii="宋体" w:hAnsi="宋体" w:cs="宋体"/>
                <w:color w:val="auto"/>
                <w:kern w:val="2"/>
                <w:sz w:val="21"/>
                <w:szCs w:val="21"/>
                <w:highlight w:val="none"/>
                <w:lang w:val="en-US" w:eastAsia="zh-CN"/>
              </w:rPr>
              <w:t>10</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1CE5F5EF">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根据</w:t>
            </w:r>
            <w:r>
              <w:rPr>
                <w:rFonts w:hint="eastAsia" w:ascii="宋体" w:hAnsi="宋体" w:cs="宋体"/>
                <w:color w:val="auto"/>
                <w:kern w:val="2"/>
                <w:sz w:val="21"/>
                <w:szCs w:val="21"/>
                <w:highlight w:val="none"/>
                <w:lang w:val="en-US" w:eastAsia="zh-CN"/>
              </w:rPr>
              <w:t>投标人提供</w:t>
            </w:r>
            <w:r>
              <w:rPr>
                <w:rFonts w:hint="eastAsia" w:ascii="宋体" w:hAnsi="宋体" w:eastAsia="宋体" w:cs="宋体"/>
                <w:color w:val="auto"/>
                <w:kern w:val="2"/>
                <w:sz w:val="21"/>
                <w:szCs w:val="21"/>
                <w:highlight w:val="none"/>
              </w:rPr>
              <w:t>的退换方案（包含：退换流程）及措施进行</w:t>
            </w:r>
            <w:r>
              <w:rPr>
                <w:rFonts w:hint="eastAsia" w:ascii="宋体" w:hAnsi="宋体" w:cs="宋体"/>
                <w:color w:val="auto"/>
                <w:kern w:val="2"/>
                <w:sz w:val="21"/>
                <w:szCs w:val="21"/>
                <w:highlight w:val="none"/>
                <w:lang w:val="en-US" w:eastAsia="zh-CN"/>
              </w:rPr>
              <w:t>综合评审</w:t>
            </w:r>
            <w:r>
              <w:rPr>
                <w:rFonts w:hint="eastAsia" w:ascii="宋体" w:hAnsi="宋体" w:eastAsia="宋体" w:cs="宋体"/>
                <w:color w:val="auto"/>
                <w:kern w:val="2"/>
                <w:sz w:val="21"/>
                <w:szCs w:val="21"/>
                <w:highlight w:val="none"/>
              </w:rPr>
              <w:t>：</w:t>
            </w:r>
          </w:p>
          <w:p w14:paraId="329D7E21">
            <w:pPr>
              <w:keepNext w:val="0"/>
              <w:keepLines w:val="0"/>
              <w:pageBreakBefore w:val="0"/>
              <w:widowControl w:val="0"/>
              <w:numPr>
                <w:ilvl w:val="0"/>
                <w:numId w:val="3"/>
              </w:numPr>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退换货方案全面、详细具体、流程科学（合理）、退换货周期快速，得</w:t>
            </w:r>
            <w:r>
              <w:rPr>
                <w:rFonts w:hint="eastAsia" w:ascii="宋体" w:hAnsi="宋体" w:cs="宋体"/>
                <w:color w:val="auto"/>
                <w:kern w:val="2"/>
                <w:sz w:val="21"/>
                <w:szCs w:val="21"/>
                <w:highlight w:val="none"/>
                <w:lang w:val="en-US" w:eastAsia="zh-CN"/>
              </w:rPr>
              <w:t>10</w:t>
            </w:r>
            <w:r>
              <w:rPr>
                <w:rFonts w:hint="eastAsia" w:ascii="宋体" w:hAnsi="宋体" w:eastAsia="宋体" w:cs="宋体"/>
                <w:color w:val="auto"/>
                <w:kern w:val="2"/>
                <w:sz w:val="21"/>
                <w:szCs w:val="21"/>
                <w:highlight w:val="none"/>
              </w:rPr>
              <w:t>分；</w:t>
            </w:r>
          </w:p>
          <w:p w14:paraId="36B3AE15">
            <w:pPr>
              <w:keepNext w:val="0"/>
              <w:keepLines w:val="0"/>
              <w:pageBreakBefore w:val="0"/>
              <w:widowControl w:val="0"/>
              <w:numPr>
                <w:ilvl w:val="-1"/>
                <w:numId w:val="0"/>
              </w:numPr>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)退换货方案</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全面、</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具体、流程</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合理、退换货周期快速，得</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分；</w:t>
            </w:r>
          </w:p>
          <w:p w14:paraId="0935CA53">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)退换货方案不够全面、简略一般、流程基本合理、退换货周期一般，得</w:t>
            </w: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分；</w:t>
            </w:r>
          </w:p>
          <w:p w14:paraId="71E723C3">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)退换货方案存在重大缺陷、流程具有重大漏洞的、退换货周期慢，得</w:t>
            </w:r>
            <w:r>
              <w:rPr>
                <w:rFonts w:hint="eastAsia" w:ascii="宋体"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p>
          <w:p w14:paraId="38D475BC">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cs="宋体"/>
                <w:bCs/>
                <w:color w:val="auto"/>
                <w:szCs w:val="21"/>
                <w:highlight w:val="none"/>
              </w:rPr>
            </w:pP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)其他或无响应，得0分。</w:t>
            </w:r>
          </w:p>
        </w:tc>
      </w:tr>
      <w:tr w14:paraId="0C1C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74E9C2D4">
            <w:pPr>
              <w:pStyle w:val="45"/>
              <w:spacing w:line="360" w:lineRule="auto"/>
              <w:ind w:firstLine="0" w:firstLineChars="0"/>
              <w:jc w:val="center"/>
              <w:rPr>
                <w:rFonts w:hint="eastAsia" w:ascii="宋体" w:eastAsia="宋体" w:cs="宋体"/>
                <w:color w:val="auto"/>
                <w:sz w:val="21"/>
                <w:szCs w:val="21"/>
                <w:highlight w:val="none"/>
                <w:lang w:val="en-US" w:eastAsia="zh-CN"/>
              </w:rPr>
            </w:pPr>
            <w:r>
              <w:rPr>
                <w:rFonts w:hint="eastAsia" w:ascii="宋体" w:eastAsia="宋体" w:cs="宋体"/>
                <w:color w:val="auto"/>
                <w:sz w:val="21"/>
                <w:szCs w:val="21"/>
                <w:highlight w:val="none"/>
              </w:rPr>
              <w:t>5</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1A8C6A62">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eastAsia" w:ascii="宋体" w:eastAsia="宋体" w:cs="宋体"/>
                <w:color w:val="auto"/>
                <w:sz w:val="21"/>
                <w:szCs w:val="21"/>
                <w:highlight w:val="none"/>
              </w:rPr>
            </w:pPr>
            <w:r>
              <w:rPr>
                <w:rFonts w:hint="eastAsia" w:ascii="宋体" w:hAnsi="宋体" w:eastAsia="宋体" w:cs="宋体"/>
                <w:color w:val="auto"/>
                <w:kern w:val="2"/>
                <w:sz w:val="21"/>
                <w:szCs w:val="21"/>
                <w:highlight w:val="none"/>
              </w:rPr>
              <w:t>突发事件的应急响应方案</w:t>
            </w:r>
          </w:p>
        </w:tc>
        <w:tc>
          <w:tcPr>
            <w:tcW w:w="762" w:type="dxa"/>
            <w:gridSpan w:val="2"/>
            <w:tcBorders>
              <w:top w:val="single" w:color="auto" w:sz="4" w:space="0"/>
              <w:left w:val="single" w:color="auto" w:sz="4" w:space="0"/>
              <w:bottom w:val="single" w:color="auto" w:sz="4" w:space="0"/>
              <w:right w:val="single" w:color="auto" w:sz="4" w:space="0"/>
            </w:tcBorders>
            <w:noWrap w:val="0"/>
            <w:vAlign w:val="center"/>
          </w:tcPr>
          <w:p w14:paraId="134852D9">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jc w:val="center"/>
              <w:textAlignment w:val="auto"/>
              <w:rPr>
                <w:rFonts w:hint="eastAsia" w:ascii="宋体" w:eastAsia="宋体" w:cs="宋体"/>
                <w:color w:val="auto"/>
                <w:sz w:val="21"/>
                <w:szCs w:val="21"/>
                <w:highlight w:val="none"/>
              </w:rPr>
            </w:pPr>
            <w:r>
              <w:rPr>
                <w:rFonts w:hint="eastAsia" w:ascii="宋体" w:hAnsi="宋体" w:cs="宋体"/>
                <w:color w:val="auto"/>
                <w:kern w:val="2"/>
                <w:sz w:val="21"/>
                <w:szCs w:val="21"/>
                <w:highlight w:val="none"/>
                <w:lang w:val="en-US" w:eastAsia="zh-CN"/>
              </w:rPr>
              <w:t>10</w:t>
            </w:r>
          </w:p>
        </w:tc>
        <w:tc>
          <w:tcPr>
            <w:tcW w:w="5461" w:type="dxa"/>
            <w:tcBorders>
              <w:top w:val="single" w:color="auto" w:sz="4" w:space="0"/>
              <w:left w:val="single" w:color="auto" w:sz="4" w:space="0"/>
              <w:bottom w:val="single" w:color="auto" w:sz="4" w:space="0"/>
              <w:right w:val="single" w:color="auto" w:sz="4" w:space="0"/>
            </w:tcBorders>
            <w:noWrap w:val="0"/>
            <w:vAlign w:val="center"/>
          </w:tcPr>
          <w:p w14:paraId="435BF704">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根据</w:t>
            </w:r>
            <w:r>
              <w:rPr>
                <w:rFonts w:hint="eastAsia" w:ascii="宋体" w:hAnsi="宋体" w:cs="宋体"/>
                <w:color w:val="auto"/>
                <w:kern w:val="2"/>
                <w:sz w:val="21"/>
                <w:szCs w:val="21"/>
                <w:highlight w:val="none"/>
                <w:lang w:val="en-US" w:eastAsia="zh-CN"/>
              </w:rPr>
              <w:t>投标人</w:t>
            </w:r>
            <w:r>
              <w:rPr>
                <w:rFonts w:hint="eastAsia" w:ascii="宋体" w:hAnsi="宋体" w:eastAsia="宋体" w:cs="宋体"/>
                <w:color w:val="auto"/>
                <w:kern w:val="2"/>
                <w:sz w:val="21"/>
                <w:szCs w:val="21"/>
                <w:highlight w:val="none"/>
              </w:rPr>
              <w:t>提供</w:t>
            </w:r>
            <w:r>
              <w:rPr>
                <w:rFonts w:hint="eastAsia" w:ascii="宋体" w:hAnsi="宋体" w:cs="宋体"/>
                <w:color w:val="auto"/>
                <w:kern w:val="2"/>
                <w:sz w:val="21"/>
                <w:szCs w:val="21"/>
                <w:highlight w:val="none"/>
                <w:lang w:val="en-US" w:eastAsia="zh-CN"/>
              </w:rPr>
              <w:t>的</w:t>
            </w:r>
            <w:r>
              <w:rPr>
                <w:rFonts w:hint="eastAsia" w:ascii="宋体" w:hAnsi="宋体" w:eastAsia="宋体" w:cs="宋体"/>
                <w:color w:val="auto"/>
                <w:kern w:val="2"/>
                <w:sz w:val="21"/>
                <w:szCs w:val="21"/>
                <w:highlight w:val="none"/>
              </w:rPr>
              <w:t>项目实施应急服务预案</w:t>
            </w:r>
            <w:r>
              <w:rPr>
                <w:rFonts w:hint="eastAsia" w:ascii="宋体" w:hAnsi="宋体" w:cs="宋体"/>
                <w:color w:val="auto"/>
                <w:kern w:val="2"/>
                <w:sz w:val="21"/>
                <w:szCs w:val="21"/>
                <w:highlight w:val="none"/>
                <w:lang w:val="en-US" w:eastAsia="zh-CN"/>
              </w:rPr>
              <w:t>进行综合评审</w:t>
            </w:r>
            <w:r>
              <w:rPr>
                <w:rFonts w:hint="eastAsia" w:ascii="宋体" w:hAnsi="宋体" w:eastAsia="宋体" w:cs="宋体"/>
                <w:color w:val="auto"/>
                <w:kern w:val="2"/>
                <w:sz w:val="21"/>
                <w:szCs w:val="21"/>
                <w:highlight w:val="none"/>
              </w:rPr>
              <w:t>：</w:t>
            </w:r>
          </w:p>
          <w:p w14:paraId="30F4ECB7">
            <w:pPr>
              <w:keepNext w:val="0"/>
              <w:keepLines w:val="0"/>
              <w:pageBreakBefore w:val="0"/>
              <w:widowControl w:val="0"/>
              <w:numPr>
                <w:ilvl w:val="0"/>
                <w:numId w:val="4"/>
              </w:numPr>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针对本项目拟定的突发事件的处理措施和应急预案全面、科学、合理、可行且详细的，得</w:t>
            </w:r>
            <w:r>
              <w:rPr>
                <w:rFonts w:hint="eastAsia" w:ascii="宋体" w:hAnsi="宋体" w:cs="宋体"/>
                <w:color w:val="auto"/>
                <w:kern w:val="2"/>
                <w:sz w:val="21"/>
                <w:szCs w:val="21"/>
                <w:highlight w:val="none"/>
                <w:lang w:val="en-US" w:eastAsia="zh-CN"/>
              </w:rPr>
              <w:t>10</w:t>
            </w:r>
            <w:r>
              <w:rPr>
                <w:rFonts w:hint="eastAsia" w:ascii="宋体" w:hAnsi="宋体" w:eastAsia="宋体" w:cs="宋体"/>
                <w:color w:val="auto"/>
                <w:kern w:val="2"/>
                <w:sz w:val="21"/>
                <w:szCs w:val="21"/>
                <w:highlight w:val="none"/>
              </w:rPr>
              <w:t>分；</w:t>
            </w:r>
          </w:p>
          <w:p w14:paraId="2703FB94">
            <w:pPr>
              <w:keepNext w:val="0"/>
              <w:keepLines w:val="0"/>
              <w:pageBreakBefore w:val="0"/>
              <w:widowControl w:val="0"/>
              <w:numPr>
                <w:ilvl w:val="0"/>
                <w:numId w:val="0"/>
              </w:numPr>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2</w:t>
            </w:r>
            <w:r>
              <w:rPr>
                <w:rFonts w:hint="eastAsia" w:ascii="宋体" w:hAnsi="宋体" w:eastAsia="宋体" w:cs="宋体"/>
                <w:color w:val="auto"/>
                <w:kern w:val="2"/>
                <w:sz w:val="21"/>
                <w:szCs w:val="21"/>
                <w:highlight w:val="none"/>
              </w:rPr>
              <w:t>)针对本项目拟定的突发事件的处理措施和应急预案</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全面、</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合理、</w:t>
            </w:r>
            <w:r>
              <w:rPr>
                <w:rFonts w:hint="eastAsia" w:ascii="宋体" w:hAnsi="宋体" w:cs="宋体"/>
                <w:color w:val="auto"/>
                <w:kern w:val="2"/>
                <w:sz w:val="21"/>
                <w:szCs w:val="21"/>
                <w:highlight w:val="none"/>
                <w:lang w:val="en-US" w:eastAsia="zh-CN"/>
              </w:rPr>
              <w:t>较</w:t>
            </w:r>
            <w:r>
              <w:rPr>
                <w:rFonts w:hint="eastAsia" w:ascii="宋体" w:hAnsi="宋体" w:eastAsia="宋体" w:cs="宋体"/>
                <w:color w:val="auto"/>
                <w:kern w:val="2"/>
                <w:sz w:val="21"/>
                <w:szCs w:val="21"/>
                <w:highlight w:val="none"/>
              </w:rPr>
              <w:t>可行的，得</w:t>
            </w:r>
            <w:r>
              <w:rPr>
                <w:rFonts w:hint="eastAsia" w:ascii="宋体" w:hAnsi="宋体" w:cs="宋体"/>
                <w:color w:val="auto"/>
                <w:kern w:val="2"/>
                <w:sz w:val="21"/>
                <w:szCs w:val="21"/>
                <w:highlight w:val="none"/>
                <w:lang w:val="en-US" w:eastAsia="zh-CN"/>
              </w:rPr>
              <w:t>6</w:t>
            </w:r>
            <w:r>
              <w:rPr>
                <w:rFonts w:hint="eastAsia" w:ascii="宋体" w:hAnsi="宋体" w:eastAsia="宋体" w:cs="宋体"/>
                <w:color w:val="auto"/>
                <w:kern w:val="2"/>
                <w:sz w:val="21"/>
                <w:szCs w:val="21"/>
                <w:highlight w:val="none"/>
              </w:rPr>
              <w:t>分；</w:t>
            </w:r>
          </w:p>
          <w:p w14:paraId="5A18837D">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)针对本项目拟定的突发事件的处理措施和应急预案</w:t>
            </w:r>
            <w:r>
              <w:rPr>
                <w:rFonts w:hint="eastAsia" w:ascii="宋体" w:hAnsi="宋体" w:cs="宋体"/>
                <w:color w:val="auto"/>
                <w:kern w:val="2"/>
                <w:sz w:val="21"/>
                <w:szCs w:val="21"/>
                <w:highlight w:val="none"/>
                <w:lang w:val="en-US" w:eastAsia="zh-CN"/>
              </w:rPr>
              <w:t>基本</w:t>
            </w:r>
            <w:r>
              <w:rPr>
                <w:rFonts w:hint="eastAsia" w:ascii="宋体" w:hAnsi="宋体" w:eastAsia="宋体" w:cs="宋体"/>
                <w:color w:val="auto"/>
                <w:kern w:val="2"/>
                <w:sz w:val="21"/>
                <w:szCs w:val="21"/>
                <w:highlight w:val="none"/>
              </w:rPr>
              <w:t>全面、</w:t>
            </w:r>
            <w:r>
              <w:rPr>
                <w:rFonts w:hint="eastAsia" w:ascii="宋体" w:hAnsi="宋体" w:cs="宋体"/>
                <w:color w:val="auto"/>
                <w:kern w:val="2"/>
                <w:sz w:val="21"/>
                <w:szCs w:val="21"/>
                <w:highlight w:val="none"/>
                <w:lang w:val="en-US" w:eastAsia="zh-CN"/>
              </w:rPr>
              <w:t>基本</w:t>
            </w:r>
            <w:r>
              <w:rPr>
                <w:rFonts w:hint="eastAsia" w:ascii="宋体" w:hAnsi="宋体" w:eastAsia="宋体" w:cs="宋体"/>
                <w:color w:val="auto"/>
                <w:kern w:val="2"/>
                <w:sz w:val="21"/>
                <w:szCs w:val="21"/>
                <w:highlight w:val="none"/>
              </w:rPr>
              <w:t>合理</w:t>
            </w:r>
            <w:r>
              <w:rPr>
                <w:rFonts w:hint="eastAsia" w:ascii="宋体" w:hAnsi="宋体" w:cs="宋体"/>
                <w:color w:val="auto"/>
                <w:kern w:val="2"/>
                <w:sz w:val="21"/>
                <w:szCs w:val="21"/>
                <w:highlight w:val="none"/>
                <w:lang w:eastAsia="zh-CN"/>
              </w:rPr>
              <w:t>、</w:t>
            </w:r>
            <w:r>
              <w:rPr>
                <w:rFonts w:hint="eastAsia" w:ascii="宋体" w:hAnsi="宋体" w:cs="宋体"/>
                <w:color w:val="auto"/>
                <w:kern w:val="2"/>
                <w:sz w:val="21"/>
                <w:szCs w:val="21"/>
                <w:highlight w:val="none"/>
                <w:lang w:val="en-US" w:eastAsia="zh-CN"/>
              </w:rPr>
              <w:t>基本</w:t>
            </w:r>
            <w:r>
              <w:rPr>
                <w:rFonts w:hint="eastAsia" w:ascii="宋体" w:hAnsi="宋体" w:eastAsia="宋体" w:cs="宋体"/>
                <w:color w:val="auto"/>
                <w:kern w:val="2"/>
                <w:sz w:val="21"/>
                <w:szCs w:val="21"/>
                <w:highlight w:val="none"/>
              </w:rPr>
              <w:t>可行的，得</w:t>
            </w:r>
            <w:r>
              <w:rPr>
                <w:rFonts w:hint="eastAsia" w:ascii="宋体" w:hAnsi="宋体" w:cs="宋体"/>
                <w:color w:val="auto"/>
                <w:kern w:val="2"/>
                <w:sz w:val="21"/>
                <w:szCs w:val="21"/>
                <w:highlight w:val="none"/>
                <w:lang w:val="en-US" w:eastAsia="zh-CN"/>
              </w:rPr>
              <w:t>3</w:t>
            </w:r>
            <w:r>
              <w:rPr>
                <w:rFonts w:hint="eastAsia" w:ascii="宋体" w:hAnsi="宋体" w:eastAsia="宋体" w:cs="宋体"/>
                <w:color w:val="auto"/>
                <w:kern w:val="2"/>
                <w:sz w:val="21"/>
                <w:szCs w:val="21"/>
                <w:highlight w:val="none"/>
              </w:rPr>
              <w:t>分；</w:t>
            </w:r>
          </w:p>
          <w:p w14:paraId="28D1AF94">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rPr>
              <w:t>4</w:t>
            </w:r>
            <w:r>
              <w:rPr>
                <w:rFonts w:hint="eastAsia" w:ascii="宋体" w:hAnsi="宋体" w:eastAsia="宋体" w:cs="宋体"/>
                <w:color w:val="auto"/>
                <w:kern w:val="2"/>
                <w:sz w:val="21"/>
                <w:szCs w:val="21"/>
                <w:highlight w:val="none"/>
              </w:rPr>
              <w:t>)针对本项目拟定的突发事件的处理措施和应急预案不全面、</w:t>
            </w:r>
            <w:r>
              <w:rPr>
                <w:rFonts w:hint="eastAsia" w:ascii="宋体" w:hAnsi="宋体" w:cs="宋体"/>
                <w:color w:val="auto"/>
                <w:kern w:val="2"/>
                <w:sz w:val="21"/>
                <w:szCs w:val="21"/>
                <w:highlight w:val="none"/>
                <w:lang w:val="en-US" w:eastAsia="zh-CN"/>
              </w:rPr>
              <w:t>不</w:t>
            </w:r>
            <w:r>
              <w:rPr>
                <w:rFonts w:hint="eastAsia" w:ascii="宋体" w:hAnsi="宋体" w:eastAsia="宋体" w:cs="宋体"/>
                <w:color w:val="auto"/>
                <w:kern w:val="2"/>
                <w:sz w:val="21"/>
                <w:szCs w:val="21"/>
                <w:highlight w:val="none"/>
              </w:rPr>
              <w:t>合理的，得</w:t>
            </w:r>
            <w:r>
              <w:rPr>
                <w:rFonts w:hint="eastAsia" w:ascii="宋体" w:hAnsi="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分；</w:t>
            </w:r>
          </w:p>
          <w:p w14:paraId="5AEEDB23">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cs="宋体"/>
                <w:bCs/>
                <w:color w:val="auto"/>
                <w:szCs w:val="21"/>
                <w:highlight w:val="none"/>
              </w:rPr>
            </w:pPr>
            <w:r>
              <w:rPr>
                <w:rFonts w:hint="eastAsia" w:ascii="宋体" w:hAnsi="宋体" w:cs="宋体"/>
                <w:color w:val="auto"/>
                <w:kern w:val="2"/>
                <w:sz w:val="21"/>
                <w:szCs w:val="21"/>
                <w:highlight w:val="none"/>
                <w:lang w:val="en-US" w:eastAsia="zh-CN"/>
              </w:rPr>
              <w:t>5</w:t>
            </w:r>
            <w:r>
              <w:rPr>
                <w:rFonts w:hint="eastAsia" w:ascii="宋体" w:hAnsi="宋体" w:eastAsia="宋体" w:cs="宋体"/>
                <w:color w:val="auto"/>
                <w:kern w:val="2"/>
                <w:sz w:val="21"/>
                <w:szCs w:val="21"/>
                <w:highlight w:val="none"/>
              </w:rPr>
              <w:t>)其他或无响应，得0分。</w:t>
            </w:r>
          </w:p>
        </w:tc>
      </w:tr>
      <w:tr w14:paraId="1DC09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8522" w:type="dxa"/>
            <w:gridSpan w:val="5"/>
            <w:tcBorders>
              <w:top w:val="single" w:color="auto" w:sz="4" w:space="0"/>
              <w:left w:val="single" w:color="auto" w:sz="4" w:space="0"/>
              <w:bottom w:val="single" w:color="auto" w:sz="4" w:space="0"/>
              <w:right w:val="single" w:color="auto" w:sz="4" w:space="0"/>
            </w:tcBorders>
            <w:noWrap w:val="0"/>
            <w:vAlign w:val="center"/>
          </w:tcPr>
          <w:p w14:paraId="7623EFF0">
            <w:pPr>
              <w:tabs>
                <w:tab w:val="left" w:pos="907"/>
              </w:tabs>
              <w:ind w:firstLine="422" w:firstLineChars="200"/>
              <w:jc w:val="both"/>
              <w:rPr>
                <w:rFonts w:ascii="宋体" w:hAnsi="宋体"/>
                <w:b/>
                <w:color w:val="auto"/>
                <w:szCs w:val="21"/>
                <w:highlight w:val="none"/>
              </w:rPr>
            </w:pPr>
            <w:r>
              <w:rPr>
                <w:rFonts w:hint="eastAsia" w:ascii="宋体" w:hAnsi="宋体"/>
                <w:b/>
                <w:color w:val="auto"/>
                <w:szCs w:val="21"/>
                <w:highlight w:val="none"/>
              </w:rPr>
              <w:t>注：</w:t>
            </w:r>
          </w:p>
          <w:p w14:paraId="26F9D924">
            <w:pPr>
              <w:tabs>
                <w:tab w:val="left" w:pos="907"/>
              </w:tabs>
              <w:ind w:firstLine="422" w:firstLineChars="200"/>
              <w:jc w:val="both"/>
              <w:rPr>
                <w:rFonts w:ascii="宋体" w:hAnsi="宋体"/>
                <w:b/>
                <w:color w:val="auto"/>
                <w:szCs w:val="21"/>
                <w:highlight w:val="none"/>
              </w:rPr>
            </w:pPr>
            <w:r>
              <w:rPr>
                <w:rFonts w:hint="eastAsia" w:ascii="宋体" w:hAnsi="宋体"/>
                <w:b/>
                <w:color w:val="auto"/>
                <w:szCs w:val="21"/>
                <w:highlight w:val="none"/>
              </w:rPr>
              <w:t>（1）无特殊说明外，以上评审项，同一证明文件不重复计分。</w:t>
            </w:r>
          </w:p>
          <w:p w14:paraId="7F5167DE">
            <w:pPr>
              <w:tabs>
                <w:tab w:val="left" w:pos="907"/>
              </w:tabs>
              <w:ind w:firstLine="422" w:firstLineChars="200"/>
              <w:jc w:val="both"/>
              <w:rPr>
                <w:rFonts w:ascii="宋体" w:cs="宋体"/>
                <w:color w:val="auto"/>
                <w:szCs w:val="21"/>
                <w:highlight w:val="none"/>
              </w:rPr>
            </w:pPr>
            <w:r>
              <w:rPr>
                <w:rFonts w:hint="eastAsia" w:ascii="宋体" w:hAnsi="宋体"/>
                <w:b/>
                <w:color w:val="auto"/>
                <w:szCs w:val="21"/>
                <w:highlight w:val="none"/>
              </w:rPr>
              <w:t>（2）投标人根据以上评分要求提供的投标材料因模糊不清导致评标委员会无法清晰辨认进行评审的，视为无效材料。</w:t>
            </w:r>
          </w:p>
        </w:tc>
      </w:tr>
      <w:tr w14:paraId="10FC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5"/>
            <w:tcBorders>
              <w:top w:val="single" w:color="auto" w:sz="4" w:space="0"/>
              <w:left w:val="single" w:color="auto" w:sz="4" w:space="0"/>
              <w:bottom w:val="single" w:color="auto" w:sz="4" w:space="0"/>
              <w:right w:val="single" w:color="auto" w:sz="4" w:space="0"/>
            </w:tcBorders>
            <w:noWrap w:val="0"/>
            <w:vAlign w:val="center"/>
          </w:tcPr>
          <w:p w14:paraId="545E7D7C">
            <w:pPr>
              <w:pStyle w:val="45"/>
              <w:spacing w:line="240" w:lineRule="auto"/>
              <w:ind w:firstLine="0" w:firstLineChars="0"/>
              <w:jc w:val="center"/>
              <w:rPr>
                <w:rFonts w:ascii="宋体" w:eastAsia="宋体" w:cs="宋体"/>
                <w:color w:val="auto"/>
                <w:sz w:val="21"/>
                <w:szCs w:val="21"/>
                <w:highlight w:val="none"/>
                <w:lang w:val="zh-CN"/>
              </w:rPr>
            </w:pPr>
            <w:r>
              <w:rPr>
                <w:rFonts w:hint="eastAsia" w:ascii="宋体" w:eastAsia="宋体" w:cs="宋体"/>
                <w:b/>
                <w:bCs/>
                <w:color w:val="auto"/>
                <w:sz w:val="21"/>
                <w:szCs w:val="21"/>
                <w:highlight w:val="none"/>
              </w:rPr>
              <w:t>价格评审（</w:t>
            </w:r>
            <w:r>
              <w:rPr>
                <w:rFonts w:hint="eastAsia" w:ascii="宋体" w:eastAsia="宋体" w:cs="宋体"/>
                <w:b/>
                <w:bCs/>
                <w:color w:val="auto"/>
                <w:sz w:val="21"/>
                <w:szCs w:val="21"/>
                <w:highlight w:val="none"/>
                <w:lang w:val="en-US" w:eastAsia="zh-CN"/>
              </w:rPr>
              <w:t>1</w:t>
            </w:r>
            <w:r>
              <w:rPr>
                <w:rFonts w:hint="eastAsia" w:ascii="宋体" w:eastAsia="宋体" w:cs="宋体"/>
                <w:b/>
                <w:bCs/>
                <w:color w:val="auto"/>
                <w:sz w:val="21"/>
                <w:szCs w:val="21"/>
                <w:highlight w:val="none"/>
              </w:rPr>
              <w:t>0分）</w:t>
            </w:r>
          </w:p>
        </w:tc>
      </w:tr>
      <w:tr w14:paraId="260A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4E8ACE61">
            <w:pPr>
              <w:pStyle w:val="45"/>
              <w:spacing w:line="240" w:lineRule="auto"/>
              <w:ind w:firstLine="0" w:firstLineChars="0"/>
              <w:jc w:val="center"/>
              <w:rPr>
                <w:rFonts w:ascii="宋体" w:eastAsia="宋体" w:cs="宋体"/>
                <w:color w:val="auto"/>
                <w:sz w:val="21"/>
                <w:szCs w:val="21"/>
                <w:highlight w:val="none"/>
              </w:rPr>
            </w:pPr>
            <w:r>
              <w:rPr>
                <w:rFonts w:hint="eastAsia" w:ascii="宋体" w:eastAsia="宋体" w:cs="宋体"/>
                <w:color w:val="auto"/>
                <w:sz w:val="21"/>
                <w:szCs w:val="21"/>
                <w:highlight w:val="none"/>
              </w:rPr>
              <w:t>1</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0A10C2B9">
            <w:pPr>
              <w:keepNext w:val="0"/>
              <w:keepLines w:val="0"/>
              <w:pageBreakBefore w:val="0"/>
              <w:kinsoku/>
              <w:wordWrap/>
              <w:overflowPunct/>
              <w:topLinePunct w:val="0"/>
              <w:autoSpaceDE/>
              <w:autoSpaceDN/>
              <w:bidi w:val="0"/>
              <w:adjustRightInd w:val="0"/>
              <w:spacing w:after="0" w:line="360" w:lineRule="auto"/>
              <w:ind w:firstLine="0" w:firstLineChars="0"/>
              <w:jc w:val="center"/>
              <w:textAlignment w:val="auto"/>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投标下浮率</w:t>
            </w:r>
          </w:p>
        </w:tc>
        <w:tc>
          <w:tcPr>
            <w:tcW w:w="734" w:type="dxa"/>
            <w:tcBorders>
              <w:top w:val="single" w:color="auto" w:sz="4" w:space="0"/>
              <w:left w:val="single" w:color="auto" w:sz="4" w:space="0"/>
              <w:bottom w:val="single" w:color="auto" w:sz="4" w:space="0"/>
              <w:right w:val="single" w:color="auto" w:sz="4" w:space="0"/>
            </w:tcBorders>
            <w:noWrap w:val="0"/>
            <w:vAlign w:val="center"/>
          </w:tcPr>
          <w:p w14:paraId="6009028B">
            <w:pPr>
              <w:keepNext w:val="0"/>
              <w:keepLines w:val="0"/>
              <w:pageBreakBefore w:val="0"/>
              <w:kinsoku/>
              <w:wordWrap/>
              <w:overflowPunct/>
              <w:topLinePunct w:val="0"/>
              <w:autoSpaceDE/>
              <w:autoSpaceDN/>
              <w:bidi w:val="0"/>
              <w:adjustRightInd w:val="0"/>
              <w:spacing w:after="0" w:line="360" w:lineRule="auto"/>
              <w:ind w:firstLine="0" w:firstLineChars="0"/>
              <w:jc w:val="center"/>
              <w:textAlignment w:val="auto"/>
              <w:rPr>
                <w:rFonts w:ascii="宋体" w:hAnsi="宋体" w:cs="宋体"/>
                <w:color w:val="auto"/>
                <w:szCs w:val="21"/>
                <w:highlight w:val="none"/>
              </w:rPr>
            </w:pPr>
            <w:r>
              <w:rPr>
                <w:rFonts w:hint="eastAsia" w:ascii="宋体" w:hAnsi="宋体" w:eastAsia="宋体" w:cs="宋体"/>
                <w:color w:val="auto"/>
                <w:sz w:val="21"/>
                <w:szCs w:val="21"/>
                <w:highlight w:val="none"/>
                <w:lang w:val="en-US" w:eastAsia="zh-CN"/>
              </w:rPr>
              <w:t>10</w:t>
            </w:r>
          </w:p>
        </w:tc>
        <w:tc>
          <w:tcPr>
            <w:tcW w:w="5489" w:type="dxa"/>
            <w:gridSpan w:val="2"/>
            <w:tcBorders>
              <w:top w:val="single" w:color="auto" w:sz="4" w:space="0"/>
              <w:left w:val="single" w:color="auto" w:sz="4" w:space="0"/>
              <w:bottom w:val="single" w:color="auto" w:sz="4" w:space="0"/>
              <w:right w:val="single" w:color="auto" w:sz="4" w:space="0"/>
            </w:tcBorders>
            <w:noWrap w:val="0"/>
            <w:vAlign w:val="center"/>
          </w:tcPr>
          <w:p w14:paraId="114B43BA">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hint="eastAsia" w:ascii="宋体" w:hAnsi="宋体" w:eastAsia="宋体" w:cs="宋体"/>
                <w:color w:val="auto"/>
                <w:kern w:val="2"/>
                <w:sz w:val="21"/>
                <w:szCs w:val="21"/>
                <w:highlight w:val="none"/>
                <w:lang w:val="zh-CN" w:eastAsia="zh-CN"/>
              </w:rPr>
            </w:pPr>
            <w:r>
              <w:rPr>
                <w:rFonts w:hint="eastAsia" w:ascii="宋体" w:hAnsi="宋体" w:eastAsia="宋体" w:cs="宋体"/>
                <w:color w:val="auto"/>
                <w:kern w:val="2"/>
                <w:sz w:val="21"/>
                <w:szCs w:val="21"/>
                <w:highlight w:val="none"/>
                <w:lang w:val="en-US" w:eastAsia="zh-CN"/>
              </w:rPr>
              <w:t>价</w:t>
            </w:r>
            <w:r>
              <w:rPr>
                <w:rFonts w:hint="eastAsia" w:ascii="宋体" w:hAnsi="宋体" w:eastAsia="宋体" w:cs="宋体"/>
                <w:color w:val="auto"/>
                <w:kern w:val="2"/>
                <w:sz w:val="21"/>
                <w:szCs w:val="21"/>
                <w:highlight w:val="none"/>
                <w:lang w:val="zh-CN"/>
              </w:rPr>
              <w:t>格分计算方法：满足招标文件要求且投标报价最低（即最大下浮率）的投标报价为评标基准价，其价格分为满分。其他</w:t>
            </w:r>
            <w:r>
              <w:rPr>
                <w:rFonts w:hint="eastAsia" w:ascii="宋体" w:hAnsi="宋体" w:eastAsia="宋体" w:cs="宋体"/>
                <w:color w:val="auto"/>
                <w:kern w:val="2"/>
                <w:sz w:val="21"/>
                <w:szCs w:val="21"/>
                <w:highlight w:val="none"/>
                <w:lang w:val="zh-CN" w:eastAsia="zh-CN"/>
              </w:rPr>
              <w:t>供应商</w:t>
            </w:r>
            <w:r>
              <w:rPr>
                <w:rFonts w:hint="eastAsia" w:ascii="宋体" w:hAnsi="宋体" w:eastAsia="宋体" w:cs="宋体"/>
                <w:color w:val="auto"/>
                <w:kern w:val="2"/>
                <w:sz w:val="21"/>
                <w:szCs w:val="21"/>
                <w:highlight w:val="none"/>
                <w:lang w:val="zh-CN"/>
              </w:rPr>
              <w:t>的价格分统一按照下列公式计算：</w:t>
            </w:r>
          </w:p>
          <w:p w14:paraId="7EEF89D5">
            <w:pPr>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420" w:firstLineChars="200"/>
              <w:textAlignment w:val="auto"/>
              <w:rPr>
                <w:rFonts w:ascii="宋体" w:hAnsi="宋体" w:cs="宋体"/>
                <w:color w:val="auto"/>
                <w:szCs w:val="21"/>
                <w:highlight w:val="none"/>
              </w:rPr>
            </w:pPr>
            <w:r>
              <w:rPr>
                <w:rFonts w:hint="eastAsia" w:ascii="宋体" w:hAnsi="宋体" w:eastAsia="宋体" w:cs="宋体"/>
                <w:color w:val="auto"/>
                <w:kern w:val="2"/>
                <w:sz w:val="21"/>
                <w:szCs w:val="21"/>
                <w:highlight w:val="none"/>
                <w:lang w:val="zh-CN"/>
              </w:rPr>
              <w:t>投标报价得分=[(1-最大下浮率)／(1-投标下浮率)]×价格权重</w:t>
            </w:r>
          </w:p>
        </w:tc>
      </w:tr>
    </w:tbl>
    <w:p w14:paraId="2CECD640">
      <w:pPr>
        <w:pStyle w:val="10"/>
        <w:rPr>
          <w:color w:val="auto"/>
          <w:highlight w:val="none"/>
        </w:rPr>
      </w:pPr>
    </w:p>
    <w:p w14:paraId="2A4D6EEF">
      <w:pPr>
        <w:pStyle w:val="29"/>
        <w:ind w:firstLine="240"/>
        <w:rPr>
          <w:color w:val="auto"/>
          <w:highlight w:val="none"/>
        </w:rPr>
      </w:pPr>
    </w:p>
    <w:p w14:paraId="0FD44335">
      <w:pPr>
        <w:pStyle w:val="29"/>
        <w:ind w:firstLine="240"/>
        <w:rPr>
          <w:color w:val="auto"/>
          <w:highlight w:val="none"/>
        </w:rPr>
      </w:pPr>
    </w:p>
    <w:p w14:paraId="371C1055">
      <w:pPr>
        <w:pStyle w:val="29"/>
        <w:ind w:left="0" w:firstLine="0" w:firstLineChars="0"/>
        <w:rPr>
          <w:color w:val="auto"/>
          <w:highlight w:val="none"/>
        </w:rPr>
      </w:pPr>
    </w:p>
    <w:p w14:paraId="08057E41">
      <w:pPr>
        <w:rPr>
          <w:color w:val="auto"/>
          <w:sz w:val="28"/>
          <w:szCs w:val="28"/>
          <w:highlight w:val="none"/>
        </w:rPr>
      </w:pPr>
      <w:r>
        <w:rPr>
          <w:rFonts w:hint="eastAsia"/>
          <w:color w:val="auto"/>
          <w:sz w:val="28"/>
          <w:szCs w:val="28"/>
          <w:highlight w:val="none"/>
        </w:rPr>
        <w:br w:type="page"/>
      </w:r>
    </w:p>
    <w:p w14:paraId="3218F215">
      <w:pPr>
        <w:pStyle w:val="3"/>
        <w:spacing w:before="0" w:after="0" w:line="240" w:lineRule="auto"/>
        <w:rPr>
          <w:color w:val="auto"/>
          <w:sz w:val="24"/>
          <w:szCs w:val="24"/>
          <w:highlight w:val="none"/>
        </w:rPr>
      </w:pPr>
      <w:bookmarkStart w:id="20" w:name="_Toc3316"/>
      <w:r>
        <w:rPr>
          <w:rFonts w:hint="eastAsia"/>
          <w:color w:val="auto"/>
          <w:sz w:val="28"/>
          <w:szCs w:val="28"/>
          <w:highlight w:val="none"/>
        </w:rPr>
        <w:t>第四部分 投标人须知</w:t>
      </w:r>
      <w:bookmarkEnd w:id="17"/>
      <w:bookmarkEnd w:id="18"/>
      <w:bookmarkEnd w:id="20"/>
    </w:p>
    <w:p w14:paraId="2C613F84">
      <w:pPr>
        <w:pStyle w:val="4"/>
        <w:spacing w:line="480" w:lineRule="auto"/>
        <w:jc w:val="center"/>
        <w:rPr>
          <w:rFonts w:ascii="宋体" w:hAnsi="宋体"/>
          <w:color w:val="auto"/>
          <w:highlight w:val="none"/>
        </w:rPr>
      </w:pPr>
      <w:bookmarkStart w:id="21" w:name="_Toc19746"/>
      <w:bookmarkStart w:id="22" w:name="_Toc3095"/>
      <w:bookmarkStart w:id="23" w:name="_Toc27487"/>
      <w:r>
        <w:rPr>
          <w:rFonts w:hint="eastAsia" w:ascii="宋体" w:hAnsi="宋体"/>
          <w:color w:val="auto"/>
          <w:highlight w:val="none"/>
        </w:rPr>
        <w:t>第一章说明</w:t>
      </w:r>
      <w:bookmarkEnd w:id="21"/>
      <w:bookmarkEnd w:id="22"/>
      <w:bookmarkEnd w:id="23"/>
    </w:p>
    <w:p w14:paraId="0B56C3C9">
      <w:pPr>
        <w:pStyle w:val="5"/>
        <w:widowControl w:val="0"/>
        <w:overflowPunct w:val="0"/>
        <w:spacing w:line="240" w:lineRule="auto"/>
        <w:rPr>
          <w:rFonts w:ascii="宋体" w:hAnsi="宋体"/>
          <w:color w:val="auto"/>
          <w:sz w:val="21"/>
          <w:szCs w:val="21"/>
          <w:highlight w:val="none"/>
        </w:rPr>
      </w:pPr>
      <w:bookmarkStart w:id="24" w:name="_Toc18488"/>
      <w:bookmarkStart w:id="25" w:name="_Toc14924"/>
      <w:bookmarkStart w:id="26" w:name="_Toc22847"/>
      <w:r>
        <w:rPr>
          <w:rFonts w:hint="eastAsia" w:ascii="宋体" w:hAnsi="宋体"/>
          <w:color w:val="auto"/>
          <w:sz w:val="21"/>
          <w:szCs w:val="21"/>
          <w:highlight w:val="none"/>
        </w:rPr>
        <w:t>1.适用范围</w:t>
      </w:r>
      <w:bookmarkEnd w:id="24"/>
      <w:bookmarkEnd w:id="25"/>
      <w:bookmarkEnd w:id="26"/>
    </w:p>
    <w:p w14:paraId="028C556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招标范围：见本文件《用户需求书》</w:t>
      </w:r>
    </w:p>
    <w:p w14:paraId="0F4D989B">
      <w:pPr>
        <w:rPr>
          <w:color w:val="auto"/>
          <w:highlight w:val="none"/>
        </w:rPr>
      </w:pPr>
    </w:p>
    <w:p w14:paraId="6D3187BD">
      <w:pPr>
        <w:pStyle w:val="5"/>
        <w:widowControl w:val="0"/>
        <w:overflowPunct w:val="0"/>
        <w:spacing w:line="240" w:lineRule="auto"/>
        <w:rPr>
          <w:rFonts w:ascii="宋体" w:hAnsi="宋体"/>
          <w:color w:val="auto"/>
          <w:sz w:val="21"/>
          <w:szCs w:val="21"/>
          <w:highlight w:val="none"/>
        </w:rPr>
      </w:pPr>
      <w:bookmarkStart w:id="27" w:name="_Toc16848"/>
      <w:bookmarkStart w:id="28" w:name="_Toc26859"/>
      <w:bookmarkStart w:id="29" w:name="_Toc13400"/>
      <w:r>
        <w:rPr>
          <w:rFonts w:hint="eastAsia" w:ascii="宋体" w:hAnsi="宋体"/>
          <w:color w:val="auto"/>
          <w:sz w:val="21"/>
          <w:szCs w:val="21"/>
          <w:highlight w:val="none"/>
        </w:rPr>
        <w:t>2.</w:t>
      </w:r>
      <w:bookmarkStart w:id="30" w:name="_Toc298847174"/>
      <w:bookmarkStart w:id="31" w:name="_Toc382049092"/>
      <w:bookmarkStart w:id="32" w:name="_Toc1530"/>
      <w:bookmarkStart w:id="33" w:name="_Toc303084246"/>
      <w:r>
        <w:rPr>
          <w:rFonts w:hint="eastAsia" w:ascii="宋体" w:hAnsi="宋体"/>
          <w:color w:val="auto"/>
          <w:sz w:val="21"/>
          <w:szCs w:val="21"/>
          <w:highlight w:val="none"/>
        </w:rPr>
        <w:t>定义</w:t>
      </w:r>
      <w:bookmarkEnd w:id="27"/>
      <w:bookmarkEnd w:id="28"/>
      <w:bookmarkEnd w:id="29"/>
      <w:bookmarkEnd w:id="30"/>
      <w:bookmarkEnd w:id="31"/>
      <w:bookmarkEnd w:id="32"/>
      <w:bookmarkEnd w:id="33"/>
    </w:p>
    <w:p w14:paraId="3D2D6060">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p>
    <w:p w14:paraId="673CE21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采购人：</w:t>
      </w:r>
      <w:r>
        <w:rPr>
          <w:rFonts w:hint="eastAsia" w:ascii="宋体" w:hAnsi="宋体"/>
          <w:color w:val="auto"/>
          <w:szCs w:val="21"/>
          <w:highlight w:val="none"/>
          <w:lang w:val="en-US" w:eastAsia="zh-CN"/>
        </w:rPr>
        <w:t>详见投标邀请书</w:t>
      </w:r>
      <w:r>
        <w:rPr>
          <w:rFonts w:hint="eastAsia" w:ascii="宋体" w:hAnsi="宋体"/>
          <w:color w:val="auto"/>
          <w:szCs w:val="21"/>
          <w:highlight w:val="none"/>
        </w:rPr>
        <w:t>。</w:t>
      </w:r>
    </w:p>
    <w:p w14:paraId="55EA22B0">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投标人：响应招标并且符合招标文件规定资格条件和参加投标竞争的法人、其他组织或者自然人。</w:t>
      </w:r>
    </w:p>
    <w:p w14:paraId="66219D8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法人：法人是依法在国内进行注册并具有民事权利能力和民事行为能力，依法独立享有民事权利和承担民事义务的组织。</w:t>
      </w:r>
    </w:p>
    <w:p w14:paraId="5668F584">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中标人：指经评标委员会评审推荐、采购人确认的获得本项目中标资格的投标人。</w:t>
      </w:r>
    </w:p>
    <w:p w14:paraId="22D8767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采购代理机构：广东政通招标有限公司。</w:t>
      </w:r>
    </w:p>
    <w:p w14:paraId="2BB2DC7C">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评标委员会：评标委员会是专门负责本次招标其评标工作的临时性机构。</w:t>
      </w:r>
    </w:p>
    <w:p w14:paraId="47116DB5">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合同：指由本次招标所产生的合同或合约文件。</w:t>
      </w:r>
    </w:p>
    <w:p w14:paraId="6E8A18C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公章：</w:t>
      </w:r>
      <w:r>
        <w:rPr>
          <w:rFonts w:ascii="宋体" w:hAnsi="宋体"/>
          <w:color w:val="auto"/>
          <w:szCs w:val="21"/>
          <w:highlight w:val="none"/>
        </w:rPr>
        <w:t>公章是</w:t>
      </w:r>
      <w:r>
        <w:rPr>
          <w:rFonts w:ascii="宋体" w:hAnsi="宋体"/>
          <w:iCs/>
          <w:color w:val="auto"/>
          <w:szCs w:val="21"/>
          <w:highlight w:val="none"/>
        </w:rPr>
        <w:t>指</w:t>
      </w:r>
      <w:r>
        <w:rPr>
          <w:rFonts w:hint="eastAsia" w:ascii="宋体" w:hAnsi="宋体"/>
          <w:iCs/>
          <w:color w:val="auto"/>
          <w:szCs w:val="21"/>
          <w:highlight w:val="none"/>
        </w:rPr>
        <w:t>经过正规的法定程序并备案的法人公章或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color w:val="auto"/>
          <w:szCs w:val="21"/>
          <w:highlight w:val="none"/>
        </w:rPr>
        <w:t>）</w:t>
      </w:r>
    </w:p>
    <w:p w14:paraId="1E258957">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时间</w:t>
      </w:r>
      <w:r>
        <w:rPr>
          <w:rFonts w:hint="eastAsia" w:ascii="宋体" w:hAnsi="宋体"/>
          <w:iCs/>
          <w:color w:val="auto"/>
          <w:szCs w:val="21"/>
          <w:highlight w:val="none"/>
        </w:rPr>
        <w:t>：本文件规定按日计算期间的，开始当天不计入，从次日开始计算。期限的最后一日是国家法定节假日的，顺延到节假日后的次日为期限的最后一日。</w:t>
      </w:r>
    </w:p>
    <w:p w14:paraId="70854DF4">
      <w:pPr>
        <w:rPr>
          <w:color w:val="auto"/>
          <w:highlight w:val="none"/>
        </w:rPr>
      </w:pPr>
    </w:p>
    <w:p w14:paraId="0C78190E">
      <w:pPr>
        <w:pStyle w:val="5"/>
        <w:widowControl w:val="0"/>
        <w:overflowPunct w:val="0"/>
        <w:spacing w:line="240" w:lineRule="auto"/>
        <w:rPr>
          <w:rFonts w:ascii="宋体" w:hAnsi="宋体"/>
          <w:color w:val="auto"/>
          <w:sz w:val="21"/>
          <w:szCs w:val="21"/>
          <w:highlight w:val="none"/>
        </w:rPr>
      </w:pPr>
      <w:bookmarkStart w:id="34" w:name="_Toc9710"/>
      <w:bookmarkStart w:id="35" w:name="_Toc15625"/>
      <w:bookmarkStart w:id="36" w:name="_Toc3780"/>
      <w:r>
        <w:rPr>
          <w:rFonts w:hint="eastAsia" w:ascii="宋体" w:hAnsi="宋体"/>
          <w:color w:val="auto"/>
          <w:sz w:val="21"/>
          <w:szCs w:val="21"/>
          <w:highlight w:val="none"/>
        </w:rPr>
        <w:t>3.货物和服务</w:t>
      </w:r>
      <w:bookmarkEnd w:id="34"/>
      <w:bookmarkEnd w:id="35"/>
      <w:bookmarkEnd w:id="36"/>
    </w:p>
    <w:p w14:paraId="2F6BF3DC">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p>
    <w:p w14:paraId="1791DC5A">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货物</w:t>
      </w:r>
      <w:r>
        <w:rPr>
          <w:rFonts w:ascii="宋体" w:hAnsi="宋体"/>
          <w:color w:val="auto"/>
          <w:szCs w:val="21"/>
          <w:highlight w:val="none"/>
        </w:rPr>
        <w:t>是指各种形态和种类的物品，包括原材料、燃料、设备、产品等</w:t>
      </w:r>
      <w:r>
        <w:rPr>
          <w:rFonts w:hint="eastAsia" w:ascii="宋体" w:hAnsi="宋体"/>
          <w:color w:val="auto"/>
          <w:szCs w:val="21"/>
          <w:highlight w:val="none"/>
        </w:rPr>
        <w:t>。</w:t>
      </w:r>
    </w:p>
    <w:p w14:paraId="113DD4C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除货物和工程以外的其他采购对象</w:t>
      </w:r>
      <w:r>
        <w:rPr>
          <w:rFonts w:hint="eastAsia" w:ascii="宋体" w:hAnsi="宋体"/>
          <w:color w:val="auto"/>
          <w:szCs w:val="21"/>
          <w:highlight w:val="none"/>
        </w:rPr>
        <w:t>。</w:t>
      </w:r>
    </w:p>
    <w:p w14:paraId="4C6D51A1">
      <w:pPr>
        <w:rPr>
          <w:color w:val="auto"/>
          <w:highlight w:val="none"/>
        </w:rPr>
      </w:pPr>
    </w:p>
    <w:p w14:paraId="1E0B8205">
      <w:pPr>
        <w:pStyle w:val="5"/>
        <w:widowControl w:val="0"/>
        <w:overflowPunct w:val="0"/>
        <w:spacing w:line="240" w:lineRule="auto"/>
        <w:rPr>
          <w:rFonts w:ascii="宋体" w:hAnsi="宋体"/>
          <w:color w:val="auto"/>
          <w:sz w:val="21"/>
          <w:szCs w:val="21"/>
          <w:highlight w:val="none"/>
        </w:rPr>
      </w:pPr>
      <w:bookmarkStart w:id="37" w:name="_Toc15945"/>
      <w:bookmarkStart w:id="38" w:name="_Toc18988"/>
      <w:bookmarkStart w:id="39" w:name="_Toc13909"/>
      <w:r>
        <w:rPr>
          <w:rFonts w:hint="eastAsia" w:ascii="宋体" w:hAnsi="宋体"/>
          <w:color w:val="auto"/>
          <w:sz w:val="21"/>
          <w:szCs w:val="21"/>
          <w:highlight w:val="none"/>
        </w:rPr>
        <w:t>4.投标费用</w:t>
      </w:r>
      <w:bookmarkEnd w:id="37"/>
      <w:bookmarkEnd w:id="38"/>
      <w:bookmarkEnd w:id="39"/>
    </w:p>
    <w:p w14:paraId="288F2C9C">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p>
    <w:p w14:paraId="373630A7">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2A8575AA">
      <w:pPr>
        <w:widowControl w:val="0"/>
        <w:adjustRightInd/>
        <w:snapToGrid/>
        <w:spacing w:line="360" w:lineRule="exact"/>
        <w:jc w:val="both"/>
        <w:rPr>
          <w:rFonts w:ascii="宋体" w:hAnsi="宋体"/>
          <w:color w:val="auto"/>
          <w:szCs w:val="21"/>
          <w:highlight w:val="none"/>
        </w:rPr>
      </w:pPr>
    </w:p>
    <w:p w14:paraId="57B48B3B">
      <w:pPr>
        <w:pStyle w:val="5"/>
        <w:widowControl w:val="0"/>
        <w:overflowPunct w:val="0"/>
        <w:spacing w:line="240" w:lineRule="auto"/>
        <w:rPr>
          <w:rFonts w:ascii="宋体" w:hAnsi="宋体"/>
          <w:color w:val="auto"/>
          <w:sz w:val="21"/>
          <w:szCs w:val="21"/>
          <w:highlight w:val="none"/>
        </w:rPr>
      </w:pPr>
      <w:bookmarkStart w:id="40" w:name="_Toc18939"/>
      <w:bookmarkStart w:id="41" w:name="_Toc19532"/>
      <w:bookmarkStart w:id="42" w:name="_Toc25040"/>
      <w:r>
        <w:rPr>
          <w:rFonts w:hint="eastAsia" w:ascii="宋体" w:hAnsi="宋体"/>
          <w:color w:val="auto"/>
          <w:sz w:val="21"/>
          <w:szCs w:val="21"/>
          <w:highlight w:val="none"/>
        </w:rPr>
        <w:t>5.知识产权</w:t>
      </w:r>
      <w:bookmarkEnd w:id="40"/>
      <w:bookmarkEnd w:id="41"/>
      <w:bookmarkEnd w:id="42"/>
    </w:p>
    <w:p w14:paraId="62460C57">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p>
    <w:p w14:paraId="2D4D89B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6B25A7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采购人享有本项目实施过程中产生的知识成果及知识产权。</w:t>
      </w:r>
    </w:p>
    <w:p w14:paraId="11288CB0">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75C2723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货物为计算机办公设备时，投标人提供的产品必须是预装正版操作系统软件的计算机产品，采购人有权拒绝接收使用非正版操作系统软件的计算机产品，一经发现，投标文件作无效处理，并上报相关监管部门。</w:t>
      </w:r>
    </w:p>
    <w:p w14:paraId="566A0FAC">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投标人提供的服务、货物经认定存在侵权行为的，其投标无效，并上报相关监管部门。</w:t>
      </w:r>
    </w:p>
    <w:p w14:paraId="31B4E3E7">
      <w:pPr>
        <w:widowControl w:val="0"/>
        <w:adjustRightInd/>
        <w:snapToGrid/>
        <w:spacing w:line="360" w:lineRule="exact"/>
        <w:ind w:left="567"/>
        <w:jc w:val="both"/>
        <w:rPr>
          <w:rFonts w:ascii="宋体" w:hAnsi="宋体"/>
          <w:color w:val="auto"/>
          <w:szCs w:val="21"/>
          <w:highlight w:val="none"/>
        </w:rPr>
      </w:pPr>
    </w:p>
    <w:p w14:paraId="1680B525">
      <w:pPr>
        <w:pStyle w:val="5"/>
        <w:widowControl w:val="0"/>
        <w:overflowPunct w:val="0"/>
        <w:spacing w:line="240" w:lineRule="auto"/>
        <w:rPr>
          <w:rFonts w:ascii="宋体" w:hAnsi="宋体"/>
          <w:color w:val="auto"/>
          <w:sz w:val="21"/>
          <w:szCs w:val="21"/>
          <w:highlight w:val="none"/>
        </w:rPr>
      </w:pPr>
      <w:bookmarkStart w:id="43" w:name="_Toc18900"/>
      <w:bookmarkStart w:id="44" w:name="_Toc21930"/>
      <w:bookmarkStart w:id="45" w:name="_Toc31885"/>
      <w:r>
        <w:rPr>
          <w:rFonts w:hint="eastAsia" w:ascii="宋体" w:hAnsi="宋体"/>
          <w:color w:val="auto"/>
          <w:sz w:val="21"/>
          <w:szCs w:val="21"/>
          <w:highlight w:val="none"/>
        </w:rPr>
        <w:t>6.关于联合体投标</w:t>
      </w:r>
      <w:bookmarkEnd w:id="43"/>
      <w:bookmarkEnd w:id="44"/>
      <w:bookmarkEnd w:id="45"/>
    </w:p>
    <w:p w14:paraId="2DCD57C2">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p>
    <w:p w14:paraId="30BAC6B5">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对接受联合体投标的项目：两个以上的自然人、法人或者其他组织可以组成一个联合体，以一个投标人的身份共同参加采购活动。</w:t>
      </w:r>
    </w:p>
    <w:p w14:paraId="2EA2653C">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以联合体形式参与项目的供应商在领购招标文件时，应提供所有联合体组成成员的营业执照复印件，并加盖各联合体组成成员的公章。</w:t>
      </w:r>
    </w:p>
    <w:p w14:paraId="1BCB9C27">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联合体各方均应当符合文件资质规定的条件。</w:t>
      </w:r>
    </w:p>
    <w:p w14:paraId="01340692">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00640E14">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采购人根据采购项目的特殊要求规定投标人特定条件的，联合体各方中至少应当有一方符合采购人规定的特定条件。</w:t>
      </w:r>
    </w:p>
    <w:p w14:paraId="1208181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联合体各方之间应当签订共同投标协议并</w:t>
      </w:r>
      <w:r>
        <w:rPr>
          <w:rFonts w:ascii="宋体" w:hAnsi="宋体"/>
          <w:color w:val="auto"/>
          <w:szCs w:val="21"/>
          <w:highlight w:val="none"/>
        </w:rPr>
        <w:t>在投标文件内提交</w:t>
      </w:r>
      <w:r>
        <w:rPr>
          <w:rFonts w:hint="eastAsia" w:ascii="宋体" w:hAnsi="宋体"/>
          <w:color w:val="auto"/>
          <w:szCs w:val="21"/>
          <w:highlight w:val="none"/>
        </w:rPr>
        <w:t>，明确约定联合体各方承担的工作和相应的责任。联合体各方签订共同投标协议后，不得再以自己名义单独在同一项目中投标，也不得组成新的联合体参加同一项目投标。</w:t>
      </w:r>
    </w:p>
    <w:p w14:paraId="4C643E9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供应商为联合体的，可以由联合体中的任意一方交纳保证金，其交纳的保证金对联合体各方均具有约束力。</w:t>
      </w:r>
    </w:p>
    <w:p w14:paraId="79E33536">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联合体中有同类资质的投标人按照联合体分工承担相同工作的，应当按照资质等级较低的供应商确定资质等级。</w:t>
      </w:r>
    </w:p>
    <w:p w14:paraId="69CE5AB2">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以联合体形式参加采购活动，联合体各方均为中小企业的，联合体视同中小企业。其中，联合体各方均为小微企业的，联合体视同小微企业。双方均应提供《中小企业声明函》。</w:t>
      </w:r>
    </w:p>
    <w:p w14:paraId="68E2B8E2">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除联合体协议明确授权盖章单位外，联合体投标时投标文件中所有要求盖章的地方均须加盖联合体所有组成成员的公章，否则该处盖章无效。</w:t>
      </w:r>
    </w:p>
    <w:p w14:paraId="02D11704">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按主体方（牵头单位）情况评分。</w:t>
      </w:r>
    </w:p>
    <w:p w14:paraId="33636F84">
      <w:pPr>
        <w:widowControl w:val="0"/>
        <w:adjustRightInd/>
        <w:snapToGrid/>
        <w:spacing w:line="360" w:lineRule="exact"/>
        <w:ind w:left="567"/>
        <w:jc w:val="both"/>
        <w:rPr>
          <w:rFonts w:ascii="宋体" w:hAnsi="宋体"/>
          <w:color w:val="auto"/>
          <w:szCs w:val="21"/>
          <w:highlight w:val="none"/>
        </w:rPr>
      </w:pPr>
    </w:p>
    <w:p w14:paraId="62E836B3">
      <w:pPr>
        <w:pStyle w:val="5"/>
        <w:widowControl w:val="0"/>
        <w:overflowPunct w:val="0"/>
        <w:spacing w:line="240" w:lineRule="auto"/>
        <w:rPr>
          <w:rFonts w:ascii="宋体" w:hAnsi="宋体"/>
          <w:color w:val="auto"/>
          <w:sz w:val="21"/>
          <w:szCs w:val="21"/>
          <w:highlight w:val="none"/>
        </w:rPr>
      </w:pPr>
      <w:bookmarkStart w:id="46" w:name="_Toc32331"/>
      <w:bookmarkStart w:id="47" w:name="_Toc16571"/>
      <w:bookmarkStart w:id="48" w:name="_Toc11686"/>
      <w:bookmarkStart w:id="49" w:name="_Toc17879"/>
      <w:r>
        <w:rPr>
          <w:rFonts w:hint="eastAsia" w:ascii="宋体" w:hAnsi="宋体"/>
          <w:color w:val="auto"/>
          <w:sz w:val="21"/>
          <w:szCs w:val="21"/>
          <w:highlight w:val="none"/>
        </w:rPr>
        <w:t>7.关于分支机构投标</w:t>
      </w:r>
      <w:bookmarkEnd w:id="46"/>
      <w:bookmarkEnd w:id="47"/>
      <w:bookmarkEnd w:id="48"/>
    </w:p>
    <w:p w14:paraId="7030F965">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bookmarkStart w:id="50" w:name="EB389f116341dd4693875bc7987e7327f3"/>
    </w:p>
    <w:p w14:paraId="725B3CC1">
      <w:pPr>
        <w:widowControl w:val="0"/>
        <w:numPr>
          <w:ilvl w:val="1"/>
          <w:numId w:val="5"/>
        </w:numPr>
        <w:adjustRightInd/>
        <w:snapToGrid/>
        <w:jc w:val="both"/>
        <w:rPr>
          <w:rFonts w:ascii="宋体" w:hAnsi="宋体"/>
          <w:color w:val="auto"/>
          <w:szCs w:val="21"/>
          <w:highlight w:val="none"/>
        </w:rPr>
      </w:pPr>
      <w:r>
        <w:rPr>
          <w:rFonts w:ascii="宋体" w:hAnsi="宋体"/>
          <w:color w:val="auto"/>
          <w:szCs w:val="21"/>
          <w:highlight w:val="none"/>
        </w:rPr>
        <w:t>对可接受</w:t>
      </w:r>
      <w:r>
        <w:rPr>
          <w:rFonts w:hint="eastAsia" w:ascii="宋体" w:hAnsi="宋体"/>
          <w:color w:val="auto"/>
          <w:szCs w:val="21"/>
          <w:highlight w:val="none"/>
        </w:rPr>
        <w:t>分支机构（分公司）</w:t>
      </w:r>
      <w:r>
        <w:rPr>
          <w:rFonts w:ascii="宋体" w:hAnsi="宋体"/>
          <w:color w:val="auto"/>
          <w:szCs w:val="21"/>
          <w:highlight w:val="none"/>
        </w:rPr>
        <w:t>投标的项目，</w:t>
      </w:r>
      <w:r>
        <w:rPr>
          <w:rFonts w:hint="eastAsia" w:ascii="宋体" w:hAnsi="宋体"/>
          <w:color w:val="auto"/>
          <w:szCs w:val="21"/>
          <w:highlight w:val="none"/>
        </w:rPr>
        <w:t>分支机构（分公司）</w:t>
      </w:r>
      <w:r>
        <w:rPr>
          <w:rFonts w:ascii="宋体" w:hAnsi="宋体"/>
          <w:color w:val="auto"/>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50"/>
    </w:p>
    <w:p w14:paraId="79AB62BA">
      <w:pPr>
        <w:rPr>
          <w:color w:val="auto"/>
          <w:highlight w:val="none"/>
        </w:rPr>
      </w:pPr>
    </w:p>
    <w:p w14:paraId="3C4A75CE">
      <w:pPr>
        <w:pStyle w:val="4"/>
        <w:spacing w:line="480" w:lineRule="auto"/>
        <w:jc w:val="center"/>
        <w:rPr>
          <w:rFonts w:ascii="宋体" w:hAnsi="宋体"/>
          <w:color w:val="auto"/>
          <w:highlight w:val="none"/>
        </w:rPr>
      </w:pPr>
      <w:bookmarkStart w:id="51" w:name="_Toc29837"/>
      <w:bookmarkStart w:id="52" w:name="_Toc18115"/>
      <w:r>
        <w:rPr>
          <w:rFonts w:hint="eastAsia" w:ascii="宋体" w:hAnsi="宋体"/>
          <w:color w:val="auto"/>
          <w:highlight w:val="none"/>
        </w:rPr>
        <w:t>第二章招标文件</w:t>
      </w:r>
      <w:bookmarkEnd w:id="49"/>
      <w:bookmarkEnd w:id="51"/>
      <w:bookmarkEnd w:id="52"/>
    </w:p>
    <w:p w14:paraId="72859F39">
      <w:pPr>
        <w:pStyle w:val="5"/>
        <w:widowControl w:val="0"/>
        <w:overflowPunct w:val="0"/>
        <w:spacing w:line="240" w:lineRule="auto"/>
        <w:rPr>
          <w:rFonts w:ascii="宋体" w:hAnsi="宋体"/>
          <w:color w:val="auto"/>
          <w:sz w:val="21"/>
          <w:szCs w:val="21"/>
          <w:highlight w:val="none"/>
        </w:rPr>
      </w:pPr>
      <w:bookmarkStart w:id="53" w:name="_Toc13494"/>
      <w:bookmarkStart w:id="54" w:name="_Toc13174"/>
      <w:bookmarkStart w:id="55" w:name="_Toc21771"/>
      <w:r>
        <w:rPr>
          <w:rFonts w:hint="eastAsia" w:ascii="宋体" w:hAnsi="宋体"/>
          <w:color w:val="auto"/>
          <w:sz w:val="21"/>
          <w:szCs w:val="21"/>
          <w:highlight w:val="none"/>
        </w:rPr>
        <w:t>8.招标文件的组成</w:t>
      </w:r>
      <w:bookmarkEnd w:id="53"/>
      <w:bookmarkEnd w:id="54"/>
      <w:bookmarkEnd w:id="55"/>
    </w:p>
    <w:p w14:paraId="395244A1">
      <w:pPr>
        <w:pStyle w:val="42"/>
        <w:widowControl w:val="0"/>
        <w:numPr>
          <w:ilvl w:val="0"/>
          <w:numId w:val="5"/>
        </w:numPr>
        <w:adjustRightInd/>
        <w:snapToGrid/>
        <w:spacing w:line="360" w:lineRule="exact"/>
        <w:ind w:firstLineChars="0"/>
        <w:jc w:val="both"/>
        <w:rPr>
          <w:rFonts w:ascii="宋体" w:hAnsi="宋体"/>
          <w:vanish/>
          <w:color w:val="auto"/>
          <w:szCs w:val="21"/>
          <w:highlight w:val="none"/>
        </w:rPr>
      </w:pPr>
    </w:p>
    <w:p w14:paraId="72524750">
      <w:pPr>
        <w:widowControl w:val="0"/>
        <w:adjustRightInd/>
        <w:snapToGrid/>
        <w:jc w:val="both"/>
        <w:rPr>
          <w:rFonts w:ascii="宋体" w:hAnsi="宋体"/>
          <w:color w:val="auto"/>
          <w:szCs w:val="21"/>
          <w:highlight w:val="none"/>
        </w:rPr>
      </w:pPr>
      <w:r>
        <w:rPr>
          <w:rFonts w:hint="eastAsia" w:ascii="宋体" w:hAnsi="宋体"/>
          <w:color w:val="auto"/>
          <w:szCs w:val="21"/>
          <w:highlight w:val="none"/>
        </w:rPr>
        <w:t>（1）投标邀请书；</w:t>
      </w:r>
    </w:p>
    <w:p w14:paraId="2176F1BE">
      <w:pPr>
        <w:widowControl w:val="0"/>
        <w:adjustRightInd/>
        <w:snapToGrid/>
        <w:jc w:val="both"/>
        <w:rPr>
          <w:rFonts w:ascii="宋体" w:hAnsi="宋体"/>
          <w:color w:val="auto"/>
          <w:szCs w:val="21"/>
          <w:highlight w:val="none"/>
        </w:rPr>
      </w:pPr>
      <w:r>
        <w:rPr>
          <w:rFonts w:hint="eastAsia" w:ascii="宋体" w:hAnsi="宋体"/>
          <w:color w:val="auto"/>
          <w:szCs w:val="21"/>
          <w:highlight w:val="none"/>
        </w:rPr>
        <w:t>（2）投标资料表；</w:t>
      </w:r>
    </w:p>
    <w:p w14:paraId="2F39F1ED">
      <w:pPr>
        <w:widowControl w:val="0"/>
        <w:adjustRightInd/>
        <w:snapToGrid/>
        <w:jc w:val="both"/>
        <w:rPr>
          <w:rFonts w:ascii="宋体" w:hAnsi="宋体"/>
          <w:color w:val="auto"/>
          <w:szCs w:val="21"/>
          <w:highlight w:val="none"/>
        </w:rPr>
      </w:pPr>
      <w:r>
        <w:rPr>
          <w:rFonts w:hint="eastAsia" w:ascii="宋体" w:hAnsi="宋体"/>
          <w:color w:val="auto"/>
          <w:szCs w:val="21"/>
          <w:highlight w:val="none"/>
        </w:rPr>
        <w:t>（3）投标人须知；</w:t>
      </w:r>
    </w:p>
    <w:p w14:paraId="67EA4153">
      <w:pPr>
        <w:widowControl w:val="0"/>
        <w:adjustRightInd/>
        <w:snapToGrid/>
        <w:jc w:val="both"/>
        <w:rPr>
          <w:rFonts w:ascii="宋体" w:hAnsi="宋体"/>
          <w:color w:val="auto"/>
          <w:szCs w:val="21"/>
          <w:highlight w:val="none"/>
        </w:rPr>
      </w:pPr>
      <w:r>
        <w:rPr>
          <w:rFonts w:hint="eastAsia" w:ascii="宋体" w:hAnsi="宋体"/>
          <w:color w:val="auto"/>
          <w:szCs w:val="21"/>
          <w:highlight w:val="none"/>
        </w:rPr>
        <w:t>（4）用户需求书；</w:t>
      </w:r>
    </w:p>
    <w:p w14:paraId="5B81EAF9">
      <w:pPr>
        <w:widowControl w:val="0"/>
        <w:adjustRightInd/>
        <w:snapToGrid/>
        <w:jc w:val="both"/>
        <w:rPr>
          <w:rFonts w:ascii="宋体" w:hAnsi="宋体"/>
          <w:color w:val="auto"/>
          <w:szCs w:val="21"/>
          <w:highlight w:val="none"/>
        </w:rPr>
      </w:pPr>
      <w:r>
        <w:rPr>
          <w:rFonts w:hint="eastAsia" w:ascii="宋体" w:hAnsi="宋体"/>
          <w:color w:val="auto"/>
          <w:szCs w:val="21"/>
          <w:highlight w:val="none"/>
        </w:rPr>
        <w:t>（5）合同文本参考格式；</w:t>
      </w:r>
    </w:p>
    <w:p w14:paraId="4ADDEE45">
      <w:pPr>
        <w:widowControl w:val="0"/>
        <w:adjustRightInd/>
        <w:snapToGrid/>
        <w:jc w:val="both"/>
        <w:rPr>
          <w:rFonts w:ascii="宋体" w:hAnsi="宋体"/>
          <w:color w:val="auto"/>
          <w:szCs w:val="21"/>
          <w:highlight w:val="none"/>
        </w:rPr>
      </w:pPr>
      <w:r>
        <w:rPr>
          <w:rFonts w:hint="eastAsia" w:ascii="宋体" w:hAnsi="宋体"/>
          <w:color w:val="auto"/>
          <w:szCs w:val="21"/>
          <w:highlight w:val="none"/>
        </w:rPr>
        <w:t>（6）投标文件参考格式；</w:t>
      </w:r>
    </w:p>
    <w:p w14:paraId="1317F729">
      <w:pPr>
        <w:widowControl w:val="0"/>
        <w:adjustRightInd/>
        <w:snapToGrid/>
        <w:jc w:val="both"/>
        <w:rPr>
          <w:rFonts w:ascii="宋体" w:hAnsi="宋体"/>
          <w:color w:val="auto"/>
          <w:szCs w:val="21"/>
          <w:highlight w:val="none"/>
        </w:rPr>
      </w:pPr>
      <w:r>
        <w:rPr>
          <w:rFonts w:hint="eastAsia" w:ascii="宋体" w:hAnsi="宋体"/>
          <w:color w:val="auto"/>
          <w:szCs w:val="21"/>
          <w:highlight w:val="none"/>
        </w:rPr>
        <w:t>（7）在招标过程中由采购代理机构发出的澄清更正文件等。</w:t>
      </w:r>
    </w:p>
    <w:p w14:paraId="1F4BE06D">
      <w:pPr>
        <w:rPr>
          <w:color w:val="auto"/>
          <w:highlight w:val="none"/>
        </w:rPr>
      </w:pPr>
    </w:p>
    <w:p w14:paraId="76171A34">
      <w:pPr>
        <w:pStyle w:val="5"/>
        <w:widowControl w:val="0"/>
        <w:overflowPunct w:val="0"/>
        <w:rPr>
          <w:rFonts w:ascii="宋体" w:hAnsi="宋体"/>
          <w:color w:val="auto"/>
          <w:sz w:val="21"/>
          <w:szCs w:val="21"/>
          <w:highlight w:val="none"/>
        </w:rPr>
      </w:pPr>
      <w:bookmarkStart w:id="56" w:name="_Toc15310"/>
      <w:bookmarkStart w:id="57" w:name="_Toc14217"/>
      <w:bookmarkStart w:id="58" w:name="_Toc17274"/>
      <w:r>
        <w:rPr>
          <w:rFonts w:hint="eastAsia" w:ascii="宋体" w:hAnsi="宋体"/>
          <w:color w:val="auto"/>
          <w:sz w:val="21"/>
          <w:szCs w:val="21"/>
          <w:highlight w:val="none"/>
        </w:rPr>
        <w:t>9.招标文件的澄清或修改</w:t>
      </w:r>
      <w:bookmarkEnd w:id="56"/>
      <w:bookmarkEnd w:id="57"/>
      <w:bookmarkEnd w:id="58"/>
    </w:p>
    <w:p w14:paraId="2163E61F">
      <w:pPr>
        <w:pStyle w:val="42"/>
        <w:widowControl w:val="0"/>
        <w:numPr>
          <w:ilvl w:val="0"/>
          <w:numId w:val="5"/>
        </w:numPr>
        <w:adjustRightInd/>
        <w:snapToGrid/>
        <w:ind w:firstLineChars="0"/>
        <w:jc w:val="both"/>
        <w:rPr>
          <w:rFonts w:ascii="宋体" w:hAnsi="宋体"/>
          <w:vanish/>
          <w:color w:val="auto"/>
          <w:szCs w:val="21"/>
          <w:highlight w:val="none"/>
        </w:rPr>
      </w:pPr>
    </w:p>
    <w:p w14:paraId="5920AF0A">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color w:val="auto"/>
          <w:szCs w:val="21"/>
          <w:highlight w:val="none"/>
        </w:rPr>
        <w:t>具有约束作用</w:t>
      </w:r>
      <w:r>
        <w:rPr>
          <w:rFonts w:hint="eastAsia" w:ascii="宋体" w:hAnsi="宋体"/>
          <w:color w:val="auto"/>
          <w:szCs w:val="21"/>
          <w:highlight w:val="none"/>
        </w:rPr>
        <w:t>。</w:t>
      </w:r>
      <w:r>
        <w:rPr>
          <w:rFonts w:ascii="宋体" w:hAnsi="宋体"/>
          <w:color w:val="auto"/>
          <w:szCs w:val="21"/>
          <w:highlight w:val="none"/>
        </w:rPr>
        <w:t>当招标文件、招标文件的澄清</w:t>
      </w:r>
      <w:r>
        <w:rPr>
          <w:rFonts w:hint="eastAsia" w:ascii="宋体" w:hAnsi="宋体"/>
          <w:color w:val="auto"/>
          <w:szCs w:val="21"/>
          <w:highlight w:val="none"/>
        </w:rPr>
        <w:t>或</w:t>
      </w:r>
      <w:r>
        <w:rPr>
          <w:rFonts w:ascii="宋体" w:hAnsi="宋体"/>
          <w:color w:val="auto"/>
          <w:szCs w:val="21"/>
          <w:highlight w:val="none"/>
        </w:rPr>
        <w:t>修改等在同一内容的表述上不一致时，以最后发出的书面文件</w:t>
      </w:r>
      <w:r>
        <w:rPr>
          <w:rFonts w:hint="eastAsia" w:ascii="宋体" w:hAnsi="宋体"/>
          <w:color w:val="auto"/>
          <w:szCs w:val="21"/>
          <w:highlight w:val="none"/>
        </w:rPr>
        <w:t>及公告</w:t>
      </w:r>
      <w:r>
        <w:rPr>
          <w:rFonts w:ascii="宋体" w:hAnsi="宋体"/>
          <w:color w:val="auto"/>
          <w:szCs w:val="21"/>
          <w:highlight w:val="none"/>
        </w:rPr>
        <w:t>为准。</w:t>
      </w:r>
    </w:p>
    <w:p w14:paraId="46AE9910">
      <w:pPr>
        <w:widowControl w:val="0"/>
        <w:numPr>
          <w:ilvl w:val="1"/>
          <w:numId w:val="5"/>
        </w:numPr>
        <w:adjustRightInd/>
        <w:snapToGrid/>
        <w:jc w:val="both"/>
        <w:rPr>
          <w:rFonts w:ascii="宋体" w:hAnsi="宋体"/>
          <w:b/>
          <w:bCs/>
          <w:color w:val="auto"/>
          <w:szCs w:val="21"/>
          <w:highlight w:val="none"/>
        </w:rPr>
      </w:pPr>
      <w:r>
        <w:rPr>
          <w:rFonts w:hint="eastAsia" w:ascii="宋体" w:hAnsi="宋体"/>
          <w:b/>
          <w:bCs/>
          <w:color w:val="auto"/>
          <w:szCs w:val="21"/>
          <w:highlight w:val="none"/>
        </w:rPr>
        <w:t>招标期间，投标人有义务上网查看，公告一经上网发布，即视为送达。因投标人未及时上网查看而造成的所有后果，由投标人自行承担。</w:t>
      </w:r>
    </w:p>
    <w:p w14:paraId="022FE878">
      <w:pPr>
        <w:widowControl w:val="0"/>
        <w:adjustRightInd/>
        <w:snapToGrid/>
        <w:spacing w:line="360" w:lineRule="exact"/>
        <w:ind w:left="567"/>
        <w:jc w:val="both"/>
        <w:rPr>
          <w:rFonts w:ascii="宋体" w:hAnsi="宋体"/>
          <w:color w:val="auto"/>
          <w:szCs w:val="21"/>
          <w:highlight w:val="none"/>
        </w:rPr>
      </w:pPr>
    </w:p>
    <w:p w14:paraId="15C41052">
      <w:pPr>
        <w:pStyle w:val="4"/>
        <w:spacing w:line="480" w:lineRule="auto"/>
        <w:jc w:val="center"/>
        <w:rPr>
          <w:rFonts w:ascii="宋体" w:hAnsi="宋体"/>
          <w:color w:val="auto"/>
          <w:highlight w:val="none"/>
        </w:rPr>
      </w:pPr>
      <w:bookmarkStart w:id="59" w:name="_Toc23726"/>
      <w:bookmarkStart w:id="60" w:name="_Toc5054"/>
      <w:bookmarkStart w:id="61" w:name="_Toc16712"/>
      <w:r>
        <w:rPr>
          <w:rFonts w:hint="eastAsia" w:ascii="宋体" w:hAnsi="宋体"/>
          <w:color w:val="auto"/>
          <w:highlight w:val="none"/>
        </w:rPr>
        <w:t>第三章投标文件的编制</w:t>
      </w:r>
      <w:bookmarkEnd w:id="59"/>
      <w:bookmarkEnd w:id="60"/>
      <w:bookmarkEnd w:id="61"/>
    </w:p>
    <w:p w14:paraId="5F0E3858">
      <w:pPr>
        <w:pStyle w:val="5"/>
        <w:widowControl w:val="0"/>
        <w:overflowPunct w:val="0"/>
        <w:rPr>
          <w:rFonts w:ascii="宋体" w:hAnsi="宋体"/>
          <w:color w:val="auto"/>
          <w:sz w:val="21"/>
          <w:szCs w:val="21"/>
          <w:highlight w:val="none"/>
        </w:rPr>
      </w:pPr>
      <w:bookmarkStart w:id="62" w:name="_Toc14451"/>
      <w:bookmarkStart w:id="63" w:name="_Toc28092"/>
      <w:bookmarkStart w:id="64" w:name="_Toc20623"/>
      <w:r>
        <w:rPr>
          <w:rFonts w:hint="eastAsia" w:ascii="宋体" w:hAnsi="宋体"/>
          <w:color w:val="auto"/>
          <w:sz w:val="21"/>
          <w:szCs w:val="21"/>
          <w:highlight w:val="none"/>
        </w:rPr>
        <w:t>10.投标文件的语言及度量衡单位</w:t>
      </w:r>
      <w:bookmarkEnd w:id="62"/>
      <w:bookmarkEnd w:id="63"/>
      <w:bookmarkEnd w:id="64"/>
    </w:p>
    <w:p w14:paraId="41417A18">
      <w:pPr>
        <w:pStyle w:val="42"/>
        <w:widowControl w:val="0"/>
        <w:numPr>
          <w:ilvl w:val="0"/>
          <w:numId w:val="5"/>
        </w:numPr>
        <w:adjustRightInd/>
        <w:snapToGrid/>
        <w:ind w:firstLineChars="0"/>
        <w:jc w:val="both"/>
        <w:rPr>
          <w:rFonts w:ascii="宋体" w:hAnsi="宋体"/>
          <w:vanish/>
          <w:color w:val="auto"/>
          <w:szCs w:val="21"/>
          <w:highlight w:val="none"/>
        </w:rPr>
      </w:pPr>
    </w:p>
    <w:p w14:paraId="253FC3F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5A1C433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除非招标文件在技术规格中另有规定，投标人在投标文件中及其与采购代理机构和采购人所有往来文件中的所有</w:t>
      </w:r>
      <w:r>
        <w:rPr>
          <w:rFonts w:ascii="宋体" w:hAnsi="宋体"/>
          <w:color w:val="auto"/>
          <w:szCs w:val="21"/>
          <w:highlight w:val="none"/>
        </w:rPr>
        <w:t>计量单位</w:t>
      </w:r>
      <w:r>
        <w:rPr>
          <w:rFonts w:hint="eastAsia" w:ascii="宋体" w:hAnsi="宋体"/>
          <w:color w:val="auto"/>
          <w:szCs w:val="21"/>
          <w:highlight w:val="none"/>
        </w:rPr>
        <w:t>均应采用中华人民共和国法定计量单位</w:t>
      </w:r>
      <w:r>
        <w:rPr>
          <w:rFonts w:ascii="宋体" w:hAnsi="宋体"/>
          <w:color w:val="auto"/>
          <w:szCs w:val="21"/>
          <w:highlight w:val="none"/>
        </w:rPr>
        <w:t>。</w:t>
      </w:r>
    </w:p>
    <w:p w14:paraId="20BC045D">
      <w:pPr>
        <w:widowControl w:val="0"/>
        <w:adjustRightInd/>
        <w:snapToGrid/>
        <w:ind w:left="567"/>
        <w:jc w:val="both"/>
        <w:rPr>
          <w:rFonts w:ascii="宋体" w:hAnsi="宋体"/>
          <w:color w:val="auto"/>
          <w:szCs w:val="21"/>
          <w:highlight w:val="none"/>
        </w:rPr>
      </w:pPr>
    </w:p>
    <w:p w14:paraId="6CFF5038">
      <w:pPr>
        <w:pStyle w:val="5"/>
        <w:widowControl w:val="0"/>
        <w:overflowPunct w:val="0"/>
        <w:rPr>
          <w:rFonts w:ascii="宋体" w:hAnsi="宋体"/>
          <w:color w:val="auto"/>
          <w:sz w:val="21"/>
          <w:szCs w:val="21"/>
          <w:highlight w:val="none"/>
        </w:rPr>
      </w:pPr>
      <w:bookmarkStart w:id="65" w:name="_Toc1656"/>
      <w:bookmarkStart w:id="66" w:name="_Toc303084256"/>
      <w:bookmarkStart w:id="67" w:name="_Toc12145"/>
      <w:bookmarkStart w:id="68" w:name="_Toc307934854"/>
      <w:bookmarkStart w:id="69" w:name="_Toc382049103"/>
      <w:bookmarkStart w:id="70" w:name="_Toc18999"/>
      <w:bookmarkStart w:id="71" w:name="_Toc28866"/>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65"/>
      <w:bookmarkEnd w:id="66"/>
      <w:bookmarkEnd w:id="67"/>
      <w:bookmarkEnd w:id="68"/>
      <w:bookmarkEnd w:id="69"/>
      <w:bookmarkEnd w:id="70"/>
      <w:bookmarkEnd w:id="71"/>
    </w:p>
    <w:p w14:paraId="122B8713">
      <w:pPr>
        <w:pStyle w:val="42"/>
        <w:widowControl w:val="0"/>
        <w:numPr>
          <w:ilvl w:val="0"/>
          <w:numId w:val="5"/>
        </w:numPr>
        <w:adjustRightInd/>
        <w:snapToGrid/>
        <w:ind w:firstLineChars="0"/>
        <w:jc w:val="both"/>
        <w:rPr>
          <w:rFonts w:ascii="宋体" w:hAnsi="宋体"/>
          <w:vanish/>
          <w:color w:val="auto"/>
          <w:szCs w:val="21"/>
          <w:highlight w:val="none"/>
        </w:rPr>
      </w:pPr>
    </w:p>
    <w:p w14:paraId="73A2F7A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包括但不限于招标文件附件格式中要求提供的表格。</w:t>
      </w:r>
    </w:p>
    <w:p w14:paraId="6322FB9E">
      <w:pPr>
        <w:widowControl w:val="0"/>
        <w:numPr>
          <w:ilvl w:val="1"/>
          <w:numId w:val="5"/>
        </w:numPr>
        <w:adjustRightInd/>
        <w:snapToGrid/>
        <w:jc w:val="both"/>
        <w:rPr>
          <w:color w:val="auto"/>
          <w:highlight w:val="none"/>
        </w:rPr>
      </w:pPr>
      <w:r>
        <w:rPr>
          <w:rFonts w:hint="eastAsia" w:ascii="宋体" w:hAnsi="宋体"/>
          <w:color w:val="auto"/>
          <w:szCs w:val="21"/>
          <w:highlight w:val="none"/>
        </w:rPr>
        <w:t>投标文件须按顺序装订成册，并编制投标文件目录。除上述文件资料外投标人还须按投标人须知的要求制作“唱标文件”。“唱标文件”作为投标文件的一部分，单独密封提交。</w:t>
      </w:r>
    </w:p>
    <w:p w14:paraId="74AF0510">
      <w:pPr>
        <w:rPr>
          <w:color w:val="auto"/>
          <w:highlight w:val="none"/>
        </w:rPr>
      </w:pPr>
    </w:p>
    <w:p w14:paraId="182D1AB7">
      <w:pPr>
        <w:pStyle w:val="5"/>
        <w:widowControl w:val="0"/>
        <w:overflowPunct w:val="0"/>
        <w:rPr>
          <w:rFonts w:ascii="宋体" w:hAnsi="宋体"/>
          <w:color w:val="auto"/>
          <w:sz w:val="21"/>
          <w:szCs w:val="21"/>
          <w:highlight w:val="none"/>
        </w:rPr>
      </w:pPr>
      <w:bookmarkStart w:id="72" w:name="_Toc21747"/>
      <w:bookmarkStart w:id="73" w:name="_Toc25330"/>
      <w:bookmarkStart w:id="74" w:name="_Toc30189"/>
      <w:r>
        <w:rPr>
          <w:rFonts w:hint="eastAsia" w:ascii="宋体" w:hAnsi="宋体"/>
          <w:color w:val="auto"/>
          <w:sz w:val="21"/>
          <w:szCs w:val="21"/>
          <w:highlight w:val="none"/>
        </w:rPr>
        <w:t>12.投标文件编制</w:t>
      </w:r>
      <w:bookmarkEnd w:id="72"/>
      <w:bookmarkEnd w:id="73"/>
      <w:bookmarkEnd w:id="74"/>
    </w:p>
    <w:p w14:paraId="187CECCD">
      <w:pPr>
        <w:pStyle w:val="42"/>
        <w:widowControl w:val="0"/>
        <w:numPr>
          <w:ilvl w:val="0"/>
          <w:numId w:val="5"/>
        </w:numPr>
        <w:adjustRightInd/>
        <w:snapToGrid/>
        <w:ind w:firstLineChars="0"/>
        <w:jc w:val="both"/>
        <w:rPr>
          <w:rFonts w:ascii="宋体" w:hAnsi="宋体"/>
          <w:vanish/>
          <w:color w:val="auto"/>
          <w:szCs w:val="21"/>
          <w:highlight w:val="none"/>
        </w:rPr>
      </w:pPr>
      <w:bookmarkStart w:id="75" w:name="_Toc303084258"/>
    </w:p>
    <w:p w14:paraId="7C7962FC">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投标人应按招标文件的规定以及附件要求的内容和格式完整地填写</w:t>
      </w:r>
      <w:r>
        <w:rPr>
          <w:rFonts w:ascii="宋体" w:hAnsi="宋体"/>
          <w:color w:val="auto"/>
          <w:szCs w:val="21"/>
          <w:highlight w:val="none"/>
        </w:rPr>
        <w:t>（表格可以按同样格式扩展）</w:t>
      </w:r>
      <w:r>
        <w:rPr>
          <w:rFonts w:hint="eastAsia" w:ascii="宋体" w:hAnsi="宋体"/>
          <w:color w:val="auto"/>
          <w:szCs w:val="21"/>
          <w:highlight w:val="none"/>
        </w:rPr>
        <w:t>和提供资料，投标人必须对投标文件所提供的全部材料的真实性承担法律责任，并无条件接受采购人或采购代理机构及采购监督管理部门等对其中任何资料进行核实的要求。</w:t>
      </w:r>
    </w:p>
    <w:p w14:paraId="2BD2041B">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因投标文件编制存在歧义对投标人产生负面影响的，投标人自行承担后果。</w:t>
      </w:r>
    </w:p>
    <w:p w14:paraId="572A56C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投标单位名称与投标人公章不一致，若投标单位名称已进行变更，应在投标文件中提供相应的证明材料并加盖公章，否则投标文件无效。</w:t>
      </w:r>
    </w:p>
    <w:p w14:paraId="6EDAEDE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投标文件密封、标记及内容与本项目采购信息不符，导致无法分辨所投项目为本项目的，投标文件无效。</w:t>
      </w:r>
    </w:p>
    <w:p w14:paraId="1AA4C404">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投标文件若出现以下内容，经评标委员会认定有可能间接影响评审秩序、评审公正性的，其投标无效：</w:t>
      </w:r>
    </w:p>
    <w:p w14:paraId="462FE3C2">
      <w:pPr>
        <w:pStyle w:val="42"/>
        <w:widowControl w:val="0"/>
        <w:adjustRightInd/>
        <w:snapToGrid/>
        <w:ind w:firstLine="0" w:firstLineChars="0"/>
        <w:jc w:val="both"/>
        <w:rPr>
          <w:rFonts w:ascii="宋体" w:hAnsi="宋体"/>
          <w:color w:val="auto"/>
          <w:szCs w:val="21"/>
          <w:highlight w:val="none"/>
        </w:rPr>
      </w:pPr>
      <w:r>
        <w:rPr>
          <w:rFonts w:hint="eastAsia" w:ascii="宋体" w:hAnsi="宋体"/>
          <w:color w:val="auto"/>
          <w:szCs w:val="21"/>
          <w:highlight w:val="none"/>
        </w:rPr>
        <w:t>（1）投标文件内出现无官方证明文件的行业地域排名或</w:t>
      </w:r>
      <w:r>
        <w:rPr>
          <w:rFonts w:ascii="宋体" w:hAnsi="宋体"/>
          <w:color w:val="auto"/>
          <w:szCs w:val="21"/>
          <w:highlight w:val="none"/>
        </w:rPr>
        <w:t>使用“国家级”、“最高级”、“最佳”等用语</w:t>
      </w:r>
      <w:r>
        <w:rPr>
          <w:rFonts w:hint="eastAsia" w:ascii="宋体" w:hAnsi="宋体"/>
          <w:color w:val="auto"/>
          <w:szCs w:val="21"/>
          <w:highlight w:val="none"/>
        </w:rPr>
        <w:t>字眼的。</w:t>
      </w:r>
    </w:p>
    <w:p w14:paraId="70407C35">
      <w:pPr>
        <w:pStyle w:val="42"/>
        <w:widowControl w:val="0"/>
        <w:adjustRightInd/>
        <w:snapToGrid/>
        <w:ind w:firstLine="0" w:firstLineChars="0"/>
        <w:jc w:val="both"/>
        <w:rPr>
          <w:rFonts w:ascii="宋体" w:hAnsi="宋体"/>
          <w:color w:val="auto"/>
          <w:szCs w:val="21"/>
          <w:highlight w:val="none"/>
        </w:rPr>
      </w:pPr>
      <w:r>
        <w:rPr>
          <w:rFonts w:hint="eastAsia" w:ascii="宋体" w:hAnsi="宋体"/>
          <w:color w:val="auto"/>
          <w:szCs w:val="21"/>
          <w:highlight w:val="none"/>
        </w:rPr>
        <w:t>（2）投标文件内出现恶意诋毁、</w:t>
      </w:r>
      <w:r>
        <w:rPr>
          <w:rFonts w:ascii="宋体" w:hAnsi="宋体"/>
          <w:color w:val="auto"/>
          <w:szCs w:val="21"/>
          <w:highlight w:val="none"/>
        </w:rPr>
        <w:t>贬低其他生产经营者的商品或者服务</w:t>
      </w:r>
      <w:r>
        <w:rPr>
          <w:rFonts w:hint="eastAsia" w:ascii="宋体" w:hAnsi="宋体"/>
          <w:color w:val="auto"/>
          <w:szCs w:val="21"/>
          <w:highlight w:val="none"/>
        </w:rPr>
        <w:t>的内容。</w:t>
      </w:r>
    </w:p>
    <w:p w14:paraId="207CF28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有下列情形之一的，视为投标人串通投标，其投标无效：</w:t>
      </w:r>
    </w:p>
    <w:bookmarkEnd w:id="75"/>
    <w:p w14:paraId="434176F9">
      <w:pPr>
        <w:widowControl w:val="0"/>
        <w:adjustRightInd/>
        <w:snapToGrid/>
        <w:jc w:val="both"/>
        <w:rPr>
          <w:rFonts w:ascii="宋体" w:hAnsi="宋体"/>
          <w:color w:val="auto"/>
          <w:szCs w:val="21"/>
          <w:highlight w:val="none"/>
        </w:rPr>
      </w:pPr>
      <w:r>
        <w:rPr>
          <w:rFonts w:hint="eastAsia" w:ascii="宋体" w:hAnsi="宋体"/>
          <w:color w:val="auto"/>
          <w:szCs w:val="21"/>
          <w:highlight w:val="none"/>
        </w:rPr>
        <w:t>（一）不同投标人的投标文件由同一单位或者个人编制；</w:t>
      </w:r>
    </w:p>
    <w:p w14:paraId="126EC59F">
      <w:pPr>
        <w:widowControl w:val="0"/>
        <w:adjustRightInd/>
        <w:snapToGrid/>
        <w:jc w:val="both"/>
        <w:rPr>
          <w:rFonts w:ascii="宋体" w:hAnsi="宋体"/>
          <w:color w:val="auto"/>
          <w:szCs w:val="21"/>
          <w:highlight w:val="none"/>
        </w:rPr>
      </w:pPr>
      <w:r>
        <w:rPr>
          <w:rFonts w:hint="eastAsia" w:ascii="宋体" w:hAnsi="宋体"/>
          <w:color w:val="auto"/>
          <w:szCs w:val="21"/>
          <w:highlight w:val="none"/>
        </w:rPr>
        <w:t>（二）不同投标人委托同一单位或者个人办理投标事宜；</w:t>
      </w:r>
    </w:p>
    <w:p w14:paraId="2CCCCB95">
      <w:pPr>
        <w:widowControl w:val="0"/>
        <w:adjustRightInd/>
        <w:snapToGrid/>
        <w:jc w:val="both"/>
        <w:rPr>
          <w:rFonts w:ascii="宋体" w:hAnsi="宋体"/>
          <w:color w:val="auto"/>
          <w:szCs w:val="21"/>
          <w:highlight w:val="none"/>
        </w:rPr>
      </w:pPr>
      <w:r>
        <w:rPr>
          <w:rFonts w:hint="eastAsia" w:ascii="宋体" w:hAnsi="宋体"/>
          <w:color w:val="auto"/>
          <w:szCs w:val="21"/>
          <w:highlight w:val="none"/>
        </w:rPr>
        <w:t>（三）不同投标人的投标文件载明的项目管理成员或者联系人员为同一人；</w:t>
      </w:r>
    </w:p>
    <w:p w14:paraId="791018D0">
      <w:pPr>
        <w:widowControl w:val="0"/>
        <w:adjustRightInd/>
        <w:snapToGrid/>
        <w:jc w:val="both"/>
        <w:rPr>
          <w:rFonts w:ascii="宋体" w:hAnsi="宋体"/>
          <w:color w:val="auto"/>
          <w:szCs w:val="21"/>
          <w:highlight w:val="none"/>
        </w:rPr>
      </w:pPr>
      <w:r>
        <w:rPr>
          <w:rFonts w:hint="eastAsia" w:ascii="宋体" w:hAnsi="宋体"/>
          <w:color w:val="auto"/>
          <w:szCs w:val="21"/>
          <w:highlight w:val="none"/>
        </w:rPr>
        <w:t>（四）不同投标人的投标文件异常一致或者投标报价呈规律性差异；</w:t>
      </w:r>
    </w:p>
    <w:p w14:paraId="1F7451FD">
      <w:pPr>
        <w:widowControl w:val="0"/>
        <w:adjustRightInd/>
        <w:snapToGrid/>
        <w:jc w:val="both"/>
        <w:rPr>
          <w:rFonts w:ascii="宋体" w:hAnsi="宋体"/>
          <w:color w:val="auto"/>
          <w:szCs w:val="21"/>
          <w:highlight w:val="none"/>
        </w:rPr>
      </w:pPr>
      <w:r>
        <w:rPr>
          <w:rFonts w:hint="eastAsia" w:ascii="宋体" w:hAnsi="宋体"/>
          <w:color w:val="auto"/>
          <w:szCs w:val="21"/>
          <w:highlight w:val="none"/>
        </w:rPr>
        <w:t>（五）不同投标人的投标文件相互混装；</w:t>
      </w:r>
    </w:p>
    <w:p w14:paraId="35D4831E">
      <w:pPr>
        <w:widowControl w:val="0"/>
        <w:adjustRightInd/>
        <w:snapToGrid/>
        <w:jc w:val="both"/>
        <w:rPr>
          <w:rFonts w:ascii="宋体" w:hAnsi="宋体"/>
          <w:color w:val="auto"/>
          <w:szCs w:val="21"/>
          <w:highlight w:val="none"/>
        </w:rPr>
      </w:pPr>
      <w:r>
        <w:rPr>
          <w:rFonts w:hint="eastAsia" w:ascii="宋体" w:hAnsi="宋体"/>
          <w:color w:val="auto"/>
          <w:szCs w:val="21"/>
          <w:highlight w:val="none"/>
        </w:rPr>
        <w:t>（六）不同投标人的投标保证金从同一单位或者个人的账户转出。</w:t>
      </w:r>
    </w:p>
    <w:p w14:paraId="42A5E9EF">
      <w:pPr>
        <w:widowControl w:val="0"/>
        <w:adjustRightInd/>
        <w:snapToGrid/>
        <w:spacing w:line="360" w:lineRule="exact"/>
        <w:jc w:val="both"/>
        <w:rPr>
          <w:color w:val="auto"/>
          <w:highlight w:val="none"/>
        </w:rPr>
      </w:pPr>
    </w:p>
    <w:p w14:paraId="638E016E">
      <w:pPr>
        <w:pStyle w:val="5"/>
        <w:widowControl w:val="0"/>
        <w:overflowPunct w:val="0"/>
        <w:rPr>
          <w:rFonts w:ascii="宋体" w:hAnsi="宋体"/>
          <w:color w:val="auto"/>
          <w:sz w:val="21"/>
          <w:szCs w:val="21"/>
          <w:highlight w:val="none"/>
        </w:rPr>
      </w:pPr>
      <w:bookmarkStart w:id="76" w:name="_Toc18708"/>
      <w:bookmarkStart w:id="77" w:name="_Toc259"/>
      <w:bookmarkStart w:id="78" w:name="_Toc17188"/>
      <w:r>
        <w:rPr>
          <w:rFonts w:hint="eastAsia" w:ascii="宋体" w:hAnsi="宋体"/>
          <w:color w:val="auto"/>
          <w:sz w:val="21"/>
          <w:szCs w:val="21"/>
          <w:highlight w:val="none"/>
        </w:rPr>
        <w:t>13.投标报价说明</w:t>
      </w:r>
      <w:bookmarkEnd w:id="76"/>
      <w:bookmarkEnd w:id="77"/>
      <w:bookmarkEnd w:id="78"/>
    </w:p>
    <w:p w14:paraId="221DA2A1">
      <w:pPr>
        <w:pStyle w:val="42"/>
        <w:widowControl w:val="0"/>
        <w:numPr>
          <w:ilvl w:val="0"/>
          <w:numId w:val="5"/>
        </w:numPr>
        <w:adjustRightInd/>
        <w:snapToGrid/>
        <w:ind w:firstLineChars="0"/>
        <w:jc w:val="both"/>
        <w:rPr>
          <w:rFonts w:ascii="宋体" w:hAnsi="宋体"/>
          <w:vanish/>
          <w:color w:val="auto"/>
          <w:szCs w:val="21"/>
          <w:highlight w:val="none"/>
        </w:rPr>
      </w:pPr>
    </w:p>
    <w:p w14:paraId="3DE9895C">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本次招标，投标人应按用户需求中的要求进行投标报价，少报无效。</w:t>
      </w:r>
    </w:p>
    <w:p w14:paraId="0CC0B49A">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投标人所提供的货物或服务均以人民币（或相关费率）报价。</w:t>
      </w:r>
    </w:p>
    <w:p w14:paraId="32048836">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投标报价应包含完成本次招标所有服务内容的费用，包含各种税务费及合同实施过程中的全部费用和售后服务费等。</w:t>
      </w:r>
    </w:p>
    <w:p w14:paraId="497E77C5">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C0197C5">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中标后开出的所有发票必须与中标人的名称一致。</w:t>
      </w:r>
    </w:p>
    <w:p w14:paraId="6CD50FDA">
      <w:pPr>
        <w:rPr>
          <w:color w:val="auto"/>
          <w:highlight w:val="none"/>
        </w:rPr>
      </w:pPr>
    </w:p>
    <w:p w14:paraId="335665D6">
      <w:pPr>
        <w:pStyle w:val="5"/>
        <w:widowControl w:val="0"/>
        <w:overflowPunct w:val="0"/>
        <w:rPr>
          <w:rFonts w:ascii="宋体" w:hAnsi="宋体"/>
          <w:color w:val="auto"/>
          <w:sz w:val="21"/>
          <w:szCs w:val="21"/>
          <w:highlight w:val="none"/>
        </w:rPr>
      </w:pPr>
      <w:bookmarkStart w:id="79" w:name="_Toc16535"/>
      <w:bookmarkStart w:id="80" w:name="_Toc30313"/>
      <w:bookmarkStart w:id="81" w:name="_Toc27724"/>
      <w:r>
        <w:rPr>
          <w:rFonts w:hint="eastAsia" w:ascii="宋体" w:hAnsi="宋体"/>
          <w:color w:val="auto"/>
          <w:sz w:val="21"/>
          <w:szCs w:val="21"/>
          <w:highlight w:val="none"/>
        </w:rPr>
        <w:t>14.投标人所提供的服务或货物的证明文件</w:t>
      </w:r>
      <w:bookmarkEnd w:id="79"/>
      <w:bookmarkEnd w:id="80"/>
      <w:bookmarkEnd w:id="81"/>
    </w:p>
    <w:p w14:paraId="49F93FFC">
      <w:pPr>
        <w:pStyle w:val="42"/>
        <w:widowControl w:val="0"/>
        <w:numPr>
          <w:ilvl w:val="0"/>
          <w:numId w:val="5"/>
        </w:numPr>
        <w:adjustRightInd/>
        <w:snapToGrid/>
        <w:ind w:firstLineChars="0"/>
        <w:jc w:val="both"/>
        <w:rPr>
          <w:rFonts w:ascii="宋体" w:hAnsi="宋体"/>
          <w:vanish/>
          <w:color w:val="auto"/>
          <w:szCs w:val="21"/>
          <w:highlight w:val="none"/>
        </w:rPr>
      </w:pPr>
    </w:p>
    <w:p w14:paraId="3DD53367">
      <w:pPr>
        <w:widowControl w:val="0"/>
        <w:numPr>
          <w:ilvl w:val="1"/>
          <w:numId w:val="5"/>
        </w:numPr>
        <w:adjustRightInd/>
        <w:snapToGrid/>
        <w:jc w:val="both"/>
        <w:rPr>
          <w:rFonts w:ascii="宋体" w:hAnsi="宋体"/>
          <w:color w:val="auto"/>
          <w:szCs w:val="21"/>
          <w:highlight w:val="none"/>
        </w:rPr>
      </w:pPr>
      <w:bookmarkStart w:id="82" w:name="_Hlt107925668"/>
      <w:bookmarkEnd w:id="82"/>
      <w:bookmarkStart w:id="83" w:name="_Hlt107925638"/>
      <w:bookmarkEnd w:id="83"/>
      <w:r>
        <w:rPr>
          <w:rFonts w:hint="eastAsia" w:ascii="宋体" w:hAnsi="宋体"/>
          <w:color w:val="auto"/>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14:paraId="3ACBC175">
      <w:pPr>
        <w:pStyle w:val="42"/>
        <w:widowControl w:val="0"/>
        <w:adjustRightInd/>
        <w:snapToGrid/>
        <w:ind w:left="425" w:firstLine="0" w:firstLineChars="0"/>
        <w:jc w:val="both"/>
        <w:rPr>
          <w:color w:val="auto"/>
          <w:highlight w:val="none"/>
        </w:rPr>
      </w:pPr>
    </w:p>
    <w:p w14:paraId="4B55C804">
      <w:pPr>
        <w:pStyle w:val="5"/>
        <w:widowControl w:val="0"/>
        <w:overflowPunct w:val="0"/>
        <w:rPr>
          <w:rFonts w:ascii="宋体" w:hAnsi="宋体"/>
          <w:color w:val="auto"/>
          <w:sz w:val="21"/>
          <w:szCs w:val="21"/>
          <w:highlight w:val="none"/>
        </w:rPr>
      </w:pPr>
      <w:bookmarkStart w:id="84" w:name="_Toc6124"/>
      <w:bookmarkStart w:id="85" w:name="_Toc22169"/>
      <w:bookmarkStart w:id="86" w:name="_Toc19520"/>
      <w:r>
        <w:rPr>
          <w:rFonts w:hint="eastAsia" w:ascii="宋体" w:hAnsi="宋体"/>
          <w:color w:val="auto"/>
          <w:sz w:val="21"/>
          <w:szCs w:val="21"/>
          <w:highlight w:val="none"/>
        </w:rPr>
        <w:t>15.★投标有效期</w:t>
      </w:r>
      <w:bookmarkEnd w:id="84"/>
      <w:bookmarkEnd w:id="85"/>
      <w:bookmarkEnd w:id="86"/>
    </w:p>
    <w:p w14:paraId="592DE07A">
      <w:pPr>
        <w:pStyle w:val="42"/>
        <w:widowControl w:val="0"/>
        <w:numPr>
          <w:ilvl w:val="0"/>
          <w:numId w:val="5"/>
        </w:numPr>
        <w:adjustRightInd/>
        <w:snapToGrid/>
        <w:ind w:firstLineChars="0"/>
        <w:jc w:val="both"/>
        <w:rPr>
          <w:rFonts w:ascii="宋体" w:hAnsi="宋体"/>
          <w:vanish/>
          <w:color w:val="auto"/>
          <w:szCs w:val="21"/>
          <w:highlight w:val="none"/>
        </w:rPr>
      </w:pPr>
    </w:p>
    <w:p w14:paraId="6AC00CF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投标文件应根据投标人须知的规定在投标截止日后的90天内保持有效。</w:t>
      </w:r>
    </w:p>
    <w:p w14:paraId="705A6EDE">
      <w:pPr>
        <w:widowControl w:val="0"/>
        <w:adjustRightInd/>
        <w:snapToGrid/>
        <w:ind w:left="567"/>
        <w:jc w:val="both"/>
        <w:rPr>
          <w:color w:val="auto"/>
          <w:highlight w:val="none"/>
        </w:rPr>
      </w:pPr>
    </w:p>
    <w:p w14:paraId="54027108">
      <w:pPr>
        <w:pStyle w:val="5"/>
        <w:widowControl w:val="0"/>
        <w:overflowPunct w:val="0"/>
        <w:rPr>
          <w:rFonts w:ascii="宋体" w:hAnsi="宋体"/>
          <w:color w:val="auto"/>
          <w:sz w:val="21"/>
          <w:szCs w:val="21"/>
          <w:highlight w:val="none"/>
        </w:rPr>
      </w:pPr>
      <w:bookmarkStart w:id="87" w:name="_Toc12456"/>
      <w:bookmarkStart w:id="88" w:name="_Toc30257"/>
      <w:bookmarkStart w:id="89" w:name="_Toc7377"/>
      <w:r>
        <w:rPr>
          <w:rFonts w:hint="eastAsia" w:ascii="宋体" w:hAnsi="宋体"/>
          <w:color w:val="auto"/>
          <w:sz w:val="21"/>
          <w:szCs w:val="21"/>
          <w:highlight w:val="none"/>
        </w:rPr>
        <w:t>16.投标保证金</w:t>
      </w:r>
      <w:bookmarkEnd w:id="87"/>
      <w:bookmarkEnd w:id="88"/>
      <w:r>
        <w:rPr>
          <w:rFonts w:hint="eastAsia" w:ascii="宋体" w:hAnsi="宋体"/>
          <w:color w:val="auto"/>
          <w:sz w:val="21"/>
          <w:szCs w:val="21"/>
          <w:highlight w:val="none"/>
        </w:rPr>
        <w:t>（本项目不需提供投标保证金）</w:t>
      </w:r>
      <w:bookmarkEnd w:id="89"/>
    </w:p>
    <w:p w14:paraId="7C98C833">
      <w:pPr>
        <w:pStyle w:val="42"/>
        <w:widowControl w:val="0"/>
        <w:numPr>
          <w:ilvl w:val="0"/>
          <w:numId w:val="5"/>
        </w:numPr>
        <w:adjustRightInd/>
        <w:snapToGrid/>
        <w:ind w:firstLineChars="0"/>
        <w:jc w:val="both"/>
        <w:rPr>
          <w:rFonts w:ascii="宋体" w:hAnsi="宋体"/>
          <w:vanish/>
          <w:color w:val="auto"/>
          <w:szCs w:val="21"/>
          <w:highlight w:val="none"/>
        </w:rPr>
      </w:pPr>
      <w:bookmarkStart w:id="90" w:name="_Ref179619405"/>
    </w:p>
    <w:p w14:paraId="7E9F1B50">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投标人应按投标资料表中规定数额及法律规定的时间按相应包号保证金金额要求一次性提交投标保证金，以多次汇入达到招标文件要求金额的投标保证金无效。</w:t>
      </w:r>
      <w:bookmarkEnd w:id="90"/>
    </w:p>
    <w:p w14:paraId="7585A40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投标保证金金额与招标文件要求金额保持一致（详见投标资料表）。</w:t>
      </w:r>
    </w:p>
    <w:p w14:paraId="0811960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投标保证金有效期与投标有效期保持一致。</w:t>
      </w:r>
    </w:p>
    <w:p w14:paraId="7A745F05">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投标人应一次性缴交招标文件规定数额的投标保证金，投标人与交款人名称必须一致，非投标人缴纳的投标保证金无效。</w:t>
      </w:r>
    </w:p>
    <w:p w14:paraId="5705594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采用银行转账、电汇方式提交的,付至采购代理机构指定账户上。 (详见投标人资料表)</w:t>
      </w:r>
    </w:p>
    <w:p w14:paraId="52F1A16A">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投标担保格式详见附件《采购投标担保函》）</w:t>
      </w:r>
    </w:p>
    <w:p w14:paraId="5AB6BF12">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采用《采购投标担保函》提交的，应符合下列规定：</w:t>
      </w:r>
    </w:p>
    <w:p w14:paraId="2017EEF6">
      <w:pPr>
        <w:ind w:firstLine="422" w:firstLineChars="200"/>
        <w:rPr>
          <w:rFonts w:ascii="宋体" w:hAnsi="宋体"/>
          <w:b/>
          <w:color w:val="auto"/>
          <w:szCs w:val="21"/>
          <w:highlight w:val="none"/>
        </w:rPr>
      </w:pPr>
      <w:r>
        <w:rPr>
          <w:rFonts w:hint="eastAsia" w:ascii="宋体" w:hAnsi="宋体"/>
          <w:b/>
          <w:color w:val="auto"/>
          <w:szCs w:val="21"/>
          <w:highlight w:val="none"/>
        </w:rPr>
        <w:t>①投标担保函有效期应与投标有效期一致；</w:t>
      </w:r>
    </w:p>
    <w:p w14:paraId="66B4B632">
      <w:pPr>
        <w:ind w:firstLine="422" w:firstLineChars="200"/>
        <w:rPr>
          <w:rFonts w:ascii="宋体" w:hAnsi="宋体"/>
          <w:b/>
          <w:color w:val="auto"/>
          <w:szCs w:val="21"/>
          <w:highlight w:val="none"/>
        </w:rPr>
      </w:pPr>
      <w:r>
        <w:rPr>
          <w:rFonts w:hint="eastAsia" w:ascii="宋体" w:hAnsi="宋体"/>
          <w:b/>
          <w:color w:val="auto"/>
          <w:szCs w:val="21"/>
          <w:highlight w:val="none"/>
        </w:rPr>
        <w:t>②投标担保金额应与本项目的投标保证金一致；</w:t>
      </w:r>
    </w:p>
    <w:p w14:paraId="452A072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保证金不接受现金方式（包括以存现方式）提交，未按要求提交投标保证金的将导致投标文件无效。</w:t>
      </w:r>
    </w:p>
    <w:p w14:paraId="0D9048FB">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未中标的投标人的保证金在采购结果公示发出后5个工作日内退还，中标的投标人的保证金在采购合同签订后5个工作日内退还。</w:t>
      </w:r>
    </w:p>
    <w:p w14:paraId="3802FB4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为方便退还未中标的投保人的保证金，投标人应制作《投标保证金汇入情况说明》随唱标文件一并递交。</w:t>
      </w:r>
    </w:p>
    <w:p w14:paraId="594EAEC7">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有下列情形之一的，投标保证金将不予退还：</w:t>
      </w:r>
    </w:p>
    <w:p w14:paraId="02D04067">
      <w:pPr>
        <w:widowControl w:val="0"/>
        <w:adjustRightInd/>
        <w:snapToGrid/>
        <w:jc w:val="both"/>
        <w:rPr>
          <w:rFonts w:ascii="宋体" w:hAnsi="宋体"/>
          <w:color w:val="auto"/>
          <w:szCs w:val="21"/>
          <w:highlight w:val="none"/>
        </w:rPr>
      </w:pPr>
      <w:r>
        <w:rPr>
          <w:rFonts w:hint="eastAsia" w:ascii="宋体" w:hAnsi="宋体"/>
          <w:color w:val="auto"/>
          <w:szCs w:val="21"/>
          <w:highlight w:val="none"/>
        </w:rPr>
        <w:t>（1）投标人在提交响应文件截止时间后撤回响应文件的；</w:t>
      </w:r>
    </w:p>
    <w:p w14:paraId="04669BF5">
      <w:pPr>
        <w:widowControl w:val="0"/>
        <w:adjustRightInd/>
        <w:snapToGrid/>
        <w:jc w:val="both"/>
        <w:rPr>
          <w:rFonts w:ascii="宋体" w:hAnsi="宋体"/>
          <w:color w:val="auto"/>
          <w:szCs w:val="21"/>
          <w:highlight w:val="none"/>
        </w:rPr>
      </w:pPr>
      <w:r>
        <w:rPr>
          <w:rFonts w:hint="eastAsia" w:ascii="宋体" w:hAnsi="宋体"/>
          <w:color w:val="auto"/>
          <w:szCs w:val="21"/>
          <w:highlight w:val="none"/>
        </w:rPr>
        <w:t>（2）投标人在响应文件中提供虚假材料的；</w:t>
      </w:r>
    </w:p>
    <w:p w14:paraId="0E0A6D18">
      <w:pPr>
        <w:widowControl w:val="0"/>
        <w:adjustRightInd/>
        <w:snapToGrid/>
        <w:jc w:val="both"/>
        <w:rPr>
          <w:rFonts w:ascii="宋体" w:hAnsi="宋体"/>
          <w:color w:val="auto"/>
          <w:szCs w:val="21"/>
          <w:highlight w:val="none"/>
        </w:rPr>
      </w:pPr>
      <w:r>
        <w:rPr>
          <w:rFonts w:hint="eastAsia" w:ascii="宋体" w:hAnsi="宋体"/>
          <w:color w:val="auto"/>
          <w:szCs w:val="21"/>
          <w:highlight w:val="none"/>
        </w:rPr>
        <w:t>（3）除因不可抗力或谈判文件、询价通知书认可的情形以外，中标单位不与采购人签订合同的；</w:t>
      </w:r>
    </w:p>
    <w:p w14:paraId="01A93972">
      <w:pPr>
        <w:widowControl w:val="0"/>
        <w:adjustRightInd/>
        <w:snapToGrid/>
        <w:jc w:val="both"/>
        <w:rPr>
          <w:rFonts w:ascii="宋体" w:hAnsi="宋体"/>
          <w:color w:val="auto"/>
          <w:szCs w:val="21"/>
          <w:highlight w:val="none"/>
        </w:rPr>
      </w:pPr>
      <w:r>
        <w:rPr>
          <w:rFonts w:hint="eastAsia" w:ascii="宋体" w:hAnsi="宋体"/>
          <w:color w:val="auto"/>
          <w:szCs w:val="21"/>
          <w:highlight w:val="none"/>
        </w:rPr>
        <w:t>（4）投标人与采购人、其他供应商或者采购代理机构恶意串通的；</w:t>
      </w:r>
    </w:p>
    <w:p w14:paraId="2D6C41B5">
      <w:pPr>
        <w:widowControl w:val="0"/>
        <w:adjustRightInd/>
        <w:snapToGrid/>
        <w:jc w:val="both"/>
        <w:rPr>
          <w:rFonts w:ascii="宋体" w:hAnsi="宋体"/>
          <w:color w:val="auto"/>
          <w:szCs w:val="21"/>
          <w:highlight w:val="none"/>
        </w:rPr>
      </w:pPr>
      <w:r>
        <w:rPr>
          <w:rFonts w:hint="eastAsia" w:ascii="宋体" w:hAnsi="宋体"/>
          <w:color w:val="auto"/>
          <w:szCs w:val="21"/>
          <w:highlight w:val="none"/>
        </w:rPr>
        <w:t>（5）招标文件规定的其他情形。</w:t>
      </w:r>
    </w:p>
    <w:p w14:paraId="6EE0D071">
      <w:pPr>
        <w:rPr>
          <w:color w:val="auto"/>
          <w:highlight w:val="none"/>
        </w:rPr>
      </w:pPr>
    </w:p>
    <w:p w14:paraId="7DD55DD5">
      <w:pPr>
        <w:pStyle w:val="4"/>
        <w:spacing w:line="480" w:lineRule="auto"/>
        <w:jc w:val="center"/>
        <w:rPr>
          <w:rFonts w:ascii="宋体" w:hAnsi="宋体"/>
          <w:color w:val="auto"/>
          <w:highlight w:val="none"/>
        </w:rPr>
      </w:pPr>
      <w:bookmarkStart w:id="91" w:name="_Toc31124"/>
      <w:bookmarkStart w:id="92" w:name="_Toc3200"/>
      <w:bookmarkStart w:id="93" w:name="_Toc24585"/>
      <w:r>
        <w:rPr>
          <w:rFonts w:hint="eastAsia" w:ascii="宋体" w:hAnsi="宋体"/>
          <w:color w:val="auto"/>
          <w:highlight w:val="none"/>
        </w:rPr>
        <w:t>第四章投标文件的递交</w:t>
      </w:r>
      <w:bookmarkEnd w:id="91"/>
      <w:bookmarkEnd w:id="92"/>
      <w:bookmarkEnd w:id="93"/>
    </w:p>
    <w:p w14:paraId="4D8088CA">
      <w:pPr>
        <w:pStyle w:val="5"/>
        <w:widowControl w:val="0"/>
        <w:overflowPunct w:val="0"/>
        <w:rPr>
          <w:rFonts w:ascii="宋体" w:hAnsi="宋体"/>
          <w:color w:val="auto"/>
          <w:sz w:val="21"/>
          <w:szCs w:val="21"/>
          <w:highlight w:val="none"/>
        </w:rPr>
      </w:pPr>
      <w:bookmarkStart w:id="94" w:name="_Toc303084264"/>
      <w:bookmarkStart w:id="95" w:name="_Toc13852"/>
      <w:bookmarkStart w:id="96" w:name="_Toc29590"/>
      <w:bookmarkStart w:id="97" w:name="_Toc382049111"/>
      <w:bookmarkStart w:id="98" w:name="_Toc24997"/>
      <w:bookmarkStart w:id="99" w:name="_Toc23678"/>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94"/>
      <w:bookmarkEnd w:id="95"/>
      <w:bookmarkEnd w:id="96"/>
      <w:bookmarkEnd w:id="97"/>
      <w:bookmarkEnd w:id="98"/>
      <w:bookmarkEnd w:id="99"/>
    </w:p>
    <w:p w14:paraId="45680061">
      <w:pPr>
        <w:pStyle w:val="42"/>
        <w:widowControl w:val="0"/>
        <w:numPr>
          <w:ilvl w:val="0"/>
          <w:numId w:val="5"/>
        </w:numPr>
        <w:adjustRightInd/>
        <w:snapToGrid/>
        <w:ind w:firstLineChars="0"/>
        <w:jc w:val="both"/>
        <w:rPr>
          <w:rFonts w:ascii="宋体" w:hAnsi="宋体"/>
          <w:vanish/>
          <w:color w:val="auto"/>
          <w:szCs w:val="21"/>
          <w:highlight w:val="none"/>
        </w:rPr>
      </w:pPr>
    </w:p>
    <w:p w14:paraId="00ECB9AA">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为方便评标委员会对投标文件进行评审</w:t>
      </w:r>
      <w:r>
        <w:rPr>
          <w:rFonts w:ascii="宋体" w:hAnsi="宋体"/>
          <w:color w:val="auto"/>
          <w:szCs w:val="21"/>
          <w:highlight w:val="none"/>
        </w:rPr>
        <w:t>，</w:t>
      </w:r>
      <w:r>
        <w:rPr>
          <w:rFonts w:hint="eastAsia" w:ascii="宋体" w:hAnsi="宋体"/>
          <w:color w:val="auto"/>
          <w:szCs w:val="21"/>
          <w:highlight w:val="none"/>
        </w:rPr>
        <w:t>建议投标人对投标文件进行装订，价格文件、商务文件、技术文件可合装订为一册，也可根据自身需要分册装订，</w:t>
      </w:r>
      <w:r>
        <w:rPr>
          <w:rFonts w:ascii="宋体" w:hAnsi="宋体"/>
          <w:color w:val="auto"/>
          <w:szCs w:val="21"/>
          <w:highlight w:val="none"/>
        </w:rPr>
        <w:t>对未经装订的投标文件可能发生的文件缺</w:t>
      </w:r>
      <w:r>
        <w:rPr>
          <w:rFonts w:hint="eastAsia" w:ascii="宋体" w:hAnsi="宋体"/>
          <w:color w:val="auto"/>
          <w:szCs w:val="21"/>
          <w:highlight w:val="none"/>
        </w:rPr>
        <w:t>损</w:t>
      </w:r>
      <w:r>
        <w:rPr>
          <w:rFonts w:ascii="宋体" w:hAnsi="宋体"/>
          <w:color w:val="auto"/>
          <w:szCs w:val="21"/>
          <w:highlight w:val="none"/>
        </w:rPr>
        <w:t>，由此产生的后果由投标人承担。</w:t>
      </w:r>
    </w:p>
    <w:p w14:paraId="4B0DB90B">
      <w:pPr>
        <w:widowControl w:val="0"/>
        <w:numPr>
          <w:ilvl w:val="1"/>
          <w:numId w:val="5"/>
        </w:numPr>
        <w:adjustRightInd/>
        <w:snapToGrid/>
        <w:jc w:val="both"/>
        <w:rPr>
          <w:rFonts w:ascii="宋体" w:hAnsi="宋体"/>
          <w:color w:val="auto"/>
          <w:szCs w:val="21"/>
          <w:highlight w:val="none"/>
        </w:rPr>
      </w:pPr>
      <w:r>
        <w:rPr>
          <w:rFonts w:ascii="宋体" w:hAnsi="宋体"/>
          <w:color w:val="auto"/>
          <w:szCs w:val="21"/>
          <w:highlight w:val="none"/>
        </w:rPr>
        <w:t>投标文件</w:t>
      </w:r>
      <w:r>
        <w:rPr>
          <w:rFonts w:hint="eastAsia" w:ascii="宋体" w:hAnsi="宋体"/>
          <w:color w:val="auto"/>
          <w:szCs w:val="21"/>
          <w:highlight w:val="none"/>
        </w:rPr>
        <w:t>正本均须用不褪色墨水书写或打印。投标文件的副本可采用投标文件的正本复印件，每套</w:t>
      </w:r>
      <w:r>
        <w:rPr>
          <w:rFonts w:ascii="宋体" w:hAnsi="宋体"/>
          <w:color w:val="auto"/>
          <w:szCs w:val="21"/>
          <w:highlight w:val="none"/>
        </w:rPr>
        <w:t>投标文件</w:t>
      </w:r>
      <w:r>
        <w:rPr>
          <w:rFonts w:hint="eastAsia" w:ascii="宋体" w:hAnsi="宋体"/>
          <w:color w:val="auto"/>
          <w:szCs w:val="21"/>
          <w:highlight w:val="none"/>
        </w:rPr>
        <w:t>应当标</w:t>
      </w:r>
      <w:r>
        <w:rPr>
          <w:rFonts w:ascii="宋体" w:hAnsi="宋体"/>
          <w:color w:val="auto"/>
          <w:szCs w:val="21"/>
          <w:highlight w:val="none"/>
        </w:rPr>
        <w:t>明“正本”</w:t>
      </w:r>
      <w:r>
        <w:rPr>
          <w:rFonts w:hint="eastAsia" w:ascii="宋体" w:hAnsi="宋体"/>
          <w:color w:val="auto"/>
          <w:szCs w:val="21"/>
          <w:highlight w:val="none"/>
        </w:rPr>
        <w:t>、</w:t>
      </w:r>
      <w:r>
        <w:rPr>
          <w:rFonts w:ascii="宋体" w:hAnsi="宋体"/>
          <w:color w:val="auto"/>
          <w:szCs w:val="21"/>
          <w:highlight w:val="none"/>
        </w:rPr>
        <w:t>“副本”</w:t>
      </w:r>
      <w:r>
        <w:rPr>
          <w:rFonts w:hint="eastAsia" w:ascii="宋体" w:hAnsi="宋体"/>
          <w:color w:val="auto"/>
          <w:szCs w:val="21"/>
          <w:highlight w:val="none"/>
        </w:rPr>
        <w:t>的字样</w:t>
      </w:r>
      <w:r>
        <w:rPr>
          <w:rFonts w:ascii="宋体" w:hAnsi="宋体"/>
          <w:color w:val="auto"/>
          <w:szCs w:val="21"/>
          <w:highlight w:val="none"/>
        </w:rPr>
        <w:t>。</w:t>
      </w:r>
      <w:r>
        <w:rPr>
          <w:rFonts w:hint="eastAsia" w:ascii="宋体" w:hAnsi="宋体"/>
          <w:color w:val="auto"/>
          <w:szCs w:val="21"/>
          <w:highlight w:val="none"/>
        </w:rPr>
        <w:t>投标文件的【正本】及所有【副本】的封面及骑缝均须加盖投标人公章（文件每页盖章等同于盖骑缝章）。若</w:t>
      </w:r>
      <w:r>
        <w:rPr>
          <w:rFonts w:ascii="宋体" w:hAnsi="宋体"/>
          <w:color w:val="auto"/>
          <w:szCs w:val="21"/>
          <w:highlight w:val="none"/>
        </w:rPr>
        <w:t>正本</w:t>
      </w:r>
      <w:r>
        <w:rPr>
          <w:rFonts w:hint="eastAsia" w:ascii="宋体" w:hAnsi="宋体"/>
          <w:color w:val="auto"/>
          <w:szCs w:val="21"/>
          <w:highlight w:val="none"/>
        </w:rPr>
        <w:t>与</w:t>
      </w:r>
      <w:r>
        <w:rPr>
          <w:rFonts w:ascii="宋体" w:hAnsi="宋体"/>
          <w:color w:val="auto"/>
          <w:szCs w:val="21"/>
          <w:highlight w:val="none"/>
        </w:rPr>
        <w:t>副本</w:t>
      </w:r>
      <w:r>
        <w:rPr>
          <w:rFonts w:hint="eastAsia" w:ascii="宋体" w:hAnsi="宋体"/>
          <w:color w:val="auto"/>
          <w:szCs w:val="21"/>
          <w:highlight w:val="none"/>
        </w:rPr>
        <w:t>不符，以</w:t>
      </w:r>
      <w:r>
        <w:rPr>
          <w:rFonts w:ascii="宋体" w:hAnsi="宋体"/>
          <w:color w:val="auto"/>
          <w:szCs w:val="21"/>
          <w:highlight w:val="none"/>
        </w:rPr>
        <w:t>正本为准。</w:t>
      </w:r>
    </w:p>
    <w:p w14:paraId="1300E5B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联合体投标文件的【正本】及【副本】的封面及骑缝均须加盖所有联合体组成成员的公章。（文件每页盖章等同于盖骑缝章）</w:t>
      </w:r>
    </w:p>
    <w:p w14:paraId="5597F6E9">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建议投标人将投标文件正本和所有的副本分开密封装在单独的信封中，且在信封上标明“正本”“副本”字样。然后再将所有信封封装在一个外层信封中。电子文件与正本密封包装，随正本提交。</w:t>
      </w:r>
    </w:p>
    <w:p w14:paraId="65C65765">
      <w:pPr>
        <w:widowControl w:val="0"/>
        <w:numPr>
          <w:ilvl w:val="1"/>
          <w:numId w:val="5"/>
        </w:numPr>
        <w:adjustRightInd/>
        <w:snapToGrid/>
        <w:jc w:val="both"/>
        <w:rPr>
          <w:rFonts w:ascii="宋体" w:hAnsi="宋体"/>
          <w:color w:val="auto"/>
          <w:szCs w:val="21"/>
          <w:highlight w:val="none"/>
        </w:rPr>
      </w:pPr>
      <w:r>
        <w:rPr>
          <w:rFonts w:ascii="宋体" w:hAnsi="宋体"/>
          <w:color w:val="auto"/>
          <w:szCs w:val="21"/>
          <w:highlight w:val="none"/>
        </w:rPr>
        <w:t>电子文件内容包括：由投标人自行制作的与正本文件一致的所有文件。电子文件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，并注明投标人名称及项目名称、采购项目编号，随投标文件一同密封提交。</w:t>
      </w:r>
    </w:p>
    <w:p w14:paraId="6384BBEE">
      <w:pPr>
        <w:widowControl w:val="0"/>
        <w:numPr>
          <w:ilvl w:val="1"/>
          <w:numId w:val="5"/>
        </w:numPr>
        <w:adjustRightInd/>
        <w:snapToGrid/>
        <w:jc w:val="both"/>
        <w:rPr>
          <w:rFonts w:ascii="宋体" w:hAnsi="宋体"/>
          <w:color w:val="auto"/>
          <w:szCs w:val="21"/>
          <w:highlight w:val="none"/>
        </w:rPr>
      </w:pPr>
      <w:r>
        <w:rPr>
          <w:rFonts w:ascii="宋体" w:hAnsi="宋体"/>
          <w:color w:val="auto"/>
          <w:szCs w:val="21"/>
          <w:highlight w:val="none"/>
        </w:rPr>
        <w:t>除投标人对错误处修改外，全套投标文件应无涂改或行间插字和增删。如有修改，修改处</w:t>
      </w:r>
      <w:r>
        <w:rPr>
          <w:rFonts w:hint="eastAsia" w:ascii="宋体" w:hAnsi="宋体"/>
          <w:color w:val="auto"/>
          <w:szCs w:val="21"/>
          <w:highlight w:val="none"/>
        </w:rPr>
        <w:t>须由法定代表人或其正式授权代表在旁边签字及盖章</w:t>
      </w:r>
      <w:r>
        <w:rPr>
          <w:rFonts w:ascii="宋体" w:hAnsi="宋体"/>
          <w:color w:val="auto"/>
          <w:szCs w:val="21"/>
          <w:highlight w:val="none"/>
        </w:rPr>
        <w:t>。</w:t>
      </w:r>
    </w:p>
    <w:p w14:paraId="520C56B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为方便开标唱标，投标人应将唱标一览表和授权委托书单独密封提交，并在信封上标明“唱标文件”字样。投标人的法定代表人参加投标时，须开具法定代表人证明书，按上述要求与唱标一览表一并密封提交。“唱标文件”份数及签章等要求与投标文件正本相同（1份）。</w:t>
      </w:r>
    </w:p>
    <w:p w14:paraId="4D600286">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 xml:space="preserve">所有的信封均应注明： </w:t>
      </w:r>
    </w:p>
    <w:p w14:paraId="34F51D3C">
      <w:pPr>
        <w:widowControl w:val="0"/>
        <w:numPr>
          <w:ilvl w:val="0"/>
          <w:numId w:val="6"/>
        </w:numPr>
        <w:adjustRightInd/>
        <w:snapToGrid/>
        <w:ind w:left="567"/>
        <w:jc w:val="both"/>
        <w:rPr>
          <w:rFonts w:ascii="宋体" w:hAnsi="宋体"/>
          <w:color w:val="auto"/>
          <w:szCs w:val="21"/>
          <w:highlight w:val="none"/>
        </w:rPr>
      </w:pPr>
      <w:r>
        <w:rPr>
          <w:rFonts w:hint="eastAsia" w:ascii="宋体" w:hAnsi="宋体"/>
          <w:color w:val="auto"/>
          <w:szCs w:val="21"/>
          <w:highlight w:val="none"/>
        </w:rPr>
        <w:t>收件人：广东政通招标有限公司</w:t>
      </w:r>
    </w:p>
    <w:p w14:paraId="46869DD7">
      <w:pPr>
        <w:widowControl w:val="0"/>
        <w:numPr>
          <w:ilvl w:val="0"/>
          <w:numId w:val="6"/>
        </w:numPr>
        <w:adjustRightInd/>
        <w:snapToGrid/>
        <w:ind w:left="567"/>
        <w:jc w:val="both"/>
        <w:rPr>
          <w:rFonts w:ascii="宋体" w:hAnsi="宋体"/>
          <w:color w:val="auto"/>
          <w:szCs w:val="21"/>
          <w:highlight w:val="none"/>
        </w:rPr>
      </w:pPr>
      <w:r>
        <w:rPr>
          <w:rFonts w:hint="eastAsia" w:ascii="宋体" w:hAnsi="宋体"/>
          <w:color w:val="auto"/>
          <w:szCs w:val="21"/>
          <w:highlight w:val="none"/>
        </w:rPr>
        <w:t>投标单位名称：</w:t>
      </w:r>
    </w:p>
    <w:p w14:paraId="5660FBA9">
      <w:pPr>
        <w:widowControl w:val="0"/>
        <w:numPr>
          <w:ilvl w:val="0"/>
          <w:numId w:val="6"/>
        </w:numPr>
        <w:adjustRightInd/>
        <w:snapToGrid/>
        <w:ind w:left="567"/>
        <w:jc w:val="both"/>
        <w:rPr>
          <w:rFonts w:ascii="宋体" w:hAnsi="宋体"/>
          <w:color w:val="auto"/>
          <w:szCs w:val="21"/>
          <w:highlight w:val="none"/>
        </w:rPr>
      </w:pPr>
      <w:r>
        <w:rPr>
          <w:rFonts w:hint="eastAsia" w:ascii="宋体" w:hAnsi="宋体"/>
          <w:color w:val="auto"/>
          <w:szCs w:val="21"/>
          <w:highlight w:val="none"/>
        </w:rPr>
        <w:t>项目名称：</w:t>
      </w:r>
    </w:p>
    <w:p w14:paraId="521A2F67">
      <w:pPr>
        <w:widowControl w:val="0"/>
        <w:numPr>
          <w:ilvl w:val="0"/>
          <w:numId w:val="6"/>
        </w:numPr>
        <w:adjustRightInd/>
        <w:snapToGrid/>
        <w:ind w:left="567"/>
        <w:jc w:val="both"/>
        <w:rPr>
          <w:rFonts w:ascii="宋体" w:hAnsi="宋体"/>
          <w:color w:val="auto"/>
          <w:szCs w:val="21"/>
          <w:highlight w:val="none"/>
        </w:rPr>
      </w:pPr>
      <w:r>
        <w:rPr>
          <w:rFonts w:hint="eastAsia" w:ascii="宋体" w:hAnsi="宋体"/>
          <w:color w:val="auto"/>
          <w:szCs w:val="21"/>
          <w:highlight w:val="none"/>
        </w:rPr>
        <w:t>采购项目编号：</w:t>
      </w:r>
    </w:p>
    <w:p w14:paraId="4F60BD2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采购代理机构将拒绝接收出现以下情况的投标文件：</w:t>
      </w:r>
    </w:p>
    <w:p w14:paraId="441595F3">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采用透明包装进行密封或未进行密封的投标文件；</w:t>
      </w:r>
    </w:p>
    <w:p w14:paraId="742B0979">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密封破损导致投标文件内容直接或间接泄露的投标文件；</w:t>
      </w:r>
    </w:p>
    <w:p w14:paraId="567AD4E9">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密封信封上项目编号错误的投标文件；</w:t>
      </w:r>
    </w:p>
    <w:p w14:paraId="7FA7FD4E">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未在规定时间内领购文件的投标人的投标文件；</w:t>
      </w:r>
    </w:p>
    <w:p w14:paraId="5931B13D">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项目名称出现严重歧义或未标注所投项目信息导致无法分辨所投项目为本项目的投标文件；</w:t>
      </w:r>
    </w:p>
    <w:p w14:paraId="0AA6F36C">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采用传真、电传的投标文件；</w:t>
      </w:r>
    </w:p>
    <w:p w14:paraId="2369178F">
      <w:pPr>
        <w:widowControl w:val="0"/>
        <w:numPr>
          <w:ilvl w:val="0"/>
          <w:numId w:val="7"/>
        </w:numPr>
        <w:adjustRightInd/>
        <w:snapToGrid/>
        <w:jc w:val="both"/>
        <w:rPr>
          <w:rFonts w:ascii="宋体" w:hAnsi="宋体"/>
          <w:color w:val="auto"/>
          <w:szCs w:val="21"/>
          <w:highlight w:val="none"/>
        </w:rPr>
      </w:pPr>
      <w:r>
        <w:rPr>
          <w:rFonts w:hint="eastAsia" w:ascii="宋体" w:hAnsi="宋体"/>
          <w:color w:val="auto"/>
          <w:szCs w:val="21"/>
          <w:highlight w:val="none"/>
        </w:rPr>
        <w:t>招标文件规定的其他情形。</w:t>
      </w:r>
    </w:p>
    <w:p w14:paraId="1C76887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采购代理机构对所有投标文件的误投或提前启封概不负责。</w:t>
      </w:r>
    </w:p>
    <w:p w14:paraId="7F84EBE3">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投标人同时参加几个包投标时必须按招标文件要求按包号分别制作投标文件，分别密封递交。</w:t>
      </w:r>
    </w:p>
    <w:p w14:paraId="38CCCBB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递交的投标文件中所提供的通讯方式应保持联络畅通，因联系不上而导致的所有后果由投标人自行承担。</w:t>
      </w:r>
    </w:p>
    <w:p w14:paraId="6FA58475">
      <w:pPr>
        <w:rPr>
          <w:color w:val="auto"/>
          <w:highlight w:val="none"/>
        </w:rPr>
      </w:pPr>
    </w:p>
    <w:p w14:paraId="36175839">
      <w:pPr>
        <w:pStyle w:val="5"/>
        <w:widowControl w:val="0"/>
        <w:overflowPunct w:val="0"/>
        <w:rPr>
          <w:rFonts w:ascii="宋体" w:hAnsi="宋体"/>
          <w:color w:val="auto"/>
          <w:sz w:val="21"/>
          <w:szCs w:val="21"/>
          <w:highlight w:val="none"/>
        </w:rPr>
      </w:pPr>
      <w:bookmarkStart w:id="100" w:name="_Toc8628"/>
      <w:bookmarkStart w:id="101" w:name="_Toc21599"/>
      <w:bookmarkStart w:id="102" w:name="_Toc7473"/>
      <w:r>
        <w:rPr>
          <w:rFonts w:hint="eastAsia" w:ascii="宋体" w:hAnsi="宋体"/>
          <w:color w:val="auto"/>
          <w:sz w:val="21"/>
          <w:szCs w:val="21"/>
          <w:highlight w:val="none"/>
        </w:rPr>
        <w:t>18.迟交的投标文件</w:t>
      </w:r>
      <w:bookmarkEnd w:id="100"/>
      <w:bookmarkEnd w:id="101"/>
      <w:bookmarkEnd w:id="102"/>
    </w:p>
    <w:p w14:paraId="5508C3E4">
      <w:pPr>
        <w:pStyle w:val="42"/>
        <w:widowControl w:val="0"/>
        <w:numPr>
          <w:ilvl w:val="0"/>
          <w:numId w:val="5"/>
        </w:numPr>
        <w:adjustRightInd/>
        <w:snapToGrid/>
        <w:ind w:firstLineChars="0"/>
        <w:jc w:val="both"/>
        <w:rPr>
          <w:rFonts w:ascii="宋体" w:hAnsi="宋体"/>
          <w:vanish/>
          <w:color w:val="auto"/>
          <w:szCs w:val="21"/>
          <w:highlight w:val="none"/>
        </w:rPr>
      </w:pPr>
    </w:p>
    <w:p w14:paraId="66558079">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投标人在投标截止时间之后提交的投标文件，采购代理机构将拒绝接收</w:t>
      </w:r>
      <w:r>
        <w:rPr>
          <w:rFonts w:ascii="宋体" w:hAnsi="宋体"/>
          <w:color w:val="auto"/>
          <w:szCs w:val="21"/>
          <w:highlight w:val="none"/>
        </w:rPr>
        <w:t>。</w:t>
      </w:r>
    </w:p>
    <w:p w14:paraId="236539F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有违反其他法律规定情形的，采购代理机构将拒绝接收。</w:t>
      </w:r>
    </w:p>
    <w:p w14:paraId="3E01AB05">
      <w:pPr>
        <w:rPr>
          <w:color w:val="auto"/>
          <w:highlight w:val="none"/>
        </w:rPr>
      </w:pPr>
    </w:p>
    <w:p w14:paraId="37262D0E">
      <w:pPr>
        <w:pStyle w:val="5"/>
        <w:widowControl w:val="0"/>
        <w:overflowPunct w:val="0"/>
        <w:rPr>
          <w:rFonts w:ascii="宋体" w:hAnsi="宋体"/>
          <w:color w:val="auto"/>
          <w:sz w:val="21"/>
          <w:szCs w:val="21"/>
          <w:highlight w:val="none"/>
        </w:rPr>
      </w:pPr>
      <w:bookmarkStart w:id="103" w:name="_Toc22802"/>
      <w:bookmarkStart w:id="104" w:name="_Toc19649"/>
      <w:bookmarkStart w:id="105" w:name="_Toc13212"/>
      <w:r>
        <w:rPr>
          <w:rFonts w:hint="eastAsia" w:ascii="宋体" w:hAnsi="宋体"/>
          <w:color w:val="auto"/>
          <w:sz w:val="21"/>
          <w:szCs w:val="21"/>
          <w:highlight w:val="none"/>
        </w:rPr>
        <w:t>19.投标样品（如需提交）</w:t>
      </w:r>
      <w:bookmarkEnd w:id="103"/>
      <w:bookmarkEnd w:id="104"/>
      <w:bookmarkEnd w:id="105"/>
    </w:p>
    <w:p w14:paraId="6B87C9C1">
      <w:pPr>
        <w:pStyle w:val="42"/>
        <w:widowControl w:val="0"/>
        <w:numPr>
          <w:ilvl w:val="0"/>
          <w:numId w:val="5"/>
        </w:numPr>
        <w:adjustRightInd/>
        <w:snapToGrid/>
        <w:ind w:firstLineChars="0"/>
        <w:jc w:val="both"/>
        <w:rPr>
          <w:rFonts w:ascii="宋体" w:hAnsi="宋体"/>
          <w:vanish/>
          <w:color w:val="auto"/>
          <w:szCs w:val="21"/>
          <w:highlight w:val="none"/>
        </w:rPr>
      </w:pPr>
    </w:p>
    <w:p w14:paraId="16F33019">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如有必要，采购代理机构可以要求投标人提供本服务项目涉及的部分设备或产品样品，投标人在投标时应提交《样品清单》。</w:t>
      </w:r>
    </w:p>
    <w:p w14:paraId="6C6C01C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为方便评标，投标人在提供样品时，应在所提供的样品表面显著位置标注投标人的名称、包号、样品名称、招标文件规定的服务或货物编号。</w:t>
      </w:r>
    </w:p>
    <w:p w14:paraId="7DE6EA66">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6B50F163">
      <w:pPr>
        <w:rPr>
          <w:color w:val="auto"/>
          <w:highlight w:val="none"/>
        </w:rPr>
      </w:pPr>
    </w:p>
    <w:p w14:paraId="39C4E5A5">
      <w:pPr>
        <w:pStyle w:val="5"/>
        <w:widowControl w:val="0"/>
        <w:overflowPunct w:val="0"/>
        <w:rPr>
          <w:rFonts w:ascii="宋体" w:hAnsi="宋体"/>
          <w:color w:val="auto"/>
          <w:sz w:val="21"/>
          <w:szCs w:val="21"/>
          <w:highlight w:val="none"/>
        </w:rPr>
      </w:pPr>
      <w:bookmarkStart w:id="106" w:name="_Toc382049112"/>
      <w:bookmarkStart w:id="107" w:name="_Toc9777"/>
      <w:bookmarkStart w:id="108" w:name="_Toc7689"/>
      <w:bookmarkStart w:id="109" w:name="_Toc303084265"/>
      <w:bookmarkStart w:id="110" w:name="_Toc5900"/>
      <w:bookmarkStart w:id="111" w:name="_Toc10674"/>
      <w:r>
        <w:rPr>
          <w:rFonts w:hint="eastAsia" w:ascii="宋体" w:hAnsi="宋体"/>
          <w:color w:val="auto"/>
          <w:sz w:val="21"/>
          <w:szCs w:val="21"/>
          <w:highlight w:val="none"/>
        </w:rPr>
        <w:t>20.投标截止期</w:t>
      </w:r>
      <w:bookmarkEnd w:id="106"/>
      <w:bookmarkEnd w:id="107"/>
      <w:bookmarkEnd w:id="108"/>
      <w:bookmarkEnd w:id="109"/>
      <w:bookmarkEnd w:id="110"/>
      <w:bookmarkEnd w:id="111"/>
    </w:p>
    <w:p w14:paraId="0AC51801">
      <w:pPr>
        <w:pStyle w:val="42"/>
        <w:widowControl w:val="0"/>
        <w:numPr>
          <w:ilvl w:val="0"/>
          <w:numId w:val="5"/>
        </w:numPr>
        <w:adjustRightInd/>
        <w:snapToGrid/>
        <w:ind w:firstLineChars="0"/>
        <w:jc w:val="both"/>
        <w:rPr>
          <w:rFonts w:ascii="宋体" w:hAnsi="宋体"/>
          <w:vanish/>
          <w:color w:val="auto"/>
          <w:szCs w:val="21"/>
          <w:highlight w:val="none"/>
        </w:rPr>
      </w:pPr>
    </w:p>
    <w:p w14:paraId="1538569F">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投标人应在招标文件规定的截止日期和时间内，将投标文件送达到指定地点。</w:t>
      </w:r>
    </w:p>
    <w:p w14:paraId="43B8D6FD">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采购代理机构</w:t>
      </w:r>
      <w:r>
        <w:rPr>
          <w:rFonts w:ascii="宋体" w:hAnsi="宋体"/>
          <w:color w:val="auto"/>
          <w:szCs w:val="21"/>
          <w:highlight w:val="none"/>
        </w:rPr>
        <w:t>可按本须知规定以</w:t>
      </w:r>
      <w:r>
        <w:rPr>
          <w:rFonts w:hint="eastAsia" w:ascii="宋体" w:hAnsi="宋体"/>
          <w:color w:val="auto"/>
          <w:szCs w:val="21"/>
          <w:highlight w:val="none"/>
        </w:rPr>
        <w:t>澄清或</w:t>
      </w:r>
      <w:r>
        <w:rPr>
          <w:rFonts w:ascii="宋体" w:hAnsi="宋体"/>
          <w:color w:val="auto"/>
          <w:szCs w:val="21"/>
          <w:highlight w:val="none"/>
        </w:rPr>
        <w:t>修改通知的方式，酌情延长</w:t>
      </w:r>
      <w:r>
        <w:rPr>
          <w:rFonts w:hint="eastAsia" w:ascii="宋体" w:hAnsi="宋体"/>
          <w:color w:val="auto"/>
          <w:szCs w:val="21"/>
          <w:highlight w:val="none"/>
        </w:rPr>
        <w:t>递</w:t>
      </w:r>
      <w:r>
        <w:rPr>
          <w:rFonts w:ascii="宋体" w:hAnsi="宋体"/>
          <w:color w:val="auto"/>
          <w:szCs w:val="21"/>
          <w:highlight w:val="none"/>
        </w:rPr>
        <w:t>交投标文件的截止时间。在此情况下，投标人的所有权利和义务以及投标人受制约的截止时间，均以延长后新的投标截止时间为准。</w:t>
      </w:r>
    </w:p>
    <w:p w14:paraId="7D02A3DD">
      <w:pPr>
        <w:rPr>
          <w:color w:val="auto"/>
          <w:highlight w:val="none"/>
        </w:rPr>
      </w:pPr>
    </w:p>
    <w:p w14:paraId="01ED9107">
      <w:pPr>
        <w:pStyle w:val="5"/>
        <w:widowControl w:val="0"/>
        <w:overflowPunct w:val="0"/>
        <w:rPr>
          <w:rFonts w:ascii="宋体" w:hAnsi="宋体"/>
          <w:color w:val="auto"/>
          <w:sz w:val="21"/>
          <w:szCs w:val="21"/>
          <w:highlight w:val="none"/>
        </w:rPr>
      </w:pPr>
      <w:bookmarkStart w:id="112" w:name="_Toc11133"/>
      <w:bookmarkStart w:id="113" w:name="_Toc25626"/>
      <w:bookmarkStart w:id="114" w:name="_Toc6003"/>
      <w:r>
        <w:rPr>
          <w:rFonts w:hint="eastAsia" w:ascii="宋体" w:hAnsi="宋体"/>
          <w:color w:val="auto"/>
          <w:sz w:val="21"/>
          <w:szCs w:val="21"/>
          <w:highlight w:val="none"/>
        </w:rPr>
        <w:t>21.投标文件的补充、修改与撤回</w:t>
      </w:r>
      <w:bookmarkEnd w:id="112"/>
      <w:bookmarkEnd w:id="113"/>
      <w:bookmarkEnd w:id="114"/>
    </w:p>
    <w:p w14:paraId="535F16C8">
      <w:pPr>
        <w:pStyle w:val="42"/>
        <w:widowControl w:val="0"/>
        <w:numPr>
          <w:ilvl w:val="0"/>
          <w:numId w:val="5"/>
        </w:numPr>
        <w:adjustRightInd/>
        <w:snapToGrid/>
        <w:ind w:firstLineChars="0"/>
        <w:jc w:val="both"/>
        <w:rPr>
          <w:rFonts w:ascii="宋体" w:hAnsi="宋体"/>
          <w:vanish/>
          <w:color w:val="auto"/>
          <w:szCs w:val="21"/>
          <w:highlight w:val="none"/>
        </w:rPr>
      </w:pPr>
    </w:p>
    <w:p w14:paraId="1A829A9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6CE67766">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14:paraId="10F40757">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投标文件一经递交不予退还。</w:t>
      </w:r>
    </w:p>
    <w:p w14:paraId="66261D31">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在提交投标文件截止时间至投标有效期满之前，投标人不得撤回其投标，否则其投标保证金将不予退还。</w:t>
      </w:r>
    </w:p>
    <w:p w14:paraId="5AEE14D6">
      <w:pPr>
        <w:pStyle w:val="10"/>
        <w:rPr>
          <w:color w:val="auto"/>
          <w:highlight w:val="none"/>
        </w:rPr>
      </w:pPr>
    </w:p>
    <w:p w14:paraId="4F895D84">
      <w:pPr>
        <w:pStyle w:val="4"/>
        <w:spacing w:line="480" w:lineRule="auto"/>
        <w:jc w:val="center"/>
        <w:rPr>
          <w:rFonts w:ascii="宋体" w:hAnsi="宋体"/>
          <w:color w:val="auto"/>
          <w:highlight w:val="none"/>
        </w:rPr>
      </w:pPr>
      <w:bookmarkStart w:id="115" w:name="_Toc29574"/>
      <w:bookmarkStart w:id="116" w:name="_Toc23466"/>
      <w:bookmarkStart w:id="117" w:name="_Toc5814"/>
      <w:r>
        <w:rPr>
          <w:rFonts w:hint="eastAsia" w:ascii="宋体" w:hAnsi="宋体"/>
          <w:color w:val="auto"/>
          <w:highlight w:val="none"/>
        </w:rPr>
        <w:t>第五章开标与评标</w:t>
      </w:r>
      <w:bookmarkEnd w:id="115"/>
      <w:bookmarkEnd w:id="116"/>
      <w:bookmarkEnd w:id="117"/>
    </w:p>
    <w:p w14:paraId="5303B0F9">
      <w:pPr>
        <w:pStyle w:val="5"/>
        <w:widowControl w:val="0"/>
        <w:overflowPunct w:val="0"/>
        <w:rPr>
          <w:rFonts w:ascii="宋体" w:hAnsi="宋体"/>
          <w:color w:val="auto"/>
          <w:sz w:val="21"/>
          <w:szCs w:val="21"/>
          <w:highlight w:val="none"/>
        </w:rPr>
      </w:pPr>
      <w:bookmarkStart w:id="118" w:name="_Toc25948"/>
      <w:bookmarkStart w:id="119" w:name="_Toc27700"/>
      <w:bookmarkStart w:id="120" w:name="_Toc28458"/>
      <w:r>
        <w:rPr>
          <w:rFonts w:hint="eastAsia" w:ascii="宋体" w:hAnsi="宋体"/>
          <w:color w:val="auto"/>
          <w:sz w:val="21"/>
          <w:szCs w:val="21"/>
          <w:highlight w:val="none"/>
        </w:rPr>
        <w:t>22.开标</w:t>
      </w:r>
      <w:bookmarkEnd w:id="118"/>
      <w:bookmarkEnd w:id="119"/>
      <w:bookmarkEnd w:id="120"/>
    </w:p>
    <w:p w14:paraId="7924A714">
      <w:pPr>
        <w:pStyle w:val="42"/>
        <w:widowControl w:val="0"/>
        <w:numPr>
          <w:ilvl w:val="0"/>
          <w:numId w:val="5"/>
        </w:numPr>
        <w:adjustRightInd/>
        <w:snapToGrid/>
        <w:ind w:firstLineChars="0"/>
        <w:jc w:val="both"/>
        <w:rPr>
          <w:rFonts w:ascii="宋体" w:hAnsi="宋体"/>
          <w:vanish/>
          <w:color w:val="auto"/>
          <w:szCs w:val="21"/>
          <w:highlight w:val="none"/>
        </w:rPr>
      </w:pPr>
    </w:p>
    <w:p w14:paraId="335BD39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采购代理机构按</w:t>
      </w:r>
      <w:r>
        <w:rPr>
          <w:rFonts w:ascii="宋体" w:hAnsi="宋体"/>
          <w:color w:val="auto"/>
          <w:szCs w:val="21"/>
          <w:highlight w:val="none"/>
        </w:rPr>
        <w:t>本</w:t>
      </w:r>
      <w:r>
        <w:rPr>
          <w:rFonts w:hint="eastAsia" w:ascii="宋体" w:hAnsi="宋体"/>
          <w:color w:val="auto"/>
          <w:szCs w:val="21"/>
          <w:highlight w:val="none"/>
        </w:rPr>
        <w:t>招标文件</w:t>
      </w:r>
      <w:r>
        <w:rPr>
          <w:rFonts w:ascii="宋体" w:hAnsi="宋体"/>
          <w:color w:val="auto"/>
          <w:szCs w:val="21"/>
          <w:highlight w:val="none"/>
        </w:rPr>
        <w:t>所规定的时间和地点公开开标，并邀请所有投标人</w:t>
      </w:r>
      <w:r>
        <w:rPr>
          <w:rFonts w:hint="eastAsia" w:ascii="宋体" w:hAnsi="宋体"/>
          <w:color w:val="auto"/>
          <w:szCs w:val="21"/>
          <w:highlight w:val="none"/>
        </w:rPr>
        <w:t>代表</w:t>
      </w:r>
      <w:r>
        <w:rPr>
          <w:rFonts w:ascii="宋体" w:hAnsi="宋体"/>
          <w:color w:val="auto"/>
          <w:szCs w:val="21"/>
          <w:highlight w:val="none"/>
        </w:rPr>
        <w:t>参加。</w:t>
      </w:r>
    </w:p>
    <w:p w14:paraId="2D35C0C8">
      <w:pPr>
        <w:widowControl w:val="0"/>
        <w:numPr>
          <w:ilvl w:val="1"/>
          <w:numId w:val="5"/>
        </w:numPr>
        <w:adjustRightInd/>
        <w:snapToGrid/>
        <w:jc w:val="both"/>
        <w:rPr>
          <w:rFonts w:ascii="宋体" w:hAnsi="宋体"/>
          <w:color w:val="auto"/>
          <w:szCs w:val="21"/>
          <w:highlight w:val="none"/>
        </w:rPr>
      </w:pPr>
      <w:r>
        <w:rPr>
          <w:rFonts w:ascii="宋体" w:hAnsi="宋体"/>
          <w:color w:val="auto"/>
          <w:szCs w:val="21"/>
          <w:highlight w:val="none"/>
        </w:rPr>
        <w:t>开标程序：</w:t>
      </w:r>
    </w:p>
    <w:p w14:paraId="38DF7F45">
      <w:pPr>
        <w:widowControl w:val="0"/>
        <w:numPr>
          <w:ilvl w:val="2"/>
          <w:numId w:val="5"/>
        </w:numPr>
        <w:tabs>
          <w:tab w:val="left" w:pos="567"/>
          <w:tab w:val="clear" w:pos="794"/>
        </w:tabs>
        <w:adjustRightInd/>
        <w:snapToGrid/>
        <w:jc w:val="both"/>
        <w:rPr>
          <w:rFonts w:ascii="宋体" w:hAnsi="宋体"/>
          <w:color w:val="auto"/>
          <w:szCs w:val="21"/>
          <w:highlight w:val="none"/>
        </w:rPr>
      </w:pPr>
      <w:r>
        <w:rPr>
          <w:rFonts w:ascii="宋体" w:hAnsi="宋体"/>
          <w:color w:val="auto"/>
          <w:szCs w:val="21"/>
          <w:highlight w:val="none"/>
        </w:rPr>
        <w:t>开标</w:t>
      </w:r>
      <w:r>
        <w:rPr>
          <w:rFonts w:hint="eastAsia" w:ascii="宋体" w:hAnsi="宋体"/>
          <w:color w:val="auto"/>
          <w:szCs w:val="21"/>
          <w:highlight w:val="none"/>
        </w:rPr>
        <w:t>会</w:t>
      </w:r>
      <w:r>
        <w:rPr>
          <w:rFonts w:ascii="宋体" w:hAnsi="宋体"/>
          <w:color w:val="auto"/>
          <w:szCs w:val="21"/>
          <w:highlight w:val="none"/>
        </w:rPr>
        <w:t>由</w:t>
      </w:r>
      <w:r>
        <w:rPr>
          <w:rFonts w:hint="eastAsia" w:ascii="宋体" w:hAnsi="宋体"/>
          <w:color w:val="auto"/>
          <w:szCs w:val="21"/>
          <w:highlight w:val="none"/>
        </w:rPr>
        <w:t>采购代理机构</w:t>
      </w:r>
      <w:r>
        <w:rPr>
          <w:rFonts w:ascii="宋体" w:hAnsi="宋体"/>
          <w:color w:val="auto"/>
          <w:szCs w:val="21"/>
          <w:highlight w:val="none"/>
        </w:rPr>
        <w:t>主持</w:t>
      </w:r>
      <w:r>
        <w:rPr>
          <w:rFonts w:hint="eastAsia" w:ascii="宋体" w:hAnsi="宋体"/>
          <w:color w:val="auto"/>
          <w:szCs w:val="21"/>
          <w:highlight w:val="none"/>
        </w:rPr>
        <w:t>，投标人的法定代表人或其授权代表携带有效身份证明准时参加开标会并签名报到。</w:t>
      </w:r>
    </w:p>
    <w:p w14:paraId="769F58E0">
      <w:pPr>
        <w:widowControl w:val="0"/>
        <w:numPr>
          <w:ilvl w:val="2"/>
          <w:numId w:val="5"/>
        </w:numPr>
        <w:tabs>
          <w:tab w:val="left" w:pos="567"/>
          <w:tab w:val="clear" w:pos="794"/>
        </w:tabs>
        <w:adjustRightInd/>
        <w:snapToGrid/>
        <w:jc w:val="both"/>
        <w:rPr>
          <w:rFonts w:ascii="宋体" w:hAnsi="宋体"/>
          <w:color w:val="auto"/>
          <w:szCs w:val="21"/>
          <w:highlight w:val="none"/>
        </w:rPr>
      </w:pPr>
      <w:r>
        <w:rPr>
          <w:rFonts w:hint="eastAsia" w:ascii="宋体" w:hAnsi="宋体"/>
          <w:color w:val="auto"/>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14:paraId="5F5AED99">
      <w:pPr>
        <w:widowControl w:val="0"/>
        <w:numPr>
          <w:ilvl w:val="2"/>
          <w:numId w:val="5"/>
        </w:numPr>
        <w:tabs>
          <w:tab w:val="left" w:pos="567"/>
          <w:tab w:val="clear" w:pos="794"/>
        </w:tabs>
        <w:adjustRightInd/>
        <w:snapToGrid/>
        <w:jc w:val="both"/>
        <w:rPr>
          <w:rFonts w:ascii="宋体" w:hAnsi="宋体"/>
          <w:color w:val="auto"/>
          <w:szCs w:val="21"/>
          <w:highlight w:val="none"/>
        </w:rPr>
      </w:pPr>
      <w:r>
        <w:rPr>
          <w:rFonts w:hint="eastAsia" w:ascii="宋体" w:hAnsi="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1C54ED62">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投标人未参加开标的，视同认可开标结果。</w:t>
      </w:r>
    </w:p>
    <w:p w14:paraId="401AF378">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现场参与的投标人不足3家的，不得开标；</w:t>
      </w:r>
    </w:p>
    <w:p w14:paraId="3EAFEE6B">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开标过程应当由采购人或者采购代理机构负责记录，由参加开标的各投标人代表和相关工作人员签字确认。</w:t>
      </w:r>
    </w:p>
    <w:p w14:paraId="026900CB">
      <w:pPr>
        <w:widowControl w:val="0"/>
        <w:adjustRightInd/>
        <w:snapToGrid/>
        <w:ind w:left="567"/>
        <w:jc w:val="both"/>
        <w:rPr>
          <w:color w:val="auto"/>
          <w:highlight w:val="none"/>
        </w:rPr>
      </w:pPr>
    </w:p>
    <w:p w14:paraId="6DF7C965">
      <w:pPr>
        <w:pStyle w:val="5"/>
        <w:widowControl w:val="0"/>
        <w:overflowPunct w:val="0"/>
        <w:rPr>
          <w:rFonts w:ascii="宋体" w:hAnsi="宋体"/>
          <w:color w:val="auto"/>
          <w:sz w:val="21"/>
          <w:szCs w:val="21"/>
          <w:highlight w:val="none"/>
        </w:rPr>
      </w:pPr>
      <w:bookmarkStart w:id="121" w:name="_Toc5974"/>
      <w:bookmarkStart w:id="122" w:name="_Toc25134"/>
      <w:bookmarkStart w:id="123" w:name="_Toc5524"/>
      <w:r>
        <w:rPr>
          <w:rFonts w:hint="eastAsia" w:ascii="宋体" w:hAnsi="宋体"/>
          <w:color w:val="auto"/>
          <w:sz w:val="21"/>
          <w:szCs w:val="21"/>
          <w:highlight w:val="none"/>
        </w:rPr>
        <w:t>23.评标委员会及评标方法</w:t>
      </w:r>
      <w:bookmarkEnd w:id="121"/>
      <w:bookmarkEnd w:id="122"/>
      <w:bookmarkEnd w:id="123"/>
    </w:p>
    <w:p w14:paraId="30502960">
      <w:pPr>
        <w:pStyle w:val="42"/>
        <w:widowControl w:val="0"/>
        <w:numPr>
          <w:ilvl w:val="0"/>
          <w:numId w:val="5"/>
        </w:numPr>
        <w:adjustRightInd/>
        <w:snapToGrid/>
        <w:ind w:firstLineChars="0"/>
        <w:jc w:val="both"/>
        <w:rPr>
          <w:rFonts w:ascii="宋体" w:hAnsi="宋体"/>
          <w:vanish/>
          <w:color w:val="auto"/>
          <w:szCs w:val="21"/>
          <w:highlight w:val="none"/>
        </w:rPr>
      </w:pPr>
    </w:p>
    <w:p w14:paraId="465113D7">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评标委员会根据招标项目的特点进行组建，并负责评标工作。</w:t>
      </w:r>
    </w:p>
    <w:p w14:paraId="14163EDD">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评审方法：本次招标的评审方法采用综合评分法。</w:t>
      </w:r>
    </w:p>
    <w:p w14:paraId="1741E283">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定标原则：在最大限度</w:t>
      </w:r>
      <w:r>
        <w:rPr>
          <w:rFonts w:ascii="宋体" w:hAnsi="宋体"/>
          <w:color w:val="auto"/>
          <w:szCs w:val="21"/>
          <w:highlight w:val="none"/>
        </w:rPr>
        <w:t>满足招标文件</w:t>
      </w:r>
      <w:r>
        <w:rPr>
          <w:rFonts w:hint="eastAsia" w:ascii="宋体" w:hAnsi="宋体"/>
          <w:color w:val="auto"/>
          <w:szCs w:val="21"/>
          <w:highlight w:val="none"/>
        </w:rPr>
        <w:t>实质性要求前提下，按照招标文件规定的各项评价因素进行量化打分，以评标总得分最高的投标人作为中标候选人或中标人。</w:t>
      </w:r>
    </w:p>
    <w:p w14:paraId="76D741BE">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31C9B9D8">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通过资格性和符合性审查的有效投标人方有资格提交最终报价及进入综合评审。</w:t>
      </w:r>
    </w:p>
    <w:p w14:paraId="015A80A9">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243B3D98">
      <w:pPr>
        <w:rPr>
          <w:color w:val="auto"/>
          <w:highlight w:val="none"/>
        </w:rPr>
      </w:pPr>
    </w:p>
    <w:p w14:paraId="15067694">
      <w:pPr>
        <w:pStyle w:val="5"/>
        <w:widowControl w:val="0"/>
        <w:overflowPunct w:val="0"/>
        <w:rPr>
          <w:rFonts w:ascii="宋体" w:hAnsi="宋体"/>
          <w:color w:val="auto"/>
          <w:sz w:val="21"/>
          <w:szCs w:val="21"/>
          <w:highlight w:val="none"/>
        </w:rPr>
      </w:pPr>
      <w:bookmarkStart w:id="124" w:name="_Toc32730"/>
      <w:bookmarkStart w:id="125" w:name="_Toc7386"/>
      <w:bookmarkStart w:id="126" w:name="_Toc15231"/>
      <w:r>
        <w:rPr>
          <w:rFonts w:hint="eastAsia" w:ascii="宋体" w:hAnsi="宋体"/>
          <w:color w:val="auto"/>
          <w:sz w:val="21"/>
          <w:szCs w:val="21"/>
          <w:highlight w:val="none"/>
        </w:rPr>
        <w:t>24.评审原则及评标过程的保密</w:t>
      </w:r>
      <w:bookmarkEnd w:id="124"/>
      <w:bookmarkEnd w:id="125"/>
      <w:bookmarkEnd w:id="126"/>
    </w:p>
    <w:p w14:paraId="01CC0919">
      <w:pPr>
        <w:pStyle w:val="42"/>
        <w:widowControl w:val="0"/>
        <w:numPr>
          <w:ilvl w:val="0"/>
          <w:numId w:val="5"/>
        </w:numPr>
        <w:adjustRightInd/>
        <w:snapToGrid/>
        <w:ind w:firstLineChars="0"/>
        <w:jc w:val="both"/>
        <w:rPr>
          <w:rFonts w:ascii="宋体" w:hAnsi="宋体"/>
          <w:vanish/>
          <w:color w:val="auto"/>
          <w:szCs w:val="21"/>
          <w:highlight w:val="none"/>
        </w:rPr>
      </w:pPr>
    </w:p>
    <w:p w14:paraId="68C4C26F">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评审的基本原则：评标委员会将依据《中华人民共和国政府采购法》及国家和地方政府有关法规的规定，遵循“客观、公正、审慎”的原则进行评审工作。</w:t>
      </w:r>
    </w:p>
    <w:p w14:paraId="3876A334">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招标文件中要求投标人提供的相关资质证书证明材料因国家政策变动导致新旧证书名称不一致的，投标人提供新证书或提供在有效期内的旧证书经评审委员会认定后，均具有同等效力，给予同等认可。</w:t>
      </w:r>
    </w:p>
    <w:p w14:paraId="3CAC8E3A">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从公开开标到签订合同，凡与审查、澄清、评审和投标有关的资料以及定标意见相关的事项，均不得向投标人及与评标无关的其他人透露。</w:t>
      </w:r>
    </w:p>
    <w:p w14:paraId="5EF0EF0C">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任何单位和个人不得非法干预、影响评标的过程和结果。</w:t>
      </w:r>
    </w:p>
    <w:p w14:paraId="39137EA8">
      <w:pPr>
        <w:rPr>
          <w:color w:val="auto"/>
          <w:highlight w:val="none"/>
        </w:rPr>
      </w:pPr>
    </w:p>
    <w:p w14:paraId="3DD8F915">
      <w:pPr>
        <w:pStyle w:val="5"/>
        <w:widowControl w:val="0"/>
        <w:overflowPunct w:val="0"/>
        <w:rPr>
          <w:rFonts w:ascii="宋体" w:hAnsi="宋体"/>
          <w:color w:val="auto"/>
          <w:sz w:val="21"/>
          <w:szCs w:val="21"/>
          <w:highlight w:val="none"/>
        </w:rPr>
      </w:pPr>
      <w:bookmarkStart w:id="127" w:name="_Toc3762"/>
      <w:bookmarkStart w:id="128" w:name="_Toc22300"/>
      <w:bookmarkStart w:id="129" w:name="_Toc18436"/>
      <w:r>
        <w:rPr>
          <w:rFonts w:hint="eastAsia" w:ascii="宋体" w:hAnsi="宋体"/>
          <w:color w:val="auto"/>
          <w:sz w:val="21"/>
          <w:szCs w:val="21"/>
          <w:highlight w:val="none"/>
        </w:rPr>
        <w:t>25.投标文件的初审</w:t>
      </w:r>
      <w:bookmarkEnd w:id="127"/>
      <w:bookmarkEnd w:id="128"/>
      <w:bookmarkEnd w:id="129"/>
    </w:p>
    <w:p w14:paraId="61013D3F">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61FA1A67">
      <w:pPr>
        <w:widowControl w:val="0"/>
        <w:numPr>
          <w:ilvl w:val="1"/>
          <w:numId w:val="5"/>
        </w:numPr>
        <w:tabs>
          <w:tab w:val="left" w:pos="907"/>
        </w:tabs>
        <w:adjustRightInd/>
        <w:snapToGrid/>
        <w:jc w:val="both"/>
        <w:rPr>
          <w:rFonts w:ascii="宋体" w:hAnsi="宋体"/>
          <w:b/>
          <w:color w:val="auto"/>
          <w:szCs w:val="21"/>
          <w:highlight w:val="none"/>
        </w:rPr>
      </w:pPr>
      <w:r>
        <w:rPr>
          <w:rFonts w:hint="eastAsia" w:ascii="宋体" w:hAnsi="宋体"/>
          <w:color w:val="auto"/>
          <w:szCs w:val="21"/>
          <w:highlight w:val="none"/>
        </w:rPr>
        <w:t>开标结束后，采购人或者采购代理机构将依法对投标人的资格进行审查。资格审查时，投标人存在不符合资格性检查所要求事项情况的，投标无效。未通过资格审查的投标人不进入符合性审查的评审，</w:t>
      </w:r>
      <w:r>
        <w:rPr>
          <w:rFonts w:hint="eastAsia" w:ascii="宋体" w:hAnsi="宋体"/>
          <w:b/>
          <w:color w:val="auto"/>
          <w:szCs w:val="21"/>
          <w:highlight w:val="none"/>
        </w:rPr>
        <w:t>资格性检查中发现下列情形之一的，其投标作无效处理：</w:t>
      </w:r>
    </w:p>
    <w:p w14:paraId="741C3407">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1) 资格瑕疵</w:t>
      </w:r>
    </w:p>
    <w:p w14:paraId="14064337">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w:t>
      </w:r>
    </w:p>
    <w:p w14:paraId="527C66D1">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将对符合资格的投标人的投标文件进行符合性审查，以确定其是否满足招标文件的实质性要求。投标人不得通过修正或撤消不合要求的偏离或保留从而使其投标成为实质上响应的投标。符合性审查过程中，</w:t>
      </w:r>
      <w:r>
        <w:rPr>
          <w:rFonts w:hint="eastAsia" w:ascii="宋体" w:hAnsi="宋体"/>
          <w:b/>
          <w:color w:val="auto"/>
          <w:szCs w:val="21"/>
          <w:highlight w:val="none"/>
        </w:rPr>
        <w:t>发现下列情况之一的，其投标将作无效处理</w:t>
      </w:r>
      <w:r>
        <w:rPr>
          <w:rFonts w:hint="eastAsia" w:ascii="宋体" w:hAnsi="宋体"/>
          <w:color w:val="auto"/>
          <w:szCs w:val="21"/>
          <w:highlight w:val="none"/>
        </w:rPr>
        <w:t>：</w:t>
      </w:r>
    </w:p>
    <w:p w14:paraId="48240531">
      <w:pPr>
        <w:widowControl w:val="0"/>
        <w:tabs>
          <w:tab w:val="left" w:pos="907"/>
        </w:tabs>
        <w:adjustRightInd/>
        <w:snapToGrid/>
        <w:ind w:left="567"/>
        <w:jc w:val="both"/>
        <w:rPr>
          <w:rFonts w:ascii="宋体" w:hAnsi="宋体"/>
          <w:color w:val="auto"/>
          <w:szCs w:val="21"/>
          <w:highlight w:val="none"/>
        </w:rPr>
      </w:pPr>
      <w:r>
        <w:rPr>
          <w:rFonts w:hint="eastAsia" w:ascii="宋体" w:hAnsi="宋体"/>
          <w:b/>
          <w:color w:val="auto"/>
          <w:szCs w:val="21"/>
          <w:highlight w:val="none"/>
        </w:rPr>
        <w:t>1) 投标文件的有效性、完整性瑕疵</w:t>
      </w:r>
    </w:p>
    <w:p w14:paraId="484D5C09">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14:paraId="2977A299">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2) 技术响应瑕疵</w:t>
      </w:r>
    </w:p>
    <w:p w14:paraId="1932680D">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实质性条款（标记★）投标响应表》未提供的；⑥将一个包中的内容拆开投标的；⑦投标人对同一货物或服务投标时，投标方案不唯一；⑧明显不符合技术规格、技术标准要求的；⑨其他未实质性响应招标文件技术要求的。</w:t>
      </w:r>
    </w:p>
    <w:p w14:paraId="16F9743D">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3) 商务响应瑕疵</w:t>
      </w:r>
    </w:p>
    <w:p w14:paraId="55BBC708">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14:paraId="0B0A70F3">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4）投标报价瑕疵</w:t>
      </w:r>
    </w:p>
    <w:p w14:paraId="2865A23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包括但不限于：①投标报价超过本招标文件明确的项目预算或文件明确的最高限价；②未按招标文件要求进行报价的；③报价内容或报价格式不符合招标文件要求的；④投标报价有严重缺漏项的。</w:t>
      </w:r>
    </w:p>
    <w:p w14:paraId="27858C6F">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5）违规行为</w:t>
      </w:r>
    </w:p>
    <w:p w14:paraId="2CC19CD3">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包括但不限于：①以他人的名义投标、串通投标、以行贿手段谋取中标或者以其他弄虚作假方式投标的；②扰乱开标、评标秩序，干扰招标工作正常进行的。③存在经评标委员会认定的其他违规违法行为。</w:t>
      </w:r>
    </w:p>
    <w:p w14:paraId="5633972D">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6)法律法规及招标文件中规定的其它情形。</w:t>
      </w:r>
    </w:p>
    <w:p w14:paraId="39DCDC8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根据项目情况，评标委员会有权决定招标文件中“可能导致废标”或“可能导致其投标被拒绝”等具体条款是否实施“废标”或“投标被拒绝”，但对同一条款的裁决应适用于每个投标人。</w:t>
      </w:r>
    </w:p>
    <w:p w14:paraId="20D51265">
      <w:pPr>
        <w:widowControl w:val="0"/>
        <w:numPr>
          <w:ilvl w:val="1"/>
          <w:numId w:val="5"/>
        </w:numPr>
        <w:adjustRightInd/>
        <w:snapToGrid/>
        <w:jc w:val="both"/>
        <w:rPr>
          <w:rFonts w:ascii="宋体" w:hAnsi="宋体"/>
          <w:color w:val="auto"/>
          <w:szCs w:val="21"/>
          <w:highlight w:val="none"/>
        </w:rPr>
      </w:pPr>
      <w:r>
        <w:rPr>
          <w:rFonts w:hint="eastAsia" w:ascii="宋体" w:hAnsi="宋体"/>
          <w:color w:val="auto"/>
          <w:szCs w:val="21"/>
          <w:highlight w:val="none"/>
        </w:rPr>
        <w:t>对于投标文件中不构成实质性偏差的不正规、不一致或不规则，评标委员会可以接受，但这种接受不能损害或影响任何投标人的相对排序。</w:t>
      </w:r>
    </w:p>
    <w:p w14:paraId="79029C9D">
      <w:pPr>
        <w:widowControl w:val="0"/>
        <w:numPr>
          <w:ilvl w:val="1"/>
          <w:numId w:val="5"/>
        </w:numPr>
        <w:adjustRightInd/>
        <w:snapToGrid/>
        <w:jc w:val="both"/>
        <w:rPr>
          <w:color w:val="auto"/>
          <w:highlight w:val="none"/>
        </w:rPr>
      </w:pPr>
      <w:r>
        <w:rPr>
          <w:rFonts w:hint="eastAsia" w:ascii="宋体" w:hAnsi="宋体"/>
          <w:color w:val="auto"/>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39BB8FF0">
      <w:pPr>
        <w:rPr>
          <w:color w:val="auto"/>
          <w:highlight w:val="none"/>
        </w:rPr>
      </w:pPr>
    </w:p>
    <w:p w14:paraId="2A6464D0">
      <w:pPr>
        <w:pStyle w:val="5"/>
        <w:widowControl w:val="0"/>
        <w:overflowPunct w:val="0"/>
        <w:rPr>
          <w:rFonts w:ascii="宋体" w:hAnsi="宋体"/>
          <w:color w:val="auto"/>
          <w:sz w:val="21"/>
          <w:szCs w:val="21"/>
          <w:highlight w:val="none"/>
        </w:rPr>
      </w:pPr>
      <w:bookmarkStart w:id="130" w:name="_Toc12406"/>
      <w:bookmarkStart w:id="131" w:name="_Toc27673"/>
      <w:bookmarkStart w:id="132" w:name="_Toc21742"/>
      <w:r>
        <w:rPr>
          <w:rFonts w:hint="eastAsia" w:ascii="宋体" w:hAnsi="宋体"/>
          <w:color w:val="auto"/>
          <w:sz w:val="21"/>
          <w:szCs w:val="21"/>
          <w:highlight w:val="none"/>
        </w:rPr>
        <w:t>26.商务、技术、价格评审（具体评审项目详见投标资料表）</w:t>
      </w:r>
      <w:bookmarkEnd w:id="130"/>
      <w:bookmarkEnd w:id="131"/>
      <w:bookmarkEnd w:id="132"/>
    </w:p>
    <w:p w14:paraId="39EA42EF">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01A04472">
      <w:pPr>
        <w:widowControl w:val="0"/>
        <w:numPr>
          <w:ilvl w:val="1"/>
          <w:numId w:val="5"/>
        </w:numPr>
        <w:tabs>
          <w:tab w:val="left" w:pos="907"/>
        </w:tabs>
        <w:adjustRightInd/>
        <w:snapToGrid/>
        <w:jc w:val="both"/>
        <w:rPr>
          <w:rFonts w:ascii="宋体" w:hAnsi="宋体"/>
          <w:color w:val="auto"/>
          <w:szCs w:val="21"/>
          <w:highlight w:val="none"/>
        </w:rPr>
      </w:pPr>
      <w:r>
        <w:rPr>
          <w:rFonts w:ascii="宋体" w:hAnsi="宋体"/>
          <w:color w:val="auto"/>
          <w:szCs w:val="21"/>
          <w:highlight w:val="none"/>
        </w:rPr>
        <w:t>对通过符合性检查的投标人进行商务技术综合评议，针对投标文件对招标文件的响应情况对各个投标人进行商务和技术评分</w:t>
      </w:r>
      <w:r>
        <w:rPr>
          <w:rFonts w:hint="eastAsia" w:ascii="宋体" w:hAnsi="宋体"/>
          <w:color w:val="auto"/>
          <w:szCs w:val="21"/>
          <w:highlight w:val="none"/>
        </w:rPr>
        <w:t xml:space="preserve">。 </w:t>
      </w:r>
    </w:p>
    <w:p w14:paraId="76901FDD">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3E5787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投标文件报价出现前后不一致的，评标委员会按照下列规定修正：</w:t>
      </w:r>
    </w:p>
    <w:p w14:paraId="7237262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投标文件中唱标一览表（报价表）内容与投标文件中相应内容不一致的，以唱标一览表（报价表）为准；</w:t>
      </w:r>
    </w:p>
    <w:p w14:paraId="3D44E2A6">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大写金额和小写金额不一致的，以大写金额为准；</w:t>
      </w:r>
    </w:p>
    <w:p w14:paraId="469EBBA2">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单价金额小数点或者百分比有明显错位的，以唱标一览表的总价为准，并修改单价；</w:t>
      </w:r>
    </w:p>
    <w:p w14:paraId="3610813A">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总价金额与按单价汇总金额不一致的，以单价金额计算结果为准。</w:t>
      </w:r>
    </w:p>
    <w:p w14:paraId="4DF88DD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同时出现两种以上不一致的，按照前款规定的顺序修正。修正后的报价按照经投标人确认后产生约束力，投标人不确认的，其投标无效。</w:t>
      </w:r>
    </w:p>
    <w:p w14:paraId="1E4B4FB7">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14:paraId="319EFB2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使用综合评分法的采购项目，核心产品提供相同品牌产品且通过资格审查、符合性审查的不同投标人参加同一合同项下投标的，按一家投标人计算，评审后得分最高的同品牌投标人获得中标人推荐资格。</w:t>
      </w:r>
    </w:p>
    <w:p w14:paraId="49E64210">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14:paraId="73A8BDBF">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998FC0">
      <w:pPr>
        <w:widowControl w:val="0"/>
        <w:tabs>
          <w:tab w:val="left" w:pos="907"/>
        </w:tabs>
        <w:adjustRightInd/>
        <w:snapToGrid/>
        <w:spacing w:line="360" w:lineRule="exact"/>
        <w:ind w:left="567"/>
        <w:jc w:val="both"/>
        <w:rPr>
          <w:rFonts w:ascii="宋体" w:hAnsi="宋体"/>
          <w:color w:val="auto"/>
          <w:szCs w:val="21"/>
          <w:highlight w:val="none"/>
        </w:rPr>
      </w:pPr>
    </w:p>
    <w:p w14:paraId="697AB177">
      <w:pPr>
        <w:pStyle w:val="5"/>
        <w:widowControl w:val="0"/>
        <w:overflowPunct w:val="0"/>
        <w:rPr>
          <w:rFonts w:ascii="宋体" w:hAnsi="宋体"/>
          <w:color w:val="auto"/>
          <w:sz w:val="21"/>
          <w:szCs w:val="21"/>
          <w:highlight w:val="none"/>
        </w:rPr>
      </w:pPr>
      <w:bookmarkStart w:id="133" w:name="_Toc17683"/>
      <w:bookmarkStart w:id="134" w:name="_Toc22192"/>
      <w:bookmarkStart w:id="135" w:name="_Toc30519"/>
      <w:r>
        <w:rPr>
          <w:rFonts w:hint="eastAsia" w:ascii="宋体" w:hAnsi="宋体"/>
          <w:color w:val="auto"/>
          <w:sz w:val="21"/>
          <w:szCs w:val="21"/>
          <w:highlight w:val="none"/>
        </w:rPr>
        <w:t>27.优惠政策</w:t>
      </w:r>
      <w:bookmarkEnd w:id="133"/>
      <w:bookmarkEnd w:id="134"/>
      <w:bookmarkEnd w:id="135"/>
    </w:p>
    <w:p w14:paraId="1E9EA63D">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259A0E8F">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对小型或微型企业、监狱企业、残疾人福利性单位投标的扶持：</w:t>
      </w:r>
    </w:p>
    <w:p w14:paraId="0980861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E1719D7">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1CBE1EF7">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投标人为小型或微型企业且投标产品含小型或微型企业产品时，其对应产品价格的扣除详见投标资料表。</w:t>
      </w:r>
    </w:p>
    <w:p w14:paraId="474B3567">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2B7E24D1">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投标人同时为小型、微型企业、监狱企业、残疾人福利性单位任两种或以上情况的，评审中只享受一次价格扣除，不重复进行价格扣除。</w:t>
      </w:r>
    </w:p>
    <w:p w14:paraId="2D442D92">
      <w:pPr>
        <w:widowControl w:val="0"/>
        <w:numPr>
          <w:ilvl w:val="1"/>
          <w:numId w:val="5"/>
        </w:numPr>
        <w:tabs>
          <w:tab w:val="left" w:pos="907"/>
        </w:tabs>
        <w:adjustRightInd/>
        <w:snapToGrid/>
        <w:jc w:val="both"/>
        <w:rPr>
          <w:rFonts w:ascii="宋体" w:hAnsi="宋体"/>
          <w:b/>
          <w:bCs/>
          <w:color w:val="auto"/>
          <w:szCs w:val="21"/>
          <w:highlight w:val="none"/>
          <w:u w:val="single"/>
        </w:rPr>
      </w:pPr>
      <w:r>
        <w:rPr>
          <w:rFonts w:hint="eastAsia" w:ascii="宋体" w:hAnsi="宋体"/>
          <w:b/>
          <w:bCs/>
          <w:color w:val="auto"/>
          <w:szCs w:val="21"/>
          <w:highlight w:val="none"/>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2C7220DE">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26FD8E41">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（1）安置的残疾人占本单位在职职工人数的比例不低于25%（含25%），并且安置的残疾人人数不少于10人（含10人）；</w:t>
      </w:r>
    </w:p>
    <w:p w14:paraId="1055DA09">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（2）依法与安置的每位残疾人签订了一年以上（含一年）的劳动合同或服务协议；</w:t>
      </w:r>
    </w:p>
    <w:p w14:paraId="353AA69E">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（3）为安置的每位残疾人按月足额缴纳了基本养老保险、基本医疗保险、失业保险、工伤保险和生育保险等社会保险费；</w:t>
      </w:r>
    </w:p>
    <w:p w14:paraId="5693A20C">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（4）通过银行等金融机构向安置的每位残疾人，按月支付了不低于单位所在区县适用的经省级人民政府批准的月最低工资标准的工资；</w:t>
      </w:r>
    </w:p>
    <w:p w14:paraId="415FE6AC">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56FAF60A">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FE5C894">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对节能产品或环境标志产品的扶持：</w:t>
      </w:r>
    </w:p>
    <w:p w14:paraId="243970AD">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14:paraId="285F272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提供节能产品或环境标志产品的投标人其产品应符合以下规定：</w:t>
      </w:r>
    </w:p>
    <w:p w14:paraId="31D38894">
      <w:pPr>
        <w:widowControl w:val="0"/>
        <w:numPr>
          <w:ilvl w:val="0"/>
          <w:numId w:val="8"/>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14:paraId="7751C21F">
      <w:pPr>
        <w:widowControl w:val="0"/>
        <w:numPr>
          <w:ilvl w:val="0"/>
          <w:numId w:val="8"/>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14:paraId="084CBB96">
      <w:pPr>
        <w:widowControl w:val="0"/>
        <w:numPr>
          <w:ilvl w:val="0"/>
          <w:numId w:val="8"/>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若用户需求中含有《节能产品政府采购品目清单》中的政府强制采购产品，投标人应根据要求提供所对应的节能产品，否则做投标无效处理。</w:t>
      </w:r>
    </w:p>
    <w:p w14:paraId="471B9022">
      <w:pPr>
        <w:widowControl w:val="0"/>
        <w:tabs>
          <w:tab w:val="left" w:pos="907"/>
        </w:tabs>
        <w:adjustRightInd/>
        <w:snapToGrid/>
        <w:ind w:left="567"/>
        <w:jc w:val="both"/>
        <w:rPr>
          <w:rFonts w:ascii="宋体" w:hAnsi="宋体"/>
          <w:color w:val="auto"/>
          <w:szCs w:val="21"/>
          <w:highlight w:val="none"/>
        </w:rPr>
      </w:pPr>
    </w:p>
    <w:p w14:paraId="2FDEE1A6">
      <w:pPr>
        <w:pStyle w:val="5"/>
        <w:widowControl w:val="0"/>
        <w:overflowPunct w:val="0"/>
        <w:rPr>
          <w:rFonts w:ascii="宋体" w:hAnsi="宋体"/>
          <w:color w:val="auto"/>
          <w:sz w:val="21"/>
          <w:szCs w:val="21"/>
          <w:highlight w:val="none"/>
        </w:rPr>
      </w:pPr>
      <w:bookmarkStart w:id="136" w:name="_Toc316375620"/>
      <w:bookmarkStart w:id="137" w:name="_Toc382049120"/>
      <w:bookmarkStart w:id="138" w:name="_Toc20328"/>
      <w:bookmarkStart w:id="139" w:name="_Toc10493"/>
      <w:bookmarkStart w:id="140" w:name="_Toc22591"/>
      <w:bookmarkStart w:id="141" w:name="_Toc31141"/>
      <w:r>
        <w:rPr>
          <w:rFonts w:hint="eastAsia" w:ascii="宋体" w:hAnsi="宋体"/>
          <w:color w:val="auto"/>
          <w:sz w:val="21"/>
          <w:szCs w:val="21"/>
          <w:highlight w:val="none"/>
        </w:rPr>
        <w:t>28.纪律和</w:t>
      </w:r>
      <w:r>
        <w:rPr>
          <w:rFonts w:ascii="宋体" w:hAnsi="宋体"/>
          <w:color w:val="auto"/>
          <w:sz w:val="21"/>
          <w:szCs w:val="21"/>
          <w:highlight w:val="none"/>
        </w:rPr>
        <w:t>保密</w:t>
      </w:r>
      <w:bookmarkEnd w:id="136"/>
      <w:r>
        <w:rPr>
          <w:rFonts w:hint="eastAsia" w:ascii="宋体" w:hAnsi="宋体"/>
          <w:color w:val="auto"/>
          <w:sz w:val="21"/>
          <w:szCs w:val="21"/>
          <w:highlight w:val="none"/>
        </w:rPr>
        <w:t>事项</w:t>
      </w:r>
      <w:bookmarkEnd w:id="137"/>
      <w:bookmarkEnd w:id="138"/>
      <w:bookmarkEnd w:id="139"/>
      <w:bookmarkEnd w:id="140"/>
      <w:bookmarkEnd w:id="141"/>
    </w:p>
    <w:p w14:paraId="696DDEBA">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120990ED">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6E38F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投标人不得串通作弊，以不正当的手段妨碍、排挤其他投标人，扰乱招标市场，破坏公平竞争原则。否则将按相关法律规定严肃处理。</w:t>
      </w:r>
    </w:p>
    <w:p w14:paraId="4BCCB31A">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获得本招标文件的投标人，应对文件进行保密，不得用作本次投标以外的任何用途。开标后，投标人应归还招标文件中要求保密的文件和资料。</w:t>
      </w:r>
    </w:p>
    <w:p w14:paraId="2CFDB9CF">
      <w:pPr>
        <w:rPr>
          <w:color w:val="auto"/>
          <w:highlight w:val="none"/>
        </w:rPr>
      </w:pPr>
    </w:p>
    <w:p w14:paraId="3B3CDF65">
      <w:pPr>
        <w:pStyle w:val="4"/>
        <w:spacing w:line="480" w:lineRule="auto"/>
        <w:jc w:val="center"/>
        <w:rPr>
          <w:rFonts w:ascii="宋体" w:hAnsi="宋体"/>
          <w:color w:val="auto"/>
          <w:highlight w:val="none"/>
        </w:rPr>
      </w:pPr>
      <w:bookmarkStart w:id="142" w:name="_Toc29310"/>
      <w:bookmarkStart w:id="143" w:name="_Toc12251"/>
      <w:bookmarkStart w:id="144" w:name="_Toc17983"/>
      <w:r>
        <w:rPr>
          <w:rFonts w:hint="eastAsia" w:ascii="宋体" w:hAnsi="宋体"/>
          <w:color w:val="auto"/>
          <w:highlight w:val="none"/>
        </w:rPr>
        <w:t>第六章授予合同</w:t>
      </w:r>
      <w:bookmarkEnd w:id="142"/>
      <w:bookmarkEnd w:id="143"/>
      <w:bookmarkEnd w:id="144"/>
    </w:p>
    <w:p w14:paraId="761481B7">
      <w:pPr>
        <w:pStyle w:val="5"/>
        <w:widowControl w:val="0"/>
        <w:overflowPunct w:val="0"/>
        <w:rPr>
          <w:rFonts w:ascii="宋体" w:hAnsi="宋体"/>
          <w:color w:val="auto"/>
          <w:sz w:val="21"/>
          <w:szCs w:val="21"/>
          <w:highlight w:val="none"/>
        </w:rPr>
      </w:pPr>
      <w:bookmarkStart w:id="145" w:name="_Toc18604"/>
      <w:bookmarkStart w:id="146" w:name="_Toc6696"/>
      <w:bookmarkStart w:id="147" w:name="_Toc27817"/>
      <w:bookmarkStart w:id="148" w:name="_Toc508284011"/>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45"/>
      <w:bookmarkEnd w:id="146"/>
      <w:bookmarkEnd w:id="147"/>
      <w:bookmarkEnd w:id="148"/>
    </w:p>
    <w:p w14:paraId="6CD4AFF1">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57A506A6">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根据评标委员会的评审结果，采购人按照评审报告推荐的中标候选人中按顺序依法确定中标人</w:t>
      </w:r>
      <w:r>
        <w:rPr>
          <w:rFonts w:ascii="宋体" w:hAnsi="宋体"/>
          <w:color w:val="auto"/>
          <w:szCs w:val="21"/>
          <w:highlight w:val="none"/>
        </w:rPr>
        <w:t>。</w:t>
      </w:r>
    </w:p>
    <w:p w14:paraId="264A176B">
      <w:pPr>
        <w:rPr>
          <w:color w:val="auto"/>
          <w:highlight w:val="none"/>
        </w:rPr>
      </w:pPr>
    </w:p>
    <w:p w14:paraId="5050AA69">
      <w:pPr>
        <w:pStyle w:val="5"/>
        <w:widowControl w:val="0"/>
        <w:overflowPunct w:val="0"/>
        <w:rPr>
          <w:rFonts w:ascii="宋体" w:hAnsi="宋体"/>
          <w:color w:val="auto"/>
          <w:sz w:val="21"/>
          <w:szCs w:val="21"/>
          <w:highlight w:val="none"/>
        </w:rPr>
      </w:pPr>
      <w:bookmarkStart w:id="149" w:name="_Toc23136"/>
      <w:bookmarkStart w:id="150" w:name="_Toc29283"/>
      <w:bookmarkStart w:id="151" w:name="_Toc7414"/>
      <w:bookmarkStart w:id="152" w:name="_Toc508284013"/>
      <w:r>
        <w:rPr>
          <w:rFonts w:hint="eastAsia" w:ascii="宋体" w:hAnsi="宋体"/>
          <w:color w:val="auto"/>
          <w:sz w:val="21"/>
          <w:szCs w:val="21"/>
          <w:highlight w:val="none"/>
        </w:rPr>
        <w:t>30.发布采购结果</w:t>
      </w:r>
      <w:bookmarkEnd w:id="149"/>
      <w:bookmarkEnd w:id="150"/>
      <w:bookmarkEnd w:id="151"/>
      <w:bookmarkEnd w:id="152"/>
    </w:p>
    <w:p w14:paraId="3AB716FA">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4D30463D">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评标委员会提出评标书面报告和推荐中标意见报采购人确认后，采购代理机构将在指定的信息发布媒体上发布公告。</w:t>
      </w:r>
    </w:p>
    <w:p w14:paraId="1AD10F0C">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中标公告期限为1个工作日。</w:t>
      </w:r>
    </w:p>
    <w:p w14:paraId="585755E3">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结果公示发布后，中标单位应及时领取中标通知书。《中标通知书》是合同的一个组成部分，《中标通知书》对采购人和中标人均具有同等法律效力。</w:t>
      </w:r>
    </w:p>
    <w:p w14:paraId="5144CB9C">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中标人无正当理由不得放弃中标，因中标人放弃中标而对采购人造成的损失由放弃中标的中标人承担。</w:t>
      </w:r>
    </w:p>
    <w:p w14:paraId="74305EA8">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中标人为残疾人福利性单位的，采购人或者其委托的采购代理机构应当随中标、成交结果同时公告其《残疾人福利性单位声明函》，接受社会监督。</w:t>
      </w:r>
    </w:p>
    <w:p w14:paraId="5D19A1A8">
      <w:pPr>
        <w:widowControl w:val="0"/>
        <w:numPr>
          <w:ilvl w:val="1"/>
          <w:numId w:val="5"/>
        </w:numPr>
        <w:tabs>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原件核查</w:t>
      </w:r>
    </w:p>
    <w:p w14:paraId="0D31DD25">
      <w:pPr>
        <w:widowControl w:val="0"/>
        <w:numPr>
          <w:ilvl w:val="2"/>
          <w:numId w:val="5"/>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采购结果发布后，采购代理机构或采购人有权对中标单位进行原件核查，中标单位应在五个工作日内把相关原件递交至采购代理机构办公地址或采购人指定地址进行核查。</w:t>
      </w:r>
    </w:p>
    <w:p w14:paraId="1306A440">
      <w:pPr>
        <w:widowControl w:val="0"/>
        <w:numPr>
          <w:ilvl w:val="2"/>
          <w:numId w:val="5"/>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中标单位有下列情形之一的，取消中标资格：</w:t>
      </w:r>
    </w:p>
    <w:p w14:paraId="0B0CD9D1">
      <w:pPr>
        <w:widowControl w:val="0"/>
        <w:numPr>
          <w:ilvl w:val="0"/>
          <w:numId w:val="9"/>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27C2B98B">
      <w:pPr>
        <w:widowControl w:val="0"/>
        <w:numPr>
          <w:ilvl w:val="0"/>
          <w:numId w:val="9"/>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070F598E">
      <w:pPr>
        <w:widowControl w:val="0"/>
        <w:numPr>
          <w:ilvl w:val="0"/>
          <w:numId w:val="9"/>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在规定时间内递交的原件数量、内容与采购人、采购代理机构要求不一致的；</w:t>
      </w:r>
    </w:p>
    <w:p w14:paraId="4E70856E">
      <w:pPr>
        <w:widowControl w:val="0"/>
        <w:numPr>
          <w:ilvl w:val="0"/>
          <w:numId w:val="9"/>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09F19C1F">
      <w:pPr>
        <w:widowControl w:val="0"/>
        <w:numPr>
          <w:ilvl w:val="0"/>
          <w:numId w:val="9"/>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39379788">
      <w:pPr>
        <w:widowControl w:val="0"/>
        <w:numPr>
          <w:ilvl w:val="2"/>
          <w:numId w:val="5"/>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14:paraId="2676E9E5">
      <w:pPr>
        <w:widowControl w:val="0"/>
        <w:numPr>
          <w:ilvl w:val="2"/>
          <w:numId w:val="5"/>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投标人有下列情形之一的，投标文件作无效处理，其投标无效：</w:t>
      </w:r>
    </w:p>
    <w:p w14:paraId="5CB55A82">
      <w:pPr>
        <w:widowControl w:val="0"/>
        <w:numPr>
          <w:ilvl w:val="0"/>
          <w:numId w:val="10"/>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3E7BFDA5">
      <w:pPr>
        <w:widowControl w:val="0"/>
        <w:numPr>
          <w:ilvl w:val="0"/>
          <w:numId w:val="10"/>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231445BD">
      <w:pPr>
        <w:widowControl w:val="0"/>
        <w:numPr>
          <w:ilvl w:val="0"/>
          <w:numId w:val="10"/>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在规定时间内递交的原件数量、内容不符合采购人、采购代理机构要求的；</w:t>
      </w:r>
    </w:p>
    <w:p w14:paraId="21E80257">
      <w:pPr>
        <w:widowControl w:val="0"/>
        <w:numPr>
          <w:ilvl w:val="0"/>
          <w:numId w:val="10"/>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376D603A">
      <w:pPr>
        <w:widowControl w:val="0"/>
        <w:numPr>
          <w:ilvl w:val="0"/>
          <w:numId w:val="10"/>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38F1EC7B">
      <w:pPr>
        <w:widowControl w:val="0"/>
        <w:numPr>
          <w:ilvl w:val="2"/>
          <w:numId w:val="5"/>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若投标人出现虚假应标情况，投标文件作无效处理，其投标、中标无效。并根据相关法律上报相关监管部门。</w:t>
      </w:r>
    </w:p>
    <w:p w14:paraId="5C707E54">
      <w:pPr>
        <w:widowControl w:val="0"/>
        <w:numPr>
          <w:ilvl w:val="2"/>
          <w:numId w:val="5"/>
        </w:numPr>
        <w:tabs>
          <w:tab w:val="left" w:pos="567"/>
          <w:tab w:val="left" w:pos="907"/>
          <w:tab w:val="clear" w:pos="794"/>
        </w:tabs>
        <w:adjustRightInd/>
        <w:snapToGrid/>
        <w:jc w:val="both"/>
        <w:rPr>
          <w:color w:val="auto"/>
          <w:highlight w:val="none"/>
        </w:rPr>
      </w:pPr>
      <w:r>
        <w:rPr>
          <w:rFonts w:hint="eastAsia" w:ascii="宋体" w:hAnsi="宋体"/>
          <w:color w:val="auto"/>
          <w:szCs w:val="21"/>
          <w:highlight w:val="none"/>
        </w:rPr>
        <w:t>属于建办市函[2016]462号通知内的证件可不提供原件，仅提供带二维码原件的复印件即可。</w:t>
      </w:r>
    </w:p>
    <w:p w14:paraId="46FE6D69">
      <w:pPr>
        <w:rPr>
          <w:color w:val="auto"/>
          <w:highlight w:val="none"/>
        </w:rPr>
      </w:pPr>
    </w:p>
    <w:p w14:paraId="49F0C8AD">
      <w:pPr>
        <w:pStyle w:val="5"/>
        <w:widowControl w:val="0"/>
        <w:overflowPunct w:val="0"/>
        <w:rPr>
          <w:rFonts w:ascii="宋体" w:hAnsi="宋体"/>
          <w:color w:val="auto"/>
          <w:sz w:val="21"/>
          <w:szCs w:val="21"/>
          <w:highlight w:val="none"/>
        </w:rPr>
      </w:pPr>
      <w:bookmarkStart w:id="153" w:name="_Toc3795"/>
      <w:bookmarkStart w:id="154" w:name="_Toc22451"/>
      <w:bookmarkStart w:id="155" w:name="_Toc27279"/>
      <w:r>
        <w:rPr>
          <w:rFonts w:hint="eastAsia" w:ascii="宋体" w:hAnsi="宋体"/>
          <w:color w:val="auto"/>
          <w:sz w:val="21"/>
          <w:szCs w:val="21"/>
          <w:highlight w:val="none"/>
        </w:rPr>
        <w:t>31.合同的签订与履行</w:t>
      </w:r>
      <w:bookmarkEnd w:id="153"/>
      <w:bookmarkEnd w:id="154"/>
      <w:bookmarkEnd w:id="155"/>
    </w:p>
    <w:p w14:paraId="10FE43ED">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07B96E64">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采购人应当自采购结果公示发出之日起30日内，按照招标文件和中标人投标文件的规定，与中标人签订书面合同。所签订的合同不得对招标文件确定的事项和中标人投标文件作实质性修改。</w:t>
      </w:r>
    </w:p>
    <w:p w14:paraId="2817AFDA">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采购人与中标人应当根据合同的约定依法履行合同义务。</w:t>
      </w:r>
    </w:p>
    <w:p w14:paraId="112C94F0">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采购合同的履行、违约责任和解决争议的方法等适用《中华人民共和国民法典》。</w:t>
      </w:r>
    </w:p>
    <w:p w14:paraId="4412D642">
      <w:pPr>
        <w:widowControl w:val="0"/>
        <w:numPr>
          <w:ilvl w:val="1"/>
          <w:numId w:val="5"/>
        </w:numPr>
        <w:tabs>
          <w:tab w:val="left" w:pos="907"/>
        </w:tabs>
        <w:adjustRightInd/>
        <w:snapToGrid/>
        <w:jc w:val="both"/>
        <w:rPr>
          <w:rFonts w:ascii="宋体" w:hAnsi="宋体"/>
          <w:b/>
          <w:color w:val="auto"/>
          <w:szCs w:val="21"/>
          <w:highlight w:val="none"/>
        </w:rPr>
      </w:pPr>
      <w:r>
        <w:rPr>
          <w:rFonts w:hint="eastAsia" w:ascii="宋体" w:hAnsi="宋体"/>
          <w:b/>
          <w:color w:val="auto"/>
          <w:szCs w:val="21"/>
          <w:highlight w:val="none"/>
        </w:rPr>
        <w:t>合同签订之日起2个工作日内，中标人应将所签订的合同副本（加盖公章）交至广东政通招标有限公司归档。</w:t>
      </w:r>
    </w:p>
    <w:p w14:paraId="560EC80D">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4DC0143E">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14:paraId="6D340B14">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中标人拒绝与采购人签订合同的，采购人可以按照评审报告推荐的中标候选人名单排序，确定下一候选人为中标人，也可以重新开展采购活动。</w:t>
      </w:r>
    </w:p>
    <w:p w14:paraId="6D790E8D">
      <w:pPr>
        <w:rPr>
          <w:color w:val="auto"/>
          <w:highlight w:val="none"/>
        </w:rPr>
      </w:pPr>
    </w:p>
    <w:p w14:paraId="092CE980">
      <w:pPr>
        <w:pStyle w:val="5"/>
        <w:widowControl w:val="0"/>
        <w:overflowPunct w:val="0"/>
        <w:rPr>
          <w:rFonts w:ascii="宋体" w:hAnsi="宋体"/>
          <w:color w:val="auto"/>
          <w:sz w:val="21"/>
          <w:szCs w:val="21"/>
          <w:highlight w:val="none"/>
        </w:rPr>
      </w:pPr>
      <w:bookmarkStart w:id="156" w:name="_Toc29009"/>
      <w:bookmarkStart w:id="157" w:name="_Toc10428"/>
      <w:bookmarkStart w:id="158" w:name="_Toc2744"/>
      <w:bookmarkStart w:id="159" w:name="_Toc303084277"/>
      <w:bookmarkStart w:id="160" w:name="_Toc7405"/>
      <w:bookmarkStart w:id="161" w:name="_Toc382049124"/>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56"/>
      <w:bookmarkEnd w:id="157"/>
      <w:bookmarkEnd w:id="158"/>
      <w:bookmarkEnd w:id="159"/>
      <w:bookmarkEnd w:id="160"/>
      <w:bookmarkEnd w:id="161"/>
    </w:p>
    <w:p w14:paraId="4DDD7614">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004182FF">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14:paraId="4397DD74">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采用保证金（银行转帐、电汇）方式：中标人必须保证资金在签订合同前到帐。履约保证金账户采购人另行通知，到期后无息退还。</w:t>
      </w:r>
    </w:p>
    <w:p w14:paraId="19EA54B4">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履约保函方式：履约担保。是指由担保机构为供应商交纳履约保证金向采购人或采购代理机构提供的保证担保。供应商未按采购合同履行约定义务的，由担保机构按照担保函约定履行支付履约保证金的责任。（投标担保格式详见附件《采购投标担保函》）</w:t>
      </w:r>
    </w:p>
    <w:p w14:paraId="2022F136">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中标人须将履约保证金的汇款凭证 (注明中标通知书或项目编号)或履约保函（采购人注明原件已收到并盖章）用A4纸复印一式四份并加盖中标人的公章送至采购代理机构。</w:t>
      </w:r>
    </w:p>
    <w:p w14:paraId="4E4D80EB">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14:paraId="77C8807D">
      <w:pPr>
        <w:rPr>
          <w:color w:val="auto"/>
          <w:highlight w:val="none"/>
        </w:rPr>
      </w:pPr>
    </w:p>
    <w:p w14:paraId="6E87AB92">
      <w:pPr>
        <w:pStyle w:val="4"/>
        <w:spacing w:line="480" w:lineRule="auto"/>
        <w:jc w:val="center"/>
        <w:rPr>
          <w:rFonts w:ascii="宋体" w:hAnsi="宋体"/>
          <w:color w:val="auto"/>
          <w:highlight w:val="none"/>
        </w:rPr>
      </w:pPr>
      <w:bookmarkStart w:id="162" w:name="_Toc7360"/>
      <w:bookmarkStart w:id="163" w:name="_Toc6517"/>
      <w:bookmarkStart w:id="164" w:name="_Toc13694"/>
      <w:r>
        <w:rPr>
          <w:rFonts w:hint="eastAsia" w:ascii="宋体" w:hAnsi="宋体"/>
          <w:color w:val="auto"/>
          <w:highlight w:val="none"/>
        </w:rPr>
        <w:t>第七章询问或质疑</w:t>
      </w:r>
      <w:bookmarkEnd w:id="162"/>
      <w:bookmarkEnd w:id="163"/>
      <w:bookmarkEnd w:id="164"/>
    </w:p>
    <w:p w14:paraId="4714DBC1">
      <w:pPr>
        <w:pStyle w:val="5"/>
        <w:widowControl w:val="0"/>
        <w:overflowPunct w:val="0"/>
        <w:rPr>
          <w:rFonts w:ascii="宋体" w:hAnsi="宋体"/>
          <w:color w:val="auto"/>
          <w:sz w:val="21"/>
          <w:szCs w:val="21"/>
          <w:highlight w:val="none"/>
        </w:rPr>
      </w:pPr>
      <w:bookmarkStart w:id="165" w:name="_Toc9500"/>
      <w:bookmarkStart w:id="166" w:name="_Toc22900"/>
      <w:bookmarkStart w:id="167" w:name="_Toc25498"/>
      <w:r>
        <w:rPr>
          <w:rFonts w:hint="eastAsia" w:ascii="宋体" w:hAnsi="宋体"/>
          <w:color w:val="auto"/>
          <w:sz w:val="21"/>
          <w:szCs w:val="21"/>
          <w:highlight w:val="none"/>
        </w:rPr>
        <w:t>33.询问</w:t>
      </w:r>
      <w:bookmarkEnd w:id="165"/>
      <w:bookmarkEnd w:id="166"/>
      <w:bookmarkEnd w:id="167"/>
    </w:p>
    <w:p w14:paraId="59C7DE83">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20055B43">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投标人对采购活动事项（招标文件、采购过程和采购结果）有疑问的，可以按规定向采购代理机构提出询问。</w:t>
      </w:r>
    </w:p>
    <w:p w14:paraId="44566FEA">
      <w:pPr>
        <w:widowControl w:val="0"/>
        <w:tabs>
          <w:tab w:val="left" w:pos="907"/>
        </w:tabs>
        <w:adjustRightInd/>
        <w:snapToGrid/>
        <w:ind w:left="567"/>
        <w:jc w:val="both"/>
        <w:rPr>
          <w:rFonts w:ascii="宋体" w:hAnsi="宋体"/>
          <w:color w:val="auto"/>
          <w:szCs w:val="21"/>
          <w:highlight w:val="none"/>
        </w:rPr>
      </w:pPr>
    </w:p>
    <w:p w14:paraId="1BFC3EF6">
      <w:pPr>
        <w:pStyle w:val="5"/>
        <w:widowControl w:val="0"/>
        <w:overflowPunct w:val="0"/>
        <w:rPr>
          <w:rFonts w:ascii="宋体" w:hAnsi="宋体"/>
          <w:color w:val="auto"/>
          <w:sz w:val="21"/>
          <w:szCs w:val="21"/>
          <w:highlight w:val="none"/>
        </w:rPr>
      </w:pPr>
      <w:bookmarkStart w:id="168" w:name="_Toc23841"/>
      <w:bookmarkStart w:id="169" w:name="_Toc8234"/>
      <w:bookmarkStart w:id="170" w:name="_Toc11264"/>
      <w:r>
        <w:rPr>
          <w:rFonts w:hint="eastAsia" w:ascii="宋体" w:hAnsi="宋体"/>
          <w:color w:val="auto"/>
          <w:sz w:val="21"/>
          <w:szCs w:val="21"/>
          <w:highlight w:val="none"/>
        </w:rPr>
        <w:t>34.质疑</w:t>
      </w:r>
      <w:bookmarkEnd w:id="168"/>
      <w:bookmarkEnd w:id="169"/>
      <w:bookmarkEnd w:id="170"/>
    </w:p>
    <w:p w14:paraId="6CEBA8AD">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270A090F">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提出质疑的投标人应当是参与所质疑项目采购活动的供应商或是在规定的时间内已依法获取其可质疑的招标文件的潜在供应商。</w:t>
      </w:r>
    </w:p>
    <w:p w14:paraId="0C311402">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14:paraId="22DCE5F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投标人在法定质疑期内须一次性提出针对同一采购程序环节的质疑，对同一采购程序环节的二次质疑采购代理机构不予受理。</w:t>
      </w:r>
    </w:p>
    <w:p w14:paraId="4789C925">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投标邀请书）。投标人以电话、传真或电邮形式提交的质疑属于无效质疑。</w:t>
      </w:r>
    </w:p>
    <w:p w14:paraId="75504F6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5289F6F9">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投标人提出质疑应当提交质疑函和必要的证明材料（须注明法律依据），因缺少相关证明材料或证明材料存在不真实而导致的后果由投标人自行承担。</w:t>
      </w:r>
    </w:p>
    <w:p w14:paraId="481E597E">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不涉及对投标人利益造成损害的相关内容，不能作为质疑内容提交。</w:t>
      </w:r>
    </w:p>
    <w:p w14:paraId="6C0F6F4C">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43FD5799">
      <w:pPr>
        <w:widowControl w:val="0"/>
        <w:numPr>
          <w:ilvl w:val="1"/>
          <w:numId w:val="5"/>
        </w:numPr>
        <w:tabs>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投诉人有下列行为之一的，属于虚假、恶意投诉，由财政部门列入不良行为记录名单，禁止其1至3年内参加全国范围内的政府采购活动：</w:t>
      </w:r>
    </w:p>
    <w:p w14:paraId="3FD264E6">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（一）捏造事实;</w:t>
      </w:r>
    </w:p>
    <w:p w14:paraId="4E102F39">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（二）提供虚假材料;</w:t>
      </w:r>
    </w:p>
    <w:p w14:paraId="3B213A64">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（三）以非法手段取得证明材料。证据来源的合法性存在明显疑问，投诉人无法证明其取得方式合法的，视为以非法手段取得证明材料。</w:t>
      </w:r>
    </w:p>
    <w:p w14:paraId="772958C7">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以联合体形式参加采购活动的，其质疑应当由组成联合体的所有投标人共同提出。</w:t>
      </w:r>
    </w:p>
    <w:p w14:paraId="083CD706">
      <w:pPr>
        <w:rPr>
          <w:color w:val="auto"/>
          <w:highlight w:val="none"/>
        </w:rPr>
      </w:pPr>
    </w:p>
    <w:p w14:paraId="090E509B">
      <w:pPr>
        <w:pStyle w:val="4"/>
        <w:spacing w:line="480" w:lineRule="auto"/>
        <w:jc w:val="center"/>
        <w:rPr>
          <w:rFonts w:ascii="宋体" w:hAnsi="宋体"/>
          <w:color w:val="auto"/>
          <w:highlight w:val="none"/>
        </w:rPr>
      </w:pPr>
      <w:bookmarkStart w:id="171" w:name="_Toc24383"/>
      <w:bookmarkStart w:id="172" w:name="_Toc8919"/>
      <w:bookmarkStart w:id="173" w:name="_Toc1751"/>
      <w:r>
        <w:rPr>
          <w:rFonts w:hint="eastAsia" w:ascii="宋体" w:hAnsi="宋体"/>
          <w:color w:val="auto"/>
          <w:highlight w:val="none"/>
        </w:rPr>
        <w:t>第八章其他</w:t>
      </w:r>
      <w:bookmarkEnd w:id="171"/>
      <w:bookmarkEnd w:id="172"/>
      <w:bookmarkEnd w:id="173"/>
    </w:p>
    <w:p w14:paraId="051517A8">
      <w:pPr>
        <w:pStyle w:val="5"/>
        <w:widowControl w:val="0"/>
        <w:overflowPunct w:val="0"/>
        <w:rPr>
          <w:rFonts w:ascii="宋体" w:hAnsi="宋体"/>
          <w:color w:val="auto"/>
          <w:sz w:val="21"/>
          <w:szCs w:val="21"/>
          <w:highlight w:val="none"/>
        </w:rPr>
      </w:pPr>
      <w:bookmarkStart w:id="174" w:name="_Toc10082"/>
      <w:bookmarkStart w:id="175" w:name="_Toc6548"/>
      <w:bookmarkStart w:id="176" w:name="_Toc11348"/>
      <w:r>
        <w:rPr>
          <w:rFonts w:hint="eastAsia" w:ascii="宋体" w:hAnsi="宋体"/>
          <w:color w:val="auto"/>
          <w:sz w:val="21"/>
          <w:szCs w:val="21"/>
          <w:highlight w:val="none"/>
        </w:rPr>
        <w:t>35.招标文件的解释权</w:t>
      </w:r>
      <w:bookmarkEnd w:id="174"/>
      <w:bookmarkEnd w:id="175"/>
      <w:bookmarkEnd w:id="176"/>
    </w:p>
    <w:p w14:paraId="771642B8">
      <w:pPr>
        <w:pStyle w:val="42"/>
        <w:widowControl w:val="0"/>
        <w:numPr>
          <w:ilvl w:val="0"/>
          <w:numId w:val="5"/>
        </w:numPr>
        <w:tabs>
          <w:tab w:val="left" w:pos="907"/>
        </w:tabs>
        <w:adjustRightInd/>
        <w:snapToGrid/>
        <w:ind w:firstLineChars="0"/>
        <w:jc w:val="both"/>
        <w:rPr>
          <w:rFonts w:ascii="宋体" w:hAnsi="宋体"/>
          <w:vanish/>
          <w:color w:val="auto"/>
          <w:szCs w:val="21"/>
          <w:highlight w:val="none"/>
        </w:rPr>
      </w:pPr>
    </w:p>
    <w:p w14:paraId="038B23FF">
      <w:pPr>
        <w:widowControl w:val="0"/>
        <w:numPr>
          <w:ilvl w:val="1"/>
          <w:numId w:val="5"/>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招标文件版本号：广东政通20210611。</w:t>
      </w:r>
    </w:p>
    <w:p w14:paraId="02E4016A">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本招标文件是</w:t>
      </w:r>
      <w:r>
        <w:rPr>
          <w:rFonts w:hint="eastAsia" w:ascii="宋体" w:hAnsi="宋体"/>
          <w:b/>
          <w:bCs/>
          <w:color w:val="auto"/>
          <w:szCs w:val="21"/>
          <w:highlight w:val="none"/>
          <w:lang w:val="en-US" w:eastAsia="zh-CN"/>
        </w:rPr>
        <w:t>参照</w:t>
      </w:r>
      <w:r>
        <w:rPr>
          <w:rFonts w:hint="eastAsia" w:ascii="宋体" w:hAnsi="宋体"/>
          <w:b/>
          <w:bCs/>
          <w:color w:val="auto"/>
          <w:szCs w:val="21"/>
          <w:highlight w:val="none"/>
        </w:rPr>
        <w:t>国家有关法律、法规以及政府采购管理有关规定编制，解释权属本采购代理机构。</w:t>
      </w:r>
    </w:p>
    <w:p w14:paraId="599674C7">
      <w:pPr>
        <w:rPr>
          <w:color w:val="auto"/>
          <w:highlight w:val="none"/>
        </w:rPr>
      </w:pPr>
    </w:p>
    <w:bookmarkEnd w:id="19"/>
    <w:p w14:paraId="175D5BC7">
      <w:pPr>
        <w:jc w:val="center"/>
        <w:rPr>
          <w:color w:val="auto"/>
          <w:highlight w:val="none"/>
        </w:rPr>
      </w:pPr>
      <w:r>
        <w:rPr>
          <w:rFonts w:hint="eastAsia"/>
          <w:color w:val="auto"/>
          <w:highlight w:val="none"/>
        </w:rPr>
        <w:br w:type="page"/>
      </w:r>
    </w:p>
    <w:p w14:paraId="5E54D31F">
      <w:pPr>
        <w:pStyle w:val="3"/>
        <w:spacing w:before="0" w:after="0" w:line="240" w:lineRule="auto"/>
        <w:rPr>
          <w:color w:val="auto"/>
          <w:sz w:val="28"/>
          <w:szCs w:val="28"/>
          <w:highlight w:val="none"/>
        </w:rPr>
      </w:pPr>
      <w:bookmarkStart w:id="177" w:name="_Toc7011"/>
      <w:bookmarkStart w:id="178" w:name="_Toc31854"/>
      <w:bookmarkStart w:id="179" w:name="_Toc19502"/>
      <w:r>
        <w:rPr>
          <w:rFonts w:hint="eastAsia"/>
          <w:color w:val="auto"/>
          <w:sz w:val="28"/>
          <w:szCs w:val="28"/>
          <w:highlight w:val="none"/>
        </w:rPr>
        <w:t>第五部分 用户需求书</w:t>
      </w:r>
      <w:bookmarkEnd w:id="177"/>
      <w:bookmarkEnd w:id="178"/>
      <w:bookmarkEnd w:id="179"/>
    </w:p>
    <w:p w14:paraId="5777C9CF">
      <w:pPr>
        <w:pStyle w:val="4"/>
        <w:jc w:val="center"/>
        <w:rPr>
          <w:rFonts w:ascii="宋体" w:hAnsi="宋体"/>
          <w:color w:val="auto"/>
          <w:highlight w:val="none"/>
        </w:rPr>
      </w:pPr>
      <w:bookmarkStart w:id="180" w:name="_Toc4897"/>
      <w:r>
        <w:rPr>
          <w:rFonts w:hint="eastAsia" w:ascii="宋体" w:hAnsi="宋体"/>
          <w:color w:val="auto"/>
          <w:highlight w:val="none"/>
        </w:rPr>
        <w:t>第一章 商务需求书</w:t>
      </w:r>
      <w:bookmarkEnd w:id="180"/>
      <w:r>
        <w:rPr>
          <w:rFonts w:hint="eastAsia"/>
          <w:b/>
          <w:bCs/>
          <w:color w:val="auto"/>
          <w:sz w:val="28"/>
          <w:szCs w:val="36"/>
          <w:highlight w:val="none"/>
          <w:lang w:eastAsia="zh-CN"/>
        </w:rPr>
        <w:t>（</w:t>
      </w:r>
      <w:r>
        <w:rPr>
          <w:rFonts w:hint="eastAsia"/>
          <w:b/>
          <w:bCs/>
          <w:color w:val="auto"/>
          <w:sz w:val="28"/>
          <w:szCs w:val="36"/>
          <w:highlight w:val="none"/>
          <w:lang w:val="en-US" w:eastAsia="zh-CN"/>
        </w:rPr>
        <w:t>适用于所有采购包</w:t>
      </w:r>
      <w:r>
        <w:rPr>
          <w:rFonts w:hint="eastAsia"/>
          <w:b/>
          <w:bCs/>
          <w:color w:val="auto"/>
          <w:sz w:val="28"/>
          <w:szCs w:val="36"/>
          <w:highlight w:val="none"/>
          <w:lang w:eastAsia="zh-CN"/>
        </w:rPr>
        <w:t>）</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2"/>
        <w:gridCol w:w="1485"/>
        <w:gridCol w:w="6345"/>
      </w:tblGrid>
      <w:tr w14:paraId="5324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406" w:type="pct"/>
            <w:tcBorders>
              <w:top w:val="single" w:color="auto" w:sz="12" w:space="0"/>
              <w:left w:val="single" w:color="auto" w:sz="12" w:space="0"/>
              <w:bottom w:val="single" w:color="auto" w:sz="6" w:space="0"/>
              <w:right w:val="single" w:color="auto" w:sz="6" w:space="0"/>
            </w:tcBorders>
            <w:vAlign w:val="center"/>
          </w:tcPr>
          <w:p w14:paraId="361B6F0D">
            <w:pPr>
              <w:widowControl w:val="0"/>
              <w:spacing w:line="240" w:lineRule="auto"/>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序号</w:t>
            </w:r>
          </w:p>
        </w:tc>
        <w:tc>
          <w:tcPr>
            <w:tcW w:w="871" w:type="pct"/>
            <w:tcBorders>
              <w:top w:val="single" w:color="auto" w:sz="12" w:space="0"/>
              <w:left w:val="single" w:color="auto" w:sz="6" w:space="0"/>
              <w:bottom w:val="single" w:color="auto" w:sz="6" w:space="0"/>
              <w:right w:val="single" w:color="auto" w:sz="6" w:space="0"/>
            </w:tcBorders>
            <w:vAlign w:val="center"/>
          </w:tcPr>
          <w:p w14:paraId="326BC826">
            <w:pPr>
              <w:widowControl w:val="0"/>
              <w:spacing w:line="240" w:lineRule="auto"/>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条款名称</w:t>
            </w:r>
          </w:p>
        </w:tc>
        <w:tc>
          <w:tcPr>
            <w:tcW w:w="3722" w:type="pct"/>
            <w:tcBorders>
              <w:top w:val="single" w:color="auto" w:sz="12" w:space="0"/>
              <w:left w:val="single" w:color="auto" w:sz="6" w:space="0"/>
              <w:bottom w:val="single" w:color="auto" w:sz="6" w:space="0"/>
              <w:right w:val="single" w:color="auto" w:sz="12" w:space="0"/>
            </w:tcBorders>
            <w:vAlign w:val="center"/>
          </w:tcPr>
          <w:p w14:paraId="67C04F1F">
            <w:pPr>
              <w:widowControl w:val="0"/>
              <w:spacing w:line="240" w:lineRule="auto"/>
              <w:ind w:firstLine="422" w:firstLineChars="200"/>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说  明</w:t>
            </w:r>
          </w:p>
        </w:tc>
      </w:tr>
      <w:tr w14:paraId="4C9CE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7D171D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1</w:t>
            </w:r>
          </w:p>
        </w:tc>
        <w:tc>
          <w:tcPr>
            <w:tcW w:w="871" w:type="pct"/>
            <w:tcBorders>
              <w:top w:val="single" w:color="auto" w:sz="6" w:space="0"/>
              <w:left w:val="single" w:color="auto" w:sz="6" w:space="0"/>
              <w:bottom w:val="single" w:color="auto" w:sz="6" w:space="0"/>
              <w:right w:val="single" w:color="auto" w:sz="6" w:space="0"/>
            </w:tcBorders>
            <w:vAlign w:val="center"/>
          </w:tcPr>
          <w:p w14:paraId="4C72400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宋体"/>
                <w:b/>
                <w:bCs/>
                <w:color w:val="auto"/>
                <w:kern w:val="2"/>
                <w:szCs w:val="21"/>
                <w:highlight w:val="none"/>
                <w:lang w:eastAsia="zh-CN"/>
              </w:rPr>
            </w:pPr>
            <w:r>
              <w:rPr>
                <w:rFonts w:hint="eastAsia" w:ascii="宋体" w:hAnsi="宋体"/>
                <w:color w:val="auto"/>
                <w:szCs w:val="21"/>
                <w:highlight w:val="none"/>
                <w:lang w:val="en-US" w:eastAsia="zh-CN"/>
              </w:rPr>
              <w:t>服务期</w:t>
            </w:r>
          </w:p>
        </w:tc>
        <w:tc>
          <w:tcPr>
            <w:tcW w:w="3722" w:type="pct"/>
            <w:tcBorders>
              <w:top w:val="single" w:color="auto" w:sz="6" w:space="0"/>
              <w:left w:val="single" w:color="auto" w:sz="6" w:space="0"/>
              <w:bottom w:val="single" w:color="auto" w:sz="6" w:space="0"/>
              <w:right w:val="single" w:color="auto" w:sz="12" w:space="0"/>
            </w:tcBorders>
            <w:vAlign w:val="center"/>
          </w:tcPr>
          <w:p w14:paraId="1A90482F">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自合同签订并生效之日起1年。</w:t>
            </w:r>
          </w:p>
        </w:tc>
      </w:tr>
      <w:tr w14:paraId="50FCB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8"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78E96BE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2</w:t>
            </w:r>
          </w:p>
        </w:tc>
        <w:tc>
          <w:tcPr>
            <w:tcW w:w="871" w:type="pct"/>
            <w:tcBorders>
              <w:top w:val="single" w:color="auto" w:sz="6" w:space="0"/>
              <w:left w:val="single" w:color="auto" w:sz="6" w:space="0"/>
              <w:bottom w:val="single" w:color="auto" w:sz="6" w:space="0"/>
              <w:right w:val="single" w:color="auto" w:sz="6" w:space="0"/>
            </w:tcBorders>
            <w:vAlign w:val="center"/>
          </w:tcPr>
          <w:p w14:paraId="347AE37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付款方式</w:t>
            </w:r>
          </w:p>
        </w:tc>
        <w:tc>
          <w:tcPr>
            <w:tcW w:w="3722" w:type="pct"/>
            <w:tcBorders>
              <w:top w:val="single" w:color="auto" w:sz="6" w:space="0"/>
              <w:left w:val="single" w:color="auto" w:sz="6" w:space="0"/>
              <w:bottom w:val="single" w:color="auto" w:sz="6" w:space="0"/>
              <w:right w:val="single" w:color="auto" w:sz="12" w:space="0"/>
            </w:tcBorders>
            <w:vAlign w:val="center"/>
          </w:tcPr>
          <w:p w14:paraId="73877751">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default" w:ascii="宋体" w:hAnsi="宋体" w:eastAsia="宋体" w:cs="宋体"/>
                <w:color w:val="auto"/>
                <w:kern w:val="2"/>
                <w:szCs w:val="21"/>
                <w:highlight w:val="none"/>
                <w:lang w:val="en-US" w:eastAsia="zh-CN"/>
              </w:rPr>
              <w:t>1、每月结算一次，采购人和中标人按定价说明确定供货价格，结算公式：结算价格＝结算基准价×（1-中标下浮率）×实际供货数量-考核表扣款，中标人完成当月供货订单后，次月10号前根据上月的收货凭证与采购人对上月货款、考核表进行确认，并向采购人提出付款申请及开具相应数额的含税发票。采购人收到申请核对无误后在15个工作日内结清上月所有货款。</w:t>
            </w:r>
          </w:p>
          <w:p w14:paraId="7743281C">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default" w:ascii="宋体" w:hAnsi="宋体" w:eastAsia="宋体" w:cs="宋体"/>
                <w:color w:val="auto"/>
                <w:kern w:val="2"/>
                <w:szCs w:val="21"/>
                <w:highlight w:val="none"/>
                <w:lang w:val="en-US" w:eastAsia="zh-CN"/>
              </w:rPr>
              <w:t>2、收款方、发票的销售方、合同乙方均必须与中标人名称一致。</w:t>
            </w:r>
          </w:p>
          <w:p w14:paraId="092B6F14">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default" w:ascii="宋体" w:hAnsi="宋体" w:eastAsia="宋体" w:cs="宋体"/>
                <w:color w:val="auto"/>
                <w:kern w:val="2"/>
                <w:szCs w:val="21"/>
                <w:highlight w:val="none"/>
                <w:lang w:val="en-US" w:eastAsia="zh-CN"/>
              </w:rPr>
              <w:t>3、如因政策或付款流程影响，拨款未能及时到位，采购人不承担逾期付款的责任，且中标人不得以此为由而不履行本合同约定的义务。</w:t>
            </w:r>
          </w:p>
        </w:tc>
      </w:tr>
      <w:tr w14:paraId="6E925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0BBB847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3</w:t>
            </w:r>
          </w:p>
        </w:tc>
        <w:tc>
          <w:tcPr>
            <w:tcW w:w="871" w:type="pct"/>
            <w:tcBorders>
              <w:top w:val="single" w:color="auto" w:sz="6" w:space="0"/>
              <w:left w:val="single" w:color="auto" w:sz="6" w:space="0"/>
              <w:bottom w:val="single" w:color="auto" w:sz="6" w:space="0"/>
              <w:right w:val="single" w:color="auto" w:sz="6" w:space="0"/>
            </w:tcBorders>
            <w:vAlign w:val="center"/>
          </w:tcPr>
          <w:p w14:paraId="6A3F4F1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olor w:val="auto"/>
                <w:szCs w:val="21"/>
                <w:highlight w:val="none"/>
              </w:rPr>
            </w:pPr>
            <w:r>
              <w:rPr>
                <w:rFonts w:hint="eastAsia" w:ascii="宋体" w:hAnsi="宋体"/>
                <w:color w:val="auto"/>
                <w:szCs w:val="21"/>
                <w:highlight w:val="none"/>
                <w:lang w:val="en-US" w:eastAsia="zh-CN"/>
              </w:rPr>
              <w:t>服务</w:t>
            </w:r>
            <w:r>
              <w:rPr>
                <w:rFonts w:hint="eastAsia" w:ascii="宋体" w:hAnsi="宋体" w:eastAsia="宋体"/>
                <w:color w:val="auto"/>
                <w:szCs w:val="21"/>
                <w:highlight w:val="none"/>
              </w:rPr>
              <w:t>地点</w:t>
            </w:r>
          </w:p>
        </w:tc>
        <w:tc>
          <w:tcPr>
            <w:tcW w:w="3722" w:type="pct"/>
            <w:tcBorders>
              <w:top w:val="single" w:color="auto" w:sz="6" w:space="0"/>
              <w:left w:val="single" w:color="auto" w:sz="6" w:space="0"/>
              <w:bottom w:val="single" w:color="auto" w:sz="6" w:space="0"/>
              <w:right w:val="single" w:color="auto" w:sz="12" w:space="0"/>
            </w:tcBorders>
            <w:vAlign w:val="center"/>
          </w:tcPr>
          <w:p w14:paraId="7173ED4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ascii="宋体" w:hAnsi="宋体" w:cs="宋体"/>
                <w:color w:val="auto"/>
                <w:kern w:val="2"/>
                <w:szCs w:val="21"/>
                <w:highlight w:val="none"/>
              </w:rPr>
            </w:pPr>
            <w:r>
              <w:rPr>
                <w:rFonts w:hint="eastAsia" w:ascii="宋体" w:hAnsi="宋体" w:cs="宋体"/>
                <w:color w:val="auto"/>
                <w:kern w:val="2"/>
                <w:szCs w:val="21"/>
                <w:highlight w:val="none"/>
              </w:rPr>
              <w:t>东莞市寮步华衍学校</w:t>
            </w:r>
          </w:p>
        </w:tc>
      </w:tr>
      <w:tr w14:paraId="775DC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8A3FF6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4</w:t>
            </w:r>
          </w:p>
        </w:tc>
        <w:tc>
          <w:tcPr>
            <w:tcW w:w="871" w:type="pct"/>
            <w:tcBorders>
              <w:top w:val="single" w:color="auto" w:sz="6" w:space="0"/>
              <w:left w:val="single" w:color="auto" w:sz="6" w:space="0"/>
              <w:bottom w:val="single" w:color="auto" w:sz="6" w:space="0"/>
              <w:right w:val="single" w:color="auto" w:sz="6" w:space="0"/>
            </w:tcBorders>
            <w:vAlign w:val="center"/>
          </w:tcPr>
          <w:p w14:paraId="163CC7F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olor w:val="auto"/>
                <w:szCs w:val="21"/>
                <w:highlight w:val="none"/>
                <w:lang w:val="en-US" w:eastAsia="zh-CN"/>
              </w:rPr>
            </w:pPr>
            <w:r>
              <w:rPr>
                <w:rFonts w:hint="eastAsia" w:ascii="宋体" w:hAnsi="宋体" w:eastAsia="宋体" w:cs="宋体"/>
                <w:color w:val="auto"/>
                <w:sz w:val="21"/>
                <w:szCs w:val="21"/>
                <w:highlight w:val="none"/>
                <w:lang w:val="en-US" w:eastAsia="zh-CN"/>
              </w:rPr>
              <w:t>定价</w:t>
            </w:r>
            <w:r>
              <w:rPr>
                <w:rFonts w:hint="eastAsia" w:ascii="宋体" w:hAnsi="宋体" w:eastAsia="宋体" w:cs="宋体"/>
                <w:color w:val="auto"/>
                <w:sz w:val="21"/>
                <w:szCs w:val="21"/>
                <w:highlight w:val="none"/>
              </w:rPr>
              <w:t>说明</w:t>
            </w:r>
          </w:p>
        </w:tc>
        <w:tc>
          <w:tcPr>
            <w:tcW w:w="3722" w:type="pct"/>
            <w:tcBorders>
              <w:top w:val="single" w:color="auto" w:sz="6" w:space="0"/>
              <w:left w:val="single" w:color="auto" w:sz="6" w:space="0"/>
              <w:bottom w:val="single" w:color="auto" w:sz="6" w:space="0"/>
              <w:right w:val="single" w:color="auto" w:sz="12" w:space="0"/>
            </w:tcBorders>
            <w:vAlign w:val="center"/>
          </w:tcPr>
          <w:p w14:paraId="17F4DC17">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（1）结算基准价：采购人与中标人双方根据“基准价的定价原则及周期”的要求确定结算基准价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参考供货当前时段东莞市发展和改革局公布同期“广东省菜篮子价格监测表”中最新一期的“东莞市菜篮子价格监测表”的价格，若“广东省菜篮子价格监测表”无采购人所需的货品，则采购人和中标人双方共同在就近</w:t>
            </w:r>
            <w:r>
              <w:rPr>
                <w:rFonts w:hint="eastAsia" w:ascii="宋体" w:hAnsi="宋体" w:eastAsia="宋体" w:cs="宋体"/>
                <w:color w:val="auto"/>
                <w:sz w:val="21"/>
                <w:szCs w:val="21"/>
                <w:highlight w:val="none"/>
                <w:lang w:val="en-US" w:eastAsia="zh-CN"/>
              </w:rPr>
              <w:t>三个</w:t>
            </w:r>
            <w:r>
              <w:rPr>
                <w:rFonts w:hint="eastAsia" w:ascii="宋体" w:hAnsi="宋体" w:eastAsia="宋体" w:cs="宋体"/>
                <w:color w:val="auto"/>
                <w:sz w:val="21"/>
                <w:szCs w:val="21"/>
                <w:highlight w:val="none"/>
              </w:rPr>
              <w:t>市场参考同类产品价格的平均价作为</w:t>
            </w:r>
            <w:r>
              <w:rPr>
                <w:rFonts w:hint="eastAsia" w:ascii="宋体" w:hAnsi="宋体" w:eastAsia="宋体" w:cs="宋体"/>
                <w:color w:val="auto"/>
                <w:sz w:val="21"/>
                <w:szCs w:val="21"/>
                <w:highlight w:val="none"/>
                <w:lang w:val="en-US" w:eastAsia="zh-CN"/>
              </w:rPr>
              <w:t>结算</w:t>
            </w:r>
            <w:r>
              <w:rPr>
                <w:rFonts w:hint="eastAsia" w:ascii="宋体" w:hAnsi="宋体" w:eastAsia="宋体" w:cs="宋体"/>
                <w:color w:val="auto"/>
                <w:sz w:val="21"/>
                <w:szCs w:val="21"/>
                <w:highlight w:val="none"/>
              </w:rPr>
              <w:t>基准价，确定供货价格。</w:t>
            </w:r>
          </w:p>
          <w:p w14:paraId="3987F29D">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）定价周期：</w:t>
            </w:r>
            <w:r>
              <w:rPr>
                <w:rFonts w:hint="eastAsia" w:ascii="宋体" w:hAnsi="宋体" w:cs="宋体"/>
                <w:color w:val="auto"/>
                <w:sz w:val="21"/>
                <w:szCs w:val="21"/>
                <w:highlight w:val="none"/>
                <w:lang w:val="en-US" w:eastAsia="zh-CN"/>
              </w:rPr>
              <w:t>原则上采购包A</w:t>
            </w:r>
            <w:r>
              <w:rPr>
                <w:rFonts w:hint="eastAsia" w:ascii="宋体" w:hAnsi="宋体" w:eastAsia="宋体" w:cs="宋体"/>
                <w:color w:val="auto"/>
                <w:sz w:val="21"/>
                <w:szCs w:val="21"/>
                <w:highlight w:val="none"/>
              </w:rPr>
              <w:t>每</w:t>
            </w:r>
            <w:r>
              <w:rPr>
                <w:rFonts w:hint="eastAsia" w:ascii="宋体" w:hAnsi="宋体" w:cs="宋体"/>
                <w:color w:val="auto"/>
                <w:sz w:val="21"/>
                <w:szCs w:val="21"/>
                <w:highlight w:val="none"/>
                <w:lang w:val="en-US" w:eastAsia="zh-CN"/>
              </w:rPr>
              <w:t>两周</w:t>
            </w:r>
            <w:r>
              <w:rPr>
                <w:rFonts w:hint="eastAsia" w:ascii="宋体" w:hAnsi="宋体" w:eastAsia="宋体" w:cs="宋体"/>
                <w:color w:val="auto"/>
                <w:sz w:val="21"/>
                <w:szCs w:val="21"/>
                <w:highlight w:val="none"/>
              </w:rPr>
              <w:t>更新一次，</w:t>
            </w:r>
            <w:r>
              <w:rPr>
                <w:rFonts w:hint="eastAsia" w:ascii="宋体" w:hAnsi="宋体" w:cs="宋体"/>
                <w:color w:val="auto"/>
                <w:sz w:val="21"/>
                <w:szCs w:val="21"/>
                <w:highlight w:val="none"/>
                <w:lang w:val="en-US" w:eastAsia="zh-CN"/>
              </w:rPr>
              <w:t>采购包B、采购包C以及采购包D</w:t>
            </w:r>
            <w:r>
              <w:rPr>
                <w:rFonts w:hint="eastAsia" w:ascii="宋体" w:hAnsi="宋体" w:eastAsia="宋体" w:cs="宋体"/>
                <w:color w:val="auto"/>
                <w:sz w:val="21"/>
                <w:szCs w:val="21"/>
                <w:highlight w:val="none"/>
              </w:rPr>
              <w:t>每</w:t>
            </w:r>
            <w:r>
              <w:rPr>
                <w:rFonts w:hint="eastAsia" w:ascii="宋体" w:hAnsi="宋体" w:cs="宋体"/>
                <w:color w:val="auto"/>
                <w:sz w:val="21"/>
                <w:szCs w:val="21"/>
                <w:highlight w:val="none"/>
                <w:lang w:val="en-US" w:eastAsia="zh-CN"/>
              </w:rPr>
              <w:t>半年</w:t>
            </w:r>
            <w:r>
              <w:rPr>
                <w:rFonts w:hint="eastAsia" w:ascii="宋体" w:hAnsi="宋体" w:eastAsia="宋体" w:cs="宋体"/>
                <w:color w:val="auto"/>
                <w:sz w:val="21"/>
                <w:szCs w:val="21"/>
                <w:highlight w:val="none"/>
              </w:rPr>
              <w:t>更新一次</w:t>
            </w:r>
            <w:r>
              <w:rPr>
                <w:rFonts w:hint="eastAsia" w:ascii="宋体" w:hAnsi="宋体" w:cs="宋体"/>
                <w:color w:val="auto"/>
                <w:sz w:val="21"/>
                <w:szCs w:val="21"/>
                <w:highlight w:val="none"/>
                <w:lang w:eastAsia="zh-CN"/>
              </w:rPr>
              <w:t>，具体定价周期时间以采购人书面通知。</w:t>
            </w:r>
            <w:r>
              <w:rPr>
                <w:rFonts w:hint="eastAsia" w:ascii="宋体" w:hAnsi="宋体" w:eastAsia="宋体" w:cs="宋体"/>
                <w:color w:val="auto"/>
                <w:sz w:val="21"/>
                <w:szCs w:val="21"/>
                <w:highlight w:val="none"/>
              </w:rPr>
              <w:t>中标人</w:t>
            </w:r>
            <w:r>
              <w:rPr>
                <w:rFonts w:hint="eastAsia" w:ascii="宋体" w:hAnsi="宋体" w:cs="宋体"/>
                <w:color w:val="auto"/>
                <w:sz w:val="21"/>
                <w:szCs w:val="21"/>
                <w:highlight w:val="none"/>
                <w:lang w:val="en-US" w:eastAsia="zh-CN"/>
              </w:rPr>
              <w:t>收到采购人书面通知后将</w:t>
            </w:r>
            <w:r>
              <w:rPr>
                <w:rFonts w:hint="eastAsia" w:ascii="宋体" w:hAnsi="宋体" w:eastAsia="宋体" w:cs="宋体"/>
                <w:color w:val="auto"/>
                <w:sz w:val="21"/>
                <w:szCs w:val="21"/>
                <w:highlight w:val="none"/>
              </w:rPr>
              <w:t>报价清单给采购人审核，双方签字后生效。</w:t>
            </w:r>
          </w:p>
          <w:p w14:paraId="466B4366">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）若遇台风、暴雨等意外原因造成的个别品种价格需临时调整，应通知采购人，并征得采购人同意后方可调整，每次送货按通知价格计算。</w:t>
            </w:r>
          </w:p>
        </w:tc>
      </w:tr>
      <w:tr w14:paraId="687F1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CE758F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5</w:t>
            </w:r>
          </w:p>
        </w:tc>
        <w:tc>
          <w:tcPr>
            <w:tcW w:w="871" w:type="pct"/>
            <w:tcBorders>
              <w:top w:val="single" w:color="auto" w:sz="6" w:space="0"/>
              <w:left w:val="single" w:color="auto" w:sz="6" w:space="0"/>
              <w:bottom w:val="single" w:color="auto" w:sz="6" w:space="0"/>
              <w:right w:val="single" w:color="auto" w:sz="6" w:space="0"/>
            </w:tcBorders>
            <w:vAlign w:val="center"/>
          </w:tcPr>
          <w:p w14:paraId="3B8AD4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cs="宋体"/>
                <w:color w:val="auto"/>
                <w:sz w:val="21"/>
                <w:szCs w:val="21"/>
                <w:highlight w:val="none"/>
                <w:lang w:val="en-US" w:eastAsia="zh-CN"/>
              </w:rPr>
              <w:t>报价要求</w:t>
            </w:r>
          </w:p>
        </w:tc>
        <w:tc>
          <w:tcPr>
            <w:tcW w:w="3722" w:type="pct"/>
            <w:tcBorders>
              <w:top w:val="single" w:color="auto" w:sz="6" w:space="0"/>
              <w:left w:val="single" w:color="auto" w:sz="6" w:space="0"/>
              <w:bottom w:val="single" w:color="auto" w:sz="6" w:space="0"/>
              <w:right w:val="single" w:color="auto" w:sz="12" w:space="0"/>
            </w:tcBorders>
            <w:vAlign w:val="center"/>
          </w:tcPr>
          <w:p w14:paraId="33409773">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ascii="宋体" w:hAnsi="宋体" w:cs="宋体"/>
                <w:b/>
                <w:color w:val="auto"/>
                <w:kern w:val="2"/>
                <w:szCs w:val="21"/>
                <w:highlight w:val="none"/>
              </w:rPr>
            </w:pPr>
            <w:r>
              <w:rPr>
                <w:rFonts w:hint="eastAsia" w:ascii="宋体" w:hAnsi="宋体" w:eastAsia="宋体" w:cs="宋体"/>
                <w:color w:val="auto"/>
                <w:sz w:val="21"/>
                <w:szCs w:val="21"/>
                <w:highlight w:val="none"/>
              </w:rPr>
              <w:t>本项目采用下浮率报价，下浮率有效报价范围：100%≥下浮率≥0%，下浮率必须为固定的报价，且所报的下浮率应当适用于每种</w:t>
            </w:r>
            <w:r>
              <w:rPr>
                <w:rFonts w:hint="eastAsia" w:ascii="宋体" w:hAnsi="宋体" w:eastAsia="宋体" w:cs="宋体"/>
                <w:color w:val="auto"/>
                <w:sz w:val="21"/>
                <w:szCs w:val="21"/>
                <w:highlight w:val="none"/>
                <w:lang w:val="en-US" w:eastAsia="zh-CN"/>
              </w:rPr>
              <w:t>产品</w:t>
            </w:r>
            <w:r>
              <w:rPr>
                <w:rFonts w:hint="eastAsia" w:ascii="宋体" w:hAnsi="宋体" w:eastAsia="宋体" w:cs="宋体"/>
                <w:color w:val="auto"/>
                <w:sz w:val="21"/>
                <w:szCs w:val="21"/>
                <w:highlight w:val="none"/>
              </w:rPr>
              <w:t>，中标下浮率为该供应商的投标下浮率，中标人应考虑经济增长物价上涨及自身成本报价，不在此报价范围的，视为无效报价，作无效投标处理。下浮率报价高于50%时，供应商须在投标文件中作出成本分析说明并提供相关证明材料（如参与本项目所有人员工资、营运成本、各种费用等）。高于50%的报价须重点审核。评审小组认为供应商的报价明显不合理或者低于成本，有可能影响货物及服务质量和不能诚信履约的，或未按要求提交成本分析说明相关证明文件，评审小组将视该投标人的投标文件未实质上响应采购文件要求，为无效响应。</w:t>
            </w:r>
          </w:p>
        </w:tc>
      </w:tr>
      <w:tr w14:paraId="03EA29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406" w:type="pct"/>
            <w:tcBorders>
              <w:top w:val="single" w:color="auto" w:sz="6" w:space="0"/>
              <w:left w:val="single" w:color="auto" w:sz="12" w:space="0"/>
              <w:bottom w:val="single" w:color="auto" w:sz="6" w:space="0"/>
              <w:right w:val="single" w:color="auto" w:sz="6" w:space="0"/>
            </w:tcBorders>
            <w:shd w:val="clear" w:color="auto" w:fill="auto"/>
            <w:vAlign w:val="center"/>
          </w:tcPr>
          <w:p w14:paraId="6BF6872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eastAsia="宋体" w:cstheme="minorBidi"/>
                <w:color w:val="auto"/>
                <w:sz w:val="21"/>
                <w:szCs w:val="21"/>
                <w:highlight w:val="none"/>
                <w:lang w:val="en-US" w:eastAsia="zh-CN" w:bidi="ar-SA"/>
              </w:rPr>
            </w:pPr>
            <w:r>
              <w:rPr>
                <w:rFonts w:hint="eastAsia" w:ascii="宋体" w:hAnsi="宋体"/>
                <w:color w:val="auto"/>
                <w:szCs w:val="21"/>
                <w:highlight w:val="none"/>
                <w:lang w:val="en-US" w:eastAsia="zh-CN"/>
              </w:rPr>
              <w:t>6</w:t>
            </w:r>
          </w:p>
        </w:tc>
        <w:tc>
          <w:tcPr>
            <w:tcW w:w="871" w:type="pct"/>
            <w:tcBorders>
              <w:top w:val="single" w:color="auto" w:sz="6" w:space="0"/>
              <w:left w:val="single" w:color="auto" w:sz="6" w:space="0"/>
              <w:bottom w:val="single" w:color="auto" w:sz="6" w:space="0"/>
              <w:right w:val="single" w:color="auto" w:sz="6" w:space="0"/>
            </w:tcBorders>
            <w:vAlign w:val="center"/>
          </w:tcPr>
          <w:p w14:paraId="1263991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bidi="ar-SA"/>
              </w:rPr>
              <w:t>保质期要求</w:t>
            </w:r>
          </w:p>
        </w:tc>
        <w:tc>
          <w:tcPr>
            <w:tcW w:w="3722" w:type="pct"/>
            <w:tcBorders>
              <w:top w:val="single" w:color="auto" w:sz="6" w:space="0"/>
              <w:left w:val="single" w:color="auto" w:sz="6" w:space="0"/>
              <w:bottom w:val="single" w:color="auto" w:sz="6" w:space="0"/>
              <w:right w:val="single" w:color="auto" w:sz="12" w:space="0"/>
            </w:tcBorders>
            <w:vAlign w:val="center"/>
          </w:tcPr>
          <w:p w14:paraId="4211E78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保质期超过15日的，投标人拟提供货品的剩余保质期不得短于货品标记保质期的75%；保质期低于或等于15日的，投标人拟提供货品必须为送货当日或前一日制作的货品。</w:t>
            </w:r>
          </w:p>
        </w:tc>
      </w:tr>
      <w:tr w14:paraId="777C2B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406" w:type="pct"/>
            <w:tcBorders>
              <w:top w:val="single" w:color="auto" w:sz="6" w:space="0"/>
              <w:left w:val="single" w:color="auto" w:sz="12" w:space="0"/>
              <w:bottom w:val="single" w:color="auto" w:sz="6" w:space="0"/>
              <w:right w:val="single" w:color="auto" w:sz="6" w:space="0"/>
            </w:tcBorders>
            <w:shd w:val="clear" w:color="auto" w:fill="auto"/>
            <w:vAlign w:val="center"/>
          </w:tcPr>
          <w:p w14:paraId="29E3E1B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stheme="minorBidi"/>
                <w:color w:val="auto"/>
                <w:sz w:val="21"/>
                <w:szCs w:val="21"/>
                <w:highlight w:val="none"/>
                <w:lang w:val="en-US" w:eastAsia="zh-CN" w:bidi="ar-SA"/>
              </w:rPr>
            </w:pPr>
            <w:r>
              <w:rPr>
                <w:rFonts w:hint="eastAsia" w:ascii="宋体" w:hAnsi="宋体"/>
                <w:color w:val="auto"/>
                <w:szCs w:val="21"/>
                <w:highlight w:val="none"/>
                <w:lang w:val="en-US" w:eastAsia="zh-CN"/>
              </w:rPr>
              <w:t>7</w:t>
            </w:r>
          </w:p>
        </w:tc>
        <w:tc>
          <w:tcPr>
            <w:tcW w:w="871" w:type="pct"/>
            <w:tcBorders>
              <w:top w:val="single" w:color="auto" w:sz="6" w:space="0"/>
              <w:left w:val="single" w:color="auto" w:sz="6" w:space="0"/>
              <w:bottom w:val="single" w:color="auto" w:sz="6" w:space="0"/>
              <w:right w:val="single" w:color="auto" w:sz="6" w:space="0"/>
            </w:tcBorders>
            <w:vAlign w:val="center"/>
          </w:tcPr>
          <w:p w14:paraId="403FC8F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1"/>
                <w:szCs w:val="21"/>
                <w:highlight w:val="none"/>
                <w:lang w:val="en-US" w:eastAsia="zh-CN"/>
              </w:rPr>
            </w:pPr>
            <w:r>
              <w:rPr>
                <w:rFonts w:ascii="宋体" w:hAnsi="宋体" w:eastAsia="宋体"/>
                <w:color w:val="auto"/>
                <w:szCs w:val="21"/>
                <w:highlight w:val="none"/>
              </w:rPr>
              <w:t>合同条款</w:t>
            </w:r>
          </w:p>
        </w:tc>
        <w:tc>
          <w:tcPr>
            <w:tcW w:w="3722" w:type="pct"/>
            <w:tcBorders>
              <w:top w:val="single" w:color="auto" w:sz="6" w:space="0"/>
              <w:left w:val="single" w:color="auto" w:sz="6" w:space="0"/>
              <w:bottom w:val="single" w:color="auto" w:sz="6" w:space="0"/>
              <w:right w:val="single" w:color="auto" w:sz="12" w:space="0"/>
            </w:tcBorders>
            <w:vAlign w:val="center"/>
          </w:tcPr>
          <w:p w14:paraId="21B777D1">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olor w:val="auto"/>
                <w:szCs w:val="21"/>
                <w:highlight w:val="none"/>
              </w:rPr>
              <w:t>供应商</w:t>
            </w:r>
            <w:r>
              <w:rPr>
                <w:rFonts w:ascii="宋体" w:hAnsi="宋体" w:eastAsia="宋体"/>
                <w:color w:val="auto"/>
                <w:szCs w:val="21"/>
                <w:highlight w:val="none"/>
              </w:rPr>
              <w:t>实质响应合同各条款。</w:t>
            </w:r>
          </w:p>
        </w:tc>
      </w:tr>
      <w:tr w14:paraId="607F29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062D6A1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8</w:t>
            </w:r>
          </w:p>
        </w:tc>
        <w:tc>
          <w:tcPr>
            <w:tcW w:w="871" w:type="pct"/>
            <w:tcBorders>
              <w:top w:val="single" w:color="auto" w:sz="6" w:space="0"/>
              <w:left w:val="single" w:color="auto" w:sz="6" w:space="0"/>
              <w:bottom w:val="single" w:color="auto" w:sz="6" w:space="0"/>
              <w:right w:val="single" w:color="auto" w:sz="6" w:space="0"/>
            </w:tcBorders>
            <w:vAlign w:val="center"/>
          </w:tcPr>
          <w:p w14:paraId="22DD3DC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中标单位</w:t>
            </w:r>
            <w:r>
              <w:rPr>
                <w:rFonts w:hint="eastAsia" w:ascii="宋体" w:hAnsi="宋体" w:eastAsia="宋体" w:cs="宋体"/>
                <w:color w:val="auto"/>
                <w:sz w:val="21"/>
                <w:szCs w:val="21"/>
                <w:highlight w:val="none"/>
              </w:rPr>
              <w:t>数量</w:t>
            </w:r>
          </w:p>
        </w:tc>
        <w:tc>
          <w:tcPr>
            <w:tcW w:w="3722" w:type="pct"/>
            <w:tcBorders>
              <w:top w:val="single" w:color="auto" w:sz="6" w:space="0"/>
              <w:left w:val="single" w:color="auto" w:sz="6" w:space="0"/>
              <w:bottom w:val="single" w:color="auto" w:sz="6" w:space="0"/>
              <w:right w:val="single" w:color="auto" w:sz="12" w:space="0"/>
            </w:tcBorders>
            <w:vAlign w:val="center"/>
          </w:tcPr>
          <w:p w14:paraId="0A525251">
            <w:pPr>
              <w:keepNext w:val="0"/>
              <w:keepLines w:val="0"/>
              <w:pageBreakBefore w:val="0"/>
              <w:widowControl/>
              <w:kinsoku/>
              <w:wordWrap/>
              <w:overflowPunct/>
              <w:topLinePunct w:val="0"/>
              <w:autoSpaceDE/>
              <w:autoSpaceDN/>
              <w:bidi w:val="0"/>
              <w:adjustRightInd/>
              <w:snapToGrid/>
              <w:spacing w:after="0" w:line="240" w:lineRule="auto"/>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每个</w:t>
            </w:r>
            <w:r>
              <w:rPr>
                <w:rFonts w:hint="eastAsia" w:ascii="宋体" w:hAnsi="宋体" w:cs="宋体"/>
                <w:color w:val="auto"/>
                <w:sz w:val="21"/>
                <w:szCs w:val="21"/>
                <w:highlight w:val="none"/>
                <w:lang w:val="en-US" w:eastAsia="zh-CN"/>
              </w:rPr>
              <w:t>采购包</w:t>
            </w:r>
            <w:r>
              <w:rPr>
                <w:rFonts w:hint="eastAsia" w:ascii="宋体" w:hAnsi="宋体" w:eastAsia="宋体" w:cs="宋体"/>
                <w:color w:val="auto"/>
                <w:sz w:val="21"/>
                <w:szCs w:val="21"/>
                <w:highlight w:val="none"/>
                <w:lang w:val="en-US" w:eastAsia="zh-CN"/>
              </w:rPr>
              <w:t>中标单位数量为</w:t>
            </w:r>
            <w:r>
              <w:rPr>
                <w:rFonts w:hint="eastAsia" w:ascii="宋体" w:hAnsi="宋体" w:eastAsia="宋体" w:cs="宋体"/>
                <w:color w:val="auto"/>
                <w:sz w:val="21"/>
                <w:szCs w:val="21"/>
                <w:highlight w:val="none"/>
              </w:rPr>
              <w:t>1家</w:t>
            </w:r>
            <w:r>
              <w:rPr>
                <w:rFonts w:hint="eastAsia" w:ascii="宋体" w:hAnsi="宋体" w:eastAsia="宋体" w:cs="宋体"/>
                <w:color w:val="auto"/>
                <w:sz w:val="21"/>
                <w:szCs w:val="21"/>
                <w:highlight w:val="none"/>
                <w:lang w:eastAsia="zh-CN"/>
              </w:rPr>
              <w:t>。</w:t>
            </w:r>
          </w:p>
        </w:tc>
      </w:tr>
    </w:tbl>
    <w:p w14:paraId="6B185285">
      <w:pPr>
        <w:rPr>
          <w:b/>
          <w:bCs/>
          <w:color w:val="auto"/>
          <w:sz w:val="28"/>
          <w:szCs w:val="32"/>
          <w:highlight w:val="none"/>
        </w:rPr>
      </w:pPr>
      <w:r>
        <w:rPr>
          <w:rFonts w:hint="eastAsia"/>
          <w:b/>
          <w:bCs/>
          <w:color w:val="auto"/>
          <w:sz w:val="28"/>
          <w:szCs w:val="32"/>
          <w:highlight w:val="none"/>
        </w:rPr>
        <w:br w:type="page"/>
      </w:r>
    </w:p>
    <w:p w14:paraId="576A1F2F">
      <w:pPr>
        <w:pStyle w:val="4"/>
        <w:jc w:val="center"/>
        <w:rPr>
          <w:color w:val="auto"/>
          <w:highlight w:val="none"/>
        </w:rPr>
      </w:pPr>
      <w:bookmarkStart w:id="181" w:name="_Toc1136"/>
      <w:r>
        <w:rPr>
          <w:rFonts w:hint="eastAsia"/>
          <w:color w:val="auto"/>
          <w:highlight w:val="none"/>
        </w:rPr>
        <w:t>第二章</w:t>
      </w:r>
      <w:r>
        <w:rPr>
          <w:rFonts w:hint="eastAsia"/>
          <w:color w:val="auto"/>
          <w:highlight w:val="none"/>
          <w:lang w:val="en-US" w:eastAsia="zh-CN"/>
        </w:rPr>
        <w:t xml:space="preserve"> </w:t>
      </w:r>
      <w:r>
        <w:rPr>
          <w:rFonts w:hint="eastAsia" w:ascii="宋体" w:hAnsi="宋体"/>
          <w:color w:val="auto"/>
          <w:highlight w:val="none"/>
        </w:rPr>
        <w:t>技术需求书</w:t>
      </w:r>
      <w:bookmarkEnd w:id="181"/>
    </w:p>
    <w:p w14:paraId="53ABE340">
      <w:pPr>
        <w:pStyle w:val="42"/>
        <w:numPr>
          <w:ilvl w:val="0"/>
          <w:numId w:val="0"/>
        </w:numPr>
        <w:spacing w:after="0" w:line="360" w:lineRule="auto"/>
        <w:ind w:left="1140" w:leftChars="0" w:hanging="720" w:firstLineChars="0"/>
        <w:rPr>
          <w:rFonts w:hint="default" w:ascii="宋体" w:hAnsi="宋体" w:eastAsia="宋体" w:cs="Times New Roman"/>
          <w:color w:val="auto"/>
          <w:sz w:val="21"/>
          <w:szCs w:val="21"/>
          <w:highlight w:val="none"/>
          <w:lang w:val="en-US" w:eastAsia="zh-CN"/>
        </w:rPr>
      </w:pPr>
      <w:bookmarkStart w:id="182" w:name="_Toc12485"/>
      <w:bookmarkStart w:id="183" w:name="_Toc21448"/>
      <w:r>
        <w:rPr>
          <w:rFonts w:hint="default" w:ascii="宋体" w:hAnsi="宋体" w:eastAsia="宋体" w:cs="Times New Roman"/>
          <w:color w:val="auto"/>
          <w:sz w:val="21"/>
          <w:szCs w:val="21"/>
          <w:highlight w:val="none"/>
          <w:lang w:val="en-US" w:eastAsia="zh-CN" w:bidi="ar-SA"/>
        </w:rPr>
        <w:t>一、</w:t>
      </w:r>
      <w:r>
        <w:rPr>
          <w:rFonts w:hint="eastAsia" w:ascii="宋体" w:hAnsi="宋体" w:cs="宋体"/>
          <w:b/>
          <w:color w:val="auto"/>
          <w:sz w:val="24"/>
          <w:szCs w:val="24"/>
          <w:highlight w:val="none"/>
          <w:lang w:val="en-US" w:eastAsia="zh-CN"/>
        </w:rPr>
        <w:t>项目概况（适用于所有采购包）</w:t>
      </w:r>
    </w:p>
    <w:tbl>
      <w:tblPr>
        <w:tblStyle w:val="3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2200"/>
        <w:gridCol w:w="1200"/>
        <w:gridCol w:w="4345"/>
      </w:tblGrid>
      <w:tr w14:paraId="6ED5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668" w:type="dxa"/>
            <w:vAlign w:val="center"/>
          </w:tcPr>
          <w:p w14:paraId="2095A21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采购包号</w:t>
            </w:r>
          </w:p>
        </w:tc>
        <w:tc>
          <w:tcPr>
            <w:tcW w:w="2200" w:type="dxa"/>
            <w:vAlign w:val="center"/>
          </w:tcPr>
          <w:p w14:paraId="3DEC27A0">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采购标的</w:t>
            </w:r>
          </w:p>
        </w:tc>
        <w:tc>
          <w:tcPr>
            <w:tcW w:w="1200" w:type="dxa"/>
            <w:vAlign w:val="center"/>
          </w:tcPr>
          <w:p w14:paraId="1D09C42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b/>
                <w:bCs/>
                <w:color w:val="auto"/>
                <w:sz w:val="21"/>
                <w:szCs w:val="21"/>
                <w:highlight w:val="none"/>
                <w:lang w:val="en-US"/>
              </w:rPr>
            </w:pPr>
            <w:r>
              <w:rPr>
                <w:rFonts w:hint="eastAsia" w:ascii="宋体" w:hAnsi="宋体" w:eastAsia="宋体"/>
                <w:b/>
                <w:bCs/>
                <w:color w:val="auto"/>
                <w:sz w:val="21"/>
                <w:szCs w:val="21"/>
                <w:highlight w:val="none"/>
                <w:lang w:val="en-US" w:eastAsia="zh-CN"/>
              </w:rPr>
              <w:t>中标供应商家数</w:t>
            </w:r>
          </w:p>
        </w:tc>
        <w:tc>
          <w:tcPr>
            <w:tcW w:w="4345" w:type="dxa"/>
            <w:vAlign w:val="center"/>
          </w:tcPr>
          <w:p w14:paraId="2B65462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b/>
                <w:bCs/>
                <w:color w:val="auto"/>
                <w:sz w:val="21"/>
                <w:szCs w:val="21"/>
                <w:highlight w:val="none"/>
                <w:lang w:val="en-US" w:eastAsia="zh-CN"/>
              </w:rPr>
            </w:pPr>
            <w:r>
              <w:rPr>
                <w:rFonts w:hint="eastAsia" w:ascii="宋体" w:hAnsi="宋体" w:eastAsia="宋体"/>
                <w:b/>
                <w:bCs/>
                <w:color w:val="auto"/>
                <w:sz w:val="21"/>
                <w:szCs w:val="21"/>
                <w:highlight w:val="none"/>
                <w:lang w:val="en-US" w:eastAsia="zh-CN"/>
              </w:rPr>
              <w:t>服务地点</w:t>
            </w:r>
          </w:p>
        </w:tc>
      </w:tr>
      <w:tr w14:paraId="4B97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2920B81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包A</w:t>
            </w:r>
          </w:p>
        </w:tc>
        <w:tc>
          <w:tcPr>
            <w:tcW w:w="2200" w:type="dxa"/>
            <w:vAlign w:val="center"/>
          </w:tcPr>
          <w:p w14:paraId="748ECF7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rPr>
            </w:pPr>
            <w:r>
              <w:rPr>
                <w:rFonts w:hint="eastAsia" w:ascii="宋体" w:hAnsi="宋体" w:eastAsia="宋体"/>
                <w:color w:val="auto"/>
                <w:sz w:val="21"/>
                <w:szCs w:val="21"/>
                <w:highlight w:val="none"/>
                <w:lang w:val="en-US" w:eastAsia="zh-CN"/>
              </w:rPr>
              <w:t>肉类、蔬菜类</w:t>
            </w:r>
          </w:p>
        </w:tc>
        <w:tc>
          <w:tcPr>
            <w:tcW w:w="1200" w:type="dxa"/>
            <w:vAlign w:val="center"/>
          </w:tcPr>
          <w:p w14:paraId="4F4F176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5FCB831C">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r w14:paraId="1413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518F242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val="en-US" w:eastAsia="zh-CN"/>
              </w:rPr>
              <w:t>B</w:t>
            </w:r>
          </w:p>
        </w:tc>
        <w:tc>
          <w:tcPr>
            <w:tcW w:w="2200" w:type="dxa"/>
            <w:vAlign w:val="center"/>
          </w:tcPr>
          <w:p w14:paraId="55C007DA">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粮油、干货、调味品类</w:t>
            </w:r>
          </w:p>
        </w:tc>
        <w:tc>
          <w:tcPr>
            <w:tcW w:w="1200" w:type="dxa"/>
            <w:vAlign w:val="center"/>
          </w:tcPr>
          <w:p w14:paraId="6DD080E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520AC66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r w14:paraId="3735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0EB382A9">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val="en-US" w:eastAsia="zh-CN"/>
              </w:rPr>
              <w:t>C</w:t>
            </w:r>
          </w:p>
        </w:tc>
        <w:tc>
          <w:tcPr>
            <w:tcW w:w="2200" w:type="dxa"/>
            <w:vAlign w:val="center"/>
          </w:tcPr>
          <w:p w14:paraId="7CE7D508">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包点类</w:t>
            </w:r>
          </w:p>
        </w:tc>
        <w:tc>
          <w:tcPr>
            <w:tcW w:w="1200" w:type="dxa"/>
            <w:vAlign w:val="center"/>
          </w:tcPr>
          <w:p w14:paraId="38D9B56E">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0A03C26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r w14:paraId="2D38B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668" w:type="dxa"/>
            <w:vAlign w:val="center"/>
          </w:tcPr>
          <w:p w14:paraId="42B58611">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rPr>
              <w:t>包</w:t>
            </w:r>
            <w:r>
              <w:rPr>
                <w:rFonts w:hint="eastAsia" w:ascii="宋体" w:hAnsi="宋体" w:eastAsia="宋体"/>
                <w:color w:val="auto"/>
                <w:sz w:val="21"/>
                <w:szCs w:val="21"/>
                <w:highlight w:val="none"/>
                <w:lang w:val="en-US" w:eastAsia="zh-CN"/>
              </w:rPr>
              <w:t>D</w:t>
            </w:r>
          </w:p>
        </w:tc>
        <w:tc>
          <w:tcPr>
            <w:tcW w:w="2200" w:type="dxa"/>
            <w:vAlign w:val="center"/>
          </w:tcPr>
          <w:p w14:paraId="0197FADD">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牛奶、饼干类</w:t>
            </w:r>
          </w:p>
        </w:tc>
        <w:tc>
          <w:tcPr>
            <w:tcW w:w="1200" w:type="dxa"/>
            <w:vAlign w:val="center"/>
          </w:tcPr>
          <w:p w14:paraId="7280DBDB">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1家</w:t>
            </w:r>
          </w:p>
        </w:tc>
        <w:tc>
          <w:tcPr>
            <w:tcW w:w="4345" w:type="dxa"/>
            <w:vAlign w:val="center"/>
          </w:tcPr>
          <w:p w14:paraId="03C800B4">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东莞市寮步华衍学校</w:t>
            </w:r>
          </w:p>
        </w:tc>
      </w:tr>
    </w:tbl>
    <w:p w14:paraId="14C6AC54">
      <w:pPr>
        <w:pageBreakBefore w:val="0"/>
        <w:kinsoku/>
        <w:topLinePunct w:val="0"/>
        <w:autoSpaceDE/>
        <w:autoSpaceDN/>
        <w:bidi w:val="0"/>
        <w:spacing w:after="0" w:line="360" w:lineRule="auto"/>
        <w:ind w:firstLine="420" w:firstLineChars="200"/>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（1）</w:t>
      </w:r>
      <w:r>
        <w:rPr>
          <w:rFonts w:hint="eastAsia" w:ascii="宋体" w:hAnsi="宋体" w:eastAsia="宋体" w:cs="Times New Roman"/>
          <w:b w:val="0"/>
          <w:bCs w:val="0"/>
          <w:color w:val="auto"/>
          <w:sz w:val="21"/>
          <w:szCs w:val="21"/>
          <w:highlight w:val="none"/>
        </w:rPr>
        <w:t>需求数量：</w:t>
      </w:r>
      <w:bookmarkStart w:id="389" w:name="_GoBack"/>
      <w:bookmarkEnd w:id="389"/>
      <w:r>
        <w:rPr>
          <w:rFonts w:hint="eastAsia" w:ascii="宋体" w:hAnsi="宋体" w:eastAsia="宋体" w:cs="Times New Roman"/>
          <w:b w:val="0"/>
          <w:bCs w:val="0"/>
          <w:color w:val="auto"/>
          <w:sz w:val="21"/>
          <w:szCs w:val="21"/>
          <w:highlight w:val="none"/>
        </w:rPr>
        <w:t>具体供货金额以实际订货数量为准。</w:t>
      </w:r>
    </w:p>
    <w:p w14:paraId="546E97E6">
      <w:pPr>
        <w:pageBreakBefore w:val="0"/>
        <w:kinsoku/>
        <w:topLinePunct w:val="0"/>
        <w:autoSpaceDE/>
        <w:autoSpaceDN/>
        <w:bidi w:val="0"/>
        <w:spacing w:after="0" w:line="360" w:lineRule="auto"/>
        <w:ind w:firstLine="420" w:firstLineChars="200"/>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rPr>
        <w:t>本合同包不接受联合体投标，也不接受分包和转包。中标人不得将中标项目转让或分包给他人，否则</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有权单方终止合同,由此产生的经济责任和法律责任由中标人自行承担。</w:t>
      </w:r>
    </w:p>
    <w:p w14:paraId="5A1CCCD4">
      <w:pPr>
        <w:pageBreakBefore w:val="0"/>
        <w:kinsoku/>
        <w:topLinePunct w:val="0"/>
        <w:autoSpaceDE/>
        <w:autoSpaceDN/>
        <w:bidi w:val="0"/>
        <w:spacing w:after="0" w:line="360" w:lineRule="auto"/>
        <w:ind w:firstLine="420" w:firstLineChars="200"/>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（3）</w:t>
      </w:r>
      <w:r>
        <w:rPr>
          <w:rFonts w:hint="eastAsia" w:ascii="宋体" w:hAnsi="宋体" w:eastAsia="宋体" w:cs="Times New Roman"/>
          <w:b w:val="0"/>
          <w:bCs w:val="0"/>
          <w:color w:val="auto"/>
          <w:sz w:val="21"/>
          <w:szCs w:val="21"/>
          <w:highlight w:val="none"/>
        </w:rPr>
        <w:t>中标人在合同履行期间保证对</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的服务供应，中标后不得拒绝</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分配的任务（如遇特殊情况需进行特别保障的，如节假日供餐、提前或延后供餐等情况中标人按</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要求无条件做好配送工作）。中标人在服务期内没能达到投标文件承诺的服务要求或中标人未按要求履行合同义务或中标人的资质在服务期内发生变化不再符合要求，</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均有权单方终止协议,由此产生的一切经济责任和法律责任由中标人自行承担。</w:t>
      </w:r>
    </w:p>
    <w:p w14:paraId="481FA099">
      <w:pPr>
        <w:pageBreakBefore w:val="0"/>
        <w:kinsoku/>
        <w:topLinePunct w:val="0"/>
        <w:autoSpaceDE/>
        <w:autoSpaceDN/>
        <w:bidi w:val="0"/>
        <w:spacing w:after="0" w:line="360" w:lineRule="auto"/>
        <w:ind w:firstLine="420" w:firstLineChars="200"/>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（4）</w:t>
      </w:r>
      <w:r>
        <w:rPr>
          <w:rFonts w:hint="eastAsia" w:ascii="宋体" w:hAnsi="宋体" w:eastAsia="宋体" w:cs="Times New Roman"/>
          <w:b w:val="0"/>
          <w:bCs w:val="0"/>
          <w:color w:val="auto"/>
          <w:sz w:val="21"/>
          <w:szCs w:val="21"/>
          <w:highlight w:val="none"/>
        </w:rPr>
        <w:t>中标人须服从</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和食品监督部门的监督管理，配合</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及时更新所提供的符合食品安全管理部门的有效证明材料。如有效的营业执照、产品合格证或食品生产许可证等。</w:t>
      </w:r>
    </w:p>
    <w:p w14:paraId="07C1D5FB">
      <w:pPr>
        <w:pageBreakBefore w:val="0"/>
        <w:kinsoku/>
        <w:topLinePunct w:val="0"/>
        <w:autoSpaceDE/>
        <w:autoSpaceDN/>
        <w:bidi w:val="0"/>
        <w:spacing w:after="0" w:line="360" w:lineRule="auto"/>
        <w:ind w:firstLine="420" w:firstLineChars="200"/>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（5）</w:t>
      </w:r>
      <w:r>
        <w:rPr>
          <w:rFonts w:hint="eastAsia" w:ascii="宋体" w:hAnsi="宋体" w:eastAsia="宋体" w:cs="Times New Roman"/>
          <w:b w:val="0"/>
          <w:bCs w:val="0"/>
          <w:color w:val="auto"/>
          <w:sz w:val="21"/>
          <w:szCs w:val="21"/>
          <w:highlight w:val="none"/>
        </w:rPr>
        <w:t>中标人应具备应急保障能力，包括但不限于货物来源、配送、售后，以及临时协助</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开展工作。</w:t>
      </w:r>
    </w:p>
    <w:p w14:paraId="1E1A6B3F">
      <w:pPr>
        <w:spacing w:after="0" w:line="360" w:lineRule="auto"/>
        <w:ind w:firstLine="42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Times New Roman"/>
          <w:b w:val="0"/>
          <w:bCs w:val="0"/>
          <w:color w:val="auto"/>
          <w:sz w:val="21"/>
          <w:szCs w:val="21"/>
          <w:highlight w:val="none"/>
          <w:lang w:val="en-US" w:eastAsia="zh-CN"/>
        </w:rPr>
        <w:t>（6）</w:t>
      </w:r>
      <w:r>
        <w:rPr>
          <w:rFonts w:hint="eastAsia" w:ascii="宋体" w:hAnsi="宋体" w:eastAsia="宋体" w:cs="Times New Roman"/>
          <w:b w:val="0"/>
          <w:bCs w:val="0"/>
          <w:color w:val="auto"/>
          <w:sz w:val="21"/>
          <w:szCs w:val="21"/>
          <w:highlight w:val="none"/>
        </w:rPr>
        <w:t>中标人应做好本单位工作人员的教育工作，遵守</w:t>
      </w:r>
      <w:r>
        <w:rPr>
          <w:rFonts w:hint="eastAsia" w:ascii="宋体" w:hAnsi="宋体" w:eastAsia="宋体" w:cs="Times New Roman"/>
          <w:b w:val="0"/>
          <w:bCs w:val="0"/>
          <w:color w:val="auto"/>
          <w:sz w:val="21"/>
          <w:szCs w:val="21"/>
          <w:highlight w:val="none"/>
          <w:lang w:eastAsia="zh-CN"/>
        </w:rPr>
        <w:t>采购人</w:t>
      </w:r>
      <w:r>
        <w:rPr>
          <w:rFonts w:hint="eastAsia" w:ascii="宋体" w:hAnsi="宋体" w:eastAsia="宋体" w:cs="Times New Roman"/>
          <w:b w:val="0"/>
          <w:bCs w:val="0"/>
          <w:color w:val="auto"/>
          <w:sz w:val="21"/>
          <w:szCs w:val="21"/>
          <w:highlight w:val="none"/>
        </w:rPr>
        <w:t>各项规定。</w:t>
      </w:r>
    </w:p>
    <w:p w14:paraId="002A12DC">
      <w:pPr>
        <w:spacing w:after="0" w:line="360" w:lineRule="auto"/>
        <w:rPr>
          <w:rFonts w:hint="eastAsia" w:ascii="宋体" w:hAnsi="宋体" w:eastAsia="宋体" w:cs="宋体"/>
          <w:b/>
          <w:color w:val="auto"/>
          <w:sz w:val="24"/>
          <w:szCs w:val="24"/>
          <w:highlight w:val="none"/>
          <w:lang w:val="en-US" w:eastAsia="zh-CN"/>
        </w:rPr>
      </w:pPr>
    </w:p>
    <w:p w14:paraId="493AFDE6">
      <w:pPr>
        <w:spacing w:after="0" w:line="360" w:lineRule="auto"/>
        <w:rPr>
          <w:rFonts w:hint="default"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lang w:val="en-US"/>
        </w:rPr>
        <w:t>、</w:t>
      </w:r>
      <w:r>
        <w:rPr>
          <w:rFonts w:hint="eastAsia" w:ascii="宋体" w:hAnsi="宋体" w:cs="宋体"/>
          <w:b/>
          <w:color w:val="auto"/>
          <w:sz w:val="24"/>
          <w:szCs w:val="24"/>
          <w:highlight w:val="none"/>
          <w:lang w:val="en-US" w:eastAsia="zh-CN"/>
        </w:rPr>
        <w:t>质量要求</w:t>
      </w:r>
    </w:p>
    <w:p w14:paraId="1B034BEA">
      <w:pPr>
        <w:spacing w:after="0" w:line="360" w:lineRule="auto"/>
        <w:ind w:firstLine="442" w:firstLineChars="200"/>
        <w:rPr>
          <w:rFonts w:hint="default" w:ascii="宋体" w:hAnsi="宋体" w:eastAsia="宋体" w:cs="宋体"/>
          <w:b/>
          <w:bCs w:val="0"/>
          <w:color w:val="auto"/>
          <w:kern w:val="2"/>
          <w:sz w:val="22"/>
          <w:szCs w:val="22"/>
          <w:highlight w:val="none"/>
          <w:lang w:val="en-US" w:eastAsia="zh-CN" w:bidi="ar"/>
        </w:rPr>
      </w:pPr>
      <w:r>
        <w:rPr>
          <w:rFonts w:hint="eastAsia" w:ascii="宋体" w:hAnsi="宋体" w:cs="宋体"/>
          <w:b/>
          <w:bCs w:val="0"/>
          <w:color w:val="auto"/>
          <w:kern w:val="2"/>
          <w:sz w:val="22"/>
          <w:szCs w:val="22"/>
          <w:highlight w:val="none"/>
          <w:lang w:val="en-US" w:eastAsia="zh-CN" w:bidi="ar"/>
        </w:rPr>
        <w:t>包A（肉类、蔬菜类）</w:t>
      </w:r>
    </w:p>
    <w:p w14:paraId="79BDAAC7">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、对货物(鲜肉、冷冻肉)的品质要求，符合国家，食品部门的有关标准和规格要求，鲜肉、冷冻肉供货时需提供当批次有效的动物产品检疫合格证，供货时原件一并提交备查。</w:t>
      </w:r>
    </w:p>
    <w:p w14:paraId="5D5D296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2、每批鲜肉、骨应保持较好的外观和质量等级，符合国家食品部门的有关标准，保证无异味、无腐烂变质，鲜肉确保每日新鲜、无异味，并注明保鲜期。</w:t>
      </w:r>
    </w:p>
    <w:p w14:paraId="1B40BC2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肉类:冷冻肉要求肉体冻实而且坚硬，无化冻现象，肉质紧密面有弹性，色泽均匀，不粘手，交货时干净、新鲜、无异味，冷冻鱼类要求鱼眼睛清亮，角膜透明，鳞片色泽明显。冷冻禽类食品解冻后净重量不少于90%以上，冷冻肉类食品解冻后净重量不少于92%，冷冻水产品解冻后净重量不少于85%，解冻时间为4小时以内(室温20度)。所有冷冻食品均清晰列出产品品牌、规格、类型、包装方式、包装净重，含冰量等相关参数，且包装箱上必须 贴有SC标志。</w:t>
      </w:r>
    </w:p>
    <w:p w14:paraId="5CB42C8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蔬菜、瓜果应是优质货品，不得含有残留农药或污染物，中标人保证所供应的蔬菜符合卫生标准，卫生指标应符合我国无公害蔬菜上的卫生指标规定，同时承担因所供蔬菜问题引起的一切事故后果。各种蔬菜都应具有本品种固有的气味、形态、颜色、光泽及蔬菜的成熟度和鲜嫩程度，没有腐烂变质及其他异常味道，不能提供萎蔫、枯塌、损伤、病变、 虫害等异常蔬菜（利用率不低于95%）。</w:t>
      </w:r>
    </w:p>
    <w:p w14:paraId="4A5FC321">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叶菜类应肉质鲜嫩、形态好、色泽正常、茎基部削平，无黄叶、病叶、泥土、明显机械伤和病虫害，无烧心焦边、腐烂等现象，无抽苔，无畸形、异味，结球叶菜芭结球适度，花椰菜类应新鲜洁白，不带叶麸、无畸形花。</w:t>
      </w:r>
    </w:p>
    <w:p w14:paraId="0ABF4EF4">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6、茄果类等应果实整洁，成熟度适中，番茄花蒂不明显，无裂果及空洞现象，茄果不能有裂蒂及果皮变硬现象，无腐烂、畸形、异味，无明显机械伤。</w:t>
      </w:r>
    </w:p>
    <w:p w14:paraId="785199DD">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7、瓜果类等形状、色泽一致，瓜条均匀，无疤点，无断裂，无腐烂、畸形、异味、明显机械伤，不带泥土。</w:t>
      </w:r>
    </w:p>
    <w:p w14:paraId="37B43DE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8、根菜类等品种皮细光滑，大小均匀，肉质脆嫩、新鲜，无断裂，无腐烂、裂痕、糠心、异味、不带泥土、茎叶和须根。</w:t>
      </w:r>
    </w:p>
    <w:p w14:paraId="6D6220F2">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9、薯芋类应色泽一致、不带泥土、茎叶和须根，不干瘪、无腐烂、畸形、异味、明显机械伤，病虫害斑、马铃薯无发芽，皮不变绿。</w:t>
      </w:r>
    </w:p>
    <w:p w14:paraId="1FE6DA30">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10、葱蒜类应不带老叶、枯叶，不带泥土，无腐烂、异味</w:t>
      </w:r>
    </w:p>
    <w:p w14:paraId="146FE774">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11、豆类应形态完整，成熟度适中，无腐烂、畸形、异味，豆荚类新鲜、嫩、均匀，豆粒饱满，无发芽，不带泥土。</w:t>
      </w:r>
    </w:p>
    <w:p w14:paraId="258FC808">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12、食用菌类应新鲜、无杂质、无腐烂、畸形、异味。</w:t>
      </w:r>
    </w:p>
    <w:p w14:paraId="3186A3E5">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13、海鲜、河鲜类必须鲜活，身体饱满结实，无腐烂异味，肉质紧密有弹性，来源可靠放心，无毒，无害，无污染（利用率不低于95%）。</w:t>
      </w:r>
    </w:p>
    <w:p w14:paraId="64984E51">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14、新鲜水产品的具体要求：要体态完整，体色正常，捞离水后，挣扎力。</w:t>
      </w:r>
    </w:p>
    <w:p w14:paraId="750F5AC8">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冷冻鱼类要求鱼眼睛清亮，角膜透明，鳞片上覆盖有冻结的透明粘液层，皮肤天然色泽明显。鱼体完整无伤残，带鳞鱼应体表鳞片完整无损。去鳞鱼不应有残鳞片。另外鱼体富有弹性，手指轻按鱼体后，手指凹陷处可马上恢复。鱼应无异味有较温和的鱼腥味。</w:t>
      </w:r>
    </w:p>
    <w:p w14:paraId="6F5D6E5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16、虾的头胸甲与躯干连接紧密，无断头现象。虾身清洁无污染无异味，虾眼突起，虾身较挺，肉质坚实；虾壳发亮、发硬，呈青绿色或青白色。</w:t>
      </w:r>
    </w:p>
    <w:p w14:paraId="3FF1814D">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17、黄鳝要体态完整，体色正常，在水中朝上直立，捞离水后，挣扎有力，身上粘度较多，个体较大。</w:t>
      </w:r>
    </w:p>
    <w:p w14:paraId="527D4D3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18、贝壳类要求肉质新鲜，无臭味，两贝壳相碰发出实响，且响声均匀，在静水中会伸出触角；表面清洁完整，无寄生物，外观完美，有光泽。</w:t>
      </w:r>
    </w:p>
    <w:p w14:paraId="24EE3F7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19、冷冻水产类解冻后净重量不少于82%，解冻时间为4小时以内（室温20℃）。所有冷冻要求清晰列出产品品牌、规格、类型、包装方式、包装净重、含冰量等相关参数。</w:t>
      </w:r>
    </w:p>
    <w:p w14:paraId="036D5B6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20、水产品应出具贮存地的出入库检疫证明。</w:t>
      </w:r>
    </w:p>
    <w:p w14:paraId="222BB851">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21、海鲜制品类：海鲜制品类包括但不限于鱼丸、墨鱼丸、鱼蛋、鱼腐等。</w:t>
      </w:r>
    </w:p>
    <w:p w14:paraId="4331B94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22、豆制品</w:t>
      </w:r>
    </w:p>
    <w:p w14:paraId="06631DF2">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1）豆腐、豆腐泡、腐皮等要求新鲜，无变质，符合国家标准。</w:t>
      </w:r>
    </w:p>
    <w:p w14:paraId="402CF32E">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2）豆腐：要求呈均匀的乳白色或淡黄色，稍有光泽，块形完整，软硬适度，富有一定的弹性，质地细嫩、结构均匀、无杂质，具有豆腐特有的香味，取样品品尝时口感细腻鲜嫩，味道纯正清香。</w:t>
      </w:r>
    </w:p>
    <w:p w14:paraId="6B45741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豆腐泡：要求为金黄色或棕黄色，色彩鲜艳而有光泽，块形整齐，有弹性，皮脆,内质呈蜂窝状，不粘不散，无杂质，具有豆腐泡特有的清香风味，无任何不良气味，取样品细细咀嚼，外皮酥脆适口，泡内软嫩，咸香适度，具有豆腐泡固有的滋味。</w:t>
      </w:r>
    </w:p>
    <w:p w14:paraId="79FB9528">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鲜蛋：蛋壳清洁完整，色泽鲜明，无破损、裂纹，无霉斑，灯光透视时，整个蛋呈桔黄色至橙红色，蛋黄不见或略见阴影，没有霉味、酸味，臭味等不良气味，打开后蛋黄凸起、完整、有韧性，蛋白澄清、透明、稀稠分明，无异味。</w:t>
      </w:r>
    </w:p>
    <w:p w14:paraId="1C821BB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、中标人所提供的物品质量要符合行业标准要求，不得有掺假、变质、变味、过期等现象出现，严禁伪劣、假冒、无证不合格物品进入仓库。</w:t>
      </w:r>
    </w:p>
    <w:p w14:paraId="46BA24C2">
      <w:pPr>
        <w:tabs>
          <w:tab w:val="left" w:pos="0"/>
        </w:tabs>
        <w:ind w:firstLine="420" w:firstLineChars="200"/>
        <w:rPr>
          <w:rFonts w:ascii="宋体" w:hAnsi="宋体"/>
          <w:color w:val="auto"/>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、物品具体需求量及品种以实际供应前一天采购人通知的为准。</w:t>
      </w:r>
    </w:p>
    <w:p w14:paraId="1BC268DB">
      <w:pPr>
        <w:ind w:firstLine="420" w:firstLineChars="200"/>
        <w:rPr>
          <w:rFonts w:hint="eastAsia" w:ascii="宋体" w:hAnsi="宋体" w:cs="宋体"/>
          <w:b/>
          <w:bCs w:val="0"/>
          <w:color w:val="auto"/>
          <w:kern w:val="2"/>
          <w:sz w:val="22"/>
          <w:szCs w:val="22"/>
          <w:highlight w:val="none"/>
          <w:lang w:val="en-US" w:eastAsia="zh-CN" w:bidi="ar"/>
        </w:rPr>
      </w:pPr>
      <w:r>
        <w:rPr>
          <w:rFonts w:hint="eastAsia" w:ascii="宋体" w:hAnsi="宋体" w:eastAsia="宋体" w:cs="宋体"/>
          <w:color w:val="auto"/>
          <w:sz w:val="21"/>
          <w:szCs w:val="21"/>
          <w:highlight w:val="none"/>
        </w:rPr>
        <w:t>注：以上标准均按国家颁布的最新标准执行</w:t>
      </w:r>
    </w:p>
    <w:p w14:paraId="43ECC16A">
      <w:pPr>
        <w:ind w:firstLine="442" w:firstLineChars="200"/>
        <w:rPr>
          <w:rFonts w:ascii="宋体" w:hAnsi="宋体" w:cs="Times New Roman"/>
          <w:b/>
          <w:bCs/>
          <w:color w:val="auto"/>
          <w:szCs w:val="21"/>
          <w:highlight w:val="none"/>
        </w:rPr>
      </w:pPr>
      <w:r>
        <w:rPr>
          <w:rFonts w:hint="eastAsia" w:ascii="宋体" w:hAnsi="宋体" w:cs="宋体"/>
          <w:b/>
          <w:bCs w:val="0"/>
          <w:color w:val="auto"/>
          <w:kern w:val="2"/>
          <w:sz w:val="22"/>
          <w:szCs w:val="22"/>
          <w:highlight w:val="none"/>
          <w:lang w:val="en-US" w:eastAsia="zh-CN" w:bidi="ar"/>
        </w:rPr>
        <w:t>包B（粮油、干货、调味品类）</w:t>
      </w:r>
    </w:p>
    <w:p w14:paraId="6565602D">
      <w:pPr>
        <w:keepNext w:val="0"/>
        <w:keepLines w:val="0"/>
        <w:pageBreakBefore w:val="0"/>
        <w:widowControl w:val="0"/>
        <w:kinsoku/>
        <w:wordWrap/>
        <w:overflowPunct/>
        <w:topLinePunct w:val="0"/>
        <w:bidi w:val="0"/>
        <w:spacing w:line="360" w:lineRule="auto"/>
        <w:ind w:firstLine="422"/>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粮油面类：</w:t>
      </w:r>
    </w:p>
    <w:p w14:paraId="0F63F08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米、油、面类货物须符合卫生，不得有腐烂、变质、油脂酸败、霉变、生虫、污秽不洁、混有异物或者其他感官性状异常，并可能对人体健康有害的物质。散装粉、面需提供生产厂家营业执照、卫生许可证、国家机关发出的产品检验合格证书。</w:t>
      </w:r>
    </w:p>
    <w:p w14:paraId="3EE40AE8">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2、米、油：要提供SC认证、国家机关发出的产品检验合格证书。包装：包装箱完整， 同时包装箱要印有注册商标、生产厂家名称、厂址、出厂日期、产品合格证、保质期限、产品成分、厂家电话号码。散装豆类：提供生产厂家营业执照、卫生许可证、国家机关发出的产品检验合格证书。供应方所提供产品质量须要符合行业标准要求，不得有掺假、变质、变味、过期等现象出现，严禁伪劣、假冒、无证不合格物品进入仓库。</w:t>
      </w:r>
    </w:p>
    <w:p w14:paraId="16872562">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3、面粉：符合国家相关质量标准及卫生安全标准。感观指标应粉状，无霉变和结块，气味正常。</w:t>
      </w:r>
    </w:p>
    <w:p w14:paraId="692F3E88">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4、中标人所提供的物品质量要符合行业标准要求，不得有掺假、变质、变味、过期等现象出现，严禁伪劣、假冒、无证不合格物品进入仓库。</w:t>
      </w:r>
    </w:p>
    <w:p w14:paraId="369FF384">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中标人在供应过程中，如果发生出现质量问题或造成食物中毒，如变质等情况，经查实后确属中标人责任，中标人应承担全部责任，主要包括食物中毒人员医疗费、误工费、事故处理费等，直至追究刑事责任。</w:t>
      </w:r>
    </w:p>
    <w:p w14:paraId="76535A5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6、物品具体需求量及品种以实际供应前一天采购人通知的为准。</w:t>
      </w:r>
    </w:p>
    <w:p w14:paraId="2D30F962">
      <w:pPr>
        <w:keepNext w:val="0"/>
        <w:keepLines w:val="0"/>
        <w:pageBreakBefore w:val="0"/>
        <w:widowControl w:val="0"/>
        <w:kinsoku/>
        <w:wordWrap/>
        <w:overflowPunct/>
        <w:topLinePunct w:val="0"/>
        <w:bidi w:val="0"/>
        <w:spacing w:line="360" w:lineRule="auto"/>
        <w:ind w:firstLine="422"/>
        <w:jc w:val="both"/>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干货类、调味料品类：</w:t>
      </w:r>
    </w:p>
    <w:p w14:paraId="0951497E">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、干货类</w:t>
      </w:r>
    </w:p>
    <w:p w14:paraId="6BAC464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干货制品：要求为符合国家相关行业标准的产品，干爽、不霉烂、整齐、均匀、完整，无虫蛀、无杂质，保持应有的色泽。从加工、包装、运输、贮存到销售全部符合国家规定标准，尤其是二氧化硫残留量、总砷含量不超过国家卫生标准；木耳类的水分含量不超过国家标准要求，采购人可根据实际情况对需要的干货制品进行品质抽检，对质量未达到国家标准的干货制品采购人有权拒绝接收。</w:t>
      </w:r>
    </w:p>
    <w:p w14:paraId="2EE3B733">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2）腊肉：符合国家食品部门有关标准，色泽鲜明，肌肉暗红色，脂肪透明呈乳白色，肉干燥结实，带有固有的腊式香味。</w:t>
      </w:r>
    </w:p>
    <w:p w14:paraId="4DF14AE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3）香肠：肠衣干燥，不发霉，无粘液，肠衣与肉馅紧密联在一起，表面紧而有弹性，色泽均匀，肥肉色白，瘦肉色红，无灰色斑点，气味芳香。</w:t>
      </w:r>
    </w:p>
    <w:p w14:paraId="032D45B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4）干贝：上等干贝粒大完整、黄亮干燥、肉质饱满，肉丝清晰、粗且有特殊香气。粒小、碎破、色淡无光泽者较次。破碎、发黑发霉的为变质品。</w:t>
      </w:r>
    </w:p>
    <w:p w14:paraId="140D610E">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鱿鱼：市场上常见的鱿鱼有椭圆形和长方形，选购时应注意：体干、体形完整、光亮洁净、淡粉红色、片大头小、肉厚者为优。体形部分卷曲，尾部和背部红中透暗，两侧有微红点、体小而宽、肉薄者为次品。</w:t>
      </w:r>
    </w:p>
    <w:p w14:paraId="65CCFE9F">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6）海蛰：海蛰是由水母加工制成，选购时应注意色泽，以乳白色或淡黄色、气味清新、质厚均匀、个体完整、块大、无血黑（体肉红皮）有光泽的为上品，带有膜状血衣的为次品。</w:t>
      </w:r>
    </w:p>
    <w:p w14:paraId="553CC0BA">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7）紫菜：属海产红藻类植物，因鲜紫菜叶较宽大，经干制成长方块形，散片状卷筒，其中以卷筒形柔嫩微脆、叶薄、色紫清香鲜美的为品质优。</w:t>
      </w:r>
    </w:p>
    <w:p w14:paraId="03F01E2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8）腐竹：要求为枝条或片叶状，质脆易折，条状折断有空心，无霉斑、杂质、虫蛀。呈淡黄色，有光泽。具有腐竹固有的香味，无任何异味，取样品品尝时具有腐竹固有的鲜香滋味。</w:t>
      </w:r>
    </w:p>
    <w:p w14:paraId="4F89A257">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、调味品、配料</w:t>
      </w:r>
    </w:p>
    <w:p w14:paraId="09B3485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1）酱油：酱油颜色比较红、亮、有光泽、透明，酱油倒在瓶子里摇一下，酱油产生的泡沫非常细腻，保持持久，挂碗现象非常好，有发黏的感觉。</w:t>
      </w:r>
    </w:p>
    <w:p w14:paraId="1778D76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2）味精：无色至白色结晶或粉末，应具有特殊的鲜味，无异味，无肉眼可见杂质。</w:t>
      </w:r>
    </w:p>
    <w:p w14:paraId="1533F4E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3）酱类食品：应具有正常酿造酱的色泽、气味和滋味、不涩、无其他不良气味、不得有酸、苦、焦糊及其它异味、异物。</w:t>
      </w:r>
    </w:p>
    <w:p w14:paraId="214ADBF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4）淀粉制品：应具有各自品种固有的形态和色泽、不酸、不粘、不发霉、无变质、无异味、无杂质、口尝无砂质。</w:t>
      </w:r>
    </w:p>
    <w:p w14:paraId="7BE3BE87">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5）食盐：结晶整齐一致、坚硬光滑，呈透明或半透明、不结块、无反卤吸潮现象、无杂质，沾取少许尝试具有纯正的咸味。</w:t>
      </w:r>
    </w:p>
    <w:p w14:paraId="056D4837">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6）白糖：要求色泽洁白明亮，有光泽，具有白糖的正常气味，无酸味、酒味或其他外来气味。凡是白糖都应干燥，晶粒松散，不粘手，不结块，无肉眼可见的杂质，白糖的水溶液应清晰透明无杂质。</w:t>
      </w:r>
    </w:p>
    <w:p w14:paraId="17C71A1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7）白砂糖：颗粒大如砂粒，晶粒均匀整齐，晶面明显，无碎末，糖质坚硬。</w:t>
      </w:r>
    </w:p>
    <w:p w14:paraId="35CBF771">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8）绵白糖：颗粒细小而均匀，质地绵软、潮润。</w:t>
      </w:r>
    </w:p>
    <w:p w14:paraId="127004AD">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红糖：呈晶粒状或粉末状，干燥而松散，不结块，不成团，杂质，其水溶液清晰，无沉淀，无悬浮物，具有甘蔗汁的清香味，无有酒味、酸味或其他外来不良气味，口味浓甜带鲜，微有糖蜜味，无焦苦味或其他外来异味。</w:t>
      </w:r>
    </w:p>
    <w:p w14:paraId="338D246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10）冰糖：块形完整，个粒均匀，结晶组织严密，透明或半透明，无破碎。</w:t>
      </w:r>
    </w:p>
    <w:p w14:paraId="41CC68E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11）方糖：呈正六面体状，表面平整，无裂纹，铁边，断角，无突出砂粒，无霉斑。</w:t>
      </w:r>
    </w:p>
    <w:p w14:paraId="6FFC41A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、辛辣料</w:t>
      </w:r>
    </w:p>
    <w:p w14:paraId="008B1D75">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1）辛辣料：要求采用植物果实和种子粉碎而配制成的天然植物香料，如五香粉、胡椒粉、花椒粉、咖喱粉、芥末粉等，辛辣料的主要原料有八角、花椒、胡椒、桂皮、小茴香、大茴香、辣椒、孜然等。</w:t>
      </w:r>
    </w:p>
    <w:p w14:paraId="2BAC0B1E">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2）辛辣料应呈干燥状，具有该种香料植物所特有的色、香、味，没有不纯正的气味和味道，无发霉味或其他异味。</w:t>
      </w:r>
    </w:p>
    <w:p w14:paraId="29362C5E">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腐乳：红腐乳要求表面呈红色或枣红色，内部呈杏黄色，色泽鲜艳，有光泽；白腐乳要求外表呈乳黄色。块形整齐均匀，质地细腻，无霉斑、霉变及杂质。具有各品种的腐乳特有的香味或特征气味，无任何其他异味，滋味鲜美，咸淡适口，无任何其他异味。</w:t>
      </w:r>
    </w:p>
    <w:p w14:paraId="659AB0FB">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、食品包装类：</w:t>
      </w:r>
    </w:p>
    <w:p w14:paraId="242F4DD1">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1）包括但不限于：一次性杯（盖）、一次性碗、一次性饭盒、一次性筷子、吸管、食品包装袋等。</w:t>
      </w:r>
    </w:p>
    <w:p w14:paraId="0F8DDD12">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2）中标人所供一次性餐具为无毒、环保餐具，均符合GB 4806.1-2016 标准。</w:t>
      </w:r>
    </w:p>
    <w:p w14:paraId="0E1E049A">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所供食品包装袋类产品（用于盛装和保护食品的薄膜容器）上应具有符合GB21660-2008号标准要求的信息。包装袋类产品外观应平整，无划伤、烫伤、气泡、破油和折皱，热封平整、无虚封。薄膜不得有裂纹、孔隙和复合层分离。无杂质、异物和油渍等污染。</w:t>
      </w:r>
    </w:p>
    <w:p w14:paraId="0823BA8F">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、中标人所提供的物品质量要符合行业标准要求，不得有掺假、变质、变味、过期等现象出现，严禁伪劣、假冒、无证不合格物品进入仓库。</w:t>
      </w:r>
    </w:p>
    <w:p w14:paraId="1E7813E4">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、物品具体需求量及品种以实际供应前一天采购人通知的为准。</w:t>
      </w:r>
    </w:p>
    <w:p w14:paraId="29D1579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注：以上标准均按国家颁布的最新标准执行</w:t>
      </w:r>
    </w:p>
    <w:p w14:paraId="2F581FE8">
      <w:pPr>
        <w:ind w:firstLine="442" w:firstLineChars="200"/>
        <w:rPr>
          <w:rFonts w:hint="default" w:ascii="宋体" w:hAnsi="宋体" w:eastAsia="宋体" w:cs="宋体"/>
          <w:b/>
          <w:bCs w:val="0"/>
          <w:color w:val="auto"/>
          <w:kern w:val="2"/>
          <w:sz w:val="22"/>
          <w:szCs w:val="22"/>
          <w:highlight w:val="none"/>
          <w:lang w:val="en-US" w:eastAsia="zh-CN" w:bidi="ar"/>
        </w:rPr>
      </w:pPr>
      <w:r>
        <w:rPr>
          <w:rFonts w:hint="eastAsia" w:ascii="宋体" w:hAnsi="宋体" w:eastAsia="宋体" w:cs="宋体"/>
          <w:b/>
          <w:bCs w:val="0"/>
          <w:color w:val="auto"/>
          <w:kern w:val="2"/>
          <w:sz w:val="22"/>
          <w:szCs w:val="22"/>
          <w:highlight w:val="none"/>
          <w:lang w:val="en-US" w:eastAsia="zh-CN" w:bidi="ar"/>
        </w:rPr>
        <w:t>包C（包点类）</w:t>
      </w:r>
    </w:p>
    <w:p w14:paraId="76B1B6FD">
      <w:pPr>
        <w:pStyle w:val="81"/>
        <w:ind w:firstLine="420"/>
        <w:jc w:val="both"/>
        <w:rPr>
          <w:color w:val="auto"/>
          <w:highlight w:val="none"/>
        </w:rPr>
      </w:pPr>
      <w:r>
        <w:rPr>
          <w:rFonts w:hint="eastAsia"/>
          <w:color w:val="auto"/>
          <w:sz w:val="21"/>
          <w:highlight w:val="none"/>
          <w:lang w:val="en-US" w:eastAsia="zh-CN"/>
        </w:rPr>
        <w:t>1、</w:t>
      </w:r>
      <w:r>
        <w:rPr>
          <w:color w:val="auto"/>
          <w:sz w:val="21"/>
          <w:highlight w:val="none"/>
        </w:rPr>
        <w:t>生产</w:t>
      </w:r>
      <w:r>
        <w:rPr>
          <w:rFonts w:hint="eastAsia"/>
          <w:color w:val="auto"/>
          <w:sz w:val="21"/>
          <w:highlight w:val="none"/>
          <w:lang w:val="en-US" w:eastAsia="zh-CN"/>
        </w:rPr>
        <w:t>包点</w:t>
      </w:r>
      <w:r>
        <w:rPr>
          <w:color w:val="auto"/>
          <w:sz w:val="21"/>
          <w:highlight w:val="none"/>
        </w:rPr>
        <w:t>所选的所有食物、材料、食品添加剂等都必须符合国家的有关规定，</w:t>
      </w:r>
      <w:r>
        <w:rPr>
          <w:rFonts w:hint="eastAsia"/>
          <w:color w:val="auto"/>
          <w:sz w:val="21"/>
          <w:highlight w:val="none"/>
        </w:rPr>
        <w:t>严禁使用过期、变质、发霉、受潮、三无、来源不明原辅材料。生产加工全过程严格遵循食品卫生操作规范，车间卫生、人员卫生、设备消毒、工艺流程均符合国家食品生产卫生标准，全程可溯源、可查验。</w:t>
      </w:r>
    </w:p>
    <w:p w14:paraId="2A107CC3">
      <w:pPr>
        <w:pStyle w:val="81"/>
        <w:ind w:firstLine="420"/>
        <w:jc w:val="both"/>
        <w:rPr>
          <w:color w:val="auto"/>
          <w:highlight w:val="none"/>
        </w:rPr>
      </w:pPr>
      <w:r>
        <w:rPr>
          <w:rFonts w:hint="eastAsia"/>
          <w:color w:val="auto"/>
          <w:sz w:val="21"/>
          <w:highlight w:val="none"/>
          <w:lang w:val="en-US" w:eastAsia="zh-CN"/>
        </w:rPr>
        <w:t>2、</w:t>
      </w:r>
      <w:r>
        <w:rPr>
          <w:color w:val="auto"/>
          <w:sz w:val="21"/>
          <w:highlight w:val="none"/>
        </w:rPr>
        <w:t>形态：</w:t>
      </w:r>
      <w:r>
        <w:rPr>
          <w:rFonts w:hint="eastAsia"/>
          <w:color w:val="auto"/>
          <w:sz w:val="21"/>
          <w:highlight w:val="none"/>
        </w:rPr>
        <w:t>各类包点外形端正、造型规整，与对应品种标准造型一致；整体饱满匀称、大小均匀、形态统一。表皮完整光滑，无开裂、无塌陷、无收缩变形、无破皮露馅、无粘连残缺；表面无焦黑硬皮、无明显黑泡、糊斑、凸起硬块，无畸形、无缺损、无塌底、无鼓包异常形态。</w:t>
      </w:r>
    </w:p>
    <w:p w14:paraId="0017FC89">
      <w:pPr>
        <w:pStyle w:val="81"/>
        <w:ind w:firstLine="420"/>
        <w:jc w:val="both"/>
        <w:rPr>
          <w:color w:val="auto"/>
          <w:highlight w:val="none"/>
        </w:rPr>
      </w:pPr>
      <w:r>
        <w:rPr>
          <w:rFonts w:hint="eastAsia"/>
          <w:color w:val="auto"/>
          <w:sz w:val="21"/>
          <w:highlight w:val="none"/>
          <w:lang w:val="en-US" w:eastAsia="zh-CN"/>
        </w:rPr>
        <w:t>3、</w:t>
      </w:r>
      <w:r>
        <w:rPr>
          <w:color w:val="auto"/>
          <w:sz w:val="21"/>
          <w:highlight w:val="none"/>
        </w:rPr>
        <w:t>色泽：</w:t>
      </w:r>
      <w:r>
        <w:rPr>
          <w:rFonts w:hint="eastAsia"/>
          <w:color w:val="auto"/>
          <w:sz w:val="21"/>
          <w:highlight w:val="none"/>
        </w:rPr>
        <w:t>成品色泽自然均匀、鲜亮正常，符合对应品类固有色泽；面包类呈均匀金黄色、淡棕黄色；蒸煮类包点呈自然乳白、原色光亮。无局部发白、发黄、发灰、发黑、斑点色差，无烤焦、烤糊、局部过深过浅现象，无霉变色斑、水渍印、油渍印，整体色泽统一、干净美观。</w:t>
      </w:r>
    </w:p>
    <w:p w14:paraId="4D87A60B">
      <w:pPr>
        <w:pStyle w:val="81"/>
        <w:ind w:firstLine="420"/>
        <w:jc w:val="both"/>
        <w:rPr>
          <w:color w:val="auto"/>
          <w:highlight w:val="none"/>
        </w:rPr>
      </w:pPr>
      <w:r>
        <w:rPr>
          <w:rFonts w:hint="eastAsia"/>
          <w:color w:val="auto"/>
          <w:sz w:val="21"/>
          <w:highlight w:val="none"/>
          <w:lang w:val="en-US" w:eastAsia="zh-CN"/>
        </w:rPr>
        <w:t>4、</w:t>
      </w:r>
      <w:r>
        <w:rPr>
          <w:color w:val="auto"/>
          <w:sz w:val="21"/>
          <w:highlight w:val="none"/>
        </w:rPr>
        <w:t>组织：</w:t>
      </w:r>
      <w:r>
        <w:rPr>
          <w:rFonts w:hint="eastAsia"/>
          <w:color w:val="auto"/>
          <w:sz w:val="21"/>
          <w:highlight w:val="none"/>
        </w:rPr>
        <w:t>内部组织细腻均匀、质地细腻柔韧、蓬松度良好，富有弹性与张力；内部气孔细小均匀、分布规整、纹理清晰、层次分明，呈标准海绵状结构。面皮厚薄均匀、不干不硬、不松散、不黏糊；切片、掰开后不易碎裂、不掉渣、不塌陷、不结块；馅料填充饱满、分布均匀，无空洞、无夹生、无硬结、无干粉夹层，完全符合对应品类组织结构标准。</w:t>
      </w:r>
    </w:p>
    <w:p w14:paraId="037DA0EA">
      <w:pPr>
        <w:pStyle w:val="81"/>
        <w:ind w:firstLine="420"/>
        <w:jc w:val="both"/>
        <w:rPr>
          <w:color w:val="auto"/>
          <w:highlight w:val="none"/>
        </w:rPr>
      </w:pPr>
      <w:r>
        <w:rPr>
          <w:rFonts w:hint="eastAsia"/>
          <w:color w:val="auto"/>
          <w:sz w:val="21"/>
          <w:highlight w:val="none"/>
          <w:lang w:val="en-US" w:eastAsia="zh-CN"/>
        </w:rPr>
        <w:t>5、</w:t>
      </w:r>
      <w:r>
        <w:rPr>
          <w:color w:val="auto"/>
          <w:sz w:val="21"/>
          <w:highlight w:val="none"/>
        </w:rPr>
        <w:t>滋味、口感：具有发酵</w:t>
      </w:r>
      <w:r>
        <w:rPr>
          <w:rFonts w:hint="eastAsia"/>
          <w:color w:val="auto"/>
          <w:sz w:val="21"/>
          <w:highlight w:val="none"/>
          <w:lang w:val="en-US" w:eastAsia="zh-CN"/>
        </w:rPr>
        <w:t>或</w:t>
      </w:r>
      <w:r>
        <w:rPr>
          <w:color w:val="auto"/>
          <w:sz w:val="21"/>
          <w:highlight w:val="none"/>
        </w:rPr>
        <w:t>烘烤后的面包香味，松软适口，无异味。表皮酥脆，内质松软，口感酥香，耐咀嚼，具有品种应有的滋味与口感，无异味。</w:t>
      </w:r>
    </w:p>
    <w:p w14:paraId="0E0BCAD6">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rPr>
      </w:pPr>
      <w:r>
        <w:rPr>
          <w:rFonts w:hint="eastAsia"/>
          <w:color w:val="auto"/>
          <w:sz w:val="21"/>
          <w:highlight w:val="none"/>
          <w:lang w:val="en-US" w:eastAsia="zh-CN"/>
        </w:rPr>
        <w:t>6、</w:t>
      </w:r>
      <w:r>
        <w:rPr>
          <w:color w:val="auto"/>
          <w:sz w:val="21"/>
          <w:highlight w:val="none"/>
        </w:rPr>
        <w:t>杂质：</w:t>
      </w:r>
      <w:r>
        <w:rPr>
          <w:rFonts w:hint="eastAsia"/>
          <w:color w:val="auto"/>
          <w:sz w:val="21"/>
          <w:highlight w:val="none"/>
        </w:rPr>
        <w:t>成品洁净卫生、干净无污，表皮及内部无任何肉眼可见外来异物，严禁出现毛发、沙尘、黑点、虫体、碎屑、塑料碎屑、线头、杂质颗粒等污染物；无油污、污渍、霉点、黑点、杂物附着，整体干净整洁，符合食品安全洁净标准</w:t>
      </w:r>
      <w:r>
        <w:rPr>
          <w:color w:val="auto"/>
          <w:sz w:val="21"/>
          <w:highlight w:val="none"/>
        </w:rPr>
        <w:t>。</w:t>
      </w:r>
    </w:p>
    <w:p w14:paraId="4B6D5505">
      <w:pPr>
        <w:keepNext w:val="0"/>
        <w:keepLines w:val="0"/>
        <w:pageBreakBefore w:val="0"/>
        <w:widowControl w:val="0"/>
        <w:kinsoku/>
        <w:wordWrap/>
        <w:overflowPunct/>
        <w:topLinePunct w:val="0"/>
        <w:bidi w:val="0"/>
        <w:spacing w:line="360" w:lineRule="auto"/>
        <w:ind w:firstLine="42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7、品质：新鲜包点当日生产、当日配送、当日食用，不配送隔夜、回炉、二次加热产品；速冻包点无反复解冻、无大量冰霜、无风干变质，全程冷链合规。</w:t>
      </w:r>
    </w:p>
    <w:p w14:paraId="0052666E">
      <w:pPr>
        <w:ind w:firstLine="442" w:firstLineChars="200"/>
        <w:rPr>
          <w:rFonts w:hint="default" w:ascii="宋体" w:hAnsi="宋体" w:eastAsia="宋体" w:cs="宋体"/>
          <w:b/>
          <w:bCs w:val="0"/>
          <w:color w:val="auto"/>
          <w:kern w:val="2"/>
          <w:sz w:val="22"/>
          <w:szCs w:val="22"/>
          <w:highlight w:val="none"/>
          <w:lang w:val="en-US" w:eastAsia="zh-CN" w:bidi="ar"/>
        </w:rPr>
      </w:pPr>
      <w:r>
        <w:rPr>
          <w:rFonts w:hint="eastAsia" w:ascii="宋体" w:hAnsi="宋体" w:eastAsia="宋体" w:cs="宋体"/>
          <w:b/>
          <w:bCs w:val="0"/>
          <w:color w:val="auto"/>
          <w:kern w:val="2"/>
          <w:sz w:val="22"/>
          <w:szCs w:val="22"/>
          <w:highlight w:val="none"/>
          <w:lang w:val="en-US" w:eastAsia="zh-CN" w:bidi="ar"/>
        </w:rPr>
        <w:t>包D（牛奶、饼干类）</w:t>
      </w:r>
    </w:p>
    <w:p w14:paraId="4E37C186">
      <w:pPr>
        <w:keepNext w:val="0"/>
        <w:keepLines w:val="0"/>
        <w:pageBreakBefore w:val="0"/>
        <w:widowControl w:val="0"/>
        <w:kinsoku/>
        <w:wordWrap/>
        <w:overflowPunct/>
        <w:topLinePunct w:val="0"/>
        <w:bidi w:val="0"/>
        <w:spacing w:line="360" w:lineRule="auto"/>
        <w:ind w:firstLine="42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1、牛奶</w:t>
      </w:r>
    </w:p>
    <w:p w14:paraId="1E0ECAE4">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1）牛奶需要保证质量，质量标准要求符合国家相关行业标准，营养丰富、绿色安全、无异味、无霉烂变质，从加工、包装、运输、贮存到销售全部符合国家规定标准。食用方便，保质期长，包装完整、无破损。</w:t>
      </w:r>
    </w:p>
    <w:p w14:paraId="425D5BD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2）牛奶的质量</w:t>
      </w:r>
      <w:r>
        <w:rPr>
          <w:rFonts w:hint="eastAsia" w:ascii="宋体" w:hAnsi="宋体" w:eastAsia="宋体"/>
          <w:color w:val="auto"/>
          <w:kern w:val="0"/>
          <w:szCs w:val="21"/>
          <w:highlight w:val="none"/>
        </w:rPr>
        <w:t>必须</w:t>
      </w:r>
      <w:r>
        <w:rPr>
          <w:rFonts w:ascii="宋体" w:hAnsi="宋体" w:eastAsia="宋体"/>
          <w:color w:val="auto"/>
          <w:kern w:val="0"/>
          <w:szCs w:val="21"/>
          <w:highlight w:val="none"/>
        </w:rPr>
        <w:t>符合《中华人民共和国食品安全法》</w:t>
      </w:r>
      <w:r>
        <w:rPr>
          <w:rFonts w:hint="eastAsia" w:ascii="宋体" w:hAnsi="宋体" w:eastAsia="宋体"/>
          <w:color w:val="auto"/>
          <w:kern w:val="0"/>
          <w:szCs w:val="21"/>
          <w:highlight w:val="none"/>
        </w:rPr>
        <w:t>等国家或行业相关</w:t>
      </w:r>
      <w:r>
        <w:rPr>
          <w:rFonts w:ascii="宋体" w:hAnsi="宋体" w:eastAsia="宋体"/>
          <w:color w:val="auto"/>
          <w:kern w:val="0"/>
          <w:szCs w:val="21"/>
          <w:highlight w:val="none"/>
        </w:rPr>
        <w:t>要求</w:t>
      </w:r>
      <w:r>
        <w:rPr>
          <w:rFonts w:hint="eastAsia" w:ascii="宋体" w:hAnsi="宋体" w:eastAsia="宋体"/>
          <w:color w:val="auto"/>
          <w:kern w:val="0"/>
          <w:szCs w:val="21"/>
          <w:highlight w:val="none"/>
          <w:lang w:val="en-US" w:eastAsia="zh-CN"/>
        </w:rPr>
        <w:t>。</w:t>
      </w:r>
    </w:p>
    <w:p w14:paraId="5293614C">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val="en-US" w:eastAsia="zh-CN"/>
        </w:rPr>
        <w:t>3</w:t>
      </w:r>
      <w:r>
        <w:rPr>
          <w:rFonts w:hint="eastAsia" w:ascii="宋体" w:hAnsi="宋体" w:eastAsia="宋体"/>
          <w:color w:val="auto"/>
          <w:kern w:val="0"/>
          <w:szCs w:val="21"/>
          <w:highlight w:val="none"/>
          <w:lang w:eastAsia="zh-CN"/>
        </w:rPr>
        <w:t>）</w:t>
      </w:r>
      <w:r>
        <w:rPr>
          <w:rFonts w:hint="eastAsia" w:ascii="宋体" w:hAnsi="宋体"/>
          <w:color w:val="auto"/>
          <w:kern w:val="0"/>
          <w:szCs w:val="21"/>
          <w:highlight w:val="none"/>
        </w:rPr>
        <w:t>确保所配送的乳制品来源无污染，有明确的标签(必须按《奶产品包装和标识管理办法》贴标签，并至少标明产地、品种、净含量、生产单位及地址和采收日期、质保期等产品信息)，且均可做到索证无误，不同批次或者不同生产日期的应当具有相应的检测报告，或者出厂合格证书。</w:t>
      </w:r>
    </w:p>
    <w:p w14:paraId="4CF69002">
      <w:pPr>
        <w:keepNext w:val="0"/>
        <w:keepLines w:val="0"/>
        <w:pageBreakBefore w:val="0"/>
        <w:widowControl w:val="0"/>
        <w:kinsoku/>
        <w:wordWrap/>
        <w:overflowPunct/>
        <w:topLinePunct w:val="0"/>
        <w:bidi w:val="0"/>
        <w:spacing w:line="360" w:lineRule="auto"/>
        <w:ind w:firstLine="420"/>
        <w:jc w:val="both"/>
        <w:textAlignment w:val="auto"/>
        <w:rPr>
          <w:rFonts w:hint="default"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2、饼干类</w:t>
      </w:r>
    </w:p>
    <w:p w14:paraId="562922A9">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olor w:val="auto"/>
          <w:kern w:val="0"/>
          <w:szCs w:val="21"/>
          <w:highlight w:val="none"/>
        </w:rPr>
      </w:pPr>
      <w:r>
        <w:rPr>
          <w:rFonts w:hint="eastAsia" w:ascii="宋体" w:hAnsi="宋体" w:eastAsia="宋体"/>
          <w:color w:val="auto"/>
          <w:kern w:val="0"/>
          <w:szCs w:val="21"/>
          <w:highlight w:val="none"/>
        </w:rPr>
        <w:t>1）饼干</w:t>
      </w:r>
      <w:r>
        <w:rPr>
          <w:rFonts w:hint="eastAsia" w:ascii="宋体" w:hAnsi="宋体" w:eastAsia="宋体"/>
          <w:color w:val="auto"/>
          <w:kern w:val="0"/>
          <w:szCs w:val="21"/>
          <w:highlight w:val="none"/>
          <w:lang w:val="en-US" w:eastAsia="zh-CN"/>
        </w:rPr>
        <w:t>类产品</w:t>
      </w:r>
      <w:r>
        <w:rPr>
          <w:rFonts w:hint="eastAsia" w:ascii="宋体" w:hAnsi="宋体" w:eastAsia="宋体"/>
          <w:color w:val="auto"/>
          <w:kern w:val="0"/>
          <w:szCs w:val="21"/>
          <w:highlight w:val="none"/>
        </w:rPr>
        <w:t>必须保证质量稳定、安全卫生、品质优良，整体品质完全符合国家食品</w:t>
      </w:r>
      <w:r>
        <w:rPr>
          <w:rFonts w:hint="eastAsia" w:ascii="宋体" w:hAnsi="宋体" w:eastAsia="宋体"/>
          <w:color w:val="auto"/>
          <w:kern w:val="0"/>
          <w:szCs w:val="21"/>
          <w:highlight w:val="none"/>
          <w:lang w:val="en-US" w:eastAsia="zh-CN"/>
        </w:rPr>
        <w:t>要求及</w:t>
      </w:r>
      <w:r>
        <w:rPr>
          <w:rFonts w:hint="eastAsia" w:ascii="宋体" w:hAnsi="宋体" w:eastAsia="宋体"/>
          <w:color w:val="auto"/>
          <w:kern w:val="0"/>
          <w:szCs w:val="21"/>
          <w:highlight w:val="none"/>
        </w:rPr>
        <w:t>行业现行食品安全标准。产品原辅材料新鲜纯正、无劣质油脂、无过期受潮原料，成品口感酥脆适中、风味纯正、口味正常，不得出现发软、回潮、黏牙、牙碜等不良口感。产品严禁出现异味、香精刺鼻味、油脂哈喇味、酸味、霉味、腐败味；货品无受潮软化、无吸水回潮、无开裂粉化、无发霉斑点、无虫蛀孔洞、无变质结块等质量问题。产品从原料采购、筛选处理、和面配料、烘烤加工、冷却定型、成品封装、仓储存放、运输配送、现场交付全过程严格按照国家食品安全操作规范执行，全程卫生可控、流程规范、源头可追溯、批次可查验。产品内外包装干净整洁、规范完好、密封严实，无破损、无漏气、无胀袋、无渗油、无受潮水渍、无污渍灰尘、无挤压变形，包装防护性强，能有效防止产品破碎、受潮及二次污染。</w:t>
      </w:r>
    </w:p>
    <w:p w14:paraId="354A16DD">
      <w:pPr>
        <w:keepNext w:val="0"/>
        <w:keepLines w:val="0"/>
        <w:pageBreakBefore w:val="0"/>
        <w:widowControl w:val="0"/>
        <w:kinsoku/>
        <w:wordWrap/>
        <w:overflowPunct/>
        <w:topLinePunct w:val="0"/>
        <w:bidi w:val="0"/>
        <w:spacing w:line="360" w:lineRule="auto"/>
        <w:ind w:firstLine="420"/>
        <w:jc w:val="both"/>
        <w:textAlignment w:val="auto"/>
        <w:rPr>
          <w:rFonts w:hint="eastAsia" w:ascii="宋体" w:hAnsi="宋体" w:eastAsia="宋体"/>
          <w:color w:val="auto"/>
          <w:kern w:val="0"/>
          <w:szCs w:val="21"/>
          <w:highlight w:val="none"/>
        </w:rPr>
      </w:pPr>
      <w:r>
        <w:rPr>
          <w:rFonts w:hint="eastAsia" w:ascii="宋体" w:hAnsi="宋体" w:eastAsia="宋体"/>
          <w:color w:val="auto"/>
          <w:kern w:val="0"/>
          <w:szCs w:val="21"/>
          <w:highlight w:val="none"/>
        </w:rPr>
        <w:t>2）所有供应饼干产品生产工艺合规、烘烤火候达标、配方配比规范，严禁非法添加非食用物质、超范围、超限量使用食品添加剂，严禁使用氢化植物油、劣质防腐剂、人工色素超标原料。产品外包装及独立小包装标签信息完整、真实、准确、清晰，完整标注产品名称、配料表、生产厂家、生产地址、SC生产许可证号、生产日期、生产批号、保质期、贮存条件、执行标准、营养成分表等关键信息，不得涂改、遮挡、模糊、缺失、虚假标注。</w:t>
      </w:r>
    </w:p>
    <w:p w14:paraId="24FD7415">
      <w:pPr>
        <w:keepNext w:val="0"/>
        <w:keepLines w:val="0"/>
        <w:pageBreakBefore w:val="0"/>
        <w:widowControl w:val="0"/>
        <w:kinsoku/>
        <w:wordWrap/>
        <w:overflowPunct/>
        <w:topLinePunct w:val="0"/>
        <w:bidi w:val="0"/>
        <w:spacing w:line="360" w:lineRule="auto"/>
        <w:jc w:val="both"/>
        <w:textAlignment w:val="auto"/>
        <w:rPr>
          <w:rFonts w:hint="eastAsia" w:ascii="宋体" w:hAnsi="宋体" w:eastAsia="宋体" w:cs="宋体"/>
          <w:b/>
          <w:color w:val="auto"/>
          <w:sz w:val="21"/>
          <w:szCs w:val="21"/>
          <w:highlight w:val="none"/>
          <w:lang w:val="en-US" w:eastAsia="zh-CN"/>
        </w:rPr>
      </w:pPr>
    </w:p>
    <w:p w14:paraId="76C279CE">
      <w:pPr>
        <w:keepNext w:val="0"/>
        <w:keepLines w:val="0"/>
        <w:pageBreakBefore w:val="0"/>
        <w:widowControl w:val="0"/>
        <w:kinsoku/>
        <w:wordWrap/>
        <w:overflowPunct/>
        <w:topLinePunct w:val="0"/>
        <w:bidi w:val="0"/>
        <w:spacing w:line="36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二</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供货及运输（适用于所有采购包）</w:t>
      </w:r>
    </w:p>
    <w:p w14:paraId="259500D6">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1、中标人应保证每天早上将所订的货物按照约定时间送至采购人指定地方，运输车辆内外必须清洁干净，无污渍，无异味。</w:t>
      </w:r>
    </w:p>
    <w:p w14:paraId="330F377E">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2、如采购人需要临时增加补货，中标人必须将货物保质保量送到采购人指定地点。</w:t>
      </w:r>
    </w:p>
    <w:p w14:paraId="462316C5">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3、中标人应当根据采购人实际情况，按照与采购人的约定，在规定的时间内将预定的货物如数送到指定地点。如遇不可抗力因素而造成配送延误时，中标人应提前通知采购人，并配合采购人共同解决。除发生客观不可抗力的情况外，中标人不得推迟送货。如确需延迟送货的，中标人应在得知情况的同时告知采购人并征得采购人同意。</w:t>
      </w:r>
    </w:p>
    <w:p w14:paraId="45F5AEA9">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4、中标人负责货品的仓储，采购人不提供仓库。</w:t>
      </w:r>
      <w:r>
        <w:rPr>
          <w:rFonts w:hint="eastAsia" w:ascii="宋体" w:hAnsi="宋体" w:eastAsia="宋体"/>
          <w:color w:val="auto"/>
          <w:kern w:val="0"/>
          <w:szCs w:val="21"/>
          <w:highlight w:val="none"/>
          <w:lang w:val="en-US" w:eastAsia="zh-CN"/>
        </w:rPr>
        <w:t>中标人</w:t>
      </w:r>
      <w:r>
        <w:rPr>
          <w:rFonts w:hint="eastAsia" w:ascii="宋体" w:hAnsi="宋体" w:eastAsia="宋体"/>
          <w:color w:val="auto"/>
          <w:kern w:val="0"/>
          <w:szCs w:val="21"/>
          <w:highlight w:val="none"/>
          <w:lang w:eastAsia="zh-CN"/>
        </w:rPr>
        <w:t>准时送货到采购人指定地点，采购人不另行支付配送交通费。</w:t>
      </w:r>
    </w:p>
    <w:p w14:paraId="3AFCF0FD">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5、中标人应根据采购人实际要求运送货物，必要时应进行免费简单加工。</w:t>
      </w:r>
    </w:p>
    <w:p w14:paraId="6973A1ED">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6、在采购人签收之前，货物的所有权和风险属于中标人，货物发生遗失、损坏由中标人负责。</w:t>
      </w:r>
    </w:p>
    <w:p w14:paraId="7D015EC3">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7、中标人须严格按照各采购人的指令配送商品的数量，不得随意增减数量，否则，采购人有权拒收。</w:t>
      </w:r>
    </w:p>
    <w:p w14:paraId="3668CAB4">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8、除客观不可抗力外，中标人不得更改送货内容。如因市场流通问题确实需要变更供货内容的，中标人应在得知情况的同时告知采购人并事先征得书面申请，并经采购人同意后方可改变。</w:t>
      </w:r>
    </w:p>
    <w:p w14:paraId="75F17867">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9、采购人发现采购货物不能正常食用的，中标人应无条件退换。中标人未能履行招标文件和合同所定事项,或供应不合格的、假冒伪劣、以次充好的商品，采购人退货后将记录在案，除要承担因此产生的一切损失和费用外，情节严重的可取消其供应资格。</w:t>
      </w:r>
    </w:p>
    <w:p w14:paraId="325DBDFD">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10、中标人不能按核定的供货价交付某些商品、不能提供与其承诺相符的服务或中标人存在违反招标文件和合同的行为，并且不予纠正的，将取消其中标资格。此项以下违约责任包括但不限于下列各项：</w:t>
      </w:r>
    </w:p>
    <w:p w14:paraId="5676F8C6">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（1）中标人在收到采购人订货要求后，在承诺的供货时间内不能供货的；</w:t>
      </w:r>
    </w:p>
    <w:p w14:paraId="7BFD5185">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（2）中标商品在保质期出现损坏的，中标人应承诺提供替换服务，因替换货物产生的费用由中标人负责。</w:t>
      </w:r>
    </w:p>
    <w:p w14:paraId="27935EAD">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（3）中标人的送货单必须详细注明商品的品牌、品种、单价、数量、送货单不得涂改。标记不清的，采购人将拒绝签收。结算期末中标人还应提供送货清单供采购人结算。</w:t>
      </w:r>
    </w:p>
    <w:p w14:paraId="15C39085">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（4）中标人指定的送货专员必须穿着便于辨认的工衣和配戴胸卡，送货专员在采购人单位活动必须严格遵守采购人单位各项规章制度，不得做出有损采购人形象和利益的事情。</w:t>
      </w:r>
    </w:p>
    <w:p w14:paraId="6275AF02">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（5）中标人不得泄露采购人的商业秘密。泄密造成采购人损失的，中标人将承担由此产生的一切损失和法律责任。</w:t>
      </w:r>
    </w:p>
    <w:p w14:paraId="7C0EA47A">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b/>
          <w:color w:val="auto"/>
          <w:sz w:val="21"/>
          <w:szCs w:val="21"/>
          <w:highlight w:val="none"/>
          <w:lang w:val="en-US" w:eastAsia="zh-CN"/>
        </w:rPr>
      </w:pPr>
    </w:p>
    <w:p w14:paraId="40456A40">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color w:val="auto"/>
          <w:sz w:val="21"/>
          <w:szCs w:val="21"/>
          <w:highlight w:val="none"/>
          <w:lang w:val="en-US" w:eastAsia="zh-CN"/>
        </w:rPr>
        <w:t>三</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中标人</w:t>
      </w:r>
      <w:r>
        <w:rPr>
          <w:rFonts w:hint="eastAsia" w:ascii="宋体" w:hAnsi="宋体" w:eastAsia="宋体" w:cs="宋体"/>
          <w:b/>
          <w:color w:val="auto"/>
          <w:sz w:val="21"/>
          <w:szCs w:val="21"/>
          <w:highlight w:val="none"/>
        </w:rPr>
        <w:t>责任</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适用于所有采购包</w:t>
      </w:r>
      <w:r>
        <w:rPr>
          <w:rFonts w:hint="eastAsia" w:ascii="宋体" w:hAnsi="宋体" w:eastAsia="宋体" w:cs="宋体"/>
          <w:b/>
          <w:color w:val="auto"/>
          <w:sz w:val="21"/>
          <w:szCs w:val="21"/>
          <w:highlight w:val="none"/>
          <w:lang w:eastAsia="zh-CN"/>
        </w:rPr>
        <w:t>）</w:t>
      </w:r>
    </w:p>
    <w:p w14:paraId="23F8FE09">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1、如因中标人供货不及时或货品质量不合格发生的事故，中标人应承担一切责任，并赔偿损失。</w:t>
      </w:r>
    </w:p>
    <w:p w14:paraId="3FFA794C">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2、因中标人所送食品造成</w:t>
      </w:r>
      <w:r>
        <w:rPr>
          <w:rFonts w:hint="eastAsia" w:ascii="宋体" w:hAnsi="宋体" w:eastAsia="宋体"/>
          <w:color w:val="auto"/>
          <w:kern w:val="0"/>
          <w:szCs w:val="21"/>
          <w:highlight w:val="none"/>
          <w:lang w:val="en-US" w:eastAsia="zh-CN"/>
        </w:rPr>
        <w:t>学校</w:t>
      </w:r>
      <w:r>
        <w:rPr>
          <w:rFonts w:hint="eastAsia" w:ascii="宋体" w:hAnsi="宋体" w:eastAsia="宋体"/>
          <w:color w:val="auto"/>
          <w:kern w:val="0"/>
          <w:szCs w:val="21"/>
          <w:highlight w:val="none"/>
          <w:lang w:eastAsia="zh-CN"/>
        </w:rPr>
        <w:t>人员食用后发生集体食物中毒的，经卫生防疫部门鉴定，如属供应商责任，则由中标人承担全部医疗费及法律责任，且</w:t>
      </w:r>
      <w:r>
        <w:rPr>
          <w:rFonts w:hint="eastAsia" w:ascii="宋体" w:hAnsi="宋体" w:eastAsia="宋体"/>
          <w:color w:val="auto"/>
          <w:kern w:val="0"/>
          <w:szCs w:val="21"/>
          <w:highlight w:val="none"/>
          <w:lang w:val="en-US" w:eastAsia="zh-CN"/>
        </w:rPr>
        <w:t>学校</w:t>
      </w:r>
      <w:r>
        <w:rPr>
          <w:rFonts w:hint="eastAsia" w:ascii="宋体" w:hAnsi="宋体" w:eastAsia="宋体"/>
          <w:color w:val="auto"/>
          <w:kern w:val="0"/>
          <w:szCs w:val="21"/>
          <w:highlight w:val="none"/>
          <w:lang w:eastAsia="zh-CN"/>
        </w:rPr>
        <w:t>有权立即终止合约。</w:t>
      </w:r>
    </w:p>
    <w:p w14:paraId="3839817E">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eastAsia="zh-CN"/>
        </w:rPr>
      </w:pPr>
      <w:r>
        <w:rPr>
          <w:rFonts w:hint="eastAsia" w:ascii="宋体" w:hAnsi="宋体" w:eastAsia="宋体"/>
          <w:color w:val="auto"/>
          <w:kern w:val="0"/>
          <w:szCs w:val="21"/>
          <w:highlight w:val="none"/>
          <w:lang w:eastAsia="zh-CN"/>
        </w:rPr>
        <w:t>3、中标人提供的全部货品采用相应标准的保护措施进行包装，中标人应承担由于包装不妥而引起的全部损失。</w:t>
      </w:r>
    </w:p>
    <w:p w14:paraId="7DD14557">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4、中标人运送货物时须对场地内的设备、设施有良好保护措施，若中标人在配送过程中损坏采购人的物品，中标人应照价赔偿。送货专员须持有在有效期内的健康证，送货专员在采购人单位活动必须严格遵守采购人单位各项规章制度，不得做出有损采购人形象和利益的事情。</w:t>
      </w:r>
    </w:p>
    <w:p w14:paraId="5BDCCC76">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b/>
          <w:color w:val="auto"/>
          <w:sz w:val="21"/>
          <w:szCs w:val="21"/>
          <w:highlight w:val="none"/>
          <w:lang w:val="en-US" w:eastAsia="zh-CN"/>
        </w:rPr>
      </w:pPr>
    </w:p>
    <w:p w14:paraId="0F76351E">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四、售后服务（适用于所有采购包）</w:t>
      </w:r>
    </w:p>
    <w:p w14:paraId="787641C0">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1、中标人须有专人负责货品供应事宜，按照约定及时响应需求，安排配送，并承担相应的售后服务。</w:t>
      </w:r>
    </w:p>
    <w:p w14:paraId="1F02323E">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2、供应的食品如有质量问题，应在2小时内给予退货及追补。</w:t>
      </w:r>
    </w:p>
    <w:p w14:paraId="14E88CA7">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3、退（补）货流程：对不符合质量要求的食品由采购人验收人员提出清退，对数量不足或部分退货的，中标人必须按采购人规定时间，要求的数量、质量、规格重新送货。</w:t>
      </w:r>
    </w:p>
    <w:p w14:paraId="2B18DAA7">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b/>
          <w:color w:val="auto"/>
          <w:sz w:val="21"/>
          <w:szCs w:val="21"/>
          <w:highlight w:val="none"/>
          <w:lang w:val="en-US" w:eastAsia="zh-CN"/>
        </w:rPr>
      </w:pPr>
    </w:p>
    <w:p w14:paraId="136390D8">
      <w:pPr>
        <w:keepNext w:val="0"/>
        <w:keepLines w:val="0"/>
        <w:pageBreakBefore w:val="0"/>
        <w:widowControl w:val="0"/>
        <w:kinsoku/>
        <w:wordWrap/>
        <w:overflowPunct/>
        <w:topLinePunct w:val="0"/>
        <w:bidi w:val="0"/>
        <w:adjustRightInd w:val="0"/>
        <w:spacing w:line="360" w:lineRule="auto"/>
        <w:jc w:val="both"/>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五、应急处理要求（适用于所有采购包）</w:t>
      </w:r>
    </w:p>
    <w:p w14:paraId="35FB609D">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中标人应具备完善的应急处理方案，包括但不限于下列要求：</w:t>
      </w:r>
    </w:p>
    <w:p w14:paraId="224100FB">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1、针对台风、暴雨等恶劣天气，应有相应的配送保障措施；</w:t>
      </w:r>
    </w:p>
    <w:p w14:paraId="073CBAB6">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2、针对配送人员在配送途中突发车辆故障、交通事故等情况，应有相应的人员替换保障措施；</w:t>
      </w:r>
    </w:p>
    <w:p w14:paraId="5FEA2E7F">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3、针对食品仓储环节中可能出现的导致食品种类、数量不足的紧急情况（如突发火灾、被水淹没等），应有相应的处置措施；</w:t>
      </w:r>
    </w:p>
    <w:p w14:paraId="6B1DEBC4">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4、针对食品流通和使用环节可能会出现的质量问题（如仓储、运具不达标致使食材变得不合格等），应有相应的处置措施。</w:t>
      </w:r>
    </w:p>
    <w:p w14:paraId="659FA55F">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b/>
          <w:color w:val="auto"/>
          <w:sz w:val="21"/>
          <w:szCs w:val="21"/>
          <w:highlight w:val="none"/>
          <w:lang w:val="en-US" w:eastAsia="zh-CN"/>
        </w:rPr>
      </w:pPr>
    </w:p>
    <w:p w14:paraId="4E1D6E0A">
      <w:pPr>
        <w:keepNext w:val="0"/>
        <w:keepLines w:val="0"/>
        <w:pageBreakBefore w:val="0"/>
        <w:widowControl w:val="0"/>
        <w:kinsoku/>
        <w:wordWrap/>
        <w:overflowPunct/>
        <w:topLinePunct w:val="0"/>
        <w:bidi w:val="0"/>
        <w:adjustRightInd w:val="0"/>
        <w:spacing w:line="360" w:lineRule="auto"/>
        <w:jc w:val="both"/>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六、退出机制（适用于所有采购包）</w:t>
      </w:r>
    </w:p>
    <w:p w14:paraId="253B13BD">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中标人应严格遵守《食品卫生法》等相关规定，一经发现供应以下食品，除全部退货外，采购人有权取消中标人的供货资格，中标人并承担由此造成的经济责任和法律责任：</w:t>
      </w:r>
    </w:p>
    <w:p w14:paraId="78FEC362">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①腐败变质、油脂酸败、霉变、生虫、污秽不洁、混有异物或者其他感官性状异常，对人体健康有害的；</w:t>
      </w:r>
    </w:p>
    <w:p w14:paraId="4D0C1CB4">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②含有毒、有害物质或者被有害物质污染，对人体健康有害的；</w:t>
      </w:r>
    </w:p>
    <w:p w14:paraId="1EBD1BBC">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③含有致病性寄生虫、微生物或者微生物含量超过国家限定标准的；</w:t>
      </w:r>
    </w:p>
    <w:p w14:paraId="7DF48123">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④掺假、掺杂、伪造，影响营养、卫生的；</w:t>
      </w:r>
    </w:p>
    <w:p w14:paraId="63053658">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⑤用非食品原料加工的，加入非食品用化学物质或者将非食品当作食品的；</w:t>
      </w:r>
    </w:p>
    <w:p w14:paraId="4B2B5680">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⑥超过保质期限的；</w:t>
      </w:r>
    </w:p>
    <w:p w14:paraId="3FDFDC59">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olor w:val="auto"/>
          <w:kern w:val="0"/>
          <w:szCs w:val="21"/>
          <w:highlight w:val="none"/>
          <w:lang w:val="en-US" w:eastAsia="zh-CN"/>
        </w:rPr>
      </w:pPr>
      <w:r>
        <w:rPr>
          <w:rFonts w:hint="eastAsia" w:ascii="宋体" w:hAnsi="宋体" w:eastAsia="宋体"/>
          <w:color w:val="auto"/>
          <w:kern w:val="0"/>
          <w:szCs w:val="21"/>
          <w:highlight w:val="none"/>
          <w:lang w:val="en-US" w:eastAsia="zh-CN"/>
        </w:rPr>
        <w:t>⑦合同期间，中标人一年内累计三个月考核达不到70分，采购人有权单方解除合同。</w:t>
      </w:r>
    </w:p>
    <w:p w14:paraId="4B922C0C">
      <w:pPr>
        <w:keepNext w:val="0"/>
        <w:keepLines w:val="0"/>
        <w:pageBreakBefore w:val="0"/>
        <w:widowControl w:val="0"/>
        <w:kinsoku/>
        <w:wordWrap/>
        <w:overflowPunct/>
        <w:topLinePunct w:val="0"/>
        <w:bidi w:val="0"/>
        <w:adjustRightInd w:val="0"/>
        <w:spacing w:line="360" w:lineRule="auto"/>
        <w:jc w:val="both"/>
        <w:textAlignment w:val="auto"/>
        <w:rPr>
          <w:rFonts w:hint="eastAsia" w:ascii="宋体" w:hAnsi="宋体" w:eastAsia="宋体" w:cs="宋体"/>
          <w:b/>
          <w:color w:val="auto"/>
          <w:sz w:val="21"/>
          <w:szCs w:val="21"/>
          <w:highlight w:val="none"/>
          <w:lang w:val="en-US" w:eastAsia="zh-CN"/>
        </w:rPr>
      </w:pPr>
    </w:p>
    <w:p w14:paraId="5C4FDBEA">
      <w:pPr>
        <w:keepNext w:val="0"/>
        <w:keepLines w:val="0"/>
        <w:pageBreakBefore w:val="0"/>
        <w:widowControl w:val="0"/>
        <w:kinsoku/>
        <w:wordWrap/>
        <w:overflowPunct/>
        <w:topLinePunct w:val="0"/>
        <w:bidi w:val="0"/>
        <w:adjustRightInd w:val="0"/>
        <w:spacing w:line="360" w:lineRule="auto"/>
        <w:jc w:val="both"/>
        <w:textAlignment w:val="auto"/>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七、考核要求（适用于所有采购包）</w:t>
      </w:r>
    </w:p>
    <w:p w14:paraId="5C45156F">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采购人在服务期限内每月对提供配送的中标人实行考核，考核内容详见下表：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335"/>
        <w:gridCol w:w="3620"/>
        <w:gridCol w:w="1519"/>
        <w:gridCol w:w="657"/>
        <w:gridCol w:w="657"/>
      </w:tblGrid>
      <w:tr w14:paraId="716B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0" w:type="auto"/>
            <w:noWrap w:val="0"/>
            <w:vAlign w:val="center"/>
          </w:tcPr>
          <w:p w14:paraId="61A40A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1335" w:type="dxa"/>
            <w:noWrap w:val="0"/>
            <w:vAlign w:val="center"/>
          </w:tcPr>
          <w:p w14:paraId="28D6CAD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检查方法及评价依据</w:t>
            </w:r>
          </w:p>
        </w:tc>
        <w:tc>
          <w:tcPr>
            <w:tcW w:w="3620" w:type="dxa"/>
            <w:noWrap w:val="0"/>
            <w:vAlign w:val="center"/>
          </w:tcPr>
          <w:p w14:paraId="0229137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评分方法</w:t>
            </w:r>
          </w:p>
        </w:tc>
        <w:tc>
          <w:tcPr>
            <w:tcW w:w="1519" w:type="dxa"/>
            <w:noWrap w:val="0"/>
            <w:vAlign w:val="center"/>
          </w:tcPr>
          <w:p w14:paraId="3B94A45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应得分</w:t>
            </w:r>
          </w:p>
        </w:tc>
        <w:tc>
          <w:tcPr>
            <w:tcW w:w="0" w:type="auto"/>
            <w:noWrap w:val="0"/>
            <w:vAlign w:val="center"/>
          </w:tcPr>
          <w:p w14:paraId="23E0F8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检查扣分</w:t>
            </w:r>
          </w:p>
        </w:tc>
        <w:tc>
          <w:tcPr>
            <w:tcW w:w="0" w:type="auto"/>
            <w:noWrap w:val="0"/>
            <w:vAlign w:val="center"/>
          </w:tcPr>
          <w:p w14:paraId="63E3988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实际得分</w:t>
            </w:r>
          </w:p>
        </w:tc>
      </w:tr>
      <w:tr w14:paraId="760EE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0" w:type="auto"/>
            <w:noWrap w:val="0"/>
            <w:vAlign w:val="center"/>
          </w:tcPr>
          <w:p w14:paraId="5237E95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送货及时性</w:t>
            </w:r>
          </w:p>
        </w:tc>
        <w:tc>
          <w:tcPr>
            <w:tcW w:w="1335" w:type="dxa"/>
            <w:noWrap w:val="0"/>
            <w:vAlign w:val="center"/>
          </w:tcPr>
          <w:p w14:paraId="5F6CF14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要求按时送货</w:t>
            </w:r>
          </w:p>
        </w:tc>
        <w:tc>
          <w:tcPr>
            <w:tcW w:w="3620" w:type="dxa"/>
            <w:noWrap w:val="0"/>
            <w:vAlign w:val="center"/>
          </w:tcPr>
          <w:p w14:paraId="57AEDFC9">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1、送货迟到，但不耽误饮食服务部工作的，每迟到一次扣2分；</w:t>
            </w:r>
          </w:p>
          <w:p w14:paraId="034F46C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2、送货迟到，且耽误饮食服务部工作的，每迟到一次扣5分。</w:t>
            </w:r>
          </w:p>
        </w:tc>
        <w:tc>
          <w:tcPr>
            <w:tcW w:w="1519" w:type="dxa"/>
            <w:noWrap w:val="0"/>
            <w:vAlign w:val="center"/>
          </w:tcPr>
          <w:p w14:paraId="3FD6E5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c>
          <w:tcPr>
            <w:tcW w:w="0" w:type="auto"/>
            <w:noWrap w:val="0"/>
            <w:vAlign w:val="center"/>
          </w:tcPr>
          <w:p w14:paraId="15CB4A7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c>
          <w:tcPr>
            <w:tcW w:w="0" w:type="auto"/>
            <w:noWrap w:val="0"/>
            <w:vAlign w:val="center"/>
          </w:tcPr>
          <w:p w14:paraId="52FB618C">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r>
      <w:tr w14:paraId="0866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noWrap w:val="0"/>
            <w:vAlign w:val="center"/>
          </w:tcPr>
          <w:p w14:paraId="3E125A3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货品质量</w:t>
            </w:r>
          </w:p>
        </w:tc>
        <w:tc>
          <w:tcPr>
            <w:tcW w:w="1335" w:type="dxa"/>
            <w:noWrap w:val="0"/>
            <w:vAlign w:val="center"/>
          </w:tcPr>
          <w:p w14:paraId="1F42733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要求货品新鲜、质优</w:t>
            </w:r>
          </w:p>
        </w:tc>
        <w:tc>
          <w:tcPr>
            <w:tcW w:w="3620" w:type="dxa"/>
            <w:noWrap w:val="0"/>
            <w:vAlign w:val="center"/>
          </w:tcPr>
          <w:p w14:paraId="06B8167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1、送来货品，品相一般，但都可使用，未变质，每次扣1分；</w:t>
            </w:r>
          </w:p>
          <w:p w14:paraId="725F7621">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2、送来货品，品相较差，但都可使用，未变质，每次扣2分；</w:t>
            </w:r>
          </w:p>
          <w:p w14:paraId="5D95695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3、送来货品，剩余保质期</w:t>
            </w:r>
            <w:r>
              <w:rPr>
                <w:rFonts w:hint="eastAsia" w:ascii="宋体" w:hAnsi="宋体" w:eastAsia="宋体" w:cs="宋体"/>
                <w:color w:val="auto"/>
                <w:sz w:val="21"/>
                <w:szCs w:val="21"/>
                <w:highlight w:val="none"/>
                <w:lang w:val="en-US" w:eastAsia="zh-CN"/>
              </w:rPr>
              <w:t>不符合招标文件要求的</w:t>
            </w:r>
            <w:r>
              <w:rPr>
                <w:rFonts w:hint="eastAsia" w:ascii="宋体" w:hAnsi="宋体" w:eastAsia="宋体" w:cs="宋体"/>
                <w:color w:val="auto"/>
                <w:sz w:val="21"/>
                <w:szCs w:val="21"/>
                <w:highlight w:val="none"/>
                <w:lang w:eastAsia="zh-CN"/>
              </w:rPr>
              <w:t>，每次扣5分；</w:t>
            </w:r>
          </w:p>
          <w:p w14:paraId="7C2DCAA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4、送来货品，过期或变质，每次扣15分。</w:t>
            </w:r>
          </w:p>
        </w:tc>
        <w:tc>
          <w:tcPr>
            <w:tcW w:w="1519" w:type="dxa"/>
            <w:noWrap w:val="0"/>
            <w:vAlign w:val="center"/>
          </w:tcPr>
          <w:p w14:paraId="0F7E2CE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0" w:type="auto"/>
            <w:noWrap w:val="0"/>
            <w:vAlign w:val="center"/>
          </w:tcPr>
          <w:p w14:paraId="101E3097">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c>
          <w:tcPr>
            <w:tcW w:w="0" w:type="auto"/>
            <w:noWrap w:val="0"/>
            <w:vAlign w:val="center"/>
          </w:tcPr>
          <w:p w14:paraId="6A9DB695">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r>
      <w:tr w14:paraId="08F1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noWrap w:val="0"/>
            <w:vAlign w:val="center"/>
          </w:tcPr>
          <w:p w14:paraId="4F716B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货品数量</w:t>
            </w:r>
          </w:p>
        </w:tc>
        <w:tc>
          <w:tcPr>
            <w:tcW w:w="1335" w:type="dxa"/>
            <w:noWrap w:val="0"/>
            <w:vAlign w:val="center"/>
          </w:tcPr>
          <w:p w14:paraId="1AEDC9D0">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要求按订单供应准确数量（允许误差±5%内）</w:t>
            </w:r>
          </w:p>
        </w:tc>
        <w:tc>
          <w:tcPr>
            <w:tcW w:w="3620" w:type="dxa"/>
            <w:noWrap w:val="0"/>
            <w:vAlign w:val="center"/>
          </w:tcPr>
          <w:p w14:paraId="5C5171C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1、±5%≤供货数量误差≤±10%，每次扣1分；</w:t>
            </w:r>
          </w:p>
          <w:p w14:paraId="0812F4C3">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2、±10%&lt;供货数量误差≤±20%，每次扣2分</w:t>
            </w:r>
          </w:p>
          <w:p w14:paraId="4E2BAA2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3、供货数量误&gt;±20%，每次扣3分。</w:t>
            </w:r>
          </w:p>
        </w:tc>
        <w:tc>
          <w:tcPr>
            <w:tcW w:w="1519" w:type="dxa"/>
            <w:noWrap w:val="0"/>
            <w:vAlign w:val="center"/>
          </w:tcPr>
          <w:p w14:paraId="56B1869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0" w:type="auto"/>
            <w:noWrap w:val="0"/>
            <w:vAlign w:val="center"/>
          </w:tcPr>
          <w:p w14:paraId="0FBAA1F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c>
          <w:tcPr>
            <w:tcW w:w="0" w:type="auto"/>
            <w:noWrap w:val="0"/>
            <w:vAlign w:val="center"/>
          </w:tcPr>
          <w:p w14:paraId="39F36EC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r>
      <w:tr w14:paraId="264D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0" w:type="auto"/>
            <w:noWrap w:val="0"/>
            <w:vAlign w:val="center"/>
          </w:tcPr>
          <w:p w14:paraId="647CE5D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服务态度</w:t>
            </w:r>
          </w:p>
        </w:tc>
        <w:tc>
          <w:tcPr>
            <w:tcW w:w="1335" w:type="dxa"/>
            <w:noWrap w:val="0"/>
            <w:vAlign w:val="center"/>
          </w:tcPr>
          <w:p w14:paraId="7DDDAACA">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要求服务态度良好，积极配合，有问题及时改正</w:t>
            </w:r>
          </w:p>
        </w:tc>
        <w:tc>
          <w:tcPr>
            <w:tcW w:w="3620" w:type="dxa"/>
            <w:noWrap w:val="0"/>
            <w:vAlign w:val="center"/>
          </w:tcPr>
          <w:p w14:paraId="7A39111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1、服务态度一般，但问题及时改正的，每次扣1分；</w:t>
            </w:r>
          </w:p>
          <w:p w14:paraId="5B3A99DD">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2、服务态度一般，且问题不能及时改正的，每次扣2分；</w:t>
            </w:r>
          </w:p>
          <w:p w14:paraId="228A1886">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3、服务态度差，且问题不能及时改正的，每次扣3分。</w:t>
            </w:r>
          </w:p>
        </w:tc>
        <w:tc>
          <w:tcPr>
            <w:tcW w:w="1519" w:type="dxa"/>
            <w:noWrap w:val="0"/>
            <w:vAlign w:val="center"/>
          </w:tcPr>
          <w:p w14:paraId="03DDDB4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0" w:type="auto"/>
            <w:noWrap w:val="0"/>
            <w:vAlign w:val="center"/>
          </w:tcPr>
          <w:p w14:paraId="4A3EF344">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c>
          <w:tcPr>
            <w:tcW w:w="0" w:type="auto"/>
            <w:noWrap w:val="0"/>
            <w:vAlign w:val="center"/>
          </w:tcPr>
          <w:p w14:paraId="2019220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rPr>
            </w:pPr>
          </w:p>
        </w:tc>
      </w:tr>
      <w:tr w14:paraId="424E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69" w:type="dxa"/>
            <w:gridSpan w:val="2"/>
            <w:noWrap w:val="0"/>
            <w:vAlign w:val="center"/>
          </w:tcPr>
          <w:p w14:paraId="088C661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是否存在以下行为</w:t>
            </w:r>
          </w:p>
        </w:tc>
        <w:tc>
          <w:tcPr>
            <w:tcW w:w="3620" w:type="dxa"/>
            <w:noWrap w:val="0"/>
            <w:vAlign w:val="center"/>
          </w:tcPr>
          <w:p w14:paraId="43E76C2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1、供应假冒伪劣产品；</w:t>
            </w:r>
          </w:p>
          <w:p w14:paraId="7A6A4BB2">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2、整改时间结束后仍未达到整改要求。</w:t>
            </w:r>
          </w:p>
        </w:tc>
        <w:tc>
          <w:tcPr>
            <w:tcW w:w="1519" w:type="dxa"/>
            <w:noWrap w:val="0"/>
            <w:vAlign w:val="center"/>
          </w:tcPr>
          <w:p w14:paraId="4F3C8B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1.□是 □否</w:t>
            </w:r>
          </w:p>
          <w:p w14:paraId="5CA475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2.□是 □否</w:t>
            </w:r>
          </w:p>
        </w:tc>
        <w:tc>
          <w:tcPr>
            <w:tcW w:w="0" w:type="auto"/>
            <w:noWrap w:val="0"/>
            <w:vAlign w:val="center"/>
          </w:tcPr>
          <w:p w14:paraId="6C653BDE">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p>
        </w:tc>
        <w:tc>
          <w:tcPr>
            <w:tcW w:w="0" w:type="auto"/>
            <w:noWrap w:val="0"/>
            <w:vAlign w:val="center"/>
          </w:tcPr>
          <w:p w14:paraId="34B4D84B">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color w:val="auto"/>
                <w:sz w:val="21"/>
                <w:szCs w:val="21"/>
                <w:highlight w:val="none"/>
                <w:lang w:eastAsia="zh-CN"/>
              </w:rPr>
            </w:pPr>
          </w:p>
        </w:tc>
      </w:tr>
    </w:tbl>
    <w:p w14:paraId="6F332828">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说明：</w:t>
      </w:r>
    </w:p>
    <w:p w14:paraId="4941731E">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（1）采购人实行不定时、不定人检查，按百分制打分，分好（100分－91分）、中（90分－70分）、差（70分以下）三个档次；供应商应当无条件配合采购人的检查。</w:t>
      </w:r>
    </w:p>
    <w:p w14:paraId="52A24682">
      <w:pPr>
        <w:keepNext w:val="0"/>
        <w:keepLines w:val="0"/>
        <w:pageBreakBefore w:val="0"/>
        <w:widowControl w:val="0"/>
        <w:kinsoku/>
        <w:wordWrap/>
        <w:overflowPunct/>
        <w:topLinePunct w:val="0"/>
        <w:bidi w:val="0"/>
        <w:adjustRightInd w:val="0"/>
        <w:spacing w:line="360" w:lineRule="auto"/>
        <w:ind w:firstLine="42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得分属好的为达标，不扣减当次考核费用；属中的，每扣一分罚1000元，不足1分的按每0.1分为100元计算；属差的（70分以下），情况严重的，视情况的严重性，扣除当次考核费用50%以上，100%以下（含100%）；合同期内属差的累计达三次，采购人有权单方面解除合同。</w:t>
      </w:r>
    </w:p>
    <w:p w14:paraId="2E4D4E45">
      <w:pPr>
        <w:ind w:firstLine="422" w:firstLineChars="200"/>
        <w:rPr>
          <w:rFonts w:hint="eastAsia" w:ascii="宋体" w:hAnsi="宋体" w:cs="Times New Roman"/>
          <w:b/>
          <w:bCs/>
          <w:color w:val="auto"/>
          <w:szCs w:val="21"/>
          <w:highlight w:val="none"/>
        </w:rPr>
      </w:pPr>
    </w:p>
    <w:p w14:paraId="3A376AB7">
      <w:pPr>
        <w:ind w:firstLine="422" w:firstLineChars="200"/>
        <w:rPr>
          <w:rFonts w:hint="eastAsia" w:ascii="宋体" w:hAnsi="宋体" w:cs="Times New Roman"/>
          <w:b/>
          <w:bCs/>
          <w:color w:val="auto"/>
          <w:szCs w:val="21"/>
          <w:highlight w:val="none"/>
        </w:rPr>
      </w:pPr>
    </w:p>
    <w:p w14:paraId="1190D5E5">
      <w:pPr>
        <w:ind w:firstLine="422" w:firstLineChars="200"/>
        <w:rPr>
          <w:rFonts w:hint="eastAsia" w:ascii="宋体" w:hAnsi="宋体" w:cs="Times New Roman"/>
          <w:b/>
          <w:bCs/>
          <w:color w:val="auto"/>
          <w:szCs w:val="21"/>
          <w:highlight w:val="none"/>
        </w:rPr>
      </w:pPr>
      <w:r>
        <w:rPr>
          <w:rFonts w:hint="eastAsia" w:ascii="宋体" w:hAnsi="宋体" w:cs="Times New Roman"/>
          <w:b/>
          <w:bCs/>
          <w:color w:val="auto"/>
          <w:szCs w:val="21"/>
          <w:highlight w:val="none"/>
        </w:rPr>
        <w:t>注：不满足招标文件中 “★”条款的投标文件将作无效投标处理</w:t>
      </w:r>
    </w:p>
    <w:p w14:paraId="20A90E3F">
      <w:pPr>
        <w:rPr>
          <w:rFonts w:hint="eastAsia"/>
          <w:color w:val="auto"/>
          <w:highlight w:val="none"/>
        </w:rPr>
      </w:pPr>
      <w:r>
        <w:rPr>
          <w:rFonts w:hint="eastAsia"/>
          <w:color w:val="auto"/>
          <w:sz w:val="28"/>
          <w:szCs w:val="28"/>
          <w:highlight w:val="none"/>
        </w:rPr>
        <w:br w:type="page"/>
      </w:r>
    </w:p>
    <w:p w14:paraId="2C8E355C">
      <w:pPr>
        <w:pStyle w:val="3"/>
        <w:spacing w:before="0" w:after="0" w:line="240" w:lineRule="auto"/>
        <w:rPr>
          <w:color w:val="auto"/>
          <w:sz w:val="28"/>
          <w:szCs w:val="28"/>
          <w:highlight w:val="none"/>
        </w:rPr>
      </w:pPr>
      <w:bookmarkStart w:id="184" w:name="_Toc28924"/>
      <w:r>
        <w:rPr>
          <w:rFonts w:hint="eastAsia"/>
          <w:color w:val="auto"/>
          <w:sz w:val="28"/>
          <w:szCs w:val="28"/>
          <w:highlight w:val="none"/>
        </w:rPr>
        <w:t>第六部分 合同格式（仅供参考）</w:t>
      </w:r>
      <w:bookmarkEnd w:id="182"/>
      <w:bookmarkEnd w:id="183"/>
      <w:bookmarkEnd w:id="184"/>
      <w:bookmarkStart w:id="185" w:name="_Toc13430"/>
      <w:bookmarkStart w:id="186" w:name="_Toc21155"/>
      <w:bookmarkStart w:id="187" w:name="_Toc1534"/>
    </w:p>
    <w:bookmarkEnd w:id="185"/>
    <w:bookmarkEnd w:id="186"/>
    <w:bookmarkEnd w:id="187"/>
    <w:p w14:paraId="513363DE">
      <w:pPr>
        <w:widowControl w:val="0"/>
        <w:adjustRightInd/>
        <w:snapToGrid/>
        <w:spacing w:line="240" w:lineRule="auto"/>
        <w:jc w:val="center"/>
        <w:rPr>
          <w:rFonts w:hint="eastAsia" w:eastAsia="宋体" w:cs="宋体" w:asciiTheme="minorHAnsi" w:hAnsiTheme="minorHAnsi"/>
          <w:b/>
          <w:color w:val="auto"/>
          <w:kern w:val="2"/>
          <w:sz w:val="44"/>
          <w:szCs w:val="44"/>
          <w:highlight w:val="none"/>
          <w:lang w:eastAsia="zh-CN"/>
        </w:rPr>
      </w:pPr>
      <w:r>
        <w:rPr>
          <w:rFonts w:hint="eastAsia" w:eastAsia="宋体" w:cs="宋体" w:asciiTheme="minorHAnsi" w:hAnsiTheme="minorHAnsi"/>
          <w:b/>
          <w:color w:val="auto"/>
          <w:kern w:val="2"/>
          <w:sz w:val="44"/>
          <w:szCs w:val="44"/>
          <w:highlight w:val="none"/>
          <w:lang w:eastAsia="zh-CN"/>
        </w:rPr>
        <w:t>东莞市寮步华衍学校食材原料等配送服务项目</w:t>
      </w:r>
      <w:r>
        <w:rPr>
          <w:rFonts w:hint="eastAsia" w:eastAsia="宋体" w:cs="宋体" w:asciiTheme="minorHAnsi" w:hAnsiTheme="minorHAnsi"/>
          <w:b/>
          <w:color w:val="auto"/>
          <w:kern w:val="2"/>
          <w:sz w:val="44"/>
          <w:szCs w:val="44"/>
          <w:highlight w:val="none"/>
          <w:lang w:val="en-US" w:eastAsia="zh-CN"/>
        </w:rPr>
        <w:t>合同书</w:t>
      </w:r>
    </w:p>
    <w:p w14:paraId="5E264C89">
      <w:pPr>
        <w:rPr>
          <w:rFonts w:ascii="宋体" w:hAnsi="宋体"/>
          <w:b/>
          <w:color w:val="auto"/>
          <w:szCs w:val="21"/>
          <w:highlight w:val="none"/>
        </w:rPr>
      </w:pPr>
    </w:p>
    <w:p w14:paraId="6811480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甲方：</w:t>
      </w:r>
      <w:r>
        <w:rPr>
          <w:rFonts w:hint="eastAsia" w:ascii="宋体" w:hAnsi="宋体" w:eastAsia="宋体" w:cs="宋体"/>
          <w:color w:val="auto"/>
          <w:highlight w:val="none"/>
          <w:lang w:eastAsia="zh-CN"/>
        </w:rPr>
        <w:t>东莞市寮步华衍学校</w:t>
      </w:r>
      <w:r>
        <w:rPr>
          <w:rFonts w:hint="eastAsia" w:ascii="宋体" w:hAnsi="宋体" w:eastAsia="宋体" w:cs="宋体"/>
          <w:color w:val="auto"/>
          <w:highlight w:val="none"/>
        </w:rPr>
        <w:tab/>
      </w:r>
    </w:p>
    <w:p w14:paraId="17D0BAB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电话：</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rPr>
        <w:tab/>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地址：  </w:t>
      </w:r>
      <w:r>
        <w:rPr>
          <w:rFonts w:hint="eastAsia" w:ascii="宋体" w:hAnsi="宋体" w:eastAsia="宋体" w:cs="宋体"/>
          <w:color w:val="auto"/>
          <w:highlight w:val="none"/>
        </w:rPr>
        <w:tab/>
      </w:r>
    </w:p>
    <w:p w14:paraId="7273F63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乙方：  </w:t>
      </w:r>
      <w:r>
        <w:rPr>
          <w:rFonts w:hint="eastAsia" w:ascii="宋体" w:hAnsi="宋体" w:eastAsia="宋体" w:cs="宋体"/>
          <w:color w:val="auto"/>
          <w:highlight w:val="none"/>
        </w:rPr>
        <w:tab/>
      </w:r>
    </w:p>
    <w:p w14:paraId="2B543047">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电话：</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ascii="宋体" w:hAnsi="宋体" w:eastAsia="宋体" w:cs="宋体"/>
          <w:color w:val="auto"/>
          <w:highlight w:val="none"/>
        </w:rPr>
        <w:tab/>
      </w:r>
      <w:r>
        <w:rPr>
          <w:rFonts w:hint="eastAsia" w:ascii="宋体" w:hAnsi="宋体" w:eastAsia="宋体" w:cs="宋体"/>
          <w:color w:val="auto"/>
          <w:highlight w:val="none"/>
        </w:rPr>
        <w:t xml:space="preserve">地址：  </w:t>
      </w:r>
      <w:r>
        <w:rPr>
          <w:rFonts w:hint="eastAsia" w:ascii="宋体" w:hAnsi="宋体" w:eastAsia="宋体" w:cs="宋体"/>
          <w:color w:val="auto"/>
          <w:highlight w:val="none"/>
        </w:rPr>
        <w:tab/>
      </w:r>
    </w:p>
    <w:p w14:paraId="6CAB3110">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p>
    <w:p w14:paraId="233D725B">
      <w:pPr>
        <w:keepNext w:val="0"/>
        <w:keepLines w:val="0"/>
        <w:pageBreakBefore w:val="0"/>
        <w:widowControl w:val="0"/>
        <w:kinsoku/>
        <w:wordWrap/>
        <w:overflowPunct/>
        <w:topLinePunct w:val="0"/>
        <w:autoSpaceDE/>
        <w:autoSpaceDN/>
        <w:bidi w:val="0"/>
        <w:adjustRightInd/>
        <w:spacing w:line="360" w:lineRule="auto"/>
        <w:ind w:firstLine="44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本合同签订是根据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日公开招标确定，项目名称：</w:t>
      </w:r>
      <w:r>
        <w:rPr>
          <w:rFonts w:hint="eastAsia" w:ascii="宋体" w:hAnsi="宋体" w:eastAsia="宋体" w:cs="宋体"/>
          <w:color w:val="auto"/>
          <w:sz w:val="21"/>
          <w:szCs w:val="21"/>
          <w:highlight w:val="none"/>
          <w:u w:val="single"/>
          <w:lang w:eastAsia="zh-CN"/>
        </w:rPr>
        <w:t>东莞市寮步华衍学校食材原料等配送服务项目</w:t>
      </w:r>
      <w:r>
        <w:rPr>
          <w:rFonts w:hint="eastAsia" w:ascii="宋体" w:hAnsi="宋体" w:eastAsia="宋体" w:cs="宋体"/>
          <w:color w:val="auto"/>
          <w:sz w:val="21"/>
          <w:szCs w:val="21"/>
          <w:highlight w:val="none"/>
        </w:rPr>
        <w:t>采购项目（</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编号：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），按照《中华人民共和国民法典》及招标文件和中标通知书的要求，甲乙双方本着平等互利和诚实信用的原则，协商一致同意签订本合同，并共同遵守各项条款。</w:t>
      </w:r>
    </w:p>
    <w:p w14:paraId="3F55F598">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lang w:val="en-US" w:eastAsia="zh-CN"/>
        </w:rPr>
        <w:t>服务期限及地点</w:t>
      </w:r>
    </w:p>
    <w:p w14:paraId="2120CB80">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1、服务期：</w:t>
      </w:r>
      <w:r>
        <w:rPr>
          <w:rFonts w:hint="eastAsia" w:ascii="宋体" w:hAnsi="宋体" w:eastAsia="宋体" w:cs="宋体"/>
          <w:color w:val="auto"/>
          <w:sz w:val="21"/>
          <w:szCs w:val="21"/>
          <w:highlight w:val="none"/>
          <w:lang w:val="en-US" w:eastAsia="zh-CN"/>
        </w:rPr>
        <w:t>自合同签订并生效之日起1年</w:t>
      </w:r>
      <w:r>
        <w:rPr>
          <w:rFonts w:hint="eastAsia" w:ascii="宋体" w:hAnsi="宋体" w:eastAsia="宋体" w:cs="宋体"/>
          <w:color w:val="auto"/>
          <w:sz w:val="21"/>
          <w:szCs w:val="21"/>
          <w:highlight w:val="none"/>
          <w:lang w:eastAsia="zh-CN"/>
        </w:rPr>
        <w:t>，即_____年_____月_____</w:t>
      </w:r>
      <w:r>
        <w:rPr>
          <w:rFonts w:hint="eastAsia" w:ascii="宋体" w:hAnsi="宋体" w:eastAsia="宋体" w:cs="宋体"/>
          <w:color w:val="auto"/>
          <w:sz w:val="21"/>
          <w:szCs w:val="21"/>
          <w:highlight w:val="none"/>
          <w:lang w:val="en-US" w:eastAsia="zh-CN"/>
        </w:rPr>
        <w:t>日</w:t>
      </w:r>
      <w:r>
        <w:rPr>
          <w:rFonts w:hint="eastAsia" w:ascii="宋体" w:hAnsi="宋体" w:eastAsia="宋体" w:cs="宋体"/>
          <w:color w:val="auto"/>
          <w:sz w:val="21"/>
          <w:szCs w:val="21"/>
          <w:highlight w:val="none"/>
          <w:lang w:eastAsia="zh-CN"/>
        </w:rPr>
        <w:t>至_____年_____月_____</w:t>
      </w:r>
      <w:r>
        <w:rPr>
          <w:rFonts w:hint="eastAsia" w:ascii="宋体" w:hAnsi="宋体" w:eastAsia="宋体" w:cs="宋体"/>
          <w:color w:val="auto"/>
          <w:sz w:val="21"/>
          <w:szCs w:val="21"/>
          <w:highlight w:val="none"/>
          <w:lang w:val="en-US" w:eastAsia="zh-CN"/>
        </w:rPr>
        <w:t>日</w:t>
      </w:r>
      <w:r>
        <w:rPr>
          <w:rFonts w:hint="eastAsia" w:ascii="宋体" w:hAnsi="宋体" w:eastAsia="宋体" w:cs="宋体"/>
          <w:color w:val="auto"/>
          <w:sz w:val="21"/>
          <w:szCs w:val="21"/>
          <w:highlight w:val="none"/>
          <w:lang w:eastAsia="zh-CN"/>
        </w:rPr>
        <w:t>。</w:t>
      </w:r>
    </w:p>
    <w:p w14:paraId="5AF07009">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2、服务地点：东莞市寮步华衍学校</w:t>
      </w:r>
    </w:p>
    <w:p w14:paraId="1EF1B3C9">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 xml:space="preserve">二、服务范围 </w:t>
      </w:r>
    </w:p>
    <w:p w14:paraId="53D8AE7C">
      <w:pPr>
        <w:keepNext w:val="0"/>
        <w:keepLines w:val="0"/>
        <w:pageBreakBefore w:val="0"/>
        <w:widowControl w:val="0"/>
        <w:kinsoku/>
        <w:wordWrap/>
        <w:overflowPunct/>
        <w:topLinePunct w:val="0"/>
        <w:autoSpaceDE/>
        <w:autoSpaceDN/>
        <w:bidi w:val="0"/>
        <w:adjustRightInd/>
        <w:spacing w:line="360" w:lineRule="auto"/>
        <w:ind w:left="239" w:leftChars="114" w:firstLine="268" w:firstLineChars="128"/>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甲方聘请乙方提供以下服务：承担东莞市寮步华衍学校食材原料等配送服务，包括</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eastAsia="zh-CN"/>
        </w:rPr>
        <w:t>等食材。</w:t>
      </w:r>
    </w:p>
    <w:p w14:paraId="00261DC7">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三、</w:t>
      </w:r>
      <w:r>
        <w:rPr>
          <w:rFonts w:hint="eastAsia" w:ascii="宋体" w:hAnsi="宋体" w:eastAsia="宋体" w:cs="宋体"/>
          <w:b/>
          <w:bCs/>
          <w:snapToGrid w:val="0"/>
          <w:color w:val="auto"/>
          <w:sz w:val="21"/>
          <w:szCs w:val="21"/>
          <w:highlight w:val="none"/>
          <w:lang w:eastAsia="zh-CN"/>
        </w:rPr>
        <w:t>服务内容、标准及要求</w:t>
      </w:r>
    </w:p>
    <w:p w14:paraId="53999305">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详见招标文件第五部分《用户需求书》。</w:t>
      </w:r>
    </w:p>
    <w:p w14:paraId="73BAD61F">
      <w:pPr>
        <w:keepNext w:val="0"/>
        <w:keepLines w:val="0"/>
        <w:pageBreakBefore w:val="0"/>
        <w:widowControl w:val="0"/>
        <w:kinsoku/>
        <w:wordWrap/>
        <w:overflowPunct/>
        <w:topLinePunct w:val="0"/>
        <w:autoSpaceDE/>
        <w:autoSpaceDN/>
        <w:bidi w:val="0"/>
        <w:adjustRightInd/>
        <w:snapToGrid/>
        <w:spacing w:after="0" w:line="360" w:lineRule="auto"/>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四、合同价款及付款方式</w:t>
      </w:r>
    </w:p>
    <w:p w14:paraId="6504461B">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1、下浮率：</w:t>
      </w:r>
      <w:r>
        <w:rPr>
          <w:rFonts w:hint="eastAsia" w:ascii="宋体" w:hAnsi="宋体" w:eastAsia="宋体" w:cs="宋体"/>
          <w:color w:val="auto"/>
          <w:sz w:val="21"/>
          <w:szCs w:val="21"/>
          <w:highlight w:val="none"/>
          <w:u w:val="single"/>
          <w:lang w:val="en-US" w:eastAsia="zh-CN"/>
        </w:rPr>
        <w:t xml:space="preserve">      %。</w:t>
      </w:r>
    </w:p>
    <w:p w14:paraId="521D1F86">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2、每月结算一次，甲方和乙方按定价说明确定供货价格，结算公式：结算价格＝结算基准价×（1-下浮率）×实际供货数量-考核表扣款，乙方完成当月供货订单后，次</w:t>
      </w:r>
      <w:r>
        <w:rPr>
          <w:rFonts w:hint="eastAsia" w:ascii="宋体" w:hAnsi="宋体" w:eastAsia="宋体" w:cs="宋体"/>
          <w:color w:val="auto"/>
          <w:sz w:val="21"/>
          <w:szCs w:val="21"/>
          <w:highlight w:val="none"/>
          <w:lang w:eastAsia="zh-CN"/>
        </w:rPr>
        <w:t>月10号前根据上月的收货凭证与甲方对上月货款、</w:t>
      </w:r>
      <w:r>
        <w:rPr>
          <w:rFonts w:hint="eastAsia" w:ascii="宋体" w:hAnsi="宋体" w:eastAsia="宋体" w:cs="宋体"/>
          <w:color w:val="auto"/>
          <w:sz w:val="21"/>
          <w:szCs w:val="21"/>
          <w:highlight w:val="none"/>
          <w:lang w:val="en-US" w:eastAsia="zh-CN"/>
        </w:rPr>
        <w:t>考核表</w:t>
      </w:r>
      <w:r>
        <w:rPr>
          <w:rFonts w:hint="eastAsia" w:ascii="宋体" w:hAnsi="宋体" w:eastAsia="宋体" w:cs="宋体"/>
          <w:color w:val="auto"/>
          <w:sz w:val="21"/>
          <w:szCs w:val="21"/>
          <w:highlight w:val="none"/>
          <w:lang w:eastAsia="zh-CN"/>
        </w:rPr>
        <w:t>进行确认，并向甲方提出付款申请及开具相应数额的含税发票。甲方收到申请核对无误后在15个工作日内结清上月所有货款。</w:t>
      </w:r>
    </w:p>
    <w:p w14:paraId="42039CB3">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收款方、发票的销售方、合同乙方均必须与乙方名称一致。</w:t>
      </w:r>
    </w:p>
    <w:p w14:paraId="70BB6F6D">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、如因政策或付款流程影响，拨款未能及时到位，甲方不承担逾期付款的责任，且</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lang w:eastAsia="zh-CN"/>
        </w:rPr>
        <w:t>不得以此为由而不履行本合同约定的义务。</w:t>
      </w:r>
    </w:p>
    <w:p w14:paraId="39FDFFAA">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5、定价</w:t>
      </w:r>
      <w:r>
        <w:rPr>
          <w:rFonts w:hint="eastAsia" w:ascii="宋体" w:hAnsi="宋体" w:eastAsia="宋体" w:cs="宋体"/>
          <w:color w:val="auto"/>
          <w:sz w:val="21"/>
          <w:szCs w:val="21"/>
          <w:highlight w:val="none"/>
        </w:rPr>
        <w:t>说明</w:t>
      </w:r>
      <w:r>
        <w:rPr>
          <w:rFonts w:hint="eastAsia" w:ascii="宋体" w:hAnsi="宋体" w:eastAsia="宋体" w:cs="宋体"/>
          <w:color w:val="auto"/>
          <w:sz w:val="21"/>
          <w:szCs w:val="21"/>
          <w:highlight w:val="none"/>
          <w:lang w:eastAsia="zh-CN"/>
        </w:rPr>
        <w:t>：</w:t>
      </w:r>
    </w:p>
    <w:p w14:paraId="1C76030F">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结算基准价：甲方与乙方双方根据“基准价的定价原则及周期”的要求确定结算基准价，参考供货当前时段东莞市发展和改革局公布同期“广东省菜篮子价格监测表”中最新一期的“东莞市菜篮子价格监测表”的价格，若“广东省菜篮子价格监测表”无甲方所需的货品，则甲方和乙方双方共同在就近三个市场参考同类产品价格的平均价作为结算基准价，确定供货价格。</w:t>
      </w:r>
    </w:p>
    <w:p w14:paraId="67034227">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（2）定价周期：</w:t>
      </w:r>
      <w:r>
        <w:rPr>
          <w:rFonts w:hint="eastAsia" w:ascii="宋体" w:hAnsi="宋体" w:cs="宋体"/>
          <w:color w:val="auto"/>
          <w:sz w:val="21"/>
          <w:szCs w:val="21"/>
          <w:highlight w:val="none"/>
          <w:lang w:val="en-US" w:eastAsia="zh-CN"/>
        </w:rPr>
        <w:t>原则上采购包A</w:t>
      </w:r>
      <w:r>
        <w:rPr>
          <w:rFonts w:hint="eastAsia" w:ascii="宋体" w:hAnsi="宋体" w:eastAsia="宋体" w:cs="宋体"/>
          <w:color w:val="auto"/>
          <w:sz w:val="21"/>
          <w:szCs w:val="21"/>
          <w:highlight w:val="none"/>
        </w:rPr>
        <w:t>每</w:t>
      </w:r>
      <w:r>
        <w:rPr>
          <w:rFonts w:hint="eastAsia" w:ascii="宋体" w:hAnsi="宋体" w:cs="宋体"/>
          <w:color w:val="auto"/>
          <w:sz w:val="21"/>
          <w:szCs w:val="21"/>
          <w:highlight w:val="none"/>
          <w:lang w:val="en-US" w:eastAsia="zh-CN"/>
        </w:rPr>
        <w:t>两周</w:t>
      </w:r>
      <w:r>
        <w:rPr>
          <w:rFonts w:hint="eastAsia" w:ascii="宋体" w:hAnsi="宋体" w:eastAsia="宋体" w:cs="宋体"/>
          <w:color w:val="auto"/>
          <w:sz w:val="21"/>
          <w:szCs w:val="21"/>
          <w:highlight w:val="none"/>
        </w:rPr>
        <w:t>更新一次，</w:t>
      </w:r>
      <w:r>
        <w:rPr>
          <w:rFonts w:hint="eastAsia" w:ascii="宋体" w:hAnsi="宋体" w:cs="宋体"/>
          <w:color w:val="auto"/>
          <w:sz w:val="21"/>
          <w:szCs w:val="21"/>
          <w:highlight w:val="none"/>
          <w:lang w:val="en-US" w:eastAsia="zh-CN"/>
        </w:rPr>
        <w:t>采购包B、采购包C以及采购包D</w:t>
      </w:r>
      <w:r>
        <w:rPr>
          <w:rFonts w:hint="eastAsia" w:ascii="宋体" w:hAnsi="宋体" w:eastAsia="宋体" w:cs="宋体"/>
          <w:color w:val="auto"/>
          <w:sz w:val="21"/>
          <w:szCs w:val="21"/>
          <w:highlight w:val="none"/>
        </w:rPr>
        <w:t>每</w:t>
      </w:r>
      <w:r>
        <w:rPr>
          <w:rFonts w:hint="eastAsia" w:ascii="宋体" w:hAnsi="宋体" w:cs="宋体"/>
          <w:color w:val="auto"/>
          <w:sz w:val="21"/>
          <w:szCs w:val="21"/>
          <w:highlight w:val="none"/>
          <w:lang w:val="en-US" w:eastAsia="zh-CN"/>
        </w:rPr>
        <w:t>半年</w:t>
      </w:r>
      <w:r>
        <w:rPr>
          <w:rFonts w:hint="eastAsia" w:ascii="宋体" w:hAnsi="宋体" w:eastAsia="宋体" w:cs="宋体"/>
          <w:color w:val="auto"/>
          <w:sz w:val="21"/>
          <w:szCs w:val="21"/>
          <w:highlight w:val="none"/>
        </w:rPr>
        <w:t>更新一次</w:t>
      </w:r>
      <w:r>
        <w:rPr>
          <w:rFonts w:hint="eastAsia" w:ascii="宋体" w:hAnsi="宋体" w:cs="宋体"/>
          <w:color w:val="auto"/>
          <w:sz w:val="21"/>
          <w:szCs w:val="21"/>
          <w:highlight w:val="none"/>
          <w:lang w:eastAsia="zh-CN"/>
        </w:rPr>
        <w:t>，具体定价周期时间以</w:t>
      </w:r>
      <w:r>
        <w:rPr>
          <w:rFonts w:hint="eastAsia" w:ascii="宋体" w:hAnsi="宋体" w:cs="宋体"/>
          <w:color w:val="auto"/>
          <w:sz w:val="21"/>
          <w:szCs w:val="21"/>
          <w:highlight w:val="none"/>
          <w:lang w:val="en-US" w:eastAsia="zh-CN"/>
        </w:rPr>
        <w:t>甲方</w:t>
      </w:r>
      <w:r>
        <w:rPr>
          <w:rFonts w:hint="eastAsia" w:ascii="宋体" w:hAnsi="宋体" w:cs="宋体"/>
          <w:color w:val="auto"/>
          <w:sz w:val="21"/>
          <w:szCs w:val="21"/>
          <w:highlight w:val="none"/>
          <w:lang w:eastAsia="zh-CN"/>
        </w:rPr>
        <w:t>书面通知。</w:t>
      </w:r>
      <w:r>
        <w:rPr>
          <w:rFonts w:hint="eastAsia" w:ascii="宋体" w:hAnsi="宋体" w:cs="宋体"/>
          <w:color w:val="auto"/>
          <w:sz w:val="21"/>
          <w:szCs w:val="21"/>
          <w:highlight w:val="none"/>
          <w:lang w:val="en-US" w:eastAsia="zh-CN"/>
        </w:rPr>
        <w:t>乙方收到甲方书面通知后将</w:t>
      </w:r>
      <w:r>
        <w:rPr>
          <w:rFonts w:hint="eastAsia" w:ascii="宋体" w:hAnsi="宋体" w:eastAsia="宋体" w:cs="宋体"/>
          <w:color w:val="auto"/>
          <w:sz w:val="21"/>
          <w:szCs w:val="21"/>
          <w:highlight w:val="none"/>
        </w:rPr>
        <w:t>报价清单给</w:t>
      </w:r>
      <w:r>
        <w:rPr>
          <w:rFonts w:hint="eastAsia" w:ascii="宋体" w:hAnsi="宋体" w:cs="宋体"/>
          <w:color w:val="auto"/>
          <w:sz w:val="21"/>
          <w:szCs w:val="21"/>
          <w:highlight w:val="none"/>
          <w:lang w:val="en-US" w:eastAsia="zh-CN"/>
        </w:rPr>
        <w:t>甲方</w:t>
      </w:r>
      <w:r>
        <w:rPr>
          <w:rFonts w:hint="eastAsia" w:ascii="宋体" w:hAnsi="宋体" w:eastAsia="宋体" w:cs="宋体"/>
          <w:color w:val="auto"/>
          <w:sz w:val="21"/>
          <w:szCs w:val="21"/>
          <w:highlight w:val="none"/>
        </w:rPr>
        <w:t>审核，双方签字后生效。</w:t>
      </w:r>
    </w:p>
    <w:p w14:paraId="07653381">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（3）若遇台风、暴雨等意外原因造成的个别品种价格需临时调整，应通知甲方，并征得甲方同意后方可调整，每次送货按通知价格计算。</w:t>
      </w:r>
    </w:p>
    <w:p w14:paraId="3FB3F679">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五、违约责任</w:t>
      </w:r>
    </w:p>
    <w:p w14:paraId="03A7ADA7">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1、如因乙方供货不及时或货品质量不合格发生的事故，乙方应承担一切责任，并赔偿损失。</w:t>
      </w:r>
    </w:p>
    <w:p w14:paraId="5FC121E1">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2、因乙方所送食品造成学校人员食用后发生集体食物中毒的，经卫生防疫部门鉴定，如属乙方责任，则由乙方承担全部医疗费及法律责任，且学校有权立即终止合约。</w:t>
      </w:r>
    </w:p>
    <w:p w14:paraId="47BD80B1">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3、乙方提供的全部货品采用相应标准的保护措施进行包装，乙方应承担由于包装不妥而引起的全部损失。</w:t>
      </w:r>
    </w:p>
    <w:p w14:paraId="52FEA76F">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乙方运送货物时须对场地内的设备、设施有良好保护措施，若乙方在配送过程中损坏甲方的物品，乙方应照价赔偿。送货专员须持有在有效期内的健康证，送货专员在甲方单位活动必须严格遵守甲方单位各项规章制度，不得做出有损甲方形象和利益的事情。</w:t>
      </w:r>
    </w:p>
    <w:p w14:paraId="3C6D77B0">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5、其它违约责任按《中华人民共和国民法典(合同编)》处理。</w:t>
      </w:r>
    </w:p>
    <w:p w14:paraId="1BAC6B3A">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六、</w:t>
      </w:r>
      <w:r>
        <w:rPr>
          <w:rFonts w:hint="eastAsia" w:ascii="宋体" w:hAnsi="宋体" w:eastAsia="宋体" w:cs="宋体"/>
          <w:b/>
          <w:bCs/>
          <w:color w:val="auto"/>
          <w:sz w:val="21"/>
          <w:szCs w:val="21"/>
          <w:highlight w:val="none"/>
          <w:lang w:eastAsia="zh-CN"/>
        </w:rPr>
        <w:t>争议的解决</w:t>
      </w:r>
    </w:p>
    <w:p w14:paraId="3C40904D">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合同执行过程中发生的任何争议，如双方不能通过友好协商解决，按相关法律法规处理。</w:t>
      </w:r>
    </w:p>
    <w:p w14:paraId="12C5BBD8">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lang w:eastAsia="zh-CN"/>
        </w:rPr>
        <w:t>、不可抗力</w:t>
      </w:r>
    </w:p>
    <w:p w14:paraId="401E1FC2">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5FE83C0">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lang w:eastAsia="zh-CN"/>
        </w:rPr>
        <w:t>、税费</w:t>
      </w:r>
    </w:p>
    <w:p w14:paraId="04F6617A">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在中国境内、外发生的与本合同执行有关的一切税费均由乙方负担。</w:t>
      </w:r>
    </w:p>
    <w:p w14:paraId="6AD9B2BD">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九</w:t>
      </w:r>
      <w:r>
        <w:rPr>
          <w:rFonts w:hint="eastAsia" w:ascii="宋体" w:hAnsi="宋体" w:eastAsia="宋体" w:cs="宋体"/>
          <w:b/>
          <w:bCs/>
          <w:color w:val="auto"/>
          <w:sz w:val="21"/>
          <w:szCs w:val="21"/>
          <w:highlight w:val="none"/>
          <w:lang w:eastAsia="zh-CN"/>
        </w:rPr>
        <w:t>、其它</w:t>
      </w:r>
    </w:p>
    <w:p w14:paraId="2E9200EC">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1.本合同所有附件、招标文件、投标文件、中标通知书均为合同的有效组成部分，与本合同具有同等法律效力。</w:t>
      </w:r>
    </w:p>
    <w:p w14:paraId="70A17DE6">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2.在执行本合同的过程中，所有经双方签署确认的文件（包括会议纪要、补充协议、往来信函）即成为本合同的有效组成部分。</w:t>
      </w:r>
    </w:p>
    <w:p w14:paraId="201B752B">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3.如一方地址、电话、传真号码有变更，应在变更当日内书面通知对方，否则，应承担相应责任。</w:t>
      </w:r>
    </w:p>
    <w:p w14:paraId="280FC8BC">
      <w:pPr>
        <w:keepNext w:val="0"/>
        <w:keepLines w:val="0"/>
        <w:pageBreakBefore w:val="0"/>
        <w:widowControl w:val="0"/>
        <w:kinsoku/>
        <w:wordWrap/>
        <w:overflowPunct/>
        <w:topLinePunct w:val="0"/>
        <w:autoSpaceDE/>
        <w:autoSpaceDN/>
        <w:bidi w:val="0"/>
        <w:adjustRightIn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4.除甲方事先书面同意外，乙方不得部分或全部转让其应履行的合同项下的义务。</w:t>
      </w:r>
    </w:p>
    <w:p w14:paraId="5BF3D768">
      <w:pPr>
        <w:keepNext w:val="0"/>
        <w:keepLines w:val="0"/>
        <w:pageBreakBefore w:val="0"/>
        <w:widowControl w:val="0"/>
        <w:kinsoku/>
        <w:wordWrap/>
        <w:overflowPunct/>
        <w:topLinePunct w:val="0"/>
        <w:autoSpaceDE/>
        <w:autoSpaceDN/>
        <w:bidi w:val="0"/>
        <w:adjustRightInd/>
        <w:spacing w:line="360" w:lineRule="auto"/>
        <w:textAlignment w:val="auto"/>
        <w:outlineLvl w:val="2"/>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eastAsia="zh-CN"/>
        </w:rPr>
        <w:t>、合同生效</w:t>
      </w:r>
    </w:p>
    <w:p w14:paraId="6AE13F0A">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1.本合同在甲乙双方法人代表或其授权代表签字盖章后生效。</w:t>
      </w:r>
    </w:p>
    <w:p w14:paraId="5D349D46">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2.合同一式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份。</w:t>
      </w:r>
    </w:p>
    <w:p w14:paraId="7541A8B5">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p>
    <w:p w14:paraId="20A2B61A">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甲方（盖章）：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乙方（盖章）：</w:t>
      </w:r>
    </w:p>
    <w:p w14:paraId="6A5CFBA9">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法人</w:t>
      </w:r>
      <w:r>
        <w:rPr>
          <w:rFonts w:hint="eastAsia" w:ascii="宋体" w:hAnsi="宋体" w:eastAsia="宋体" w:cs="宋体"/>
          <w:color w:val="auto"/>
          <w:sz w:val="21"/>
          <w:szCs w:val="21"/>
          <w:highlight w:val="none"/>
          <w:lang w:eastAsia="zh-CN"/>
        </w:rPr>
        <w:t xml:space="preserve">代表：                              </w:t>
      </w:r>
      <w:r>
        <w:rPr>
          <w:rFonts w:hint="eastAsia" w:ascii="宋体" w:hAnsi="宋体" w:eastAsia="宋体" w:cs="宋体"/>
          <w:color w:val="auto"/>
          <w:sz w:val="21"/>
          <w:szCs w:val="21"/>
          <w:highlight w:val="none"/>
          <w:lang w:val="en-US" w:eastAsia="zh-CN"/>
        </w:rPr>
        <w:t>法人</w:t>
      </w:r>
      <w:r>
        <w:rPr>
          <w:rFonts w:hint="eastAsia" w:ascii="宋体" w:hAnsi="宋体" w:eastAsia="宋体" w:cs="宋体"/>
          <w:color w:val="auto"/>
          <w:sz w:val="21"/>
          <w:szCs w:val="21"/>
          <w:highlight w:val="none"/>
          <w:lang w:eastAsia="zh-CN"/>
        </w:rPr>
        <w:t xml:space="preserve">代表： </w:t>
      </w:r>
    </w:p>
    <w:p w14:paraId="491961FB">
      <w:pPr>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签订日期：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 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日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签订日期：</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年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 xml:space="preserve">月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日</w:t>
      </w:r>
    </w:p>
    <w:p w14:paraId="2155F1D3">
      <w:pPr>
        <w:keepNext w:val="0"/>
        <w:keepLines w:val="0"/>
        <w:pageBreakBefore w:val="0"/>
        <w:widowControl w:val="0"/>
        <w:kinsoku/>
        <w:wordWrap/>
        <w:overflowPunct/>
        <w:topLinePunct w:val="0"/>
        <w:autoSpaceDE/>
        <w:autoSpaceDN/>
        <w:bidi w:val="0"/>
        <w:adjustRightInd/>
        <w:spacing w:line="360" w:lineRule="auto"/>
        <w:ind w:firstLine="4620" w:firstLineChars="2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p w14:paraId="708D2362">
      <w:pPr>
        <w:keepNext w:val="0"/>
        <w:keepLines w:val="0"/>
        <w:pageBreakBefore w:val="0"/>
        <w:widowControl w:val="0"/>
        <w:kinsoku/>
        <w:wordWrap/>
        <w:overflowPunct/>
        <w:topLinePunct w:val="0"/>
        <w:autoSpaceDE/>
        <w:autoSpaceDN/>
        <w:bidi w:val="0"/>
        <w:adjustRightInd/>
        <w:spacing w:line="360" w:lineRule="auto"/>
        <w:ind w:firstLine="4620" w:firstLineChars="2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银行账号</w:t>
      </w:r>
      <w:r>
        <w:rPr>
          <w:rFonts w:hint="eastAsia" w:ascii="宋体" w:hAnsi="宋体" w:eastAsia="宋体" w:cs="宋体"/>
          <w:color w:val="auto"/>
          <w:sz w:val="21"/>
          <w:szCs w:val="21"/>
          <w:highlight w:val="none"/>
        </w:rPr>
        <w:t>：</w:t>
      </w:r>
    </w:p>
    <w:p w14:paraId="78D213CB">
      <w:pPr>
        <w:keepNext w:val="0"/>
        <w:keepLines w:val="0"/>
        <w:pageBreakBefore w:val="0"/>
        <w:widowControl w:val="0"/>
        <w:kinsoku/>
        <w:wordWrap/>
        <w:overflowPunct/>
        <w:topLinePunct w:val="0"/>
        <w:autoSpaceDE/>
        <w:autoSpaceDN/>
        <w:bidi w:val="0"/>
        <w:adjustRightInd/>
        <w:spacing w:line="360" w:lineRule="auto"/>
        <w:ind w:firstLine="4620" w:firstLineChars="2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开 户 行：</w:t>
      </w:r>
    </w:p>
    <w:p w14:paraId="64BACD01">
      <w:pPr>
        <w:jc w:val="center"/>
        <w:rPr>
          <w:rFonts w:ascii="宋体" w:hAnsi="宋体"/>
          <w:b/>
          <w:color w:val="auto"/>
          <w:szCs w:val="21"/>
          <w:highlight w:val="none"/>
        </w:rPr>
      </w:pPr>
      <w:r>
        <w:rPr>
          <w:rFonts w:hint="eastAsia" w:ascii="宋体" w:hAnsi="宋体" w:eastAsia="宋体"/>
          <w:b/>
          <w:color w:val="auto"/>
          <w:sz w:val="21"/>
          <w:szCs w:val="21"/>
          <w:highlight w:val="none"/>
        </w:rPr>
        <w:t>此仅为合同书样本，中标人需根据实际情况和甲方签订相应的合同！</w:t>
      </w:r>
    </w:p>
    <w:p w14:paraId="22913337">
      <w:pPr>
        <w:rPr>
          <w:color w:val="auto"/>
          <w:sz w:val="28"/>
          <w:szCs w:val="28"/>
          <w:highlight w:val="none"/>
        </w:rPr>
      </w:pPr>
      <w:bookmarkStart w:id="188" w:name="_Toc31587"/>
      <w:bookmarkStart w:id="189" w:name="_Toc23749"/>
      <w:r>
        <w:rPr>
          <w:rFonts w:hint="eastAsia"/>
          <w:color w:val="auto"/>
          <w:sz w:val="28"/>
          <w:szCs w:val="28"/>
          <w:highlight w:val="none"/>
        </w:rPr>
        <w:br w:type="page"/>
      </w:r>
    </w:p>
    <w:p w14:paraId="67076C6B">
      <w:pPr>
        <w:pStyle w:val="3"/>
        <w:spacing w:before="0" w:after="0" w:line="240" w:lineRule="auto"/>
        <w:rPr>
          <w:color w:val="auto"/>
          <w:sz w:val="28"/>
          <w:szCs w:val="28"/>
          <w:highlight w:val="none"/>
        </w:rPr>
      </w:pPr>
      <w:bookmarkStart w:id="190" w:name="_Toc18891"/>
      <w:r>
        <w:rPr>
          <w:rFonts w:hint="eastAsia"/>
          <w:color w:val="auto"/>
          <w:sz w:val="28"/>
          <w:szCs w:val="28"/>
          <w:highlight w:val="none"/>
        </w:rPr>
        <w:t>第七部分  投标文件格式</w:t>
      </w:r>
      <w:bookmarkEnd w:id="188"/>
      <w:bookmarkEnd w:id="189"/>
      <w:bookmarkEnd w:id="190"/>
    </w:p>
    <w:p w14:paraId="0D7CACD1">
      <w:pPr>
        <w:rPr>
          <w:color w:val="auto"/>
          <w:highlight w:val="none"/>
        </w:rPr>
      </w:pPr>
    </w:p>
    <w:p w14:paraId="6713D920">
      <w:pPr>
        <w:pStyle w:val="4"/>
        <w:rPr>
          <w:color w:val="auto"/>
          <w:highlight w:val="none"/>
        </w:rPr>
      </w:pPr>
      <w:bookmarkStart w:id="191" w:name="_Toc30003"/>
      <w:bookmarkStart w:id="192" w:name="_Toc6790"/>
      <w:bookmarkStart w:id="193" w:name="_Toc26830"/>
      <w:r>
        <w:rPr>
          <w:rFonts w:hint="eastAsia"/>
          <w:color w:val="auto"/>
          <w:highlight w:val="none"/>
        </w:rPr>
        <w:t>投标文件目录</w:t>
      </w:r>
      <w:bookmarkEnd w:id="191"/>
      <w:bookmarkEnd w:id="192"/>
      <w:bookmarkEnd w:id="193"/>
    </w:p>
    <w:p w14:paraId="35302957">
      <w:pPr>
        <w:jc w:val="center"/>
        <w:rPr>
          <w:rFonts w:ascii="黑体" w:eastAsia="黑体"/>
          <w:color w:val="auto"/>
          <w:sz w:val="32"/>
          <w:szCs w:val="32"/>
          <w:highlight w:val="none"/>
        </w:rPr>
      </w:pPr>
    </w:p>
    <w:p w14:paraId="79CC114A">
      <w:pPr>
        <w:jc w:val="center"/>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466BD0C4">
      <w:pPr>
        <w:adjustRightInd/>
        <w:snapToGrid/>
        <w:spacing w:line="276" w:lineRule="auto"/>
        <w:rPr>
          <w:rFonts w:ascii="宋体" w:hAnsi="宋体"/>
          <w:color w:val="auto"/>
          <w:szCs w:val="21"/>
          <w:highlight w:val="none"/>
        </w:rPr>
      </w:pPr>
      <w:r>
        <w:rPr>
          <w:rFonts w:hint="eastAsia" w:ascii="宋体" w:hAnsi="宋体"/>
          <w:color w:val="auto"/>
          <w:szCs w:val="21"/>
          <w:highlight w:val="none"/>
        </w:rPr>
        <w:t>格式自理。</w:t>
      </w:r>
    </w:p>
    <w:p w14:paraId="5C72E7DC">
      <w:pPr>
        <w:adjustRightInd/>
        <w:snapToGrid/>
        <w:spacing w:line="276" w:lineRule="auto"/>
        <w:rPr>
          <w:rFonts w:ascii="宋体" w:hAnsi="宋体"/>
          <w:color w:val="auto"/>
          <w:szCs w:val="21"/>
          <w:highlight w:val="none"/>
        </w:rPr>
      </w:pPr>
    </w:p>
    <w:p w14:paraId="6FE0B238">
      <w:pPr>
        <w:adjustRightInd/>
        <w:snapToGrid/>
        <w:spacing w:line="276" w:lineRule="auto"/>
        <w:rPr>
          <w:rFonts w:ascii="宋体" w:hAnsi="宋体"/>
          <w:color w:val="auto"/>
          <w:szCs w:val="21"/>
          <w:highlight w:val="none"/>
        </w:rPr>
      </w:pPr>
    </w:p>
    <w:p w14:paraId="67F677D5">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286863AC">
      <w:pPr>
        <w:pStyle w:val="4"/>
        <w:rPr>
          <w:color w:val="auto"/>
          <w:highlight w:val="none"/>
        </w:rPr>
      </w:pPr>
      <w:bookmarkStart w:id="194" w:name="_Toc20663"/>
      <w:bookmarkStart w:id="195" w:name="_Toc25502"/>
      <w:bookmarkStart w:id="196" w:name="_Toc18893"/>
      <w:r>
        <w:rPr>
          <w:rFonts w:hint="eastAsia"/>
          <w:color w:val="auto"/>
          <w:highlight w:val="none"/>
        </w:rPr>
        <w:t>评分标准索引表</w:t>
      </w:r>
      <w:bookmarkEnd w:id="194"/>
      <w:bookmarkEnd w:id="195"/>
      <w:bookmarkEnd w:id="196"/>
    </w:p>
    <w:p w14:paraId="79FF6693">
      <w:pPr>
        <w:adjustRightInd/>
        <w:snapToGrid/>
        <w:spacing w:line="276" w:lineRule="auto"/>
        <w:rPr>
          <w:rFonts w:ascii="宋体" w:hAnsi="宋体"/>
          <w:color w:val="auto"/>
          <w:szCs w:val="21"/>
          <w:highlight w:val="none"/>
        </w:rPr>
      </w:pPr>
    </w:p>
    <w:p w14:paraId="67BD7E60">
      <w:pPr>
        <w:jc w:val="center"/>
        <w:outlineLvl w:val="0"/>
        <w:rPr>
          <w:rFonts w:ascii="黑体" w:eastAsia="黑体"/>
          <w:color w:val="auto"/>
          <w:sz w:val="32"/>
          <w:szCs w:val="32"/>
          <w:highlight w:val="none"/>
        </w:rPr>
      </w:pPr>
      <w:bookmarkStart w:id="197" w:name="_Toc27430"/>
      <w:r>
        <w:rPr>
          <w:rFonts w:hint="eastAsia" w:ascii="黑体" w:eastAsia="黑体"/>
          <w:color w:val="auto"/>
          <w:sz w:val="32"/>
          <w:szCs w:val="32"/>
          <w:highlight w:val="none"/>
        </w:rPr>
        <w:t>评分标准索引表</w:t>
      </w:r>
      <w:bookmarkEnd w:id="197"/>
    </w:p>
    <w:tbl>
      <w:tblPr>
        <w:tblStyle w:val="30"/>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46A72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AEA06F6">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2E88169B">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2FFF57F8">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7AA16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3EAF3E6E">
            <w:pPr>
              <w:pStyle w:val="40"/>
              <w:jc w:val="center"/>
              <w:rPr>
                <w:rFonts w:ascii="宋体" w:hAnsi="宋体" w:cs="宋体"/>
                <w:b/>
                <w:color w:val="auto"/>
                <w:szCs w:val="21"/>
                <w:highlight w:val="none"/>
              </w:rPr>
            </w:pPr>
            <w:r>
              <w:rPr>
                <w:rFonts w:hint="eastAsia" w:ascii="宋体" w:hAnsi="宋体" w:cs="宋体"/>
                <w:b/>
                <w:color w:val="auto"/>
                <w:szCs w:val="21"/>
                <w:highlight w:val="none"/>
              </w:rPr>
              <w:t>商务部分</w:t>
            </w:r>
          </w:p>
        </w:tc>
      </w:tr>
      <w:tr w14:paraId="45E30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405E40A">
            <w:pPr>
              <w:pStyle w:val="40"/>
              <w:jc w:val="both"/>
              <w:rPr>
                <w:rFonts w:ascii="宋体" w:hAnsi="宋体" w:cs="宋体"/>
                <w:color w:val="auto"/>
                <w:szCs w:val="21"/>
                <w:highlight w:val="none"/>
              </w:rPr>
            </w:pPr>
          </w:p>
        </w:tc>
        <w:tc>
          <w:tcPr>
            <w:tcW w:w="5028" w:type="dxa"/>
            <w:vAlign w:val="center"/>
          </w:tcPr>
          <w:p w14:paraId="6B0DA492">
            <w:pPr>
              <w:pStyle w:val="40"/>
              <w:jc w:val="both"/>
              <w:rPr>
                <w:rFonts w:ascii="宋体" w:hAnsi="宋体" w:cs="宋体"/>
                <w:color w:val="auto"/>
                <w:szCs w:val="21"/>
                <w:highlight w:val="none"/>
              </w:rPr>
            </w:pPr>
          </w:p>
        </w:tc>
        <w:tc>
          <w:tcPr>
            <w:tcW w:w="2126" w:type="dxa"/>
            <w:vAlign w:val="center"/>
          </w:tcPr>
          <w:p w14:paraId="48984359">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7E9B3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E1D57F1">
            <w:pPr>
              <w:pStyle w:val="40"/>
              <w:jc w:val="both"/>
              <w:rPr>
                <w:rFonts w:ascii="宋体" w:hAnsi="宋体" w:cs="宋体"/>
                <w:color w:val="auto"/>
                <w:szCs w:val="21"/>
                <w:highlight w:val="none"/>
              </w:rPr>
            </w:pPr>
          </w:p>
        </w:tc>
        <w:tc>
          <w:tcPr>
            <w:tcW w:w="5028" w:type="dxa"/>
            <w:vAlign w:val="center"/>
          </w:tcPr>
          <w:p w14:paraId="7A0F5313">
            <w:pPr>
              <w:pStyle w:val="40"/>
              <w:jc w:val="both"/>
              <w:rPr>
                <w:rFonts w:ascii="宋体" w:hAnsi="宋体" w:cs="宋体"/>
                <w:color w:val="auto"/>
                <w:szCs w:val="21"/>
                <w:highlight w:val="none"/>
              </w:rPr>
            </w:pPr>
          </w:p>
        </w:tc>
        <w:tc>
          <w:tcPr>
            <w:tcW w:w="2126" w:type="dxa"/>
            <w:vAlign w:val="center"/>
          </w:tcPr>
          <w:p w14:paraId="6E33AE1B">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8CFC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AB312F3">
            <w:pPr>
              <w:pStyle w:val="40"/>
              <w:jc w:val="both"/>
              <w:rPr>
                <w:rFonts w:ascii="宋体" w:hAnsi="宋体" w:cs="宋体"/>
                <w:color w:val="auto"/>
                <w:szCs w:val="21"/>
                <w:highlight w:val="none"/>
              </w:rPr>
            </w:pPr>
          </w:p>
        </w:tc>
        <w:tc>
          <w:tcPr>
            <w:tcW w:w="5028" w:type="dxa"/>
            <w:vAlign w:val="center"/>
          </w:tcPr>
          <w:p w14:paraId="4404848B">
            <w:pPr>
              <w:pStyle w:val="40"/>
              <w:jc w:val="both"/>
              <w:rPr>
                <w:rFonts w:ascii="宋体" w:hAnsi="宋体" w:cs="宋体"/>
                <w:color w:val="auto"/>
                <w:szCs w:val="21"/>
                <w:highlight w:val="none"/>
              </w:rPr>
            </w:pPr>
          </w:p>
        </w:tc>
        <w:tc>
          <w:tcPr>
            <w:tcW w:w="2126" w:type="dxa"/>
            <w:vAlign w:val="center"/>
          </w:tcPr>
          <w:p w14:paraId="6793424A">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4115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41F5F63">
            <w:pPr>
              <w:pStyle w:val="40"/>
              <w:jc w:val="both"/>
              <w:rPr>
                <w:rFonts w:ascii="宋体" w:hAnsi="宋体" w:cs="宋体"/>
                <w:color w:val="auto"/>
                <w:szCs w:val="21"/>
                <w:highlight w:val="none"/>
              </w:rPr>
            </w:pPr>
          </w:p>
        </w:tc>
        <w:tc>
          <w:tcPr>
            <w:tcW w:w="5028" w:type="dxa"/>
            <w:vAlign w:val="center"/>
          </w:tcPr>
          <w:p w14:paraId="4EF7EE6D">
            <w:pPr>
              <w:pStyle w:val="40"/>
              <w:jc w:val="both"/>
              <w:rPr>
                <w:rFonts w:ascii="宋体" w:hAnsi="宋体" w:cs="宋体"/>
                <w:color w:val="auto"/>
                <w:szCs w:val="21"/>
                <w:highlight w:val="none"/>
              </w:rPr>
            </w:pPr>
          </w:p>
        </w:tc>
        <w:tc>
          <w:tcPr>
            <w:tcW w:w="2126" w:type="dxa"/>
            <w:vAlign w:val="center"/>
          </w:tcPr>
          <w:p w14:paraId="396FE595">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258D1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0CA0DC0">
            <w:pPr>
              <w:pStyle w:val="40"/>
              <w:jc w:val="both"/>
              <w:rPr>
                <w:rFonts w:ascii="宋体" w:hAnsi="宋体" w:cs="宋体"/>
                <w:color w:val="auto"/>
                <w:szCs w:val="21"/>
                <w:highlight w:val="none"/>
              </w:rPr>
            </w:pPr>
          </w:p>
        </w:tc>
        <w:tc>
          <w:tcPr>
            <w:tcW w:w="5028" w:type="dxa"/>
            <w:vAlign w:val="center"/>
          </w:tcPr>
          <w:p w14:paraId="1174D4ED">
            <w:pPr>
              <w:pStyle w:val="40"/>
              <w:jc w:val="both"/>
              <w:rPr>
                <w:rFonts w:ascii="宋体" w:hAnsi="宋体" w:cs="宋体"/>
                <w:color w:val="auto"/>
                <w:szCs w:val="21"/>
                <w:highlight w:val="none"/>
              </w:rPr>
            </w:pPr>
          </w:p>
        </w:tc>
        <w:tc>
          <w:tcPr>
            <w:tcW w:w="2126" w:type="dxa"/>
            <w:vAlign w:val="center"/>
          </w:tcPr>
          <w:p w14:paraId="3F4AE81B">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5D801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0F9E7762">
            <w:pPr>
              <w:pStyle w:val="21"/>
              <w:jc w:val="center"/>
              <w:rPr>
                <w:rFonts w:ascii="宋体" w:hAnsi="宋体" w:cs="宋体"/>
                <w:b/>
                <w:color w:val="auto"/>
                <w:szCs w:val="21"/>
                <w:highlight w:val="none"/>
              </w:rPr>
            </w:pPr>
            <w:r>
              <w:rPr>
                <w:rFonts w:hint="eastAsia" w:ascii="宋体" w:hAnsi="宋体" w:cs="宋体"/>
                <w:b/>
                <w:color w:val="auto"/>
                <w:szCs w:val="21"/>
                <w:highlight w:val="none"/>
              </w:rPr>
              <w:t>技术部分</w:t>
            </w:r>
          </w:p>
        </w:tc>
      </w:tr>
      <w:tr w14:paraId="1C435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44EEC514">
            <w:pPr>
              <w:pStyle w:val="40"/>
              <w:jc w:val="both"/>
              <w:rPr>
                <w:rFonts w:ascii="宋体" w:hAnsi="宋体" w:cs="宋体"/>
                <w:color w:val="auto"/>
                <w:szCs w:val="21"/>
                <w:highlight w:val="none"/>
              </w:rPr>
            </w:pPr>
          </w:p>
        </w:tc>
        <w:tc>
          <w:tcPr>
            <w:tcW w:w="5028" w:type="dxa"/>
            <w:vAlign w:val="center"/>
          </w:tcPr>
          <w:p w14:paraId="11B723A1">
            <w:pPr>
              <w:pStyle w:val="40"/>
              <w:jc w:val="both"/>
              <w:rPr>
                <w:rFonts w:ascii="宋体" w:hAnsi="宋体" w:cs="宋体"/>
                <w:color w:val="auto"/>
                <w:szCs w:val="21"/>
                <w:highlight w:val="none"/>
              </w:rPr>
            </w:pPr>
          </w:p>
        </w:tc>
        <w:tc>
          <w:tcPr>
            <w:tcW w:w="2126" w:type="dxa"/>
            <w:vAlign w:val="center"/>
          </w:tcPr>
          <w:p w14:paraId="21BBCAAD">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18C20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4D764BDF">
            <w:pPr>
              <w:pStyle w:val="40"/>
              <w:jc w:val="both"/>
              <w:rPr>
                <w:rFonts w:ascii="宋体" w:hAnsi="宋体" w:cs="宋体"/>
                <w:color w:val="auto"/>
                <w:szCs w:val="21"/>
                <w:highlight w:val="none"/>
              </w:rPr>
            </w:pPr>
          </w:p>
        </w:tc>
        <w:tc>
          <w:tcPr>
            <w:tcW w:w="5028" w:type="dxa"/>
            <w:vAlign w:val="center"/>
          </w:tcPr>
          <w:p w14:paraId="729156E2">
            <w:pPr>
              <w:pStyle w:val="40"/>
              <w:jc w:val="both"/>
              <w:rPr>
                <w:rFonts w:ascii="宋体" w:hAnsi="宋体" w:cs="宋体"/>
                <w:color w:val="auto"/>
                <w:szCs w:val="21"/>
                <w:highlight w:val="none"/>
              </w:rPr>
            </w:pPr>
          </w:p>
        </w:tc>
        <w:tc>
          <w:tcPr>
            <w:tcW w:w="2126" w:type="dxa"/>
            <w:vAlign w:val="center"/>
          </w:tcPr>
          <w:p w14:paraId="25EB7EC2">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6802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174EA986">
            <w:pPr>
              <w:pStyle w:val="40"/>
              <w:jc w:val="both"/>
              <w:rPr>
                <w:rFonts w:ascii="宋体" w:hAnsi="宋体" w:cs="宋体"/>
                <w:color w:val="auto"/>
                <w:szCs w:val="21"/>
                <w:highlight w:val="none"/>
              </w:rPr>
            </w:pPr>
          </w:p>
        </w:tc>
        <w:tc>
          <w:tcPr>
            <w:tcW w:w="5028" w:type="dxa"/>
            <w:vAlign w:val="center"/>
          </w:tcPr>
          <w:p w14:paraId="35227B50">
            <w:pPr>
              <w:pStyle w:val="40"/>
              <w:jc w:val="both"/>
              <w:rPr>
                <w:rFonts w:ascii="宋体" w:hAnsi="宋体" w:cs="宋体"/>
                <w:color w:val="auto"/>
                <w:szCs w:val="21"/>
                <w:highlight w:val="none"/>
              </w:rPr>
            </w:pPr>
          </w:p>
        </w:tc>
        <w:tc>
          <w:tcPr>
            <w:tcW w:w="2126" w:type="dxa"/>
            <w:vAlign w:val="center"/>
          </w:tcPr>
          <w:p w14:paraId="143AA65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66FE2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0ECF2CC">
            <w:pPr>
              <w:pStyle w:val="40"/>
              <w:jc w:val="both"/>
              <w:rPr>
                <w:rFonts w:ascii="宋体" w:hAnsi="宋体" w:cs="宋体"/>
                <w:color w:val="auto"/>
                <w:szCs w:val="21"/>
                <w:highlight w:val="none"/>
              </w:rPr>
            </w:pPr>
          </w:p>
        </w:tc>
        <w:tc>
          <w:tcPr>
            <w:tcW w:w="5028" w:type="dxa"/>
            <w:vAlign w:val="center"/>
          </w:tcPr>
          <w:p w14:paraId="1ED85DAE">
            <w:pPr>
              <w:pStyle w:val="40"/>
              <w:jc w:val="both"/>
              <w:rPr>
                <w:rFonts w:ascii="宋体" w:hAnsi="宋体" w:cs="宋体"/>
                <w:color w:val="auto"/>
                <w:szCs w:val="21"/>
                <w:highlight w:val="none"/>
              </w:rPr>
            </w:pPr>
          </w:p>
        </w:tc>
        <w:tc>
          <w:tcPr>
            <w:tcW w:w="2126" w:type="dxa"/>
            <w:vAlign w:val="center"/>
          </w:tcPr>
          <w:p w14:paraId="6D0C1CF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53869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490AF08">
            <w:pPr>
              <w:pStyle w:val="40"/>
              <w:jc w:val="both"/>
              <w:rPr>
                <w:rFonts w:ascii="宋体" w:hAnsi="宋体" w:cs="宋体"/>
                <w:color w:val="auto"/>
                <w:szCs w:val="21"/>
                <w:highlight w:val="none"/>
              </w:rPr>
            </w:pPr>
          </w:p>
        </w:tc>
        <w:tc>
          <w:tcPr>
            <w:tcW w:w="5028" w:type="dxa"/>
            <w:vAlign w:val="center"/>
          </w:tcPr>
          <w:p w14:paraId="1F0FB022">
            <w:pPr>
              <w:pStyle w:val="40"/>
              <w:jc w:val="both"/>
              <w:rPr>
                <w:rFonts w:ascii="宋体" w:hAnsi="宋体" w:cs="宋体"/>
                <w:color w:val="auto"/>
                <w:szCs w:val="21"/>
                <w:highlight w:val="none"/>
              </w:rPr>
            </w:pPr>
          </w:p>
        </w:tc>
        <w:tc>
          <w:tcPr>
            <w:tcW w:w="2126" w:type="dxa"/>
            <w:vAlign w:val="center"/>
          </w:tcPr>
          <w:p w14:paraId="2917A1C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3FCB0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5E0FA8E">
            <w:pPr>
              <w:pStyle w:val="40"/>
              <w:jc w:val="both"/>
              <w:rPr>
                <w:rFonts w:ascii="宋体" w:hAnsi="宋体" w:cs="宋体"/>
                <w:color w:val="auto"/>
                <w:szCs w:val="21"/>
                <w:highlight w:val="none"/>
              </w:rPr>
            </w:pPr>
          </w:p>
        </w:tc>
        <w:tc>
          <w:tcPr>
            <w:tcW w:w="5028" w:type="dxa"/>
            <w:vAlign w:val="center"/>
          </w:tcPr>
          <w:p w14:paraId="256618D1">
            <w:pPr>
              <w:pStyle w:val="40"/>
              <w:jc w:val="both"/>
              <w:rPr>
                <w:rFonts w:ascii="宋体" w:hAnsi="宋体" w:cs="宋体"/>
                <w:color w:val="auto"/>
                <w:szCs w:val="21"/>
                <w:highlight w:val="none"/>
              </w:rPr>
            </w:pPr>
          </w:p>
        </w:tc>
        <w:tc>
          <w:tcPr>
            <w:tcW w:w="2126" w:type="dxa"/>
            <w:vAlign w:val="center"/>
          </w:tcPr>
          <w:p w14:paraId="624EC7DD">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bl>
    <w:p w14:paraId="04CEA8AA">
      <w:pPr>
        <w:rPr>
          <w:rFonts w:ascii="宋体" w:hAnsi="宋体"/>
          <w:color w:val="auto"/>
          <w:szCs w:val="21"/>
          <w:highlight w:val="none"/>
        </w:rPr>
      </w:pPr>
    </w:p>
    <w:p w14:paraId="34F9E2C3">
      <w:pPr>
        <w:rPr>
          <w:rFonts w:ascii="宋体" w:hAnsi="宋体"/>
          <w:color w:val="auto"/>
          <w:szCs w:val="21"/>
          <w:highlight w:val="none"/>
        </w:rPr>
      </w:pPr>
      <w:r>
        <w:rPr>
          <w:rFonts w:hint="eastAsia" w:ascii="宋体" w:hAnsi="宋体"/>
          <w:color w:val="auto"/>
          <w:szCs w:val="21"/>
          <w:highlight w:val="none"/>
        </w:rPr>
        <w:t>注：</w:t>
      </w:r>
    </w:p>
    <w:p w14:paraId="765878C9">
      <w:pPr>
        <w:numPr>
          <w:ilvl w:val="0"/>
          <w:numId w:val="11"/>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4676D7C8">
      <w:pPr>
        <w:pStyle w:val="10"/>
        <w:spacing w:before="0"/>
        <w:ind w:left="0"/>
        <w:rPr>
          <w:color w:val="auto"/>
          <w:highlight w:val="none"/>
        </w:rPr>
      </w:pPr>
    </w:p>
    <w:p w14:paraId="73CFC617">
      <w:pPr>
        <w:adjustRightInd/>
        <w:snapToGrid/>
        <w:spacing w:line="276" w:lineRule="auto"/>
        <w:rPr>
          <w:rFonts w:ascii="宋体" w:hAnsi="宋体"/>
          <w:color w:val="auto"/>
          <w:szCs w:val="21"/>
          <w:highlight w:val="none"/>
        </w:rPr>
      </w:pPr>
    </w:p>
    <w:p w14:paraId="0039827E">
      <w:pPr>
        <w:adjustRightInd/>
        <w:snapToGrid/>
        <w:spacing w:line="276" w:lineRule="auto"/>
        <w:rPr>
          <w:rFonts w:ascii="宋体" w:hAnsi="宋体"/>
          <w:color w:val="auto"/>
          <w:szCs w:val="21"/>
          <w:highlight w:val="none"/>
        </w:rPr>
      </w:pPr>
    </w:p>
    <w:p w14:paraId="65D3B49D">
      <w:pPr>
        <w:adjustRightInd/>
        <w:snapToGrid/>
        <w:spacing w:line="276" w:lineRule="auto"/>
        <w:rPr>
          <w:rFonts w:ascii="宋体" w:hAnsi="宋体"/>
          <w:color w:val="auto"/>
          <w:szCs w:val="21"/>
          <w:highlight w:val="none"/>
        </w:rPr>
      </w:pPr>
    </w:p>
    <w:p w14:paraId="058C33B3">
      <w:pPr>
        <w:adjustRightInd/>
        <w:snapToGrid/>
        <w:spacing w:line="276" w:lineRule="auto"/>
        <w:rPr>
          <w:rFonts w:ascii="宋体" w:hAnsi="宋体"/>
          <w:color w:val="auto"/>
          <w:szCs w:val="21"/>
          <w:highlight w:val="none"/>
        </w:rPr>
      </w:pPr>
    </w:p>
    <w:p w14:paraId="41EE09D1">
      <w:pPr>
        <w:adjustRightInd/>
        <w:snapToGrid/>
        <w:spacing w:line="276" w:lineRule="auto"/>
        <w:rPr>
          <w:rFonts w:ascii="宋体" w:hAnsi="宋体"/>
          <w:color w:val="auto"/>
          <w:szCs w:val="21"/>
          <w:highlight w:val="none"/>
        </w:rPr>
      </w:pPr>
    </w:p>
    <w:p w14:paraId="1A7B6016">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6A394733">
      <w:pPr>
        <w:pStyle w:val="4"/>
        <w:jc w:val="center"/>
        <w:rPr>
          <w:color w:val="auto"/>
          <w:highlight w:val="none"/>
        </w:rPr>
      </w:pPr>
      <w:bookmarkStart w:id="198" w:name="_Toc595"/>
      <w:bookmarkStart w:id="199" w:name="_Toc22080"/>
      <w:bookmarkStart w:id="200" w:name="_Toc30640"/>
      <w:r>
        <w:rPr>
          <w:rFonts w:hint="eastAsia"/>
          <w:color w:val="auto"/>
          <w:highlight w:val="none"/>
        </w:rPr>
        <w:t>第一章价格文件</w:t>
      </w:r>
      <w:bookmarkEnd w:id="198"/>
      <w:bookmarkEnd w:id="199"/>
    </w:p>
    <w:p w14:paraId="43A997CE">
      <w:pPr>
        <w:pStyle w:val="4"/>
        <w:jc w:val="center"/>
        <w:rPr>
          <w:color w:val="auto"/>
          <w:highlight w:val="none"/>
        </w:rPr>
      </w:pPr>
      <w:bookmarkStart w:id="201" w:name="_Toc4168"/>
      <w:bookmarkStart w:id="202" w:name="_Toc270"/>
      <w:r>
        <w:rPr>
          <w:rFonts w:hint="eastAsia"/>
          <w:color w:val="auto"/>
          <w:highlight w:val="none"/>
        </w:rPr>
        <w:t>一、唱标一览表</w:t>
      </w:r>
      <w:bookmarkEnd w:id="201"/>
      <w:bookmarkEnd w:id="202"/>
    </w:p>
    <w:p w14:paraId="1B1F773F">
      <w:pPr>
        <w:rPr>
          <w:color w:val="auto"/>
          <w:highlight w:val="none"/>
        </w:rPr>
      </w:pPr>
    </w:p>
    <w:tbl>
      <w:tblPr>
        <w:tblStyle w:val="30"/>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3F511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445D7F1A">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6E5D33B2">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投标下浮率</w:t>
            </w:r>
          </w:p>
        </w:tc>
        <w:tc>
          <w:tcPr>
            <w:tcW w:w="3262" w:type="dxa"/>
            <w:tcBorders>
              <w:tl2br w:val="nil"/>
              <w:tr2bl w:val="nil"/>
            </w:tcBorders>
            <w:vAlign w:val="center"/>
          </w:tcPr>
          <w:p w14:paraId="69E0BAAF">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备注</w:t>
            </w:r>
          </w:p>
        </w:tc>
      </w:tr>
      <w:tr w14:paraId="17726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42" w:hRule="atLeast"/>
          <w:jc w:val="center"/>
        </w:trPr>
        <w:tc>
          <w:tcPr>
            <w:tcW w:w="2714" w:type="dxa"/>
            <w:tcBorders>
              <w:tl2br w:val="nil"/>
              <w:tr2bl w:val="nil"/>
            </w:tcBorders>
          </w:tcPr>
          <w:p w14:paraId="6FABAC97">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p>
        </w:tc>
        <w:tc>
          <w:tcPr>
            <w:tcW w:w="3085" w:type="dxa"/>
            <w:tcBorders>
              <w:tl2br w:val="nil"/>
              <w:tr2bl w:val="nil"/>
            </w:tcBorders>
            <w:vAlign w:val="center"/>
          </w:tcPr>
          <w:p w14:paraId="0088425E">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p>
        </w:tc>
        <w:tc>
          <w:tcPr>
            <w:tcW w:w="3262" w:type="dxa"/>
            <w:tcBorders>
              <w:tl2br w:val="nil"/>
              <w:tr2bl w:val="nil"/>
            </w:tcBorders>
          </w:tcPr>
          <w:p w14:paraId="7640D378">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p>
        </w:tc>
      </w:tr>
    </w:tbl>
    <w:p w14:paraId="14121A4A">
      <w:pPr>
        <w:rPr>
          <w:rFonts w:ascii="宋体" w:hAnsi="宋体"/>
          <w:color w:val="auto"/>
          <w:szCs w:val="21"/>
          <w:highlight w:val="none"/>
        </w:rPr>
      </w:pPr>
    </w:p>
    <w:p w14:paraId="5AE35AC2">
      <w:pPr>
        <w:ind w:firstLine="359" w:firstLineChars="171"/>
        <w:rPr>
          <w:rFonts w:ascii="宋体" w:hAnsi="宋体"/>
          <w:color w:val="auto"/>
          <w:szCs w:val="21"/>
          <w:highlight w:val="none"/>
        </w:rPr>
      </w:pPr>
    </w:p>
    <w:p w14:paraId="7522B3EC">
      <w:pPr>
        <w:ind w:firstLine="359" w:firstLineChars="171"/>
        <w:rPr>
          <w:rFonts w:ascii="宋体" w:hAnsi="宋体"/>
          <w:color w:val="auto"/>
          <w:szCs w:val="21"/>
          <w:highlight w:val="none"/>
        </w:rPr>
      </w:pPr>
      <w:r>
        <w:rPr>
          <w:rFonts w:hint="eastAsia" w:ascii="宋体" w:hAnsi="宋体"/>
          <w:color w:val="auto"/>
          <w:szCs w:val="21"/>
          <w:highlight w:val="none"/>
        </w:rPr>
        <w:t>投标人代表签字：</w:t>
      </w:r>
    </w:p>
    <w:p w14:paraId="43C975D3">
      <w:pPr>
        <w:ind w:firstLine="359" w:firstLineChars="171"/>
        <w:rPr>
          <w:rFonts w:ascii="宋体" w:hAnsi="宋体"/>
          <w:color w:val="auto"/>
          <w:szCs w:val="21"/>
          <w:highlight w:val="none"/>
        </w:rPr>
      </w:pPr>
      <w:r>
        <w:rPr>
          <w:rFonts w:hint="eastAsia" w:ascii="宋体" w:hAnsi="宋体"/>
          <w:color w:val="auto"/>
          <w:szCs w:val="21"/>
          <w:highlight w:val="none"/>
        </w:rPr>
        <w:t>投标人盖章：</w:t>
      </w:r>
    </w:p>
    <w:p w14:paraId="0535B8A7">
      <w:pPr>
        <w:ind w:firstLine="359" w:firstLineChars="171"/>
        <w:rPr>
          <w:rFonts w:ascii="宋体" w:hAnsi="宋体"/>
          <w:color w:val="auto"/>
          <w:szCs w:val="21"/>
          <w:highlight w:val="none"/>
        </w:rPr>
      </w:pPr>
      <w:r>
        <w:rPr>
          <w:rFonts w:hint="eastAsia" w:ascii="宋体" w:hAnsi="宋体"/>
          <w:color w:val="auto"/>
          <w:szCs w:val="21"/>
          <w:highlight w:val="none"/>
        </w:rPr>
        <w:t>日期：</w:t>
      </w:r>
    </w:p>
    <w:p w14:paraId="49330DFC">
      <w:pPr>
        <w:ind w:firstLine="359" w:firstLineChars="171"/>
        <w:rPr>
          <w:rFonts w:ascii="宋体" w:hAnsi="宋体"/>
          <w:color w:val="auto"/>
          <w:szCs w:val="21"/>
          <w:highlight w:val="none"/>
        </w:rPr>
      </w:pPr>
    </w:p>
    <w:p w14:paraId="650E5B1F">
      <w:pPr>
        <w:ind w:left="391" w:hanging="390" w:hangingChars="186"/>
        <w:rPr>
          <w:rFonts w:ascii="宋体" w:hAnsi="宋体"/>
          <w:color w:val="auto"/>
          <w:szCs w:val="21"/>
          <w:highlight w:val="none"/>
        </w:rPr>
      </w:pPr>
      <w:r>
        <w:rPr>
          <w:rFonts w:hint="eastAsia" w:ascii="宋体" w:hAnsi="宋体"/>
          <w:color w:val="auto"/>
          <w:szCs w:val="21"/>
          <w:highlight w:val="none"/>
        </w:rPr>
        <w:t xml:space="preserve">       注：1、</w:t>
      </w:r>
      <w:r>
        <w:rPr>
          <w:rFonts w:hint="eastAsia" w:ascii="宋体" w:hAnsi="宋体" w:cs="宋体"/>
          <w:color w:val="auto"/>
          <w:szCs w:val="21"/>
          <w:highlight w:val="none"/>
        </w:rPr>
        <w:t>开标一览表内容与投标文件中相应内容不一致的，以开标一览表为准。</w:t>
      </w:r>
    </w:p>
    <w:p w14:paraId="3E9C43AA">
      <w:pPr>
        <w:ind w:left="357" w:leftChars="170" w:firstLine="359" w:firstLineChars="171"/>
        <w:rPr>
          <w:rFonts w:ascii="宋体" w:hAnsi="宋体"/>
          <w:color w:val="auto"/>
          <w:szCs w:val="21"/>
          <w:highlight w:val="none"/>
        </w:rPr>
      </w:pPr>
      <w:r>
        <w:rPr>
          <w:rFonts w:hint="eastAsia" w:ascii="宋体" w:hAnsi="宋体"/>
          <w:color w:val="auto"/>
          <w:szCs w:val="21"/>
          <w:highlight w:val="none"/>
        </w:rPr>
        <w:t>2、此表应按投标人须知的规定密封标记并与《授权委托书》、《投标保证金汇入情况说明》一同密封单独提交。</w:t>
      </w:r>
    </w:p>
    <w:p w14:paraId="461F0EF1">
      <w:pPr>
        <w:pStyle w:val="10"/>
        <w:rPr>
          <w:color w:val="auto"/>
          <w:highlight w:val="none"/>
        </w:rPr>
      </w:pPr>
    </w:p>
    <w:p w14:paraId="0679C1A6">
      <w:pPr>
        <w:rPr>
          <w:color w:val="auto"/>
          <w:highlight w:val="none"/>
        </w:rPr>
      </w:pPr>
    </w:p>
    <w:p w14:paraId="238A5418">
      <w:pPr>
        <w:rPr>
          <w:color w:val="auto"/>
          <w:highlight w:val="none"/>
        </w:rPr>
      </w:pPr>
    </w:p>
    <w:p w14:paraId="4AE6605D">
      <w:pPr>
        <w:rPr>
          <w:color w:val="auto"/>
          <w:highlight w:val="none"/>
        </w:rPr>
      </w:pPr>
    </w:p>
    <w:p w14:paraId="67DCB7CE">
      <w:pPr>
        <w:rPr>
          <w:color w:val="auto"/>
          <w:highlight w:val="none"/>
        </w:rPr>
      </w:pPr>
    </w:p>
    <w:p w14:paraId="6B712A35">
      <w:pPr>
        <w:rPr>
          <w:color w:val="auto"/>
          <w:highlight w:val="none"/>
        </w:rPr>
      </w:pPr>
    </w:p>
    <w:p w14:paraId="2626BD34">
      <w:pPr>
        <w:rPr>
          <w:color w:val="auto"/>
          <w:highlight w:val="none"/>
        </w:rPr>
      </w:pPr>
    </w:p>
    <w:p w14:paraId="67D0B431">
      <w:pPr>
        <w:rPr>
          <w:color w:val="auto"/>
          <w:highlight w:val="none"/>
        </w:rPr>
      </w:pPr>
    </w:p>
    <w:p w14:paraId="4B68301B">
      <w:pPr>
        <w:rPr>
          <w:color w:val="auto"/>
          <w:highlight w:val="none"/>
        </w:rPr>
      </w:pPr>
    </w:p>
    <w:p w14:paraId="69CFF011">
      <w:pPr>
        <w:rPr>
          <w:color w:val="auto"/>
          <w:highlight w:val="none"/>
        </w:rPr>
      </w:pPr>
    </w:p>
    <w:p w14:paraId="6549944A">
      <w:pPr>
        <w:rPr>
          <w:color w:val="auto"/>
          <w:highlight w:val="none"/>
        </w:rPr>
      </w:pPr>
    </w:p>
    <w:p w14:paraId="7E500360">
      <w:pPr>
        <w:pStyle w:val="10"/>
        <w:rPr>
          <w:color w:val="auto"/>
          <w:highlight w:val="none"/>
        </w:rPr>
      </w:pPr>
    </w:p>
    <w:p w14:paraId="3AA60407">
      <w:pPr>
        <w:rPr>
          <w:color w:val="auto"/>
          <w:highlight w:val="none"/>
        </w:rPr>
      </w:pPr>
    </w:p>
    <w:p w14:paraId="3E528098">
      <w:pPr>
        <w:rPr>
          <w:color w:val="auto"/>
          <w:highlight w:val="none"/>
        </w:rPr>
      </w:pPr>
      <w:bookmarkStart w:id="203" w:name="_Toc31062"/>
      <w:r>
        <w:rPr>
          <w:rFonts w:hint="eastAsia"/>
          <w:color w:val="auto"/>
          <w:highlight w:val="none"/>
        </w:rPr>
        <w:br w:type="page"/>
      </w:r>
    </w:p>
    <w:p w14:paraId="6AA6949E">
      <w:pPr>
        <w:pStyle w:val="4"/>
        <w:jc w:val="center"/>
        <w:rPr>
          <w:color w:val="auto"/>
          <w:highlight w:val="none"/>
        </w:rPr>
      </w:pPr>
      <w:bookmarkStart w:id="204" w:name="_Toc4360"/>
      <w:r>
        <w:rPr>
          <w:rFonts w:hint="eastAsia"/>
          <w:color w:val="auto"/>
          <w:highlight w:val="none"/>
        </w:rPr>
        <w:t>二、报价明细表</w:t>
      </w:r>
      <w:bookmarkEnd w:id="203"/>
      <w:bookmarkEnd w:id="204"/>
    </w:p>
    <w:p w14:paraId="0B69AC88">
      <w:pPr>
        <w:pStyle w:val="40"/>
        <w:spacing w:before="0" w:after="0"/>
        <w:jc w:val="right"/>
        <w:rPr>
          <w:rFonts w:ascii="宋体" w:hAnsi="宋体" w:cs="宋体"/>
          <w:color w:val="auto"/>
          <w:szCs w:val="21"/>
          <w:highlight w:val="none"/>
        </w:rPr>
      </w:pPr>
      <w:r>
        <w:rPr>
          <w:rFonts w:hint="eastAsia" w:ascii="宋体" w:hAnsi="宋体" w:cs="宋体"/>
          <w:color w:val="auto"/>
          <w:szCs w:val="21"/>
          <w:highlight w:val="none"/>
        </w:rPr>
        <w:t>单位：元</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53C04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7F62E31D">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3B88A83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2764D299">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250D3D03">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21E073E7">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144751C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14FDC6AA">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备注</w:t>
            </w:r>
          </w:p>
        </w:tc>
      </w:tr>
      <w:tr w14:paraId="16F0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B080E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C5CA02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1FBA4A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372ADC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9A9E97B">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26F948D">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48081CC">
            <w:pPr>
              <w:spacing w:before="100" w:beforeAutospacing="1" w:after="100" w:afterAutospacing="1"/>
              <w:jc w:val="center"/>
              <w:rPr>
                <w:rFonts w:ascii="宋体" w:hAnsi="宋体"/>
                <w:color w:val="auto"/>
                <w:szCs w:val="21"/>
                <w:highlight w:val="none"/>
              </w:rPr>
            </w:pPr>
          </w:p>
        </w:tc>
      </w:tr>
      <w:tr w14:paraId="3C437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4187915">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5AD5598">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4038E6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D854A4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DB9E23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06A5AB2">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95A5B32">
            <w:pPr>
              <w:spacing w:before="100" w:beforeAutospacing="1" w:after="100" w:afterAutospacing="1"/>
              <w:jc w:val="center"/>
              <w:rPr>
                <w:rFonts w:ascii="宋体" w:hAnsi="宋体"/>
                <w:color w:val="auto"/>
                <w:szCs w:val="21"/>
                <w:highlight w:val="none"/>
              </w:rPr>
            </w:pPr>
          </w:p>
        </w:tc>
      </w:tr>
      <w:tr w14:paraId="027FC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8F9DC0">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A0305F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40589D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AA19CEB">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6823AA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83C212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1DC9FB7">
            <w:pPr>
              <w:spacing w:before="100" w:beforeAutospacing="1" w:after="100" w:afterAutospacing="1"/>
              <w:jc w:val="center"/>
              <w:rPr>
                <w:rFonts w:ascii="宋体" w:hAnsi="宋体"/>
                <w:color w:val="auto"/>
                <w:szCs w:val="21"/>
                <w:highlight w:val="none"/>
              </w:rPr>
            </w:pPr>
          </w:p>
        </w:tc>
      </w:tr>
      <w:tr w14:paraId="10D40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8CAE5C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AF5A98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20F75F0">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D3231D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BF87C2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24C3097">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3D80B54">
            <w:pPr>
              <w:spacing w:before="100" w:beforeAutospacing="1" w:after="100" w:afterAutospacing="1"/>
              <w:jc w:val="center"/>
              <w:rPr>
                <w:rFonts w:ascii="宋体" w:hAnsi="宋体"/>
                <w:color w:val="auto"/>
                <w:szCs w:val="21"/>
                <w:highlight w:val="none"/>
              </w:rPr>
            </w:pPr>
          </w:p>
        </w:tc>
      </w:tr>
      <w:tr w14:paraId="30729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992913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E6675E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6BBBC9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37A04D0">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4BC889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153319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7FCC218F">
            <w:pPr>
              <w:spacing w:before="100" w:beforeAutospacing="1" w:after="100" w:afterAutospacing="1"/>
              <w:jc w:val="center"/>
              <w:rPr>
                <w:rFonts w:ascii="宋体" w:hAnsi="宋体"/>
                <w:color w:val="auto"/>
                <w:szCs w:val="21"/>
                <w:highlight w:val="none"/>
              </w:rPr>
            </w:pPr>
          </w:p>
        </w:tc>
      </w:tr>
      <w:tr w14:paraId="30689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1B387E">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125B7A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E8A2E7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61E0D54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51157A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D560E81">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BF848B4">
            <w:pPr>
              <w:spacing w:before="100" w:beforeAutospacing="1" w:after="100" w:afterAutospacing="1"/>
              <w:jc w:val="center"/>
              <w:rPr>
                <w:rFonts w:ascii="宋体" w:hAnsi="宋体"/>
                <w:color w:val="auto"/>
                <w:szCs w:val="21"/>
                <w:highlight w:val="none"/>
              </w:rPr>
            </w:pPr>
          </w:p>
        </w:tc>
      </w:tr>
      <w:tr w14:paraId="3BE41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416C3E7">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778A66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AB70FA9">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67A306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2A2B0F2">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08023D0">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94C2775">
            <w:pPr>
              <w:spacing w:before="100" w:beforeAutospacing="1" w:after="100" w:afterAutospacing="1"/>
              <w:jc w:val="center"/>
              <w:rPr>
                <w:rFonts w:ascii="宋体" w:hAnsi="宋体"/>
                <w:color w:val="auto"/>
                <w:szCs w:val="21"/>
                <w:highlight w:val="none"/>
              </w:rPr>
            </w:pPr>
          </w:p>
        </w:tc>
      </w:tr>
      <w:tr w14:paraId="41A09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E949FF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47F8F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F16E0C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93DF33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8315959">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A6A022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44F2EF1">
            <w:pPr>
              <w:spacing w:before="100" w:beforeAutospacing="1" w:after="100" w:afterAutospacing="1"/>
              <w:jc w:val="center"/>
              <w:rPr>
                <w:rFonts w:ascii="宋体" w:hAnsi="宋体"/>
                <w:color w:val="auto"/>
                <w:szCs w:val="21"/>
                <w:highlight w:val="none"/>
              </w:rPr>
            </w:pPr>
          </w:p>
        </w:tc>
      </w:tr>
      <w:tr w14:paraId="729A1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AD9AF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A00B0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3401DB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6421DE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85CBCB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446AAAA">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570A6F05">
            <w:pPr>
              <w:spacing w:before="100" w:beforeAutospacing="1" w:after="100" w:afterAutospacing="1"/>
              <w:jc w:val="center"/>
              <w:rPr>
                <w:rFonts w:ascii="宋体" w:hAnsi="宋体"/>
                <w:color w:val="auto"/>
                <w:szCs w:val="21"/>
                <w:highlight w:val="none"/>
              </w:rPr>
            </w:pPr>
          </w:p>
        </w:tc>
      </w:tr>
      <w:tr w14:paraId="63573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C4FFAF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9A4D77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D64989F">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5E8D68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91CF7A0">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3BE0B7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27EA57A">
            <w:pPr>
              <w:spacing w:before="100" w:beforeAutospacing="1" w:after="100" w:afterAutospacing="1"/>
              <w:jc w:val="center"/>
              <w:rPr>
                <w:rFonts w:ascii="宋体" w:hAnsi="宋体"/>
                <w:color w:val="auto"/>
                <w:szCs w:val="21"/>
                <w:highlight w:val="none"/>
              </w:rPr>
            </w:pPr>
          </w:p>
        </w:tc>
      </w:tr>
      <w:tr w14:paraId="13DEB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2AAD03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E5C686F">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00893DC">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FD0FFAF">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87BDDE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75D765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1614194">
            <w:pPr>
              <w:spacing w:before="100" w:beforeAutospacing="1" w:after="100" w:afterAutospacing="1"/>
              <w:jc w:val="center"/>
              <w:rPr>
                <w:rFonts w:ascii="宋体" w:hAnsi="宋体"/>
                <w:color w:val="auto"/>
                <w:szCs w:val="21"/>
                <w:highlight w:val="none"/>
              </w:rPr>
            </w:pPr>
          </w:p>
        </w:tc>
      </w:tr>
      <w:tr w14:paraId="0D0B8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A726A8F">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E8AF905">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81D4CB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25218A1">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BE5F5B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7604B14">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B856979">
            <w:pPr>
              <w:spacing w:before="100" w:beforeAutospacing="1" w:after="100" w:afterAutospacing="1"/>
              <w:jc w:val="center"/>
              <w:rPr>
                <w:rFonts w:ascii="宋体" w:hAnsi="宋体"/>
                <w:color w:val="auto"/>
                <w:szCs w:val="21"/>
                <w:highlight w:val="none"/>
              </w:rPr>
            </w:pPr>
          </w:p>
        </w:tc>
      </w:tr>
      <w:tr w14:paraId="318B8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32A222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3B521E20">
            <w:pPr>
              <w:spacing w:before="100" w:beforeAutospacing="1" w:after="100" w:afterAutospacing="1"/>
              <w:jc w:val="center"/>
              <w:rPr>
                <w:rFonts w:ascii="宋体" w:hAnsi="宋体"/>
                <w:color w:val="auto"/>
                <w:szCs w:val="21"/>
                <w:highlight w:val="none"/>
              </w:rPr>
            </w:pPr>
          </w:p>
        </w:tc>
      </w:tr>
    </w:tbl>
    <w:p w14:paraId="4BAD6DB9">
      <w:pPr>
        <w:rPr>
          <w:rFonts w:ascii="宋体" w:hAnsi="宋体" w:cs="宋体"/>
          <w:b/>
          <w:color w:val="auto"/>
          <w:szCs w:val="21"/>
          <w:highlight w:val="none"/>
        </w:rPr>
      </w:pPr>
    </w:p>
    <w:p w14:paraId="7BCAE2FC">
      <w:pPr>
        <w:rPr>
          <w:color w:val="auto"/>
          <w:highlight w:val="none"/>
        </w:rPr>
      </w:pPr>
    </w:p>
    <w:p w14:paraId="6754DC9E">
      <w:pPr>
        <w:rPr>
          <w:rFonts w:ascii="宋体" w:hAnsi="宋体"/>
          <w:color w:val="auto"/>
          <w:szCs w:val="21"/>
          <w:highlight w:val="none"/>
        </w:rPr>
      </w:pPr>
      <w:r>
        <w:rPr>
          <w:rFonts w:hint="eastAsia" w:ascii="宋体" w:hAnsi="宋体"/>
          <w:color w:val="auto"/>
          <w:szCs w:val="21"/>
          <w:highlight w:val="none"/>
        </w:rPr>
        <w:t>投标人代表签字：</w:t>
      </w:r>
    </w:p>
    <w:p w14:paraId="6604F710">
      <w:pPr>
        <w:rPr>
          <w:rFonts w:ascii="宋体" w:hAnsi="宋体"/>
          <w:color w:val="auto"/>
          <w:szCs w:val="21"/>
          <w:highlight w:val="none"/>
        </w:rPr>
      </w:pPr>
      <w:r>
        <w:rPr>
          <w:rFonts w:hint="eastAsia" w:ascii="宋体" w:hAnsi="宋体"/>
          <w:color w:val="auto"/>
          <w:szCs w:val="21"/>
          <w:highlight w:val="none"/>
        </w:rPr>
        <w:t>投标人盖章：</w:t>
      </w:r>
    </w:p>
    <w:p w14:paraId="1ED55944">
      <w:pPr>
        <w:rPr>
          <w:rFonts w:ascii="宋体" w:hAnsi="宋体" w:cs="宋体"/>
          <w:b/>
          <w:color w:val="auto"/>
          <w:szCs w:val="21"/>
          <w:highlight w:val="none"/>
        </w:rPr>
      </w:pPr>
      <w:r>
        <w:rPr>
          <w:rFonts w:hint="eastAsia" w:ascii="宋体" w:hAnsi="宋体"/>
          <w:color w:val="auto"/>
          <w:szCs w:val="21"/>
          <w:highlight w:val="none"/>
        </w:rPr>
        <w:t>日期：</w:t>
      </w:r>
    </w:p>
    <w:p w14:paraId="706588C1">
      <w:pPr>
        <w:pStyle w:val="40"/>
        <w:rPr>
          <w:rFonts w:ascii="黑体" w:eastAsia="黑体"/>
          <w:color w:val="auto"/>
          <w:sz w:val="32"/>
          <w:szCs w:val="32"/>
          <w:highlight w:val="none"/>
        </w:rPr>
      </w:pPr>
    </w:p>
    <w:p w14:paraId="38B05E5F">
      <w:pPr>
        <w:pStyle w:val="40"/>
        <w:rPr>
          <w:rFonts w:ascii="黑体" w:eastAsia="黑体"/>
          <w:color w:val="auto"/>
          <w:sz w:val="32"/>
          <w:szCs w:val="32"/>
          <w:highlight w:val="none"/>
        </w:rPr>
      </w:pPr>
    </w:p>
    <w:p w14:paraId="536666ED">
      <w:pPr>
        <w:pStyle w:val="4"/>
        <w:jc w:val="center"/>
        <w:rPr>
          <w:color w:val="auto"/>
          <w:highlight w:val="none"/>
        </w:rPr>
      </w:pPr>
      <w:bookmarkStart w:id="205" w:name="_Toc29127"/>
      <w:bookmarkStart w:id="206" w:name="_Toc20974"/>
      <w:r>
        <w:rPr>
          <w:rFonts w:hint="eastAsia"/>
          <w:color w:val="auto"/>
          <w:highlight w:val="none"/>
        </w:rPr>
        <w:t>三、小型或微型企业（货物/服务/承担的工程）明细表</w:t>
      </w:r>
      <w:bookmarkEnd w:id="205"/>
      <w:bookmarkEnd w:id="206"/>
    </w:p>
    <w:tbl>
      <w:tblPr>
        <w:tblStyle w:val="30"/>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352AE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13E39C62">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0B134BFC">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30E0ABB6">
            <w:pPr>
              <w:ind w:hanging="148"/>
              <w:jc w:val="center"/>
              <w:textAlignment w:val="bottom"/>
              <w:rPr>
                <w:rFonts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75758F57">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1D7C6C9E">
            <w:pPr>
              <w:jc w:val="center"/>
              <w:textAlignment w:val="bottom"/>
              <w:rPr>
                <w:rFonts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75C3F790">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1845567A">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59C6DC42">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3D6F9B85">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r>
      <w:tr w14:paraId="2F171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3A7D231">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714A53E9">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D7F8F6">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718C9CA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A300DDE">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5E9C2F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4B9CBE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0EEC6B3">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22CED2B">
            <w:pPr>
              <w:jc w:val="center"/>
              <w:textAlignment w:val="bottom"/>
              <w:rPr>
                <w:rFonts w:ascii="宋体" w:hAnsi="宋体" w:cs="宋体"/>
                <w:color w:val="auto"/>
                <w:szCs w:val="21"/>
                <w:highlight w:val="none"/>
              </w:rPr>
            </w:pPr>
          </w:p>
        </w:tc>
      </w:tr>
      <w:tr w14:paraId="0C41F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A509E4F">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4D9D4C0C">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C3DB52">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4B001ED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11A836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A14993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151142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8724798">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4FFA2260">
            <w:pPr>
              <w:jc w:val="center"/>
              <w:textAlignment w:val="bottom"/>
              <w:rPr>
                <w:rFonts w:ascii="宋体" w:hAnsi="宋体" w:cs="宋体"/>
                <w:color w:val="auto"/>
                <w:szCs w:val="21"/>
                <w:highlight w:val="none"/>
              </w:rPr>
            </w:pPr>
          </w:p>
        </w:tc>
      </w:tr>
      <w:tr w14:paraId="15510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911990">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5178CE45">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4499CD4">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7B3A3F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34B9E7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6B3424C">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D3395A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0F259BE">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45CF9D0">
            <w:pPr>
              <w:jc w:val="center"/>
              <w:textAlignment w:val="bottom"/>
              <w:rPr>
                <w:rFonts w:ascii="宋体" w:hAnsi="宋体" w:cs="宋体"/>
                <w:color w:val="auto"/>
                <w:szCs w:val="21"/>
                <w:highlight w:val="none"/>
              </w:rPr>
            </w:pPr>
          </w:p>
        </w:tc>
      </w:tr>
      <w:tr w14:paraId="308DC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EC273E2">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0E3589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134E7D2A">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3501085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1CF4C1C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BC1A342">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55A0A94">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27E3DF2">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71925424">
            <w:pPr>
              <w:jc w:val="center"/>
              <w:textAlignment w:val="bottom"/>
              <w:rPr>
                <w:rFonts w:ascii="宋体" w:hAnsi="宋体" w:cs="宋体"/>
                <w:color w:val="auto"/>
                <w:szCs w:val="21"/>
                <w:highlight w:val="none"/>
              </w:rPr>
            </w:pPr>
          </w:p>
        </w:tc>
      </w:tr>
      <w:tr w14:paraId="7583D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EA1F476">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BFAEC06">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3D407E9F">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375DEF5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FC139D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94709D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285C0C">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0BDAB2E">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0D0424C">
            <w:pPr>
              <w:jc w:val="center"/>
              <w:textAlignment w:val="bottom"/>
              <w:rPr>
                <w:rFonts w:ascii="宋体" w:hAnsi="宋体" w:cs="宋体"/>
                <w:color w:val="auto"/>
                <w:szCs w:val="21"/>
                <w:highlight w:val="none"/>
              </w:rPr>
            </w:pPr>
          </w:p>
        </w:tc>
      </w:tr>
      <w:tr w14:paraId="4418D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D968A09">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399E3B1B">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5188207">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07BD68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402DFF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1EF8F9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E06C75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F27BCCC">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6BC647F">
            <w:pPr>
              <w:jc w:val="center"/>
              <w:textAlignment w:val="bottom"/>
              <w:rPr>
                <w:rFonts w:ascii="宋体" w:hAnsi="宋体" w:cs="宋体"/>
                <w:color w:val="auto"/>
                <w:szCs w:val="21"/>
                <w:highlight w:val="none"/>
              </w:rPr>
            </w:pPr>
          </w:p>
        </w:tc>
      </w:tr>
      <w:tr w14:paraId="2C656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51C8CFB">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1E2AD63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1509705">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BD60EA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BB9595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5D6504B">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62DB7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D336E80">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7D2ACDF5">
            <w:pPr>
              <w:jc w:val="center"/>
              <w:textAlignment w:val="bottom"/>
              <w:rPr>
                <w:rFonts w:ascii="宋体" w:hAnsi="宋体" w:cs="宋体"/>
                <w:color w:val="auto"/>
                <w:szCs w:val="21"/>
                <w:highlight w:val="none"/>
              </w:rPr>
            </w:pPr>
          </w:p>
        </w:tc>
      </w:tr>
      <w:tr w14:paraId="34EAC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BE69759">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76FA3D9">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0668CB2">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F9D3E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E842569">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CD59BC0">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B9222F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4529BD0">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54988DF">
            <w:pPr>
              <w:jc w:val="center"/>
              <w:textAlignment w:val="bottom"/>
              <w:rPr>
                <w:rFonts w:ascii="宋体" w:hAnsi="宋体" w:cs="宋体"/>
                <w:color w:val="auto"/>
                <w:szCs w:val="21"/>
                <w:highlight w:val="none"/>
              </w:rPr>
            </w:pPr>
          </w:p>
        </w:tc>
      </w:tr>
      <w:tr w14:paraId="7979A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A0D57AB">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25C5D7D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3B340C1">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DA257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006133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99587B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F2F2D6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1F746AD">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FE946FE">
            <w:pPr>
              <w:jc w:val="center"/>
              <w:textAlignment w:val="bottom"/>
              <w:rPr>
                <w:rFonts w:ascii="宋体" w:hAnsi="宋体" w:cs="宋体"/>
                <w:color w:val="auto"/>
                <w:szCs w:val="21"/>
                <w:highlight w:val="none"/>
              </w:rPr>
            </w:pPr>
          </w:p>
        </w:tc>
      </w:tr>
      <w:tr w14:paraId="3729D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7E0F23CB">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359FF898">
            <w:pPr>
              <w:rPr>
                <w:rFonts w:ascii="宋体" w:hAnsi="宋体" w:cs="宋体"/>
                <w:color w:val="auto"/>
                <w:szCs w:val="21"/>
                <w:highlight w:val="none"/>
              </w:rPr>
            </w:pPr>
          </w:p>
        </w:tc>
      </w:tr>
    </w:tbl>
    <w:p w14:paraId="726961F5">
      <w:pPr>
        <w:rPr>
          <w:rFonts w:ascii="宋体" w:hAnsi="宋体"/>
          <w:color w:val="auto"/>
          <w:szCs w:val="21"/>
          <w:highlight w:val="none"/>
        </w:rPr>
      </w:pPr>
    </w:p>
    <w:p w14:paraId="1B813BFA">
      <w:pPr>
        <w:rPr>
          <w:rFonts w:ascii="宋体" w:hAnsi="宋体"/>
          <w:color w:val="auto"/>
          <w:szCs w:val="21"/>
          <w:highlight w:val="none"/>
        </w:rPr>
      </w:pPr>
    </w:p>
    <w:p w14:paraId="556383D6">
      <w:pPr>
        <w:rPr>
          <w:rFonts w:ascii="宋体" w:hAnsi="宋体"/>
          <w:color w:val="auto"/>
          <w:szCs w:val="21"/>
          <w:highlight w:val="none"/>
        </w:rPr>
      </w:pPr>
      <w:r>
        <w:rPr>
          <w:rFonts w:hint="eastAsia" w:ascii="宋体" w:hAnsi="宋体"/>
          <w:color w:val="auto"/>
          <w:szCs w:val="21"/>
          <w:highlight w:val="none"/>
        </w:rPr>
        <w:t>投标人代表签字：</w:t>
      </w:r>
    </w:p>
    <w:p w14:paraId="2C2AC26E">
      <w:pPr>
        <w:rPr>
          <w:rFonts w:ascii="宋体" w:hAnsi="宋体"/>
          <w:color w:val="auto"/>
          <w:szCs w:val="21"/>
          <w:highlight w:val="none"/>
        </w:rPr>
      </w:pPr>
      <w:r>
        <w:rPr>
          <w:rFonts w:hint="eastAsia" w:ascii="宋体" w:hAnsi="宋体"/>
          <w:color w:val="auto"/>
          <w:szCs w:val="21"/>
          <w:highlight w:val="none"/>
        </w:rPr>
        <w:t>投标人盖章：</w:t>
      </w:r>
    </w:p>
    <w:p w14:paraId="500F7EEC">
      <w:pPr>
        <w:pStyle w:val="42"/>
        <w:ind w:firstLine="0" w:firstLineChars="0"/>
        <w:rPr>
          <w:rFonts w:ascii="宋体" w:hAnsi="宋体"/>
          <w:color w:val="auto"/>
          <w:szCs w:val="21"/>
          <w:highlight w:val="none"/>
        </w:rPr>
      </w:pPr>
      <w:r>
        <w:rPr>
          <w:rFonts w:hint="eastAsia" w:ascii="宋体" w:hAnsi="宋体"/>
          <w:color w:val="auto"/>
          <w:szCs w:val="21"/>
          <w:highlight w:val="none"/>
        </w:rPr>
        <w:t>日期：</w:t>
      </w:r>
    </w:p>
    <w:p w14:paraId="76F0C8F6">
      <w:pPr>
        <w:rPr>
          <w:color w:val="auto"/>
          <w:highlight w:val="none"/>
        </w:rPr>
      </w:pPr>
    </w:p>
    <w:p w14:paraId="41D6D29B">
      <w:pPr>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注：</w:t>
      </w:r>
    </w:p>
    <w:p w14:paraId="667BF59E">
      <w:pPr>
        <w:ind w:firstLine="422" w:firstLineChars="200"/>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1、投标人在“货物/服务报价明细表”中的报价内容中，如有属于</w:t>
      </w:r>
      <w:r>
        <w:rPr>
          <w:rFonts w:hint="eastAsia" w:ascii="宋体" w:hAnsi="宋体" w:cs="宋体"/>
          <w:b/>
          <w:color w:val="auto"/>
          <w:szCs w:val="21"/>
          <w:highlight w:val="none"/>
        </w:rPr>
        <w:t>小型或微型企业产品（货物/服务/承担的工程）的，必须在此表单独列明，否则在计算价格得分时不予以相应的扣除</w:t>
      </w:r>
      <w:r>
        <w:rPr>
          <w:rStyle w:val="51"/>
          <w:rFonts w:hint="eastAsia" w:ascii="宋体" w:hAnsi="宋体" w:eastAsia="宋体" w:cs="宋体"/>
          <w:b/>
          <w:color w:val="auto"/>
          <w:sz w:val="21"/>
          <w:szCs w:val="21"/>
          <w:highlight w:val="none"/>
        </w:rPr>
        <w:t>；</w:t>
      </w:r>
    </w:p>
    <w:p w14:paraId="5A539370">
      <w:pPr>
        <w:pStyle w:val="42"/>
        <w:ind w:firstLine="422"/>
        <w:rPr>
          <w:rFonts w:ascii="黑体" w:eastAsia="黑体"/>
          <w:color w:val="auto"/>
          <w:sz w:val="32"/>
          <w:szCs w:val="32"/>
          <w:highlight w:val="none"/>
        </w:rPr>
      </w:pPr>
      <w:r>
        <w:rPr>
          <w:rStyle w:val="51"/>
          <w:rFonts w:hint="eastAsia" w:ascii="宋体" w:hAnsi="宋体" w:eastAsia="宋体" w:cs="宋体"/>
          <w:b/>
          <w:color w:val="auto"/>
          <w:sz w:val="21"/>
          <w:szCs w:val="21"/>
          <w:highlight w:val="none"/>
        </w:rPr>
        <w:t>2、投标人应该如实填写，如投标人所投产品中无小型或微型企业产品的，请留空或删除此表！</w:t>
      </w:r>
      <w:r>
        <w:rPr>
          <w:rFonts w:hint="eastAsia" w:ascii="宋体" w:hAnsi="宋体"/>
          <w:color w:val="auto"/>
          <w:szCs w:val="21"/>
          <w:highlight w:val="none"/>
        </w:rPr>
        <w:br w:type="page"/>
      </w:r>
    </w:p>
    <w:p w14:paraId="71EE82A7">
      <w:pPr>
        <w:pStyle w:val="4"/>
        <w:jc w:val="center"/>
        <w:rPr>
          <w:color w:val="auto"/>
          <w:highlight w:val="none"/>
        </w:rPr>
      </w:pPr>
      <w:bookmarkStart w:id="207" w:name="_Toc16718"/>
      <w:bookmarkStart w:id="208" w:name="_Toc15859"/>
      <w:r>
        <w:rPr>
          <w:rFonts w:hint="eastAsia"/>
          <w:color w:val="auto"/>
          <w:highlight w:val="none"/>
        </w:rPr>
        <w:t>四、节能产品或环境标志产品明细表</w:t>
      </w:r>
      <w:bookmarkEnd w:id="207"/>
      <w:bookmarkEnd w:id="208"/>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7109E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51E579F8">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4A80B412">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29BDAA4C">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0F0438C1">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234B1E9B">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3314E15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4028C97C">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781C9296">
            <w:pPr>
              <w:jc w:val="center"/>
              <w:textAlignment w:val="bottom"/>
              <w:rPr>
                <w:rFonts w:ascii="宋体" w:hAnsi="宋体" w:cs="宋体"/>
                <w:color w:val="auto"/>
                <w:szCs w:val="21"/>
                <w:highlight w:val="none"/>
              </w:rPr>
            </w:pPr>
            <w:r>
              <w:rPr>
                <w:rFonts w:hint="eastAsia" w:ascii="宋体" w:hAnsi="宋体" w:cs="宋体"/>
                <w:color w:val="auto"/>
                <w:szCs w:val="21"/>
                <w:highlight w:val="none"/>
              </w:rPr>
              <w:t>认证机构</w:t>
            </w:r>
          </w:p>
        </w:tc>
      </w:tr>
      <w:tr w14:paraId="57DD5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896AED9">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AC731D1">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70D800F">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0B8648CF">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145D17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425ABA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AC2BC3F">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265F8A11">
            <w:pPr>
              <w:jc w:val="center"/>
              <w:textAlignment w:val="bottom"/>
              <w:rPr>
                <w:rFonts w:ascii="宋体" w:hAnsi="宋体" w:cs="宋体"/>
                <w:color w:val="auto"/>
                <w:szCs w:val="21"/>
                <w:highlight w:val="none"/>
              </w:rPr>
            </w:pPr>
          </w:p>
        </w:tc>
      </w:tr>
      <w:tr w14:paraId="33027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6B63240">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E34977C">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B45341D">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60E9B01">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662FCD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7D9006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34F4F368">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DEB40BB">
            <w:pPr>
              <w:jc w:val="center"/>
              <w:textAlignment w:val="bottom"/>
              <w:rPr>
                <w:rFonts w:ascii="宋体" w:hAnsi="宋体" w:cs="宋体"/>
                <w:color w:val="auto"/>
                <w:szCs w:val="21"/>
                <w:highlight w:val="none"/>
              </w:rPr>
            </w:pPr>
          </w:p>
        </w:tc>
      </w:tr>
      <w:tr w14:paraId="46A73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9F7DDEF">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7BC68F2">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F13B414">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14D62F9D">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52A985E6">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6234D7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2DF02FC3">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51312197">
            <w:pPr>
              <w:jc w:val="center"/>
              <w:textAlignment w:val="bottom"/>
              <w:rPr>
                <w:rFonts w:ascii="宋体" w:hAnsi="宋体" w:cs="宋体"/>
                <w:color w:val="auto"/>
                <w:szCs w:val="21"/>
                <w:highlight w:val="none"/>
              </w:rPr>
            </w:pPr>
          </w:p>
        </w:tc>
      </w:tr>
      <w:tr w14:paraId="648A1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28D09F6">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CC56F5F">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2E22E3DD">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D83013C">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779E7406">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2BB30BD5">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38B62FF7">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A8E6CCD">
            <w:pPr>
              <w:jc w:val="center"/>
              <w:textAlignment w:val="bottom"/>
              <w:rPr>
                <w:rFonts w:ascii="宋体" w:hAnsi="宋体" w:cs="宋体"/>
                <w:color w:val="auto"/>
                <w:szCs w:val="21"/>
                <w:highlight w:val="none"/>
              </w:rPr>
            </w:pPr>
          </w:p>
        </w:tc>
      </w:tr>
      <w:tr w14:paraId="44D71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EF0BCD">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7982938D">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4DBAD45E">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80EF2D5">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CB05CE5">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BBD573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17B6F308">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EAC19CA">
            <w:pPr>
              <w:jc w:val="center"/>
              <w:textAlignment w:val="bottom"/>
              <w:rPr>
                <w:rFonts w:ascii="宋体" w:hAnsi="宋体" w:cs="宋体"/>
                <w:color w:val="auto"/>
                <w:szCs w:val="21"/>
                <w:highlight w:val="none"/>
              </w:rPr>
            </w:pPr>
          </w:p>
        </w:tc>
      </w:tr>
      <w:tr w14:paraId="0302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8381A51">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6F20913">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613D15E6">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692FC97">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63C6F263">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1F9423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78F11455">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3274E83">
            <w:pPr>
              <w:jc w:val="center"/>
              <w:textAlignment w:val="bottom"/>
              <w:rPr>
                <w:rFonts w:ascii="宋体" w:hAnsi="宋体" w:cs="宋体"/>
                <w:color w:val="auto"/>
                <w:szCs w:val="21"/>
                <w:highlight w:val="none"/>
              </w:rPr>
            </w:pPr>
          </w:p>
        </w:tc>
      </w:tr>
      <w:tr w14:paraId="2A0E0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C56EACB">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529253C1">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28760D8">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2834D49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B7C709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CB33AC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5CD1A0A6">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5FFD171">
            <w:pPr>
              <w:jc w:val="center"/>
              <w:textAlignment w:val="bottom"/>
              <w:rPr>
                <w:rFonts w:ascii="宋体" w:hAnsi="宋体" w:cs="宋体"/>
                <w:color w:val="auto"/>
                <w:szCs w:val="21"/>
                <w:highlight w:val="none"/>
              </w:rPr>
            </w:pPr>
          </w:p>
        </w:tc>
      </w:tr>
      <w:tr w14:paraId="3B396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610A8DC">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7BC7B6FB">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C16BA84">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6BF8641B">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2BB5528">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0ABC81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EFBE86D">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E64E912">
            <w:pPr>
              <w:jc w:val="center"/>
              <w:textAlignment w:val="bottom"/>
              <w:rPr>
                <w:rFonts w:ascii="宋体" w:hAnsi="宋体" w:cs="宋体"/>
                <w:color w:val="auto"/>
                <w:szCs w:val="21"/>
                <w:highlight w:val="none"/>
              </w:rPr>
            </w:pPr>
          </w:p>
        </w:tc>
      </w:tr>
      <w:tr w14:paraId="259FC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CEEA838">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1B00422E">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52A39FE1">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BAC44F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94D34E8">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2FD315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7618ACBB">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E8CDACF">
            <w:pPr>
              <w:jc w:val="center"/>
              <w:textAlignment w:val="bottom"/>
              <w:rPr>
                <w:rFonts w:ascii="宋体" w:hAnsi="宋体" w:cs="宋体"/>
                <w:color w:val="auto"/>
                <w:szCs w:val="21"/>
                <w:highlight w:val="none"/>
              </w:rPr>
            </w:pPr>
          </w:p>
        </w:tc>
      </w:tr>
      <w:tr w14:paraId="7D7CD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2CB4C02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0FCA6ED5">
            <w:pPr>
              <w:rPr>
                <w:rFonts w:ascii="宋体" w:hAnsi="宋体" w:cs="宋体"/>
                <w:color w:val="auto"/>
                <w:szCs w:val="21"/>
                <w:highlight w:val="none"/>
              </w:rPr>
            </w:pPr>
          </w:p>
        </w:tc>
      </w:tr>
    </w:tbl>
    <w:p w14:paraId="57CBA77B">
      <w:pPr>
        <w:rPr>
          <w:rFonts w:ascii="宋体" w:hAnsi="宋体"/>
          <w:color w:val="auto"/>
          <w:szCs w:val="21"/>
          <w:highlight w:val="none"/>
        </w:rPr>
      </w:pPr>
    </w:p>
    <w:p w14:paraId="3A2220F6">
      <w:pPr>
        <w:rPr>
          <w:rFonts w:ascii="宋体" w:hAnsi="宋体"/>
          <w:color w:val="auto"/>
          <w:szCs w:val="21"/>
          <w:highlight w:val="none"/>
        </w:rPr>
      </w:pPr>
    </w:p>
    <w:p w14:paraId="747C9C6F">
      <w:pPr>
        <w:rPr>
          <w:rFonts w:ascii="宋体" w:hAnsi="宋体"/>
          <w:color w:val="auto"/>
          <w:szCs w:val="21"/>
          <w:highlight w:val="none"/>
        </w:rPr>
      </w:pPr>
      <w:r>
        <w:rPr>
          <w:rFonts w:hint="eastAsia" w:ascii="宋体" w:hAnsi="宋体"/>
          <w:color w:val="auto"/>
          <w:szCs w:val="21"/>
          <w:highlight w:val="none"/>
        </w:rPr>
        <w:t>投标人代表签字：</w:t>
      </w:r>
    </w:p>
    <w:p w14:paraId="17F3D7D7">
      <w:pPr>
        <w:rPr>
          <w:rFonts w:ascii="宋体" w:hAnsi="宋体"/>
          <w:color w:val="auto"/>
          <w:szCs w:val="21"/>
          <w:highlight w:val="none"/>
        </w:rPr>
      </w:pPr>
      <w:r>
        <w:rPr>
          <w:rFonts w:hint="eastAsia" w:ascii="宋体" w:hAnsi="宋体"/>
          <w:color w:val="auto"/>
          <w:szCs w:val="21"/>
          <w:highlight w:val="none"/>
        </w:rPr>
        <w:t>投标人盖章：</w:t>
      </w:r>
    </w:p>
    <w:p w14:paraId="5617C934">
      <w:pPr>
        <w:jc w:val="both"/>
        <w:rPr>
          <w:rFonts w:ascii="宋体" w:hAnsi="宋体"/>
          <w:color w:val="auto"/>
          <w:szCs w:val="21"/>
          <w:highlight w:val="none"/>
        </w:rPr>
      </w:pPr>
      <w:r>
        <w:rPr>
          <w:rFonts w:hint="eastAsia" w:ascii="宋体" w:hAnsi="宋体"/>
          <w:color w:val="auto"/>
          <w:szCs w:val="21"/>
          <w:highlight w:val="none"/>
        </w:rPr>
        <w:t>日期：</w:t>
      </w:r>
    </w:p>
    <w:p w14:paraId="181A1401">
      <w:pPr>
        <w:pStyle w:val="40"/>
        <w:rPr>
          <w:color w:val="auto"/>
          <w:highlight w:val="none"/>
        </w:rPr>
      </w:pPr>
    </w:p>
    <w:p w14:paraId="3168B22B">
      <w:pPr>
        <w:tabs>
          <w:tab w:val="left" w:pos="284"/>
        </w:tabs>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注：</w:t>
      </w:r>
    </w:p>
    <w:p w14:paraId="13536366">
      <w:pPr>
        <w:tabs>
          <w:tab w:val="left" w:pos="284"/>
        </w:tabs>
        <w:ind w:firstLine="422" w:firstLineChars="200"/>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1、投标人在“货物/服务报价明细表”中的报价内容中，如有属于节能产品或环境标志产的，必须在此表单独列明且提供相应的证明材料，否则在计算价格得分时不予以相应的扣除；</w:t>
      </w:r>
    </w:p>
    <w:p w14:paraId="274AF500">
      <w:pPr>
        <w:ind w:firstLine="422" w:firstLineChars="200"/>
        <w:rPr>
          <w:rFonts w:ascii="微软雅黑" w:hAnsi="微软雅黑" w:cs="微软雅黑"/>
          <w:b/>
          <w:color w:val="auto"/>
          <w:sz w:val="28"/>
          <w:szCs w:val="28"/>
          <w:highlight w:val="none"/>
        </w:rPr>
      </w:pPr>
      <w:r>
        <w:rPr>
          <w:rStyle w:val="51"/>
          <w:rFonts w:hint="eastAsia" w:ascii="宋体" w:hAnsi="宋体" w:eastAsia="宋体" w:cs="宋体"/>
          <w:b/>
          <w:color w:val="auto"/>
          <w:sz w:val="21"/>
          <w:szCs w:val="21"/>
          <w:highlight w:val="none"/>
        </w:rPr>
        <w:t>2、投标人应该如实填写，如投标人所投产品中无节能或环保产品的，请留空或删除此表！</w:t>
      </w:r>
    </w:p>
    <w:p w14:paraId="5610351F">
      <w:pPr>
        <w:pStyle w:val="4"/>
        <w:jc w:val="center"/>
        <w:rPr>
          <w:color w:val="auto"/>
          <w:highlight w:val="none"/>
        </w:rPr>
      </w:pPr>
      <w:bookmarkStart w:id="209" w:name="_Toc10853"/>
      <w:bookmarkStart w:id="210" w:name="_Toc27880"/>
      <w:r>
        <w:rPr>
          <w:rFonts w:hint="eastAsia"/>
          <w:color w:val="auto"/>
          <w:highlight w:val="none"/>
        </w:rPr>
        <w:t>五、中小企业声明函</w:t>
      </w:r>
      <w:bookmarkEnd w:id="209"/>
      <w:bookmarkEnd w:id="210"/>
    </w:p>
    <w:p w14:paraId="2BFF11E7">
      <w:pPr>
        <w:jc w:val="center"/>
        <w:outlineLvl w:val="1"/>
        <w:rPr>
          <w:rFonts w:ascii="宋体" w:hAnsi="宋体" w:cs="宋体"/>
          <w:b/>
          <w:bCs/>
          <w:color w:val="auto"/>
          <w:szCs w:val="21"/>
          <w:highlight w:val="none"/>
        </w:rPr>
      </w:pPr>
      <w:bookmarkStart w:id="211" w:name="_Toc18831"/>
      <w:r>
        <w:rPr>
          <w:rFonts w:hint="eastAsia" w:ascii="宋体" w:hAnsi="宋体" w:cs="宋体"/>
          <w:b/>
          <w:bCs/>
          <w:color w:val="auto"/>
          <w:szCs w:val="21"/>
          <w:highlight w:val="none"/>
        </w:rPr>
        <w:t>中小企业声明函（货物）</w:t>
      </w:r>
      <w:bookmarkEnd w:id="211"/>
    </w:p>
    <w:p w14:paraId="2ADC26E8">
      <w:pPr>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17A29327">
      <w:pPr>
        <w:pStyle w:val="10"/>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7"/>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38780700">
      <w:pPr>
        <w:pStyle w:val="10"/>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191E5CF6">
      <w:pPr>
        <w:pStyle w:val="1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17F230AB">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63619DA3">
      <w:pPr>
        <w:ind w:firstLine="420" w:firstLineChars="200"/>
        <w:rPr>
          <w:color w:val="auto"/>
          <w:highlight w:val="none"/>
        </w:rPr>
      </w:pPr>
      <w:r>
        <w:rPr>
          <w:rFonts w:hint="eastAsia"/>
          <w:color w:val="auto"/>
          <w:highlight w:val="none"/>
        </w:rPr>
        <w:t>本企业对上诉声明内容的真实性负责。如有虚假，将依法承担相应责任。</w:t>
      </w:r>
    </w:p>
    <w:p w14:paraId="222A8A1C">
      <w:pPr>
        <w:pStyle w:val="10"/>
        <w:wordWrap w:val="0"/>
        <w:ind w:left="0" w:firstLine="480"/>
        <w:jc w:val="right"/>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9E75DBD">
      <w:pPr>
        <w:pStyle w:val="10"/>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3C6DD91D">
      <w:pPr>
        <w:pStyle w:val="10"/>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0878DEA7">
      <w:pPr>
        <w:rPr>
          <w:rFonts w:ascii="宋体" w:hAnsi="宋体"/>
          <w:b/>
          <w:bCs/>
          <w:color w:val="auto"/>
          <w:szCs w:val="21"/>
          <w:highlight w:val="none"/>
        </w:rPr>
      </w:pPr>
    </w:p>
    <w:p w14:paraId="5A070045">
      <w:pPr>
        <w:ind w:firstLine="422" w:firstLineChars="200"/>
        <w:rPr>
          <w:rFonts w:ascii="宋体" w:hAnsi="宋体"/>
          <w:b/>
          <w:bCs/>
          <w:color w:val="auto"/>
          <w:szCs w:val="21"/>
          <w:highlight w:val="none"/>
        </w:rPr>
      </w:pPr>
    </w:p>
    <w:p w14:paraId="69FC05DD">
      <w:pPr>
        <w:ind w:firstLine="422" w:firstLineChars="200"/>
        <w:rPr>
          <w:rFonts w:ascii="宋体" w:hAnsi="宋体"/>
          <w:b/>
          <w:bCs/>
          <w:color w:val="auto"/>
          <w:szCs w:val="21"/>
          <w:highlight w:val="none"/>
        </w:rPr>
      </w:pPr>
    </w:p>
    <w:p w14:paraId="45DA7353">
      <w:pPr>
        <w:ind w:firstLine="422" w:firstLineChars="200"/>
        <w:rPr>
          <w:rFonts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2AA8D3D7">
      <w:pPr>
        <w:spacing w:line="480" w:lineRule="auto"/>
        <w:jc w:val="center"/>
        <w:outlineLvl w:val="1"/>
        <w:rPr>
          <w:rFonts w:ascii="宋体" w:hAnsi="宋体" w:cs="宋体"/>
          <w:b/>
          <w:bCs/>
          <w:color w:val="auto"/>
          <w:szCs w:val="21"/>
          <w:highlight w:val="none"/>
        </w:rPr>
      </w:pPr>
      <w:bookmarkStart w:id="212" w:name="_Toc17130"/>
      <w:r>
        <w:rPr>
          <w:rFonts w:hint="eastAsia" w:ascii="宋体" w:hAnsi="宋体" w:cs="宋体"/>
          <w:b/>
          <w:bCs/>
          <w:color w:val="auto"/>
          <w:szCs w:val="21"/>
          <w:highlight w:val="none"/>
        </w:rPr>
        <w:t>中小企业声明函（工程、服务）</w:t>
      </w:r>
      <w:bookmarkEnd w:id="212"/>
    </w:p>
    <w:p w14:paraId="70217899">
      <w:pPr>
        <w:ind w:firstLine="210" w:firstLineChars="100"/>
        <w:rPr>
          <w:rFonts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FF7D435">
      <w:pPr>
        <w:pStyle w:val="10"/>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7"/>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1E111DB6">
      <w:pPr>
        <w:pStyle w:val="10"/>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BE2302B">
      <w:pPr>
        <w:pStyle w:val="1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7AD60B15">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093CF7FD">
      <w:pPr>
        <w:ind w:firstLine="420" w:firstLineChars="200"/>
        <w:rPr>
          <w:color w:val="auto"/>
          <w:highlight w:val="none"/>
        </w:rPr>
      </w:pPr>
      <w:r>
        <w:rPr>
          <w:rFonts w:hint="eastAsia"/>
          <w:color w:val="auto"/>
          <w:highlight w:val="none"/>
        </w:rPr>
        <w:t>本企业对上诉声明内容的真实性负责。如有虚假，将依法承担相应责任。</w:t>
      </w:r>
    </w:p>
    <w:p w14:paraId="22EF7FB6">
      <w:pPr>
        <w:pStyle w:val="10"/>
        <w:ind w:left="0" w:firstLine="48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7CE87A8A">
      <w:pPr>
        <w:pStyle w:val="10"/>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135DB7B0">
      <w:pPr>
        <w:pStyle w:val="10"/>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570B5F2A">
      <w:pPr>
        <w:rPr>
          <w:rFonts w:ascii="宋体" w:hAnsi="宋体"/>
          <w:b/>
          <w:bCs/>
          <w:color w:val="auto"/>
          <w:szCs w:val="21"/>
          <w:highlight w:val="none"/>
        </w:rPr>
      </w:pPr>
    </w:p>
    <w:p w14:paraId="5251B9AA">
      <w:pPr>
        <w:rPr>
          <w:rFonts w:ascii="宋体" w:hAnsi="宋体"/>
          <w:b/>
          <w:bCs/>
          <w:color w:val="auto"/>
          <w:szCs w:val="21"/>
          <w:highlight w:val="none"/>
        </w:rPr>
      </w:pPr>
    </w:p>
    <w:p w14:paraId="4FC52407">
      <w:pPr>
        <w:rPr>
          <w:rFonts w:ascii="宋体" w:hAnsi="宋体"/>
          <w:b/>
          <w:bCs/>
          <w:color w:val="auto"/>
          <w:szCs w:val="21"/>
          <w:highlight w:val="none"/>
        </w:rPr>
      </w:pPr>
    </w:p>
    <w:p w14:paraId="659E6F90">
      <w:pPr>
        <w:ind w:firstLine="422" w:firstLineChars="200"/>
        <w:rPr>
          <w:rFonts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5F42D73D">
      <w:pPr>
        <w:rPr>
          <w:rFonts w:ascii="宋体" w:hAnsi="宋体"/>
          <w:b/>
          <w:bCs/>
          <w:color w:val="auto"/>
          <w:szCs w:val="21"/>
          <w:highlight w:val="none"/>
        </w:rPr>
      </w:pPr>
      <w:r>
        <w:rPr>
          <w:rFonts w:hint="eastAsia" w:ascii="宋体" w:hAnsi="宋体"/>
          <w:b/>
          <w:bCs/>
          <w:color w:val="auto"/>
          <w:szCs w:val="21"/>
          <w:highlight w:val="none"/>
        </w:rPr>
        <w:t>说明：</w:t>
      </w:r>
    </w:p>
    <w:p w14:paraId="695D24B1">
      <w:pPr>
        <w:spacing w:line="48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14:paraId="2D551C28">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投标人应该在《报价明细表》中单独列明属于小型和微型企业产品（货物、承担的工程或者服务）的报价，若投标人只提供《中小企业声明函》但未列明小型或微型企业产品的，在计算价格得分时不予以相应的扣除。</w:t>
      </w:r>
    </w:p>
    <w:p w14:paraId="2A4B5288">
      <w:pPr>
        <w:rPr>
          <w:rFonts w:ascii="楷体_GB2312" w:eastAsia="楷体_GB2312"/>
          <w:color w:val="auto"/>
          <w:sz w:val="24"/>
          <w:highlight w:val="none"/>
        </w:rPr>
      </w:pPr>
    </w:p>
    <w:p w14:paraId="7D42A5AA">
      <w:pPr>
        <w:adjustRightInd/>
        <w:snapToGrid/>
        <w:spacing w:line="276" w:lineRule="auto"/>
        <w:rPr>
          <w:color w:val="auto"/>
          <w:highlight w:val="none"/>
        </w:rPr>
      </w:pPr>
      <w:r>
        <w:rPr>
          <w:rFonts w:ascii="楷体_GB2312" w:eastAsia="楷体_GB2312"/>
          <w:color w:val="auto"/>
          <w:sz w:val="24"/>
          <w:highlight w:val="none"/>
        </w:rPr>
        <w:br w:type="page"/>
      </w:r>
    </w:p>
    <w:p w14:paraId="1FD48138">
      <w:pPr>
        <w:pStyle w:val="4"/>
        <w:jc w:val="center"/>
        <w:rPr>
          <w:color w:val="auto"/>
          <w:highlight w:val="none"/>
        </w:rPr>
      </w:pPr>
      <w:bookmarkStart w:id="213" w:name="_Toc8560"/>
      <w:bookmarkStart w:id="214" w:name="_Toc23440"/>
      <w:r>
        <w:rPr>
          <w:rFonts w:hint="eastAsia"/>
          <w:color w:val="auto"/>
          <w:highlight w:val="none"/>
        </w:rPr>
        <w:t>六、残疾人福利性单位声明函</w:t>
      </w:r>
      <w:bookmarkEnd w:id="213"/>
      <w:bookmarkEnd w:id="214"/>
    </w:p>
    <w:p w14:paraId="53C2D1A7">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41EE3B5">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3BF5686A">
      <w:pPr>
        <w:spacing w:line="480" w:lineRule="auto"/>
        <w:jc w:val="right"/>
        <w:rPr>
          <w:rFonts w:ascii="宋体" w:hAnsi="宋体"/>
          <w:color w:val="auto"/>
          <w:szCs w:val="21"/>
          <w:highlight w:val="none"/>
        </w:rPr>
      </w:pPr>
    </w:p>
    <w:p w14:paraId="270AD0AA">
      <w:pPr>
        <w:jc w:val="center"/>
        <w:rPr>
          <w:rFonts w:ascii="宋体" w:hAnsi="宋体"/>
          <w:color w:val="auto"/>
          <w:szCs w:val="21"/>
          <w:highlight w:val="none"/>
        </w:rPr>
      </w:pPr>
      <w:r>
        <w:rPr>
          <w:rFonts w:hint="eastAsia" w:ascii="宋体" w:hAnsi="宋体"/>
          <w:color w:val="auto"/>
          <w:szCs w:val="21"/>
          <w:highlight w:val="none"/>
        </w:rPr>
        <w:t xml:space="preserve">                              单位名称（盖章）：</w:t>
      </w:r>
      <w:bookmarkStart w:id="215" w:name="_Toc30277"/>
      <w:bookmarkStart w:id="216" w:name="_Toc30247"/>
      <w:bookmarkStart w:id="217" w:name="_Toc508960153"/>
      <w:bookmarkStart w:id="218" w:name="_Toc508898066"/>
      <w:bookmarkStart w:id="219" w:name="_Toc509479530"/>
      <w:bookmarkStart w:id="220" w:name="_Toc510171693"/>
      <w:bookmarkStart w:id="221" w:name="_Toc509844825"/>
      <w:bookmarkStart w:id="222" w:name="_Toc22970"/>
      <w:bookmarkStart w:id="223" w:name="_Toc508958703"/>
      <w:bookmarkStart w:id="224" w:name="_Toc509927455"/>
      <w:bookmarkStart w:id="225" w:name="_Toc17761"/>
      <w:bookmarkStart w:id="226" w:name="_Toc20910"/>
    </w:p>
    <w:p w14:paraId="2F86A05A">
      <w:pPr>
        <w:jc w:val="center"/>
        <w:rPr>
          <w:rFonts w:ascii="宋体" w:hAnsi="宋体"/>
          <w:color w:val="auto"/>
          <w:szCs w:val="21"/>
          <w:highlight w:val="none"/>
        </w:rPr>
      </w:pPr>
      <w:r>
        <w:rPr>
          <w:rFonts w:hint="eastAsia" w:ascii="宋体" w:hAnsi="宋体"/>
          <w:color w:val="auto"/>
          <w:szCs w:val="21"/>
          <w:highlight w:val="none"/>
        </w:rPr>
        <w:t xml:space="preserve">                   日  期：</w:t>
      </w:r>
      <w:bookmarkEnd w:id="215"/>
      <w:bookmarkEnd w:id="216"/>
      <w:bookmarkEnd w:id="217"/>
      <w:bookmarkEnd w:id="218"/>
      <w:bookmarkEnd w:id="219"/>
      <w:bookmarkEnd w:id="220"/>
      <w:bookmarkEnd w:id="221"/>
      <w:bookmarkEnd w:id="222"/>
      <w:bookmarkEnd w:id="223"/>
      <w:bookmarkEnd w:id="224"/>
      <w:bookmarkEnd w:id="225"/>
      <w:bookmarkEnd w:id="226"/>
    </w:p>
    <w:p w14:paraId="5DE1E188">
      <w:pPr>
        <w:pStyle w:val="10"/>
        <w:rPr>
          <w:color w:val="auto"/>
          <w:highlight w:val="none"/>
        </w:rPr>
      </w:pPr>
    </w:p>
    <w:p w14:paraId="734C7844">
      <w:pPr>
        <w:ind w:firstLine="420" w:firstLineChars="200"/>
        <w:rPr>
          <w:rFonts w:ascii="宋体" w:hAnsi="宋体"/>
          <w:color w:val="auto"/>
          <w:szCs w:val="21"/>
          <w:highlight w:val="none"/>
        </w:rPr>
      </w:pPr>
      <w:bookmarkStart w:id="227" w:name="_Toc509479531"/>
      <w:bookmarkStart w:id="228" w:name="_Toc508958704"/>
      <w:bookmarkStart w:id="229" w:name="_Toc21053"/>
      <w:bookmarkStart w:id="230" w:name="_Toc508960154"/>
      <w:bookmarkStart w:id="231" w:name="_Toc5447"/>
      <w:bookmarkStart w:id="232" w:name="_Toc508898067"/>
      <w:bookmarkStart w:id="233" w:name="_Toc26216"/>
      <w:bookmarkStart w:id="234" w:name="_Toc31520"/>
      <w:bookmarkStart w:id="235" w:name="_Toc28527"/>
      <w:bookmarkStart w:id="236" w:name="_Toc510171694"/>
      <w:bookmarkStart w:id="237" w:name="_Toc509927456"/>
      <w:bookmarkStart w:id="238" w:name="_Toc509844826"/>
      <w:r>
        <w:rPr>
          <w:rFonts w:hint="eastAsia" w:ascii="宋体" w:hAnsi="宋体"/>
          <w:color w:val="auto"/>
          <w:szCs w:val="21"/>
          <w:highlight w:val="none"/>
        </w:rPr>
        <w:t>注：</w:t>
      </w:r>
    </w:p>
    <w:p w14:paraId="57343941">
      <w:pPr>
        <w:ind w:firstLine="420" w:firstLineChars="200"/>
        <w:rPr>
          <w:rFonts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27"/>
      <w:bookmarkEnd w:id="228"/>
      <w:bookmarkEnd w:id="229"/>
      <w:bookmarkEnd w:id="230"/>
      <w:bookmarkEnd w:id="231"/>
      <w:bookmarkEnd w:id="232"/>
      <w:bookmarkEnd w:id="233"/>
      <w:bookmarkEnd w:id="234"/>
      <w:bookmarkEnd w:id="235"/>
      <w:bookmarkEnd w:id="236"/>
      <w:bookmarkEnd w:id="237"/>
      <w:bookmarkEnd w:id="238"/>
    </w:p>
    <w:p w14:paraId="6B7C69E3">
      <w:pPr>
        <w:ind w:firstLine="420" w:firstLineChars="200"/>
        <w:rPr>
          <w:rFonts w:ascii="宋体" w:hAnsi="宋体"/>
          <w:color w:val="auto"/>
          <w:szCs w:val="21"/>
          <w:highlight w:val="none"/>
        </w:rPr>
      </w:pPr>
      <w:bookmarkStart w:id="239" w:name="_Toc14653"/>
      <w:bookmarkStart w:id="240" w:name="_Toc24848"/>
      <w:bookmarkStart w:id="241" w:name="_Toc508898068"/>
      <w:bookmarkStart w:id="242" w:name="_Toc508960155"/>
      <w:bookmarkStart w:id="243" w:name="_Toc9148"/>
      <w:bookmarkStart w:id="244" w:name="_Toc509479532"/>
      <w:bookmarkStart w:id="245" w:name="_Toc508958705"/>
      <w:bookmarkStart w:id="246" w:name="_Toc510171695"/>
      <w:bookmarkStart w:id="247" w:name="_Toc28126"/>
      <w:bookmarkStart w:id="248" w:name="_Toc509844827"/>
      <w:bookmarkStart w:id="249" w:name="_Toc28626"/>
      <w:bookmarkStart w:id="250" w:name="_Toc509927457"/>
      <w:r>
        <w:rPr>
          <w:rFonts w:hint="eastAsia" w:ascii="宋体" w:hAnsi="宋体"/>
          <w:color w:val="auto"/>
          <w:szCs w:val="21"/>
          <w:highlight w:val="none"/>
        </w:rPr>
        <w:t>（2）中标人为残疾人福利性单位的，采购代理机构将随中标结果同时公告其《残疾人福利性单位声明函》，接受社会监督。</w:t>
      </w:r>
      <w:bookmarkEnd w:id="239"/>
      <w:bookmarkEnd w:id="240"/>
      <w:bookmarkEnd w:id="241"/>
      <w:bookmarkEnd w:id="242"/>
      <w:bookmarkEnd w:id="243"/>
      <w:bookmarkEnd w:id="244"/>
      <w:bookmarkEnd w:id="245"/>
      <w:bookmarkEnd w:id="246"/>
      <w:bookmarkEnd w:id="247"/>
      <w:bookmarkEnd w:id="248"/>
      <w:bookmarkEnd w:id="249"/>
      <w:bookmarkEnd w:id="250"/>
    </w:p>
    <w:p w14:paraId="2A2F5B57">
      <w:pPr>
        <w:ind w:firstLine="420" w:firstLineChars="200"/>
        <w:rPr>
          <w:rFonts w:ascii="宋体" w:hAnsi="宋体"/>
          <w:color w:val="auto"/>
          <w:szCs w:val="21"/>
          <w:highlight w:val="none"/>
        </w:rPr>
      </w:pPr>
      <w:bookmarkStart w:id="251" w:name="_Toc508958706"/>
      <w:bookmarkStart w:id="252" w:name="_Toc7858"/>
      <w:bookmarkStart w:id="253" w:name="_Toc508960156"/>
      <w:bookmarkStart w:id="254" w:name="_Toc22981"/>
      <w:bookmarkStart w:id="255" w:name="_Toc9837"/>
      <w:bookmarkStart w:id="256" w:name="_Toc509927458"/>
      <w:bookmarkStart w:id="257" w:name="_Toc509844828"/>
      <w:bookmarkStart w:id="258" w:name="_Toc510171696"/>
      <w:bookmarkStart w:id="259" w:name="_Toc28044"/>
      <w:bookmarkStart w:id="260" w:name="_Toc28686"/>
      <w:bookmarkStart w:id="261" w:name="_Toc509479533"/>
      <w:bookmarkStart w:id="262" w:name="_Toc508898069"/>
      <w:r>
        <w:rPr>
          <w:rFonts w:hint="eastAsia" w:ascii="宋体" w:hAnsi="宋体"/>
          <w:color w:val="auto"/>
          <w:szCs w:val="21"/>
          <w:highlight w:val="none"/>
        </w:rPr>
        <w:t>（3）投标人提供的《残疾人福利性单位声明函》与事实不符的，依照《政府采购法》第七十七条第一款的规定追究法律责任。</w:t>
      </w:r>
      <w:bookmarkEnd w:id="251"/>
      <w:bookmarkEnd w:id="252"/>
      <w:bookmarkEnd w:id="253"/>
      <w:bookmarkEnd w:id="254"/>
      <w:bookmarkEnd w:id="255"/>
      <w:bookmarkEnd w:id="256"/>
      <w:bookmarkEnd w:id="257"/>
      <w:bookmarkEnd w:id="258"/>
      <w:bookmarkEnd w:id="259"/>
      <w:bookmarkEnd w:id="260"/>
      <w:bookmarkEnd w:id="261"/>
      <w:bookmarkEnd w:id="262"/>
    </w:p>
    <w:p w14:paraId="5EE0B73B">
      <w:pPr>
        <w:ind w:firstLine="420" w:firstLineChars="200"/>
        <w:rPr>
          <w:rFonts w:ascii="宋体" w:hAnsi="宋体"/>
          <w:color w:val="auto"/>
          <w:szCs w:val="21"/>
          <w:highlight w:val="none"/>
        </w:rPr>
      </w:pPr>
      <w:bookmarkStart w:id="263" w:name="_Toc18843"/>
      <w:bookmarkStart w:id="264" w:name="_Toc509927459"/>
      <w:bookmarkStart w:id="265" w:name="_Toc509479534"/>
      <w:bookmarkStart w:id="266" w:name="_Toc510171697"/>
      <w:bookmarkStart w:id="267" w:name="_Toc508898070"/>
      <w:bookmarkStart w:id="268" w:name="_Toc5289"/>
      <w:bookmarkStart w:id="269" w:name="_Toc508960157"/>
      <w:bookmarkStart w:id="270" w:name="_Toc509844829"/>
      <w:bookmarkStart w:id="271" w:name="_Toc508958707"/>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63"/>
      <w:bookmarkEnd w:id="264"/>
      <w:bookmarkEnd w:id="265"/>
      <w:bookmarkEnd w:id="266"/>
      <w:bookmarkEnd w:id="267"/>
      <w:bookmarkEnd w:id="268"/>
      <w:bookmarkEnd w:id="269"/>
      <w:bookmarkEnd w:id="270"/>
      <w:bookmarkEnd w:id="271"/>
    </w:p>
    <w:p w14:paraId="110F9478">
      <w:pPr>
        <w:ind w:firstLine="422" w:firstLineChars="200"/>
        <w:rPr>
          <w:rFonts w:ascii="宋体" w:hAnsi="宋体"/>
          <w:b/>
          <w:bCs/>
          <w:color w:val="auto"/>
          <w:szCs w:val="21"/>
          <w:highlight w:val="none"/>
        </w:rPr>
      </w:pPr>
      <w:r>
        <w:rPr>
          <w:rFonts w:hint="eastAsia" w:ascii="宋体" w:hAnsi="宋体"/>
          <w:b/>
          <w:bCs/>
          <w:color w:val="auto"/>
          <w:szCs w:val="21"/>
          <w:highlight w:val="none"/>
        </w:rPr>
        <w:t>（5）若投标人不属于规定的残疾人福利性单位，或提供的产品不是残疾人福利单位制造的，则无需提供此表。</w:t>
      </w:r>
    </w:p>
    <w:p w14:paraId="049440A1">
      <w:pPr>
        <w:adjustRightInd/>
        <w:snapToGrid/>
        <w:spacing w:line="276" w:lineRule="auto"/>
        <w:rPr>
          <w:color w:val="auto"/>
          <w:highlight w:val="none"/>
        </w:rPr>
      </w:pPr>
      <w:r>
        <w:rPr>
          <w:rFonts w:hint="eastAsia" w:ascii="宋体" w:hAnsi="宋体"/>
          <w:bCs/>
          <w:color w:val="auto"/>
          <w:szCs w:val="21"/>
          <w:highlight w:val="none"/>
        </w:rPr>
        <w:br w:type="page"/>
      </w:r>
    </w:p>
    <w:p w14:paraId="504830B7">
      <w:pPr>
        <w:pStyle w:val="4"/>
        <w:jc w:val="center"/>
        <w:rPr>
          <w:color w:val="auto"/>
          <w:highlight w:val="none"/>
        </w:rPr>
      </w:pPr>
      <w:bookmarkStart w:id="272" w:name="_Toc23948"/>
      <w:bookmarkStart w:id="273" w:name="_Toc28974"/>
      <w:r>
        <w:rPr>
          <w:rFonts w:hint="eastAsia"/>
          <w:color w:val="auto"/>
          <w:highlight w:val="none"/>
        </w:rPr>
        <w:t>第二章商务文件</w:t>
      </w:r>
      <w:bookmarkEnd w:id="272"/>
      <w:bookmarkEnd w:id="273"/>
    </w:p>
    <w:bookmarkEnd w:id="200"/>
    <w:p w14:paraId="3C2888A0">
      <w:pPr>
        <w:pStyle w:val="4"/>
        <w:jc w:val="center"/>
        <w:rPr>
          <w:color w:val="auto"/>
          <w:highlight w:val="none"/>
        </w:rPr>
      </w:pPr>
      <w:bookmarkStart w:id="274" w:name="_Toc13526"/>
      <w:bookmarkStart w:id="275" w:name="_Toc23787"/>
      <w:r>
        <w:rPr>
          <w:rFonts w:hint="eastAsia"/>
          <w:color w:val="auto"/>
          <w:highlight w:val="none"/>
        </w:rPr>
        <w:t>一、投标函</w:t>
      </w:r>
      <w:bookmarkEnd w:id="274"/>
      <w:bookmarkEnd w:id="275"/>
    </w:p>
    <w:p w14:paraId="1D5261AD">
      <w:pPr>
        <w:rPr>
          <w:rFonts w:ascii="宋体" w:hAnsi="宋体"/>
          <w:color w:val="auto"/>
          <w:szCs w:val="21"/>
          <w:highlight w:val="none"/>
        </w:rPr>
      </w:pPr>
      <w:r>
        <w:rPr>
          <w:rFonts w:hint="eastAsia" w:ascii="宋体" w:hAnsi="宋体"/>
          <w:color w:val="auto"/>
          <w:szCs w:val="21"/>
          <w:highlight w:val="none"/>
        </w:rPr>
        <w:t>致广东政通招标有限公司：</w:t>
      </w:r>
    </w:p>
    <w:p w14:paraId="43CCCF1E">
      <w:pPr>
        <w:rPr>
          <w:rFonts w:ascii="宋体" w:hAnsi="宋体"/>
          <w:color w:val="auto"/>
          <w:szCs w:val="21"/>
          <w:highlight w:val="none"/>
        </w:rPr>
      </w:pPr>
    </w:p>
    <w:p w14:paraId="2F307747">
      <w:pPr>
        <w:ind w:firstLine="420" w:firstLineChars="200"/>
        <w:rPr>
          <w:rFonts w:hint="eastAsia" w:ascii="宋体" w:hAnsi="宋体" w:eastAsia="宋体" w:cs="宋体"/>
          <w:color w:val="auto"/>
          <w:sz w:val="21"/>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w:t>
      </w:r>
      <w:r>
        <w:rPr>
          <w:rFonts w:hint="eastAsia" w:ascii="宋体" w:hAnsi="宋体" w:eastAsia="宋体" w:cs="宋体"/>
          <w:color w:val="auto"/>
          <w:sz w:val="21"/>
          <w:szCs w:val="21"/>
          <w:highlight w:val="none"/>
          <w:u w:val="single"/>
        </w:rPr>
        <w:t>人名称、地址）</w:t>
      </w:r>
      <w:r>
        <w:rPr>
          <w:rFonts w:hint="eastAsia" w:ascii="宋体" w:hAnsi="宋体" w:eastAsia="宋体" w:cs="宋体"/>
          <w:color w:val="auto"/>
          <w:sz w:val="21"/>
          <w:szCs w:val="21"/>
          <w:highlight w:val="none"/>
        </w:rPr>
        <w:t>进行有关本次投标的一切事宜。</w:t>
      </w:r>
    </w:p>
    <w:p w14:paraId="2AE99F05">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在此提交的投标文件，正本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套，副本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套，唱标信封及电子文件各1份。</w:t>
      </w:r>
    </w:p>
    <w:p w14:paraId="595A5ED7">
      <w:pPr>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我方</w:t>
      </w:r>
      <w:r>
        <w:rPr>
          <w:rFonts w:hint="eastAsia" w:ascii="宋体" w:hAnsi="宋体" w:eastAsia="宋体" w:cs="宋体"/>
          <w:color w:val="auto"/>
          <w:sz w:val="21"/>
          <w:szCs w:val="21"/>
          <w:highlight w:val="none"/>
        </w:rPr>
        <w:t>已</w:t>
      </w:r>
      <w:r>
        <w:rPr>
          <w:rFonts w:hint="eastAsia" w:ascii="宋体" w:hAnsi="宋体" w:eastAsia="宋体" w:cs="宋体"/>
          <w:color w:val="auto"/>
          <w:sz w:val="21"/>
          <w:szCs w:val="21"/>
          <w:highlight w:val="none"/>
          <w:lang w:val="zh-CN"/>
        </w:rPr>
        <w:t>完全明白招标文件的所有条款要求，并重申以下几点：</w:t>
      </w:r>
    </w:p>
    <w:p w14:paraId="367CE7B0">
      <w:pPr>
        <w:widowControl w:val="0"/>
        <w:numPr>
          <w:ilvl w:val="0"/>
          <w:numId w:val="12"/>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我方将按招标文件的规定履行合同责任和义务。 </w:t>
      </w:r>
    </w:p>
    <w:p w14:paraId="1D01542E">
      <w:pPr>
        <w:widowControl w:val="0"/>
        <w:numPr>
          <w:ilvl w:val="0"/>
          <w:numId w:val="12"/>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1F203A0A">
      <w:pPr>
        <w:widowControl w:val="0"/>
        <w:numPr>
          <w:ilvl w:val="0"/>
          <w:numId w:val="12"/>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本公司同意按照贵公司可能提出的要求而提供与投标有关的任何其它数据、信息或资料。</w:t>
      </w:r>
    </w:p>
    <w:p w14:paraId="5BD6F717">
      <w:pPr>
        <w:widowControl w:val="0"/>
        <w:numPr>
          <w:ilvl w:val="0"/>
          <w:numId w:val="12"/>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7EE71B43">
      <w:pPr>
        <w:widowControl w:val="0"/>
        <w:numPr>
          <w:ilvl w:val="0"/>
          <w:numId w:val="12"/>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本公司如果中标，将保证履行招标文件及其澄清、修改文件（如果有）中的全部责任和义务，按质、按量、按期完成《采购需求书》及《合同书》中的全部任务。</w:t>
      </w:r>
    </w:p>
    <w:p w14:paraId="2E1185D7">
      <w:pPr>
        <w:widowControl w:val="0"/>
        <w:numPr>
          <w:ilvl w:val="0"/>
          <w:numId w:val="12"/>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与本投标有关的一切正式信函请寄：</w:t>
      </w:r>
    </w:p>
    <w:p w14:paraId="39BA4C67">
      <w:pPr>
        <w:rPr>
          <w:rFonts w:ascii="宋体" w:hAnsi="宋体"/>
          <w:color w:val="auto"/>
          <w:szCs w:val="21"/>
          <w:highlight w:val="none"/>
        </w:rPr>
      </w:pPr>
    </w:p>
    <w:p w14:paraId="634EA2B7">
      <w:pPr>
        <w:rPr>
          <w:rFonts w:ascii="宋体" w:hAnsi="宋体"/>
          <w:color w:val="auto"/>
          <w:szCs w:val="21"/>
          <w:highlight w:val="none"/>
        </w:rPr>
      </w:pPr>
      <w:r>
        <w:rPr>
          <w:rFonts w:hint="eastAsia" w:ascii="宋体" w:hAnsi="宋体"/>
          <w:color w:val="auto"/>
          <w:szCs w:val="21"/>
          <w:highlight w:val="none"/>
        </w:rPr>
        <w:t>地址：　　　　　　　　　　　　　　　</w:t>
      </w:r>
    </w:p>
    <w:p w14:paraId="0BA27D0C">
      <w:pPr>
        <w:rPr>
          <w:rFonts w:ascii="宋体" w:hAnsi="宋体"/>
          <w:color w:val="auto"/>
          <w:szCs w:val="21"/>
          <w:highlight w:val="none"/>
        </w:rPr>
      </w:pPr>
      <w:r>
        <w:rPr>
          <w:rFonts w:hint="eastAsia" w:ascii="宋体" w:hAnsi="宋体"/>
          <w:color w:val="auto"/>
          <w:szCs w:val="21"/>
          <w:highlight w:val="none"/>
        </w:rPr>
        <w:t>邮箱：　　　</w:t>
      </w:r>
    </w:p>
    <w:p w14:paraId="6BE22188">
      <w:pPr>
        <w:rPr>
          <w:rFonts w:ascii="宋体" w:hAnsi="宋体"/>
          <w:color w:val="auto"/>
          <w:szCs w:val="21"/>
          <w:highlight w:val="none"/>
        </w:rPr>
      </w:pPr>
      <w:r>
        <w:rPr>
          <w:rFonts w:hint="eastAsia" w:ascii="宋体" w:hAnsi="宋体"/>
          <w:color w:val="auto"/>
          <w:szCs w:val="21"/>
          <w:highlight w:val="none"/>
        </w:rPr>
        <w:t>电话/移动电话：　　　　　　　　　　　　　　　</w:t>
      </w:r>
    </w:p>
    <w:p w14:paraId="0BB5678B">
      <w:pPr>
        <w:rPr>
          <w:rFonts w:ascii="宋体" w:hAnsi="宋体"/>
          <w:color w:val="auto"/>
          <w:szCs w:val="21"/>
          <w:highlight w:val="none"/>
        </w:rPr>
      </w:pPr>
      <w:r>
        <w:rPr>
          <w:rFonts w:hint="eastAsia" w:ascii="宋体" w:hAnsi="宋体"/>
          <w:color w:val="auto"/>
          <w:szCs w:val="21"/>
          <w:highlight w:val="none"/>
        </w:rPr>
        <w:t xml:space="preserve">投标人代表签字：                    </w:t>
      </w:r>
    </w:p>
    <w:p w14:paraId="75CB9DEA">
      <w:pPr>
        <w:rPr>
          <w:rFonts w:ascii="宋体" w:hAnsi="宋体"/>
          <w:color w:val="auto"/>
          <w:szCs w:val="21"/>
          <w:highlight w:val="none"/>
        </w:rPr>
      </w:pPr>
      <w:r>
        <w:rPr>
          <w:rFonts w:hint="eastAsia" w:ascii="宋体" w:hAnsi="宋体"/>
          <w:color w:val="auto"/>
          <w:szCs w:val="21"/>
          <w:highlight w:val="none"/>
        </w:rPr>
        <w:t xml:space="preserve">投标人名称（加盖公章）： </w:t>
      </w:r>
    </w:p>
    <w:p w14:paraId="0A887E6D">
      <w:pPr>
        <w:rPr>
          <w:rFonts w:ascii="宋体" w:hAnsi="宋体"/>
          <w:color w:val="auto"/>
          <w:szCs w:val="21"/>
          <w:highlight w:val="none"/>
        </w:rPr>
      </w:pPr>
      <w:r>
        <w:rPr>
          <w:rFonts w:hint="eastAsia" w:ascii="宋体" w:hAnsi="宋体"/>
          <w:color w:val="auto"/>
          <w:szCs w:val="21"/>
          <w:highlight w:val="none"/>
        </w:rPr>
        <w:t>日期：</w:t>
      </w:r>
    </w:p>
    <w:p w14:paraId="49EC3413">
      <w:pPr>
        <w:adjustRightInd/>
        <w:snapToGrid/>
        <w:spacing w:line="276" w:lineRule="auto"/>
        <w:rPr>
          <w:color w:val="auto"/>
          <w:highlight w:val="none"/>
        </w:rPr>
      </w:pPr>
      <w:r>
        <w:rPr>
          <w:color w:val="auto"/>
          <w:highlight w:val="none"/>
        </w:rPr>
        <w:br w:type="page"/>
      </w:r>
    </w:p>
    <w:p w14:paraId="16085007">
      <w:pPr>
        <w:pStyle w:val="4"/>
        <w:jc w:val="center"/>
        <w:rPr>
          <w:color w:val="auto"/>
          <w:highlight w:val="none"/>
        </w:rPr>
      </w:pPr>
      <w:bookmarkStart w:id="276" w:name="_Toc15719"/>
      <w:bookmarkStart w:id="277" w:name="_Toc12997"/>
      <w:r>
        <w:rPr>
          <w:rFonts w:hint="eastAsia"/>
          <w:color w:val="auto"/>
          <w:highlight w:val="none"/>
        </w:rPr>
        <w:t>二、资格申明函</w:t>
      </w:r>
      <w:bookmarkEnd w:id="276"/>
      <w:bookmarkEnd w:id="277"/>
    </w:p>
    <w:p w14:paraId="4D4F5FAE">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69F1D2A3">
      <w:pPr>
        <w:ind w:firstLine="420" w:firstLineChars="200"/>
        <w:rPr>
          <w:rFonts w:ascii="宋体" w:hAnsi="宋体"/>
          <w:color w:val="auto"/>
          <w:szCs w:val="21"/>
          <w:highlight w:val="none"/>
        </w:rPr>
      </w:pPr>
    </w:p>
    <w:p w14:paraId="4E7F6359">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，并按招标文件要求提交所附资格文件且声明和保证如下：</w:t>
      </w:r>
    </w:p>
    <w:p w14:paraId="720F99BF">
      <w:pPr>
        <w:ind w:firstLine="420" w:firstLineChars="200"/>
        <w:rPr>
          <w:rFonts w:ascii="宋体" w:hAnsi="宋体"/>
          <w:color w:val="auto"/>
          <w:szCs w:val="21"/>
          <w:highlight w:val="none"/>
        </w:rPr>
      </w:pPr>
      <w:r>
        <w:rPr>
          <w:rFonts w:hint="eastAsia" w:ascii="宋体" w:hAnsi="宋体"/>
          <w:color w:val="auto"/>
          <w:szCs w:val="21"/>
          <w:highlight w:val="none"/>
        </w:rPr>
        <w:t>1、我方具备</w:t>
      </w:r>
      <w:r>
        <w:rPr>
          <w:rFonts w:hint="eastAsia" w:ascii="宋体" w:hAnsi="宋体"/>
          <w:color w:val="auto"/>
          <w:szCs w:val="21"/>
          <w:highlight w:val="none"/>
          <w:lang w:val="en-US" w:eastAsia="zh-CN"/>
        </w:rPr>
        <w:t>以下</w:t>
      </w:r>
      <w:r>
        <w:rPr>
          <w:rFonts w:hint="eastAsia" w:ascii="宋体" w:hAnsi="宋体"/>
          <w:color w:val="auto"/>
          <w:szCs w:val="21"/>
          <w:highlight w:val="none"/>
        </w:rPr>
        <w:t>条资格条件：</w:t>
      </w:r>
    </w:p>
    <w:p w14:paraId="583B3FFF">
      <w:pPr>
        <w:ind w:firstLine="420" w:firstLineChars="200"/>
        <w:rPr>
          <w:rFonts w:ascii="宋体" w:hAnsi="宋体"/>
          <w:color w:val="auto"/>
          <w:szCs w:val="21"/>
          <w:highlight w:val="none"/>
        </w:rPr>
      </w:pPr>
      <w:r>
        <w:rPr>
          <w:rFonts w:hint="eastAsia" w:ascii="宋体" w:hAnsi="宋体"/>
          <w:color w:val="auto"/>
          <w:szCs w:val="21"/>
          <w:highlight w:val="none"/>
        </w:rPr>
        <w:t xml:space="preserve">（一）具有独立承担民事责任的能力； </w:t>
      </w:r>
    </w:p>
    <w:p w14:paraId="0F62EF27">
      <w:pPr>
        <w:ind w:firstLine="420" w:firstLineChars="200"/>
        <w:rPr>
          <w:rFonts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2F8F4645">
      <w:pPr>
        <w:ind w:firstLine="420" w:firstLineChars="200"/>
        <w:rPr>
          <w:rFonts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5B3FA0F5">
      <w:pPr>
        <w:ind w:firstLine="420" w:firstLineChars="200"/>
        <w:rPr>
          <w:rFonts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4674588D">
      <w:pPr>
        <w:ind w:firstLine="420" w:firstLineChars="200"/>
        <w:rPr>
          <w:rFonts w:ascii="宋体" w:hAnsi="宋体"/>
          <w:color w:val="auto"/>
          <w:szCs w:val="21"/>
          <w:highlight w:val="none"/>
        </w:rPr>
      </w:pPr>
      <w:r>
        <w:rPr>
          <w:rFonts w:hint="eastAsia" w:ascii="宋体" w:hAnsi="宋体"/>
          <w:color w:val="auto"/>
          <w:szCs w:val="21"/>
          <w:highlight w:val="none"/>
        </w:rPr>
        <w:t xml:space="preserve">（五）参加政府采购活动前三年内，在经营活动中没有重大违法记录； </w:t>
      </w:r>
    </w:p>
    <w:p w14:paraId="5B8DB1AB">
      <w:pPr>
        <w:ind w:firstLine="420" w:firstLineChars="200"/>
        <w:rPr>
          <w:rFonts w:ascii="宋体" w:hAnsi="宋体"/>
          <w:color w:val="auto"/>
          <w:szCs w:val="21"/>
          <w:highlight w:val="none"/>
        </w:rPr>
      </w:pPr>
      <w:r>
        <w:rPr>
          <w:rFonts w:hint="eastAsia" w:ascii="宋体" w:hAnsi="宋体"/>
          <w:color w:val="auto"/>
          <w:szCs w:val="21"/>
          <w:highlight w:val="none"/>
        </w:rPr>
        <w:t xml:space="preserve">（六）法律、行政法规规定的其他条件。 </w:t>
      </w:r>
    </w:p>
    <w:p w14:paraId="27A9499B">
      <w:pPr>
        <w:ind w:firstLine="420" w:firstLineChars="200"/>
        <w:rPr>
          <w:rFonts w:ascii="宋体" w:hAnsi="宋体"/>
          <w:color w:val="auto"/>
          <w:szCs w:val="21"/>
          <w:highlight w:val="none"/>
        </w:rPr>
      </w:pPr>
      <w:r>
        <w:rPr>
          <w:rFonts w:hint="eastAsia" w:ascii="宋体" w:hAnsi="宋体"/>
          <w:color w:val="auto"/>
          <w:szCs w:val="21"/>
          <w:highlight w:val="none"/>
        </w:rPr>
        <w:t>2、我方已清楚招标文件所有要求及有关规定；并承诺参加本次政府采购活动中，如有违法、违规、弄虚作假行为，所造成的损失、不良后果及法律责任，一律由我方承担；</w:t>
      </w:r>
    </w:p>
    <w:p w14:paraId="1F8FFED9">
      <w:pPr>
        <w:pStyle w:val="45"/>
        <w:spacing w:line="500" w:lineRule="atLeast"/>
        <w:ind w:firstLine="3517" w:firstLineChars="1675"/>
        <w:rPr>
          <w:rFonts w:ascii="宋体" w:eastAsia="宋体"/>
          <w:color w:val="auto"/>
          <w:sz w:val="21"/>
          <w:szCs w:val="21"/>
          <w:highlight w:val="none"/>
        </w:rPr>
      </w:pPr>
    </w:p>
    <w:p w14:paraId="74DFDB6E">
      <w:pPr>
        <w:pStyle w:val="45"/>
        <w:spacing w:line="500" w:lineRule="atLeast"/>
        <w:ind w:firstLine="3517" w:firstLineChars="1675"/>
        <w:rPr>
          <w:rFonts w:ascii="宋体" w:eastAsia="宋体"/>
          <w:color w:val="auto"/>
          <w:sz w:val="21"/>
          <w:szCs w:val="21"/>
          <w:highlight w:val="none"/>
        </w:rPr>
      </w:pPr>
    </w:p>
    <w:p w14:paraId="059B8CD7">
      <w:pPr>
        <w:ind w:firstLine="420" w:firstLineChars="200"/>
        <w:rPr>
          <w:color w:val="auto"/>
          <w:highlight w:val="none"/>
        </w:rPr>
      </w:pPr>
      <w:r>
        <w:rPr>
          <w:rFonts w:hint="eastAsia"/>
          <w:color w:val="auto"/>
          <w:highlight w:val="none"/>
        </w:rPr>
        <w:t>投标人名称（加盖公章）：</w:t>
      </w:r>
    </w:p>
    <w:p w14:paraId="675BA13F">
      <w:pPr>
        <w:ind w:firstLine="420" w:firstLineChars="200"/>
        <w:rPr>
          <w:color w:val="auto"/>
          <w:highlight w:val="none"/>
        </w:rPr>
      </w:pPr>
      <w:r>
        <w:rPr>
          <w:rFonts w:hint="eastAsia"/>
          <w:color w:val="auto"/>
          <w:highlight w:val="none"/>
        </w:rPr>
        <w:t>法定代表人签字（签名或盖私章）：</w:t>
      </w:r>
    </w:p>
    <w:p w14:paraId="45C007ED">
      <w:pPr>
        <w:ind w:firstLine="420" w:firstLineChars="200"/>
        <w:rPr>
          <w:color w:val="auto"/>
          <w:highlight w:val="none"/>
        </w:rPr>
      </w:pPr>
      <w:r>
        <w:rPr>
          <w:rFonts w:hint="eastAsia"/>
          <w:color w:val="auto"/>
          <w:highlight w:val="none"/>
        </w:rPr>
        <w:t>日     期：</w:t>
      </w:r>
    </w:p>
    <w:p w14:paraId="2BE604F6">
      <w:pPr>
        <w:jc w:val="both"/>
        <w:rPr>
          <w:rFonts w:ascii="宋体" w:hAnsi="宋体"/>
          <w:color w:val="auto"/>
          <w:szCs w:val="21"/>
          <w:highlight w:val="none"/>
        </w:rPr>
      </w:pPr>
    </w:p>
    <w:p w14:paraId="43CCB56E">
      <w:pPr>
        <w:pStyle w:val="10"/>
        <w:rPr>
          <w:color w:val="auto"/>
          <w:sz w:val="21"/>
          <w:szCs w:val="21"/>
          <w:highlight w:val="none"/>
        </w:rPr>
      </w:pPr>
    </w:p>
    <w:p w14:paraId="14CF5BA8">
      <w:pPr>
        <w:rPr>
          <w:rFonts w:ascii="宋体" w:hAnsi="宋体"/>
          <w:color w:val="auto"/>
          <w:szCs w:val="21"/>
          <w:highlight w:val="none"/>
        </w:rPr>
      </w:pPr>
    </w:p>
    <w:p w14:paraId="250ADBAE">
      <w:pPr>
        <w:pStyle w:val="10"/>
        <w:rPr>
          <w:color w:val="auto"/>
          <w:sz w:val="21"/>
          <w:szCs w:val="21"/>
          <w:highlight w:val="none"/>
        </w:rPr>
      </w:pPr>
    </w:p>
    <w:p w14:paraId="2676066B">
      <w:pPr>
        <w:rPr>
          <w:rFonts w:ascii="宋体" w:hAnsi="宋体"/>
          <w:color w:val="auto"/>
          <w:szCs w:val="21"/>
          <w:highlight w:val="none"/>
        </w:rPr>
      </w:pPr>
    </w:p>
    <w:p w14:paraId="089E3CDD">
      <w:pPr>
        <w:pStyle w:val="10"/>
        <w:rPr>
          <w:color w:val="auto"/>
          <w:sz w:val="21"/>
          <w:szCs w:val="21"/>
          <w:highlight w:val="none"/>
        </w:rPr>
      </w:pPr>
    </w:p>
    <w:p w14:paraId="0E3B1124">
      <w:pPr>
        <w:rPr>
          <w:rFonts w:ascii="宋体" w:hAnsi="宋体"/>
          <w:color w:val="auto"/>
          <w:szCs w:val="21"/>
          <w:highlight w:val="none"/>
        </w:rPr>
      </w:pPr>
    </w:p>
    <w:p w14:paraId="41F58E90">
      <w:pPr>
        <w:pStyle w:val="10"/>
        <w:rPr>
          <w:color w:val="auto"/>
          <w:highlight w:val="none"/>
        </w:rPr>
      </w:pPr>
    </w:p>
    <w:p w14:paraId="476B3F6B">
      <w:pPr>
        <w:rPr>
          <w:color w:val="auto"/>
          <w:highlight w:val="none"/>
        </w:rPr>
      </w:pPr>
      <w:bookmarkStart w:id="278" w:name="_Toc16412"/>
    </w:p>
    <w:p w14:paraId="3C6C46D4">
      <w:pPr>
        <w:pStyle w:val="4"/>
        <w:jc w:val="center"/>
        <w:rPr>
          <w:color w:val="auto"/>
          <w:highlight w:val="none"/>
        </w:rPr>
      </w:pPr>
      <w:bookmarkStart w:id="279" w:name="_Toc21273"/>
      <w:bookmarkStart w:id="280" w:name="_Toc6899"/>
      <w:r>
        <w:rPr>
          <w:rFonts w:hint="eastAsia"/>
          <w:color w:val="auto"/>
          <w:highlight w:val="none"/>
        </w:rPr>
        <w:t>三、在参与政府采购活动前三年未有重大违法记录、没有不良信用记录的声明函</w:t>
      </w:r>
      <w:bookmarkEnd w:id="279"/>
      <w:bookmarkEnd w:id="280"/>
    </w:p>
    <w:p w14:paraId="71ABE0B1">
      <w:pPr>
        <w:ind w:firstLine="420" w:firstLineChars="200"/>
        <w:rPr>
          <w:rFonts w:ascii="宋体" w:hAnsi="宋体" w:cs="宋体"/>
          <w:color w:val="auto"/>
          <w:szCs w:val="21"/>
          <w:highlight w:val="none"/>
        </w:rPr>
      </w:pPr>
    </w:p>
    <w:p w14:paraId="4501109F">
      <w:pPr>
        <w:spacing w:line="480" w:lineRule="auto"/>
        <w:rPr>
          <w:rFonts w:ascii="宋体" w:hAnsi="宋体" w:cs="宋体"/>
          <w:color w:val="auto"/>
          <w:szCs w:val="21"/>
          <w:highlight w:val="none"/>
        </w:rPr>
      </w:pPr>
      <w:r>
        <w:rPr>
          <w:rFonts w:hint="eastAsia" w:ascii="宋体" w:hAnsi="宋体" w:cs="宋体"/>
          <w:color w:val="auto"/>
          <w:szCs w:val="21"/>
          <w:highlight w:val="none"/>
        </w:rPr>
        <w:t>致广东政通招标有限公司：</w:t>
      </w:r>
    </w:p>
    <w:p w14:paraId="462DB14C">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投标文件截止时间止未被列入“信用中国”网站及“中国政府采购网”失信被执行人、重大税收违法案件当事人名单、政府采购严重违法失信行为记录名单。</w:t>
      </w:r>
    </w:p>
    <w:p w14:paraId="4C2979F7">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0470459D">
      <w:pPr>
        <w:ind w:firstLine="420" w:firstLineChars="200"/>
        <w:rPr>
          <w:rFonts w:ascii="宋体" w:hAnsi="宋体" w:cs="宋体"/>
          <w:color w:val="auto"/>
          <w:szCs w:val="21"/>
          <w:highlight w:val="none"/>
        </w:rPr>
      </w:pPr>
    </w:p>
    <w:p w14:paraId="78FA856A">
      <w:pPr>
        <w:rPr>
          <w:rFonts w:ascii="宋体" w:hAnsi="宋体" w:cs="宋体"/>
          <w:color w:val="auto"/>
          <w:szCs w:val="21"/>
          <w:highlight w:val="none"/>
        </w:rPr>
      </w:pPr>
    </w:p>
    <w:p w14:paraId="4FA350A4">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43FE235F">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71B666F4">
      <w:pPr>
        <w:adjustRightInd/>
        <w:snapToGrid/>
        <w:spacing w:line="276" w:lineRule="auto"/>
        <w:rPr>
          <w:color w:val="auto"/>
          <w:highlight w:val="none"/>
        </w:rPr>
      </w:pPr>
      <w:r>
        <w:rPr>
          <w:rFonts w:ascii="楷体_GB2312" w:eastAsia="楷体_GB2312"/>
          <w:color w:val="auto"/>
          <w:sz w:val="24"/>
          <w:highlight w:val="none"/>
        </w:rPr>
        <w:br w:type="page"/>
      </w:r>
      <w:bookmarkEnd w:id="278"/>
    </w:p>
    <w:p w14:paraId="08EFEAB5">
      <w:pPr>
        <w:pStyle w:val="4"/>
        <w:jc w:val="center"/>
        <w:rPr>
          <w:color w:val="auto"/>
          <w:highlight w:val="none"/>
        </w:rPr>
      </w:pPr>
      <w:bookmarkStart w:id="281" w:name="_Toc13243"/>
      <w:bookmarkStart w:id="282" w:name="_Toc18026"/>
      <w:r>
        <w:rPr>
          <w:rFonts w:hint="eastAsia"/>
          <w:color w:val="auto"/>
          <w:highlight w:val="none"/>
        </w:rPr>
        <w:t>四、法定代表人证明书</w:t>
      </w:r>
      <w:bookmarkEnd w:id="281"/>
      <w:bookmarkEnd w:id="282"/>
    </w:p>
    <w:p w14:paraId="525CC92F">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598E02F">
      <w:pPr>
        <w:pStyle w:val="45"/>
        <w:spacing w:line="420" w:lineRule="atLeast"/>
        <w:ind w:firstLine="433"/>
        <w:rPr>
          <w:rFonts w:ascii="宋体" w:eastAsia="宋体"/>
          <w:color w:val="auto"/>
          <w:sz w:val="21"/>
          <w:szCs w:val="21"/>
          <w:highlight w:val="none"/>
        </w:rPr>
      </w:pPr>
    </w:p>
    <w:p w14:paraId="1C51BCE8">
      <w:pPr>
        <w:pStyle w:val="45"/>
        <w:spacing w:line="360" w:lineRule="auto"/>
        <w:ind w:firstLine="420" w:firstLineChars="200"/>
        <w:rPr>
          <w:rFonts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（投标人名称）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79D80BAA">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5795C145">
      <w:pPr>
        <w:pStyle w:val="45"/>
        <w:spacing w:line="500" w:lineRule="atLeast"/>
        <w:ind w:firstLine="3517" w:firstLineChars="1675"/>
        <w:rPr>
          <w:rFonts w:ascii="宋体" w:eastAsia="宋体"/>
          <w:color w:val="auto"/>
          <w:sz w:val="21"/>
          <w:szCs w:val="21"/>
          <w:highlight w:val="none"/>
        </w:rPr>
      </w:pPr>
    </w:p>
    <w:p w14:paraId="76CABE54">
      <w:pPr>
        <w:ind w:firstLine="420" w:firstLineChars="200"/>
        <w:rPr>
          <w:color w:val="auto"/>
          <w:highlight w:val="none"/>
        </w:rPr>
      </w:pPr>
      <w:r>
        <w:rPr>
          <w:rFonts w:hint="eastAsia"/>
          <w:color w:val="auto"/>
          <w:highlight w:val="none"/>
        </w:rPr>
        <w:t>投标人名称（加盖公章）：</w:t>
      </w:r>
    </w:p>
    <w:p w14:paraId="4F10D822">
      <w:pPr>
        <w:ind w:firstLine="420" w:firstLineChars="200"/>
        <w:rPr>
          <w:color w:val="auto"/>
          <w:highlight w:val="none"/>
        </w:rPr>
      </w:pPr>
      <w:r>
        <w:rPr>
          <w:rFonts w:hint="eastAsia"/>
          <w:color w:val="auto"/>
          <w:highlight w:val="none"/>
        </w:rPr>
        <w:t>法定代表人（签名或盖私章）：</w:t>
      </w:r>
    </w:p>
    <w:p w14:paraId="680E861A">
      <w:pPr>
        <w:ind w:firstLine="420" w:firstLineChars="200"/>
        <w:rPr>
          <w:color w:val="auto"/>
          <w:highlight w:val="none"/>
        </w:rPr>
      </w:pPr>
      <w:r>
        <w:rPr>
          <w:rFonts w:hint="eastAsia"/>
          <w:color w:val="auto"/>
          <w:highlight w:val="none"/>
        </w:rPr>
        <w:t>联系方式：</w:t>
      </w:r>
    </w:p>
    <w:p w14:paraId="305C6FC6">
      <w:pPr>
        <w:ind w:firstLine="420" w:firstLineChars="200"/>
        <w:rPr>
          <w:color w:val="auto"/>
          <w:highlight w:val="none"/>
        </w:rPr>
      </w:pPr>
      <w:r>
        <w:rPr>
          <w:rFonts w:hint="eastAsia"/>
          <w:color w:val="auto"/>
          <w:highlight w:val="none"/>
        </w:rPr>
        <w:t>身份证号码：</w:t>
      </w:r>
    </w:p>
    <w:p w14:paraId="7EA01000">
      <w:pPr>
        <w:ind w:firstLine="420" w:firstLineChars="200"/>
        <w:rPr>
          <w:color w:val="auto"/>
          <w:highlight w:val="none"/>
        </w:rPr>
      </w:pPr>
      <w:r>
        <w:rPr>
          <w:rFonts w:hint="eastAsia"/>
          <w:color w:val="auto"/>
          <w:highlight w:val="none"/>
        </w:rPr>
        <w:t>日     期：</w:t>
      </w:r>
    </w:p>
    <w:p w14:paraId="5A9A7595">
      <w:pPr>
        <w:ind w:firstLine="420" w:firstLineChars="200"/>
        <w:rPr>
          <w:rFonts w:ascii="宋体" w:hAnsi="宋体"/>
          <w:color w:val="auto"/>
          <w:szCs w:val="21"/>
          <w:highlight w:val="none"/>
        </w:rPr>
      </w:pPr>
    </w:p>
    <w:p w14:paraId="56DA871A">
      <w:pPr>
        <w:ind w:firstLine="420" w:firstLineChars="200"/>
        <w:rPr>
          <w:rFonts w:ascii="宋体" w:hAnsi="宋体"/>
          <w:color w:val="auto"/>
          <w:szCs w:val="21"/>
          <w:highlight w:val="none"/>
        </w:rPr>
      </w:pPr>
      <w:r>
        <w:rPr>
          <w:rFonts w:hint="eastAsia" w:ascii="宋体" w:hAnsi="宋体"/>
          <w:color w:val="auto"/>
          <w:szCs w:val="21"/>
          <w:highlight w:val="none"/>
        </w:rPr>
        <w:t>注：须附法人代表身份证复印件。</w:t>
      </w:r>
    </w:p>
    <w:tbl>
      <w:tblPr>
        <w:tblStyle w:val="30"/>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70E0070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91573C3">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50399CC0">
      <w:pPr>
        <w:rPr>
          <w:color w:val="auto"/>
          <w:highlight w:val="none"/>
        </w:rPr>
      </w:pPr>
    </w:p>
    <w:p w14:paraId="7E30AAEB">
      <w:pPr>
        <w:adjustRightInd/>
        <w:snapToGrid/>
        <w:spacing w:line="276" w:lineRule="auto"/>
        <w:rPr>
          <w:color w:val="auto"/>
          <w:highlight w:val="none"/>
        </w:rPr>
      </w:pPr>
      <w:r>
        <w:rPr>
          <w:rFonts w:ascii="楷体_GB2312" w:eastAsia="楷体_GB2312"/>
          <w:color w:val="auto"/>
          <w:sz w:val="24"/>
          <w:highlight w:val="none"/>
        </w:rPr>
        <w:br w:type="page"/>
      </w:r>
    </w:p>
    <w:p w14:paraId="6C7B8602">
      <w:pPr>
        <w:pStyle w:val="4"/>
        <w:jc w:val="center"/>
        <w:rPr>
          <w:color w:val="auto"/>
          <w:highlight w:val="none"/>
        </w:rPr>
      </w:pPr>
      <w:bookmarkStart w:id="283" w:name="_Toc14893"/>
      <w:bookmarkStart w:id="284" w:name="_Toc5918"/>
      <w:r>
        <w:rPr>
          <w:rFonts w:hint="eastAsia"/>
          <w:color w:val="auto"/>
          <w:highlight w:val="none"/>
        </w:rPr>
        <w:t>五、法定代表人授权书</w:t>
      </w:r>
      <w:bookmarkEnd w:id="283"/>
      <w:bookmarkEnd w:id="284"/>
    </w:p>
    <w:p w14:paraId="59A04F87">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82D12F6">
      <w:pPr>
        <w:pStyle w:val="45"/>
        <w:spacing w:line="420" w:lineRule="atLeast"/>
        <w:ind w:firstLine="433"/>
        <w:rPr>
          <w:rFonts w:ascii="宋体" w:eastAsia="宋体"/>
          <w:color w:val="auto"/>
          <w:sz w:val="21"/>
          <w:szCs w:val="21"/>
          <w:highlight w:val="none"/>
        </w:rPr>
      </w:pPr>
    </w:p>
    <w:p w14:paraId="07FD4D88">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（投标人名称）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）投标文件、签订合同和处理有关事宜，其法律后果由我方承担。</w:t>
      </w:r>
    </w:p>
    <w:p w14:paraId="4477C600">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0C1920E5">
      <w:pPr>
        <w:pStyle w:val="45"/>
        <w:spacing w:line="500" w:lineRule="atLeast"/>
        <w:ind w:firstLine="3517" w:firstLineChars="1675"/>
        <w:rPr>
          <w:rFonts w:ascii="宋体" w:eastAsia="宋体"/>
          <w:color w:val="auto"/>
          <w:sz w:val="21"/>
          <w:szCs w:val="21"/>
          <w:highlight w:val="none"/>
        </w:rPr>
      </w:pPr>
    </w:p>
    <w:p w14:paraId="330AA2AB">
      <w:pPr>
        <w:ind w:firstLine="420" w:firstLineChars="200"/>
        <w:rPr>
          <w:color w:val="auto"/>
          <w:highlight w:val="none"/>
        </w:rPr>
      </w:pPr>
      <w:r>
        <w:rPr>
          <w:rFonts w:hint="eastAsia"/>
          <w:color w:val="auto"/>
          <w:highlight w:val="none"/>
        </w:rPr>
        <w:t>投标人名称（加盖公章）：</w:t>
      </w:r>
    </w:p>
    <w:p w14:paraId="17D22CCE">
      <w:pPr>
        <w:ind w:firstLine="420" w:firstLineChars="200"/>
        <w:rPr>
          <w:color w:val="auto"/>
          <w:highlight w:val="none"/>
        </w:rPr>
      </w:pPr>
      <w:r>
        <w:rPr>
          <w:rFonts w:hint="eastAsia"/>
          <w:color w:val="auto"/>
          <w:highlight w:val="none"/>
        </w:rPr>
        <w:t>法定代表人签字（签名或盖私章）：</w:t>
      </w:r>
    </w:p>
    <w:p w14:paraId="31B28862">
      <w:pPr>
        <w:ind w:firstLine="420" w:firstLineChars="200"/>
        <w:rPr>
          <w:color w:val="auto"/>
          <w:highlight w:val="none"/>
        </w:rPr>
      </w:pPr>
      <w:r>
        <w:rPr>
          <w:rFonts w:hint="eastAsia"/>
          <w:color w:val="auto"/>
          <w:highlight w:val="none"/>
        </w:rPr>
        <w:t>被授权人签字：</w:t>
      </w:r>
    </w:p>
    <w:p w14:paraId="55C026FD">
      <w:pPr>
        <w:ind w:firstLine="420" w:firstLineChars="200"/>
        <w:rPr>
          <w:color w:val="auto"/>
          <w:highlight w:val="none"/>
        </w:rPr>
      </w:pPr>
      <w:r>
        <w:rPr>
          <w:rFonts w:hint="eastAsia"/>
          <w:color w:val="auto"/>
          <w:highlight w:val="none"/>
        </w:rPr>
        <w:t xml:space="preserve">联系方式： </w:t>
      </w:r>
    </w:p>
    <w:p w14:paraId="683DF978">
      <w:pPr>
        <w:ind w:firstLine="420" w:firstLineChars="200"/>
        <w:rPr>
          <w:color w:val="auto"/>
          <w:highlight w:val="none"/>
        </w:rPr>
      </w:pPr>
      <w:r>
        <w:rPr>
          <w:rFonts w:hint="eastAsia"/>
          <w:color w:val="auto"/>
          <w:highlight w:val="none"/>
        </w:rPr>
        <w:t xml:space="preserve">邮箱：                          </w:t>
      </w:r>
    </w:p>
    <w:p w14:paraId="555BA936">
      <w:pPr>
        <w:ind w:firstLine="420" w:firstLineChars="200"/>
        <w:rPr>
          <w:color w:val="auto"/>
          <w:highlight w:val="none"/>
        </w:rPr>
      </w:pPr>
      <w:r>
        <w:rPr>
          <w:rFonts w:hint="eastAsia"/>
          <w:color w:val="auto"/>
          <w:highlight w:val="none"/>
        </w:rPr>
        <w:t>日     期：</w:t>
      </w:r>
    </w:p>
    <w:p w14:paraId="33512970">
      <w:pPr>
        <w:pStyle w:val="45"/>
        <w:spacing w:line="460" w:lineRule="exact"/>
        <w:ind w:firstLine="433"/>
        <w:rPr>
          <w:rFonts w:ascii="宋体" w:eastAsia="宋体"/>
          <w:color w:val="auto"/>
          <w:sz w:val="21"/>
          <w:szCs w:val="21"/>
          <w:highlight w:val="none"/>
        </w:rPr>
      </w:pPr>
    </w:p>
    <w:p w14:paraId="5F96CE8E">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30"/>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1BFA3FA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AF04F2D">
            <w:pPr>
              <w:adjustRightInd/>
              <w:snapToGrid/>
              <w:spacing w:line="276" w:lineRule="auto"/>
              <w:rPr>
                <w:rFonts w:ascii="宋体"/>
                <w:color w:val="auto"/>
                <w:sz w:val="22"/>
                <w:highlight w:val="none"/>
              </w:rPr>
            </w:pPr>
            <w:bookmarkStart w:id="285"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1ED74BDD">
      <w:pPr>
        <w:adjustRightInd/>
        <w:snapToGrid/>
        <w:spacing w:line="276" w:lineRule="auto"/>
        <w:rPr>
          <w:color w:val="auto"/>
          <w:highlight w:val="none"/>
        </w:rPr>
      </w:pPr>
    </w:p>
    <w:p w14:paraId="6F81E16E">
      <w:pPr>
        <w:jc w:val="center"/>
        <w:rPr>
          <w:rFonts w:ascii="宋体"/>
          <w:color w:val="auto"/>
          <w:szCs w:val="21"/>
          <w:highlight w:val="none"/>
        </w:rPr>
      </w:pPr>
    </w:p>
    <w:p w14:paraId="6B92E40B">
      <w:pPr>
        <w:jc w:val="center"/>
        <w:rPr>
          <w:rFonts w:ascii="宋体"/>
          <w:color w:val="auto"/>
          <w:szCs w:val="21"/>
          <w:highlight w:val="none"/>
        </w:rPr>
      </w:pPr>
      <w:r>
        <w:rPr>
          <w:rFonts w:hint="eastAsia" w:ascii="宋体"/>
          <w:color w:val="auto"/>
          <w:szCs w:val="21"/>
          <w:highlight w:val="none"/>
        </w:rPr>
        <w:br w:type="page"/>
      </w:r>
    </w:p>
    <w:p w14:paraId="14BDEAEE">
      <w:pPr>
        <w:pStyle w:val="4"/>
        <w:jc w:val="center"/>
        <w:rPr>
          <w:color w:val="auto"/>
          <w:highlight w:val="none"/>
        </w:rPr>
      </w:pPr>
      <w:bookmarkStart w:id="286" w:name="_Toc21981"/>
      <w:bookmarkStart w:id="287" w:name="_Toc24013"/>
      <w:r>
        <w:rPr>
          <w:rFonts w:hint="eastAsia"/>
          <w:color w:val="auto"/>
          <w:highlight w:val="none"/>
        </w:rPr>
        <w:t>六、投标人基本情况说明</w:t>
      </w:r>
      <w:bookmarkEnd w:id="286"/>
      <w:bookmarkEnd w:id="287"/>
    </w:p>
    <w:p w14:paraId="322F14A4">
      <w:pPr>
        <w:rPr>
          <w:rFonts w:ascii="宋体" w:hAnsi="宋体" w:cs="宋体"/>
          <w:color w:val="auto"/>
          <w:szCs w:val="21"/>
          <w:highlight w:val="none"/>
        </w:rPr>
      </w:pPr>
      <w:r>
        <w:rPr>
          <w:rFonts w:hint="eastAsia" w:ascii="宋体" w:hAnsi="宋体" w:cs="宋体"/>
          <w:color w:val="auto"/>
          <w:szCs w:val="21"/>
          <w:highlight w:val="none"/>
        </w:rPr>
        <w:t>一、投标人基本情况</w:t>
      </w:r>
    </w:p>
    <w:p w14:paraId="4E4546B5">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1、投标人名称：                                                                   </w:t>
      </w:r>
    </w:p>
    <w:p w14:paraId="352B8047">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7E2745FA">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418E78BE">
      <w:pPr>
        <w:rPr>
          <w:rFonts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6F936C87">
      <w:pPr>
        <w:rPr>
          <w:rFonts w:ascii="宋体" w:hAnsi="宋体" w:cs="宋体"/>
          <w:color w:val="auto"/>
          <w:szCs w:val="21"/>
          <w:highlight w:val="none"/>
        </w:rPr>
      </w:pPr>
      <w:r>
        <w:rPr>
          <w:rFonts w:hint="eastAsia" w:ascii="宋体" w:hAnsi="宋体" w:cs="宋体"/>
          <w:color w:val="auto"/>
          <w:szCs w:val="21"/>
          <w:highlight w:val="none"/>
        </w:rPr>
        <w:t xml:space="preserve">5、投标人开户银行名称及账号：      </w:t>
      </w:r>
    </w:p>
    <w:p w14:paraId="7ABC17A9">
      <w:pPr>
        <w:rPr>
          <w:rFonts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3049155C">
      <w:pPr>
        <w:rPr>
          <w:rFonts w:ascii="宋体" w:hAnsi="宋体" w:cs="宋体"/>
          <w:color w:val="auto"/>
          <w:szCs w:val="21"/>
          <w:highlight w:val="none"/>
        </w:rPr>
      </w:pPr>
      <w:r>
        <w:rPr>
          <w:rFonts w:hint="eastAsia" w:ascii="宋体" w:hAnsi="宋体" w:cs="宋体"/>
          <w:color w:val="auto"/>
          <w:szCs w:val="21"/>
          <w:highlight w:val="none"/>
        </w:rPr>
        <w:t>7、投标人简介:</w:t>
      </w:r>
    </w:p>
    <w:p w14:paraId="15744F39">
      <w:pPr>
        <w:rPr>
          <w:rFonts w:ascii="宋体" w:hAnsi="宋体" w:cs="宋体"/>
          <w:b/>
          <w:color w:val="auto"/>
          <w:szCs w:val="21"/>
          <w:highlight w:val="none"/>
        </w:rPr>
      </w:pPr>
    </w:p>
    <w:p w14:paraId="791923A7">
      <w:pPr>
        <w:pStyle w:val="10"/>
        <w:rPr>
          <w:b/>
          <w:color w:val="auto"/>
          <w:sz w:val="21"/>
          <w:szCs w:val="21"/>
          <w:highlight w:val="none"/>
        </w:rPr>
      </w:pPr>
    </w:p>
    <w:p w14:paraId="6F3182B5">
      <w:pPr>
        <w:rPr>
          <w:color w:val="auto"/>
          <w:highlight w:val="none"/>
        </w:rPr>
      </w:pPr>
    </w:p>
    <w:p w14:paraId="163CDED6">
      <w:pPr>
        <w:rPr>
          <w:rFonts w:ascii="宋体" w:hAnsi="宋体" w:cs="宋体"/>
          <w:b/>
          <w:color w:val="auto"/>
          <w:szCs w:val="21"/>
          <w:highlight w:val="none"/>
        </w:rPr>
      </w:pPr>
    </w:p>
    <w:p w14:paraId="524EF434">
      <w:pPr>
        <w:rPr>
          <w:rFonts w:ascii="宋体" w:hAnsi="宋体" w:cs="宋体"/>
          <w:color w:val="auto"/>
          <w:szCs w:val="21"/>
          <w:highlight w:val="none"/>
        </w:rPr>
      </w:pPr>
      <w:r>
        <w:rPr>
          <w:rFonts w:hint="eastAsia" w:ascii="宋体" w:hAnsi="宋体" w:cs="宋体"/>
          <w:color w:val="auto"/>
          <w:szCs w:val="21"/>
          <w:highlight w:val="none"/>
        </w:rPr>
        <w:t>投标人名称（加盖公章）：</w:t>
      </w:r>
    </w:p>
    <w:p w14:paraId="3D3D0F88">
      <w:pPr>
        <w:rPr>
          <w:rFonts w:ascii="宋体" w:hAnsi="宋体" w:cs="宋体"/>
          <w:color w:val="auto"/>
          <w:szCs w:val="21"/>
          <w:highlight w:val="none"/>
        </w:rPr>
      </w:pPr>
      <w:r>
        <w:rPr>
          <w:rFonts w:hint="eastAsia" w:ascii="宋体" w:hAnsi="宋体" w:cs="宋体"/>
          <w:color w:val="auto"/>
          <w:szCs w:val="21"/>
          <w:highlight w:val="none"/>
        </w:rPr>
        <w:t>日      期：</w:t>
      </w:r>
    </w:p>
    <w:p w14:paraId="25DFAD26">
      <w:pPr>
        <w:pStyle w:val="45"/>
        <w:spacing w:line="500" w:lineRule="atLeast"/>
        <w:ind w:firstLine="433"/>
        <w:rPr>
          <w:rFonts w:ascii="宋体" w:eastAsia="宋体"/>
          <w:color w:val="auto"/>
          <w:sz w:val="21"/>
          <w:szCs w:val="21"/>
          <w:highlight w:val="none"/>
        </w:rPr>
      </w:pPr>
    </w:p>
    <w:p w14:paraId="25FDD7C2">
      <w:pPr>
        <w:pStyle w:val="45"/>
        <w:spacing w:line="500" w:lineRule="atLeast"/>
        <w:ind w:firstLine="433"/>
        <w:rPr>
          <w:rFonts w:ascii="宋体" w:eastAsia="宋体"/>
          <w:color w:val="auto"/>
          <w:sz w:val="21"/>
          <w:szCs w:val="21"/>
          <w:highlight w:val="none"/>
        </w:rPr>
      </w:pPr>
    </w:p>
    <w:p w14:paraId="7F0E10FD">
      <w:pPr>
        <w:pStyle w:val="45"/>
        <w:spacing w:line="500" w:lineRule="atLeast"/>
        <w:ind w:firstLine="433"/>
        <w:rPr>
          <w:rFonts w:ascii="宋体" w:eastAsia="宋体"/>
          <w:color w:val="auto"/>
          <w:sz w:val="21"/>
          <w:szCs w:val="21"/>
          <w:highlight w:val="none"/>
        </w:rPr>
      </w:pPr>
    </w:p>
    <w:p w14:paraId="07D59AE2">
      <w:pPr>
        <w:pStyle w:val="45"/>
        <w:spacing w:line="500" w:lineRule="atLeast"/>
        <w:ind w:firstLine="433"/>
        <w:rPr>
          <w:rFonts w:ascii="宋体" w:eastAsia="宋体"/>
          <w:color w:val="auto"/>
          <w:sz w:val="21"/>
          <w:szCs w:val="21"/>
          <w:highlight w:val="none"/>
        </w:rPr>
      </w:pPr>
    </w:p>
    <w:p w14:paraId="3D65079D">
      <w:pPr>
        <w:pStyle w:val="45"/>
        <w:spacing w:line="500" w:lineRule="atLeast"/>
        <w:ind w:firstLine="433"/>
        <w:rPr>
          <w:rFonts w:ascii="宋体" w:eastAsia="宋体"/>
          <w:color w:val="auto"/>
          <w:sz w:val="21"/>
          <w:szCs w:val="21"/>
          <w:highlight w:val="none"/>
        </w:rPr>
      </w:pPr>
    </w:p>
    <w:p w14:paraId="231F2D0F">
      <w:pPr>
        <w:pStyle w:val="45"/>
        <w:spacing w:line="500" w:lineRule="atLeast"/>
        <w:ind w:firstLine="433"/>
        <w:rPr>
          <w:rFonts w:ascii="宋体" w:eastAsia="宋体"/>
          <w:color w:val="auto"/>
          <w:sz w:val="21"/>
          <w:szCs w:val="21"/>
          <w:highlight w:val="none"/>
        </w:rPr>
      </w:pPr>
    </w:p>
    <w:p w14:paraId="318AC057">
      <w:pPr>
        <w:pStyle w:val="45"/>
        <w:spacing w:line="500" w:lineRule="atLeast"/>
        <w:ind w:firstLine="433"/>
        <w:rPr>
          <w:rFonts w:ascii="宋体" w:eastAsia="宋体"/>
          <w:color w:val="auto"/>
          <w:sz w:val="21"/>
          <w:szCs w:val="21"/>
          <w:highlight w:val="none"/>
        </w:rPr>
      </w:pPr>
    </w:p>
    <w:p w14:paraId="18BAB152">
      <w:pPr>
        <w:pStyle w:val="45"/>
        <w:spacing w:line="500" w:lineRule="atLeast"/>
        <w:ind w:firstLine="433"/>
        <w:rPr>
          <w:rFonts w:ascii="宋体" w:eastAsia="宋体"/>
          <w:color w:val="auto"/>
          <w:sz w:val="21"/>
          <w:szCs w:val="21"/>
          <w:highlight w:val="none"/>
        </w:rPr>
      </w:pPr>
    </w:p>
    <w:p w14:paraId="52CC499C">
      <w:pPr>
        <w:pStyle w:val="45"/>
        <w:spacing w:line="500" w:lineRule="atLeast"/>
        <w:ind w:firstLine="433"/>
        <w:rPr>
          <w:rFonts w:ascii="宋体" w:eastAsia="宋体"/>
          <w:color w:val="auto"/>
          <w:sz w:val="21"/>
          <w:szCs w:val="21"/>
          <w:highlight w:val="none"/>
        </w:rPr>
      </w:pPr>
    </w:p>
    <w:p w14:paraId="1B2CAC47">
      <w:pPr>
        <w:pStyle w:val="45"/>
        <w:spacing w:line="500" w:lineRule="atLeast"/>
        <w:ind w:firstLine="433"/>
        <w:rPr>
          <w:rFonts w:ascii="宋体" w:eastAsia="宋体"/>
          <w:color w:val="auto"/>
          <w:sz w:val="21"/>
          <w:szCs w:val="21"/>
          <w:highlight w:val="none"/>
        </w:rPr>
      </w:pPr>
    </w:p>
    <w:p w14:paraId="6EC3B729">
      <w:pPr>
        <w:pStyle w:val="45"/>
        <w:spacing w:line="500" w:lineRule="atLeast"/>
        <w:ind w:firstLine="433"/>
        <w:rPr>
          <w:rFonts w:ascii="宋体" w:eastAsia="宋体"/>
          <w:color w:val="auto"/>
          <w:sz w:val="21"/>
          <w:szCs w:val="21"/>
          <w:highlight w:val="none"/>
        </w:rPr>
      </w:pPr>
    </w:p>
    <w:p w14:paraId="7FF6F51B">
      <w:pPr>
        <w:pStyle w:val="45"/>
        <w:spacing w:line="500" w:lineRule="atLeast"/>
        <w:ind w:firstLine="433"/>
        <w:rPr>
          <w:rFonts w:ascii="宋体" w:eastAsia="宋体"/>
          <w:color w:val="auto"/>
          <w:sz w:val="21"/>
          <w:szCs w:val="21"/>
          <w:highlight w:val="none"/>
        </w:rPr>
      </w:pPr>
    </w:p>
    <w:p w14:paraId="2FA8F8F7">
      <w:pPr>
        <w:pStyle w:val="45"/>
        <w:spacing w:line="500" w:lineRule="atLeast"/>
        <w:ind w:firstLine="433"/>
        <w:rPr>
          <w:rFonts w:ascii="宋体" w:eastAsia="宋体"/>
          <w:color w:val="auto"/>
          <w:sz w:val="21"/>
          <w:szCs w:val="21"/>
          <w:highlight w:val="none"/>
        </w:rPr>
      </w:pPr>
    </w:p>
    <w:p w14:paraId="1F56A8C3">
      <w:pPr>
        <w:pStyle w:val="4"/>
        <w:jc w:val="center"/>
        <w:rPr>
          <w:color w:val="auto"/>
          <w:highlight w:val="none"/>
        </w:rPr>
      </w:pPr>
      <w:bookmarkStart w:id="288" w:name="_Toc4926"/>
      <w:bookmarkStart w:id="289" w:name="_Toc24210"/>
      <w:bookmarkStart w:id="290" w:name="_Toc20883"/>
      <w:bookmarkStart w:id="291" w:name="_Toc1511"/>
      <w:bookmarkStart w:id="292" w:name="_Toc29995"/>
      <w:bookmarkStart w:id="293" w:name="_Toc17470"/>
      <w:bookmarkStart w:id="294" w:name="_Toc5919"/>
      <w:r>
        <w:rPr>
          <w:rFonts w:hint="eastAsia"/>
          <w:color w:val="auto"/>
          <w:highlight w:val="none"/>
        </w:rPr>
        <w:t>七、营业执照</w:t>
      </w:r>
      <w:bookmarkEnd w:id="288"/>
      <w:bookmarkEnd w:id="289"/>
      <w:bookmarkEnd w:id="290"/>
      <w:bookmarkEnd w:id="291"/>
      <w:bookmarkEnd w:id="292"/>
      <w:bookmarkEnd w:id="293"/>
      <w:bookmarkEnd w:id="294"/>
    </w:p>
    <w:p w14:paraId="79D65BBB">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01A2796B">
      <w:pPr>
        <w:ind w:firstLine="420" w:firstLineChars="200"/>
        <w:rPr>
          <w:color w:val="auto"/>
          <w:highlight w:val="none"/>
        </w:rPr>
      </w:pPr>
      <w:r>
        <w:rPr>
          <w:rFonts w:hint="eastAsia"/>
          <w:color w:val="auto"/>
          <w:highlight w:val="none"/>
        </w:rPr>
        <w:t>供应商应提供相关证明复印件盖公章。</w:t>
      </w:r>
    </w:p>
    <w:p w14:paraId="3845A9EB">
      <w:pPr>
        <w:jc w:val="center"/>
        <w:rPr>
          <w:color w:val="auto"/>
          <w:highlight w:val="none"/>
        </w:rPr>
      </w:pPr>
      <w:r>
        <w:rPr>
          <w:rFonts w:hint="eastAsia" w:ascii="黑体" w:eastAsia="黑体"/>
          <w:color w:val="auto"/>
          <w:sz w:val="28"/>
          <w:szCs w:val="28"/>
          <w:highlight w:val="none"/>
        </w:rPr>
        <w:br w:type="page"/>
      </w:r>
    </w:p>
    <w:bookmarkEnd w:id="285"/>
    <w:p w14:paraId="283341D5">
      <w:pPr>
        <w:pStyle w:val="4"/>
        <w:jc w:val="center"/>
        <w:rPr>
          <w:color w:val="auto"/>
          <w:highlight w:val="none"/>
        </w:rPr>
      </w:pPr>
      <w:bookmarkStart w:id="295" w:name="_Toc29439"/>
      <w:bookmarkStart w:id="296" w:name="_Toc5908"/>
      <w:r>
        <w:rPr>
          <w:rFonts w:hint="eastAsia"/>
          <w:color w:val="auto"/>
          <w:highlight w:val="none"/>
        </w:rPr>
        <w:t>八、特殊资格要求证明文件</w:t>
      </w:r>
      <w:bookmarkEnd w:id="295"/>
      <w:bookmarkEnd w:id="296"/>
    </w:p>
    <w:p w14:paraId="60BCE708">
      <w:pPr>
        <w:ind w:firstLine="420" w:firstLineChars="200"/>
        <w:rPr>
          <w:rFonts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010E9F2D">
      <w:pPr>
        <w:pStyle w:val="10"/>
        <w:rPr>
          <w:color w:val="auto"/>
          <w:sz w:val="21"/>
          <w:szCs w:val="21"/>
          <w:highlight w:val="none"/>
        </w:rPr>
      </w:pPr>
    </w:p>
    <w:p w14:paraId="2009B206">
      <w:pPr>
        <w:rPr>
          <w:rFonts w:ascii="宋体" w:hAnsi="宋体" w:cs="宋体"/>
          <w:color w:val="auto"/>
          <w:szCs w:val="21"/>
          <w:highlight w:val="none"/>
        </w:rPr>
      </w:pPr>
    </w:p>
    <w:p w14:paraId="7C7AA258">
      <w:pPr>
        <w:pStyle w:val="10"/>
        <w:rPr>
          <w:color w:val="auto"/>
          <w:sz w:val="21"/>
          <w:szCs w:val="21"/>
          <w:highlight w:val="none"/>
        </w:rPr>
      </w:pPr>
    </w:p>
    <w:p w14:paraId="7E1CCC58">
      <w:pPr>
        <w:rPr>
          <w:rFonts w:ascii="宋体" w:hAnsi="宋体" w:cs="宋体"/>
          <w:color w:val="auto"/>
          <w:szCs w:val="21"/>
          <w:highlight w:val="none"/>
        </w:rPr>
      </w:pPr>
    </w:p>
    <w:p w14:paraId="65864993">
      <w:pPr>
        <w:pStyle w:val="10"/>
        <w:rPr>
          <w:color w:val="auto"/>
          <w:sz w:val="21"/>
          <w:szCs w:val="21"/>
          <w:highlight w:val="none"/>
        </w:rPr>
      </w:pPr>
    </w:p>
    <w:p w14:paraId="449D285F">
      <w:pPr>
        <w:rPr>
          <w:rFonts w:ascii="宋体" w:hAnsi="宋体" w:cs="宋体"/>
          <w:color w:val="auto"/>
          <w:szCs w:val="21"/>
          <w:highlight w:val="none"/>
        </w:rPr>
      </w:pPr>
    </w:p>
    <w:p w14:paraId="57D4DD1F">
      <w:pPr>
        <w:pStyle w:val="10"/>
        <w:rPr>
          <w:color w:val="auto"/>
          <w:sz w:val="21"/>
          <w:szCs w:val="21"/>
          <w:highlight w:val="none"/>
        </w:rPr>
      </w:pPr>
    </w:p>
    <w:p w14:paraId="3C4AEE52">
      <w:pPr>
        <w:rPr>
          <w:rFonts w:ascii="宋体" w:hAnsi="宋体" w:cs="宋体"/>
          <w:color w:val="auto"/>
          <w:szCs w:val="21"/>
          <w:highlight w:val="none"/>
        </w:rPr>
      </w:pPr>
    </w:p>
    <w:p w14:paraId="2D3A2695">
      <w:pPr>
        <w:pStyle w:val="10"/>
        <w:rPr>
          <w:color w:val="auto"/>
          <w:sz w:val="21"/>
          <w:szCs w:val="21"/>
          <w:highlight w:val="none"/>
        </w:rPr>
      </w:pPr>
    </w:p>
    <w:p w14:paraId="08B65CF0">
      <w:pPr>
        <w:rPr>
          <w:rFonts w:ascii="宋体" w:hAnsi="宋体" w:cs="宋体"/>
          <w:color w:val="auto"/>
          <w:szCs w:val="21"/>
          <w:highlight w:val="none"/>
        </w:rPr>
      </w:pPr>
    </w:p>
    <w:p w14:paraId="28925E0E">
      <w:pPr>
        <w:pStyle w:val="10"/>
        <w:rPr>
          <w:color w:val="auto"/>
          <w:sz w:val="21"/>
          <w:szCs w:val="21"/>
          <w:highlight w:val="none"/>
        </w:rPr>
      </w:pPr>
    </w:p>
    <w:p w14:paraId="7A37D8D1">
      <w:pPr>
        <w:rPr>
          <w:rFonts w:ascii="宋体" w:hAnsi="宋体" w:cs="宋体"/>
          <w:color w:val="auto"/>
          <w:szCs w:val="21"/>
          <w:highlight w:val="none"/>
        </w:rPr>
      </w:pPr>
    </w:p>
    <w:p w14:paraId="66DF4BCE">
      <w:pPr>
        <w:pStyle w:val="10"/>
        <w:rPr>
          <w:color w:val="auto"/>
          <w:sz w:val="21"/>
          <w:szCs w:val="21"/>
          <w:highlight w:val="none"/>
        </w:rPr>
      </w:pPr>
    </w:p>
    <w:p w14:paraId="56EEC6F8">
      <w:pPr>
        <w:rPr>
          <w:rFonts w:ascii="宋体" w:hAnsi="宋体" w:cs="宋体"/>
          <w:color w:val="auto"/>
          <w:szCs w:val="21"/>
          <w:highlight w:val="none"/>
        </w:rPr>
      </w:pPr>
    </w:p>
    <w:p w14:paraId="61943675">
      <w:pPr>
        <w:pStyle w:val="10"/>
        <w:rPr>
          <w:color w:val="auto"/>
          <w:sz w:val="21"/>
          <w:szCs w:val="21"/>
          <w:highlight w:val="none"/>
        </w:rPr>
      </w:pPr>
    </w:p>
    <w:p w14:paraId="1AC85A30">
      <w:pPr>
        <w:rPr>
          <w:rFonts w:ascii="宋体" w:hAnsi="宋体" w:cs="宋体"/>
          <w:color w:val="auto"/>
          <w:szCs w:val="21"/>
          <w:highlight w:val="none"/>
        </w:rPr>
      </w:pPr>
    </w:p>
    <w:p w14:paraId="657F57E2">
      <w:pPr>
        <w:pStyle w:val="10"/>
        <w:rPr>
          <w:color w:val="auto"/>
          <w:sz w:val="21"/>
          <w:szCs w:val="21"/>
          <w:highlight w:val="none"/>
        </w:rPr>
      </w:pPr>
    </w:p>
    <w:p w14:paraId="67661BBA">
      <w:pPr>
        <w:rPr>
          <w:rFonts w:ascii="宋体" w:hAnsi="宋体" w:cs="宋体"/>
          <w:color w:val="auto"/>
          <w:szCs w:val="21"/>
          <w:highlight w:val="none"/>
        </w:rPr>
      </w:pPr>
    </w:p>
    <w:p w14:paraId="4BD749A1">
      <w:pPr>
        <w:pStyle w:val="10"/>
        <w:rPr>
          <w:color w:val="auto"/>
          <w:sz w:val="21"/>
          <w:szCs w:val="21"/>
          <w:highlight w:val="none"/>
        </w:rPr>
      </w:pPr>
    </w:p>
    <w:p w14:paraId="6239EF5B">
      <w:pPr>
        <w:rPr>
          <w:rFonts w:ascii="宋体" w:hAnsi="宋体" w:cs="宋体"/>
          <w:color w:val="auto"/>
          <w:szCs w:val="21"/>
          <w:highlight w:val="none"/>
        </w:rPr>
      </w:pPr>
    </w:p>
    <w:p w14:paraId="73D29FF7">
      <w:pPr>
        <w:pStyle w:val="10"/>
        <w:rPr>
          <w:color w:val="auto"/>
          <w:sz w:val="21"/>
          <w:szCs w:val="21"/>
          <w:highlight w:val="none"/>
        </w:rPr>
      </w:pPr>
    </w:p>
    <w:p w14:paraId="3569568D">
      <w:pPr>
        <w:rPr>
          <w:rFonts w:ascii="宋体" w:hAnsi="宋体" w:cs="宋体"/>
          <w:color w:val="auto"/>
          <w:szCs w:val="21"/>
          <w:highlight w:val="none"/>
        </w:rPr>
      </w:pPr>
    </w:p>
    <w:p w14:paraId="72AF8A91">
      <w:pPr>
        <w:pStyle w:val="10"/>
        <w:rPr>
          <w:color w:val="auto"/>
          <w:sz w:val="21"/>
          <w:szCs w:val="21"/>
          <w:highlight w:val="none"/>
        </w:rPr>
      </w:pPr>
    </w:p>
    <w:p w14:paraId="67FC653D">
      <w:pPr>
        <w:rPr>
          <w:rFonts w:ascii="宋体" w:hAnsi="宋体" w:cs="宋体"/>
          <w:color w:val="auto"/>
          <w:szCs w:val="21"/>
          <w:highlight w:val="none"/>
        </w:rPr>
      </w:pPr>
    </w:p>
    <w:p w14:paraId="1C6AB2D8">
      <w:pPr>
        <w:pStyle w:val="10"/>
        <w:rPr>
          <w:color w:val="auto"/>
          <w:highlight w:val="none"/>
        </w:rPr>
      </w:pPr>
    </w:p>
    <w:p w14:paraId="00873A6B">
      <w:pPr>
        <w:pStyle w:val="4"/>
        <w:jc w:val="center"/>
        <w:rPr>
          <w:color w:val="auto"/>
          <w:highlight w:val="none"/>
        </w:rPr>
      </w:pPr>
      <w:bookmarkStart w:id="297" w:name="_Toc23341"/>
      <w:bookmarkStart w:id="298" w:name="_Toc28121"/>
      <w:r>
        <w:rPr>
          <w:rFonts w:hint="eastAsia"/>
          <w:color w:val="auto"/>
          <w:highlight w:val="none"/>
        </w:rPr>
        <w:t>九、承诺书</w:t>
      </w:r>
      <w:bookmarkEnd w:id="297"/>
      <w:bookmarkEnd w:id="298"/>
    </w:p>
    <w:p w14:paraId="2F3992E1">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9F6FA7E">
      <w:pPr>
        <w:jc w:val="center"/>
        <w:rPr>
          <w:rFonts w:ascii="宋体" w:hAnsi="宋体" w:cs="宋体"/>
          <w:color w:val="auto"/>
          <w:szCs w:val="21"/>
          <w:highlight w:val="none"/>
        </w:rPr>
      </w:pPr>
    </w:p>
    <w:p w14:paraId="35633F83">
      <w:pPr>
        <w:pStyle w:val="45"/>
        <w:spacing w:line="420" w:lineRule="exact"/>
        <w:ind w:firstLine="433"/>
        <w:rPr>
          <w:rFonts w:ascii="宋体" w:eastAsia="宋体" w:cs="宋体"/>
          <w:color w:val="auto"/>
          <w:sz w:val="21"/>
          <w:szCs w:val="21"/>
          <w:highlight w:val="none"/>
        </w:rPr>
      </w:pPr>
      <w:bookmarkStart w:id="299"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299"/>
      <w:r>
        <w:rPr>
          <w:rFonts w:hint="eastAsia" w:ascii="宋体" w:eastAsia="宋体" w:cs="宋体"/>
          <w:color w:val="auto"/>
          <w:sz w:val="21"/>
          <w:szCs w:val="21"/>
          <w:highlight w:val="none"/>
        </w:rPr>
        <w:cr/>
      </w:r>
    </w:p>
    <w:p w14:paraId="6ADDD988">
      <w:pPr>
        <w:pStyle w:val="45"/>
        <w:spacing w:line="420" w:lineRule="exact"/>
        <w:ind w:firstLine="433"/>
        <w:rPr>
          <w:rFonts w:ascii="宋体" w:eastAsia="宋体" w:cs="宋体"/>
          <w:color w:val="auto"/>
          <w:sz w:val="21"/>
          <w:szCs w:val="21"/>
          <w:highlight w:val="none"/>
        </w:rPr>
      </w:pPr>
    </w:p>
    <w:p w14:paraId="7A2DE61E">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4E412B80">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4CA2F9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63CF8627">
      <w:pPr>
        <w:pStyle w:val="10"/>
        <w:rPr>
          <w:color w:val="auto"/>
          <w:sz w:val="21"/>
          <w:szCs w:val="21"/>
          <w:highlight w:val="none"/>
        </w:rPr>
      </w:pPr>
    </w:p>
    <w:p w14:paraId="7D1EBAA2">
      <w:pPr>
        <w:rPr>
          <w:rFonts w:ascii="宋体" w:hAnsi="宋体" w:cs="宋体"/>
          <w:color w:val="auto"/>
          <w:szCs w:val="21"/>
          <w:highlight w:val="none"/>
        </w:rPr>
      </w:pPr>
    </w:p>
    <w:p w14:paraId="6C34EBC3">
      <w:pPr>
        <w:pStyle w:val="10"/>
        <w:rPr>
          <w:color w:val="auto"/>
          <w:sz w:val="21"/>
          <w:szCs w:val="21"/>
          <w:highlight w:val="none"/>
        </w:rPr>
      </w:pPr>
    </w:p>
    <w:p w14:paraId="4A0C3785">
      <w:pPr>
        <w:rPr>
          <w:rFonts w:ascii="宋体" w:hAnsi="宋体" w:cs="宋体"/>
          <w:color w:val="auto"/>
          <w:szCs w:val="21"/>
          <w:highlight w:val="none"/>
        </w:rPr>
      </w:pPr>
    </w:p>
    <w:p w14:paraId="018ED072">
      <w:pPr>
        <w:pStyle w:val="10"/>
        <w:rPr>
          <w:color w:val="auto"/>
          <w:sz w:val="21"/>
          <w:szCs w:val="21"/>
          <w:highlight w:val="none"/>
        </w:rPr>
      </w:pPr>
    </w:p>
    <w:p w14:paraId="3A772288">
      <w:pPr>
        <w:rPr>
          <w:rFonts w:ascii="宋体" w:hAnsi="宋体" w:cs="宋体"/>
          <w:color w:val="auto"/>
          <w:szCs w:val="21"/>
          <w:highlight w:val="none"/>
        </w:rPr>
      </w:pPr>
    </w:p>
    <w:p w14:paraId="6D178CDC">
      <w:pPr>
        <w:pStyle w:val="10"/>
        <w:rPr>
          <w:color w:val="auto"/>
          <w:sz w:val="21"/>
          <w:szCs w:val="21"/>
          <w:highlight w:val="none"/>
        </w:rPr>
      </w:pPr>
    </w:p>
    <w:p w14:paraId="64FBCF98">
      <w:pPr>
        <w:rPr>
          <w:rFonts w:ascii="宋体" w:hAnsi="宋体" w:cs="宋体"/>
          <w:color w:val="auto"/>
          <w:szCs w:val="21"/>
          <w:highlight w:val="none"/>
        </w:rPr>
      </w:pPr>
    </w:p>
    <w:p w14:paraId="27D32B0C">
      <w:pPr>
        <w:pStyle w:val="10"/>
        <w:rPr>
          <w:color w:val="auto"/>
          <w:sz w:val="21"/>
          <w:szCs w:val="21"/>
          <w:highlight w:val="none"/>
        </w:rPr>
      </w:pPr>
    </w:p>
    <w:p w14:paraId="3EEAFA5C">
      <w:pPr>
        <w:rPr>
          <w:rFonts w:ascii="宋体" w:hAnsi="宋体" w:cs="宋体"/>
          <w:color w:val="auto"/>
          <w:szCs w:val="21"/>
          <w:highlight w:val="none"/>
        </w:rPr>
      </w:pPr>
    </w:p>
    <w:p w14:paraId="791C0FFF">
      <w:pPr>
        <w:pStyle w:val="10"/>
        <w:rPr>
          <w:color w:val="auto"/>
          <w:sz w:val="21"/>
          <w:szCs w:val="21"/>
          <w:highlight w:val="none"/>
        </w:rPr>
      </w:pPr>
    </w:p>
    <w:p w14:paraId="526E96A4">
      <w:pPr>
        <w:rPr>
          <w:rFonts w:ascii="宋体" w:hAnsi="宋体" w:cs="宋体"/>
          <w:color w:val="auto"/>
          <w:szCs w:val="21"/>
          <w:highlight w:val="none"/>
        </w:rPr>
      </w:pPr>
    </w:p>
    <w:p w14:paraId="4FAB4DD3">
      <w:pPr>
        <w:pStyle w:val="10"/>
        <w:rPr>
          <w:color w:val="auto"/>
          <w:sz w:val="21"/>
          <w:szCs w:val="21"/>
          <w:highlight w:val="none"/>
        </w:rPr>
      </w:pPr>
    </w:p>
    <w:p w14:paraId="524DDCF7">
      <w:pPr>
        <w:rPr>
          <w:rFonts w:ascii="宋体" w:hAnsi="宋体" w:cs="宋体"/>
          <w:color w:val="auto"/>
          <w:szCs w:val="21"/>
          <w:highlight w:val="none"/>
        </w:rPr>
      </w:pPr>
    </w:p>
    <w:p w14:paraId="57617B59">
      <w:pPr>
        <w:pStyle w:val="10"/>
        <w:rPr>
          <w:color w:val="auto"/>
          <w:sz w:val="21"/>
          <w:szCs w:val="21"/>
          <w:highlight w:val="none"/>
        </w:rPr>
      </w:pPr>
    </w:p>
    <w:p w14:paraId="22820531">
      <w:pPr>
        <w:rPr>
          <w:rFonts w:ascii="宋体" w:hAnsi="宋体" w:cs="宋体"/>
          <w:color w:val="auto"/>
          <w:szCs w:val="21"/>
          <w:highlight w:val="none"/>
        </w:rPr>
      </w:pPr>
    </w:p>
    <w:p w14:paraId="748B9EBA">
      <w:pPr>
        <w:rPr>
          <w:color w:val="auto"/>
          <w:highlight w:val="none"/>
        </w:rPr>
      </w:pPr>
    </w:p>
    <w:p w14:paraId="3AA8E4DD">
      <w:pPr>
        <w:pStyle w:val="4"/>
        <w:jc w:val="center"/>
        <w:rPr>
          <w:color w:val="auto"/>
          <w:highlight w:val="none"/>
        </w:rPr>
      </w:pPr>
      <w:bookmarkStart w:id="300" w:name="_Toc13653"/>
      <w:bookmarkStart w:id="301" w:name="_Toc16417"/>
      <w:r>
        <w:rPr>
          <w:rFonts w:hint="eastAsia"/>
          <w:color w:val="auto"/>
          <w:highlight w:val="none"/>
        </w:rPr>
        <w:t>十、招标代理服务费承诺书</w:t>
      </w:r>
      <w:bookmarkEnd w:id="300"/>
      <w:bookmarkEnd w:id="301"/>
    </w:p>
    <w:p w14:paraId="68494B0B">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5991AE6">
      <w:pPr>
        <w:pStyle w:val="13"/>
        <w:ind w:firstLine="420"/>
        <w:rPr>
          <w:rFonts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（投标人名称）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393B4A28">
      <w:pPr>
        <w:ind w:firstLine="420" w:firstLineChars="200"/>
        <w:rPr>
          <w:color w:val="auto"/>
          <w:highlight w:val="none"/>
        </w:rPr>
      </w:pPr>
      <w:r>
        <w:rPr>
          <w:rFonts w:hint="eastAsia"/>
          <w:color w:val="auto"/>
          <w:highlight w:val="none"/>
        </w:rPr>
        <w:t>特此承诺。</w:t>
      </w:r>
    </w:p>
    <w:p w14:paraId="0A50CD59">
      <w:pPr>
        <w:jc w:val="center"/>
        <w:rPr>
          <w:rFonts w:ascii="宋体" w:hAnsi="宋体" w:cs="宋体"/>
          <w:color w:val="auto"/>
          <w:szCs w:val="21"/>
          <w:highlight w:val="none"/>
        </w:rPr>
      </w:pPr>
    </w:p>
    <w:p w14:paraId="576A7285">
      <w:pPr>
        <w:rPr>
          <w:color w:val="auto"/>
          <w:highlight w:val="none"/>
        </w:rPr>
      </w:pPr>
    </w:p>
    <w:p w14:paraId="58CA033D">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A667344">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3BF03A38">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日      期：</w:t>
      </w:r>
    </w:p>
    <w:p w14:paraId="0F5D03B3">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723FE354">
      <w:pPr>
        <w:pStyle w:val="4"/>
        <w:jc w:val="center"/>
        <w:rPr>
          <w:color w:val="auto"/>
          <w:highlight w:val="none"/>
        </w:rPr>
      </w:pPr>
      <w:bookmarkStart w:id="302" w:name="_Toc8244"/>
      <w:bookmarkStart w:id="303" w:name="_Toc1975"/>
      <w:r>
        <w:rPr>
          <w:rFonts w:hint="eastAsia"/>
          <w:color w:val="auto"/>
          <w:highlight w:val="none"/>
        </w:rPr>
        <w:t>十一、商务条款偏离表</w:t>
      </w:r>
      <w:bookmarkEnd w:id="302"/>
      <w:bookmarkEnd w:id="303"/>
    </w:p>
    <w:tbl>
      <w:tblPr>
        <w:tblStyle w:val="30"/>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35ACF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19260E8E">
            <w:pPr>
              <w:jc w:val="center"/>
              <w:rPr>
                <w:rFonts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0CAB2664">
            <w:pPr>
              <w:jc w:val="center"/>
              <w:rPr>
                <w:rFonts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5C0F3825">
            <w:pPr>
              <w:jc w:val="center"/>
              <w:rPr>
                <w:rFonts w:ascii="宋体" w:hAnsi="宋体"/>
                <w:color w:val="auto"/>
                <w:szCs w:val="21"/>
                <w:highlight w:val="none"/>
              </w:rPr>
            </w:pPr>
            <w:r>
              <w:rPr>
                <w:rFonts w:hint="eastAsia" w:ascii="宋体" w:hAnsi="宋体"/>
                <w:color w:val="auto"/>
                <w:szCs w:val="21"/>
                <w:highlight w:val="none"/>
              </w:rPr>
              <w:t>招标文件要求</w:t>
            </w:r>
          </w:p>
        </w:tc>
        <w:tc>
          <w:tcPr>
            <w:tcW w:w="1920" w:type="dxa"/>
            <w:tcBorders>
              <w:tl2br w:val="nil"/>
              <w:tr2bl w:val="nil"/>
            </w:tcBorders>
            <w:vAlign w:val="center"/>
          </w:tcPr>
          <w:p w14:paraId="45818AF9">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412" w:type="dxa"/>
            <w:tcBorders>
              <w:tl2br w:val="nil"/>
              <w:tr2bl w:val="nil"/>
            </w:tcBorders>
            <w:vAlign w:val="center"/>
          </w:tcPr>
          <w:p w14:paraId="764E5820">
            <w:pPr>
              <w:jc w:val="center"/>
              <w:rPr>
                <w:rFonts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30912374">
            <w:pPr>
              <w:jc w:val="center"/>
              <w:rPr>
                <w:rFonts w:ascii="宋体" w:hAnsi="宋体"/>
                <w:color w:val="auto"/>
                <w:szCs w:val="21"/>
                <w:highlight w:val="none"/>
              </w:rPr>
            </w:pPr>
            <w:r>
              <w:rPr>
                <w:rFonts w:hint="eastAsia" w:ascii="宋体" w:hAnsi="宋体"/>
                <w:color w:val="auto"/>
                <w:szCs w:val="21"/>
                <w:highlight w:val="none"/>
              </w:rPr>
              <w:t>说明</w:t>
            </w:r>
          </w:p>
        </w:tc>
      </w:tr>
      <w:tr w14:paraId="1A09D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BDA3FC4">
            <w:pPr>
              <w:jc w:val="center"/>
              <w:rPr>
                <w:rFonts w:ascii="宋体" w:hAnsi="宋体"/>
                <w:color w:val="auto"/>
                <w:szCs w:val="21"/>
                <w:highlight w:val="none"/>
              </w:rPr>
            </w:pPr>
          </w:p>
        </w:tc>
        <w:tc>
          <w:tcPr>
            <w:tcW w:w="1590" w:type="dxa"/>
            <w:tcBorders>
              <w:tl2br w:val="nil"/>
              <w:tr2bl w:val="nil"/>
            </w:tcBorders>
            <w:vAlign w:val="center"/>
          </w:tcPr>
          <w:p w14:paraId="7BF7C29C">
            <w:pPr>
              <w:jc w:val="center"/>
              <w:rPr>
                <w:rFonts w:ascii="宋体" w:hAnsi="宋体"/>
                <w:color w:val="auto"/>
                <w:szCs w:val="21"/>
                <w:highlight w:val="none"/>
              </w:rPr>
            </w:pPr>
          </w:p>
        </w:tc>
        <w:tc>
          <w:tcPr>
            <w:tcW w:w="1755" w:type="dxa"/>
            <w:tcBorders>
              <w:tl2br w:val="nil"/>
              <w:tr2bl w:val="nil"/>
            </w:tcBorders>
            <w:vAlign w:val="center"/>
          </w:tcPr>
          <w:p w14:paraId="715D18FF">
            <w:pPr>
              <w:jc w:val="center"/>
              <w:rPr>
                <w:rFonts w:ascii="宋体" w:hAnsi="宋体"/>
                <w:color w:val="auto"/>
                <w:szCs w:val="21"/>
                <w:highlight w:val="none"/>
              </w:rPr>
            </w:pPr>
          </w:p>
        </w:tc>
        <w:tc>
          <w:tcPr>
            <w:tcW w:w="1920" w:type="dxa"/>
            <w:tcBorders>
              <w:tl2br w:val="nil"/>
              <w:tr2bl w:val="nil"/>
            </w:tcBorders>
            <w:vAlign w:val="center"/>
          </w:tcPr>
          <w:p w14:paraId="77610989">
            <w:pPr>
              <w:jc w:val="center"/>
              <w:rPr>
                <w:rFonts w:ascii="宋体" w:hAnsi="宋体"/>
                <w:color w:val="auto"/>
                <w:szCs w:val="21"/>
                <w:highlight w:val="none"/>
              </w:rPr>
            </w:pPr>
          </w:p>
        </w:tc>
        <w:tc>
          <w:tcPr>
            <w:tcW w:w="1412" w:type="dxa"/>
            <w:tcBorders>
              <w:tl2br w:val="nil"/>
              <w:tr2bl w:val="nil"/>
            </w:tcBorders>
            <w:vAlign w:val="center"/>
          </w:tcPr>
          <w:p w14:paraId="33BE7073">
            <w:pPr>
              <w:jc w:val="center"/>
              <w:rPr>
                <w:rFonts w:ascii="宋体" w:hAnsi="宋体"/>
                <w:color w:val="auto"/>
                <w:szCs w:val="21"/>
                <w:highlight w:val="none"/>
              </w:rPr>
            </w:pPr>
          </w:p>
        </w:tc>
        <w:tc>
          <w:tcPr>
            <w:tcW w:w="867" w:type="dxa"/>
            <w:tcBorders>
              <w:tl2br w:val="nil"/>
              <w:tr2bl w:val="nil"/>
            </w:tcBorders>
            <w:vAlign w:val="center"/>
          </w:tcPr>
          <w:p w14:paraId="0F3E0861">
            <w:pPr>
              <w:jc w:val="center"/>
              <w:rPr>
                <w:rFonts w:ascii="宋体" w:hAnsi="宋体"/>
                <w:color w:val="auto"/>
                <w:szCs w:val="21"/>
                <w:highlight w:val="none"/>
              </w:rPr>
            </w:pPr>
          </w:p>
        </w:tc>
      </w:tr>
      <w:tr w14:paraId="39CFD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845F9E6">
            <w:pPr>
              <w:jc w:val="center"/>
              <w:rPr>
                <w:rFonts w:ascii="宋体" w:hAnsi="宋体"/>
                <w:color w:val="auto"/>
                <w:szCs w:val="21"/>
                <w:highlight w:val="none"/>
              </w:rPr>
            </w:pPr>
          </w:p>
        </w:tc>
        <w:tc>
          <w:tcPr>
            <w:tcW w:w="1590" w:type="dxa"/>
            <w:tcBorders>
              <w:tl2br w:val="nil"/>
              <w:tr2bl w:val="nil"/>
            </w:tcBorders>
            <w:vAlign w:val="center"/>
          </w:tcPr>
          <w:p w14:paraId="2FAAF438">
            <w:pPr>
              <w:jc w:val="center"/>
              <w:rPr>
                <w:rFonts w:ascii="宋体" w:hAnsi="宋体"/>
                <w:color w:val="auto"/>
                <w:szCs w:val="21"/>
                <w:highlight w:val="none"/>
              </w:rPr>
            </w:pPr>
          </w:p>
        </w:tc>
        <w:tc>
          <w:tcPr>
            <w:tcW w:w="1755" w:type="dxa"/>
            <w:tcBorders>
              <w:tl2br w:val="nil"/>
              <w:tr2bl w:val="nil"/>
            </w:tcBorders>
            <w:vAlign w:val="center"/>
          </w:tcPr>
          <w:p w14:paraId="4CDC1B02">
            <w:pPr>
              <w:jc w:val="center"/>
              <w:rPr>
                <w:rFonts w:ascii="宋体" w:hAnsi="宋体"/>
                <w:color w:val="auto"/>
                <w:szCs w:val="21"/>
                <w:highlight w:val="none"/>
              </w:rPr>
            </w:pPr>
          </w:p>
        </w:tc>
        <w:tc>
          <w:tcPr>
            <w:tcW w:w="1920" w:type="dxa"/>
            <w:tcBorders>
              <w:tl2br w:val="nil"/>
              <w:tr2bl w:val="nil"/>
            </w:tcBorders>
            <w:vAlign w:val="center"/>
          </w:tcPr>
          <w:p w14:paraId="409BF9A1">
            <w:pPr>
              <w:jc w:val="center"/>
              <w:rPr>
                <w:rFonts w:ascii="宋体" w:hAnsi="宋体"/>
                <w:color w:val="auto"/>
                <w:szCs w:val="21"/>
                <w:highlight w:val="none"/>
              </w:rPr>
            </w:pPr>
          </w:p>
        </w:tc>
        <w:tc>
          <w:tcPr>
            <w:tcW w:w="1412" w:type="dxa"/>
            <w:tcBorders>
              <w:tl2br w:val="nil"/>
              <w:tr2bl w:val="nil"/>
            </w:tcBorders>
            <w:vAlign w:val="center"/>
          </w:tcPr>
          <w:p w14:paraId="404A1841">
            <w:pPr>
              <w:jc w:val="center"/>
              <w:rPr>
                <w:rFonts w:ascii="宋体" w:hAnsi="宋体"/>
                <w:color w:val="auto"/>
                <w:szCs w:val="21"/>
                <w:highlight w:val="none"/>
              </w:rPr>
            </w:pPr>
          </w:p>
        </w:tc>
        <w:tc>
          <w:tcPr>
            <w:tcW w:w="867" w:type="dxa"/>
            <w:tcBorders>
              <w:tl2br w:val="nil"/>
              <w:tr2bl w:val="nil"/>
            </w:tcBorders>
            <w:vAlign w:val="center"/>
          </w:tcPr>
          <w:p w14:paraId="59A10EC3">
            <w:pPr>
              <w:jc w:val="center"/>
              <w:rPr>
                <w:rFonts w:ascii="宋体" w:hAnsi="宋体"/>
                <w:color w:val="auto"/>
                <w:szCs w:val="21"/>
                <w:highlight w:val="none"/>
              </w:rPr>
            </w:pPr>
          </w:p>
        </w:tc>
      </w:tr>
      <w:tr w14:paraId="042B0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26DE67D">
            <w:pPr>
              <w:jc w:val="center"/>
              <w:rPr>
                <w:rFonts w:ascii="宋体" w:hAnsi="宋体"/>
                <w:color w:val="auto"/>
                <w:szCs w:val="21"/>
                <w:highlight w:val="none"/>
              </w:rPr>
            </w:pPr>
          </w:p>
        </w:tc>
        <w:tc>
          <w:tcPr>
            <w:tcW w:w="1590" w:type="dxa"/>
            <w:tcBorders>
              <w:tl2br w:val="nil"/>
              <w:tr2bl w:val="nil"/>
            </w:tcBorders>
            <w:vAlign w:val="center"/>
          </w:tcPr>
          <w:p w14:paraId="002FCCAD">
            <w:pPr>
              <w:jc w:val="center"/>
              <w:rPr>
                <w:rFonts w:ascii="宋体" w:hAnsi="宋体"/>
                <w:color w:val="auto"/>
                <w:szCs w:val="21"/>
                <w:highlight w:val="none"/>
              </w:rPr>
            </w:pPr>
          </w:p>
        </w:tc>
        <w:tc>
          <w:tcPr>
            <w:tcW w:w="1755" w:type="dxa"/>
            <w:tcBorders>
              <w:tl2br w:val="nil"/>
              <w:tr2bl w:val="nil"/>
            </w:tcBorders>
            <w:vAlign w:val="center"/>
          </w:tcPr>
          <w:p w14:paraId="2DDB4C6C">
            <w:pPr>
              <w:jc w:val="center"/>
              <w:rPr>
                <w:rFonts w:ascii="宋体" w:hAnsi="宋体"/>
                <w:color w:val="auto"/>
                <w:szCs w:val="21"/>
                <w:highlight w:val="none"/>
              </w:rPr>
            </w:pPr>
          </w:p>
        </w:tc>
        <w:tc>
          <w:tcPr>
            <w:tcW w:w="1920" w:type="dxa"/>
            <w:tcBorders>
              <w:tl2br w:val="nil"/>
              <w:tr2bl w:val="nil"/>
            </w:tcBorders>
            <w:vAlign w:val="center"/>
          </w:tcPr>
          <w:p w14:paraId="0E94B7B1">
            <w:pPr>
              <w:jc w:val="center"/>
              <w:rPr>
                <w:rFonts w:ascii="宋体" w:hAnsi="宋体"/>
                <w:color w:val="auto"/>
                <w:szCs w:val="21"/>
                <w:highlight w:val="none"/>
              </w:rPr>
            </w:pPr>
          </w:p>
        </w:tc>
        <w:tc>
          <w:tcPr>
            <w:tcW w:w="1412" w:type="dxa"/>
            <w:tcBorders>
              <w:tl2br w:val="nil"/>
              <w:tr2bl w:val="nil"/>
            </w:tcBorders>
            <w:vAlign w:val="center"/>
          </w:tcPr>
          <w:p w14:paraId="31B4C5CE">
            <w:pPr>
              <w:jc w:val="center"/>
              <w:rPr>
                <w:rFonts w:ascii="宋体" w:hAnsi="宋体"/>
                <w:color w:val="auto"/>
                <w:szCs w:val="21"/>
                <w:highlight w:val="none"/>
              </w:rPr>
            </w:pPr>
          </w:p>
        </w:tc>
        <w:tc>
          <w:tcPr>
            <w:tcW w:w="867" w:type="dxa"/>
            <w:tcBorders>
              <w:tl2br w:val="nil"/>
              <w:tr2bl w:val="nil"/>
            </w:tcBorders>
            <w:vAlign w:val="center"/>
          </w:tcPr>
          <w:p w14:paraId="721F5A63">
            <w:pPr>
              <w:jc w:val="center"/>
              <w:rPr>
                <w:rFonts w:ascii="宋体" w:hAnsi="宋体"/>
                <w:color w:val="auto"/>
                <w:szCs w:val="21"/>
                <w:highlight w:val="none"/>
              </w:rPr>
            </w:pPr>
          </w:p>
        </w:tc>
      </w:tr>
      <w:tr w14:paraId="11608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627EA0E">
            <w:pPr>
              <w:jc w:val="center"/>
              <w:rPr>
                <w:rFonts w:ascii="宋体" w:hAnsi="宋体"/>
                <w:color w:val="auto"/>
                <w:szCs w:val="21"/>
                <w:highlight w:val="none"/>
              </w:rPr>
            </w:pPr>
          </w:p>
        </w:tc>
        <w:tc>
          <w:tcPr>
            <w:tcW w:w="1590" w:type="dxa"/>
            <w:tcBorders>
              <w:tl2br w:val="nil"/>
              <w:tr2bl w:val="nil"/>
            </w:tcBorders>
            <w:vAlign w:val="center"/>
          </w:tcPr>
          <w:p w14:paraId="252177CC">
            <w:pPr>
              <w:jc w:val="center"/>
              <w:rPr>
                <w:rFonts w:ascii="宋体" w:hAnsi="宋体"/>
                <w:color w:val="auto"/>
                <w:szCs w:val="21"/>
                <w:highlight w:val="none"/>
              </w:rPr>
            </w:pPr>
          </w:p>
        </w:tc>
        <w:tc>
          <w:tcPr>
            <w:tcW w:w="1755" w:type="dxa"/>
            <w:tcBorders>
              <w:tl2br w:val="nil"/>
              <w:tr2bl w:val="nil"/>
            </w:tcBorders>
            <w:vAlign w:val="center"/>
          </w:tcPr>
          <w:p w14:paraId="173B82CF">
            <w:pPr>
              <w:jc w:val="center"/>
              <w:rPr>
                <w:rFonts w:ascii="宋体" w:hAnsi="宋体"/>
                <w:color w:val="auto"/>
                <w:szCs w:val="21"/>
                <w:highlight w:val="none"/>
              </w:rPr>
            </w:pPr>
          </w:p>
        </w:tc>
        <w:tc>
          <w:tcPr>
            <w:tcW w:w="1920" w:type="dxa"/>
            <w:tcBorders>
              <w:tl2br w:val="nil"/>
              <w:tr2bl w:val="nil"/>
            </w:tcBorders>
            <w:vAlign w:val="center"/>
          </w:tcPr>
          <w:p w14:paraId="0120E237">
            <w:pPr>
              <w:jc w:val="center"/>
              <w:rPr>
                <w:rFonts w:ascii="宋体" w:hAnsi="宋体"/>
                <w:color w:val="auto"/>
                <w:szCs w:val="21"/>
                <w:highlight w:val="none"/>
              </w:rPr>
            </w:pPr>
          </w:p>
        </w:tc>
        <w:tc>
          <w:tcPr>
            <w:tcW w:w="1412" w:type="dxa"/>
            <w:tcBorders>
              <w:tl2br w:val="nil"/>
              <w:tr2bl w:val="nil"/>
            </w:tcBorders>
            <w:vAlign w:val="center"/>
          </w:tcPr>
          <w:p w14:paraId="7464DE2F">
            <w:pPr>
              <w:jc w:val="center"/>
              <w:rPr>
                <w:rFonts w:ascii="宋体" w:hAnsi="宋体"/>
                <w:color w:val="auto"/>
                <w:szCs w:val="21"/>
                <w:highlight w:val="none"/>
              </w:rPr>
            </w:pPr>
          </w:p>
        </w:tc>
        <w:tc>
          <w:tcPr>
            <w:tcW w:w="867" w:type="dxa"/>
            <w:tcBorders>
              <w:tl2br w:val="nil"/>
              <w:tr2bl w:val="nil"/>
            </w:tcBorders>
            <w:vAlign w:val="center"/>
          </w:tcPr>
          <w:p w14:paraId="0184CD15">
            <w:pPr>
              <w:jc w:val="center"/>
              <w:rPr>
                <w:rFonts w:ascii="宋体" w:hAnsi="宋体"/>
                <w:color w:val="auto"/>
                <w:szCs w:val="21"/>
                <w:highlight w:val="none"/>
              </w:rPr>
            </w:pPr>
          </w:p>
        </w:tc>
      </w:tr>
      <w:tr w14:paraId="105F4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9D705AD">
            <w:pPr>
              <w:jc w:val="center"/>
              <w:rPr>
                <w:rFonts w:ascii="宋体" w:hAnsi="宋体"/>
                <w:color w:val="auto"/>
                <w:szCs w:val="21"/>
                <w:highlight w:val="none"/>
              </w:rPr>
            </w:pPr>
          </w:p>
        </w:tc>
        <w:tc>
          <w:tcPr>
            <w:tcW w:w="1590" w:type="dxa"/>
            <w:tcBorders>
              <w:tl2br w:val="nil"/>
              <w:tr2bl w:val="nil"/>
            </w:tcBorders>
            <w:vAlign w:val="center"/>
          </w:tcPr>
          <w:p w14:paraId="7D38FEBA">
            <w:pPr>
              <w:jc w:val="center"/>
              <w:rPr>
                <w:rFonts w:ascii="宋体" w:hAnsi="宋体"/>
                <w:color w:val="auto"/>
                <w:szCs w:val="21"/>
                <w:highlight w:val="none"/>
              </w:rPr>
            </w:pPr>
          </w:p>
        </w:tc>
        <w:tc>
          <w:tcPr>
            <w:tcW w:w="1755" w:type="dxa"/>
            <w:tcBorders>
              <w:tl2br w:val="nil"/>
              <w:tr2bl w:val="nil"/>
            </w:tcBorders>
            <w:vAlign w:val="center"/>
          </w:tcPr>
          <w:p w14:paraId="61706EB8">
            <w:pPr>
              <w:jc w:val="center"/>
              <w:rPr>
                <w:rFonts w:ascii="宋体" w:hAnsi="宋体"/>
                <w:color w:val="auto"/>
                <w:szCs w:val="21"/>
                <w:highlight w:val="none"/>
              </w:rPr>
            </w:pPr>
          </w:p>
        </w:tc>
        <w:tc>
          <w:tcPr>
            <w:tcW w:w="1920" w:type="dxa"/>
            <w:tcBorders>
              <w:tl2br w:val="nil"/>
              <w:tr2bl w:val="nil"/>
            </w:tcBorders>
            <w:vAlign w:val="center"/>
          </w:tcPr>
          <w:p w14:paraId="00826857">
            <w:pPr>
              <w:jc w:val="center"/>
              <w:rPr>
                <w:rFonts w:ascii="宋体" w:hAnsi="宋体"/>
                <w:color w:val="auto"/>
                <w:szCs w:val="21"/>
                <w:highlight w:val="none"/>
              </w:rPr>
            </w:pPr>
          </w:p>
        </w:tc>
        <w:tc>
          <w:tcPr>
            <w:tcW w:w="1412" w:type="dxa"/>
            <w:tcBorders>
              <w:tl2br w:val="nil"/>
              <w:tr2bl w:val="nil"/>
            </w:tcBorders>
            <w:vAlign w:val="center"/>
          </w:tcPr>
          <w:p w14:paraId="4FE3BED5">
            <w:pPr>
              <w:jc w:val="center"/>
              <w:rPr>
                <w:rFonts w:ascii="宋体" w:hAnsi="宋体"/>
                <w:color w:val="auto"/>
                <w:szCs w:val="21"/>
                <w:highlight w:val="none"/>
              </w:rPr>
            </w:pPr>
          </w:p>
        </w:tc>
        <w:tc>
          <w:tcPr>
            <w:tcW w:w="867" w:type="dxa"/>
            <w:tcBorders>
              <w:tl2br w:val="nil"/>
              <w:tr2bl w:val="nil"/>
            </w:tcBorders>
            <w:vAlign w:val="center"/>
          </w:tcPr>
          <w:p w14:paraId="712F6441">
            <w:pPr>
              <w:jc w:val="center"/>
              <w:rPr>
                <w:rFonts w:ascii="宋体" w:hAnsi="宋体"/>
                <w:color w:val="auto"/>
                <w:szCs w:val="21"/>
                <w:highlight w:val="none"/>
              </w:rPr>
            </w:pPr>
          </w:p>
        </w:tc>
      </w:tr>
      <w:tr w14:paraId="191569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BB543EF">
            <w:pPr>
              <w:jc w:val="center"/>
              <w:rPr>
                <w:rFonts w:ascii="宋体" w:hAnsi="宋体"/>
                <w:color w:val="auto"/>
                <w:szCs w:val="21"/>
                <w:highlight w:val="none"/>
              </w:rPr>
            </w:pPr>
          </w:p>
        </w:tc>
        <w:tc>
          <w:tcPr>
            <w:tcW w:w="1590" w:type="dxa"/>
            <w:tcBorders>
              <w:tl2br w:val="nil"/>
              <w:tr2bl w:val="nil"/>
            </w:tcBorders>
            <w:vAlign w:val="center"/>
          </w:tcPr>
          <w:p w14:paraId="20BBC020">
            <w:pPr>
              <w:jc w:val="center"/>
              <w:rPr>
                <w:rFonts w:ascii="宋体" w:hAnsi="宋体"/>
                <w:color w:val="auto"/>
                <w:szCs w:val="21"/>
                <w:highlight w:val="none"/>
              </w:rPr>
            </w:pPr>
          </w:p>
        </w:tc>
        <w:tc>
          <w:tcPr>
            <w:tcW w:w="1755" w:type="dxa"/>
            <w:tcBorders>
              <w:tl2br w:val="nil"/>
              <w:tr2bl w:val="nil"/>
            </w:tcBorders>
            <w:vAlign w:val="center"/>
          </w:tcPr>
          <w:p w14:paraId="7C5130CC">
            <w:pPr>
              <w:jc w:val="center"/>
              <w:rPr>
                <w:rFonts w:ascii="宋体" w:hAnsi="宋体"/>
                <w:color w:val="auto"/>
                <w:szCs w:val="21"/>
                <w:highlight w:val="none"/>
              </w:rPr>
            </w:pPr>
          </w:p>
        </w:tc>
        <w:tc>
          <w:tcPr>
            <w:tcW w:w="1920" w:type="dxa"/>
            <w:tcBorders>
              <w:tl2br w:val="nil"/>
              <w:tr2bl w:val="nil"/>
            </w:tcBorders>
            <w:vAlign w:val="center"/>
          </w:tcPr>
          <w:p w14:paraId="3E01696F">
            <w:pPr>
              <w:jc w:val="center"/>
              <w:rPr>
                <w:rFonts w:ascii="宋体" w:hAnsi="宋体"/>
                <w:color w:val="auto"/>
                <w:szCs w:val="21"/>
                <w:highlight w:val="none"/>
              </w:rPr>
            </w:pPr>
          </w:p>
        </w:tc>
        <w:tc>
          <w:tcPr>
            <w:tcW w:w="1412" w:type="dxa"/>
            <w:tcBorders>
              <w:tl2br w:val="nil"/>
              <w:tr2bl w:val="nil"/>
            </w:tcBorders>
            <w:vAlign w:val="center"/>
          </w:tcPr>
          <w:p w14:paraId="5EC78BEE">
            <w:pPr>
              <w:jc w:val="center"/>
              <w:rPr>
                <w:rFonts w:ascii="宋体" w:hAnsi="宋体"/>
                <w:color w:val="auto"/>
                <w:szCs w:val="21"/>
                <w:highlight w:val="none"/>
              </w:rPr>
            </w:pPr>
          </w:p>
        </w:tc>
        <w:tc>
          <w:tcPr>
            <w:tcW w:w="867" w:type="dxa"/>
            <w:tcBorders>
              <w:tl2br w:val="nil"/>
              <w:tr2bl w:val="nil"/>
            </w:tcBorders>
            <w:vAlign w:val="center"/>
          </w:tcPr>
          <w:p w14:paraId="49DCE5E8">
            <w:pPr>
              <w:jc w:val="center"/>
              <w:rPr>
                <w:rFonts w:ascii="宋体" w:hAnsi="宋体"/>
                <w:color w:val="auto"/>
                <w:szCs w:val="21"/>
                <w:highlight w:val="none"/>
              </w:rPr>
            </w:pPr>
          </w:p>
        </w:tc>
      </w:tr>
      <w:tr w14:paraId="7849C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F70E10C">
            <w:pPr>
              <w:jc w:val="center"/>
              <w:rPr>
                <w:rFonts w:ascii="宋体" w:hAnsi="宋体"/>
                <w:color w:val="auto"/>
                <w:szCs w:val="21"/>
                <w:highlight w:val="none"/>
              </w:rPr>
            </w:pPr>
          </w:p>
        </w:tc>
        <w:tc>
          <w:tcPr>
            <w:tcW w:w="1590" w:type="dxa"/>
            <w:tcBorders>
              <w:tl2br w:val="nil"/>
              <w:tr2bl w:val="nil"/>
            </w:tcBorders>
            <w:vAlign w:val="center"/>
          </w:tcPr>
          <w:p w14:paraId="45782CE3">
            <w:pPr>
              <w:jc w:val="center"/>
              <w:rPr>
                <w:rFonts w:ascii="宋体" w:hAnsi="宋体"/>
                <w:color w:val="auto"/>
                <w:szCs w:val="21"/>
                <w:highlight w:val="none"/>
              </w:rPr>
            </w:pPr>
          </w:p>
        </w:tc>
        <w:tc>
          <w:tcPr>
            <w:tcW w:w="1755" w:type="dxa"/>
            <w:tcBorders>
              <w:tl2br w:val="nil"/>
              <w:tr2bl w:val="nil"/>
            </w:tcBorders>
            <w:vAlign w:val="center"/>
          </w:tcPr>
          <w:p w14:paraId="601FC720">
            <w:pPr>
              <w:jc w:val="center"/>
              <w:rPr>
                <w:rFonts w:ascii="宋体" w:hAnsi="宋体"/>
                <w:color w:val="auto"/>
                <w:szCs w:val="21"/>
                <w:highlight w:val="none"/>
              </w:rPr>
            </w:pPr>
          </w:p>
        </w:tc>
        <w:tc>
          <w:tcPr>
            <w:tcW w:w="1920" w:type="dxa"/>
            <w:tcBorders>
              <w:tl2br w:val="nil"/>
              <w:tr2bl w:val="nil"/>
            </w:tcBorders>
            <w:vAlign w:val="center"/>
          </w:tcPr>
          <w:p w14:paraId="69A3BCDC">
            <w:pPr>
              <w:jc w:val="center"/>
              <w:rPr>
                <w:rFonts w:ascii="宋体" w:hAnsi="宋体"/>
                <w:color w:val="auto"/>
                <w:szCs w:val="21"/>
                <w:highlight w:val="none"/>
              </w:rPr>
            </w:pPr>
          </w:p>
        </w:tc>
        <w:tc>
          <w:tcPr>
            <w:tcW w:w="1412" w:type="dxa"/>
            <w:tcBorders>
              <w:tl2br w:val="nil"/>
              <w:tr2bl w:val="nil"/>
            </w:tcBorders>
            <w:vAlign w:val="center"/>
          </w:tcPr>
          <w:p w14:paraId="634E1991">
            <w:pPr>
              <w:jc w:val="center"/>
              <w:rPr>
                <w:rFonts w:ascii="宋体" w:hAnsi="宋体"/>
                <w:color w:val="auto"/>
                <w:szCs w:val="21"/>
                <w:highlight w:val="none"/>
              </w:rPr>
            </w:pPr>
          </w:p>
        </w:tc>
        <w:tc>
          <w:tcPr>
            <w:tcW w:w="867" w:type="dxa"/>
            <w:tcBorders>
              <w:tl2br w:val="nil"/>
              <w:tr2bl w:val="nil"/>
            </w:tcBorders>
            <w:vAlign w:val="center"/>
          </w:tcPr>
          <w:p w14:paraId="6C01D807">
            <w:pPr>
              <w:jc w:val="center"/>
              <w:rPr>
                <w:rFonts w:ascii="宋体" w:hAnsi="宋体"/>
                <w:color w:val="auto"/>
                <w:szCs w:val="21"/>
                <w:highlight w:val="none"/>
              </w:rPr>
            </w:pPr>
          </w:p>
        </w:tc>
      </w:tr>
      <w:tr w14:paraId="20CE2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5F00591">
            <w:pPr>
              <w:jc w:val="center"/>
              <w:rPr>
                <w:rFonts w:ascii="宋体" w:hAnsi="宋体"/>
                <w:color w:val="auto"/>
                <w:szCs w:val="21"/>
                <w:highlight w:val="none"/>
              </w:rPr>
            </w:pPr>
          </w:p>
        </w:tc>
        <w:tc>
          <w:tcPr>
            <w:tcW w:w="1590" w:type="dxa"/>
            <w:tcBorders>
              <w:tl2br w:val="nil"/>
              <w:tr2bl w:val="nil"/>
            </w:tcBorders>
            <w:vAlign w:val="center"/>
          </w:tcPr>
          <w:p w14:paraId="45E8801D">
            <w:pPr>
              <w:jc w:val="center"/>
              <w:rPr>
                <w:rFonts w:ascii="宋体" w:hAnsi="宋体"/>
                <w:color w:val="auto"/>
                <w:szCs w:val="21"/>
                <w:highlight w:val="none"/>
              </w:rPr>
            </w:pPr>
          </w:p>
        </w:tc>
        <w:tc>
          <w:tcPr>
            <w:tcW w:w="1755" w:type="dxa"/>
            <w:tcBorders>
              <w:tl2br w:val="nil"/>
              <w:tr2bl w:val="nil"/>
            </w:tcBorders>
            <w:vAlign w:val="center"/>
          </w:tcPr>
          <w:p w14:paraId="5AA4C6A0">
            <w:pPr>
              <w:jc w:val="center"/>
              <w:rPr>
                <w:rFonts w:ascii="宋体" w:hAnsi="宋体"/>
                <w:color w:val="auto"/>
                <w:szCs w:val="21"/>
                <w:highlight w:val="none"/>
              </w:rPr>
            </w:pPr>
          </w:p>
        </w:tc>
        <w:tc>
          <w:tcPr>
            <w:tcW w:w="1920" w:type="dxa"/>
            <w:tcBorders>
              <w:tl2br w:val="nil"/>
              <w:tr2bl w:val="nil"/>
            </w:tcBorders>
            <w:vAlign w:val="center"/>
          </w:tcPr>
          <w:p w14:paraId="646810E7">
            <w:pPr>
              <w:jc w:val="center"/>
              <w:rPr>
                <w:rFonts w:ascii="宋体" w:hAnsi="宋体"/>
                <w:color w:val="auto"/>
                <w:szCs w:val="21"/>
                <w:highlight w:val="none"/>
              </w:rPr>
            </w:pPr>
          </w:p>
        </w:tc>
        <w:tc>
          <w:tcPr>
            <w:tcW w:w="1412" w:type="dxa"/>
            <w:tcBorders>
              <w:tl2br w:val="nil"/>
              <w:tr2bl w:val="nil"/>
            </w:tcBorders>
            <w:vAlign w:val="center"/>
          </w:tcPr>
          <w:p w14:paraId="0E13359E">
            <w:pPr>
              <w:jc w:val="center"/>
              <w:rPr>
                <w:rFonts w:ascii="宋体" w:hAnsi="宋体"/>
                <w:color w:val="auto"/>
                <w:szCs w:val="21"/>
                <w:highlight w:val="none"/>
              </w:rPr>
            </w:pPr>
          </w:p>
        </w:tc>
        <w:tc>
          <w:tcPr>
            <w:tcW w:w="867" w:type="dxa"/>
            <w:tcBorders>
              <w:tl2br w:val="nil"/>
              <w:tr2bl w:val="nil"/>
            </w:tcBorders>
            <w:vAlign w:val="center"/>
          </w:tcPr>
          <w:p w14:paraId="25B96CEC">
            <w:pPr>
              <w:jc w:val="center"/>
              <w:rPr>
                <w:rFonts w:ascii="宋体" w:hAnsi="宋体"/>
                <w:color w:val="auto"/>
                <w:szCs w:val="21"/>
                <w:highlight w:val="none"/>
              </w:rPr>
            </w:pPr>
          </w:p>
        </w:tc>
      </w:tr>
      <w:tr w14:paraId="5EC40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ECF6029">
            <w:pPr>
              <w:jc w:val="center"/>
              <w:rPr>
                <w:rFonts w:ascii="宋体" w:hAnsi="宋体"/>
                <w:color w:val="auto"/>
                <w:szCs w:val="21"/>
                <w:highlight w:val="none"/>
              </w:rPr>
            </w:pPr>
          </w:p>
        </w:tc>
        <w:tc>
          <w:tcPr>
            <w:tcW w:w="1590" w:type="dxa"/>
            <w:tcBorders>
              <w:tl2br w:val="nil"/>
              <w:tr2bl w:val="nil"/>
            </w:tcBorders>
            <w:vAlign w:val="center"/>
          </w:tcPr>
          <w:p w14:paraId="032A7D23">
            <w:pPr>
              <w:jc w:val="center"/>
              <w:rPr>
                <w:rFonts w:ascii="宋体" w:hAnsi="宋体"/>
                <w:color w:val="auto"/>
                <w:szCs w:val="21"/>
                <w:highlight w:val="none"/>
              </w:rPr>
            </w:pPr>
          </w:p>
        </w:tc>
        <w:tc>
          <w:tcPr>
            <w:tcW w:w="1755" w:type="dxa"/>
            <w:tcBorders>
              <w:tl2br w:val="nil"/>
              <w:tr2bl w:val="nil"/>
            </w:tcBorders>
            <w:vAlign w:val="center"/>
          </w:tcPr>
          <w:p w14:paraId="25FC67E7">
            <w:pPr>
              <w:jc w:val="center"/>
              <w:rPr>
                <w:rFonts w:ascii="宋体" w:hAnsi="宋体"/>
                <w:color w:val="auto"/>
                <w:szCs w:val="21"/>
                <w:highlight w:val="none"/>
              </w:rPr>
            </w:pPr>
          </w:p>
        </w:tc>
        <w:tc>
          <w:tcPr>
            <w:tcW w:w="1920" w:type="dxa"/>
            <w:tcBorders>
              <w:tl2br w:val="nil"/>
              <w:tr2bl w:val="nil"/>
            </w:tcBorders>
            <w:vAlign w:val="center"/>
          </w:tcPr>
          <w:p w14:paraId="1C108B93">
            <w:pPr>
              <w:jc w:val="center"/>
              <w:rPr>
                <w:rFonts w:ascii="宋体" w:hAnsi="宋体"/>
                <w:color w:val="auto"/>
                <w:szCs w:val="21"/>
                <w:highlight w:val="none"/>
              </w:rPr>
            </w:pPr>
          </w:p>
        </w:tc>
        <w:tc>
          <w:tcPr>
            <w:tcW w:w="1412" w:type="dxa"/>
            <w:tcBorders>
              <w:tl2br w:val="nil"/>
              <w:tr2bl w:val="nil"/>
            </w:tcBorders>
            <w:vAlign w:val="center"/>
          </w:tcPr>
          <w:p w14:paraId="621FC96B">
            <w:pPr>
              <w:jc w:val="center"/>
              <w:rPr>
                <w:rFonts w:ascii="宋体" w:hAnsi="宋体"/>
                <w:color w:val="auto"/>
                <w:szCs w:val="21"/>
                <w:highlight w:val="none"/>
              </w:rPr>
            </w:pPr>
          </w:p>
        </w:tc>
        <w:tc>
          <w:tcPr>
            <w:tcW w:w="867" w:type="dxa"/>
            <w:tcBorders>
              <w:tl2br w:val="nil"/>
              <w:tr2bl w:val="nil"/>
            </w:tcBorders>
            <w:vAlign w:val="center"/>
          </w:tcPr>
          <w:p w14:paraId="483F5074">
            <w:pPr>
              <w:jc w:val="center"/>
              <w:rPr>
                <w:rFonts w:ascii="宋体" w:hAnsi="宋体"/>
                <w:color w:val="auto"/>
                <w:szCs w:val="21"/>
                <w:highlight w:val="none"/>
              </w:rPr>
            </w:pPr>
          </w:p>
        </w:tc>
      </w:tr>
      <w:tr w14:paraId="37E0E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7F67E53">
            <w:pPr>
              <w:jc w:val="center"/>
              <w:rPr>
                <w:rFonts w:ascii="宋体" w:hAnsi="宋体"/>
                <w:color w:val="auto"/>
                <w:szCs w:val="21"/>
                <w:highlight w:val="none"/>
              </w:rPr>
            </w:pPr>
          </w:p>
        </w:tc>
        <w:tc>
          <w:tcPr>
            <w:tcW w:w="1590" w:type="dxa"/>
            <w:tcBorders>
              <w:tl2br w:val="nil"/>
              <w:tr2bl w:val="nil"/>
            </w:tcBorders>
            <w:vAlign w:val="center"/>
          </w:tcPr>
          <w:p w14:paraId="4A591BAE">
            <w:pPr>
              <w:jc w:val="center"/>
              <w:rPr>
                <w:rFonts w:ascii="宋体" w:hAnsi="宋体"/>
                <w:color w:val="auto"/>
                <w:szCs w:val="21"/>
                <w:highlight w:val="none"/>
              </w:rPr>
            </w:pPr>
          </w:p>
        </w:tc>
        <w:tc>
          <w:tcPr>
            <w:tcW w:w="1755" w:type="dxa"/>
            <w:tcBorders>
              <w:tl2br w:val="nil"/>
              <w:tr2bl w:val="nil"/>
            </w:tcBorders>
            <w:vAlign w:val="center"/>
          </w:tcPr>
          <w:p w14:paraId="2513FCFE">
            <w:pPr>
              <w:jc w:val="center"/>
              <w:rPr>
                <w:rFonts w:ascii="宋体" w:hAnsi="宋体"/>
                <w:color w:val="auto"/>
                <w:szCs w:val="21"/>
                <w:highlight w:val="none"/>
              </w:rPr>
            </w:pPr>
          </w:p>
        </w:tc>
        <w:tc>
          <w:tcPr>
            <w:tcW w:w="1920" w:type="dxa"/>
            <w:tcBorders>
              <w:tl2br w:val="nil"/>
              <w:tr2bl w:val="nil"/>
            </w:tcBorders>
            <w:vAlign w:val="center"/>
          </w:tcPr>
          <w:p w14:paraId="13C3AC1B">
            <w:pPr>
              <w:jc w:val="center"/>
              <w:rPr>
                <w:rFonts w:ascii="宋体" w:hAnsi="宋体"/>
                <w:color w:val="auto"/>
                <w:szCs w:val="21"/>
                <w:highlight w:val="none"/>
              </w:rPr>
            </w:pPr>
          </w:p>
        </w:tc>
        <w:tc>
          <w:tcPr>
            <w:tcW w:w="1412" w:type="dxa"/>
            <w:tcBorders>
              <w:tl2br w:val="nil"/>
              <w:tr2bl w:val="nil"/>
            </w:tcBorders>
            <w:vAlign w:val="center"/>
          </w:tcPr>
          <w:p w14:paraId="02456EA4">
            <w:pPr>
              <w:jc w:val="center"/>
              <w:rPr>
                <w:rFonts w:ascii="宋体" w:hAnsi="宋体"/>
                <w:color w:val="auto"/>
                <w:szCs w:val="21"/>
                <w:highlight w:val="none"/>
              </w:rPr>
            </w:pPr>
          </w:p>
        </w:tc>
        <w:tc>
          <w:tcPr>
            <w:tcW w:w="867" w:type="dxa"/>
            <w:tcBorders>
              <w:tl2br w:val="nil"/>
              <w:tr2bl w:val="nil"/>
            </w:tcBorders>
            <w:vAlign w:val="center"/>
          </w:tcPr>
          <w:p w14:paraId="1328A13B">
            <w:pPr>
              <w:jc w:val="center"/>
              <w:rPr>
                <w:rFonts w:ascii="宋体" w:hAnsi="宋体"/>
                <w:color w:val="auto"/>
                <w:szCs w:val="21"/>
                <w:highlight w:val="none"/>
              </w:rPr>
            </w:pPr>
          </w:p>
        </w:tc>
      </w:tr>
      <w:tr w14:paraId="7334B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E22161F">
            <w:pPr>
              <w:jc w:val="center"/>
              <w:rPr>
                <w:rFonts w:ascii="宋体" w:hAnsi="宋体"/>
                <w:color w:val="auto"/>
                <w:szCs w:val="21"/>
                <w:highlight w:val="none"/>
              </w:rPr>
            </w:pPr>
          </w:p>
        </w:tc>
        <w:tc>
          <w:tcPr>
            <w:tcW w:w="1590" w:type="dxa"/>
            <w:tcBorders>
              <w:tl2br w:val="nil"/>
              <w:tr2bl w:val="nil"/>
            </w:tcBorders>
            <w:vAlign w:val="center"/>
          </w:tcPr>
          <w:p w14:paraId="48808245">
            <w:pPr>
              <w:jc w:val="center"/>
              <w:rPr>
                <w:rFonts w:ascii="宋体" w:hAnsi="宋体"/>
                <w:color w:val="auto"/>
                <w:szCs w:val="21"/>
                <w:highlight w:val="none"/>
              </w:rPr>
            </w:pPr>
          </w:p>
        </w:tc>
        <w:tc>
          <w:tcPr>
            <w:tcW w:w="1755" w:type="dxa"/>
            <w:tcBorders>
              <w:tl2br w:val="nil"/>
              <w:tr2bl w:val="nil"/>
            </w:tcBorders>
            <w:vAlign w:val="center"/>
          </w:tcPr>
          <w:p w14:paraId="2E451180">
            <w:pPr>
              <w:jc w:val="center"/>
              <w:rPr>
                <w:rFonts w:ascii="宋体" w:hAnsi="宋体"/>
                <w:color w:val="auto"/>
                <w:szCs w:val="21"/>
                <w:highlight w:val="none"/>
              </w:rPr>
            </w:pPr>
          </w:p>
        </w:tc>
        <w:tc>
          <w:tcPr>
            <w:tcW w:w="1920" w:type="dxa"/>
            <w:tcBorders>
              <w:tl2br w:val="nil"/>
              <w:tr2bl w:val="nil"/>
            </w:tcBorders>
            <w:vAlign w:val="center"/>
          </w:tcPr>
          <w:p w14:paraId="2069A330">
            <w:pPr>
              <w:jc w:val="center"/>
              <w:rPr>
                <w:rFonts w:ascii="宋体" w:hAnsi="宋体"/>
                <w:color w:val="auto"/>
                <w:szCs w:val="21"/>
                <w:highlight w:val="none"/>
              </w:rPr>
            </w:pPr>
          </w:p>
        </w:tc>
        <w:tc>
          <w:tcPr>
            <w:tcW w:w="1412" w:type="dxa"/>
            <w:tcBorders>
              <w:tl2br w:val="nil"/>
              <w:tr2bl w:val="nil"/>
            </w:tcBorders>
            <w:vAlign w:val="center"/>
          </w:tcPr>
          <w:p w14:paraId="42D8DF08">
            <w:pPr>
              <w:jc w:val="center"/>
              <w:rPr>
                <w:rFonts w:ascii="宋体" w:hAnsi="宋体"/>
                <w:color w:val="auto"/>
                <w:szCs w:val="21"/>
                <w:highlight w:val="none"/>
              </w:rPr>
            </w:pPr>
          </w:p>
        </w:tc>
        <w:tc>
          <w:tcPr>
            <w:tcW w:w="867" w:type="dxa"/>
            <w:tcBorders>
              <w:tl2br w:val="nil"/>
              <w:tr2bl w:val="nil"/>
            </w:tcBorders>
            <w:vAlign w:val="center"/>
          </w:tcPr>
          <w:p w14:paraId="77872F49">
            <w:pPr>
              <w:jc w:val="center"/>
              <w:rPr>
                <w:rFonts w:ascii="宋体" w:hAnsi="宋体"/>
                <w:color w:val="auto"/>
                <w:szCs w:val="21"/>
                <w:highlight w:val="none"/>
              </w:rPr>
            </w:pPr>
          </w:p>
        </w:tc>
      </w:tr>
      <w:tr w14:paraId="73D1C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5DDE2A8">
            <w:pPr>
              <w:jc w:val="center"/>
              <w:rPr>
                <w:rFonts w:ascii="宋体" w:hAnsi="宋体"/>
                <w:color w:val="auto"/>
                <w:szCs w:val="21"/>
                <w:highlight w:val="none"/>
              </w:rPr>
            </w:pPr>
          </w:p>
        </w:tc>
        <w:tc>
          <w:tcPr>
            <w:tcW w:w="1590" w:type="dxa"/>
            <w:tcBorders>
              <w:tl2br w:val="nil"/>
              <w:tr2bl w:val="nil"/>
            </w:tcBorders>
            <w:vAlign w:val="center"/>
          </w:tcPr>
          <w:p w14:paraId="72EB8965">
            <w:pPr>
              <w:jc w:val="center"/>
              <w:rPr>
                <w:rFonts w:ascii="宋体" w:hAnsi="宋体"/>
                <w:color w:val="auto"/>
                <w:szCs w:val="21"/>
                <w:highlight w:val="none"/>
              </w:rPr>
            </w:pPr>
          </w:p>
        </w:tc>
        <w:tc>
          <w:tcPr>
            <w:tcW w:w="1755" w:type="dxa"/>
            <w:tcBorders>
              <w:tl2br w:val="nil"/>
              <w:tr2bl w:val="nil"/>
            </w:tcBorders>
            <w:vAlign w:val="center"/>
          </w:tcPr>
          <w:p w14:paraId="6574A30E">
            <w:pPr>
              <w:jc w:val="center"/>
              <w:rPr>
                <w:rFonts w:ascii="宋体" w:hAnsi="宋体"/>
                <w:color w:val="auto"/>
                <w:szCs w:val="21"/>
                <w:highlight w:val="none"/>
              </w:rPr>
            </w:pPr>
          </w:p>
        </w:tc>
        <w:tc>
          <w:tcPr>
            <w:tcW w:w="1920" w:type="dxa"/>
            <w:tcBorders>
              <w:tl2br w:val="nil"/>
              <w:tr2bl w:val="nil"/>
            </w:tcBorders>
            <w:vAlign w:val="center"/>
          </w:tcPr>
          <w:p w14:paraId="428AF3AA">
            <w:pPr>
              <w:jc w:val="center"/>
              <w:rPr>
                <w:rFonts w:ascii="宋体" w:hAnsi="宋体"/>
                <w:color w:val="auto"/>
                <w:szCs w:val="21"/>
                <w:highlight w:val="none"/>
              </w:rPr>
            </w:pPr>
          </w:p>
        </w:tc>
        <w:tc>
          <w:tcPr>
            <w:tcW w:w="1412" w:type="dxa"/>
            <w:tcBorders>
              <w:tl2br w:val="nil"/>
              <w:tr2bl w:val="nil"/>
            </w:tcBorders>
            <w:vAlign w:val="center"/>
          </w:tcPr>
          <w:p w14:paraId="070C33B5">
            <w:pPr>
              <w:jc w:val="center"/>
              <w:rPr>
                <w:rFonts w:ascii="宋体" w:hAnsi="宋体"/>
                <w:color w:val="auto"/>
                <w:szCs w:val="21"/>
                <w:highlight w:val="none"/>
              </w:rPr>
            </w:pPr>
          </w:p>
        </w:tc>
        <w:tc>
          <w:tcPr>
            <w:tcW w:w="867" w:type="dxa"/>
            <w:tcBorders>
              <w:tl2br w:val="nil"/>
              <w:tr2bl w:val="nil"/>
            </w:tcBorders>
            <w:vAlign w:val="center"/>
          </w:tcPr>
          <w:p w14:paraId="529642C7">
            <w:pPr>
              <w:jc w:val="center"/>
              <w:rPr>
                <w:rFonts w:ascii="宋体" w:hAnsi="宋体"/>
                <w:color w:val="auto"/>
                <w:szCs w:val="21"/>
                <w:highlight w:val="none"/>
              </w:rPr>
            </w:pPr>
          </w:p>
        </w:tc>
      </w:tr>
      <w:tr w14:paraId="6F45B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8CD11B">
            <w:pPr>
              <w:jc w:val="center"/>
              <w:rPr>
                <w:rFonts w:ascii="宋体" w:hAnsi="宋体"/>
                <w:color w:val="auto"/>
                <w:szCs w:val="21"/>
                <w:highlight w:val="none"/>
              </w:rPr>
            </w:pPr>
          </w:p>
        </w:tc>
        <w:tc>
          <w:tcPr>
            <w:tcW w:w="1590" w:type="dxa"/>
            <w:tcBorders>
              <w:tl2br w:val="nil"/>
              <w:tr2bl w:val="nil"/>
            </w:tcBorders>
            <w:vAlign w:val="center"/>
          </w:tcPr>
          <w:p w14:paraId="3C4D3AA8">
            <w:pPr>
              <w:jc w:val="center"/>
              <w:rPr>
                <w:rFonts w:ascii="宋体" w:hAnsi="宋体"/>
                <w:color w:val="auto"/>
                <w:szCs w:val="21"/>
                <w:highlight w:val="none"/>
              </w:rPr>
            </w:pPr>
          </w:p>
        </w:tc>
        <w:tc>
          <w:tcPr>
            <w:tcW w:w="1755" w:type="dxa"/>
            <w:tcBorders>
              <w:tl2br w:val="nil"/>
              <w:tr2bl w:val="nil"/>
            </w:tcBorders>
            <w:vAlign w:val="center"/>
          </w:tcPr>
          <w:p w14:paraId="74939E69">
            <w:pPr>
              <w:jc w:val="center"/>
              <w:rPr>
                <w:rFonts w:ascii="宋体" w:hAnsi="宋体"/>
                <w:color w:val="auto"/>
                <w:szCs w:val="21"/>
                <w:highlight w:val="none"/>
              </w:rPr>
            </w:pPr>
          </w:p>
        </w:tc>
        <w:tc>
          <w:tcPr>
            <w:tcW w:w="1920" w:type="dxa"/>
            <w:tcBorders>
              <w:tl2br w:val="nil"/>
              <w:tr2bl w:val="nil"/>
            </w:tcBorders>
            <w:vAlign w:val="center"/>
          </w:tcPr>
          <w:p w14:paraId="71F00FBE">
            <w:pPr>
              <w:jc w:val="center"/>
              <w:rPr>
                <w:rFonts w:ascii="宋体" w:hAnsi="宋体"/>
                <w:color w:val="auto"/>
                <w:szCs w:val="21"/>
                <w:highlight w:val="none"/>
              </w:rPr>
            </w:pPr>
          </w:p>
        </w:tc>
        <w:tc>
          <w:tcPr>
            <w:tcW w:w="1412" w:type="dxa"/>
            <w:tcBorders>
              <w:tl2br w:val="nil"/>
              <w:tr2bl w:val="nil"/>
            </w:tcBorders>
            <w:vAlign w:val="center"/>
          </w:tcPr>
          <w:p w14:paraId="1779379B">
            <w:pPr>
              <w:jc w:val="center"/>
              <w:rPr>
                <w:rFonts w:ascii="宋体" w:hAnsi="宋体"/>
                <w:color w:val="auto"/>
                <w:szCs w:val="21"/>
                <w:highlight w:val="none"/>
              </w:rPr>
            </w:pPr>
          </w:p>
        </w:tc>
        <w:tc>
          <w:tcPr>
            <w:tcW w:w="867" w:type="dxa"/>
            <w:tcBorders>
              <w:tl2br w:val="nil"/>
              <w:tr2bl w:val="nil"/>
            </w:tcBorders>
            <w:vAlign w:val="center"/>
          </w:tcPr>
          <w:p w14:paraId="092B5B01">
            <w:pPr>
              <w:jc w:val="center"/>
              <w:rPr>
                <w:rFonts w:ascii="宋体" w:hAnsi="宋体"/>
                <w:color w:val="auto"/>
                <w:szCs w:val="21"/>
                <w:highlight w:val="none"/>
              </w:rPr>
            </w:pPr>
          </w:p>
        </w:tc>
      </w:tr>
      <w:tr w14:paraId="603E0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C8E433">
            <w:pPr>
              <w:jc w:val="center"/>
              <w:rPr>
                <w:rFonts w:ascii="宋体" w:hAnsi="宋体"/>
                <w:color w:val="auto"/>
                <w:szCs w:val="21"/>
                <w:highlight w:val="none"/>
              </w:rPr>
            </w:pPr>
          </w:p>
        </w:tc>
        <w:tc>
          <w:tcPr>
            <w:tcW w:w="1590" w:type="dxa"/>
            <w:tcBorders>
              <w:tl2br w:val="nil"/>
              <w:tr2bl w:val="nil"/>
            </w:tcBorders>
            <w:vAlign w:val="center"/>
          </w:tcPr>
          <w:p w14:paraId="02749000">
            <w:pPr>
              <w:jc w:val="center"/>
              <w:rPr>
                <w:rFonts w:ascii="宋体" w:hAnsi="宋体"/>
                <w:color w:val="auto"/>
                <w:szCs w:val="21"/>
                <w:highlight w:val="none"/>
              </w:rPr>
            </w:pPr>
          </w:p>
        </w:tc>
        <w:tc>
          <w:tcPr>
            <w:tcW w:w="1755" w:type="dxa"/>
            <w:tcBorders>
              <w:tl2br w:val="nil"/>
              <w:tr2bl w:val="nil"/>
            </w:tcBorders>
            <w:vAlign w:val="center"/>
          </w:tcPr>
          <w:p w14:paraId="58C541CB">
            <w:pPr>
              <w:jc w:val="center"/>
              <w:rPr>
                <w:rFonts w:ascii="宋体" w:hAnsi="宋体"/>
                <w:color w:val="auto"/>
                <w:szCs w:val="21"/>
                <w:highlight w:val="none"/>
              </w:rPr>
            </w:pPr>
          </w:p>
        </w:tc>
        <w:tc>
          <w:tcPr>
            <w:tcW w:w="1920" w:type="dxa"/>
            <w:tcBorders>
              <w:tl2br w:val="nil"/>
              <w:tr2bl w:val="nil"/>
            </w:tcBorders>
            <w:vAlign w:val="center"/>
          </w:tcPr>
          <w:p w14:paraId="0C7214EA">
            <w:pPr>
              <w:jc w:val="center"/>
              <w:rPr>
                <w:rFonts w:ascii="宋体" w:hAnsi="宋体"/>
                <w:color w:val="auto"/>
                <w:szCs w:val="21"/>
                <w:highlight w:val="none"/>
              </w:rPr>
            </w:pPr>
          </w:p>
        </w:tc>
        <w:tc>
          <w:tcPr>
            <w:tcW w:w="1412" w:type="dxa"/>
            <w:tcBorders>
              <w:tl2br w:val="nil"/>
              <w:tr2bl w:val="nil"/>
            </w:tcBorders>
            <w:vAlign w:val="center"/>
          </w:tcPr>
          <w:p w14:paraId="7082BBB0">
            <w:pPr>
              <w:jc w:val="center"/>
              <w:rPr>
                <w:rFonts w:ascii="宋体" w:hAnsi="宋体"/>
                <w:color w:val="auto"/>
                <w:szCs w:val="21"/>
                <w:highlight w:val="none"/>
              </w:rPr>
            </w:pPr>
          </w:p>
        </w:tc>
        <w:tc>
          <w:tcPr>
            <w:tcW w:w="867" w:type="dxa"/>
            <w:tcBorders>
              <w:tl2br w:val="nil"/>
              <w:tr2bl w:val="nil"/>
            </w:tcBorders>
            <w:vAlign w:val="center"/>
          </w:tcPr>
          <w:p w14:paraId="701B4CD5">
            <w:pPr>
              <w:jc w:val="center"/>
              <w:rPr>
                <w:rFonts w:ascii="宋体" w:hAnsi="宋体"/>
                <w:color w:val="auto"/>
                <w:szCs w:val="21"/>
                <w:highlight w:val="none"/>
              </w:rPr>
            </w:pPr>
          </w:p>
        </w:tc>
      </w:tr>
    </w:tbl>
    <w:p w14:paraId="3DD99868">
      <w:pPr>
        <w:rPr>
          <w:rFonts w:ascii="宋体" w:hAnsi="宋体"/>
          <w:color w:val="auto"/>
          <w:szCs w:val="21"/>
          <w:highlight w:val="none"/>
        </w:rPr>
      </w:pPr>
    </w:p>
    <w:p w14:paraId="0E6371F2">
      <w:pPr>
        <w:rPr>
          <w:rFonts w:ascii="宋体" w:hAnsi="宋体"/>
          <w:color w:val="auto"/>
          <w:szCs w:val="21"/>
          <w:highlight w:val="none"/>
        </w:rPr>
      </w:pPr>
      <w:r>
        <w:rPr>
          <w:rFonts w:hint="eastAsia" w:ascii="宋体" w:hAnsi="宋体"/>
          <w:color w:val="auto"/>
          <w:szCs w:val="21"/>
          <w:highlight w:val="none"/>
        </w:rPr>
        <w:t>投标人代表签字：</w:t>
      </w:r>
    </w:p>
    <w:p w14:paraId="27822544">
      <w:pPr>
        <w:rPr>
          <w:rFonts w:ascii="宋体" w:hAnsi="宋体"/>
          <w:color w:val="auto"/>
          <w:szCs w:val="21"/>
          <w:highlight w:val="none"/>
        </w:rPr>
      </w:pPr>
      <w:r>
        <w:rPr>
          <w:rFonts w:hint="eastAsia" w:ascii="宋体" w:hAnsi="宋体"/>
          <w:color w:val="auto"/>
          <w:szCs w:val="21"/>
          <w:highlight w:val="none"/>
        </w:rPr>
        <w:t>投标人盖章：</w:t>
      </w:r>
    </w:p>
    <w:p w14:paraId="4C109916">
      <w:pPr>
        <w:rPr>
          <w:rFonts w:ascii="宋体" w:hAnsi="宋体"/>
          <w:color w:val="auto"/>
          <w:szCs w:val="21"/>
          <w:highlight w:val="none"/>
        </w:rPr>
      </w:pPr>
    </w:p>
    <w:p w14:paraId="68E23F4A">
      <w:pPr>
        <w:rPr>
          <w:rFonts w:ascii="宋体" w:hAnsi="宋体"/>
          <w:color w:val="auto"/>
          <w:szCs w:val="21"/>
          <w:highlight w:val="none"/>
        </w:rPr>
      </w:pPr>
      <w:r>
        <w:rPr>
          <w:rFonts w:hint="eastAsia" w:ascii="宋体" w:hAnsi="宋体"/>
          <w:color w:val="auto"/>
          <w:szCs w:val="21"/>
          <w:highlight w:val="none"/>
        </w:rPr>
        <w:t>注：</w:t>
      </w:r>
    </w:p>
    <w:p w14:paraId="55A50708">
      <w:pPr>
        <w:ind w:firstLine="420" w:firstLineChars="200"/>
        <w:rPr>
          <w:rFonts w:ascii="宋体" w:hAnsi="宋体"/>
          <w:color w:val="auto"/>
          <w:szCs w:val="21"/>
          <w:highlight w:val="none"/>
        </w:rPr>
      </w:pPr>
      <w:r>
        <w:rPr>
          <w:rFonts w:hint="eastAsia" w:ascii="宋体" w:hAnsi="宋体"/>
          <w:color w:val="auto"/>
          <w:szCs w:val="21"/>
          <w:highlight w:val="none"/>
        </w:rPr>
        <w:t>1、投标人应对照招标文件商务要求，在“偏离情况”项中填写“无偏离”、“正偏离”或“负偏离”，逐条说明已对招标文件的商务内容做出了实质性的响应，并申明与招标文件的偏差和例外。</w:t>
      </w:r>
    </w:p>
    <w:p w14:paraId="67F4604A">
      <w:pPr>
        <w:ind w:firstLine="420" w:firstLineChars="200"/>
        <w:rPr>
          <w:rFonts w:ascii="宋体" w:hAnsi="宋体"/>
          <w:color w:val="auto"/>
          <w:szCs w:val="21"/>
          <w:highlight w:val="none"/>
        </w:rPr>
      </w:pPr>
      <w:r>
        <w:rPr>
          <w:rFonts w:hint="eastAsia" w:ascii="宋体" w:hAnsi="宋体"/>
          <w:color w:val="auto"/>
          <w:szCs w:val="21"/>
          <w:highlight w:val="none"/>
        </w:rPr>
        <w:t>2、商务条款包括但不限于合格投标人资格、合同期限、付款方式、报价要求、履约保证金、检验及验收等要求。</w:t>
      </w:r>
    </w:p>
    <w:p w14:paraId="6BC213AB">
      <w:pPr>
        <w:adjustRightInd/>
        <w:snapToGrid/>
        <w:spacing w:line="276" w:lineRule="auto"/>
        <w:rPr>
          <w:color w:val="auto"/>
          <w:highlight w:val="none"/>
        </w:rPr>
      </w:pPr>
    </w:p>
    <w:p w14:paraId="642E5041">
      <w:pPr>
        <w:adjustRightInd/>
        <w:snapToGrid/>
        <w:spacing w:line="276" w:lineRule="auto"/>
        <w:rPr>
          <w:color w:val="auto"/>
          <w:highlight w:val="none"/>
        </w:rPr>
      </w:pPr>
    </w:p>
    <w:p w14:paraId="3DB9F137">
      <w:pPr>
        <w:adjustRightInd/>
        <w:snapToGrid/>
        <w:spacing w:line="276" w:lineRule="auto"/>
        <w:rPr>
          <w:color w:val="auto"/>
          <w:highlight w:val="none"/>
        </w:rPr>
      </w:pPr>
      <w:r>
        <w:rPr>
          <w:color w:val="auto"/>
          <w:highlight w:val="none"/>
        </w:rPr>
        <w:br w:type="page"/>
      </w:r>
      <w:bookmarkStart w:id="304" w:name="_Toc32183"/>
    </w:p>
    <w:p w14:paraId="7426E6AB">
      <w:pPr>
        <w:pStyle w:val="4"/>
        <w:jc w:val="center"/>
        <w:rPr>
          <w:color w:val="auto"/>
          <w:highlight w:val="none"/>
        </w:rPr>
      </w:pPr>
      <w:bookmarkStart w:id="305" w:name="_Toc25391"/>
      <w:bookmarkStart w:id="306" w:name="_Toc11048"/>
      <w:r>
        <w:rPr>
          <w:rFonts w:hint="eastAsia"/>
          <w:color w:val="auto"/>
          <w:highlight w:val="none"/>
        </w:rPr>
        <w:t>十二、业绩表</w:t>
      </w:r>
      <w:bookmarkEnd w:id="305"/>
      <w:bookmarkEnd w:id="306"/>
    </w:p>
    <w:tbl>
      <w:tblPr>
        <w:tblStyle w:val="30"/>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9A01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089FBE6">
            <w:pPr>
              <w:ind w:left="-178" w:leftChars="-85"/>
              <w:jc w:val="center"/>
              <w:rPr>
                <w:rFonts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4530837E">
            <w:pPr>
              <w:jc w:val="center"/>
              <w:rPr>
                <w:rFonts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10C9CADD">
            <w:pPr>
              <w:jc w:val="center"/>
              <w:rPr>
                <w:rFonts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05892BB7">
            <w:pPr>
              <w:jc w:val="center"/>
              <w:rPr>
                <w:rFonts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07BFEC91">
            <w:pPr>
              <w:jc w:val="center"/>
              <w:rPr>
                <w:rFonts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490F8645">
            <w:pPr>
              <w:jc w:val="center"/>
              <w:rPr>
                <w:rFonts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7C745C24">
            <w:pPr>
              <w:jc w:val="center"/>
              <w:rPr>
                <w:rFonts w:ascii="宋体" w:hAnsi="宋体" w:cs="宋体"/>
                <w:bCs/>
                <w:color w:val="auto"/>
                <w:szCs w:val="21"/>
                <w:highlight w:val="none"/>
              </w:rPr>
            </w:pPr>
            <w:r>
              <w:rPr>
                <w:rFonts w:hint="eastAsia" w:ascii="宋体" w:hAnsi="宋体" w:cs="宋体"/>
                <w:bCs/>
                <w:color w:val="auto"/>
                <w:szCs w:val="21"/>
                <w:highlight w:val="none"/>
              </w:rPr>
              <w:t>备注</w:t>
            </w:r>
          </w:p>
        </w:tc>
      </w:tr>
      <w:tr w14:paraId="3A5E7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08BB9A9">
            <w:pPr>
              <w:jc w:val="center"/>
              <w:rPr>
                <w:rFonts w:ascii="宋体" w:hAnsi="宋体" w:cs="宋体"/>
                <w:bCs/>
                <w:color w:val="auto"/>
                <w:szCs w:val="21"/>
                <w:highlight w:val="none"/>
              </w:rPr>
            </w:pPr>
          </w:p>
        </w:tc>
        <w:tc>
          <w:tcPr>
            <w:tcW w:w="1140" w:type="dxa"/>
            <w:tcBorders>
              <w:tl2br w:val="nil"/>
              <w:tr2bl w:val="nil"/>
            </w:tcBorders>
            <w:vAlign w:val="center"/>
          </w:tcPr>
          <w:p w14:paraId="0881603D">
            <w:pPr>
              <w:rPr>
                <w:rFonts w:ascii="宋体" w:hAnsi="宋体" w:cs="宋体"/>
                <w:bCs/>
                <w:color w:val="auto"/>
                <w:szCs w:val="21"/>
                <w:highlight w:val="none"/>
              </w:rPr>
            </w:pPr>
          </w:p>
        </w:tc>
        <w:tc>
          <w:tcPr>
            <w:tcW w:w="1178" w:type="dxa"/>
            <w:tcBorders>
              <w:tl2br w:val="nil"/>
              <w:tr2bl w:val="nil"/>
            </w:tcBorders>
            <w:vAlign w:val="center"/>
          </w:tcPr>
          <w:p w14:paraId="440D2EDE">
            <w:pPr>
              <w:rPr>
                <w:rFonts w:ascii="宋体" w:hAnsi="宋体" w:cs="宋体"/>
                <w:bCs/>
                <w:color w:val="auto"/>
                <w:szCs w:val="21"/>
                <w:highlight w:val="none"/>
              </w:rPr>
            </w:pPr>
          </w:p>
        </w:tc>
        <w:tc>
          <w:tcPr>
            <w:tcW w:w="1365" w:type="dxa"/>
            <w:tcBorders>
              <w:tl2br w:val="nil"/>
              <w:tr2bl w:val="nil"/>
            </w:tcBorders>
            <w:vAlign w:val="center"/>
          </w:tcPr>
          <w:p w14:paraId="533B400A">
            <w:pPr>
              <w:rPr>
                <w:rFonts w:ascii="宋体" w:hAnsi="宋体" w:cs="宋体"/>
                <w:bCs/>
                <w:color w:val="auto"/>
                <w:szCs w:val="21"/>
                <w:highlight w:val="none"/>
              </w:rPr>
            </w:pPr>
          </w:p>
        </w:tc>
        <w:tc>
          <w:tcPr>
            <w:tcW w:w="1815" w:type="dxa"/>
            <w:tcBorders>
              <w:tl2br w:val="nil"/>
              <w:tr2bl w:val="nil"/>
            </w:tcBorders>
            <w:vAlign w:val="center"/>
          </w:tcPr>
          <w:p w14:paraId="2A60765B">
            <w:pPr>
              <w:rPr>
                <w:rFonts w:ascii="宋体" w:hAnsi="宋体" w:cs="宋体"/>
                <w:bCs/>
                <w:color w:val="auto"/>
                <w:szCs w:val="21"/>
                <w:highlight w:val="none"/>
              </w:rPr>
            </w:pPr>
          </w:p>
        </w:tc>
        <w:tc>
          <w:tcPr>
            <w:tcW w:w="1207" w:type="dxa"/>
            <w:tcBorders>
              <w:tl2br w:val="nil"/>
              <w:tr2bl w:val="nil"/>
            </w:tcBorders>
            <w:vAlign w:val="center"/>
          </w:tcPr>
          <w:p w14:paraId="2DB531F0">
            <w:pPr>
              <w:rPr>
                <w:rFonts w:ascii="宋体" w:hAnsi="宋体" w:cs="宋体"/>
                <w:bCs/>
                <w:color w:val="auto"/>
                <w:szCs w:val="21"/>
                <w:highlight w:val="none"/>
              </w:rPr>
            </w:pPr>
          </w:p>
        </w:tc>
        <w:tc>
          <w:tcPr>
            <w:tcW w:w="765" w:type="dxa"/>
            <w:tcBorders>
              <w:tl2br w:val="nil"/>
              <w:tr2bl w:val="nil"/>
            </w:tcBorders>
            <w:vAlign w:val="center"/>
          </w:tcPr>
          <w:p w14:paraId="77F088ED">
            <w:pPr>
              <w:rPr>
                <w:rFonts w:ascii="宋体" w:hAnsi="宋体" w:cs="宋体"/>
                <w:bCs/>
                <w:color w:val="auto"/>
                <w:szCs w:val="21"/>
                <w:highlight w:val="none"/>
              </w:rPr>
            </w:pPr>
          </w:p>
        </w:tc>
      </w:tr>
      <w:tr w14:paraId="1E6C2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7CE5964">
            <w:pPr>
              <w:jc w:val="center"/>
              <w:rPr>
                <w:rFonts w:ascii="宋体" w:hAnsi="宋体" w:cs="宋体"/>
                <w:bCs/>
                <w:color w:val="auto"/>
                <w:szCs w:val="21"/>
                <w:highlight w:val="none"/>
              </w:rPr>
            </w:pPr>
          </w:p>
        </w:tc>
        <w:tc>
          <w:tcPr>
            <w:tcW w:w="1140" w:type="dxa"/>
            <w:tcBorders>
              <w:tl2br w:val="nil"/>
              <w:tr2bl w:val="nil"/>
            </w:tcBorders>
            <w:vAlign w:val="center"/>
          </w:tcPr>
          <w:p w14:paraId="1C9BDCD2">
            <w:pPr>
              <w:rPr>
                <w:rFonts w:ascii="宋体" w:hAnsi="宋体" w:cs="宋体"/>
                <w:bCs/>
                <w:color w:val="auto"/>
                <w:szCs w:val="21"/>
                <w:highlight w:val="none"/>
              </w:rPr>
            </w:pPr>
          </w:p>
        </w:tc>
        <w:tc>
          <w:tcPr>
            <w:tcW w:w="1178" w:type="dxa"/>
            <w:tcBorders>
              <w:tl2br w:val="nil"/>
              <w:tr2bl w:val="nil"/>
            </w:tcBorders>
            <w:vAlign w:val="center"/>
          </w:tcPr>
          <w:p w14:paraId="109FE37A">
            <w:pPr>
              <w:rPr>
                <w:rFonts w:ascii="宋体" w:hAnsi="宋体" w:cs="宋体"/>
                <w:bCs/>
                <w:color w:val="auto"/>
                <w:szCs w:val="21"/>
                <w:highlight w:val="none"/>
              </w:rPr>
            </w:pPr>
          </w:p>
        </w:tc>
        <w:tc>
          <w:tcPr>
            <w:tcW w:w="1365" w:type="dxa"/>
            <w:tcBorders>
              <w:tl2br w:val="nil"/>
              <w:tr2bl w:val="nil"/>
            </w:tcBorders>
            <w:vAlign w:val="center"/>
          </w:tcPr>
          <w:p w14:paraId="351CD8D3">
            <w:pPr>
              <w:rPr>
                <w:rFonts w:ascii="宋体" w:hAnsi="宋体" w:cs="宋体"/>
                <w:bCs/>
                <w:color w:val="auto"/>
                <w:szCs w:val="21"/>
                <w:highlight w:val="none"/>
              </w:rPr>
            </w:pPr>
          </w:p>
        </w:tc>
        <w:tc>
          <w:tcPr>
            <w:tcW w:w="1815" w:type="dxa"/>
            <w:tcBorders>
              <w:tl2br w:val="nil"/>
              <w:tr2bl w:val="nil"/>
            </w:tcBorders>
            <w:vAlign w:val="center"/>
          </w:tcPr>
          <w:p w14:paraId="020CD1E3">
            <w:pPr>
              <w:rPr>
                <w:rFonts w:ascii="宋体" w:hAnsi="宋体" w:cs="宋体"/>
                <w:bCs/>
                <w:color w:val="auto"/>
                <w:szCs w:val="21"/>
                <w:highlight w:val="none"/>
              </w:rPr>
            </w:pPr>
          </w:p>
        </w:tc>
        <w:tc>
          <w:tcPr>
            <w:tcW w:w="1207" w:type="dxa"/>
            <w:tcBorders>
              <w:tl2br w:val="nil"/>
              <w:tr2bl w:val="nil"/>
            </w:tcBorders>
            <w:vAlign w:val="center"/>
          </w:tcPr>
          <w:p w14:paraId="573CAAFD">
            <w:pPr>
              <w:rPr>
                <w:rFonts w:ascii="宋体" w:hAnsi="宋体" w:cs="宋体"/>
                <w:bCs/>
                <w:color w:val="auto"/>
                <w:szCs w:val="21"/>
                <w:highlight w:val="none"/>
              </w:rPr>
            </w:pPr>
          </w:p>
        </w:tc>
        <w:tc>
          <w:tcPr>
            <w:tcW w:w="765" w:type="dxa"/>
            <w:tcBorders>
              <w:tl2br w:val="nil"/>
              <w:tr2bl w:val="nil"/>
            </w:tcBorders>
            <w:vAlign w:val="center"/>
          </w:tcPr>
          <w:p w14:paraId="7F911C38">
            <w:pPr>
              <w:rPr>
                <w:rFonts w:ascii="宋体" w:hAnsi="宋体" w:cs="宋体"/>
                <w:bCs/>
                <w:color w:val="auto"/>
                <w:szCs w:val="21"/>
                <w:highlight w:val="none"/>
              </w:rPr>
            </w:pPr>
          </w:p>
        </w:tc>
      </w:tr>
      <w:tr w14:paraId="47D9F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10FE64">
            <w:pPr>
              <w:jc w:val="center"/>
              <w:rPr>
                <w:rFonts w:ascii="宋体" w:hAnsi="宋体" w:cs="宋体"/>
                <w:bCs/>
                <w:color w:val="auto"/>
                <w:szCs w:val="21"/>
                <w:highlight w:val="none"/>
              </w:rPr>
            </w:pPr>
          </w:p>
        </w:tc>
        <w:tc>
          <w:tcPr>
            <w:tcW w:w="1140" w:type="dxa"/>
            <w:tcBorders>
              <w:tl2br w:val="nil"/>
              <w:tr2bl w:val="nil"/>
            </w:tcBorders>
            <w:vAlign w:val="center"/>
          </w:tcPr>
          <w:p w14:paraId="696D136D">
            <w:pPr>
              <w:rPr>
                <w:rFonts w:ascii="宋体" w:hAnsi="宋体" w:cs="宋体"/>
                <w:bCs/>
                <w:color w:val="auto"/>
                <w:szCs w:val="21"/>
                <w:highlight w:val="none"/>
              </w:rPr>
            </w:pPr>
          </w:p>
        </w:tc>
        <w:tc>
          <w:tcPr>
            <w:tcW w:w="1178" w:type="dxa"/>
            <w:tcBorders>
              <w:tl2br w:val="nil"/>
              <w:tr2bl w:val="nil"/>
            </w:tcBorders>
            <w:vAlign w:val="center"/>
          </w:tcPr>
          <w:p w14:paraId="1635270D">
            <w:pPr>
              <w:rPr>
                <w:rFonts w:ascii="宋体" w:hAnsi="宋体" w:cs="宋体"/>
                <w:bCs/>
                <w:color w:val="auto"/>
                <w:szCs w:val="21"/>
                <w:highlight w:val="none"/>
              </w:rPr>
            </w:pPr>
          </w:p>
        </w:tc>
        <w:tc>
          <w:tcPr>
            <w:tcW w:w="1365" w:type="dxa"/>
            <w:tcBorders>
              <w:tl2br w:val="nil"/>
              <w:tr2bl w:val="nil"/>
            </w:tcBorders>
            <w:vAlign w:val="center"/>
          </w:tcPr>
          <w:p w14:paraId="543ECCF4">
            <w:pPr>
              <w:rPr>
                <w:rFonts w:ascii="宋体" w:hAnsi="宋体" w:cs="宋体"/>
                <w:bCs/>
                <w:color w:val="auto"/>
                <w:szCs w:val="21"/>
                <w:highlight w:val="none"/>
              </w:rPr>
            </w:pPr>
          </w:p>
        </w:tc>
        <w:tc>
          <w:tcPr>
            <w:tcW w:w="1815" w:type="dxa"/>
            <w:tcBorders>
              <w:tl2br w:val="nil"/>
              <w:tr2bl w:val="nil"/>
            </w:tcBorders>
            <w:vAlign w:val="center"/>
          </w:tcPr>
          <w:p w14:paraId="0BBCCD25">
            <w:pPr>
              <w:rPr>
                <w:rFonts w:ascii="宋体" w:hAnsi="宋体" w:cs="宋体"/>
                <w:bCs/>
                <w:color w:val="auto"/>
                <w:szCs w:val="21"/>
                <w:highlight w:val="none"/>
              </w:rPr>
            </w:pPr>
          </w:p>
        </w:tc>
        <w:tc>
          <w:tcPr>
            <w:tcW w:w="1207" w:type="dxa"/>
            <w:tcBorders>
              <w:tl2br w:val="nil"/>
              <w:tr2bl w:val="nil"/>
            </w:tcBorders>
            <w:vAlign w:val="center"/>
          </w:tcPr>
          <w:p w14:paraId="212FFD72">
            <w:pPr>
              <w:rPr>
                <w:rFonts w:ascii="宋体" w:hAnsi="宋体" w:cs="宋体"/>
                <w:bCs/>
                <w:color w:val="auto"/>
                <w:szCs w:val="21"/>
                <w:highlight w:val="none"/>
              </w:rPr>
            </w:pPr>
          </w:p>
        </w:tc>
        <w:tc>
          <w:tcPr>
            <w:tcW w:w="765" w:type="dxa"/>
            <w:tcBorders>
              <w:tl2br w:val="nil"/>
              <w:tr2bl w:val="nil"/>
            </w:tcBorders>
            <w:vAlign w:val="center"/>
          </w:tcPr>
          <w:p w14:paraId="0BDC7F44">
            <w:pPr>
              <w:rPr>
                <w:rFonts w:ascii="宋体" w:hAnsi="宋体" w:cs="宋体"/>
                <w:bCs/>
                <w:color w:val="auto"/>
                <w:szCs w:val="21"/>
                <w:highlight w:val="none"/>
              </w:rPr>
            </w:pPr>
          </w:p>
        </w:tc>
      </w:tr>
      <w:tr w14:paraId="7F7A8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4C4FD3A">
            <w:pPr>
              <w:jc w:val="center"/>
              <w:rPr>
                <w:rFonts w:ascii="宋体" w:hAnsi="宋体" w:cs="宋体"/>
                <w:bCs/>
                <w:color w:val="auto"/>
                <w:szCs w:val="21"/>
                <w:highlight w:val="none"/>
              </w:rPr>
            </w:pPr>
          </w:p>
        </w:tc>
        <w:tc>
          <w:tcPr>
            <w:tcW w:w="1140" w:type="dxa"/>
            <w:tcBorders>
              <w:tl2br w:val="nil"/>
              <w:tr2bl w:val="nil"/>
            </w:tcBorders>
            <w:vAlign w:val="center"/>
          </w:tcPr>
          <w:p w14:paraId="639F2406">
            <w:pPr>
              <w:rPr>
                <w:rFonts w:ascii="宋体" w:hAnsi="宋体" w:cs="宋体"/>
                <w:bCs/>
                <w:color w:val="auto"/>
                <w:szCs w:val="21"/>
                <w:highlight w:val="none"/>
              </w:rPr>
            </w:pPr>
          </w:p>
        </w:tc>
        <w:tc>
          <w:tcPr>
            <w:tcW w:w="1178" w:type="dxa"/>
            <w:tcBorders>
              <w:tl2br w:val="nil"/>
              <w:tr2bl w:val="nil"/>
            </w:tcBorders>
            <w:vAlign w:val="center"/>
          </w:tcPr>
          <w:p w14:paraId="69702AA8">
            <w:pPr>
              <w:rPr>
                <w:rFonts w:ascii="宋体" w:hAnsi="宋体" w:cs="宋体"/>
                <w:bCs/>
                <w:color w:val="auto"/>
                <w:szCs w:val="21"/>
                <w:highlight w:val="none"/>
              </w:rPr>
            </w:pPr>
          </w:p>
        </w:tc>
        <w:tc>
          <w:tcPr>
            <w:tcW w:w="1365" w:type="dxa"/>
            <w:tcBorders>
              <w:tl2br w:val="nil"/>
              <w:tr2bl w:val="nil"/>
            </w:tcBorders>
            <w:vAlign w:val="center"/>
          </w:tcPr>
          <w:p w14:paraId="78692B78">
            <w:pPr>
              <w:rPr>
                <w:rFonts w:ascii="宋体" w:hAnsi="宋体" w:cs="宋体"/>
                <w:bCs/>
                <w:color w:val="auto"/>
                <w:szCs w:val="21"/>
                <w:highlight w:val="none"/>
              </w:rPr>
            </w:pPr>
          </w:p>
        </w:tc>
        <w:tc>
          <w:tcPr>
            <w:tcW w:w="1815" w:type="dxa"/>
            <w:tcBorders>
              <w:tl2br w:val="nil"/>
              <w:tr2bl w:val="nil"/>
            </w:tcBorders>
            <w:vAlign w:val="center"/>
          </w:tcPr>
          <w:p w14:paraId="035AE8F5">
            <w:pPr>
              <w:rPr>
                <w:rFonts w:ascii="宋体" w:hAnsi="宋体" w:cs="宋体"/>
                <w:bCs/>
                <w:color w:val="auto"/>
                <w:szCs w:val="21"/>
                <w:highlight w:val="none"/>
              </w:rPr>
            </w:pPr>
          </w:p>
        </w:tc>
        <w:tc>
          <w:tcPr>
            <w:tcW w:w="1207" w:type="dxa"/>
            <w:tcBorders>
              <w:tl2br w:val="nil"/>
              <w:tr2bl w:val="nil"/>
            </w:tcBorders>
            <w:vAlign w:val="center"/>
          </w:tcPr>
          <w:p w14:paraId="41C74E94">
            <w:pPr>
              <w:rPr>
                <w:rFonts w:ascii="宋体" w:hAnsi="宋体" w:cs="宋体"/>
                <w:bCs/>
                <w:color w:val="auto"/>
                <w:szCs w:val="21"/>
                <w:highlight w:val="none"/>
              </w:rPr>
            </w:pPr>
          </w:p>
        </w:tc>
        <w:tc>
          <w:tcPr>
            <w:tcW w:w="765" w:type="dxa"/>
            <w:tcBorders>
              <w:tl2br w:val="nil"/>
              <w:tr2bl w:val="nil"/>
            </w:tcBorders>
            <w:vAlign w:val="center"/>
          </w:tcPr>
          <w:p w14:paraId="4276AEB5">
            <w:pPr>
              <w:rPr>
                <w:rFonts w:ascii="宋体" w:hAnsi="宋体" w:cs="宋体"/>
                <w:bCs/>
                <w:color w:val="auto"/>
                <w:szCs w:val="21"/>
                <w:highlight w:val="none"/>
              </w:rPr>
            </w:pPr>
          </w:p>
        </w:tc>
      </w:tr>
      <w:tr w14:paraId="06544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B2720E2">
            <w:pPr>
              <w:jc w:val="center"/>
              <w:rPr>
                <w:rFonts w:ascii="宋体" w:hAnsi="宋体" w:cs="宋体"/>
                <w:bCs/>
                <w:color w:val="auto"/>
                <w:szCs w:val="21"/>
                <w:highlight w:val="none"/>
              </w:rPr>
            </w:pPr>
          </w:p>
        </w:tc>
        <w:tc>
          <w:tcPr>
            <w:tcW w:w="1140" w:type="dxa"/>
            <w:tcBorders>
              <w:tl2br w:val="nil"/>
              <w:tr2bl w:val="nil"/>
            </w:tcBorders>
            <w:vAlign w:val="center"/>
          </w:tcPr>
          <w:p w14:paraId="29AD33A7">
            <w:pPr>
              <w:rPr>
                <w:rFonts w:ascii="宋体" w:hAnsi="宋体" w:cs="宋体"/>
                <w:bCs/>
                <w:color w:val="auto"/>
                <w:szCs w:val="21"/>
                <w:highlight w:val="none"/>
              </w:rPr>
            </w:pPr>
          </w:p>
        </w:tc>
        <w:tc>
          <w:tcPr>
            <w:tcW w:w="1178" w:type="dxa"/>
            <w:tcBorders>
              <w:tl2br w:val="nil"/>
              <w:tr2bl w:val="nil"/>
            </w:tcBorders>
            <w:vAlign w:val="center"/>
          </w:tcPr>
          <w:p w14:paraId="6C70F399">
            <w:pPr>
              <w:rPr>
                <w:rFonts w:ascii="宋体" w:hAnsi="宋体" w:cs="宋体"/>
                <w:bCs/>
                <w:color w:val="auto"/>
                <w:szCs w:val="21"/>
                <w:highlight w:val="none"/>
              </w:rPr>
            </w:pPr>
          </w:p>
        </w:tc>
        <w:tc>
          <w:tcPr>
            <w:tcW w:w="1365" w:type="dxa"/>
            <w:tcBorders>
              <w:tl2br w:val="nil"/>
              <w:tr2bl w:val="nil"/>
            </w:tcBorders>
            <w:vAlign w:val="center"/>
          </w:tcPr>
          <w:p w14:paraId="3A77184A">
            <w:pPr>
              <w:rPr>
                <w:rFonts w:ascii="宋体" w:hAnsi="宋体" w:cs="宋体"/>
                <w:bCs/>
                <w:color w:val="auto"/>
                <w:szCs w:val="21"/>
                <w:highlight w:val="none"/>
              </w:rPr>
            </w:pPr>
          </w:p>
        </w:tc>
        <w:tc>
          <w:tcPr>
            <w:tcW w:w="1815" w:type="dxa"/>
            <w:tcBorders>
              <w:tl2br w:val="nil"/>
              <w:tr2bl w:val="nil"/>
            </w:tcBorders>
            <w:vAlign w:val="center"/>
          </w:tcPr>
          <w:p w14:paraId="4709E964">
            <w:pPr>
              <w:rPr>
                <w:rFonts w:ascii="宋体" w:hAnsi="宋体" w:cs="宋体"/>
                <w:bCs/>
                <w:color w:val="auto"/>
                <w:szCs w:val="21"/>
                <w:highlight w:val="none"/>
              </w:rPr>
            </w:pPr>
          </w:p>
        </w:tc>
        <w:tc>
          <w:tcPr>
            <w:tcW w:w="1207" w:type="dxa"/>
            <w:tcBorders>
              <w:tl2br w:val="nil"/>
              <w:tr2bl w:val="nil"/>
            </w:tcBorders>
            <w:vAlign w:val="center"/>
          </w:tcPr>
          <w:p w14:paraId="4B611A8D">
            <w:pPr>
              <w:rPr>
                <w:rFonts w:ascii="宋体" w:hAnsi="宋体" w:cs="宋体"/>
                <w:bCs/>
                <w:color w:val="auto"/>
                <w:szCs w:val="21"/>
                <w:highlight w:val="none"/>
              </w:rPr>
            </w:pPr>
          </w:p>
        </w:tc>
        <w:tc>
          <w:tcPr>
            <w:tcW w:w="765" w:type="dxa"/>
            <w:tcBorders>
              <w:tl2br w:val="nil"/>
              <w:tr2bl w:val="nil"/>
            </w:tcBorders>
            <w:vAlign w:val="center"/>
          </w:tcPr>
          <w:p w14:paraId="0AEADB96">
            <w:pPr>
              <w:rPr>
                <w:rFonts w:ascii="宋体" w:hAnsi="宋体" w:cs="宋体"/>
                <w:bCs/>
                <w:color w:val="auto"/>
                <w:szCs w:val="21"/>
                <w:highlight w:val="none"/>
              </w:rPr>
            </w:pPr>
          </w:p>
        </w:tc>
      </w:tr>
      <w:tr w14:paraId="64CF5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FF575F6">
            <w:pPr>
              <w:jc w:val="center"/>
              <w:rPr>
                <w:rFonts w:ascii="宋体" w:hAnsi="宋体" w:cs="宋体"/>
                <w:bCs/>
                <w:color w:val="auto"/>
                <w:szCs w:val="21"/>
                <w:highlight w:val="none"/>
              </w:rPr>
            </w:pPr>
          </w:p>
        </w:tc>
        <w:tc>
          <w:tcPr>
            <w:tcW w:w="1140" w:type="dxa"/>
            <w:tcBorders>
              <w:tl2br w:val="nil"/>
              <w:tr2bl w:val="nil"/>
            </w:tcBorders>
            <w:vAlign w:val="center"/>
          </w:tcPr>
          <w:p w14:paraId="1AF4EF2D">
            <w:pPr>
              <w:rPr>
                <w:rFonts w:ascii="宋体" w:hAnsi="宋体" w:cs="宋体"/>
                <w:bCs/>
                <w:color w:val="auto"/>
                <w:szCs w:val="21"/>
                <w:highlight w:val="none"/>
              </w:rPr>
            </w:pPr>
          </w:p>
        </w:tc>
        <w:tc>
          <w:tcPr>
            <w:tcW w:w="1178" w:type="dxa"/>
            <w:tcBorders>
              <w:tl2br w:val="nil"/>
              <w:tr2bl w:val="nil"/>
            </w:tcBorders>
            <w:vAlign w:val="center"/>
          </w:tcPr>
          <w:p w14:paraId="7E25378D">
            <w:pPr>
              <w:rPr>
                <w:rFonts w:ascii="宋体" w:hAnsi="宋体" w:cs="宋体"/>
                <w:bCs/>
                <w:color w:val="auto"/>
                <w:szCs w:val="21"/>
                <w:highlight w:val="none"/>
              </w:rPr>
            </w:pPr>
          </w:p>
        </w:tc>
        <w:tc>
          <w:tcPr>
            <w:tcW w:w="1365" w:type="dxa"/>
            <w:tcBorders>
              <w:tl2br w:val="nil"/>
              <w:tr2bl w:val="nil"/>
            </w:tcBorders>
            <w:vAlign w:val="center"/>
          </w:tcPr>
          <w:p w14:paraId="5FA841B4">
            <w:pPr>
              <w:rPr>
                <w:rFonts w:ascii="宋体" w:hAnsi="宋体" w:cs="宋体"/>
                <w:bCs/>
                <w:color w:val="auto"/>
                <w:szCs w:val="21"/>
                <w:highlight w:val="none"/>
              </w:rPr>
            </w:pPr>
          </w:p>
        </w:tc>
        <w:tc>
          <w:tcPr>
            <w:tcW w:w="1815" w:type="dxa"/>
            <w:tcBorders>
              <w:tl2br w:val="nil"/>
              <w:tr2bl w:val="nil"/>
            </w:tcBorders>
            <w:vAlign w:val="center"/>
          </w:tcPr>
          <w:p w14:paraId="7A8B9023">
            <w:pPr>
              <w:rPr>
                <w:rFonts w:ascii="宋体" w:hAnsi="宋体" w:cs="宋体"/>
                <w:bCs/>
                <w:color w:val="auto"/>
                <w:szCs w:val="21"/>
                <w:highlight w:val="none"/>
              </w:rPr>
            </w:pPr>
          </w:p>
        </w:tc>
        <w:tc>
          <w:tcPr>
            <w:tcW w:w="1207" w:type="dxa"/>
            <w:tcBorders>
              <w:tl2br w:val="nil"/>
              <w:tr2bl w:val="nil"/>
            </w:tcBorders>
            <w:vAlign w:val="center"/>
          </w:tcPr>
          <w:p w14:paraId="5CF428D3">
            <w:pPr>
              <w:rPr>
                <w:rFonts w:ascii="宋体" w:hAnsi="宋体" w:cs="宋体"/>
                <w:bCs/>
                <w:color w:val="auto"/>
                <w:szCs w:val="21"/>
                <w:highlight w:val="none"/>
              </w:rPr>
            </w:pPr>
          </w:p>
        </w:tc>
        <w:tc>
          <w:tcPr>
            <w:tcW w:w="765" w:type="dxa"/>
            <w:tcBorders>
              <w:tl2br w:val="nil"/>
              <w:tr2bl w:val="nil"/>
            </w:tcBorders>
            <w:vAlign w:val="center"/>
          </w:tcPr>
          <w:p w14:paraId="67511B60">
            <w:pPr>
              <w:rPr>
                <w:rFonts w:ascii="宋体" w:hAnsi="宋体" w:cs="宋体"/>
                <w:bCs/>
                <w:color w:val="auto"/>
                <w:szCs w:val="21"/>
                <w:highlight w:val="none"/>
              </w:rPr>
            </w:pPr>
          </w:p>
        </w:tc>
      </w:tr>
      <w:tr w14:paraId="3092D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6082432A">
            <w:pPr>
              <w:jc w:val="center"/>
              <w:rPr>
                <w:rFonts w:ascii="宋体" w:hAnsi="宋体" w:cs="宋体"/>
                <w:bCs/>
                <w:color w:val="auto"/>
                <w:szCs w:val="21"/>
                <w:highlight w:val="none"/>
              </w:rPr>
            </w:pPr>
          </w:p>
        </w:tc>
        <w:tc>
          <w:tcPr>
            <w:tcW w:w="1140" w:type="dxa"/>
            <w:tcBorders>
              <w:tl2br w:val="nil"/>
              <w:tr2bl w:val="nil"/>
            </w:tcBorders>
            <w:vAlign w:val="center"/>
          </w:tcPr>
          <w:p w14:paraId="4D2587DB">
            <w:pPr>
              <w:rPr>
                <w:rFonts w:ascii="宋体" w:hAnsi="宋体" w:cs="宋体"/>
                <w:bCs/>
                <w:color w:val="auto"/>
                <w:szCs w:val="21"/>
                <w:highlight w:val="none"/>
              </w:rPr>
            </w:pPr>
          </w:p>
        </w:tc>
        <w:tc>
          <w:tcPr>
            <w:tcW w:w="1178" w:type="dxa"/>
            <w:tcBorders>
              <w:tl2br w:val="nil"/>
              <w:tr2bl w:val="nil"/>
            </w:tcBorders>
            <w:vAlign w:val="center"/>
          </w:tcPr>
          <w:p w14:paraId="7EDE1D34">
            <w:pPr>
              <w:rPr>
                <w:rFonts w:ascii="宋体" w:hAnsi="宋体" w:cs="宋体"/>
                <w:bCs/>
                <w:color w:val="auto"/>
                <w:szCs w:val="21"/>
                <w:highlight w:val="none"/>
              </w:rPr>
            </w:pPr>
          </w:p>
        </w:tc>
        <w:tc>
          <w:tcPr>
            <w:tcW w:w="1365" w:type="dxa"/>
            <w:tcBorders>
              <w:tl2br w:val="nil"/>
              <w:tr2bl w:val="nil"/>
            </w:tcBorders>
            <w:vAlign w:val="center"/>
          </w:tcPr>
          <w:p w14:paraId="73C241AA">
            <w:pPr>
              <w:rPr>
                <w:rFonts w:ascii="宋体" w:hAnsi="宋体" w:cs="宋体"/>
                <w:bCs/>
                <w:color w:val="auto"/>
                <w:szCs w:val="21"/>
                <w:highlight w:val="none"/>
              </w:rPr>
            </w:pPr>
          </w:p>
        </w:tc>
        <w:tc>
          <w:tcPr>
            <w:tcW w:w="1815" w:type="dxa"/>
            <w:tcBorders>
              <w:tl2br w:val="nil"/>
              <w:tr2bl w:val="nil"/>
            </w:tcBorders>
            <w:vAlign w:val="center"/>
          </w:tcPr>
          <w:p w14:paraId="4C4D2049">
            <w:pPr>
              <w:rPr>
                <w:rFonts w:ascii="宋体" w:hAnsi="宋体" w:cs="宋体"/>
                <w:bCs/>
                <w:color w:val="auto"/>
                <w:szCs w:val="21"/>
                <w:highlight w:val="none"/>
              </w:rPr>
            </w:pPr>
          </w:p>
        </w:tc>
        <w:tc>
          <w:tcPr>
            <w:tcW w:w="1207" w:type="dxa"/>
            <w:tcBorders>
              <w:tl2br w:val="nil"/>
              <w:tr2bl w:val="nil"/>
            </w:tcBorders>
            <w:vAlign w:val="center"/>
          </w:tcPr>
          <w:p w14:paraId="0A2F0D3D">
            <w:pPr>
              <w:rPr>
                <w:rFonts w:ascii="宋体" w:hAnsi="宋体" w:cs="宋体"/>
                <w:bCs/>
                <w:color w:val="auto"/>
                <w:szCs w:val="21"/>
                <w:highlight w:val="none"/>
              </w:rPr>
            </w:pPr>
          </w:p>
        </w:tc>
        <w:tc>
          <w:tcPr>
            <w:tcW w:w="765" w:type="dxa"/>
            <w:tcBorders>
              <w:tl2br w:val="nil"/>
              <w:tr2bl w:val="nil"/>
            </w:tcBorders>
            <w:vAlign w:val="center"/>
          </w:tcPr>
          <w:p w14:paraId="448213DD">
            <w:pPr>
              <w:rPr>
                <w:rFonts w:ascii="宋体" w:hAnsi="宋体" w:cs="宋体"/>
                <w:bCs/>
                <w:color w:val="auto"/>
                <w:szCs w:val="21"/>
                <w:highlight w:val="none"/>
              </w:rPr>
            </w:pPr>
          </w:p>
        </w:tc>
      </w:tr>
      <w:tr w14:paraId="654EF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D2419D8">
            <w:pPr>
              <w:jc w:val="center"/>
              <w:rPr>
                <w:rFonts w:ascii="宋体" w:hAnsi="宋体" w:cs="宋体"/>
                <w:bCs/>
                <w:color w:val="auto"/>
                <w:szCs w:val="21"/>
                <w:highlight w:val="none"/>
              </w:rPr>
            </w:pPr>
          </w:p>
        </w:tc>
        <w:tc>
          <w:tcPr>
            <w:tcW w:w="1140" w:type="dxa"/>
            <w:tcBorders>
              <w:tl2br w:val="nil"/>
              <w:tr2bl w:val="nil"/>
            </w:tcBorders>
            <w:vAlign w:val="center"/>
          </w:tcPr>
          <w:p w14:paraId="77BA2891">
            <w:pPr>
              <w:rPr>
                <w:rFonts w:ascii="宋体" w:hAnsi="宋体" w:cs="宋体"/>
                <w:bCs/>
                <w:color w:val="auto"/>
                <w:szCs w:val="21"/>
                <w:highlight w:val="none"/>
              </w:rPr>
            </w:pPr>
          </w:p>
        </w:tc>
        <w:tc>
          <w:tcPr>
            <w:tcW w:w="1178" w:type="dxa"/>
            <w:tcBorders>
              <w:tl2br w:val="nil"/>
              <w:tr2bl w:val="nil"/>
            </w:tcBorders>
            <w:vAlign w:val="center"/>
          </w:tcPr>
          <w:p w14:paraId="13960EE8">
            <w:pPr>
              <w:rPr>
                <w:rFonts w:ascii="宋体" w:hAnsi="宋体" w:cs="宋体"/>
                <w:bCs/>
                <w:color w:val="auto"/>
                <w:szCs w:val="21"/>
                <w:highlight w:val="none"/>
              </w:rPr>
            </w:pPr>
          </w:p>
        </w:tc>
        <w:tc>
          <w:tcPr>
            <w:tcW w:w="1365" w:type="dxa"/>
            <w:tcBorders>
              <w:tl2br w:val="nil"/>
              <w:tr2bl w:val="nil"/>
            </w:tcBorders>
            <w:vAlign w:val="center"/>
          </w:tcPr>
          <w:p w14:paraId="34D00F4D">
            <w:pPr>
              <w:rPr>
                <w:rFonts w:ascii="宋体" w:hAnsi="宋体" w:cs="宋体"/>
                <w:bCs/>
                <w:color w:val="auto"/>
                <w:szCs w:val="21"/>
                <w:highlight w:val="none"/>
              </w:rPr>
            </w:pPr>
          </w:p>
        </w:tc>
        <w:tc>
          <w:tcPr>
            <w:tcW w:w="1815" w:type="dxa"/>
            <w:tcBorders>
              <w:tl2br w:val="nil"/>
              <w:tr2bl w:val="nil"/>
            </w:tcBorders>
            <w:vAlign w:val="center"/>
          </w:tcPr>
          <w:p w14:paraId="145AC27F">
            <w:pPr>
              <w:rPr>
                <w:rFonts w:ascii="宋体" w:hAnsi="宋体" w:cs="宋体"/>
                <w:bCs/>
                <w:color w:val="auto"/>
                <w:szCs w:val="21"/>
                <w:highlight w:val="none"/>
              </w:rPr>
            </w:pPr>
          </w:p>
        </w:tc>
        <w:tc>
          <w:tcPr>
            <w:tcW w:w="1207" w:type="dxa"/>
            <w:tcBorders>
              <w:tl2br w:val="nil"/>
              <w:tr2bl w:val="nil"/>
            </w:tcBorders>
            <w:vAlign w:val="center"/>
          </w:tcPr>
          <w:p w14:paraId="6E44F17A">
            <w:pPr>
              <w:rPr>
                <w:rFonts w:ascii="宋体" w:hAnsi="宋体" w:cs="宋体"/>
                <w:bCs/>
                <w:color w:val="auto"/>
                <w:szCs w:val="21"/>
                <w:highlight w:val="none"/>
              </w:rPr>
            </w:pPr>
          </w:p>
        </w:tc>
        <w:tc>
          <w:tcPr>
            <w:tcW w:w="765" w:type="dxa"/>
            <w:tcBorders>
              <w:tl2br w:val="nil"/>
              <w:tr2bl w:val="nil"/>
            </w:tcBorders>
            <w:vAlign w:val="center"/>
          </w:tcPr>
          <w:p w14:paraId="66CF19E1">
            <w:pPr>
              <w:rPr>
                <w:rFonts w:ascii="宋体" w:hAnsi="宋体" w:cs="宋体"/>
                <w:bCs/>
                <w:color w:val="auto"/>
                <w:szCs w:val="21"/>
                <w:highlight w:val="none"/>
              </w:rPr>
            </w:pPr>
          </w:p>
        </w:tc>
      </w:tr>
      <w:tr w14:paraId="71063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93C8C5">
            <w:pPr>
              <w:jc w:val="center"/>
              <w:rPr>
                <w:rFonts w:ascii="宋体" w:hAnsi="宋体" w:cs="宋体"/>
                <w:bCs/>
                <w:color w:val="auto"/>
                <w:szCs w:val="21"/>
                <w:highlight w:val="none"/>
              </w:rPr>
            </w:pPr>
          </w:p>
        </w:tc>
        <w:tc>
          <w:tcPr>
            <w:tcW w:w="1140" w:type="dxa"/>
            <w:tcBorders>
              <w:tl2br w:val="nil"/>
              <w:tr2bl w:val="nil"/>
            </w:tcBorders>
            <w:vAlign w:val="center"/>
          </w:tcPr>
          <w:p w14:paraId="763CEB3B">
            <w:pPr>
              <w:rPr>
                <w:rFonts w:ascii="宋体" w:hAnsi="宋体" w:cs="宋体"/>
                <w:bCs/>
                <w:color w:val="auto"/>
                <w:szCs w:val="21"/>
                <w:highlight w:val="none"/>
              </w:rPr>
            </w:pPr>
          </w:p>
        </w:tc>
        <w:tc>
          <w:tcPr>
            <w:tcW w:w="1178" w:type="dxa"/>
            <w:tcBorders>
              <w:tl2br w:val="nil"/>
              <w:tr2bl w:val="nil"/>
            </w:tcBorders>
            <w:vAlign w:val="center"/>
          </w:tcPr>
          <w:p w14:paraId="509B9E1E">
            <w:pPr>
              <w:rPr>
                <w:rFonts w:ascii="宋体" w:hAnsi="宋体" w:cs="宋体"/>
                <w:bCs/>
                <w:color w:val="auto"/>
                <w:szCs w:val="21"/>
                <w:highlight w:val="none"/>
              </w:rPr>
            </w:pPr>
          </w:p>
        </w:tc>
        <w:tc>
          <w:tcPr>
            <w:tcW w:w="1365" w:type="dxa"/>
            <w:tcBorders>
              <w:tl2br w:val="nil"/>
              <w:tr2bl w:val="nil"/>
            </w:tcBorders>
            <w:vAlign w:val="center"/>
          </w:tcPr>
          <w:p w14:paraId="3E2D9421">
            <w:pPr>
              <w:rPr>
                <w:rFonts w:ascii="宋体" w:hAnsi="宋体" w:cs="宋体"/>
                <w:bCs/>
                <w:color w:val="auto"/>
                <w:szCs w:val="21"/>
                <w:highlight w:val="none"/>
              </w:rPr>
            </w:pPr>
          </w:p>
        </w:tc>
        <w:tc>
          <w:tcPr>
            <w:tcW w:w="1815" w:type="dxa"/>
            <w:tcBorders>
              <w:tl2br w:val="nil"/>
              <w:tr2bl w:val="nil"/>
            </w:tcBorders>
            <w:vAlign w:val="center"/>
          </w:tcPr>
          <w:p w14:paraId="15DA8863">
            <w:pPr>
              <w:rPr>
                <w:rFonts w:ascii="宋体" w:hAnsi="宋体" w:cs="宋体"/>
                <w:bCs/>
                <w:color w:val="auto"/>
                <w:szCs w:val="21"/>
                <w:highlight w:val="none"/>
              </w:rPr>
            </w:pPr>
          </w:p>
        </w:tc>
        <w:tc>
          <w:tcPr>
            <w:tcW w:w="1207" w:type="dxa"/>
            <w:tcBorders>
              <w:tl2br w:val="nil"/>
              <w:tr2bl w:val="nil"/>
            </w:tcBorders>
            <w:vAlign w:val="center"/>
          </w:tcPr>
          <w:p w14:paraId="09FC21E7">
            <w:pPr>
              <w:rPr>
                <w:rFonts w:ascii="宋体" w:hAnsi="宋体" w:cs="宋体"/>
                <w:bCs/>
                <w:color w:val="auto"/>
                <w:szCs w:val="21"/>
                <w:highlight w:val="none"/>
              </w:rPr>
            </w:pPr>
          </w:p>
        </w:tc>
        <w:tc>
          <w:tcPr>
            <w:tcW w:w="765" w:type="dxa"/>
            <w:tcBorders>
              <w:tl2br w:val="nil"/>
              <w:tr2bl w:val="nil"/>
            </w:tcBorders>
            <w:vAlign w:val="center"/>
          </w:tcPr>
          <w:p w14:paraId="31EEC5AB">
            <w:pPr>
              <w:rPr>
                <w:rFonts w:ascii="宋体" w:hAnsi="宋体" w:cs="宋体"/>
                <w:bCs/>
                <w:color w:val="auto"/>
                <w:szCs w:val="21"/>
                <w:highlight w:val="none"/>
              </w:rPr>
            </w:pPr>
          </w:p>
        </w:tc>
      </w:tr>
      <w:tr w14:paraId="3F409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B2E40FD">
            <w:pPr>
              <w:jc w:val="center"/>
              <w:rPr>
                <w:rFonts w:ascii="宋体" w:hAnsi="宋体" w:cs="宋体"/>
                <w:bCs/>
                <w:color w:val="auto"/>
                <w:szCs w:val="21"/>
                <w:highlight w:val="none"/>
              </w:rPr>
            </w:pPr>
          </w:p>
        </w:tc>
        <w:tc>
          <w:tcPr>
            <w:tcW w:w="1140" w:type="dxa"/>
            <w:tcBorders>
              <w:tl2br w:val="nil"/>
              <w:tr2bl w:val="nil"/>
            </w:tcBorders>
            <w:vAlign w:val="center"/>
          </w:tcPr>
          <w:p w14:paraId="2530FCDC">
            <w:pPr>
              <w:rPr>
                <w:rFonts w:ascii="宋体" w:hAnsi="宋体" w:cs="宋体"/>
                <w:bCs/>
                <w:color w:val="auto"/>
                <w:szCs w:val="21"/>
                <w:highlight w:val="none"/>
              </w:rPr>
            </w:pPr>
          </w:p>
        </w:tc>
        <w:tc>
          <w:tcPr>
            <w:tcW w:w="1178" w:type="dxa"/>
            <w:tcBorders>
              <w:tl2br w:val="nil"/>
              <w:tr2bl w:val="nil"/>
            </w:tcBorders>
            <w:vAlign w:val="center"/>
          </w:tcPr>
          <w:p w14:paraId="6A8C3364">
            <w:pPr>
              <w:rPr>
                <w:rFonts w:ascii="宋体" w:hAnsi="宋体" w:cs="宋体"/>
                <w:bCs/>
                <w:color w:val="auto"/>
                <w:szCs w:val="21"/>
                <w:highlight w:val="none"/>
              </w:rPr>
            </w:pPr>
          </w:p>
        </w:tc>
        <w:tc>
          <w:tcPr>
            <w:tcW w:w="1365" w:type="dxa"/>
            <w:tcBorders>
              <w:tl2br w:val="nil"/>
              <w:tr2bl w:val="nil"/>
            </w:tcBorders>
            <w:vAlign w:val="center"/>
          </w:tcPr>
          <w:p w14:paraId="546FCD24">
            <w:pPr>
              <w:rPr>
                <w:rFonts w:ascii="宋体" w:hAnsi="宋体" w:cs="宋体"/>
                <w:bCs/>
                <w:color w:val="auto"/>
                <w:szCs w:val="21"/>
                <w:highlight w:val="none"/>
              </w:rPr>
            </w:pPr>
          </w:p>
        </w:tc>
        <w:tc>
          <w:tcPr>
            <w:tcW w:w="1815" w:type="dxa"/>
            <w:tcBorders>
              <w:tl2br w:val="nil"/>
              <w:tr2bl w:val="nil"/>
            </w:tcBorders>
            <w:vAlign w:val="center"/>
          </w:tcPr>
          <w:p w14:paraId="6717F8C0">
            <w:pPr>
              <w:rPr>
                <w:rFonts w:ascii="宋体" w:hAnsi="宋体" w:cs="宋体"/>
                <w:bCs/>
                <w:color w:val="auto"/>
                <w:szCs w:val="21"/>
                <w:highlight w:val="none"/>
              </w:rPr>
            </w:pPr>
          </w:p>
        </w:tc>
        <w:tc>
          <w:tcPr>
            <w:tcW w:w="1207" w:type="dxa"/>
            <w:tcBorders>
              <w:tl2br w:val="nil"/>
              <w:tr2bl w:val="nil"/>
            </w:tcBorders>
            <w:vAlign w:val="center"/>
          </w:tcPr>
          <w:p w14:paraId="32BCB081">
            <w:pPr>
              <w:rPr>
                <w:rFonts w:ascii="宋体" w:hAnsi="宋体" w:cs="宋体"/>
                <w:bCs/>
                <w:color w:val="auto"/>
                <w:szCs w:val="21"/>
                <w:highlight w:val="none"/>
              </w:rPr>
            </w:pPr>
          </w:p>
        </w:tc>
        <w:tc>
          <w:tcPr>
            <w:tcW w:w="765" w:type="dxa"/>
            <w:tcBorders>
              <w:tl2br w:val="nil"/>
              <w:tr2bl w:val="nil"/>
            </w:tcBorders>
            <w:vAlign w:val="center"/>
          </w:tcPr>
          <w:p w14:paraId="4BF79E03">
            <w:pPr>
              <w:rPr>
                <w:rFonts w:ascii="宋体" w:hAnsi="宋体" w:cs="宋体"/>
                <w:bCs/>
                <w:color w:val="auto"/>
                <w:szCs w:val="21"/>
                <w:highlight w:val="none"/>
              </w:rPr>
            </w:pPr>
          </w:p>
        </w:tc>
      </w:tr>
      <w:tr w14:paraId="602D4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DD8B4F1">
            <w:pPr>
              <w:jc w:val="center"/>
              <w:rPr>
                <w:rFonts w:ascii="宋体" w:hAnsi="宋体" w:cs="宋体"/>
                <w:bCs/>
                <w:color w:val="auto"/>
                <w:szCs w:val="21"/>
                <w:highlight w:val="none"/>
              </w:rPr>
            </w:pPr>
          </w:p>
        </w:tc>
        <w:tc>
          <w:tcPr>
            <w:tcW w:w="1140" w:type="dxa"/>
            <w:tcBorders>
              <w:tl2br w:val="nil"/>
              <w:tr2bl w:val="nil"/>
            </w:tcBorders>
            <w:vAlign w:val="center"/>
          </w:tcPr>
          <w:p w14:paraId="4E81D2F9">
            <w:pPr>
              <w:rPr>
                <w:rFonts w:ascii="宋体" w:hAnsi="宋体" w:cs="宋体"/>
                <w:bCs/>
                <w:color w:val="auto"/>
                <w:szCs w:val="21"/>
                <w:highlight w:val="none"/>
              </w:rPr>
            </w:pPr>
          </w:p>
        </w:tc>
        <w:tc>
          <w:tcPr>
            <w:tcW w:w="1178" w:type="dxa"/>
            <w:tcBorders>
              <w:tl2br w:val="nil"/>
              <w:tr2bl w:val="nil"/>
            </w:tcBorders>
            <w:vAlign w:val="center"/>
          </w:tcPr>
          <w:p w14:paraId="1E5BBECF">
            <w:pPr>
              <w:rPr>
                <w:rFonts w:ascii="宋体" w:hAnsi="宋体" w:cs="宋体"/>
                <w:bCs/>
                <w:color w:val="auto"/>
                <w:szCs w:val="21"/>
                <w:highlight w:val="none"/>
              </w:rPr>
            </w:pPr>
          </w:p>
        </w:tc>
        <w:tc>
          <w:tcPr>
            <w:tcW w:w="1365" w:type="dxa"/>
            <w:tcBorders>
              <w:tl2br w:val="nil"/>
              <w:tr2bl w:val="nil"/>
            </w:tcBorders>
            <w:vAlign w:val="center"/>
          </w:tcPr>
          <w:p w14:paraId="52489CA3">
            <w:pPr>
              <w:rPr>
                <w:rFonts w:ascii="宋体" w:hAnsi="宋体" w:cs="宋体"/>
                <w:bCs/>
                <w:color w:val="auto"/>
                <w:szCs w:val="21"/>
                <w:highlight w:val="none"/>
              </w:rPr>
            </w:pPr>
          </w:p>
        </w:tc>
        <w:tc>
          <w:tcPr>
            <w:tcW w:w="1815" w:type="dxa"/>
            <w:tcBorders>
              <w:tl2br w:val="nil"/>
              <w:tr2bl w:val="nil"/>
            </w:tcBorders>
            <w:vAlign w:val="center"/>
          </w:tcPr>
          <w:p w14:paraId="0E9AFD70">
            <w:pPr>
              <w:rPr>
                <w:rFonts w:ascii="宋体" w:hAnsi="宋体" w:cs="宋体"/>
                <w:bCs/>
                <w:color w:val="auto"/>
                <w:szCs w:val="21"/>
                <w:highlight w:val="none"/>
              </w:rPr>
            </w:pPr>
          </w:p>
        </w:tc>
        <w:tc>
          <w:tcPr>
            <w:tcW w:w="1207" w:type="dxa"/>
            <w:tcBorders>
              <w:tl2br w:val="nil"/>
              <w:tr2bl w:val="nil"/>
            </w:tcBorders>
            <w:vAlign w:val="center"/>
          </w:tcPr>
          <w:p w14:paraId="2AC951D5">
            <w:pPr>
              <w:rPr>
                <w:rFonts w:ascii="宋体" w:hAnsi="宋体" w:cs="宋体"/>
                <w:bCs/>
                <w:color w:val="auto"/>
                <w:szCs w:val="21"/>
                <w:highlight w:val="none"/>
              </w:rPr>
            </w:pPr>
          </w:p>
        </w:tc>
        <w:tc>
          <w:tcPr>
            <w:tcW w:w="765" w:type="dxa"/>
            <w:tcBorders>
              <w:tl2br w:val="nil"/>
              <w:tr2bl w:val="nil"/>
            </w:tcBorders>
            <w:vAlign w:val="center"/>
          </w:tcPr>
          <w:p w14:paraId="06D9BC9A">
            <w:pPr>
              <w:rPr>
                <w:rFonts w:ascii="宋体" w:hAnsi="宋体" w:cs="宋体"/>
                <w:bCs/>
                <w:color w:val="auto"/>
                <w:szCs w:val="21"/>
                <w:highlight w:val="none"/>
              </w:rPr>
            </w:pPr>
          </w:p>
        </w:tc>
      </w:tr>
    </w:tbl>
    <w:p w14:paraId="47E6D6BA">
      <w:pPr>
        <w:pStyle w:val="42"/>
        <w:rPr>
          <w:rFonts w:ascii="宋体" w:hAnsi="宋体"/>
          <w:color w:val="auto"/>
          <w:szCs w:val="21"/>
          <w:highlight w:val="none"/>
        </w:rPr>
      </w:pPr>
    </w:p>
    <w:p w14:paraId="033F8A85">
      <w:pPr>
        <w:pStyle w:val="42"/>
        <w:rPr>
          <w:rFonts w:ascii="宋体" w:hAnsi="宋体"/>
          <w:color w:val="auto"/>
          <w:szCs w:val="21"/>
          <w:highlight w:val="none"/>
        </w:rPr>
      </w:pPr>
      <w:r>
        <w:rPr>
          <w:rFonts w:hint="eastAsia" w:ascii="宋体" w:hAnsi="宋体"/>
          <w:color w:val="auto"/>
          <w:szCs w:val="21"/>
          <w:highlight w:val="none"/>
        </w:rPr>
        <w:t>注：须提供须提供证明资料，业绩表所列出的材料应为真实准确的，并应提供相关证明材料复印件加盖公章。</w:t>
      </w:r>
    </w:p>
    <w:p w14:paraId="5573CE16">
      <w:pPr>
        <w:rPr>
          <w:color w:val="auto"/>
          <w:highlight w:val="none"/>
        </w:rPr>
      </w:pPr>
    </w:p>
    <w:p w14:paraId="2C9D9C3B">
      <w:pPr>
        <w:rPr>
          <w:color w:val="auto"/>
          <w:highlight w:val="none"/>
        </w:rPr>
      </w:pPr>
    </w:p>
    <w:p w14:paraId="2A6B4545">
      <w:pPr>
        <w:rPr>
          <w:color w:val="auto"/>
          <w:highlight w:val="none"/>
        </w:rPr>
      </w:pPr>
    </w:p>
    <w:p w14:paraId="24F95FFE">
      <w:pPr>
        <w:rPr>
          <w:color w:val="auto"/>
          <w:highlight w:val="none"/>
        </w:rPr>
      </w:pPr>
    </w:p>
    <w:p w14:paraId="3772004B">
      <w:pPr>
        <w:rPr>
          <w:color w:val="auto"/>
          <w:highlight w:val="none"/>
        </w:rPr>
      </w:pPr>
    </w:p>
    <w:p w14:paraId="09796CAD">
      <w:pPr>
        <w:rPr>
          <w:color w:val="auto"/>
          <w:highlight w:val="none"/>
        </w:rPr>
      </w:pPr>
    </w:p>
    <w:p w14:paraId="7DBB4F01">
      <w:pPr>
        <w:rPr>
          <w:color w:val="auto"/>
          <w:highlight w:val="none"/>
        </w:rPr>
      </w:pPr>
    </w:p>
    <w:p w14:paraId="3AB240CB">
      <w:pPr>
        <w:rPr>
          <w:color w:val="auto"/>
          <w:highlight w:val="none"/>
        </w:rPr>
      </w:pPr>
    </w:p>
    <w:p w14:paraId="76576C20">
      <w:pPr>
        <w:rPr>
          <w:color w:val="auto"/>
          <w:highlight w:val="none"/>
        </w:rPr>
      </w:pPr>
    </w:p>
    <w:p w14:paraId="4589C7A3">
      <w:pPr>
        <w:rPr>
          <w:color w:val="auto"/>
          <w:highlight w:val="none"/>
        </w:rPr>
      </w:pPr>
    </w:p>
    <w:p w14:paraId="2E0CFAA8">
      <w:pPr>
        <w:rPr>
          <w:color w:val="auto"/>
          <w:highlight w:val="none"/>
        </w:rPr>
      </w:pPr>
    </w:p>
    <w:p w14:paraId="5EBF5302">
      <w:pPr>
        <w:rPr>
          <w:color w:val="auto"/>
          <w:highlight w:val="none"/>
        </w:rPr>
      </w:pPr>
    </w:p>
    <w:p w14:paraId="2D1FF75B">
      <w:pPr>
        <w:rPr>
          <w:color w:val="auto"/>
          <w:highlight w:val="none"/>
        </w:rPr>
      </w:pPr>
    </w:p>
    <w:p w14:paraId="5BCCCF51">
      <w:pPr>
        <w:rPr>
          <w:color w:val="auto"/>
          <w:highlight w:val="none"/>
        </w:rPr>
      </w:pPr>
    </w:p>
    <w:p w14:paraId="41EF9F9E">
      <w:pPr>
        <w:pStyle w:val="10"/>
        <w:rPr>
          <w:color w:val="auto"/>
          <w:highlight w:val="none"/>
        </w:rPr>
      </w:pPr>
    </w:p>
    <w:p w14:paraId="6D8618A6">
      <w:pPr>
        <w:pStyle w:val="10"/>
        <w:ind w:left="0"/>
        <w:rPr>
          <w:color w:val="auto"/>
          <w:highlight w:val="none"/>
        </w:rPr>
      </w:pPr>
    </w:p>
    <w:p w14:paraId="1C4A8313">
      <w:pPr>
        <w:pStyle w:val="4"/>
        <w:jc w:val="center"/>
        <w:rPr>
          <w:rFonts w:ascii="黑体" w:eastAsia="黑体"/>
          <w:color w:val="auto"/>
          <w:szCs w:val="28"/>
          <w:highlight w:val="none"/>
        </w:rPr>
      </w:pPr>
      <w:bookmarkStart w:id="307" w:name="_Toc14578"/>
      <w:bookmarkStart w:id="308" w:name="_Toc14688"/>
      <w:r>
        <w:rPr>
          <w:rFonts w:hint="eastAsia"/>
          <w:color w:val="auto"/>
          <w:highlight w:val="none"/>
        </w:rPr>
        <w:t>第三章技术文件</w:t>
      </w:r>
      <w:bookmarkEnd w:id="304"/>
      <w:bookmarkEnd w:id="307"/>
      <w:bookmarkEnd w:id="308"/>
    </w:p>
    <w:p w14:paraId="1A5C520F">
      <w:pPr>
        <w:pStyle w:val="4"/>
        <w:jc w:val="center"/>
        <w:rPr>
          <w:color w:val="auto"/>
          <w:highlight w:val="none"/>
        </w:rPr>
      </w:pPr>
      <w:bookmarkStart w:id="309" w:name="_Toc7092"/>
      <w:bookmarkStart w:id="310" w:name="_Toc13077"/>
      <w:r>
        <w:rPr>
          <w:rFonts w:hint="eastAsia"/>
          <w:color w:val="auto"/>
          <w:highlight w:val="none"/>
        </w:rPr>
        <w:t>一、技术规格偏离表</w:t>
      </w:r>
      <w:bookmarkEnd w:id="309"/>
      <w:bookmarkEnd w:id="310"/>
    </w:p>
    <w:tbl>
      <w:tblPr>
        <w:tblStyle w:val="30"/>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17CDA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07335B3F">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30E75172">
            <w:pPr>
              <w:jc w:val="center"/>
              <w:rPr>
                <w:rFonts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2F92342B">
            <w:pPr>
              <w:jc w:val="center"/>
              <w:rPr>
                <w:rFonts w:ascii="宋体" w:hAnsi="宋体" w:cs="宋体"/>
                <w:color w:val="auto"/>
                <w:szCs w:val="21"/>
                <w:highlight w:val="none"/>
              </w:rPr>
            </w:pPr>
            <w:r>
              <w:rPr>
                <w:rFonts w:hint="eastAsia" w:ascii="宋体" w:hAnsi="宋体" w:cs="宋体"/>
                <w:color w:val="auto"/>
                <w:szCs w:val="21"/>
                <w:highlight w:val="none"/>
              </w:rPr>
              <w:t>招标文件要求</w:t>
            </w:r>
          </w:p>
        </w:tc>
        <w:tc>
          <w:tcPr>
            <w:tcW w:w="1590" w:type="dxa"/>
            <w:tcBorders>
              <w:tl2br w:val="nil"/>
              <w:tr2bl w:val="nil"/>
            </w:tcBorders>
            <w:vAlign w:val="center"/>
          </w:tcPr>
          <w:p w14:paraId="0561858E">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260" w:type="dxa"/>
            <w:tcBorders>
              <w:tl2br w:val="nil"/>
              <w:tr2bl w:val="nil"/>
            </w:tcBorders>
            <w:vAlign w:val="center"/>
          </w:tcPr>
          <w:p w14:paraId="318841CE">
            <w:pPr>
              <w:jc w:val="center"/>
              <w:rPr>
                <w:rFonts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18C49DD2">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00930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A01ACEA">
            <w:pPr>
              <w:jc w:val="center"/>
              <w:rPr>
                <w:rFonts w:ascii="宋体" w:hAnsi="宋体" w:cs="宋体"/>
                <w:color w:val="auto"/>
                <w:szCs w:val="21"/>
                <w:highlight w:val="none"/>
              </w:rPr>
            </w:pPr>
          </w:p>
        </w:tc>
        <w:tc>
          <w:tcPr>
            <w:tcW w:w="1623" w:type="dxa"/>
            <w:tcBorders>
              <w:tl2br w:val="nil"/>
              <w:tr2bl w:val="nil"/>
            </w:tcBorders>
            <w:vAlign w:val="center"/>
          </w:tcPr>
          <w:p w14:paraId="217DE2DF">
            <w:pPr>
              <w:jc w:val="center"/>
              <w:rPr>
                <w:rFonts w:ascii="宋体" w:hAnsi="宋体" w:cs="宋体"/>
                <w:color w:val="auto"/>
                <w:szCs w:val="21"/>
                <w:highlight w:val="none"/>
              </w:rPr>
            </w:pPr>
          </w:p>
        </w:tc>
        <w:tc>
          <w:tcPr>
            <w:tcW w:w="1815" w:type="dxa"/>
            <w:tcBorders>
              <w:tl2br w:val="nil"/>
              <w:tr2bl w:val="nil"/>
            </w:tcBorders>
            <w:vAlign w:val="center"/>
          </w:tcPr>
          <w:p w14:paraId="364AC75B">
            <w:pPr>
              <w:jc w:val="center"/>
              <w:rPr>
                <w:rFonts w:ascii="宋体" w:hAnsi="宋体" w:cs="宋体"/>
                <w:color w:val="auto"/>
                <w:szCs w:val="21"/>
                <w:highlight w:val="none"/>
              </w:rPr>
            </w:pPr>
          </w:p>
        </w:tc>
        <w:tc>
          <w:tcPr>
            <w:tcW w:w="1590" w:type="dxa"/>
            <w:tcBorders>
              <w:tl2br w:val="nil"/>
              <w:tr2bl w:val="nil"/>
            </w:tcBorders>
            <w:vAlign w:val="center"/>
          </w:tcPr>
          <w:p w14:paraId="30BA0071">
            <w:pPr>
              <w:jc w:val="center"/>
              <w:rPr>
                <w:rFonts w:ascii="宋体" w:hAnsi="宋体" w:cs="宋体"/>
                <w:color w:val="auto"/>
                <w:szCs w:val="21"/>
                <w:highlight w:val="none"/>
              </w:rPr>
            </w:pPr>
          </w:p>
        </w:tc>
        <w:tc>
          <w:tcPr>
            <w:tcW w:w="1260" w:type="dxa"/>
            <w:tcBorders>
              <w:tl2br w:val="nil"/>
              <w:tr2bl w:val="nil"/>
            </w:tcBorders>
            <w:vAlign w:val="center"/>
          </w:tcPr>
          <w:p w14:paraId="552A3C04">
            <w:pPr>
              <w:jc w:val="center"/>
              <w:rPr>
                <w:rFonts w:ascii="宋体" w:hAnsi="宋体" w:cs="宋体"/>
                <w:color w:val="auto"/>
                <w:szCs w:val="21"/>
                <w:highlight w:val="none"/>
              </w:rPr>
            </w:pPr>
          </w:p>
        </w:tc>
        <w:tc>
          <w:tcPr>
            <w:tcW w:w="1200" w:type="dxa"/>
            <w:tcBorders>
              <w:tl2br w:val="nil"/>
              <w:tr2bl w:val="nil"/>
            </w:tcBorders>
            <w:vAlign w:val="center"/>
          </w:tcPr>
          <w:p w14:paraId="46F6FC2A">
            <w:pPr>
              <w:jc w:val="center"/>
              <w:rPr>
                <w:rFonts w:ascii="宋体" w:hAnsi="宋体" w:cs="宋体"/>
                <w:color w:val="auto"/>
                <w:szCs w:val="21"/>
                <w:highlight w:val="none"/>
              </w:rPr>
            </w:pPr>
          </w:p>
        </w:tc>
      </w:tr>
      <w:tr w14:paraId="2E9D0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B7FA8E4">
            <w:pPr>
              <w:jc w:val="center"/>
              <w:rPr>
                <w:rFonts w:ascii="宋体" w:hAnsi="宋体" w:cs="宋体"/>
                <w:color w:val="auto"/>
                <w:szCs w:val="21"/>
                <w:highlight w:val="none"/>
              </w:rPr>
            </w:pPr>
          </w:p>
        </w:tc>
        <w:tc>
          <w:tcPr>
            <w:tcW w:w="1623" w:type="dxa"/>
            <w:tcBorders>
              <w:tl2br w:val="nil"/>
              <w:tr2bl w:val="nil"/>
            </w:tcBorders>
            <w:vAlign w:val="center"/>
          </w:tcPr>
          <w:p w14:paraId="753B4D92">
            <w:pPr>
              <w:jc w:val="center"/>
              <w:rPr>
                <w:rFonts w:ascii="宋体" w:hAnsi="宋体" w:cs="宋体"/>
                <w:color w:val="auto"/>
                <w:szCs w:val="21"/>
                <w:highlight w:val="none"/>
              </w:rPr>
            </w:pPr>
          </w:p>
        </w:tc>
        <w:tc>
          <w:tcPr>
            <w:tcW w:w="1815" w:type="dxa"/>
            <w:tcBorders>
              <w:tl2br w:val="nil"/>
              <w:tr2bl w:val="nil"/>
            </w:tcBorders>
            <w:vAlign w:val="center"/>
          </w:tcPr>
          <w:p w14:paraId="42FD5A7D">
            <w:pPr>
              <w:jc w:val="center"/>
              <w:rPr>
                <w:rFonts w:ascii="宋体" w:hAnsi="宋体" w:cs="宋体"/>
                <w:color w:val="auto"/>
                <w:szCs w:val="21"/>
                <w:highlight w:val="none"/>
              </w:rPr>
            </w:pPr>
          </w:p>
        </w:tc>
        <w:tc>
          <w:tcPr>
            <w:tcW w:w="1590" w:type="dxa"/>
            <w:tcBorders>
              <w:tl2br w:val="nil"/>
              <w:tr2bl w:val="nil"/>
            </w:tcBorders>
            <w:vAlign w:val="center"/>
          </w:tcPr>
          <w:p w14:paraId="78C9DCB2">
            <w:pPr>
              <w:jc w:val="center"/>
              <w:rPr>
                <w:rFonts w:ascii="宋体" w:hAnsi="宋体" w:cs="宋体"/>
                <w:color w:val="auto"/>
                <w:szCs w:val="21"/>
                <w:highlight w:val="none"/>
              </w:rPr>
            </w:pPr>
          </w:p>
        </w:tc>
        <w:tc>
          <w:tcPr>
            <w:tcW w:w="1260" w:type="dxa"/>
            <w:tcBorders>
              <w:tl2br w:val="nil"/>
              <w:tr2bl w:val="nil"/>
            </w:tcBorders>
            <w:vAlign w:val="center"/>
          </w:tcPr>
          <w:p w14:paraId="2C07353D">
            <w:pPr>
              <w:jc w:val="center"/>
              <w:rPr>
                <w:rFonts w:ascii="宋体" w:hAnsi="宋体" w:cs="宋体"/>
                <w:color w:val="auto"/>
                <w:szCs w:val="21"/>
                <w:highlight w:val="none"/>
              </w:rPr>
            </w:pPr>
          </w:p>
        </w:tc>
        <w:tc>
          <w:tcPr>
            <w:tcW w:w="1200" w:type="dxa"/>
            <w:tcBorders>
              <w:tl2br w:val="nil"/>
              <w:tr2bl w:val="nil"/>
            </w:tcBorders>
            <w:vAlign w:val="center"/>
          </w:tcPr>
          <w:p w14:paraId="6679D648">
            <w:pPr>
              <w:jc w:val="center"/>
              <w:rPr>
                <w:rFonts w:ascii="宋体" w:hAnsi="宋体" w:cs="宋体"/>
                <w:color w:val="auto"/>
                <w:szCs w:val="21"/>
                <w:highlight w:val="none"/>
              </w:rPr>
            </w:pPr>
          </w:p>
        </w:tc>
      </w:tr>
      <w:tr w14:paraId="32CDD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B71531B">
            <w:pPr>
              <w:jc w:val="center"/>
              <w:rPr>
                <w:rFonts w:ascii="宋体" w:hAnsi="宋体" w:cs="宋体"/>
                <w:color w:val="auto"/>
                <w:szCs w:val="21"/>
                <w:highlight w:val="none"/>
              </w:rPr>
            </w:pPr>
          </w:p>
        </w:tc>
        <w:tc>
          <w:tcPr>
            <w:tcW w:w="1623" w:type="dxa"/>
            <w:tcBorders>
              <w:tl2br w:val="nil"/>
              <w:tr2bl w:val="nil"/>
            </w:tcBorders>
            <w:vAlign w:val="center"/>
          </w:tcPr>
          <w:p w14:paraId="16CE6166">
            <w:pPr>
              <w:jc w:val="center"/>
              <w:rPr>
                <w:rFonts w:ascii="宋体" w:hAnsi="宋体" w:cs="宋体"/>
                <w:color w:val="auto"/>
                <w:szCs w:val="21"/>
                <w:highlight w:val="none"/>
              </w:rPr>
            </w:pPr>
          </w:p>
        </w:tc>
        <w:tc>
          <w:tcPr>
            <w:tcW w:w="1815" w:type="dxa"/>
            <w:tcBorders>
              <w:tl2br w:val="nil"/>
              <w:tr2bl w:val="nil"/>
            </w:tcBorders>
            <w:vAlign w:val="center"/>
          </w:tcPr>
          <w:p w14:paraId="230B8D39">
            <w:pPr>
              <w:jc w:val="center"/>
              <w:rPr>
                <w:rFonts w:ascii="宋体" w:hAnsi="宋体" w:cs="宋体"/>
                <w:color w:val="auto"/>
                <w:szCs w:val="21"/>
                <w:highlight w:val="none"/>
              </w:rPr>
            </w:pPr>
          </w:p>
        </w:tc>
        <w:tc>
          <w:tcPr>
            <w:tcW w:w="1590" w:type="dxa"/>
            <w:tcBorders>
              <w:tl2br w:val="nil"/>
              <w:tr2bl w:val="nil"/>
            </w:tcBorders>
            <w:vAlign w:val="center"/>
          </w:tcPr>
          <w:p w14:paraId="4BB2423F">
            <w:pPr>
              <w:jc w:val="center"/>
              <w:rPr>
                <w:rFonts w:ascii="宋体" w:hAnsi="宋体" w:cs="宋体"/>
                <w:color w:val="auto"/>
                <w:szCs w:val="21"/>
                <w:highlight w:val="none"/>
              </w:rPr>
            </w:pPr>
          </w:p>
        </w:tc>
        <w:tc>
          <w:tcPr>
            <w:tcW w:w="1260" w:type="dxa"/>
            <w:tcBorders>
              <w:tl2br w:val="nil"/>
              <w:tr2bl w:val="nil"/>
            </w:tcBorders>
            <w:vAlign w:val="center"/>
          </w:tcPr>
          <w:p w14:paraId="38705946">
            <w:pPr>
              <w:jc w:val="center"/>
              <w:rPr>
                <w:rFonts w:ascii="宋体" w:hAnsi="宋体" w:cs="宋体"/>
                <w:color w:val="auto"/>
                <w:szCs w:val="21"/>
                <w:highlight w:val="none"/>
              </w:rPr>
            </w:pPr>
          </w:p>
        </w:tc>
        <w:tc>
          <w:tcPr>
            <w:tcW w:w="1200" w:type="dxa"/>
            <w:tcBorders>
              <w:tl2br w:val="nil"/>
              <w:tr2bl w:val="nil"/>
            </w:tcBorders>
            <w:vAlign w:val="center"/>
          </w:tcPr>
          <w:p w14:paraId="2C7F3773">
            <w:pPr>
              <w:jc w:val="center"/>
              <w:rPr>
                <w:rFonts w:ascii="宋体" w:hAnsi="宋体" w:cs="宋体"/>
                <w:color w:val="auto"/>
                <w:szCs w:val="21"/>
                <w:highlight w:val="none"/>
              </w:rPr>
            </w:pPr>
          </w:p>
        </w:tc>
      </w:tr>
      <w:tr w14:paraId="60694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614CCA4">
            <w:pPr>
              <w:jc w:val="center"/>
              <w:rPr>
                <w:rFonts w:ascii="宋体" w:hAnsi="宋体" w:cs="宋体"/>
                <w:color w:val="auto"/>
                <w:szCs w:val="21"/>
                <w:highlight w:val="none"/>
              </w:rPr>
            </w:pPr>
          </w:p>
        </w:tc>
        <w:tc>
          <w:tcPr>
            <w:tcW w:w="1623" w:type="dxa"/>
            <w:tcBorders>
              <w:tl2br w:val="nil"/>
              <w:tr2bl w:val="nil"/>
            </w:tcBorders>
            <w:vAlign w:val="center"/>
          </w:tcPr>
          <w:p w14:paraId="0E942822">
            <w:pPr>
              <w:jc w:val="center"/>
              <w:rPr>
                <w:rFonts w:ascii="宋体" w:hAnsi="宋体" w:cs="宋体"/>
                <w:color w:val="auto"/>
                <w:szCs w:val="21"/>
                <w:highlight w:val="none"/>
              </w:rPr>
            </w:pPr>
          </w:p>
        </w:tc>
        <w:tc>
          <w:tcPr>
            <w:tcW w:w="1815" w:type="dxa"/>
            <w:tcBorders>
              <w:tl2br w:val="nil"/>
              <w:tr2bl w:val="nil"/>
            </w:tcBorders>
            <w:vAlign w:val="center"/>
          </w:tcPr>
          <w:p w14:paraId="5B7F7A0E">
            <w:pPr>
              <w:jc w:val="center"/>
              <w:rPr>
                <w:rFonts w:ascii="宋体" w:hAnsi="宋体" w:cs="宋体"/>
                <w:color w:val="auto"/>
                <w:szCs w:val="21"/>
                <w:highlight w:val="none"/>
              </w:rPr>
            </w:pPr>
          </w:p>
        </w:tc>
        <w:tc>
          <w:tcPr>
            <w:tcW w:w="1590" w:type="dxa"/>
            <w:tcBorders>
              <w:tl2br w:val="nil"/>
              <w:tr2bl w:val="nil"/>
            </w:tcBorders>
            <w:vAlign w:val="center"/>
          </w:tcPr>
          <w:p w14:paraId="5944C028">
            <w:pPr>
              <w:jc w:val="center"/>
              <w:rPr>
                <w:rFonts w:ascii="宋体" w:hAnsi="宋体" w:cs="宋体"/>
                <w:color w:val="auto"/>
                <w:szCs w:val="21"/>
                <w:highlight w:val="none"/>
              </w:rPr>
            </w:pPr>
          </w:p>
        </w:tc>
        <w:tc>
          <w:tcPr>
            <w:tcW w:w="1260" w:type="dxa"/>
            <w:tcBorders>
              <w:tl2br w:val="nil"/>
              <w:tr2bl w:val="nil"/>
            </w:tcBorders>
            <w:vAlign w:val="center"/>
          </w:tcPr>
          <w:p w14:paraId="0A066262">
            <w:pPr>
              <w:jc w:val="center"/>
              <w:rPr>
                <w:rFonts w:ascii="宋体" w:hAnsi="宋体" w:cs="宋体"/>
                <w:color w:val="auto"/>
                <w:szCs w:val="21"/>
                <w:highlight w:val="none"/>
              </w:rPr>
            </w:pPr>
          </w:p>
        </w:tc>
        <w:tc>
          <w:tcPr>
            <w:tcW w:w="1200" w:type="dxa"/>
            <w:tcBorders>
              <w:tl2br w:val="nil"/>
              <w:tr2bl w:val="nil"/>
            </w:tcBorders>
            <w:vAlign w:val="center"/>
          </w:tcPr>
          <w:p w14:paraId="3EB38559">
            <w:pPr>
              <w:jc w:val="center"/>
              <w:rPr>
                <w:rFonts w:ascii="宋体" w:hAnsi="宋体" w:cs="宋体"/>
                <w:color w:val="auto"/>
                <w:szCs w:val="21"/>
                <w:highlight w:val="none"/>
              </w:rPr>
            </w:pPr>
          </w:p>
        </w:tc>
      </w:tr>
      <w:tr w14:paraId="7B7B9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09C3A22">
            <w:pPr>
              <w:jc w:val="center"/>
              <w:rPr>
                <w:rFonts w:ascii="宋体" w:hAnsi="宋体" w:cs="宋体"/>
                <w:color w:val="auto"/>
                <w:szCs w:val="21"/>
                <w:highlight w:val="none"/>
              </w:rPr>
            </w:pPr>
          </w:p>
        </w:tc>
        <w:tc>
          <w:tcPr>
            <w:tcW w:w="1623" w:type="dxa"/>
            <w:tcBorders>
              <w:tl2br w:val="nil"/>
              <w:tr2bl w:val="nil"/>
            </w:tcBorders>
            <w:vAlign w:val="center"/>
          </w:tcPr>
          <w:p w14:paraId="514CE40F">
            <w:pPr>
              <w:jc w:val="center"/>
              <w:rPr>
                <w:rFonts w:ascii="宋体" w:hAnsi="宋体" w:cs="宋体"/>
                <w:color w:val="auto"/>
                <w:szCs w:val="21"/>
                <w:highlight w:val="none"/>
              </w:rPr>
            </w:pPr>
          </w:p>
        </w:tc>
        <w:tc>
          <w:tcPr>
            <w:tcW w:w="1815" w:type="dxa"/>
            <w:tcBorders>
              <w:tl2br w:val="nil"/>
              <w:tr2bl w:val="nil"/>
            </w:tcBorders>
            <w:vAlign w:val="center"/>
          </w:tcPr>
          <w:p w14:paraId="00E39A92">
            <w:pPr>
              <w:jc w:val="center"/>
              <w:rPr>
                <w:rFonts w:ascii="宋体" w:hAnsi="宋体" w:cs="宋体"/>
                <w:color w:val="auto"/>
                <w:szCs w:val="21"/>
                <w:highlight w:val="none"/>
              </w:rPr>
            </w:pPr>
          </w:p>
        </w:tc>
        <w:tc>
          <w:tcPr>
            <w:tcW w:w="1590" w:type="dxa"/>
            <w:tcBorders>
              <w:tl2br w:val="nil"/>
              <w:tr2bl w:val="nil"/>
            </w:tcBorders>
            <w:vAlign w:val="center"/>
          </w:tcPr>
          <w:p w14:paraId="04E442FE">
            <w:pPr>
              <w:jc w:val="center"/>
              <w:rPr>
                <w:rFonts w:ascii="宋体" w:hAnsi="宋体" w:cs="宋体"/>
                <w:color w:val="auto"/>
                <w:szCs w:val="21"/>
                <w:highlight w:val="none"/>
              </w:rPr>
            </w:pPr>
          </w:p>
        </w:tc>
        <w:tc>
          <w:tcPr>
            <w:tcW w:w="1260" w:type="dxa"/>
            <w:tcBorders>
              <w:tl2br w:val="nil"/>
              <w:tr2bl w:val="nil"/>
            </w:tcBorders>
            <w:vAlign w:val="center"/>
          </w:tcPr>
          <w:p w14:paraId="27163148">
            <w:pPr>
              <w:jc w:val="center"/>
              <w:rPr>
                <w:rFonts w:ascii="宋体" w:hAnsi="宋体" w:cs="宋体"/>
                <w:color w:val="auto"/>
                <w:szCs w:val="21"/>
                <w:highlight w:val="none"/>
              </w:rPr>
            </w:pPr>
          </w:p>
        </w:tc>
        <w:tc>
          <w:tcPr>
            <w:tcW w:w="1200" w:type="dxa"/>
            <w:tcBorders>
              <w:tl2br w:val="nil"/>
              <w:tr2bl w:val="nil"/>
            </w:tcBorders>
            <w:vAlign w:val="center"/>
          </w:tcPr>
          <w:p w14:paraId="29877A69">
            <w:pPr>
              <w:jc w:val="center"/>
              <w:rPr>
                <w:rFonts w:ascii="宋体" w:hAnsi="宋体" w:cs="宋体"/>
                <w:color w:val="auto"/>
                <w:szCs w:val="21"/>
                <w:highlight w:val="none"/>
              </w:rPr>
            </w:pPr>
          </w:p>
        </w:tc>
      </w:tr>
      <w:tr w14:paraId="6CA52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8F991FD">
            <w:pPr>
              <w:jc w:val="center"/>
              <w:rPr>
                <w:rFonts w:ascii="宋体" w:hAnsi="宋体" w:cs="宋体"/>
                <w:color w:val="auto"/>
                <w:szCs w:val="21"/>
                <w:highlight w:val="none"/>
              </w:rPr>
            </w:pPr>
          </w:p>
        </w:tc>
        <w:tc>
          <w:tcPr>
            <w:tcW w:w="1623" w:type="dxa"/>
            <w:tcBorders>
              <w:tl2br w:val="nil"/>
              <w:tr2bl w:val="nil"/>
            </w:tcBorders>
            <w:vAlign w:val="center"/>
          </w:tcPr>
          <w:p w14:paraId="2659F7A6">
            <w:pPr>
              <w:jc w:val="center"/>
              <w:rPr>
                <w:rFonts w:ascii="宋体" w:hAnsi="宋体" w:cs="宋体"/>
                <w:color w:val="auto"/>
                <w:szCs w:val="21"/>
                <w:highlight w:val="none"/>
              </w:rPr>
            </w:pPr>
          </w:p>
        </w:tc>
        <w:tc>
          <w:tcPr>
            <w:tcW w:w="1815" w:type="dxa"/>
            <w:tcBorders>
              <w:tl2br w:val="nil"/>
              <w:tr2bl w:val="nil"/>
            </w:tcBorders>
            <w:vAlign w:val="center"/>
          </w:tcPr>
          <w:p w14:paraId="71384ECB">
            <w:pPr>
              <w:jc w:val="center"/>
              <w:rPr>
                <w:rFonts w:ascii="宋体" w:hAnsi="宋体" w:cs="宋体"/>
                <w:color w:val="auto"/>
                <w:szCs w:val="21"/>
                <w:highlight w:val="none"/>
              </w:rPr>
            </w:pPr>
          </w:p>
        </w:tc>
        <w:tc>
          <w:tcPr>
            <w:tcW w:w="1590" w:type="dxa"/>
            <w:tcBorders>
              <w:tl2br w:val="nil"/>
              <w:tr2bl w:val="nil"/>
            </w:tcBorders>
            <w:vAlign w:val="center"/>
          </w:tcPr>
          <w:p w14:paraId="25F746D4">
            <w:pPr>
              <w:jc w:val="center"/>
              <w:rPr>
                <w:rFonts w:ascii="宋体" w:hAnsi="宋体" w:cs="宋体"/>
                <w:color w:val="auto"/>
                <w:szCs w:val="21"/>
                <w:highlight w:val="none"/>
              </w:rPr>
            </w:pPr>
          </w:p>
        </w:tc>
        <w:tc>
          <w:tcPr>
            <w:tcW w:w="1260" w:type="dxa"/>
            <w:tcBorders>
              <w:tl2br w:val="nil"/>
              <w:tr2bl w:val="nil"/>
            </w:tcBorders>
            <w:vAlign w:val="center"/>
          </w:tcPr>
          <w:p w14:paraId="101DE80C">
            <w:pPr>
              <w:jc w:val="center"/>
              <w:rPr>
                <w:rFonts w:ascii="宋体" w:hAnsi="宋体" w:cs="宋体"/>
                <w:color w:val="auto"/>
                <w:szCs w:val="21"/>
                <w:highlight w:val="none"/>
              </w:rPr>
            </w:pPr>
          </w:p>
        </w:tc>
        <w:tc>
          <w:tcPr>
            <w:tcW w:w="1200" w:type="dxa"/>
            <w:tcBorders>
              <w:tl2br w:val="nil"/>
              <w:tr2bl w:val="nil"/>
            </w:tcBorders>
            <w:vAlign w:val="center"/>
          </w:tcPr>
          <w:p w14:paraId="2622A8EC">
            <w:pPr>
              <w:jc w:val="center"/>
              <w:rPr>
                <w:rFonts w:ascii="宋体" w:hAnsi="宋体" w:cs="宋体"/>
                <w:color w:val="auto"/>
                <w:szCs w:val="21"/>
                <w:highlight w:val="none"/>
              </w:rPr>
            </w:pPr>
          </w:p>
        </w:tc>
      </w:tr>
      <w:tr w14:paraId="6282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1BEBB4">
            <w:pPr>
              <w:jc w:val="center"/>
              <w:rPr>
                <w:rFonts w:ascii="宋体" w:hAnsi="宋体" w:cs="宋体"/>
                <w:color w:val="auto"/>
                <w:szCs w:val="21"/>
                <w:highlight w:val="none"/>
              </w:rPr>
            </w:pPr>
          </w:p>
        </w:tc>
        <w:tc>
          <w:tcPr>
            <w:tcW w:w="1623" w:type="dxa"/>
            <w:tcBorders>
              <w:tl2br w:val="nil"/>
              <w:tr2bl w:val="nil"/>
            </w:tcBorders>
            <w:vAlign w:val="center"/>
          </w:tcPr>
          <w:p w14:paraId="6132BE8C">
            <w:pPr>
              <w:jc w:val="center"/>
              <w:rPr>
                <w:rFonts w:ascii="宋体" w:hAnsi="宋体" w:cs="宋体"/>
                <w:color w:val="auto"/>
                <w:szCs w:val="21"/>
                <w:highlight w:val="none"/>
              </w:rPr>
            </w:pPr>
          </w:p>
        </w:tc>
        <w:tc>
          <w:tcPr>
            <w:tcW w:w="1815" w:type="dxa"/>
            <w:tcBorders>
              <w:tl2br w:val="nil"/>
              <w:tr2bl w:val="nil"/>
            </w:tcBorders>
            <w:vAlign w:val="center"/>
          </w:tcPr>
          <w:p w14:paraId="715820A3">
            <w:pPr>
              <w:jc w:val="center"/>
              <w:rPr>
                <w:rFonts w:ascii="宋体" w:hAnsi="宋体" w:cs="宋体"/>
                <w:color w:val="auto"/>
                <w:szCs w:val="21"/>
                <w:highlight w:val="none"/>
              </w:rPr>
            </w:pPr>
          </w:p>
        </w:tc>
        <w:tc>
          <w:tcPr>
            <w:tcW w:w="1590" w:type="dxa"/>
            <w:tcBorders>
              <w:tl2br w:val="nil"/>
              <w:tr2bl w:val="nil"/>
            </w:tcBorders>
            <w:vAlign w:val="center"/>
          </w:tcPr>
          <w:p w14:paraId="741544C4">
            <w:pPr>
              <w:jc w:val="center"/>
              <w:rPr>
                <w:rFonts w:ascii="宋体" w:hAnsi="宋体" w:cs="宋体"/>
                <w:color w:val="auto"/>
                <w:szCs w:val="21"/>
                <w:highlight w:val="none"/>
              </w:rPr>
            </w:pPr>
          </w:p>
        </w:tc>
        <w:tc>
          <w:tcPr>
            <w:tcW w:w="1260" w:type="dxa"/>
            <w:tcBorders>
              <w:tl2br w:val="nil"/>
              <w:tr2bl w:val="nil"/>
            </w:tcBorders>
            <w:vAlign w:val="center"/>
          </w:tcPr>
          <w:p w14:paraId="087BA700">
            <w:pPr>
              <w:jc w:val="center"/>
              <w:rPr>
                <w:rFonts w:ascii="宋体" w:hAnsi="宋体" w:cs="宋体"/>
                <w:color w:val="auto"/>
                <w:szCs w:val="21"/>
                <w:highlight w:val="none"/>
              </w:rPr>
            </w:pPr>
          </w:p>
        </w:tc>
        <w:tc>
          <w:tcPr>
            <w:tcW w:w="1200" w:type="dxa"/>
            <w:tcBorders>
              <w:tl2br w:val="nil"/>
              <w:tr2bl w:val="nil"/>
            </w:tcBorders>
            <w:vAlign w:val="center"/>
          </w:tcPr>
          <w:p w14:paraId="5C230491">
            <w:pPr>
              <w:jc w:val="center"/>
              <w:rPr>
                <w:rFonts w:ascii="宋体" w:hAnsi="宋体" w:cs="宋体"/>
                <w:color w:val="auto"/>
                <w:szCs w:val="21"/>
                <w:highlight w:val="none"/>
              </w:rPr>
            </w:pPr>
          </w:p>
        </w:tc>
      </w:tr>
      <w:tr w14:paraId="7FCBE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E0DF352">
            <w:pPr>
              <w:jc w:val="center"/>
              <w:rPr>
                <w:rFonts w:ascii="宋体" w:hAnsi="宋体" w:cs="宋体"/>
                <w:color w:val="auto"/>
                <w:szCs w:val="21"/>
                <w:highlight w:val="none"/>
              </w:rPr>
            </w:pPr>
          </w:p>
        </w:tc>
        <w:tc>
          <w:tcPr>
            <w:tcW w:w="1623" w:type="dxa"/>
            <w:tcBorders>
              <w:tl2br w:val="nil"/>
              <w:tr2bl w:val="nil"/>
            </w:tcBorders>
            <w:vAlign w:val="center"/>
          </w:tcPr>
          <w:p w14:paraId="4A8B06F4">
            <w:pPr>
              <w:jc w:val="center"/>
              <w:rPr>
                <w:rFonts w:ascii="宋体" w:hAnsi="宋体" w:cs="宋体"/>
                <w:color w:val="auto"/>
                <w:szCs w:val="21"/>
                <w:highlight w:val="none"/>
              </w:rPr>
            </w:pPr>
          </w:p>
        </w:tc>
        <w:tc>
          <w:tcPr>
            <w:tcW w:w="1815" w:type="dxa"/>
            <w:tcBorders>
              <w:tl2br w:val="nil"/>
              <w:tr2bl w:val="nil"/>
            </w:tcBorders>
            <w:vAlign w:val="center"/>
          </w:tcPr>
          <w:p w14:paraId="45CE76C2">
            <w:pPr>
              <w:jc w:val="center"/>
              <w:rPr>
                <w:rFonts w:ascii="宋体" w:hAnsi="宋体" w:cs="宋体"/>
                <w:color w:val="auto"/>
                <w:szCs w:val="21"/>
                <w:highlight w:val="none"/>
              </w:rPr>
            </w:pPr>
          </w:p>
        </w:tc>
        <w:tc>
          <w:tcPr>
            <w:tcW w:w="1590" w:type="dxa"/>
            <w:tcBorders>
              <w:tl2br w:val="nil"/>
              <w:tr2bl w:val="nil"/>
            </w:tcBorders>
            <w:vAlign w:val="center"/>
          </w:tcPr>
          <w:p w14:paraId="230BBD4C">
            <w:pPr>
              <w:jc w:val="center"/>
              <w:rPr>
                <w:rFonts w:ascii="宋体" w:hAnsi="宋体" w:cs="宋体"/>
                <w:color w:val="auto"/>
                <w:szCs w:val="21"/>
                <w:highlight w:val="none"/>
              </w:rPr>
            </w:pPr>
          </w:p>
        </w:tc>
        <w:tc>
          <w:tcPr>
            <w:tcW w:w="1260" w:type="dxa"/>
            <w:tcBorders>
              <w:tl2br w:val="nil"/>
              <w:tr2bl w:val="nil"/>
            </w:tcBorders>
            <w:vAlign w:val="center"/>
          </w:tcPr>
          <w:p w14:paraId="5E7AF474">
            <w:pPr>
              <w:jc w:val="center"/>
              <w:rPr>
                <w:rFonts w:ascii="宋体" w:hAnsi="宋体" w:cs="宋体"/>
                <w:color w:val="auto"/>
                <w:szCs w:val="21"/>
                <w:highlight w:val="none"/>
              </w:rPr>
            </w:pPr>
          </w:p>
        </w:tc>
        <w:tc>
          <w:tcPr>
            <w:tcW w:w="1200" w:type="dxa"/>
            <w:tcBorders>
              <w:tl2br w:val="nil"/>
              <w:tr2bl w:val="nil"/>
            </w:tcBorders>
            <w:vAlign w:val="center"/>
          </w:tcPr>
          <w:p w14:paraId="4F0F03E4">
            <w:pPr>
              <w:jc w:val="center"/>
              <w:rPr>
                <w:rFonts w:ascii="宋体" w:hAnsi="宋体" w:cs="宋体"/>
                <w:color w:val="auto"/>
                <w:szCs w:val="21"/>
                <w:highlight w:val="none"/>
              </w:rPr>
            </w:pPr>
          </w:p>
        </w:tc>
      </w:tr>
      <w:tr w14:paraId="1A782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051C9291">
            <w:pPr>
              <w:jc w:val="center"/>
              <w:rPr>
                <w:rFonts w:ascii="宋体" w:hAnsi="宋体" w:cs="宋体"/>
                <w:color w:val="auto"/>
                <w:szCs w:val="21"/>
                <w:highlight w:val="none"/>
              </w:rPr>
            </w:pPr>
          </w:p>
        </w:tc>
        <w:tc>
          <w:tcPr>
            <w:tcW w:w="1623" w:type="dxa"/>
            <w:tcBorders>
              <w:tl2br w:val="nil"/>
              <w:tr2bl w:val="nil"/>
            </w:tcBorders>
            <w:vAlign w:val="center"/>
          </w:tcPr>
          <w:p w14:paraId="09D287B4">
            <w:pPr>
              <w:jc w:val="center"/>
              <w:rPr>
                <w:rFonts w:ascii="宋体" w:hAnsi="宋体" w:cs="宋体"/>
                <w:color w:val="auto"/>
                <w:szCs w:val="21"/>
                <w:highlight w:val="none"/>
              </w:rPr>
            </w:pPr>
          </w:p>
        </w:tc>
        <w:tc>
          <w:tcPr>
            <w:tcW w:w="1815" w:type="dxa"/>
            <w:tcBorders>
              <w:tl2br w:val="nil"/>
              <w:tr2bl w:val="nil"/>
            </w:tcBorders>
            <w:vAlign w:val="center"/>
          </w:tcPr>
          <w:p w14:paraId="0FFE32A3">
            <w:pPr>
              <w:jc w:val="center"/>
              <w:rPr>
                <w:rFonts w:ascii="宋体" w:hAnsi="宋体" w:cs="宋体"/>
                <w:color w:val="auto"/>
                <w:szCs w:val="21"/>
                <w:highlight w:val="none"/>
              </w:rPr>
            </w:pPr>
          </w:p>
        </w:tc>
        <w:tc>
          <w:tcPr>
            <w:tcW w:w="1590" w:type="dxa"/>
            <w:tcBorders>
              <w:tl2br w:val="nil"/>
              <w:tr2bl w:val="nil"/>
            </w:tcBorders>
            <w:vAlign w:val="center"/>
          </w:tcPr>
          <w:p w14:paraId="2A2B6FEA">
            <w:pPr>
              <w:jc w:val="center"/>
              <w:rPr>
                <w:rFonts w:ascii="宋体" w:hAnsi="宋体" w:cs="宋体"/>
                <w:color w:val="auto"/>
                <w:szCs w:val="21"/>
                <w:highlight w:val="none"/>
              </w:rPr>
            </w:pPr>
          </w:p>
        </w:tc>
        <w:tc>
          <w:tcPr>
            <w:tcW w:w="1260" w:type="dxa"/>
            <w:tcBorders>
              <w:tl2br w:val="nil"/>
              <w:tr2bl w:val="nil"/>
            </w:tcBorders>
            <w:vAlign w:val="center"/>
          </w:tcPr>
          <w:p w14:paraId="0A271476">
            <w:pPr>
              <w:jc w:val="center"/>
              <w:rPr>
                <w:rFonts w:ascii="宋体" w:hAnsi="宋体" w:cs="宋体"/>
                <w:color w:val="auto"/>
                <w:szCs w:val="21"/>
                <w:highlight w:val="none"/>
              </w:rPr>
            </w:pPr>
          </w:p>
        </w:tc>
        <w:tc>
          <w:tcPr>
            <w:tcW w:w="1200" w:type="dxa"/>
            <w:tcBorders>
              <w:tl2br w:val="nil"/>
              <w:tr2bl w:val="nil"/>
            </w:tcBorders>
            <w:vAlign w:val="center"/>
          </w:tcPr>
          <w:p w14:paraId="2A02EDC4">
            <w:pPr>
              <w:jc w:val="center"/>
              <w:rPr>
                <w:rFonts w:ascii="宋体" w:hAnsi="宋体" w:cs="宋体"/>
                <w:color w:val="auto"/>
                <w:szCs w:val="21"/>
                <w:highlight w:val="none"/>
              </w:rPr>
            </w:pPr>
          </w:p>
        </w:tc>
      </w:tr>
      <w:tr w14:paraId="28ECC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BE4A8AE">
            <w:pPr>
              <w:jc w:val="center"/>
              <w:rPr>
                <w:rFonts w:ascii="宋体" w:hAnsi="宋体" w:cs="宋体"/>
                <w:color w:val="auto"/>
                <w:szCs w:val="21"/>
                <w:highlight w:val="none"/>
              </w:rPr>
            </w:pPr>
          </w:p>
        </w:tc>
        <w:tc>
          <w:tcPr>
            <w:tcW w:w="1623" w:type="dxa"/>
            <w:tcBorders>
              <w:tl2br w:val="nil"/>
              <w:tr2bl w:val="nil"/>
            </w:tcBorders>
            <w:vAlign w:val="center"/>
          </w:tcPr>
          <w:p w14:paraId="54F650B9">
            <w:pPr>
              <w:jc w:val="center"/>
              <w:rPr>
                <w:rFonts w:ascii="宋体" w:hAnsi="宋体" w:cs="宋体"/>
                <w:color w:val="auto"/>
                <w:szCs w:val="21"/>
                <w:highlight w:val="none"/>
              </w:rPr>
            </w:pPr>
          </w:p>
        </w:tc>
        <w:tc>
          <w:tcPr>
            <w:tcW w:w="1815" w:type="dxa"/>
            <w:tcBorders>
              <w:tl2br w:val="nil"/>
              <w:tr2bl w:val="nil"/>
            </w:tcBorders>
            <w:vAlign w:val="center"/>
          </w:tcPr>
          <w:p w14:paraId="0AF6983A">
            <w:pPr>
              <w:jc w:val="center"/>
              <w:rPr>
                <w:rFonts w:ascii="宋体" w:hAnsi="宋体" w:cs="宋体"/>
                <w:color w:val="auto"/>
                <w:szCs w:val="21"/>
                <w:highlight w:val="none"/>
              </w:rPr>
            </w:pPr>
          </w:p>
        </w:tc>
        <w:tc>
          <w:tcPr>
            <w:tcW w:w="1590" w:type="dxa"/>
            <w:tcBorders>
              <w:tl2br w:val="nil"/>
              <w:tr2bl w:val="nil"/>
            </w:tcBorders>
            <w:vAlign w:val="center"/>
          </w:tcPr>
          <w:p w14:paraId="52A4EBCD">
            <w:pPr>
              <w:jc w:val="center"/>
              <w:rPr>
                <w:rFonts w:ascii="宋体" w:hAnsi="宋体" w:cs="宋体"/>
                <w:color w:val="auto"/>
                <w:szCs w:val="21"/>
                <w:highlight w:val="none"/>
              </w:rPr>
            </w:pPr>
          </w:p>
        </w:tc>
        <w:tc>
          <w:tcPr>
            <w:tcW w:w="1260" w:type="dxa"/>
            <w:tcBorders>
              <w:tl2br w:val="nil"/>
              <w:tr2bl w:val="nil"/>
            </w:tcBorders>
            <w:vAlign w:val="center"/>
          </w:tcPr>
          <w:p w14:paraId="6B4245B7">
            <w:pPr>
              <w:jc w:val="center"/>
              <w:rPr>
                <w:rFonts w:ascii="宋体" w:hAnsi="宋体" w:cs="宋体"/>
                <w:color w:val="auto"/>
                <w:szCs w:val="21"/>
                <w:highlight w:val="none"/>
              </w:rPr>
            </w:pPr>
          </w:p>
        </w:tc>
        <w:tc>
          <w:tcPr>
            <w:tcW w:w="1200" w:type="dxa"/>
            <w:tcBorders>
              <w:tl2br w:val="nil"/>
              <w:tr2bl w:val="nil"/>
            </w:tcBorders>
            <w:vAlign w:val="center"/>
          </w:tcPr>
          <w:p w14:paraId="65A537C9">
            <w:pPr>
              <w:jc w:val="center"/>
              <w:rPr>
                <w:rFonts w:ascii="宋体" w:hAnsi="宋体" w:cs="宋体"/>
                <w:color w:val="auto"/>
                <w:szCs w:val="21"/>
                <w:highlight w:val="none"/>
              </w:rPr>
            </w:pPr>
          </w:p>
        </w:tc>
      </w:tr>
      <w:tr w14:paraId="6D4F1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D4D7C9E">
            <w:pPr>
              <w:jc w:val="center"/>
              <w:rPr>
                <w:rFonts w:ascii="宋体" w:hAnsi="宋体" w:cs="宋体"/>
                <w:color w:val="auto"/>
                <w:szCs w:val="21"/>
                <w:highlight w:val="none"/>
              </w:rPr>
            </w:pPr>
          </w:p>
        </w:tc>
        <w:tc>
          <w:tcPr>
            <w:tcW w:w="1623" w:type="dxa"/>
            <w:tcBorders>
              <w:tl2br w:val="nil"/>
              <w:tr2bl w:val="nil"/>
            </w:tcBorders>
            <w:vAlign w:val="center"/>
          </w:tcPr>
          <w:p w14:paraId="42110044">
            <w:pPr>
              <w:jc w:val="center"/>
              <w:rPr>
                <w:rFonts w:ascii="宋体" w:hAnsi="宋体" w:cs="宋体"/>
                <w:color w:val="auto"/>
                <w:szCs w:val="21"/>
                <w:highlight w:val="none"/>
              </w:rPr>
            </w:pPr>
          </w:p>
        </w:tc>
        <w:tc>
          <w:tcPr>
            <w:tcW w:w="1815" w:type="dxa"/>
            <w:tcBorders>
              <w:tl2br w:val="nil"/>
              <w:tr2bl w:val="nil"/>
            </w:tcBorders>
            <w:vAlign w:val="center"/>
          </w:tcPr>
          <w:p w14:paraId="0CC6A5E5">
            <w:pPr>
              <w:jc w:val="center"/>
              <w:rPr>
                <w:rFonts w:ascii="宋体" w:hAnsi="宋体" w:cs="宋体"/>
                <w:color w:val="auto"/>
                <w:szCs w:val="21"/>
                <w:highlight w:val="none"/>
              </w:rPr>
            </w:pPr>
          </w:p>
        </w:tc>
        <w:tc>
          <w:tcPr>
            <w:tcW w:w="1590" w:type="dxa"/>
            <w:tcBorders>
              <w:tl2br w:val="nil"/>
              <w:tr2bl w:val="nil"/>
            </w:tcBorders>
            <w:vAlign w:val="center"/>
          </w:tcPr>
          <w:p w14:paraId="18411B6D">
            <w:pPr>
              <w:jc w:val="center"/>
              <w:rPr>
                <w:rFonts w:ascii="宋体" w:hAnsi="宋体" w:cs="宋体"/>
                <w:color w:val="auto"/>
                <w:szCs w:val="21"/>
                <w:highlight w:val="none"/>
              </w:rPr>
            </w:pPr>
          </w:p>
        </w:tc>
        <w:tc>
          <w:tcPr>
            <w:tcW w:w="1260" w:type="dxa"/>
            <w:tcBorders>
              <w:tl2br w:val="nil"/>
              <w:tr2bl w:val="nil"/>
            </w:tcBorders>
            <w:vAlign w:val="center"/>
          </w:tcPr>
          <w:p w14:paraId="34DA2CE0">
            <w:pPr>
              <w:jc w:val="center"/>
              <w:rPr>
                <w:rFonts w:ascii="宋体" w:hAnsi="宋体" w:cs="宋体"/>
                <w:color w:val="auto"/>
                <w:szCs w:val="21"/>
                <w:highlight w:val="none"/>
              </w:rPr>
            </w:pPr>
          </w:p>
        </w:tc>
        <w:tc>
          <w:tcPr>
            <w:tcW w:w="1200" w:type="dxa"/>
            <w:tcBorders>
              <w:tl2br w:val="nil"/>
              <w:tr2bl w:val="nil"/>
            </w:tcBorders>
            <w:vAlign w:val="center"/>
          </w:tcPr>
          <w:p w14:paraId="5465DB1E">
            <w:pPr>
              <w:jc w:val="center"/>
              <w:rPr>
                <w:rFonts w:ascii="宋体" w:hAnsi="宋体" w:cs="宋体"/>
                <w:color w:val="auto"/>
                <w:szCs w:val="21"/>
                <w:highlight w:val="none"/>
              </w:rPr>
            </w:pPr>
          </w:p>
        </w:tc>
      </w:tr>
      <w:tr w14:paraId="6704A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8EAE006">
            <w:pPr>
              <w:jc w:val="center"/>
              <w:rPr>
                <w:rFonts w:ascii="宋体" w:hAnsi="宋体" w:cs="宋体"/>
                <w:color w:val="auto"/>
                <w:szCs w:val="21"/>
                <w:highlight w:val="none"/>
              </w:rPr>
            </w:pPr>
          </w:p>
        </w:tc>
        <w:tc>
          <w:tcPr>
            <w:tcW w:w="1623" w:type="dxa"/>
            <w:tcBorders>
              <w:tl2br w:val="nil"/>
              <w:tr2bl w:val="nil"/>
            </w:tcBorders>
            <w:vAlign w:val="center"/>
          </w:tcPr>
          <w:p w14:paraId="147DA59D">
            <w:pPr>
              <w:jc w:val="center"/>
              <w:rPr>
                <w:rFonts w:ascii="宋体" w:hAnsi="宋体" w:cs="宋体"/>
                <w:color w:val="auto"/>
                <w:szCs w:val="21"/>
                <w:highlight w:val="none"/>
              </w:rPr>
            </w:pPr>
          </w:p>
        </w:tc>
        <w:tc>
          <w:tcPr>
            <w:tcW w:w="1815" w:type="dxa"/>
            <w:tcBorders>
              <w:tl2br w:val="nil"/>
              <w:tr2bl w:val="nil"/>
            </w:tcBorders>
            <w:vAlign w:val="center"/>
          </w:tcPr>
          <w:p w14:paraId="2AFF8E96">
            <w:pPr>
              <w:jc w:val="center"/>
              <w:rPr>
                <w:rFonts w:ascii="宋体" w:hAnsi="宋体" w:cs="宋体"/>
                <w:color w:val="auto"/>
                <w:szCs w:val="21"/>
                <w:highlight w:val="none"/>
              </w:rPr>
            </w:pPr>
          </w:p>
        </w:tc>
        <w:tc>
          <w:tcPr>
            <w:tcW w:w="1590" w:type="dxa"/>
            <w:tcBorders>
              <w:tl2br w:val="nil"/>
              <w:tr2bl w:val="nil"/>
            </w:tcBorders>
            <w:vAlign w:val="center"/>
          </w:tcPr>
          <w:p w14:paraId="5FFC8B7F">
            <w:pPr>
              <w:jc w:val="center"/>
              <w:rPr>
                <w:rFonts w:ascii="宋体" w:hAnsi="宋体" w:cs="宋体"/>
                <w:color w:val="auto"/>
                <w:szCs w:val="21"/>
                <w:highlight w:val="none"/>
              </w:rPr>
            </w:pPr>
          </w:p>
        </w:tc>
        <w:tc>
          <w:tcPr>
            <w:tcW w:w="1260" w:type="dxa"/>
            <w:tcBorders>
              <w:tl2br w:val="nil"/>
              <w:tr2bl w:val="nil"/>
            </w:tcBorders>
            <w:vAlign w:val="center"/>
          </w:tcPr>
          <w:p w14:paraId="4EDDAB33">
            <w:pPr>
              <w:jc w:val="center"/>
              <w:rPr>
                <w:rFonts w:ascii="宋体" w:hAnsi="宋体" w:cs="宋体"/>
                <w:color w:val="auto"/>
                <w:szCs w:val="21"/>
                <w:highlight w:val="none"/>
              </w:rPr>
            </w:pPr>
          </w:p>
        </w:tc>
        <w:tc>
          <w:tcPr>
            <w:tcW w:w="1200" w:type="dxa"/>
            <w:tcBorders>
              <w:tl2br w:val="nil"/>
              <w:tr2bl w:val="nil"/>
            </w:tcBorders>
            <w:vAlign w:val="center"/>
          </w:tcPr>
          <w:p w14:paraId="0F08E842">
            <w:pPr>
              <w:jc w:val="center"/>
              <w:rPr>
                <w:rFonts w:ascii="宋体" w:hAnsi="宋体" w:cs="宋体"/>
                <w:color w:val="auto"/>
                <w:szCs w:val="21"/>
                <w:highlight w:val="none"/>
              </w:rPr>
            </w:pPr>
          </w:p>
        </w:tc>
      </w:tr>
      <w:tr w14:paraId="197C0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E6116CC">
            <w:pPr>
              <w:jc w:val="center"/>
              <w:rPr>
                <w:rFonts w:ascii="宋体" w:hAnsi="宋体" w:cs="宋体"/>
                <w:color w:val="auto"/>
                <w:szCs w:val="21"/>
                <w:highlight w:val="none"/>
              </w:rPr>
            </w:pPr>
          </w:p>
        </w:tc>
        <w:tc>
          <w:tcPr>
            <w:tcW w:w="1623" w:type="dxa"/>
            <w:tcBorders>
              <w:tl2br w:val="nil"/>
              <w:tr2bl w:val="nil"/>
            </w:tcBorders>
            <w:vAlign w:val="center"/>
          </w:tcPr>
          <w:p w14:paraId="44D61E00">
            <w:pPr>
              <w:jc w:val="center"/>
              <w:rPr>
                <w:rFonts w:ascii="宋体" w:hAnsi="宋体" w:cs="宋体"/>
                <w:color w:val="auto"/>
                <w:szCs w:val="21"/>
                <w:highlight w:val="none"/>
              </w:rPr>
            </w:pPr>
          </w:p>
        </w:tc>
        <w:tc>
          <w:tcPr>
            <w:tcW w:w="1815" w:type="dxa"/>
            <w:tcBorders>
              <w:tl2br w:val="nil"/>
              <w:tr2bl w:val="nil"/>
            </w:tcBorders>
            <w:vAlign w:val="center"/>
          </w:tcPr>
          <w:p w14:paraId="2F8E5C36">
            <w:pPr>
              <w:jc w:val="center"/>
              <w:rPr>
                <w:rFonts w:ascii="宋体" w:hAnsi="宋体" w:cs="宋体"/>
                <w:color w:val="auto"/>
                <w:szCs w:val="21"/>
                <w:highlight w:val="none"/>
              </w:rPr>
            </w:pPr>
          </w:p>
        </w:tc>
        <w:tc>
          <w:tcPr>
            <w:tcW w:w="1590" w:type="dxa"/>
            <w:tcBorders>
              <w:tl2br w:val="nil"/>
              <w:tr2bl w:val="nil"/>
            </w:tcBorders>
            <w:vAlign w:val="center"/>
          </w:tcPr>
          <w:p w14:paraId="52E3E964">
            <w:pPr>
              <w:jc w:val="center"/>
              <w:rPr>
                <w:rFonts w:ascii="宋体" w:hAnsi="宋体" w:cs="宋体"/>
                <w:color w:val="auto"/>
                <w:szCs w:val="21"/>
                <w:highlight w:val="none"/>
              </w:rPr>
            </w:pPr>
          </w:p>
        </w:tc>
        <w:tc>
          <w:tcPr>
            <w:tcW w:w="1260" w:type="dxa"/>
            <w:tcBorders>
              <w:tl2br w:val="nil"/>
              <w:tr2bl w:val="nil"/>
            </w:tcBorders>
            <w:vAlign w:val="center"/>
          </w:tcPr>
          <w:p w14:paraId="52E726FE">
            <w:pPr>
              <w:jc w:val="center"/>
              <w:rPr>
                <w:rFonts w:ascii="宋体" w:hAnsi="宋体" w:cs="宋体"/>
                <w:color w:val="auto"/>
                <w:szCs w:val="21"/>
                <w:highlight w:val="none"/>
              </w:rPr>
            </w:pPr>
          </w:p>
        </w:tc>
        <w:tc>
          <w:tcPr>
            <w:tcW w:w="1200" w:type="dxa"/>
            <w:tcBorders>
              <w:tl2br w:val="nil"/>
              <w:tr2bl w:val="nil"/>
            </w:tcBorders>
            <w:vAlign w:val="center"/>
          </w:tcPr>
          <w:p w14:paraId="145E11D5">
            <w:pPr>
              <w:jc w:val="center"/>
              <w:rPr>
                <w:rFonts w:ascii="宋体" w:hAnsi="宋体" w:cs="宋体"/>
                <w:color w:val="auto"/>
                <w:szCs w:val="21"/>
                <w:highlight w:val="none"/>
              </w:rPr>
            </w:pPr>
          </w:p>
        </w:tc>
      </w:tr>
      <w:tr w14:paraId="3F95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624E2D">
            <w:pPr>
              <w:jc w:val="center"/>
              <w:rPr>
                <w:rFonts w:ascii="宋体" w:hAnsi="宋体" w:cs="宋体"/>
                <w:color w:val="auto"/>
                <w:szCs w:val="21"/>
                <w:highlight w:val="none"/>
              </w:rPr>
            </w:pPr>
          </w:p>
        </w:tc>
        <w:tc>
          <w:tcPr>
            <w:tcW w:w="1623" w:type="dxa"/>
            <w:tcBorders>
              <w:tl2br w:val="nil"/>
              <w:tr2bl w:val="nil"/>
            </w:tcBorders>
            <w:vAlign w:val="center"/>
          </w:tcPr>
          <w:p w14:paraId="6024C07A">
            <w:pPr>
              <w:jc w:val="center"/>
              <w:rPr>
                <w:rFonts w:ascii="宋体" w:hAnsi="宋体" w:cs="宋体"/>
                <w:color w:val="auto"/>
                <w:szCs w:val="21"/>
                <w:highlight w:val="none"/>
              </w:rPr>
            </w:pPr>
          </w:p>
        </w:tc>
        <w:tc>
          <w:tcPr>
            <w:tcW w:w="1815" w:type="dxa"/>
            <w:tcBorders>
              <w:tl2br w:val="nil"/>
              <w:tr2bl w:val="nil"/>
            </w:tcBorders>
            <w:vAlign w:val="center"/>
          </w:tcPr>
          <w:p w14:paraId="7A55A7E7">
            <w:pPr>
              <w:jc w:val="center"/>
              <w:rPr>
                <w:rFonts w:ascii="宋体" w:hAnsi="宋体" w:cs="宋体"/>
                <w:color w:val="auto"/>
                <w:szCs w:val="21"/>
                <w:highlight w:val="none"/>
              </w:rPr>
            </w:pPr>
          </w:p>
        </w:tc>
        <w:tc>
          <w:tcPr>
            <w:tcW w:w="1590" w:type="dxa"/>
            <w:tcBorders>
              <w:tl2br w:val="nil"/>
              <w:tr2bl w:val="nil"/>
            </w:tcBorders>
            <w:vAlign w:val="center"/>
          </w:tcPr>
          <w:p w14:paraId="160B78AE">
            <w:pPr>
              <w:jc w:val="center"/>
              <w:rPr>
                <w:rFonts w:ascii="宋体" w:hAnsi="宋体" w:cs="宋体"/>
                <w:color w:val="auto"/>
                <w:szCs w:val="21"/>
                <w:highlight w:val="none"/>
              </w:rPr>
            </w:pPr>
          </w:p>
        </w:tc>
        <w:tc>
          <w:tcPr>
            <w:tcW w:w="1260" w:type="dxa"/>
            <w:tcBorders>
              <w:tl2br w:val="nil"/>
              <w:tr2bl w:val="nil"/>
            </w:tcBorders>
            <w:vAlign w:val="center"/>
          </w:tcPr>
          <w:p w14:paraId="0A30C359">
            <w:pPr>
              <w:jc w:val="center"/>
              <w:rPr>
                <w:rFonts w:ascii="宋体" w:hAnsi="宋体" w:cs="宋体"/>
                <w:color w:val="auto"/>
                <w:szCs w:val="21"/>
                <w:highlight w:val="none"/>
              </w:rPr>
            </w:pPr>
          </w:p>
        </w:tc>
        <w:tc>
          <w:tcPr>
            <w:tcW w:w="1200" w:type="dxa"/>
            <w:tcBorders>
              <w:tl2br w:val="nil"/>
              <w:tr2bl w:val="nil"/>
            </w:tcBorders>
            <w:vAlign w:val="center"/>
          </w:tcPr>
          <w:p w14:paraId="130B3205">
            <w:pPr>
              <w:jc w:val="center"/>
              <w:rPr>
                <w:rFonts w:ascii="宋体" w:hAnsi="宋体" w:cs="宋体"/>
                <w:color w:val="auto"/>
                <w:szCs w:val="21"/>
                <w:highlight w:val="none"/>
              </w:rPr>
            </w:pPr>
          </w:p>
        </w:tc>
      </w:tr>
    </w:tbl>
    <w:p w14:paraId="4C79A644">
      <w:pPr>
        <w:rPr>
          <w:rFonts w:ascii="宋体" w:hAnsi="宋体"/>
          <w:color w:val="auto"/>
          <w:szCs w:val="21"/>
          <w:highlight w:val="none"/>
        </w:rPr>
      </w:pPr>
    </w:p>
    <w:p w14:paraId="59DFAA80">
      <w:pPr>
        <w:rPr>
          <w:color w:val="auto"/>
          <w:highlight w:val="none"/>
        </w:rPr>
      </w:pPr>
    </w:p>
    <w:p w14:paraId="369B6802">
      <w:pPr>
        <w:rPr>
          <w:rFonts w:ascii="宋体" w:hAnsi="宋体"/>
          <w:color w:val="auto"/>
          <w:szCs w:val="21"/>
          <w:highlight w:val="none"/>
        </w:rPr>
      </w:pPr>
      <w:r>
        <w:rPr>
          <w:rFonts w:hint="eastAsia" w:ascii="宋体" w:hAnsi="宋体"/>
          <w:color w:val="auto"/>
          <w:szCs w:val="21"/>
          <w:highlight w:val="none"/>
        </w:rPr>
        <w:t>投标人代表签字：</w:t>
      </w:r>
    </w:p>
    <w:p w14:paraId="73927A60">
      <w:pPr>
        <w:rPr>
          <w:rFonts w:ascii="宋体" w:hAnsi="宋体"/>
          <w:color w:val="auto"/>
          <w:szCs w:val="21"/>
          <w:highlight w:val="none"/>
        </w:rPr>
      </w:pPr>
      <w:r>
        <w:rPr>
          <w:rFonts w:hint="eastAsia" w:ascii="宋体" w:hAnsi="宋体"/>
          <w:color w:val="auto"/>
          <w:szCs w:val="21"/>
          <w:highlight w:val="none"/>
        </w:rPr>
        <w:t>投标人盖章：</w:t>
      </w:r>
    </w:p>
    <w:p w14:paraId="2DA251A8">
      <w:pPr>
        <w:ind w:firstLine="178" w:firstLineChars="85"/>
        <w:rPr>
          <w:rFonts w:ascii="宋体" w:hAnsi="宋体"/>
          <w:color w:val="auto"/>
          <w:szCs w:val="21"/>
          <w:highlight w:val="none"/>
        </w:rPr>
      </w:pPr>
    </w:p>
    <w:p w14:paraId="245D96C6">
      <w:pPr>
        <w:ind w:firstLine="420" w:firstLineChars="200"/>
        <w:rPr>
          <w:rFonts w:ascii="宋体" w:hAnsi="宋体"/>
          <w:color w:val="auto"/>
          <w:szCs w:val="21"/>
          <w:highlight w:val="none"/>
        </w:rPr>
      </w:pPr>
      <w:r>
        <w:rPr>
          <w:rFonts w:hint="eastAsia" w:ascii="宋体" w:hAnsi="宋体"/>
          <w:color w:val="auto"/>
          <w:szCs w:val="21"/>
          <w:highlight w:val="none"/>
        </w:rPr>
        <w:t>注：投标人应对照招标文件技术要求，在“偏离情况”项中填写“无偏离”、“正偏离”或“负偏离”，逐条说明已对招标文件的商务内容做出了实质性的响应，并申明与招标文件的偏差和例外。</w:t>
      </w:r>
    </w:p>
    <w:p w14:paraId="6ADEC73D">
      <w:pPr>
        <w:rPr>
          <w:rFonts w:ascii="宋体" w:hAnsi="宋体"/>
          <w:color w:val="auto"/>
          <w:szCs w:val="21"/>
          <w:highlight w:val="none"/>
        </w:rPr>
      </w:pPr>
    </w:p>
    <w:p w14:paraId="5E151B26">
      <w:pPr>
        <w:rPr>
          <w:rFonts w:ascii="宋体" w:hAnsi="宋体"/>
          <w:color w:val="auto"/>
          <w:szCs w:val="21"/>
          <w:highlight w:val="none"/>
        </w:rPr>
      </w:pPr>
    </w:p>
    <w:p w14:paraId="1EB65ADE">
      <w:pPr>
        <w:rPr>
          <w:rFonts w:ascii="宋体" w:hAnsi="宋体"/>
          <w:color w:val="auto"/>
          <w:szCs w:val="21"/>
          <w:highlight w:val="none"/>
        </w:rPr>
      </w:pPr>
    </w:p>
    <w:p w14:paraId="661D0B57">
      <w:pPr>
        <w:adjustRightInd/>
        <w:snapToGrid/>
        <w:spacing w:line="276" w:lineRule="auto"/>
        <w:rPr>
          <w:color w:val="auto"/>
          <w:highlight w:val="none"/>
        </w:rPr>
      </w:pPr>
    </w:p>
    <w:p w14:paraId="319470DD">
      <w:pPr>
        <w:rPr>
          <w:rFonts w:ascii="黑体" w:eastAsia="黑体"/>
          <w:color w:val="auto"/>
          <w:sz w:val="28"/>
          <w:szCs w:val="28"/>
          <w:highlight w:val="none"/>
        </w:rPr>
      </w:pPr>
      <w:bookmarkStart w:id="311" w:name="_Toc17691"/>
      <w:r>
        <w:rPr>
          <w:rFonts w:hint="eastAsia" w:ascii="宋体" w:hAnsi="宋体"/>
          <w:color w:val="auto"/>
          <w:szCs w:val="21"/>
          <w:highlight w:val="none"/>
        </w:rPr>
        <w:br w:type="page"/>
      </w:r>
      <w:bookmarkEnd w:id="311"/>
      <w:bookmarkStart w:id="312" w:name="_Toc18668"/>
      <w:bookmarkStart w:id="313" w:name="_Toc4464"/>
      <w:bookmarkStart w:id="314" w:name="_Toc26078"/>
      <w:bookmarkStart w:id="315" w:name="_Toc6080"/>
      <w:bookmarkStart w:id="316" w:name="_Toc1274"/>
      <w:bookmarkStart w:id="317" w:name="_Toc4827"/>
    </w:p>
    <w:p w14:paraId="2897DA76">
      <w:pPr>
        <w:pStyle w:val="4"/>
        <w:jc w:val="center"/>
        <w:rPr>
          <w:color w:val="auto"/>
          <w:highlight w:val="none"/>
        </w:rPr>
      </w:pPr>
      <w:bookmarkStart w:id="318" w:name="_Toc3032"/>
      <w:bookmarkStart w:id="319" w:name="_Toc10734"/>
      <w:r>
        <w:rPr>
          <w:rFonts w:hint="eastAsia"/>
          <w:color w:val="auto"/>
          <w:highlight w:val="none"/>
        </w:rPr>
        <w:t>二、重要技术参数（▲）响应表</w:t>
      </w:r>
      <w:bookmarkEnd w:id="312"/>
      <w:bookmarkEnd w:id="313"/>
      <w:bookmarkEnd w:id="314"/>
      <w:bookmarkEnd w:id="315"/>
      <w:bookmarkEnd w:id="316"/>
      <w:bookmarkEnd w:id="317"/>
      <w:bookmarkEnd w:id="318"/>
      <w:bookmarkEnd w:id="319"/>
    </w:p>
    <w:tbl>
      <w:tblPr>
        <w:tblStyle w:val="31"/>
        <w:tblW w:w="83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6"/>
        <w:gridCol w:w="2550"/>
        <w:gridCol w:w="2280"/>
        <w:gridCol w:w="1109"/>
        <w:gridCol w:w="1591"/>
      </w:tblGrid>
      <w:tr w14:paraId="0781C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9EAEA7">
            <w:pPr>
              <w:pStyle w:val="5"/>
              <w:widowControl w:val="0"/>
              <w:overflowPunct w:val="0"/>
              <w:spacing w:line="240" w:lineRule="auto"/>
              <w:jc w:val="center"/>
              <w:rPr>
                <w:rFonts w:ascii="宋体" w:hAnsi="宋体" w:cs="宋体"/>
                <w:b w:val="0"/>
                <w:bCs w:val="0"/>
                <w:color w:val="auto"/>
                <w:sz w:val="21"/>
                <w:szCs w:val="21"/>
                <w:highlight w:val="none"/>
              </w:rPr>
            </w:pPr>
            <w:bookmarkStart w:id="320" w:name="_Toc22261"/>
            <w:bookmarkStart w:id="321" w:name="_Toc29642"/>
            <w:bookmarkStart w:id="322" w:name="_Toc24298"/>
            <w:bookmarkStart w:id="323" w:name="_Toc27079"/>
            <w:bookmarkStart w:id="324" w:name="_Toc29560"/>
            <w:r>
              <w:rPr>
                <w:rFonts w:hint="eastAsia" w:ascii="宋体" w:hAnsi="宋体" w:cs="宋体"/>
                <w:b w:val="0"/>
                <w:bCs w:val="0"/>
                <w:color w:val="auto"/>
                <w:sz w:val="21"/>
                <w:szCs w:val="21"/>
                <w:highlight w:val="none"/>
              </w:rPr>
              <w:t>序号</w:t>
            </w:r>
            <w:bookmarkEnd w:id="320"/>
            <w:bookmarkEnd w:id="321"/>
            <w:bookmarkEnd w:id="322"/>
            <w:bookmarkEnd w:id="323"/>
            <w:bookmarkEnd w:id="324"/>
          </w:p>
        </w:tc>
        <w:tc>
          <w:tcPr>
            <w:tcW w:w="2550" w:type="dxa"/>
            <w:tcBorders>
              <w:tl2br w:val="nil"/>
              <w:tr2bl w:val="nil"/>
            </w:tcBorders>
            <w:vAlign w:val="center"/>
          </w:tcPr>
          <w:p w14:paraId="7D256F58">
            <w:pPr>
              <w:pStyle w:val="5"/>
              <w:widowControl w:val="0"/>
              <w:overflowPunct w:val="0"/>
              <w:spacing w:line="240" w:lineRule="auto"/>
              <w:jc w:val="center"/>
              <w:rPr>
                <w:rFonts w:ascii="宋体" w:hAnsi="宋体" w:cs="宋体"/>
                <w:b w:val="0"/>
                <w:bCs w:val="0"/>
                <w:color w:val="auto"/>
                <w:sz w:val="21"/>
                <w:szCs w:val="21"/>
                <w:highlight w:val="none"/>
              </w:rPr>
            </w:pPr>
            <w:bookmarkStart w:id="325" w:name="_Toc22448"/>
            <w:bookmarkStart w:id="326" w:name="_Toc12049"/>
            <w:bookmarkStart w:id="327" w:name="_Toc21739"/>
            <w:bookmarkStart w:id="328" w:name="_Toc2700"/>
            <w:bookmarkStart w:id="329" w:name="_Toc15368"/>
            <w:bookmarkStart w:id="330" w:name="_Toc15903"/>
            <w:bookmarkStart w:id="331" w:name="_Toc16872"/>
            <w:bookmarkStart w:id="332" w:name="_Toc13469"/>
            <w:bookmarkStart w:id="333" w:name="_Toc10045"/>
            <w:bookmarkStart w:id="334" w:name="_Toc7928"/>
            <w:bookmarkStart w:id="335" w:name="_Toc1016"/>
            <w:bookmarkStart w:id="336" w:name="_Toc27090"/>
            <w:bookmarkStart w:id="337" w:name="_Toc4304"/>
            <w:bookmarkStart w:id="338" w:name="_Toc14815"/>
            <w:bookmarkStart w:id="339" w:name="_Toc26124"/>
            <w:bookmarkStart w:id="340" w:name="_Toc27442"/>
            <w:bookmarkStart w:id="341" w:name="_Toc32531"/>
            <w:bookmarkStart w:id="342" w:name="_Toc8312"/>
            <w:bookmarkStart w:id="343" w:name="_Toc24662"/>
            <w:bookmarkStart w:id="344" w:name="_Toc22917"/>
            <w:bookmarkStart w:id="345" w:name="_Toc19251"/>
            <w:bookmarkStart w:id="346" w:name="_Toc7333"/>
            <w:bookmarkStart w:id="347" w:name="_Toc22879"/>
            <w:bookmarkStart w:id="348" w:name="_Toc21809"/>
            <w:bookmarkStart w:id="349" w:name="_Toc8490"/>
            <w:r>
              <w:rPr>
                <w:rFonts w:hint="eastAsia" w:ascii="宋体" w:hAnsi="宋体" w:cs="宋体"/>
                <w:b w:val="0"/>
                <w:bCs w:val="0"/>
                <w:color w:val="auto"/>
                <w:sz w:val="21"/>
                <w:szCs w:val="21"/>
                <w:highlight w:val="none"/>
              </w:rPr>
              <w:t>重要技术参数评分条款（▲）</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bookmarkEnd w:id="340"/>
          <w:bookmarkEnd w:id="341"/>
          <w:bookmarkEnd w:id="342"/>
          <w:bookmarkEnd w:id="343"/>
          <w:bookmarkEnd w:id="344"/>
          <w:bookmarkEnd w:id="345"/>
          <w:bookmarkEnd w:id="346"/>
          <w:bookmarkEnd w:id="347"/>
          <w:bookmarkEnd w:id="348"/>
          <w:bookmarkEnd w:id="349"/>
        </w:tc>
        <w:tc>
          <w:tcPr>
            <w:tcW w:w="2280" w:type="dxa"/>
            <w:tcBorders>
              <w:tl2br w:val="nil"/>
              <w:tr2bl w:val="nil"/>
            </w:tcBorders>
            <w:vAlign w:val="center"/>
          </w:tcPr>
          <w:p w14:paraId="69C91BCC">
            <w:pPr>
              <w:pStyle w:val="5"/>
              <w:widowControl w:val="0"/>
              <w:overflowPunct w:val="0"/>
              <w:spacing w:line="240" w:lineRule="auto"/>
              <w:jc w:val="center"/>
              <w:rPr>
                <w:rFonts w:ascii="宋体" w:hAnsi="宋体" w:cs="宋体"/>
                <w:b w:val="0"/>
                <w:bCs w:val="0"/>
                <w:color w:val="auto"/>
                <w:sz w:val="21"/>
                <w:szCs w:val="21"/>
                <w:highlight w:val="none"/>
              </w:rPr>
            </w:pPr>
            <w:bookmarkStart w:id="350" w:name="_Toc2408"/>
            <w:bookmarkStart w:id="351" w:name="_Toc10122"/>
            <w:bookmarkStart w:id="352" w:name="_Toc24940"/>
            <w:bookmarkStart w:id="353" w:name="_Toc24859"/>
            <w:bookmarkStart w:id="354" w:name="_Toc22153"/>
            <w:r>
              <w:rPr>
                <w:rFonts w:hint="eastAsia" w:ascii="宋体" w:hAnsi="宋体" w:cs="宋体"/>
                <w:b w:val="0"/>
                <w:bCs w:val="0"/>
                <w:color w:val="auto"/>
                <w:sz w:val="21"/>
                <w:szCs w:val="21"/>
                <w:highlight w:val="none"/>
              </w:rPr>
              <w:t>投标文件响应内容</w:t>
            </w:r>
            <w:bookmarkEnd w:id="350"/>
            <w:bookmarkEnd w:id="351"/>
            <w:bookmarkEnd w:id="352"/>
            <w:bookmarkEnd w:id="353"/>
            <w:bookmarkEnd w:id="354"/>
          </w:p>
        </w:tc>
        <w:tc>
          <w:tcPr>
            <w:tcW w:w="1109" w:type="dxa"/>
            <w:tcBorders>
              <w:tl2br w:val="nil"/>
              <w:tr2bl w:val="nil"/>
            </w:tcBorders>
            <w:vAlign w:val="center"/>
          </w:tcPr>
          <w:p w14:paraId="60D0C424">
            <w:pPr>
              <w:pStyle w:val="5"/>
              <w:widowControl w:val="0"/>
              <w:overflowPunct w:val="0"/>
              <w:spacing w:line="240" w:lineRule="auto"/>
              <w:jc w:val="center"/>
              <w:rPr>
                <w:rFonts w:ascii="宋体" w:hAnsi="宋体" w:cs="宋体"/>
                <w:b w:val="0"/>
                <w:bCs w:val="0"/>
                <w:color w:val="auto"/>
                <w:sz w:val="21"/>
                <w:szCs w:val="21"/>
                <w:highlight w:val="none"/>
              </w:rPr>
            </w:pPr>
            <w:bookmarkStart w:id="355" w:name="_Toc17390"/>
            <w:bookmarkStart w:id="356" w:name="_Toc29838"/>
            <w:bookmarkStart w:id="357" w:name="_Toc16003"/>
            <w:bookmarkStart w:id="358" w:name="_Toc27285"/>
            <w:bookmarkStart w:id="359" w:name="_Toc29353"/>
            <w:bookmarkStart w:id="360" w:name="_Toc5992"/>
            <w:bookmarkStart w:id="361" w:name="_Toc1912"/>
            <w:bookmarkStart w:id="362" w:name="_Toc20820"/>
            <w:bookmarkStart w:id="363" w:name="_Toc17296"/>
            <w:bookmarkStart w:id="364" w:name="_Toc17642"/>
            <w:bookmarkStart w:id="365" w:name="_Toc20139"/>
            <w:bookmarkStart w:id="366" w:name="_Toc1330"/>
            <w:bookmarkStart w:id="367" w:name="_Toc3701"/>
            <w:bookmarkStart w:id="368" w:name="_Toc5563"/>
            <w:bookmarkStart w:id="369" w:name="_Toc27185"/>
            <w:r>
              <w:rPr>
                <w:rFonts w:hint="eastAsia" w:ascii="宋体" w:hAnsi="宋体" w:cs="宋体"/>
                <w:b w:val="0"/>
                <w:bCs w:val="0"/>
                <w:color w:val="auto"/>
                <w:sz w:val="21"/>
                <w:szCs w:val="21"/>
                <w:highlight w:val="none"/>
              </w:rPr>
              <w:t>说明</w:t>
            </w:r>
            <w:bookmarkEnd w:id="355"/>
            <w:bookmarkEnd w:id="356"/>
            <w:bookmarkEnd w:id="357"/>
            <w:bookmarkEnd w:id="358"/>
            <w:bookmarkEnd w:id="359"/>
          </w:p>
        </w:tc>
        <w:tc>
          <w:tcPr>
            <w:tcW w:w="1591" w:type="dxa"/>
            <w:tcBorders>
              <w:tl2br w:val="nil"/>
              <w:tr2bl w:val="nil"/>
            </w:tcBorders>
            <w:vAlign w:val="center"/>
          </w:tcPr>
          <w:p w14:paraId="68779379">
            <w:pPr>
              <w:pStyle w:val="5"/>
              <w:widowControl w:val="0"/>
              <w:overflowPunct w:val="0"/>
              <w:spacing w:line="240" w:lineRule="auto"/>
              <w:jc w:val="center"/>
              <w:rPr>
                <w:rFonts w:ascii="宋体" w:hAnsi="宋体" w:cs="宋体"/>
                <w:b w:val="0"/>
                <w:bCs w:val="0"/>
                <w:color w:val="auto"/>
                <w:sz w:val="21"/>
                <w:szCs w:val="21"/>
                <w:highlight w:val="none"/>
              </w:rPr>
            </w:pPr>
            <w:bookmarkStart w:id="370" w:name="_Toc857"/>
            <w:bookmarkStart w:id="371" w:name="_Toc21465"/>
            <w:bookmarkStart w:id="372" w:name="_Toc3520"/>
            <w:bookmarkStart w:id="373" w:name="_Toc19105"/>
            <w:bookmarkStart w:id="374" w:name="_Toc30846"/>
            <w:r>
              <w:rPr>
                <w:rFonts w:hint="eastAsia" w:ascii="宋体" w:hAnsi="宋体" w:cs="宋体"/>
                <w:b w:val="0"/>
                <w:bCs w:val="0"/>
                <w:color w:val="auto"/>
                <w:sz w:val="21"/>
                <w:szCs w:val="21"/>
                <w:highlight w:val="none"/>
              </w:rPr>
              <w:t>页码范围</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tc>
      </w:tr>
      <w:tr w14:paraId="29D06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7DE16ED">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301756AC">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4125A23">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26E6B1A">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8581079">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5A6A4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CE057FA">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E512CE7">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7F6D3C14">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5F51DB58">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59E73CD3">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536C7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D9C5810">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4532EB3">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555801">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1776303D">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A5DE5B1">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7EA74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A97D1DB">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9A414F0">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5BC5345C">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59A719D">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BB7C332">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6510A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A7D208D">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5B1E208">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6605B56B">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50605C9">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AFC181E">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5029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B682768">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ED40515">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28D3C354">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4985BE38">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CBFE2BE">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299C4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4D7B1D">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A33BE87">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59D22E0">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0D148B2">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36E349E0">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67095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43ECA20">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CBA2513">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370433">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5BB39AC">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7F8C841">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2356F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F975B5">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7DBC7F2">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5DC2774">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CB1EBB6">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68039CEA">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3B3B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535B225">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8537482">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5AB63EE">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26A48BCA">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15A197B">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F2FA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CE639EB">
            <w:pPr>
              <w:pStyle w:val="5"/>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5547391">
            <w:pPr>
              <w:pStyle w:val="5"/>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1F893B6">
            <w:pPr>
              <w:pStyle w:val="5"/>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FD1C6D4">
            <w:pPr>
              <w:pStyle w:val="5"/>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B39E0DA">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bl>
    <w:p w14:paraId="6CBB737D">
      <w:pPr>
        <w:pStyle w:val="42"/>
        <w:rPr>
          <w:rFonts w:ascii="宋体" w:hAnsi="宋体"/>
          <w:color w:val="auto"/>
          <w:szCs w:val="21"/>
          <w:highlight w:val="none"/>
        </w:rPr>
      </w:pPr>
    </w:p>
    <w:p w14:paraId="5F917F14">
      <w:pPr>
        <w:pStyle w:val="42"/>
        <w:rPr>
          <w:rFonts w:ascii="宋体" w:hAnsi="宋体"/>
          <w:color w:val="auto"/>
          <w:szCs w:val="21"/>
          <w:highlight w:val="none"/>
        </w:rPr>
      </w:pPr>
      <w:r>
        <w:rPr>
          <w:rFonts w:hint="eastAsia" w:ascii="宋体" w:hAnsi="宋体"/>
          <w:color w:val="auto"/>
          <w:szCs w:val="21"/>
          <w:highlight w:val="none"/>
        </w:rPr>
        <w:t>注：</w:t>
      </w:r>
    </w:p>
    <w:p w14:paraId="1A04FFB5">
      <w:pPr>
        <w:pStyle w:val="42"/>
        <w:rPr>
          <w:rFonts w:ascii="宋体" w:hAnsi="宋体"/>
          <w:color w:val="auto"/>
          <w:szCs w:val="21"/>
          <w:highlight w:val="none"/>
        </w:rPr>
      </w:pPr>
      <w:r>
        <w:rPr>
          <w:rFonts w:hint="eastAsia" w:ascii="宋体" w:hAnsi="宋体"/>
          <w:color w:val="auto"/>
          <w:szCs w:val="21"/>
          <w:highlight w:val="none"/>
        </w:rPr>
        <w:t>1、投标人应逐条对照招标文件重要评分条款，如实地说明投标响应情况。</w:t>
      </w:r>
    </w:p>
    <w:p w14:paraId="6644C7BB">
      <w:pPr>
        <w:pStyle w:val="42"/>
        <w:rPr>
          <w:rFonts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44AB4A66">
      <w:pPr>
        <w:pStyle w:val="42"/>
        <w:ind w:firstLine="422"/>
        <w:rPr>
          <w:rFonts w:ascii="宋体" w:hAnsi="宋体"/>
          <w:color w:val="auto"/>
          <w:szCs w:val="21"/>
          <w:highlight w:val="none"/>
        </w:rPr>
      </w:pPr>
      <w:r>
        <w:rPr>
          <w:rFonts w:hint="eastAsia" w:ascii="宋体" w:hAnsi="宋体"/>
          <w:b/>
          <w:bCs/>
          <w:color w:val="auto"/>
          <w:szCs w:val="21"/>
          <w:highlight w:val="none"/>
        </w:rPr>
        <w:t>3、若招标文件未设定重要技术参数（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6F445B83">
      <w:pPr>
        <w:pStyle w:val="42"/>
        <w:numPr>
          <w:ilvl w:val="0"/>
          <w:numId w:val="13"/>
        </w:numPr>
        <w:rPr>
          <w:rFonts w:ascii="黑体" w:eastAsia="黑体"/>
          <w:color w:val="auto"/>
          <w:sz w:val="32"/>
          <w:szCs w:val="32"/>
          <w:highlight w:val="none"/>
        </w:rPr>
      </w:pPr>
      <w:r>
        <w:rPr>
          <w:rFonts w:hint="eastAsia" w:ascii="宋体" w:hAnsi="宋体"/>
          <w:color w:val="auto"/>
          <w:szCs w:val="21"/>
          <w:highlight w:val="none"/>
        </w:rPr>
        <w:br w:type="page"/>
      </w:r>
    </w:p>
    <w:p w14:paraId="595AD52B">
      <w:pPr>
        <w:pStyle w:val="4"/>
        <w:jc w:val="center"/>
        <w:rPr>
          <w:color w:val="auto"/>
          <w:highlight w:val="none"/>
        </w:rPr>
      </w:pPr>
      <w:bookmarkStart w:id="375" w:name="_Toc16865"/>
      <w:bookmarkStart w:id="376" w:name="_Toc19349"/>
      <w:r>
        <w:rPr>
          <w:rFonts w:hint="eastAsia"/>
          <w:color w:val="auto"/>
          <w:highlight w:val="none"/>
        </w:rPr>
        <w:t>三、实质性条款（标记★）投标响应表</w:t>
      </w:r>
      <w:bookmarkEnd w:id="375"/>
    </w:p>
    <w:tbl>
      <w:tblPr>
        <w:tblStyle w:val="30"/>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398"/>
        <w:gridCol w:w="2399"/>
        <w:gridCol w:w="1180"/>
        <w:gridCol w:w="1867"/>
      </w:tblGrid>
      <w:tr w14:paraId="322A3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1DDCCE7E">
            <w:pPr>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7CE8ABEE">
            <w:pPr>
              <w:jc w:val="center"/>
              <w:rPr>
                <w:rFonts w:ascii="宋体" w:hAnsi="宋体" w:cs="宋体"/>
                <w:color w:val="auto"/>
                <w:sz w:val="24"/>
                <w:szCs w:val="24"/>
                <w:highlight w:val="none"/>
              </w:rPr>
            </w:pPr>
            <w:r>
              <w:rPr>
                <w:rFonts w:hint="eastAsia" w:ascii="宋体" w:hAnsi="宋体" w:cs="宋体"/>
                <w:color w:val="auto"/>
                <w:sz w:val="24"/>
                <w:szCs w:val="24"/>
                <w:highlight w:val="none"/>
              </w:rPr>
              <w:t>招标文件实质性条款</w:t>
            </w:r>
          </w:p>
        </w:tc>
        <w:tc>
          <w:tcPr>
            <w:tcW w:w="2399" w:type="dxa"/>
            <w:tcBorders>
              <w:tl2br w:val="nil"/>
              <w:tr2bl w:val="nil"/>
            </w:tcBorders>
            <w:vAlign w:val="center"/>
          </w:tcPr>
          <w:p w14:paraId="6FB5F39B">
            <w:pPr>
              <w:jc w:val="center"/>
              <w:rPr>
                <w:rFonts w:ascii="宋体" w:hAnsi="宋体" w:cs="宋体"/>
                <w:color w:val="auto"/>
                <w:sz w:val="24"/>
                <w:szCs w:val="24"/>
                <w:highlight w:val="none"/>
              </w:rPr>
            </w:pPr>
            <w:r>
              <w:rPr>
                <w:rFonts w:hint="eastAsia" w:ascii="宋体" w:hAnsi="宋体" w:cs="宋体"/>
                <w:color w:val="auto"/>
                <w:sz w:val="24"/>
                <w:szCs w:val="24"/>
                <w:highlight w:val="none"/>
              </w:rPr>
              <w:t>投标文件响应内容</w:t>
            </w:r>
          </w:p>
        </w:tc>
        <w:tc>
          <w:tcPr>
            <w:tcW w:w="1180" w:type="dxa"/>
            <w:tcBorders>
              <w:tl2br w:val="nil"/>
              <w:tr2bl w:val="nil"/>
            </w:tcBorders>
            <w:vAlign w:val="center"/>
          </w:tcPr>
          <w:p w14:paraId="28E5DB82">
            <w:pPr>
              <w:jc w:val="center"/>
              <w:rPr>
                <w:rFonts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6B675B7B">
            <w:pPr>
              <w:jc w:val="center"/>
              <w:rPr>
                <w:rFonts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41D86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399D74F3">
            <w:pPr>
              <w:jc w:val="center"/>
              <w:rPr>
                <w:rFonts w:ascii="宋体" w:hAnsi="宋体" w:cs="宋体"/>
                <w:color w:val="auto"/>
                <w:sz w:val="24"/>
                <w:szCs w:val="24"/>
                <w:highlight w:val="none"/>
              </w:rPr>
            </w:pPr>
          </w:p>
        </w:tc>
        <w:tc>
          <w:tcPr>
            <w:tcW w:w="2398" w:type="dxa"/>
            <w:tcBorders>
              <w:tl2br w:val="nil"/>
              <w:tr2bl w:val="nil"/>
            </w:tcBorders>
            <w:vAlign w:val="center"/>
          </w:tcPr>
          <w:p w14:paraId="2B2EC973">
            <w:pPr>
              <w:jc w:val="center"/>
              <w:rPr>
                <w:rFonts w:ascii="宋体" w:hAnsi="宋体" w:cs="宋体"/>
                <w:color w:val="auto"/>
                <w:sz w:val="24"/>
                <w:szCs w:val="24"/>
                <w:highlight w:val="none"/>
              </w:rPr>
            </w:pPr>
          </w:p>
        </w:tc>
        <w:tc>
          <w:tcPr>
            <w:tcW w:w="2399" w:type="dxa"/>
            <w:tcBorders>
              <w:tl2br w:val="nil"/>
              <w:tr2bl w:val="nil"/>
            </w:tcBorders>
            <w:vAlign w:val="center"/>
          </w:tcPr>
          <w:p w14:paraId="7E66C30D">
            <w:pPr>
              <w:jc w:val="center"/>
              <w:rPr>
                <w:rFonts w:ascii="宋体" w:hAnsi="宋体" w:cs="宋体"/>
                <w:color w:val="auto"/>
                <w:sz w:val="24"/>
                <w:szCs w:val="24"/>
                <w:highlight w:val="none"/>
              </w:rPr>
            </w:pPr>
          </w:p>
        </w:tc>
        <w:tc>
          <w:tcPr>
            <w:tcW w:w="1180" w:type="dxa"/>
            <w:tcBorders>
              <w:tl2br w:val="nil"/>
              <w:tr2bl w:val="nil"/>
            </w:tcBorders>
            <w:vAlign w:val="center"/>
          </w:tcPr>
          <w:p w14:paraId="0F4DC4C2">
            <w:pPr>
              <w:jc w:val="center"/>
              <w:rPr>
                <w:rFonts w:ascii="宋体" w:hAnsi="宋体"/>
                <w:color w:val="auto"/>
                <w:sz w:val="24"/>
                <w:highlight w:val="none"/>
              </w:rPr>
            </w:pPr>
          </w:p>
        </w:tc>
        <w:tc>
          <w:tcPr>
            <w:tcW w:w="1867" w:type="dxa"/>
            <w:tcBorders>
              <w:tl2br w:val="nil"/>
              <w:tr2bl w:val="nil"/>
            </w:tcBorders>
            <w:vAlign w:val="center"/>
          </w:tcPr>
          <w:p w14:paraId="49466BA9">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16293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6BA749F6">
            <w:pPr>
              <w:jc w:val="center"/>
              <w:rPr>
                <w:rFonts w:ascii="宋体" w:hAnsi="宋体" w:cs="宋体"/>
                <w:color w:val="auto"/>
                <w:sz w:val="24"/>
                <w:szCs w:val="24"/>
                <w:highlight w:val="none"/>
              </w:rPr>
            </w:pPr>
          </w:p>
        </w:tc>
        <w:tc>
          <w:tcPr>
            <w:tcW w:w="2398" w:type="dxa"/>
            <w:tcBorders>
              <w:tl2br w:val="nil"/>
              <w:tr2bl w:val="nil"/>
            </w:tcBorders>
            <w:vAlign w:val="center"/>
          </w:tcPr>
          <w:p w14:paraId="32236929">
            <w:pPr>
              <w:jc w:val="center"/>
              <w:rPr>
                <w:rFonts w:ascii="宋体" w:hAnsi="宋体" w:cs="宋体"/>
                <w:color w:val="auto"/>
                <w:sz w:val="24"/>
                <w:szCs w:val="24"/>
                <w:highlight w:val="none"/>
              </w:rPr>
            </w:pPr>
          </w:p>
        </w:tc>
        <w:tc>
          <w:tcPr>
            <w:tcW w:w="2399" w:type="dxa"/>
            <w:tcBorders>
              <w:tl2br w:val="nil"/>
              <w:tr2bl w:val="nil"/>
            </w:tcBorders>
            <w:vAlign w:val="center"/>
          </w:tcPr>
          <w:p w14:paraId="79E7FD17">
            <w:pPr>
              <w:jc w:val="center"/>
              <w:rPr>
                <w:rFonts w:ascii="宋体" w:hAnsi="宋体" w:cs="宋体"/>
                <w:color w:val="auto"/>
                <w:sz w:val="24"/>
                <w:szCs w:val="24"/>
                <w:highlight w:val="none"/>
              </w:rPr>
            </w:pPr>
          </w:p>
        </w:tc>
        <w:tc>
          <w:tcPr>
            <w:tcW w:w="1180" w:type="dxa"/>
            <w:tcBorders>
              <w:tl2br w:val="nil"/>
              <w:tr2bl w:val="nil"/>
            </w:tcBorders>
            <w:vAlign w:val="center"/>
          </w:tcPr>
          <w:p w14:paraId="2C21C932">
            <w:pPr>
              <w:jc w:val="center"/>
              <w:rPr>
                <w:rFonts w:ascii="宋体" w:hAnsi="宋体"/>
                <w:color w:val="auto"/>
                <w:sz w:val="24"/>
                <w:highlight w:val="none"/>
              </w:rPr>
            </w:pPr>
          </w:p>
        </w:tc>
        <w:tc>
          <w:tcPr>
            <w:tcW w:w="1867" w:type="dxa"/>
            <w:tcBorders>
              <w:tl2br w:val="nil"/>
              <w:tr2bl w:val="nil"/>
            </w:tcBorders>
            <w:vAlign w:val="center"/>
          </w:tcPr>
          <w:p w14:paraId="05B2A885">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7FF82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4301D65C">
            <w:pPr>
              <w:jc w:val="center"/>
              <w:rPr>
                <w:rFonts w:ascii="宋体" w:hAnsi="宋体" w:cs="宋体"/>
                <w:color w:val="auto"/>
                <w:sz w:val="24"/>
                <w:szCs w:val="24"/>
                <w:highlight w:val="none"/>
              </w:rPr>
            </w:pPr>
          </w:p>
        </w:tc>
        <w:tc>
          <w:tcPr>
            <w:tcW w:w="2398" w:type="dxa"/>
            <w:tcBorders>
              <w:tl2br w:val="nil"/>
              <w:tr2bl w:val="nil"/>
            </w:tcBorders>
            <w:vAlign w:val="center"/>
          </w:tcPr>
          <w:p w14:paraId="17B31ECA">
            <w:pPr>
              <w:jc w:val="center"/>
              <w:rPr>
                <w:rFonts w:ascii="宋体" w:hAnsi="宋体" w:cs="宋体"/>
                <w:color w:val="auto"/>
                <w:sz w:val="24"/>
                <w:szCs w:val="24"/>
                <w:highlight w:val="none"/>
              </w:rPr>
            </w:pPr>
          </w:p>
        </w:tc>
        <w:tc>
          <w:tcPr>
            <w:tcW w:w="2399" w:type="dxa"/>
            <w:tcBorders>
              <w:tl2br w:val="nil"/>
              <w:tr2bl w:val="nil"/>
            </w:tcBorders>
            <w:vAlign w:val="center"/>
          </w:tcPr>
          <w:p w14:paraId="6C524024">
            <w:pPr>
              <w:jc w:val="center"/>
              <w:rPr>
                <w:rFonts w:ascii="宋体" w:hAnsi="宋体" w:cs="宋体"/>
                <w:color w:val="auto"/>
                <w:sz w:val="24"/>
                <w:szCs w:val="24"/>
                <w:highlight w:val="none"/>
              </w:rPr>
            </w:pPr>
          </w:p>
        </w:tc>
        <w:tc>
          <w:tcPr>
            <w:tcW w:w="1180" w:type="dxa"/>
            <w:tcBorders>
              <w:tl2br w:val="nil"/>
              <w:tr2bl w:val="nil"/>
            </w:tcBorders>
            <w:vAlign w:val="center"/>
          </w:tcPr>
          <w:p w14:paraId="645B7ED8">
            <w:pPr>
              <w:jc w:val="center"/>
              <w:rPr>
                <w:rFonts w:ascii="宋体" w:hAnsi="宋体"/>
                <w:color w:val="auto"/>
                <w:sz w:val="24"/>
                <w:highlight w:val="none"/>
              </w:rPr>
            </w:pPr>
          </w:p>
        </w:tc>
        <w:tc>
          <w:tcPr>
            <w:tcW w:w="1867" w:type="dxa"/>
            <w:tcBorders>
              <w:tl2br w:val="nil"/>
              <w:tr2bl w:val="nil"/>
            </w:tcBorders>
            <w:vAlign w:val="center"/>
          </w:tcPr>
          <w:p w14:paraId="5C9D753F">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0696F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4CA6FCC7">
            <w:pPr>
              <w:jc w:val="center"/>
              <w:rPr>
                <w:rFonts w:ascii="宋体" w:hAnsi="宋体" w:cs="宋体"/>
                <w:color w:val="auto"/>
                <w:sz w:val="24"/>
                <w:szCs w:val="24"/>
                <w:highlight w:val="none"/>
              </w:rPr>
            </w:pPr>
          </w:p>
        </w:tc>
        <w:tc>
          <w:tcPr>
            <w:tcW w:w="2398" w:type="dxa"/>
            <w:tcBorders>
              <w:tl2br w:val="nil"/>
              <w:tr2bl w:val="nil"/>
            </w:tcBorders>
            <w:vAlign w:val="center"/>
          </w:tcPr>
          <w:p w14:paraId="46B8757F">
            <w:pPr>
              <w:jc w:val="center"/>
              <w:rPr>
                <w:rFonts w:ascii="宋体" w:hAnsi="宋体" w:cs="宋体"/>
                <w:color w:val="auto"/>
                <w:sz w:val="24"/>
                <w:szCs w:val="24"/>
                <w:highlight w:val="none"/>
              </w:rPr>
            </w:pPr>
          </w:p>
        </w:tc>
        <w:tc>
          <w:tcPr>
            <w:tcW w:w="2399" w:type="dxa"/>
            <w:tcBorders>
              <w:tl2br w:val="nil"/>
              <w:tr2bl w:val="nil"/>
            </w:tcBorders>
            <w:vAlign w:val="center"/>
          </w:tcPr>
          <w:p w14:paraId="3183AAF9">
            <w:pPr>
              <w:jc w:val="center"/>
              <w:rPr>
                <w:rFonts w:ascii="宋体" w:hAnsi="宋体" w:cs="宋体"/>
                <w:color w:val="auto"/>
                <w:sz w:val="24"/>
                <w:szCs w:val="24"/>
                <w:highlight w:val="none"/>
              </w:rPr>
            </w:pPr>
          </w:p>
        </w:tc>
        <w:tc>
          <w:tcPr>
            <w:tcW w:w="1180" w:type="dxa"/>
            <w:tcBorders>
              <w:tl2br w:val="nil"/>
              <w:tr2bl w:val="nil"/>
            </w:tcBorders>
            <w:vAlign w:val="center"/>
          </w:tcPr>
          <w:p w14:paraId="2D10F211">
            <w:pPr>
              <w:jc w:val="center"/>
              <w:rPr>
                <w:rFonts w:ascii="宋体" w:hAnsi="宋体"/>
                <w:color w:val="auto"/>
                <w:sz w:val="24"/>
                <w:highlight w:val="none"/>
              </w:rPr>
            </w:pPr>
          </w:p>
        </w:tc>
        <w:tc>
          <w:tcPr>
            <w:tcW w:w="1867" w:type="dxa"/>
            <w:tcBorders>
              <w:tl2br w:val="nil"/>
              <w:tr2bl w:val="nil"/>
            </w:tcBorders>
            <w:vAlign w:val="center"/>
          </w:tcPr>
          <w:p w14:paraId="7DFC30E2">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6E56D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713ED279">
            <w:pPr>
              <w:jc w:val="center"/>
              <w:rPr>
                <w:rFonts w:ascii="宋体" w:hAnsi="宋体" w:cs="宋体"/>
                <w:color w:val="auto"/>
                <w:sz w:val="24"/>
                <w:szCs w:val="24"/>
                <w:highlight w:val="none"/>
              </w:rPr>
            </w:pPr>
          </w:p>
        </w:tc>
        <w:tc>
          <w:tcPr>
            <w:tcW w:w="2398" w:type="dxa"/>
            <w:tcBorders>
              <w:tl2br w:val="nil"/>
              <w:tr2bl w:val="nil"/>
            </w:tcBorders>
            <w:vAlign w:val="center"/>
          </w:tcPr>
          <w:p w14:paraId="503527C7">
            <w:pPr>
              <w:jc w:val="center"/>
              <w:rPr>
                <w:rFonts w:ascii="宋体" w:hAnsi="宋体" w:cs="宋体"/>
                <w:color w:val="auto"/>
                <w:sz w:val="24"/>
                <w:szCs w:val="24"/>
                <w:highlight w:val="none"/>
              </w:rPr>
            </w:pPr>
          </w:p>
        </w:tc>
        <w:tc>
          <w:tcPr>
            <w:tcW w:w="2399" w:type="dxa"/>
            <w:tcBorders>
              <w:tl2br w:val="nil"/>
              <w:tr2bl w:val="nil"/>
            </w:tcBorders>
            <w:vAlign w:val="center"/>
          </w:tcPr>
          <w:p w14:paraId="1B9DD9E3">
            <w:pPr>
              <w:jc w:val="center"/>
              <w:rPr>
                <w:rFonts w:ascii="宋体" w:hAnsi="宋体" w:cs="宋体"/>
                <w:color w:val="auto"/>
                <w:sz w:val="24"/>
                <w:szCs w:val="24"/>
                <w:highlight w:val="none"/>
              </w:rPr>
            </w:pPr>
          </w:p>
        </w:tc>
        <w:tc>
          <w:tcPr>
            <w:tcW w:w="1180" w:type="dxa"/>
            <w:tcBorders>
              <w:tl2br w:val="nil"/>
              <w:tr2bl w:val="nil"/>
            </w:tcBorders>
            <w:vAlign w:val="center"/>
          </w:tcPr>
          <w:p w14:paraId="2A276505">
            <w:pPr>
              <w:jc w:val="center"/>
              <w:rPr>
                <w:rFonts w:ascii="宋体" w:hAnsi="宋体"/>
                <w:color w:val="auto"/>
                <w:sz w:val="24"/>
                <w:highlight w:val="none"/>
              </w:rPr>
            </w:pPr>
          </w:p>
        </w:tc>
        <w:tc>
          <w:tcPr>
            <w:tcW w:w="1867" w:type="dxa"/>
            <w:tcBorders>
              <w:tl2br w:val="nil"/>
              <w:tr2bl w:val="nil"/>
            </w:tcBorders>
            <w:vAlign w:val="center"/>
          </w:tcPr>
          <w:p w14:paraId="213B48B7">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7DD6E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1591C313">
            <w:pPr>
              <w:jc w:val="center"/>
              <w:rPr>
                <w:rFonts w:ascii="宋体" w:hAnsi="宋体" w:cs="宋体"/>
                <w:color w:val="auto"/>
                <w:sz w:val="24"/>
                <w:szCs w:val="24"/>
                <w:highlight w:val="none"/>
              </w:rPr>
            </w:pPr>
          </w:p>
        </w:tc>
        <w:tc>
          <w:tcPr>
            <w:tcW w:w="2398" w:type="dxa"/>
            <w:tcBorders>
              <w:tl2br w:val="nil"/>
              <w:tr2bl w:val="nil"/>
            </w:tcBorders>
            <w:vAlign w:val="center"/>
          </w:tcPr>
          <w:p w14:paraId="7912DF12">
            <w:pPr>
              <w:jc w:val="center"/>
              <w:rPr>
                <w:rFonts w:ascii="宋体" w:hAnsi="宋体" w:cs="宋体"/>
                <w:color w:val="auto"/>
                <w:sz w:val="24"/>
                <w:szCs w:val="24"/>
                <w:highlight w:val="none"/>
              </w:rPr>
            </w:pPr>
          </w:p>
        </w:tc>
        <w:tc>
          <w:tcPr>
            <w:tcW w:w="2399" w:type="dxa"/>
            <w:tcBorders>
              <w:tl2br w:val="nil"/>
              <w:tr2bl w:val="nil"/>
            </w:tcBorders>
            <w:vAlign w:val="center"/>
          </w:tcPr>
          <w:p w14:paraId="58F92D3C">
            <w:pPr>
              <w:jc w:val="center"/>
              <w:rPr>
                <w:rFonts w:ascii="宋体" w:hAnsi="宋体" w:cs="宋体"/>
                <w:color w:val="auto"/>
                <w:sz w:val="24"/>
                <w:szCs w:val="24"/>
                <w:highlight w:val="none"/>
              </w:rPr>
            </w:pPr>
          </w:p>
        </w:tc>
        <w:tc>
          <w:tcPr>
            <w:tcW w:w="1180" w:type="dxa"/>
            <w:tcBorders>
              <w:tl2br w:val="nil"/>
              <w:tr2bl w:val="nil"/>
            </w:tcBorders>
            <w:vAlign w:val="center"/>
          </w:tcPr>
          <w:p w14:paraId="0E7B0286">
            <w:pPr>
              <w:jc w:val="center"/>
              <w:rPr>
                <w:rFonts w:ascii="宋体" w:hAnsi="宋体"/>
                <w:color w:val="auto"/>
                <w:sz w:val="24"/>
                <w:highlight w:val="none"/>
              </w:rPr>
            </w:pPr>
          </w:p>
        </w:tc>
        <w:tc>
          <w:tcPr>
            <w:tcW w:w="1867" w:type="dxa"/>
            <w:tcBorders>
              <w:tl2br w:val="nil"/>
              <w:tr2bl w:val="nil"/>
            </w:tcBorders>
            <w:vAlign w:val="center"/>
          </w:tcPr>
          <w:p w14:paraId="0EC77351">
            <w:pPr>
              <w:jc w:val="center"/>
              <w:rPr>
                <w:rFonts w:ascii="宋体" w:hAnsi="宋体"/>
                <w:color w:val="auto"/>
                <w:sz w:val="24"/>
                <w:highlight w:val="none"/>
              </w:rPr>
            </w:pPr>
            <w:r>
              <w:rPr>
                <w:rFonts w:hint="eastAsia" w:ascii="宋体" w:hAnsi="宋体"/>
                <w:color w:val="auto"/>
                <w:sz w:val="24"/>
                <w:highlight w:val="none"/>
              </w:rPr>
              <w:t>详见投标文件第（）页</w:t>
            </w:r>
          </w:p>
        </w:tc>
      </w:tr>
      <w:tr w14:paraId="7B04C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2C97D88C">
            <w:pPr>
              <w:jc w:val="center"/>
              <w:rPr>
                <w:rFonts w:ascii="宋体" w:hAnsi="宋体" w:cs="宋体"/>
                <w:color w:val="auto"/>
                <w:sz w:val="24"/>
                <w:szCs w:val="24"/>
                <w:highlight w:val="none"/>
              </w:rPr>
            </w:pPr>
          </w:p>
        </w:tc>
        <w:tc>
          <w:tcPr>
            <w:tcW w:w="2398" w:type="dxa"/>
            <w:tcBorders>
              <w:tl2br w:val="nil"/>
              <w:tr2bl w:val="nil"/>
            </w:tcBorders>
            <w:vAlign w:val="center"/>
          </w:tcPr>
          <w:p w14:paraId="615922E5">
            <w:pPr>
              <w:jc w:val="center"/>
              <w:rPr>
                <w:rFonts w:ascii="宋体" w:hAnsi="宋体" w:cs="宋体"/>
                <w:color w:val="auto"/>
                <w:sz w:val="24"/>
                <w:szCs w:val="24"/>
                <w:highlight w:val="none"/>
              </w:rPr>
            </w:pPr>
          </w:p>
        </w:tc>
        <w:tc>
          <w:tcPr>
            <w:tcW w:w="2399" w:type="dxa"/>
            <w:tcBorders>
              <w:tl2br w:val="nil"/>
              <w:tr2bl w:val="nil"/>
            </w:tcBorders>
            <w:vAlign w:val="center"/>
          </w:tcPr>
          <w:p w14:paraId="2A221D5B">
            <w:pPr>
              <w:jc w:val="center"/>
              <w:rPr>
                <w:rFonts w:ascii="宋体" w:hAnsi="宋体" w:cs="宋体"/>
                <w:color w:val="auto"/>
                <w:sz w:val="24"/>
                <w:szCs w:val="24"/>
                <w:highlight w:val="none"/>
              </w:rPr>
            </w:pPr>
          </w:p>
        </w:tc>
        <w:tc>
          <w:tcPr>
            <w:tcW w:w="1180" w:type="dxa"/>
            <w:tcBorders>
              <w:tl2br w:val="nil"/>
              <w:tr2bl w:val="nil"/>
            </w:tcBorders>
            <w:vAlign w:val="center"/>
          </w:tcPr>
          <w:p w14:paraId="56BEE14E">
            <w:pPr>
              <w:jc w:val="center"/>
              <w:rPr>
                <w:rFonts w:ascii="宋体" w:hAnsi="宋体"/>
                <w:color w:val="auto"/>
                <w:sz w:val="24"/>
                <w:highlight w:val="none"/>
              </w:rPr>
            </w:pPr>
          </w:p>
        </w:tc>
        <w:tc>
          <w:tcPr>
            <w:tcW w:w="1867" w:type="dxa"/>
            <w:tcBorders>
              <w:tl2br w:val="nil"/>
              <w:tr2bl w:val="nil"/>
            </w:tcBorders>
            <w:vAlign w:val="center"/>
          </w:tcPr>
          <w:p w14:paraId="6CFF73F6">
            <w:pPr>
              <w:jc w:val="center"/>
              <w:rPr>
                <w:rFonts w:ascii="宋体" w:hAnsi="宋体"/>
                <w:color w:val="auto"/>
                <w:sz w:val="24"/>
                <w:highlight w:val="none"/>
              </w:rPr>
            </w:pPr>
            <w:r>
              <w:rPr>
                <w:rFonts w:hint="eastAsia" w:ascii="宋体" w:hAnsi="宋体"/>
                <w:color w:val="auto"/>
                <w:sz w:val="24"/>
                <w:highlight w:val="none"/>
              </w:rPr>
              <w:t>详见投标文件第（）页</w:t>
            </w:r>
          </w:p>
        </w:tc>
      </w:tr>
      <w:tr w14:paraId="20922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31F8DAD4">
            <w:pPr>
              <w:jc w:val="center"/>
              <w:rPr>
                <w:rFonts w:ascii="宋体" w:hAnsi="宋体" w:cs="宋体"/>
                <w:color w:val="auto"/>
                <w:sz w:val="24"/>
                <w:szCs w:val="24"/>
                <w:highlight w:val="none"/>
              </w:rPr>
            </w:pPr>
          </w:p>
        </w:tc>
        <w:tc>
          <w:tcPr>
            <w:tcW w:w="2398" w:type="dxa"/>
            <w:tcBorders>
              <w:tl2br w:val="nil"/>
              <w:tr2bl w:val="nil"/>
            </w:tcBorders>
            <w:vAlign w:val="center"/>
          </w:tcPr>
          <w:p w14:paraId="12CE2E70">
            <w:pPr>
              <w:jc w:val="center"/>
              <w:rPr>
                <w:rFonts w:ascii="宋体" w:hAnsi="宋体" w:cs="宋体"/>
                <w:color w:val="auto"/>
                <w:sz w:val="24"/>
                <w:szCs w:val="24"/>
                <w:highlight w:val="none"/>
              </w:rPr>
            </w:pPr>
          </w:p>
        </w:tc>
        <w:tc>
          <w:tcPr>
            <w:tcW w:w="2399" w:type="dxa"/>
            <w:tcBorders>
              <w:tl2br w:val="nil"/>
              <w:tr2bl w:val="nil"/>
            </w:tcBorders>
            <w:vAlign w:val="center"/>
          </w:tcPr>
          <w:p w14:paraId="6D094152">
            <w:pPr>
              <w:jc w:val="center"/>
              <w:rPr>
                <w:rFonts w:ascii="宋体" w:hAnsi="宋体" w:cs="宋体"/>
                <w:color w:val="auto"/>
                <w:sz w:val="24"/>
                <w:szCs w:val="24"/>
                <w:highlight w:val="none"/>
              </w:rPr>
            </w:pPr>
          </w:p>
        </w:tc>
        <w:tc>
          <w:tcPr>
            <w:tcW w:w="1180" w:type="dxa"/>
            <w:tcBorders>
              <w:tl2br w:val="nil"/>
              <w:tr2bl w:val="nil"/>
            </w:tcBorders>
            <w:vAlign w:val="center"/>
          </w:tcPr>
          <w:p w14:paraId="489B4570">
            <w:pPr>
              <w:jc w:val="center"/>
              <w:rPr>
                <w:rFonts w:ascii="宋体" w:hAnsi="宋体"/>
                <w:color w:val="auto"/>
                <w:sz w:val="24"/>
                <w:highlight w:val="none"/>
              </w:rPr>
            </w:pPr>
          </w:p>
        </w:tc>
        <w:tc>
          <w:tcPr>
            <w:tcW w:w="1867" w:type="dxa"/>
            <w:tcBorders>
              <w:tl2br w:val="nil"/>
              <w:tr2bl w:val="nil"/>
            </w:tcBorders>
            <w:vAlign w:val="center"/>
          </w:tcPr>
          <w:p w14:paraId="33827A9C">
            <w:pPr>
              <w:jc w:val="center"/>
              <w:rPr>
                <w:rFonts w:ascii="宋体" w:hAnsi="宋体"/>
                <w:color w:val="auto"/>
                <w:sz w:val="24"/>
                <w:highlight w:val="none"/>
              </w:rPr>
            </w:pPr>
            <w:r>
              <w:rPr>
                <w:rFonts w:hint="eastAsia" w:ascii="宋体" w:hAnsi="宋体"/>
                <w:color w:val="auto"/>
                <w:sz w:val="24"/>
                <w:highlight w:val="none"/>
              </w:rPr>
              <w:t>详见投标文件第（）页</w:t>
            </w:r>
          </w:p>
        </w:tc>
      </w:tr>
    </w:tbl>
    <w:p w14:paraId="3E94F4CB">
      <w:pPr>
        <w:rPr>
          <w:rFonts w:ascii="宋体" w:hAnsi="宋体"/>
          <w:color w:val="auto"/>
          <w:szCs w:val="21"/>
          <w:highlight w:val="none"/>
        </w:rPr>
      </w:pPr>
    </w:p>
    <w:p w14:paraId="167E9BC6">
      <w:pPr>
        <w:rPr>
          <w:color w:val="auto"/>
          <w:highlight w:val="none"/>
        </w:rPr>
      </w:pPr>
    </w:p>
    <w:p w14:paraId="36A62A4F">
      <w:pPr>
        <w:rPr>
          <w:rFonts w:ascii="宋体" w:hAnsi="宋体"/>
          <w:color w:val="auto"/>
          <w:szCs w:val="21"/>
          <w:highlight w:val="none"/>
        </w:rPr>
      </w:pPr>
      <w:r>
        <w:rPr>
          <w:rFonts w:hint="eastAsia" w:ascii="宋体" w:hAnsi="宋体"/>
          <w:color w:val="auto"/>
          <w:szCs w:val="21"/>
          <w:highlight w:val="none"/>
        </w:rPr>
        <w:t>投标人代表签字：</w:t>
      </w:r>
    </w:p>
    <w:p w14:paraId="1D43DFDF">
      <w:pPr>
        <w:rPr>
          <w:rFonts w:ascii="宋体" w:hAnsi="宋体"/>
          <w:color w:val="auto"/>
          <w:szCs w:val="21"/>
          <w:highlight w:val="none"/>
        </w:rPr>
      </w:pPr>
      <w:r>
        <w:rPr>
          <w:rFonts w:hint="eastAsia" w:ascii="宋体" w:hAnsi="宋体"/>
          <w:color w:val="auto"/>
          <w:szCs w:val="21"/>
          <w:highlight w:val="none"/>
        </w:rPr>
        <w:t>投标人盖章：</w:t>
      </w:r>
    </w:p>
    <w:p w14:paraId="182D1B22">
      <w:pPr>
        <w:rPr>
          <w:color w:val="auto"/>
          <w:highlight w:val="none"/>
        </w:rPr>
      </w:pPr>
    </w:p>
    <w:p w14:paraId="279042CD">
      <w:pPr>
        <w:rPr>
          <w:color w:val="auto"/>
          <w:highlight w:val="none"/>
        </w:rPr>
      </w:pPr>
    </w:p>
    <w:p w14:paraId="3A8D2DAF">
      <w:pPr>
        <w:rPr>
          <w:color w:val="auto"/>
          <w:highlight w:val="none"/>
        </w:rPr>
      </w:pPr>
      <w:r>
        <w:rPr>
          <w:rFonts w:hint="eastAsia"/>
          <w:color w:val="auto"/>
          <w:highlight w:val="none"/>
        </w:rPr>
        <w:t>注：</w:t>
      </w:r>
    </w:p>
    <w:p w14:paraId="0F627926">
      <w:pPr>
        <w:ind w:firstLine="420" w:firstLineChars="200"/>
        <w:rPr>
          <w:color w:val="auto"/>
          <w:highlight w:val="none"/>
        </w:rPr>
      </w:pPr>
      <w:r>
        <w:rPr>
          <w:rFonts w:hint="eastAsia"/>
          <w:color w:val="auto"/>
          <w:highlight w:val="none"/>
        </w:rPr>
        <w:t>1、供应商应逐条对照招标文件实质性条款，如实地说明投标响应情况。不满足的按无效投标处理。</w:t>
      </w:r>
    </w:p>
    <w:p w14:paraId="73CBACA9">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2、若该实质性条款规定提交相关证明材料的，供应商应当提供，并附于本格式后。未按要求提供或提供不符合要求的证明材料，视为不满足，按无效投标处理。</w:t>
      </w:r>
    </w:p>
    <w:p w14:paraId="29DA82C8">
      <w:pPr>
        <w:ind w:firstLine="420" w:firstLineChars="200"/>
        <w:rPr>
          <w:color w:val="auto"/>
          <w:highlight w:val="none"/>
        </w:rPr>
      </w:pPr>
      <w:r>
        <w:rPr>
          <w:rFonts w:hint="eastAsia"/>
          <w:color w:val="auto"/>
          <w:highlight w:val="none"/>
        </w:rPr>
        <w:t>3、若招标文件未设定实质性条款的，可删除本格式。</w:t>
      </w:r>
    </w:p>
    <w:p w14:paraId="26836E9F">
      <w:pPr>
        <w:pStyle w:val="4"/>
        <w:jc w:val="center"/>
        <w:rPr>
          <w:color w:val="auto"/>
          <w:highlight w:val="none"/>
        </w:rPr>
      </w:pPr>
      <w:bookmarkStart w:id="377" w:name="_Toc30194"/>
      <w:r>
        <w:rPr>
          <w:rFonts w:hint="eastAsia"/>
          <w:color w:val="auto"/>
          <w:highlight w:val="none"/>
        </w:rPr>
        <w:t>四、项目技术方案</w:t>
      </w:r>
      <w:bookmarkEnd w:id="376"/>
      <w:bookmarkEnd w:id="377"/>
    </w:p>
    <w:p w14:paraId="1367AA07">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21FAD69E">
      <w:pPr>
        <w:ind w:left="718" w:leftChars="200" w:hanging="298" w:hangingChars="142"/>
        <w:rPr>
          <w:rFonts w:ascii="宋体" w:hAnsi="宋体"/>
          <w:color w:val="auto"/>
          <w:szCs w:val="21"/>
          <w:highlight w:val="none"/>
        </w:rPr>
      </w:pPr>
    </w:p>
    <w:p w14:paraId="401B9636">
      <w:pPr>
        <w:ind w:left="718" w:leftChars="200" w:hanging="298" w:hangingChars="142"/>
        <w:rPr>
          <w:rFonts w:ascii="宋体" w:hAnsi="宋体"/>
          <w:color w:val="auto"/>
          <w:szCs w:val="21"/>
          <w:highlight w:val="none"/>
        </w:rPr>
      </w:pPr>
    </w:p>
    <w:p w14:paraId="27FF73CD">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6CB1A544">
      <w:pPr>
        <w:pStyle w:val="4"/>
        <w:jc w:val="center"/>
        <w:rPr>
          <w:color w:val="auto"/>
          <w:highlight w:val="none"/>
        </w:rPr>
      </w:pPr>
      <w:bookmarkStart w:id="378" w:name="_Toc6343"/>
      <w:bookmarkStart w:id="379" w:name="_Toc16328"/>
      <w:r>
        <w:rPr>
          <w:rFonts w:hint="eastAsia"/>
          <w:color w:val="auto"/>
          <w:highlight w:val="none"/>
        </w:rPr>
        <w:t>五、项目负责人及团队成员资料表</w:t>
      </w:r>
      <w:bookmarkEnd w:id="378"/>
      <w:bookmarkEnd w:id="379"/>
    </w:p>
    <w:p w14:paraId="5A20C17C">
      <w:pPr>
        <w:ind w:firstLine="420" w:firstLineChars="200"/>
        <w:rPr>
          <w:rFonts w:ascii="宋体" w:hAnsi="宋体"/>
          <w:color w:val="auto"/>
          <w:szCs w:val="21"/>
          <w:highlight w:val="none"/>
        </w:rPr>
      </w:pPr>
      <w:r>
        <w:rPr>
          <w:rFonts w:hint="eastAsia" w:ascii="宋体" w:hAnsi="宋体"/>
          <w:color w:val="auto"/>
          <w:szCs w:val="21"/>
          <w:highlight w:val="none"/>
        </w:rPr>
        <w:t>表格格式自行编辑。</w:t>
      </w:r>
    </w:p>
    <w:p w14:paraId="73D32215">
      <w:pPr>
        <w:rPr>
          <w:rFonts w:ascii="宋体" w:hAnsi="宋体"/>
          <w:color w:val="auto"/>
          <w:szCs w:val="21"/>
          <w:highlight w:val="none"/>
        </w:rPr>
      </w:pPr>
      <w:r>
        <w:rPr>
          <w:rFonts w:hint="eastAsia" w:ascii="宋体" w:hAnsi="宋体"/>
          <w:color w:val="auto"/>
          <w:szCs w:val="21"/>
          <w:highlight w:val="none"/>
        </w:rPr>
        <w:t>注：</w:t>
      </w:r>
    </w:p>
    <w:p w14:paraId="78BFF773">
      <w:pPr>
        <w:rPr>
          <w:rFonts w:ascii="宋体" w:hAnsi="宋体"/>
          <w:color w:val="auto"/>
          <w:szCs w:val="21"/>
          <w:highlight w:val="none"/>
        </w:rPr>
      </w:pPr>
      <w:r>
        <w:rPr>
          <w:rFonts w:hint="eastAsia" w:ascii="宋体" w:hAnsi="宋体"/>
          <w:color w:val="auto"/>
          <w:szCs w:val="21"/>
          <w:highlight w:val="none"/>
        </w:rPr>
        <w:t>1、证明资料须加盖公章。</w:t>
      </w:r>
    </w:p>
    <w:p w14:paraId="329217A4">
      <w:pPr>
        <w:rPr>
          <w:rFonts w:ascii="宋体" w:hAnsi="宋体"/>
          <w:color w:val="auto"/>
          <w:szCs w:val="21"/>
          <w:highlight w:val="none"/>
        </w:rPr>
      </w:pPr>
      <w:r>
        <w:rPr>
          <w:rFonts w:hint="eastAsia" w:ascii="宋体" w:hAnsi="宋体"/>
          <w:color w:val="auto"/>
          <w:szCs w:val="21"/>
          <w:highlight w:val="none"/>
        </w:rPr>
        <w:t>2、如本项目不涉及人员内容，则无需提供此表。</w:t>
      </w:r>
    </w:p>
    <w:p w14:paraId="6246FF5D">
      <w:pPr>
        <w:ind w:firstLine="178" w:firstLineChars="85"/>
        <w:rPr>
          <w:rFonts w:ascii="宋体" w:hAnsi="宋体"/>
          <w:color w:val="auto"/>
          <w:szCs w:val="21"/>
          <w:highlight w:val="none"/>
        </w:rPr>
      </w:pPr>
    </w:p>
    <w:p w14:paraId="08E5188A">
      <w:pPr>
        <w:pStyle w:val="10"/>
        <w:rPr>
          <w:color w:val="auto"/>
          <w:highlight w:val="none"/>
        </w:rPr>
      </w:pPr>
    </w:p>
    <w:p w14:paraId="1D99F1B7">
      <w:pPr>
        <w:rPr>
          <w:rFonts w:ascii="黑体" w:eastAsia="黑体"/>
          <w:color w:val="auto"/>
          <w:sz w:val="28"/>
          <w:szCs w:val="28"/>
          <w:highlight w:val="none"/>
        </w:rPr>
      </w:pPr>
      <w:r>
        <w:rPr>
          <w:rFonts w:hint="eastAsia" w:ascii="宋体" w:hAnsi="宋体"/>
          <w:color w:val="auto"/>
          <w:szCs w:val="21"/>
          <w:highlight w:val="none"/>
        </w:rPr>
        <w:br w:type="page"/>
      </w:r>
    </w:p>
    <w:p w14:paraId="4633FB87">
      <w:pPr>
        <w:pStyle w:val="4"/>
        <w:jc w:val="center"/>
        <w:rPr>
          <w:color w:val="auto"/>
          <w:highlight w:val="none"/>
        </w:rPr>
      </w:pPr>
      <w:bookmarkStart w:id="380" w:name="_Toc15431"/>
      <w:bookmarkStart w:id="381" w:name="_Toc25633"/>
      <w:r>
        <w:rPr>
          <w:rFonts w:hint="eastAsia"/>
          <w:color w:val="auto"/>
          <w:highlight w:val="none"/>
        </w:rPr>
        <w:t>六、投标货物明细一览表</w:t>
      </w:r>
      <w:bookmarkEnd w:id="380"/>
      <w:bookmarkEnd w:id="381"/>
    </w:p>
    <w:tbl>
      <w:tblPr>
        <w:tblStyle w:val="30"/>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2D947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155EAADB">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11311DC7">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6602BF95">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7F156047">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63D692F6">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5339463A">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270FB2B4">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0BEC38A0">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备注</w:t>
            </w:r>
          </w:p>
        </w:tc>
      </w:tr>
      <w:tr w14:paraId="22D9B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E5E0602">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F8480EF">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1878A80">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3ED283D">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12AD901">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9AF8E7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6DCBBE1">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E240DD0">
            <w:pPr>
              <w:pStyle w:val="13"/>
              <w:spacing w:line="300" w:lineRule="auto"/>
              <w:jc w:val="center"/>
              <w:rPr>
                <w:rFonts w:hAnsi="宋体" w:cs="宋体"/>
                <w:b w:val="0"/>
                <w:bCs/>
                <w:color w:val="auto"/>
                <w:szCs w:val="21"/>
                <w:highlight w:val="none"/>
              </w:rPr>
            </w:pPr>
          </w:p>
        </w:tc>
      </w:tr>
      <w:tr w14:paraId="0AAA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950457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59E7429">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264E59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6249E38">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E171154">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1A67BFA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AAFDF72">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3BD06240">
            <w:pPr>
              <w:pStyle w:val="13"/>
              <w:spacing w:line="300" w:lineRule="auto"/>
              <w:jc w:val="center"/>
              <w:rPr>
                <w:rFonts w:hAnsi="宋体" w:cs="宋体"/>
                <w:b w:val="0"/>
                <w:bCs/>
                <w:color w:val="auto"/>
                <w:szCs w:val="21"/>
                <w:highlight w:val="none"/>
              </w:rPr>
            </w:pPr>
          </w:p>
        </w:tc>
      </w:tr>
      <w:tr w14:paraId="32045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C700D9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CD5E65C">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C3B9263">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73D45AA">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4CF6C18">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485A12F">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5527BACB">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09E430B">
            <w:pPr>
              <w:pStyle w:val="13"/>
              <w:spacing w:line="300" w:lineRule="auto"/>
              <w:jc w:val="center"/>
              <w:rPr>
                <w:rFonts w:hAnsi="宋体" w:cs="宋体"/>
                <w:b w:val="0"/>
                <w:bCs/>
                <w:color w:val="auto"/>
                <w:szCs w:val="21"/>
                <w:highlight w:val="none"/>
              </w:rPr>
            </w:pPr>
          </w:p>
        </w:tc>
      </w:tr>
      <w:tr w14:paraId="5495A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4BC899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EE6BB3E">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DB7662B">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4DE3205">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2C912C6">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1DDA29D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4E56858E">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F22831E">
            <w:pPr>
              <w:pStyle w:val="13"/>
              <w:spacing w:line="300" w:lineRule="auto"/>
              <w:jc w:val="center"/>
              <w:rPr>
                <w:rFonts w:hAnsi="宋体" w:cs="宋体"/>
                <w:b w:val="0"/>
                <w:bCs/>
                <w:color w:val="auto"/>
                <w:szCs w:val="21"/>
                <w:highlight w:val="none"/>
              </w:rPr>
            </w:pPr>
          </w:p>
        </w:tc>
      </w:tr>
      <w:tr w14:paraId="13DDD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C64397D">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5737904">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D392215">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2DF960C">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8D38F03">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19CBAC1">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8F9FCD6">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70A2FE06">
            <w:pPr>
              <w:pStyle w:val="13"/>
              <w:spacing w:line="300" w:lineRule="auto"/>
              <w:jc w:val="center"/>
              <w:rPr>
                <w:rFonts w:hAnsi="宋体" w:cs="宋体"/>
                <w:b w:val="0"/>
                <w:bCs/>
                <w:color w:val="auto"/>
                <w:szCs w:val="21"/>
                <w:highlight w:val="none"/>
              </w:rPr>
            </w:pPr>
          </w:p>
        </w:tc>
      </w:tr>
      <w:tr w14:paraId="77B6B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4DEAE6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68A48876">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615EEAE">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281F6B2">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C73735A">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D94DD82">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757B91D">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1C6EB8F">
            <w:pPr>
              <w:pStyle w:val="13"/>
              <w:spacing w:line="300" w:lineRule="auto"/>
              <w:jc w:val="center"/>
              <w:rPr>
                <w:rFonts w:hAnsi="宋体" w:cs="宋体"/>
                <w:b w:val="0"/>
                <w:bCs/>
                <w:color w:val="auto"/>
                <w:szCs w:val="21"/>
                <w:highlight w:val="none"/>
              </w:rPr>
            </w:pPr>
          </w:p>
        </w:tc>
      </w:tr>
      <w:tr w14:paraId="74A9C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467022D">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E509052">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3E37656">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20A3F5F">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C7C5A3E">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AA9669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15C2EFD1">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369CDA5">
            <w:pPr>
              <w:pStyle w:val="13"/>
              <w:spacing w:line="300" w:lineRule="auto"/>
              <w:jc w:val="center"/>
              <w:rPr>
                <w:rFonts w:hAnsi="宋体" w:cs="宋体"/>
                <w:b w:val="0"/>
                <w:bCs/>
                <w:color w:val="auto"/>
                <w:szCs w:val="21"/>
                <w:highlight w:val="none"/>
              </w:rPr>
            </w:pPr>
          </w:p>
        </w:tc>
      </w:tr>
      <w:tr w14:paraId="6E323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C0F01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A753789">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8A0EEF3">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AC934FB">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0DD7624">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D57DB2F">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C2B3CD9">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35D4540">
            <w:pPr>
              <w:pStyle w:val="13"/>
              <w:spacing w:line="300" w:lineRule="auto"/>
              <w:jc w:val="center"/>
              <w:rPr>
                <w:rFonts w:hAnsi="宋体" w:cs="宋体"/>
                <w:b w:val="0"/>
                <w:bCs/>
                <w:color w:val="auto"/>
                <w:szCs w:val="21"/>
                <w:highlight w:val="none"/>
              </w:rPr>
            </w:pPr>
          </w:p>
        </w:tc>
      </w:tr>
      <w:tr w14:paraId="358E4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F720FF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33107156">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3D40F804">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B09F8D4">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8511E5C">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7E245219">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5D6A1D3E">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DB965F5">
            <w:pPr>
              <w:pStyle w:val="13"/>
              <w:spacing w:line="300" w:lineRule="auto"/>
              <w:jc w:val="center"/>
              <w:rPr>
                <w:rFonts w:hAnsi="宋体" w:cs="宋体"/>
                <w:b w:val="0"/>
                <w:bCs/>
                <w:color w:val="auto"/>
                <w:szCs w:val="21"/>
                <w:highlight w:val="none"/>
              </w:rPr>
            </w:pPr>
          </w:p>
        </w:tc>
      </w:tr>
      <w:tr w14:paraId="7BF22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FDFBA1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A28F3F0">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4B5D3E9C">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4705828">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4F2A2B23">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469192D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75C2009">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7B580BB">
            <w:pPr>
              <w:pStyle w:val="13"/>
              <w:spacing w:line="300" w:lineRule="auto"/>
              <w:jc w:val="center"/>
              <w:rPr>
                <w:rFonts w:hAnsi="宋体" w:cs="宋体"/>
                <w:b w:val="0"/>
                <w:bCs/>
                <w:color w:val="auto"/>
                <w:szCs w:val="21"/>
                <w:highlight w:val="none"/>
              </w:rPr>
            </w:pPr>
          </w:p>
        </w:tc>
      </w:tr>
      <w:tr w14:paraId="57D93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3F3871">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103BB77">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D60614B">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0B58C5AC">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75EBA7AC">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38F0208">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24DCFD13">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1A4CBC4">
            <w:pPr>
              <w:pStyle w:val="13"/>
              <w:spacing w:line="300" w:lineRule="auto"/>
              <w:jc w:val="center"/>
              <w:rPr>
                <w:rFonts w:hAnsi="宋体" w:cs="宋体"/>
                <w:b w:val="0"/>
                <w:bCs/>
                <w:color w:val="auto"/>
                <w:szCs w:val="21"/>
                <w:highlight w:val="none"/>
              </w:rPr>
            </w:pPr>
          </w:p>
        </w:tc>
      </w:tr>
      <w:tr w14:paraId="6AC64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DCE82B0">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54769AD">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73B0AD6">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15DD641">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4F525A0">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72745DA">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2574262B">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7C67A7D6">
            <w:pPr>
              <w:pStyle w:val="13"/>
              <w:spacing w:line="300" w:lineRule="auto"/>
              <w:jc w:val="center"/>
              <w:rPr>
                <w:rFonts w:hAnsi="宋体" w:cs="宋体"/>
                <w:b w:val="0"/>
                <w:bCs/>
                <w:color w:val="auto"/>
                <w:szCs w:val="21"/>
                <w:highlight w:val="none"/>
              </w:rPr>
            </w:pPr>
          </w:p>
        </w:tc>
      </w:tr>
      <w:tr w14:paraId="7E487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1553441">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7966D11">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84929C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58CE4517">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E2AFEF2">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BBBA87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110CE2EC">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E535F39">
            <w:pPr>
              <w:pStyle w:val="13"/>
              <w:spacing w:line="300" w:lineRule="auto"/>
              <w:jc w:val="center"/>
              <w:rPr>
                <w:rFonts w:hAnsi="宋体" w:cs="宋体"/>
                <w:b w:val="0"/>
                <w:bCs/>
                <w:color w:val="auto"/>
                <w:szCs w:val="21"/>
                <w:highlight w:val="none"/>
              </w:rPr>
            </w:pPr>
          </w:p>
        </w:tc>
      </w:tr>
      <w:tr w14:paraId="640C9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1B8B4B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7C39B4D1">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A15B35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B934395">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397E4C25">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1F9EAA2">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01D38BCC">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3D9934">
            <w:pPr>
              <w:pStyle w:val="13"/>
              <w:spacing w:line="300" w:lineRule="auto"/>
              <w:jc w:val="center"/>
              <w:rPr>
                <w:rFonts w:hAnsi="宋体" w:cs="宋体"/>
                <w:b w:val="0"/>
                <w:bCs/>
                <w:color w:val="auto"/>
                <w:szCs w:val="21"/>
                <w:highlight w:val="none"/>
              </w:rPr>
            </w:pPr>
          </w:p>
        </w:tc>
      </w:tr>
      <w:tr w14:paraId="2CD11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923D6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3649E90">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BC40FD9">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D672C67">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B5AA94D">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F3EDD61">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4FD45967">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F97091">
            <w:pPr>
              <w:pStyle w:val="13"/>
              <w:spacing w:line="300" w:lineRule="auto"/>
              <w:jc w:val="center"/>
              <w:rPr>
                <w:rFonts w:hAnsi="宋体" w:cs="宋体"/>
                <w:b w:val="0"/>
                <w:bCs/>
                <w:color w:val="auto"/>
                <w:szCs w:val="21"/>
                <w:highlight w:val="none"/>
              </w:rPr>
            </w:pPr>
          </w:p>
        </w:tc>
      </w:tr>
    </w:tbl>
    <w:p w14:paraId="226A3847">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4658902A">
      <w:pPr>
        <w:rPr>
          <w:rFonts w:ascii="宋体" w:hAnsi="宋体" w:cs="Times New Roman"/>
          <w:color w:val="auto"/>
          <w:szCs w:val="21"/>
          <w:highlight w:val="none"/>
        </w:rPr>
      </w:pPr>
    </w:p>
    <w:p w14:paraId="4FA58979">
      <w:pPr>
        <w:rPr>
          <w:rFonts w:ascii="宋体" w:hAnsi="宋体" w:cs="Times New Roman"/>
          <w:color w:val="auto"/>
          <w:szCs w:val="21"/>
          <w:highlight w:val="none"/>
        </w:rPr>
      </w:pPr>
    </w:p>
    <w:p w14:paraId="749177D2">
      <w:pPr>
        <w:rPr>
          <w:rFonts w:ascii="宋体" w:hAnsi="宋体" w:cs="Times New Roman"/>
          <w:color w:val="auto"/>
          <w:szCs w:val="21"/>
          <w:highlight w:val="none"/>
        </w:rPr>
      </w:pPr>
      <w:r>
        <w:rPr>
          <w:rFonts w:hint="eastAsia" w:ascii="宋体" w:hAnsi="宋体" w:cs="Times New Roman"/>
          <w:color w:val="auto"/>
          <w:szCs w:val="21"/>
          <w:highlight w:val="none"/>
        </w:rPr>
        <w:t>投标人代表签字：</w:t>
      </w:r>
    </w:p>
    <w:p w14:paraId="0C85B76A">
      <w:pPr>
        <w:rPr>
          <w:rFonts w:ascii="黑体" w:eastAsia="黑体"/>
          <w:color w:val="auto"/>
          <w:sz w:val="30"/>
          <w:szCs w:val="30"/>
          <w:highlight w:val="none"/>
        </w:rPr>
      </w:pPr>
      <w:r>
        <w:rPr>
          <w:rFonts w:hint="eastAsia" w:ascii="宋体" w:hAnsi="宋体" w:cs="Times New Roman"/>
          <w:color w:val="auto"/>
          <w:szCs w:val="21"/>
          <w:highlight w:val="none"/>
        </w:rPr>
        <w:t>投标人盖章：</w:t>
      </w:r>
      <w:r>
        <w:rPr>
          <w:rFonts w:hint="eastAsia" w:ascii="宋体" w:hAnsi="宋体"/>
          <w:color w:val="auto"/>
          <w:szCs w:val="21"/>
          <w:highlight w:val="none"/>
        </w:rPr>
        <w:br w:type="page"/>
      </w:r>
    </w:p>
    <w:p w14:paraId="669D0805">
      <w:pPr>
        <w:pStyle w:val="4"/>
        <w:jc w:val="center"/>
        <w:rPr>
          <w:color w:val="auto"/>
          <w:highlight w:val="none"/>
        </w:rPr>
      </w:pPr>
      <w:bookmarkStart w:id="382" w:name="_Toc21430"/>
      <w:r>
        <w:rPr>
          <w:rFonts w:hint="eastAsia"/>
          <w:color w:val="auto"/>
          <w:highlight w:val="none"/>
        </w:rPr>
        <w:t>七、采购履约担保函</w:t>
      </w:r>
      <w:bookmarkEnd w:id="382"/>
    </w:p>
    <w:p w14:paraId="1B4679BE">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7F909FFC">
      <w:pP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w:t>
      </w:r>
    </w:p>
    <w:p w14:paraId="649D8096">
      <w:pPr>
        <w:ind w:firstLine="420" w:firstLineChars="200"/>
        <w:rPr>
          <w:rFonts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0005B93C">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78CBE401">
      <w:pPr>
        <w:ind w:firstLine="420" w:firstLineChars="200"/>
        <w:rPr>
          <w:rFonts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5C95B06">
      <w:pPr>
        <w:ind w:firstLine="420" w:firstLineChars="200"/>
        <w:rPr>
          <w:rFonts w:ascii="宋体" w:hAnsi="宋体" w:cs="宋体"/>
          <w:color w:val="auto"/>
          <w:szCs w:val="21"/>
          <w:highlight w:val="none"/>
        </w:rPr>
      </w:pPr>
      <w:r>
        <w:rPr>
          <w:rFonts w:hint="eastAsia" w:ascii="宋体" w:hAnsi="宋体" w:cs="宋体"/>
          <w:color w:val="auto"/>
          <w:szCs w:val="21"/>
          <w:highlight w:val="none"/>
        </w:rPr>
        <w:t>1．将中标项目转让给他人，或者在投标文件中未说明，且未经采购招标机构人同意，将中标项目分包给他人的；</w:t>
      </w:r>
    </w:p>
    <w:p w14:paraId="58B0F4E2">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31AECDC4">
      <w:pPr>
        <w:ind w:firstLine="420" w:firstLineChars="200"/>
        <w:rPr>
          <w:rFonts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7E41B74C">
      <w:pPr>
        <w:ind w:firstLine="420" w:firstLineChars="200"/>
        <w:rPr>
          <w:rFonts w:ascii="宋体" w:hAnsi="宋体" w:cs="宋体"/>
          <w:color w:val="auto"/>
          <w:szCs w:val="21"/>
          <w:highlight w:val="none"/>
        </w:rPr>
      </w:pPr>
      <w:r>
        <w:rPr>
          <w:rFonts w:hint="eastAsia" w:ascii="宋体" w:hAnsi="宋体" w:cs="宋体"/>
          <w:color w:val="auto"/>
          <w:szCs w:val="21"/>
          <w:highlight w:val="none"/>
        </w:rPr>
        <w:t>（2）。</w:t>
      </w:r>
    </w:p>
    <w:p w14:paraId="37F779EF">
      <w:pPr>
        <w:ind w:firstLine="420" w:firstLineChars="200"/>
        <w:rPr>
          <w:rFonts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502AB5D2">
      <w:pPr>
        <w:rPr>
          <w:rFonts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49393FE4">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二、保证的方式及保证期间</w:t>
      </w:r>
    </w:p>
    <w:p w14:paraId="50C6215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148D11D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43217850">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06507329">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三、承担保证责任的程序</w:t>
      </w:r>
    </w:p>
    <w:p w14:paraId="367972B7">
      <w:pPr>
        <w:ind w:firstLine="420" w:firstLineChars="200"/>
        <w:rPr>
          <w:rFonts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2EE3D9BC">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5FD4C0D">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2D1D1D19">
      <w:pPr>
        <w:rPr>
          <w:rFonts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10689319">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四、保证责任的终止</w:t>
      </w:r>
    </w:p>
    <w:p w14:paraId="49127B38">
      <w:pPr>
        <w:ind w:firstLine="420" w:firstLineChars="200"/>
        <w:rPr>
          <w:rFonts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FBE55E3">
      <w:pPr>
        <w:ind w:firstLine="420" w:firstLineChars="200"/>
        <w:rPr>
          <w:rFonts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4A76F89B">
      <w:pPr>
        <w:ind w:firstLine="420" w:firstLineChars="200"/>
        <w:rPr>
          <w:rFonts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04624373">
      <w:pPr>
        <w:ind w:firstLine="420" w:firstLineChars="200"/>
        <w:rPr>
          <w:rFonts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C66EE93">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五、免责条款</w:t>
      </w:r>
    </w:p>
    <w:p w14:paraId="0B7CD5B4">
      <w:pPr>
        <w:ind w:firstLine="420" w:firstLineChars="200"/>
        <w:rPr>
          <w:rFonts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6B7F11FD">
      <w:pPr>
        <w:ind w:firstLine="420" w:firstLineChars="200"/>
        <w:rPr>
          <w:rFonts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5C95763F">
      <w:pPr>
        <w:ind w:firstLine="420" w:firstLineChars="200"/>
        <w:rPr>
          <w:rFonts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4497C681">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六、争议的解决</w:t>
      </w:r>
    </w:p>
    <w:p w14:paraId="740D6CF9">
      <w:pPr>
        <w:ind w:firstLine="420" w:firstLineChars="200"/>
        <w:rPr>
          <w:rFonts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1A0C0E27">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七、保函的生效</w:t>
      </w:r>
    </w:p>
    <w:p w14:paraId="33F3FA4D">
      <w:pPr>
        <w:ind w:firstLine="420" w:firstLineChars="200"/>
        <w:rPr>
          <w:rFonts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66314F1D">
      <w:pPr>
        <w:rPr>
          <w:rFonts w:ascii="宋体" w:hAnsi="宋体" w:cs="宋体"/>
          <w:color w:val="auto"/>
          <w:szCs w:val="21"/>
          <w:highlight w:val="none"/>
        </w:rPr>
      </w:pPr>
    </w:p>
    <w:p w14:paraId="11F892D3">
      <w:pPr>
        <w:rPr>
          <w:rFonts w:ascii="宋体" w:hAnsi="宋体" w:cs="宋体"/>
          <w:color w:val="auto"/>
          <w:szCs w:val="21"/>
          <w:highlight w:val="none"/>
        </w:rPr>
      </w:pPr>
    </w:p>
    <w:p w14:paraId="467CCE72">
      <w:pPr>
        <w:jc w:val="right"/>
        <w:rPr>
          <w:rFonts w:ascii="宋体" w:hAnsi="宋体" w:cs="宋体"/>
          <w:color w:val="auto"/>
          <w:szCs w:val="21"/>
          <w:highlight w:val="none"/>
        </w:rPr>
      </w:pPr>
      <w:r>
        <w:rPr>
          <w:rFonts w:hint="eastAsia" w:ascii="宋体" w:hAnsi="宋体" w:cs="宋体"/>
          <w:color w:val="auto"/>
          <w:szCs w:val="21"/>
          <w:highlight w:val="none"/>
        </w:rPr>
        <w:t>保证人：（公章）</w:t>
      </w:r>
    </w:p>
    <w:p w14:paraId="6E9EF2D4">
      <w:pPr>
        <w:jc w:val="right"/>
        <w:rPr>
          <w:rFonts w:ascii="宋体" w:hAnsi="宋体" w:cs="宋体"/>
          <w:color w:val="auto"/>
          <w:szCs w:val="21"/>
          <w:highlight w:val="none"/>
        </w:rPr>
      </w:pPr>
      <w:r>
        <w:rPr>
          <w:rFonts w:hint="eastAsia" w:ascii="宋体" w:hAnsi="宋体" w:cs="宋体"/>
          <w:color w:val="auto"/>
          <w:szCs w:val="21"/>
          <w:highlight w:val="none"/>
        </w:rPr>
        <w:t>年     月      日</w:t>
      </w:r>
    </w:p>
    <w:p w14:paraId="2A809D15">
      <w:pPr>
        <w:rPr>
          <w:rFonts w:ascii="宋体" w:hAnsi="宋体"/>
          <w:color w:val="auto"/>
          <w:szCs w:val="21"/>
          <w:highlight w:val="none"/>
        </w:rPr>
      </w:pPr>
      <w:r>
        <w:rPr>
          <w:rFonts w:hint="eastAsia" w:ascii="宋体" w:hAnsi="宋体"/>
          <w:color w:val="auto"/>
          <w:szCs w:val="21"/>
          <w:highlight w:val="none"/>
        </w:rPr>
        <w:t>注：</w:t>
      </w:r>
    </w:p>
    <w:p w14:paraId="4A1D4394">
      <w:pPr>
        <w:ind w:firstLine="420" w:firstLineChars="200"/>
        <w:rPr>
          <w:rFonts w:ascii="宋体" w:hAnsi="宋体"/>
          <w:color w:val="auto"/>
          <w:szCs w:val="21"/>
          <w:highlight w:val="none"/>
        </w:rPr>
      </w:pPr>
      <w:r>
        <w:rPr>
          <w:rFonts w:hint="eastAsia" w:ascii="宋体" w:hAnsi="宋体"/>
          <w:color w:val="auto"/>
          <w:szCs w:val="21"/>
          <w:highlight w:val="none"/>
        </w:rPr>
        <w:t>（1）此格式为履约担保函格式，无需在投标文件中提供此格式。</w:t>
      </w:r>
    </w:p>
    <w:p w14:paraId="11E9F966">
      <w:pPr>
        <w:pStyle w:val="10"/>
        <w:rPr>
          <w:color w:val="auto"/>
          <w:highlight w:val="none"/>
        </w:rPr>
      </w:pPr>
    </w:p>
    <w:p w14:paraId="10B1AFBB">
      <w:pPr>
        <w:rPr>
          <w:color w:val="auto"/>
          <w:highlight w:val="none"/>
        </w:rPr>
      </w:pPr>
      <w:r>
        <w:rPr>
          <w:color w:val="auto"/>
          <w:highlight w:val="none"/>
        </w:rPr>
        <w:br w:type="page"/>
      </w:r>
    </w:p>
    <w:p w14:paraId="45CEAE44">
      <w:pPr>
        <w:pStyle w:val="4"/>
        <w:jc w:val="center"/>
        <w:rPr>
          <w:color w:val="auto"/>
          <w:highlight w:val="none"/>
        </w:rPr>
      </w:pPr>
      <w:bookmarkStart w:id="383" w:name="_Toc26782"/>
      <w:bookmarkStart w:id="384" w:name="_Toc2172"/>
      <w:r>
        <w:rPr>
          <w:rFonts w:hint="eastAsia"/>
          <w:color w:val="auto"/>
          <w:highlight w:val="none"/>
        </w:rPr>
        <w:t>第四章唱标信封（单独封装）</w:t>
      </w:r>
      <w:bookmarkEnd w:id="383"/>
      <w:bookmarkEnd w:id="384"/>
    </w:p>
    <w:p w14:paraId="7589684E">
      <w:pPr>
        <w:ind w:firstLine="420" w:firstLineChars="200"/>
        <w:rPr>
          <w:color w:val="auto"/>
          <w:highlight w:val="none"/>
        </w:rPr>
      </w:pPr>
      <w:r>
        <w:rPr>
          <w:rFonts w:hint="eastAsia"/>
          <w:color w:val="auto"/>
          <w:highlight w:val="none"/>
        </w:rPr>
        <w:t>（1）开标一览表；</w:t>
      </w:r>
    </w:p>
    <w:p w14:paraId="3135D739">
      <w:pPr>
        <w:ind w:firstLine="420" w:firstLineChars="200"/>
        <w:rPr>
          <w:color w:val="auto"/>
          <w:highlight w:val="none"/>
        </w:rPr>
      </w:pPr>
      <w:r>
        <w:rPr>
          <w:rFonts w:hint="eastAsia"/>
          <w:color w:val="auto"/>
          <w:highlight w:val="none"/>
        </w:rPr>
        <w:t>（2）法人代表授权书及被授权代表身份证（复印件加盖公章）；</w:t>
      </w:r>
    </w:p>
    <w:p w14:paraId="58E80291">
      <w:pPr>
        <w:rPr>
          <w:color w:val="auto"/>
          <w:highlight w:val="none"/>
        </w:rPr>
      </w:pPr>
    </w:p>
    <w:p w14:paraId="4C506072">
      <w:pPr>
        <w:rPr>
          <w:color w:val="auto"/>
          <w:highlight w:val="none"/>
        </w:rPr>
      </w:pPr>
    </w:p>
    <w:p w14:paraId="6A220397">
      <w:pPr>
        <w:rPr>
          <w:color w:val="auto"/>
          <w:highlight w:val="none"/>
        </w:rPr>
      </w:pPr>
    </w:p>
    <w:p w14:paraId="095B0B66">
      <w:pPr>
        <w:rPr>
          <w:color w:val="auto"/>
          <w:highlight w:val="none"/>
        </w:rPr>
      </w:pPr>
    </w:p>
    <w:p w14:paraId="2F47CAB9">
      <w:pPr>
        <w:rPr>
          <w:color w:val="auto"/>
          <w:highlight w:val="none"/>
        </w:rPr>
      </w:pPr>
    </w:p>
    <w:p w14:paraId="58A56655">
      <w:pPr>
        <w:rPr>
          <w:color w:val="auto"/>
          <w:highlight w:val="none"/>
        </w:rPr>
      </w:pPr>
    </w:p>
    <w:p w14:paraId="24DBA9B0">
      <w:pPr>
        <w:rPr>
          <w:color w:val="auto"/>
          <w:highlight w:val="none"/>
        </w:rPr>
      </w:pPr>
    </w:p>
    <w:p w14:paraId="60A5B414">
      <w:pPr>
        <w:rPr>
          <w:color w:val="auto"/>
          <w:highlight w:val="none"/>
        </w:rPr>
      </w:pPr>
    </w:p>
    <w:p w14:paraId="6E40CA97">
      <w:pPr>
        <w:rPr>
          <w:color w:val="auto"/>
          <w:highlight w:val="none"/>
        </w:rPr>
      </w:pPr>
    </w:p>
    <w:p w14:paraId="725F44A0">
      <w:pPr>
        <w:rPr>
          <w:color w:val="auto"/>
          <w:highlight w:val="none"/>
        </w:rPr>
      </w:pPr>
    </w:p>
    <w:p w14:paraId="6F695A75">
      <w:pPr>
        <w:rPr>
          <w:color w:val="auto"/>
          <w:highlight w:val="none"/>
        </w:rPr>
      </w:pPr>
    </w:p>
    <w:p w14:paraId="227FF70C">
      <w:pPr>
        <w:rPr>
          <w:color w:val="auto"/>
          <w:highlight w:val="none"/>
        </w:rPr>
      </w:pPr>
    </w:p>
    <w:p w14:paraId="06360887">
      <w:pPr>
        <w:rPr>
          <w:color w:val="auto"/>
          <w:highlight w:val="none"/>
        </w:rPr>
      </w:pPr>
      <w:bookmarkStart w:id="385" w:name="_Toc11182"/>
    </w:p>
    <w:p w14:paraId="4427CD43">
      <w:pPr>
        <w:rPr>
          <w:color w:val="auto"/>
          <w:highlight w:val="none"/>
        </w:rPr>
      </w:pPr>
    </w:p>
    <w:p w14:paraId="2175EC20">
      <w:pPr>
        <w:rPr>
          <w:color w:val="auto"/>
          <w:highlight w:val="none"/>
        </w:rPr>
      </w:pPr>
    </w:p>
    <w:p w14:paraId="705AD814">
      <w:pPr>
        <w:rPr>
          <w:color w:val="auto"/>
          <w:highlight w:val="none"/>
        </w:rPr>
      </w:pPr>
    </w:p>
    <w:p w14:paraId="3757A9FD">
      <w:pPr>
        <w:rPr>
          <w:color w:val="auto"/>
          <w:highlight w:val="none"/>
        </w:rPr>
      </w:pPr>
    </w:p>
    <w:p w14:paraId="0933E1AD">
      <w:pPr>
        <w:rPr>
          <w:color w:val="auto"/>
          <w:highlight w:val="none"/>
        </w:rPr>
      </w:pPr>
    </w:p>
    <w:p w14:paraId="3091764B">
      <w:pPr>
        <w:rPr>
          <w:color w:val="auto"/>
          <w:highlight w:val="none"/>
        </w:rPr>
      </w:pPr>
    </w:p>
    <w:p w14:paraId="6E153767">
      <w:pPr>
        <w:pStyle w:val="10"/>
        <w:rPr>
          <w:color w:val="auto"/>
          <w:highlight w:val="none"/>
        </w:rPr>
      </w:pPr>
    </w:p>
    <w:p w14:paraId="14461B0E">
      <w:pPr>
        <w:rPr>
          <w:color w:val="auto"/>
          <w:highlight w:val="none"/>
        </w:rPr>
      </w:pPr>
    </w:p>
    <w:p w14:paraId="6D1382D8">
      <w:pPr>
        <w:pStyle w:val="10"/>
        <w:rPr>
          <w:color w:val="auto"/>
          <w:highlight w:val="none"/>
        </w:rPr>
      </w:pPr>
    </w:p>
    <w:p w14:paraId="1EB350C7">
      <w:pPr>
        <w:rPr>
          <w:color w:val="auto"/>
          <w:highlight w:val="none"/>
        </w:rPr>
      </w:pPr>
    </w:p>
    <w:p w14:paraId="5DE45288">
      <w:pPr>
        <w:pStyle w:val="10"/>
        <w:rPr>
          <w:color w:val="auto"/>
          <w:highlight w:val="none"/>
        </w:rPr>
      </w:pPr>
    </w:p>
    <w:p w14:paraId="3FADE189">
      <w:pPr>
        <w:rPr>
          <w:color w:val="auto"/>
          <w:highlight w:val="none"/>
        </w:rPr>
      </w:pPr>
    </w:p>
    <w:p w14:paraId="3CE16B8D">
      <w:pPr>
        <w:pStyle w:val="10"/>
        <w:rPr>
          <w:color w:val="auto"/>
          <w:highlight w:val="none"/>
        </w:rPr>
      </w:pPr>
    </w:p>
    <w:p w14:paraId="5B4FB127">
      <w:pPr>
        <w:rPr>
          <w:color w:val="auto"/>
          <w:highlight w:val="none"/>
        </w:rPr>
      </w:pPr>
    </w:p>
    <w:p w14:paraId="38F633A3">
      <w:pPr>
        <w:rPr>
          <w:color w:val="auto"/>
          <w:highlight w:val="none"/>
        </w:rPr>
      </w:pPr>
    </w:p>
    <w:p w14:paraId="1ABE3FCD">
      <w:pPr>
        <w:rPr>
          <w:color w:val="auto"/>
          <w:highlight w:val="none"/>
        </w:rPr>
      </w:pPr>
    </w:p>
    <w:p w14:paraId="6A6CE404">
      <w:pPr>
        <w:pStyle w:val="4"/>
        <w:jc w:val="center"/>
        <w:rPr>
          <w:color w:val="auto"/>
          <w:highlight w:val="none"/>
        </w:rPr>
      </w:pPr>
      <w:bookmarkStart w:id="386" w:name="_Toc22736"/>
      <w:bookmarkStart w:id="387" w:name="_Toc13897"/>
      <w:r>
        <w:rPr>
          <w:rFonts w:hint="eastAsia"/>
          <w:color w:val="auto"/>
          <w:highlight w:val="none"/>
        </w:rPr>
        <w:t>第五章联合体共同投标协议书（如有需要）</w:t>
      </w:r>
      <w:bookmarkEnd w:id="386"/>
      <w:bookmarkEnd w:id="387"/>
    </w:p>
    <w:p w14:paraId="0FA025E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致：（采购人）</w:t>
      </w:r>
    </w:p>
    <w:p w14:paraId="1F424DE2">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以一个投标供应商的身份共同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的投标响应。经协商一致，就本</w:t>
      </w:r>
      <w:r>
        <w:rPr>
          <w:rFonts w:hint="eastAsia" w:ascii="宋体" w:hAnsi="宋体" w:cs="宋体"/>
          <w:color w:val="auto"/>
          <w:kern w:val="10"/>
          <w:szCs w:val="21"/>
          <w:highlight w:val="none"/>
        </w:rPr>
        <w:t>项目的投标响应和合同实施阶段的有关事务</w:t>
      </w:r>
      <w:r>
        <w:rPr>
          <w:rFonts w:hint="eastAsia" w:ascii="宋体" w:hAnsi="宋体" w:cs="宋体"/>
          <w:color w:val="auto"/>
          <w:szCs w:val="21"/>
          <w:highlight w:val="none"/>
        </w:rPr>
        <w:t>订立协议如下：</w:t>
      </w:r>
    </w:p>
    <w:p w14:paraId="084A2204">
      <w:pPr>
        <w:ind w:firstLine="420" w:firstLineChars="200"/>
        <w:rPr>
          <w:rFonts w:ascii="宋体" w:hAnsi="宋体" w:cs="宋体"/>
          <w:color w:val="auto"/>
          <w:szCs w:val="21"/>
          <w:highlight w:val="none"/>
        </w:rPr>
      </w:pPr>
      <w:r>
        <w:rPr>
          <w:rFonts w:hint="eastAsia" w:ascii="宋体" w:hAnsi="宋体" w:cs="宋体"/>
          <w:color w:val="auto"/>
          <w:szCs w:val="21"/>
          <w:highlight w:val="none"/>
        </w:rPr>
        <w:t>一、联合体各方关系</w:t>
      </w:r>
    </w:p>
    <w:p w14:paraId="10D9FE10">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54117508">
      <w:pPr>
        <w:ind w:firstLine="420" w:firstLineChars="200"/>
        <w:rPr>
          <w:rFonts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54338217">
      <w:pPr>
        <w:ind w:firstLine="420" w:firstLineChars="200"/>
        <w:rPr>
          <w:rFonts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6B1E7FD9">
      <w:pPr>
        <w:ind w:firstLine="420" w:firstLineChars="200"/>
        <w:rPr>
          <w:rFonts w:ascii="宋体" w:hAnsi="宋体" w:cs="宋体"/>
          <w:color w:val="auto"/>
          <w:szCs w:val="21"/>
          <w:highlight w:val="none"/>
        </w:rPr>
      </w:pPr>
      <w:r>
        <w:rPr>
          <w:rFonts w:hint="eastAsia" w:ascii="宋体" w:hAnsi="宋体" w:cs="宋体"/>
          <w:color w:val="auto"/>
          <w:szCs w:val="21"/>
          <w:highlight w:val="none"/>
        </w:rPr>
        <w:t>2.联合体投标工作由联合体共同负责，由联合体各方组成的响应小组具体实施。</w:t>
      </w:r>
    </w:p>
    <w:p w14:paraId="60A3367C">
      <w:pPr>
        <w:ind w:firstLine="420" w:firstLineChars="200"/>
        <w:rPr>
          <w:rFonts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01765678">
      <w:pPr>
        <w:ind w:firstLine="420" w:firstLineChars="200"/>
        <w:rPr>
          <w:rFonts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4DA58B55">
      <w:pPr>
        <w:ind w:firstLine="420" w:firstLineChars="200"/>
        <w:rPr>
          <w:rFonts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48AEA5F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47963770">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58A6AB36">
      <w:pPr>
        <w:ind w:firstLine="420" w:firstLineChars="200"/>
        <w:rPr>
          <w:rFonts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16843022">
      <w:pPr>
        <w:ind w:firstLine="420" w:firstLineChars="200"/>
        <w:rPr>
          <w:rFonts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7F61C19A">
      <w:pPr>
        <w:ind w:firstLine="420" w:firstLineChars="200"/>
        <w:rPr>
          <w:rFonts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44154AB2">
      <w:pPr>
        <w:ind w:firstLine="420" w:firstLineChars="200"/>
        <w:rPr>
          <w:rFonts w:ascii="宋体" w:hAnsi="宋体" w:cs="宋体"/>
          <w:color w:val="auto"/>
          <w:szCs w:val="21"/>
          <w:highlight w:val="none"/>
        </w:rPr>
      </w:pPr>
      <w:r>
        <w:rPr>
          <w:rFonts w:hint="eastAsia" w:ascii="宋体" w:hAnsi="宋体" w:cs="宋体"/>
          <w:color w:val="auto"/>
          <w:szCs w:val="21"/>
          <w:highlight w:val="none"/>
        </w:rPr>
        <w:t>五、本协议在自签署之日起生效，响应有效期内有效。如获中标、成交资格，本协议有效期延续至采购合同履行完毕之日。</w:t>
      </w:r>
    </w:p>
    <w:p w14:paraId="2497FDCF">
      <w:pPr>
        <w:ind w:firstLine="420" w:firstLineChars="200"/>
        <w:rPr>
          <w:rFonts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0BE5B6EE">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79BC0810">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法定代表人：（签字或盖章）法定代表人（签字或盖章）法定代表人（签字或盖章）</w:t>
      </w:r>
    </w:p>
    <w:p w14:paraId="2CCACE9F">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385"/>
    <w:p w14:paraId="092D0DA2">
      <w:pPr>
        <w:pStyle w:val="10"/>
        <w:ind w:left="0"/>
        <w:rPr>
          <w:color w:val="auto"/>
          <w:highlight w:val="none"/>
          <w:lang w:val="en-US"/>
        </w:rPr>
      </w:pPr>
    </w:p>
    <w:p w14:paraId="6F5FBC66">
      <w:pPr>
        <w:jc w:val="center"/>
        <w:outlineLvl w:val="0"/>
        <w:rPr>
          <w:rFonts w:ascii="黑体" w:hAnsi="黑体" w:eastAsia="黑体" w:cs="黑体"/>
          <w:color w:val="auto"/>
          <w:sz w:val="52"/>
          <w:szCs w:val="52"/>
          <w:highlight w:val="none"/>
        </w:rPr>
      </w:pPr>
      <w:bookmarkStart w:id="388" w:name="_Toc9978"/>
      <w:r>
        <w:rPr>
          <w:rFonts w:hint="eastAsia" w:ascii="黑体" w:hAnsi="黑体" w:eastAsia="黑体" w:cs="黑体"/>
          <w:color w:val="auto"/>
          <w:sz w:val="52"/>
          <w:szCs w:val="52"/>
          <w:highlight w:val="none"/>
        </w:rPr>
        <w:t>获取招标文件登记表</w:t>
      </w:r>
      <w:bookmarkEnd w:id="388"/>
    </w:p>
    <w:tbl>
      <w:tblPr>
        <w:tblStyle w:val="30"/>
        <w:tblW w:w="8519" w:type="dxa"/>
        <w:tblInd w:w="0" w:type="dxa"/>
        <w:tblLayout w:type="fixed"/>
        <w:tblCellMar>
          <w:top w:w="0" w:type="dxa"/>
          <w:left w:w="108" w:type="dxa"/>
          <w:bottom w:w="0" w:type="dxa"/>
          <w:right w:w="108" w:type="dxa"/>
        </w:tblCellMar>
      </w:tblPr>
      <w:tblGrid>
        <w:gridCol w:w="2769"/>
        <w:gridCol w:w="2355"/>
        <w:gridCol w:w="1015"/>
        <w:gridCol w:w="2380"/>
      </w:tblGrid>
      <w:tr w14:paraId="18158697">
        <w:tblPrEx>
          <w:tblCellMar>
            <w:top w:w="0" w:type="dxa"/>
            <w:left w:w="108" w:type="dxa"/>
            <w:bottom w:w="0" w:type="dxa"/>
            <w:right w:w="108" w:type="dxa"/>
          </w:tblCellMar>
        </w:tblPrEx>
        <w:trPr>
          <w:trHeight w:val="120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487A">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拟报名项目名称</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6693">
            <w:pPr>
              <w:jc w:val="center"/>
              <w:rPr>
                <w:rFonts w:ascii="宋体" w:hAnsi="宋体" w:cs="宋体"/>
                <w:color w:val="auto"/>
                <w:sz w:val="28"/>
                <w:szCs w:val="28"/>
                <w:highlight w:val="none"/>
              </w:rPr>
            </w:pPr>
          </w:p>
        </w:tc>
      </w:tr>
      <w:tr w14:paraId="6B130220">
        <w:tblPrEx>
          <w:tblCellMar>
            <w:top w:w="0" w:type="dxa"/>
            <w:left w:w="108" w:type="dxa"/>
            <w:bottom w:w="0" w:type="dxa"/>
            <w:right w:w="108" w:type="dxa"/>
          </w:tblCellMar>
        </w:tblPrEx>
        <w:trPr>
          <w:trHeight w:val="103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648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项目编号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276B">
            <w:pPr>
              <w:jc w:val="center"/>
              <w:rPr>
                <w:rFonts w:ascii="宋体" w:hAnsi="宋体" w:cs="宋体"/>
                <w:color w:val="auto"/>
                <w:sz w:val="28"/>
                <w:szCs w:val="28"/>
                <w:highlight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E3A9">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包号</w:t>
            </w:r>
          </w:p>
        </w:tc>
        <w:tc>
          <w:tcPr>
            <w:tcW w:w="2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10EF">
            <w:pPr>
              <w:jc w:val="center"/>
              <w:rPr>
                <w:rFonts w:ascii="宋体" w:hAnsi="宋体" w:cs="宋体"/>
                <w:color w:val="auto"/>
                <w:sz w:val="28"/>
                <w:szCs w:val="28"/>
                <w:highlight w:val="none"/>
              </w:rPr>
            </w:pPr>
          </w:p>
        </w:tc>
      </w:tr>
      <w:tr w14:paraId="16527F06">
        <w:tblPrEx>
          <w:tblCellMar>
            <w:top w:w="0" w:type="dxa"/>
            <w:left w:w="108" w:type="dxa"/>
            <w:bottom w:w="0" w:type="dxa"/>
            <w:right w:w="108" w:type="dxa"/>
          </w:tblCellMar>
        </w:tblPrEx>
        <w:trPr>
          <w:trHeight w:val="136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F7B2">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供应商全称</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05AE">
            <w:pPr>
              <w:jc w:val="center"/>
              <w:rPr>
                <w:rFonts w:ascii="宋体" w:hAnsi="宋体" w:cs="宋体"/>
                <w:color w:val="auto"/>
                <w:sz w:val="28"/>
                <w:szCs w:val="28"/>
                <w:highlight w:val="none"/>
              </w:rPr>
            </w:pPr>
          </w:p>
        </w:tc>
      </w:tr>
      <w:tr w14:paraId="4A38EA46">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C5B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供应商联系人</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BEC9">
            <w:pPr>
              <w:jc w:val="center"/>
              <w:rPr>
                <w:rFonts w:ascii="宋体" w:hAnsi="宋体" w:cs="宋体"/>
                <w:color w:val="auto"/>
                <w:sz w:val="28"/>
                <w:szCs w:val="28"/>
                <w:highlight w:val="none"/>
              </w:rPr>
            </w:pPr>
          </w:p>
        </w:tc>
      </w:tr>
      <w:tr w14:paraId="4F83E5F4">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71C9">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电话</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CAA3">
            <w:pPr>
              <w:jc w:val="center"/>
              <w:rPr>
                <w:rFonts w:ascii="宋体" w:hAnsi="宋体" w:cs="宋体"/>
                <w:color w:val="auto"/>
                <w:sz w:val="28"/>
                <w:szCs w:val="28"/>
                <w:highlight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25F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手机</w:t>
            </w:r>
          </w:p>
        </w:tc>
        <w:tc>
          <w:tcPr>
            <w:tcW w:w="2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1648">
            <w:pPr>
              <w:jc w:val="center"/>
              <w:rPr>
                <w:rFonts w:ascii="宋体" w:hAnsi="宋体" w:cs="宋体"/>
                <w:color w:val="auto"/>
                <w:sz w:val="28"/>
                <w:szCs w:val="28"/>
                <w:highlight w:val="none"/>
              </w:rPr>
            </w:pPr>
          </w:p>
        </w:tc>
      </w:tr>
      <w:tr w14:paraId="55246C6C">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8B21">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电子邮箱</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218C">
            <w:pPr>
              <w:jc w:val="center"/>
              <w:rPr>
                <w:rFonts w:ascii="宋体" w:hAnsi="宋体" w:cs="宋体"/>
                <w:color w:val="auto"/>
                <w:sz w:val="28"/>
                <w:szCs w:val="28"/>
                <w:highlight w:val="none"/>
              </w:rPr>
            </w:pPr>
          </w:p>
        </w:tc>
      </w:tr>
      <w:tr w14:paraId="770A7A64">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832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获取招标文件时间</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0B8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年    月    日    时    分</w:t>
            </w:r>
          </w:p>
        </w:tc>
      </w:tr>
      <w:tr w14:paraId="3D526393">
        <w:tblPrEx>
          <w:tblCellMar>
            <w:top w:w="0" w:type="dxa"/>
            <w:left w:w="108" w:type="dxa"/>
            <w:bottom w:w="0" w:type="dxa"/>
            <w:right w:w="108" w:type="dxa"/>
          </w:tblCellMar>
        </w:tblPrEx>
        <w:trPr>
          <w:trHeight w:val="850" w:hRule="atLeast"/>
        </w:trPr>
        <w:tc>
          <w:tcPr>
            <w:tcW w:w="85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0D8B">
            <w:pPr>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承诺:</w:t>
            </w:r>
          </w:p>
          <w:p w14:paraId="7063E276">
            <w:pPr>
              <w:numPr>
                <w:ilvl w:val="0"/>
                <w:numId w:val="14"/>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本公司对招标文件的内容已经了解，并自愿购买该招标文件。</w:t>
            </w:r>
          </w:p>
          <w:p w14:paraId="45E3DCF4">
            <w:pPr>
              <w:numPr>
                <w:ilvl w:val="0"/>
                <w:numId w:val="14"/>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本公司对提供的所有资料的真实性、有效性承担责任。</w:t>
            </w:r>
          </w:p>
          <w:p w14:paraId="3186ED24">
            <w:pPr>
              <w:numPr>
                <w:ilvl w:val="0"/>
                <w:numId w:val="14"/>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招标文件售后不退。</w:t>
            </w:r>
          </w:p>
          <w:p w14:paraId="10D48330">
            <w:pPr>
              <w:ind w:firstLine="3738" w:firstLineChars="1335"/>
              <w:jc w:val="both"/>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招标文件领取人签名: </w:t>
            </w:r>
            <w:r>
              <w:rPr>
                <w:rFonts w:hint="eastAsia" w:ascii="宋体" w:hAnsi="宋体" w:cs="宋体"/>
                <w:color w:val="auto"/>
                <w:sz w:val="28"/>
                <w:szCs w:val="28"/>
                <w:highlight w:val="none"/>
                <w:u w:val="single"/>
                <w:lang w:bidi="ar"/>
              </w:rPr>
              <w:t xml:space="preserve">     </w:t>
            </w:r>
            <w:r>
              <w:rPr>
                <w:rFonts w:hint="eastAsia" w:ascii="宋体" w:hAnsi="宋体" w:cs="宋体"/>
                <w:color w:val="auto"/>
                <w:sz w:val="28"/>
                <w:szCs w:val="28"/>
                <w:highlight w:val="none"/>
                <w:vertAlign w:val="subscript"/>
                <w:lang w:bidi="ar"/>
              </w:rPr>
              <w:t xml:space="preserve"> </w:t>
            </w:r>
            <w:r>
              <w:rPr>
                <w:rFonts w:hint="eastAsia" w:ascii="宋体" w:hAnsi="宋体" w:cs="宋体"/>
                <w:color w:val="auto"/>
                <w:sz w:val="28"/>
                <w:szCs w:val="28"/>
                <w:highlight w:val="none"/>
                <w:lang w:bidi="ar"/>
              </w:rPr>
              <w:t xml:space="preserve">              </w:t>
            </w:r>
            <w:r>
              <w:rPr>
                <w:rFonts w:hint="eastAsia" w:ascii="宋体" w:hAnsi="宋体" w:cs="宋体"/>
                <w:color w:val="auto"/>
                <w:sz w:val="28"/>
                <w:szCs w:val="28"/>
                <w:highlight w:val="none"/>
                <w:u w:val="single"/>
                <w:lang w:bidi="ar"/>
              </w:rPr>
              <w:t xml:space="preserve">                </w:t>
            </w:r>
          </w:p>
        </w:tc>
      </w:tr>
      <w:tr w14:paraId="55D00791">
        <w:tblPrEx>
          <w:tblCellMar>
            <w:top w:w="0" w:type="dxa"/>
            <w:left w:w="108" w:type="dxa"/>
            <w:bottom w:w="0" w:type="dxa"/>
            <w:right w:w="108" w:type="dxa"/>
          </w:tblCellMar>
        </w:tblPrEx>
        <w:trPr>
          <w:trHeight w:val="82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A6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招标文件售价</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841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人民币300元/份</w:t>
            </w:r>
          </w:p>
        </w:tc>
      </w:tr>
      <w:tr w14:paraId="0256BDF0">
        <w:tblPrEx>
          <w:tblCellMar>
            <w:top w:w="0" w:type="dxa"/>
            <w:left w:w="108" w:type="dxa"/>
            <w:bottom w:w="0" w:type="dxa"/>
            <w:right w:w="108" w:type="dxa"/>
          </w:tblCellMar>
        </w:tblPrEx>
        <w:trPr>
          <w:trHeight w:val="1060" w:hRule="atLeast"/>
        </w:trPr>
        <w:tc>
          <w:tcPr>
            <w:tcW w:w="85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958D">
            <w:pPr>
              <w:jc w:val="center"/>
              <w:textAlignment w:val="center"/>
              <w:rPr>
                <w:rFonts w:ascii="宋体" w:hAnsi="宋体" w:cs="宋体"/>
                <w:color w:val="auto"/>
                <w:sz w:val="28"/>
                <w:szCs w:val="28"/>
                <w:highlight w:val="none"/>
                <w:lang w:bidi="ar"/>
              </w:rPr>
            </w:pPr>
            <w:r>
              <w:rPr>
                <w:rFonts w:hint="eastAsia" w:ascii="宋体" w:hAnsi="宋体" w:cs="宋体"/>
                <w:b/>
                <w:bCs/>
                <w:color w:val="auto"/>
                <w:sz w:val="32"/>
                <w:szCs w:val="32"/>
                <w:highlight w:val="none"/>
              </w:rPr>
              <w:t>注：开完发票后请把报名表格交还至前台</w:t>
            </w:r>
          </w:p>
        </w:tc>
      </w:tr>
    </w:tbl>
    <w:p w14:paraId="5548C66E">
      <w:pPr>
        <w:pStyle w:val="29"/>
        <w:ind w:left="0" w:firstLine="0" w:firstLineChars="0"/>
        <w:rPr>
          <w:color w:val="auto"/>
          <w:highlight w:val="none"/>
        </w:rPr>
      </w:pPr>
    </w:p>
    <w:sectPr>
      <w:footerReference r:id="rId12" w:type="first"/>
      <w:footerReference r:id="rId11"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7C72">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7CE6D">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82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947CE6D">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82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02F0F">
    <w:pPr>
      <w:pStyle w:val="16"/>
      <w:tabs>
        <w:tab w:val="left" w:pos="4847"/>
        <w:tab w:val="clear" w:pos="4153"/>
      </w:tabs>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5CAE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5B65CAEC">
                    <w:pPr>
                      <w:pStyle w:val="16"/>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89BB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6789BB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6A6BC">
    <w:pPr>
      <w:pStyle w:val="16"/>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6A6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276A6C">
                    <w:pPr>
                      <w:pStyle w:val="16"/>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C66F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C6C66F6"/>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DCC4ED3">
                          <w:pPr>
                            <w:pStyle w:val="16"/>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3DCC4ED3">
                    <w:pPr>
                      <w:pStyle w:val="16"/>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48B1E">
    <w:pPr>
      <w:pStyle w:val="16"/>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1B7B3">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401B7B3">
                    <w:pPr>
                      <w:pStyle w:val="16"/>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402D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90402DE"/>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7D28490">
                          <w:pPr>
                            <w:pStyle w:val="16"/>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47D28490">
                    <w:pPr>
                      <w:pStyle w:val="1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6879">
    <w:pPr>
      <w:pStyle w:val="16"/>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1A543">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931A543">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9ED3F29">
                          <w:pPr>
                            <w:pStyle w:val="16"/>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69ED3F29">
                    <w:pPr>
                      <w:pStyle w:val="1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52707">
    <w:pPr>
      <w:pStyle w:val="16"/>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76E5C">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4A76E5C">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8EEF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3F8EEFC">
                    <w:pPr>
                      <w:pStyle w:val="16"/>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0DEE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690DEE6"/>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9742C1C">
                          <w:pPr>
                            <w:pStyle w:val="16"/>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59742C1C">
                    <w:pPr>
                      <w:pStyle w:val="1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p>
  </w:footnote>
  <w:footnote w:type="continuationSeparator" w:id="5">
    <w:p>
      <w:pPr>
        <w:spacing w:line="360" w:lineRule="auto"/>
      </w:pPr>
    </w:p>
  </w:footnote>
  <w:footnote w:id="0">
    <w:p w14:paraId="5988187D">
      <w:pPr>
        <w:pStyle w:val="24"/>
        <w:rPr>
          <w:rFonts w:eastAsia="微软雅黑"/>
        </w:rPr>
      </w:pPr>
      <w:r>
        <w:rPr>
          <w:rStyle w:val="37"/>
        </w:rPr>
        <w:footnoteRef/>
      </w:r>
      <w:r>
        <w:t xml:space="preserve"> </w:t>
      </w:r>
      <w:r>
        <w:rPr>
          <w:rFonts w:hint="eastAsia"/>
        </w:rPr>
        <w:t>从业人员、营业人员、资产总额填报上一年度数据，无上一年度数据的新成立企业可不填报。</w:t>
      </w:r>
    </w:p>
  </w:footnote>
  <w:footnote w:id="1">
    <w:p w14:paraId="09DAEE33">
      <w:pPr>
        <w:pStyle w:val="24"/>
      </w:pPr>
      <w:r>
        <w:rPr>
          <w:rStyle w:val="37"/>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26674">
    <w:pPr>
      <w:pStyle w:val="18"/>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39D3">
    <w:pPr>
      <w:pStyle w:val="18"/>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AA12ADA"/>
    <w:multiLevelType w:val="singleLevel"/>
    <w:tmpl w:val="BAA12ADA"/>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F73DC5D7"/>
    <w:multiLevelType w:val="singleLevel"/>
    <w:tmpl w:val="F73DC5D7"/>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6CABF7"/>
    <w:multiLevelType w:val="singleLevel"/>
    <w:tmpl w:val="206CABF7"/>
    <w:lvl w:ilvl="0" w:tentative="0">
      <w:start w:val="1"/>
      <w:numFmt w:val="decimal"/>
      <w:suff w:val="nothing"/>
      <w:lvlText w:val="（%1）"/>
      <w:lvlJc w:val="left"/>
    </w:lvl>
  </w:abstractNum>
  <w:abstractNum w:abstractNumId="8">
    <w:nsid w:val="22532AD9"/>
    <w:multiLevelType w:val="singleLevel"/>
    <w:tmpl w:val="22532AD9"/>
    <w:lvl w:ilvl="0" w:tentative="0">
      <w:start w:val="1"/>
      <w:numFmt w:val="decimal"/>
      <w:lvlText w:val="%1)"/>
      <w:lvlJc w:val="left"/>
      <w:pPr>
        <w:tabs>
          <w:tab w:val="left" w:pos="312"/>
        </w:tabs>
      </w:pPr>
    </w:lvl>
  </w:abstractNum>
  <w:abstractNum w:abstractNumId="9">
    <w:nsid w:val="316010E5"/>
    <w:multiLevelType w:val="singleLevel"/>
    <w:tmpl w:val="316010E5"/>
    <w:lvl w:ilvl="0" w:tentative="0">
      <w:start w:val="1"/>
      <w:numFmt w:val="decimal"/>
      <w:suff w:val="nothing"/>
      <w:lvlText w:val="%1．"/>
      <w:lvlJc w:val="left"/>
    </w:lvl>
  </w:abstractNum>
  <w:abstractNum w:abstractNumId="10">
    <w:nsid w:val="3B1B8417"/>
    <w:multiLevelType w:val="singleLevel"/>
    <w:tmpl w:val="3B1B8417"/>
    <w:lvl w:ilvl="0" w:tentative="0">
      <w:start w:val="1"/>
      <w:numFmt w:val="decimal"/>
      <w:suff w:val="nothing"/>
      <w:lvlText w:val="%1、"/>
      <w:lvlJc w:val="left"/>
    </w:lvl>
  </w:abstractNum>
  <w:abstractNum w:abstractNumId="11">
    <w:nsid w:val="3F88662E"/>
    <w:multiLevelType w:val="singleLevel"/>
    <w:tmpl w:val="3F88662E"/>
    <w:lvl w:ilvl="0" w:tentative="0">
      <w:start w:val="1"/>
      <w:numFmt w:val="decimal"/>
      <w:suff w:val="space"/>
      <w:lvlText w:val="%1)"/>
      <w:lvlJc w:val="left"/>
    </w:lvl>
  </w:abstractNum>
  <w:abstractNum w:abstractNumId="12">
    <w:nsid w:val="636C59FA"/>
    <w:multiLevelType w:val="singleLevel"/>
    <w:tmpl w:val="636C59FA"/>
    <w:lvl w:ilvl="0" w:tentative="0">
      <w:start w:val="1"/>
      <w:numFmt w:val="decimal"/>
      <w:lvlText w:val="%1)"/>
      <w:lvlJc w:val="left"/>
      <w:pPr>
        <w:tabs>
          <w:tab w:val="left" w:pos="312"/>
        </w:tabs>
      </w:pPr>
    </w:lvl>
  </w:abstractNum>
  <w:abstractNum w:abstractNumId="13">
    <w:nsid w:val="6E5CE7BD"/>
    <w:multiLevelType w:val="singleLevel"/>
    <w:tmpl w:val="6E5CE7BD"/>
    <w:lvl w:ilvl="0" w:tentative="0">
      <w:start w:val="1"/>
      <w:numFmt w:val="chineseCounting"/>
      <w:suff w:val="nothing"/>
      <w:lvlText w:val="%1、"/>
      <w:lvlJc w:val="left"/>
      <w:rPr>
        <w:rFonts w:hint="eastAsia"/>
      </w:rPr>
    </w:lvl>
  </w:abstractNum>
  <w:num w:numId="1">
    <w:abstractNumId w:val="13"/>
  </w:num>
  <w:num w:numId="2">
    <w:abstractNumId w:val="10"/>
  </w:num>
  <w:num w:numId="3">
    <w:abstractNumId w:val="8"/>
  </w:num>
  <w:num w:numId="4">
    <w:abstractNumId w:val="12"/>
  </w:num>
  <w:num w:numId="5">
    <w:abstractNumId w:val="6"/>
  </w:num>
  <w:num w:numId="6">
    <w:abstractNumId w:val="11"/>
  </w:num>
  <w:num w:numId="7">
    <w:abstractNumId w:val="7"/>
  </w:num>
  <w:num w:numId="8">
    <w:abstractNumId w:val="3"/>
  </w:num>
  <w:num w:numId="9">
    <w:abstractNumId w:val="4"/>
  </w:num>
  <w:num w:numId="10">
    <w:abstractNumId w:val="1"/>
  </w:num>
  <w:num w:numId="11">
    <w:abstractNumId w:val="2"/>
  </w:num>
  <w:num w:numId="12">
    <w:abstractNumId w:val="5"/>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3ODRhYWJjY2I1ODQzYzk2ZjhmMjE3MDBmNzNkMzQifQ=="/>
    <w:docVar w:name="KSO_WPS_MARK_KEY" w:val="79c519e9-7189-41b4-9875-c305920969a0"/>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D6BA3"/>
    <w:rsid w:val="000D7C9A"/>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E067C"/>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5318"/>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56CB"/>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36E28"/>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559BE"/>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217C"/>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31F0E"/>
    <w:rsid w:val="00E40CAD"/>
    <w:rsid w:val="00E44530"/>
    <w:rsid w:val="00E61D2E"/>
    <w:rsid w:val="00E62B7F"/>
    <w:rsid w:val="00E726BC"/>
    <w:rsid w:val="00E72821"/>
    <w:rsid w:val="00E81DDC"/>
    <w:rsid w:val="00E81F67"/>
    <w:rsid w:val="00E83650"/>
    <w:rsid w:val="00E83A31"/>
    <w:rsid w:val="00E93E51"/>
    <w:rsid w:val="00E97CC0"/>
    <w:rsid w:val="00EA2524"/>
    <w:rsid w:val="00EB188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B40242"/>
    <w:rsid w:val="01B938AA"/>
    <w:rsid w:val="01D447D7"/>
    <w:rsid w:val="01E74B6E"/>
    <w:rsid w:val="02126CDB"/>
    <w:rsid w:val="021832B7"/>
    <w:rsid w:val="024E2E49"/>
    <w:rsid w:val="027041D7"/>
    <w:rsid w:val="02A741FD"/>
    <w:rsid w:val="02C16E5D"/>
    <w:rsid w:val="02D964CF"/>
    <w:rsid w:val="02E80C68"/>
    <w:rsid w:val="02FF0CB9"/>
    <w:rsid w:val="0340787C"/>
    <w:rsid w:val="03707410"/>
    <w:rsid w:val="037F03E3"/>
    <w:rsid w:val="03A0770F"/>
    <w:rsid w:val="03A27BF9"/>
    <w:rsid w:val="03A448B8"/>
    <w:rsid w:val="03A4578A"/>
    <w:rsid w:val="03AD071E"/>
    <w:rsid w:val="03D10969"/>
    <w:rsid w:val="04507B44"/>
    <w:rsid w:val="047D2B3E"/>
    <w:rsid w:val="04DF1036"/>
    <w:rsid w:val="050F6021"/>
    <w:rsid w:val="05203AD5"/>
    <w:rsid w:val="054D03CC"/>
    <w:rsid w:val="05A97DEC"/>
    <w:rsid w:val="05C81981"/>
    <w:rsid w:val="05D410C7"/>
    <w:rsid w:val="05EE2AE1"/>
    <w:rsid w:val="05FF6B6E"/>
    <w:rsid w:val="0600615C"/>
    <w:rsid w:val="063642D6"/>
    <w:rsid w:val="063A59DE"/>
    <w:rsid w:val="064D26E6"/>
    <w:rsid w:val="065A32ED"/>
    <w:rsid w:val="06BC41F2"/>
    <w:rsid w:val="06DF3DBD"/>
    <w:rsid w:val="06EA08AE"/>
    <w:rsid w:val="06EF05CB"/>
    <w:rsid w:val="07197D08"/>
    <w:rsid w:val="071C2CFD"/>
    <w:rsid w:val="071E5C55"/>
    <w:rsid w:val="07257082"/>
    <w:rsid w:val="073A47CB"/>
    <w:rsid w:val="073F7319"/>
    <w:rsid w:val="074479FB"/>
    <w:rsid w:val="07536A42"/>
    <w:rsid w:val="07595F41"/>
    <w:rsid w:val="07615EC0"/>
    <w:rsid w:val="077005AB"/>
    <w:rsid w:val="078F4581"/>
    <w:rsid w:val="07995C5E"/>
    <w:rsid w:val="07A34C25"/>
    <w:rsid w:val="07A4329C"/>
    <w:rsid w:val="07BE179A"/>
    <w:rsid w:val="07BF027F"/>
    <w:rsid w:val="07E23C93"/>
    <w:rsid w:val="08031A31"/>
    <w:rsid w:val="081A5CC7"/>
    <w:rsid w:val="082E197B"/>
    <w:rsid w:val="08823813"/>
    <w:rsid w:val="089F1700"/>
    <w:rsid w:val="08A276E5"/>
    <w:rsid w:val="09061A75"/>
    <w:rsid w:val="090E3AC2"/>
    <w:rsid w:val="09182241"/>
    <w:rsid w:val="09242E62"/>
    <w:rsid w:val="093C069F"/>
    <w:rsid w:val="09417888"/>
    <w:rsid w:val="09855177"/>
    <w:rsid w:val="09870F93"/>
    <w:rsid w:val="09B928E5"/>
    <w:rsid w:val="09D44C7E"/>
    <w:rsid w:val="09D658E4"/>
    <w:rsid w:val="09F1637C"/>
    <w:rsid w:val="0A25628F"/>
    <w:rsid w:val="0A764C3F"/>
    <w:rsid w:val="0A844C25"/>
    <w:rsid w:val="0A9F0653"/>
    <w:rsid w:val="0AA534D5"/>
    <w:rsid w:val="0AA650EB"/>
    <w:rsid w:val="0AB8066A"/>
    <w:rsid w:val="0AF47339"/>
    <w:rsid w:val="0B22594B"/>
    <w:rsid w:val="0B797387"/>
    <w:rsid w:val="0B8B2381"/>
    <w:rsid w:val="0BC044BE"/>
    <w:rsid w:val="0BDF26F7"/>
    <w:rsid w:val="0BE34502"/>
    <w:rsid w:val="0BF027CF"/>
    <w:rsid w:val="0C264099"/>
    <w:rsid w:val="0C2A0433"/>
    <w:rsid w:val="0C2B4952"/>
    <w:rsid w:val="0C436DE4"/>
    <w:rsid w:val="0C7B2220"/>
    <w:rsid w:val="0D890E47"/>
    <w:rsid w:val="0DBD266C"/>
    <w:rsid w:val="0DC2037A"/>
    <w:rsid w:val="0DC64A00"/>
    <w:rsid w:val="0DD1781A"/>
    <w:rsid w:val="0DFC60BA"/>
    <w:rsid w:val="0E1243D2"/>
    <w:rsid w:val="0E3907E3"/>
    <w:rsid w:val="0E4249F1"/>
    <w:rsid w:val="0E784AA8"/>
    <w:rsid w:val="0E7A447D"/>
    <w:rsid w:val="0F0623D7"/>
    <w:rsid w:val="0F2C7B81"/>
    <w:rsid w:val="0F434B64"/>
    <w:rsid w:val="0F6C5A53"/>
    <w:rsid w:val="0F7C5FF6"/>
    <w:rsid w:val="0F9B3BB3"/>
    <w:rsid w:val="0FC63FBD"/>
    <w:rsid w:val="0FC823F6"/>
    <w:rsid w:val="100340CE"/>
    <w:rsid w:val="101645B3"/>
    <w:rsid w:val="106C564D"/>
    <w:rsid w:val="107B7B8F"/>
    <w:rsid w:val="107C67CE"/>
    <w:rsid w:val="1080523F"/>
    <w:rsid w:val="108F06C9"/>
    <w:rsid w:val="109D68CB"/>
    <w:rsid w:val="10A949B8"/>
    <w:rsid w:val="10C54639"/>
    <w:rsid w:val="11200D07"/>
    <w:rsid w:val="11DA73AF"/>
    <w:rsid w:val="11DF733C"/>
    <w:rsid w:val="12C60D80"/>
    <w:rsid w:val="12D85778"/>
    <w:rsid w:val="12DB2403"/>
    <w:rsid w:val="12DE7648"/>
    <w:rsid w:val="12E459D2"/>
    <w:rsid w:val="130A5BEF"/>
    <w:rsid w:val="131867D4"/>
    <w:rsid w:val="131E602A"/>
    <w:rsid w:val="131F7A3A"/>
    <w:rsid w:val="132645D0"/>
    <w:rsid w:val="132C3BB5"/>
    <w:rsid w:val="13455ABC"/>
    <w:rsid w:val="1370322B"/>
    <w:rsid w:val="138D3FA2"/>
    <w:rsid w:val="13B27845"/>
    <w:rsid w:val="13B33EF4"/>
    <w:rsid w:val="13BE469F"/>
    <w:rsid w:val="13F87121"/>
    <w:rsid w:val="141A03E1"/>
    <w:rsid w:val="143B2E0B"/>
    <w:rsid w:val="14672B11"/>
    <w:rsid w:val="1470209B"/>
    <w:rsid w:val="14892735"/>
    <w:rsid w:val="14CC769D"/>
    <w:rsid w:val="157D38E3"/>
    <w:rsid w:val="159232EE"/>
    <w:rsid w:val="15CA4090"/>
    <w:rsid w:val="15D359D7"/>
    <w:rsid w:val="15D81E0F"/>
    <w:rsid w:val="15F26C8F"/>
    <w:rsid w:val="161771F3"/>
    <w:rsid w:val="161B1160"/>
    <w:rsid w:val="16222D6D"/>
    <w:rsid w:val="16316860"/>
    <w:rsid w:val="16343551"/>
    <w:rsid w:val="163C77BE"/>
    <w:rsid w:val="164E22D4"/>
    <w:rsid w:val="16632F86"/>
    <w:rsid w:val="1679588C"/>
    <w:rsid w:val="16994962"/>
    <w:rsid w:val="16A71041"/>
    <w:rsid w:val="16AA24BF"/>
    <w:rsid w:val="16D8352E"/>
    <w:rsid w:val="16F72341"/>
    <w:rsid w:val="17066F00"/>
    <w:rsid w:val="17095F55"/>
    <w:rsid w:val="17407617"/>
    <w:rsid w:val="17680CAB"/>
    <w:rsid w:val="176E4128"/>
    <w:rsid w:val="1783371F"/>
    <w:rsid w:val="17A3790B"/>
    <w:rsid w:val="17CD1C16"/>
    <w:rsid w:val="17D54E75"/>
    <w:rsid w:val="17E62B67"/>
    <w:rsid w:val="180751D0"/>
    <w:rsid w:val="180C0192"/>
    <w:rsid w:val="180F4499"/>
    <w:rsid w:val="18221ECE"/>
    <w:rsid w:val="18AC012B"/>
    <w:rsid w:val="18E0248C"/>
    <w:rsid w:val="190B7894"/>
    <w:rsid w:val="191A48B9"/>
    <w:rsid w:val="19302282"/>
    <w:rsid w:val="195024AB"/>
    <w:rsid w:val="19A2789F"/>
    <w:rsid w:val="19F1651F"/>
    <w:rsid w:val="1A460CF5"/>
    <w:rsid w:val="1A7F297D"/>
    <w:rsid w:val="1AB16AC1"/>
    <w:rsid w:val="1ABB581A"/>
    <w:rsid w:val="1B034A52"/>
    <w:rsid w:val="1B064032"/>
    <w:rsid w:val="1B1F34AD"/>
    <w:rsid w:val="1B8D5DC6"/>
    <w:rsid w:val="1B921C7D"/>
    <w:rsid w:val="1BFE1D3B"/>
    <w:rsid w:val="1C153208"/>
    <w:rsid w:val="1C2775EC"/>
    <w:rsid w:val="1C750ECE"/>
    <w:rsid w:val="1CA22168"/>
    <w:rsid w:val="1CD40CA8"/>
    <w:rsid w:val="1CE03EE3"/>
    <w:rsid w:val="1CEB78BD"/>
    <w:rsid w:val="1D0836D7"/>
    <w:rsid w:val="1D196139"/>
    <w:rsid w:val="1DB85900"/>
    <w:rsid w:val="1DF051AF"/>
    <w:rsid w:val="1E010AF7"/>
    <w:rsid w:val="1E0178EB"/>
    <w:rsid w:val="1E301173"/>
    <w:rsid w:val="1E38333E"/>
    <w:rsid w:val="1E5C7612"/>
    <w:rsid w:val="1EA40BB4"/>
    <w:rsid w:val="1F2370E0"/>
    <w:rsid w:val="1F43381C"/>
    <w:rsid w:val="1FA4148D"/>
    <w:rsid w:val="1FA87DF1"/>
    <w:rsid w:val="1FFB79DD"/>
    <w:rsid w:val="20121621"/>
    <w:rsid w:val="20183B39"/>
    <w:rsid w:val="201A421D"/>
    <w:rsid w:val="20341172"/>
    <w:rsid w:val="204E554F"/>
    <w:rsid w:val="20590035"/>
    <w:rsid w:val="20C35213"/>
    <w:rsid w:val="20FC799E"/>
    <w:rsid w:val="21A17A1C"/>
    <w:rsid w:val="21DE3C5B"/>
    <w:rsid w:val="22154DDD"/>
    <w:rsid w:val="22213E42"/>
    <w:rsid w:val="22215EE6"/>
    <w:rsid w:val="22336873"/>
    <w:rsid w:val="22373735"/>
    <w:rsid w:val="225C0BC7"/>
    <w:rsid w:val="227227A3"/>
    <w:rsid w:val="22CA56D0"/>
    <w:rsid w:val="23175889"/>
    <w:rsid w:val="23675953"/>
    <w:rsid w:val="238C2182"/>
    <w:rsid w:val="239015D1"/>
    <w:rsid w:val="23A225A2"/>
    <w:rsid w:val="23BB4E7D"/>
    <w:rsid w:val="23BF5868"/>
    <w:rsid w:val="23C172D6"/>
    <w:rsid w:val="23F04F64"/>
    <w:rsid w:val="24270557"/>
    <w:rsid w:val="244C68D7"/>
    <w:rsid w:val="24814CBE"/>
    <w:rsid w:val="24AA0A5F"/>
    <w:rsid w:val="24AC168B"/>
    <w:rsid w:val="250C6474"/>
    <w:rsid w:val="251B4B06"/>
    <w:rsid w:val="2567533D"/>
    <w:rsid w:val="258C3BEC"/>
    <w:rsid w:val="2594045D"/>
    <w:rsid w:val="25E576CC"/>
    <w:rsid w:val="260E3862"/>
    <w:rsid w:val="262569FC"/>
    <w:rsid w:val="26344C98"/>
    <w:rsid w:val="263C0693"/>
    <w:rsid w:val="26F40F6D"/>
    <w:rsid w:val="26F56CE2"/>
    <w:rsid w:val="271316D3"/>
    <w:rsid w:val="27201D62"/>
    <w:rsid w:val="27435D49"/>
    <w:rsid w:val="276237A8"/>
    <w:rsid w:val="277C7BD6"/>
    <w:rsid w:val="279D7544"/>
    <w:rsid w:val="27A34F71"/>
    <w:rsid w:val="27AA1BF8"/>
    <w:rsid w:val="27B36A67"/>
    <w:rsid w:val="27BF3078"/>
    <w:rsid w:val="27EB0D9B"/>
    <w:rsid w:val="286602C8"/>
    <w:rsid w:val="28665C95"/>
    <w:rsid w:val="286A03E0"/>
    <w:rsid w:val="289B6312"/>
    <w:rsid w:val="28A64522"/>
    <w:rsid w:val="28A84CCD"/>
    <w:rsid w:val="28CC5B40"/>
    <w:rsid w:val="290B3EB9"/>
    <w:rsid w:val="291418C2"/>
    <w:rsid w:val="29441E8A"/>
    <w:rsid w:val="2950768C"/>
    <w:rsid w:val="297A5FC4"/>
    <w:rsid w:val="29EA4C55"/>
    <w:rsid w:val="2A1113BC"/>
    <w:rsid w:val="2A8D4F8F"/>
    <w:rsid w:val="2A911082"/>
    <w:rsid w:val="2A917B34"/>
    <w:rsid w:val="2AE3766F"/>
    <w:rsid w:val="2AEC0B41"/>
    <w:rsid w:val="2B242199"/>
    <w:rsid w:val="2B7E4054"/>
    <w:rsid w:val="2BB16470"/>
    <w:rsid w:val="2BBB2F48"/>
    <w:rsid w:val="2BF22742"/>
    <w:rsid w:val="2C4A4550"/>
    <w:rsid w:val="2C4D130C"/>
    <w:rsid w:val="2C6F63F4"/>
    <w:rsid w:val="2C8C39F6"/>
    <w:rsid w:val="2C987C56"/>
    <w:rsid w:val="2CC7419D"/>
    <w:rsid w:val="2CFF149A"/>
    <w:rsid w:val="2D113745"/>
    <w:rsid w:val="2D201865"/>
    <w:rsid w:val="2D2F24AB"/>
    <w:rsid w:val="2D34613F"/>
    <w:rsid w:val="2D4B5CEA"/>
    <w:rsid w:val="2D652658"/>
    <w:rsid w:val="2D6C7C23"/>
    <w:rsid w:val="2D840350"/>
    <w:rsid w:val="2D8608C0"/>
    <w:rsid w:val="2DB1132C"/>
    <w:rsid w:val="2DB41456"/>
    <w:rsid w:val="2DC474C6"/>
    <w:rsid w:val="2DC80C49"/>
    <w:rsid w:val="2DCA6355"/>
    <w:rsid w:val="2DDF4522"/>
    <w:rsid w:val="2DF0699F"/>
    <w:rsid w:val="2E166748"/>
    <w:rsid w:val="2E247BD2"/>
    <w:rsid w:val="2E556F01"/>
    <w:rsid w:val="2E7F73BD"/>
    <w:rsid w:val="2E8E20B4"/>
    <w:rsid w:val="2EB9239F"/>
    <w:rsid w:val="2ED06066"/>
    <w:rsid w:val="2ED1223D"/>
    <w:rsid w:val="2EE470F7"/>
    <w:rsid w:val="2EE56BD1"/>
    <w:rsid w:val="2EF223E2"/>
    <w:rsid w:val="2F000139"/>
    <w:rsid w:val="2F111253"/>
    <w:rsid w:val="2F561B8A"/>
    <w:rsid w:val="2F9F42DC"/>
    <w:rsid w:val="2FB079A7"/>
    <w:rsid w:val="2FE04319"/>
    <w:rsid w:val="2FF37AB3"/>
    <w:rsid w:val="304A650F"/>
    <w:rsid w:val="308C7755"/>
    <w:rsid w:val="30FF27D2"/>
    <w:rsid w:val="31170995"/>
    <w:rsid w:val="31264A30"/>
    <w:rsid w:val="313A4D7D"/>
    <w:rsid w:val="316A4BD8"/>
    <w:rsid w:val="31884E67"/>
    <w:rsid w:val="318D51AD"/>
    <w:rsid w:val="31A0275E"/>
    <w:rsid w:val="31B7357A"/>
    <w:rsid w:val="31ED6B08"/>
    <w:rsid w:val="31F5643B"/>
    <w:rsid w:val="31F915C9"/>
    <w:rsid w:val="320D643F"/>
    <w:rsid w:val="3236546E"/>
    <w:rsid w:val="32610CE6"/>
    <w:rsid w:val="32631A32"/>
    <w:rsid w:val="326E016A"/>
    <w:rsid w:val="328464CE"/>
    <w:rsid w:val="329B618E"/>
    <w:rsid w:val="32AB70C5"/>
    <w:rsid w:val="32B95807"/>
    <w:rsid w:val="32DC33E0"/>
    <w:rsid w:val="330C1F7A"/>
    <w:rsid w:val="335D0AF5"/>
    <w:rsid w:val="3370088C"/>
    <w:rsid w:val="33A3154A"/>
    <w:rsid w:val="33DC2F78"/>
    <w:rsid w:val="3424656C"/>
    <w:rsid w:val="3428227C"/>
    <w:rsid w:val="342C5935"/>
    <w:rsid w:val="346E05B1"/>
    <w:rsid w:val="35260F83"/>
    <w:rsid w:val="35406FA9"/>
    <w:rsid w:val="35602226"/>
    <w:rsid w:val="356B72E7"/>
    <w:rsid w:val="3572424F"/>
    <w:rsid w:val="35F60EA8"/>
    <w:rsid w:val="35FC3844"/>
    <w:rsid w:val="36152D81"/>
    <w:rsid w:val="363466F2"/>
    <w:rsid w:val="366061FD"/>
    <w:rsid w:val="36637631"/>
    <w:rsid w:val="36794DEF"/>
    <w:rsid w:val="36AD519D"/>
    <w:rsid w:val="36B57705"/>
    <w:rsid w:val="36C36371"/>
    <w:rsid w:val="36E75B41"/>
    <w:rsid w:val="373563ED"/>
    <w:rsid w:val="374F1A0B"/>
    <w:rsid w:val="376F71EC"/>
    <w:rsid w:val="3778009F"/>
    <w:rsid w:val="37A103ED"/>
    <w:rsid w:val="37BE2061"/>
    <w:rsid w:val="37EA5E6E"/>
    <w:rsid w:val="37FF016F"/>
    <w:rsid w:val="38427C0B"/>
    <w:rsid w:val="387C5ABE"/>
    <w:rsid w:val="38865AC7"/>
    <w:rsid w:val="389B3A1E"/>
    <w:rsid w:val="38CE3C9F"/>
    <w:rsid w:val="38EB6119"/>
    <w:rsid w:val="39383D56"/>
    <w:rsid w:val="3986380F"/>
    <w:rsid w:val="39DE33DA"/>
    <w:rsid w:val="39FA5B4A"/>
    <w:rsid w:val="39FE0BE9"/>
    <w:rsid w:val="3A1C4428"/>
    <w:rsid w:val="3A3C1AAF"/>
    <w:rsid w:val="3A424C25"/>
    <w:rsid w:val="3A4B7CC1"/>
    <w:rsid w:val="3A51228C"/>
    <w:rsid w:val="3A552E60"/>
    <w:rsid w:val="3A5D642F"/>
    <w:rsid w:val="3AB210FC"/>
    <w:rsid w:val="3ACE216B"/>
    <w:rsid w:val="3AD95C13"/>
    <w:rsid w:val="3B067219"/>
    <w:rsid w:val="3B261E51"/>
    <w:rsid w:val="3B973F88"/>
    <w:rsid w:val="3BCD72F7"/>
    <w:rsid w:val="3C414142"/>
    <w:rsid w:val="3CE114D9"/>
    <w:rsid w:val="3CF737A2"/>
    <w:rsid w:val="3CF7509A"/>
    <w:rsid w:val="3D0C7E24"/>
    <w:rsid w:val="3D10295A"/>
    <w:rsid w:val="3D605157"/>
    <w:rsid w:val="3D6438E2"/>
    <w:rsid w:val="3DE821CA"/>
    <w:rsid w:val="3DED21B5"/>
    <w:rsid w:val="3E0572FD"/>
    <w:rsid w:val="3E1A5292"/>
    <w:rsid w:val="3E4127AD"/>
    <w:rsid w:val="3E5A7FE7"/>
    <w:rsid w:val="3E8E5F7D"/>
    <w:rsid w:val="3EB71000"/>
    <w:rsid w:val="3EC8179E"/>
    <w:rsid w:val="3EDF3E59"/>
    <w:rsid w:val="3EF12938"/>
    <w:rsid w:val="3EF66B2E"/>
    <w:rsid w:val="3F217914"/>
    <w:rsid w:val="3F9260CB"/>
    <w:rsid w:val="3F942B76"/>
    <w:rsid w:val="3FD70BB0"/>
    <w:rsid w:val="3FFB55AC"/>
    <w:rsid w:val="401C5F9D"/>
    <w:rsid w:val="401C690C"/>
    <w:rsid w:val="401D6412"/>
    <w:rsid w:val="401D7195"/>
    <w:rsid w:val="402D0AB4"/>
    <w:rsid w:val="40451A0F"/>
    <w:rsid w:val="405F1BE4"/>
    <w:rsid w:val="406E1939"/>
    <w:rsid w:val="40926FFF"/>
    <w:rsid w:val="40A51286"/>
    <w:rsid w:val="40CE3DC0"/>
    <w:rsid w:val="40D7455A"/>
    <w:rsid w:val="40E743E5"/>
    <w:rsid w:val="4110038E"/>
    <w:rsid w:val="41734CBA"/>
    <w:rsid w:val="41C01B53"/>
    <w:rsid w:val="41DD7057"/>
    <w:rsid w:val="42072C9B"/>
    <w:rsid w:val="420F7A65"/>
    <w:rsid w:val="4216611A"/>
    <w:rsid w:val="423E300F"/>
    <w:rsid w:val="425656C8"/>
    <w:rsid w:val="4257273C"/>
    <w:rsid w:val="425D7213"/>
    <w:rsid w:val="426220CC"/>
    <w:rsid w:val="42677B61"/>
    <w:rsid w:val="42736416"/>
    <w:rsid w:val="42756DB0"/>
    <w:rsid w:val="42914504"/>
    <w:rsid w:val="42B21AD2"/>
    <w:rsid w:val="42B81809"/>
    <w:rsid w:val="42DB78D8"/>
    <w:rsid w:val="42EB15FB"/>
    <w:rsid w:val="42FD694D"/>
    <w:rsid w:val="434A6D8F"/>
    <w:rsid w:val="43514833"/>
    <w:rsid w:val="43C751DD"/>
    <w:rsid w:val="43FA5777"/>
    <w:rsid w:val="44044D92"/>
    <w:rsid w:val="44066714"/>
    <w:rsid w:val="441C1611"/>
    <w:rsid w:val="443C440B"/>
    <w:rsid w:val="443F7DBF"/>
    <w:rsid w:val="44514F52"/>
    <w:rsid w:val="445F241B"/>
    <w:rsid w:val="447D6C95"/>
    <w:rsid w:val="448965CB"/>
    <w:rsid w:val="44913E48"/>
    <w:rsid w:val="44974A0B"/>
    <w:rsid w:val="44B149C9"/>
    <w:rsid w:val="44C5497E"/>
    <w:rsid w:val="44FA2D53"/>
    <w:rsid w:val="4571374F"/>
    <w:rsid w:val="458B1BB0"/>
    <w:rsid w:val="45A76B80"/>
    <w:rsid w:val="4611075B"/>
    <w:rsid w:val="46214818"/>
    <w:rsid w:val="467A0297"/>
    <w:rsid w:val="468B7125"/>
    <w:rsid w:val="46C4691F"/>
    <w:rsid w:val="46C7044A"/>
    <w:rsid w:val="47841568"/>
    <w:rsid w:val="479D1D34"/>
    <w:rsid w:val="47B609C0"/>
    <w:rsid w:val="47C44E9C"/>
    <w:rsid w:val="47CF543E"/>
    <w:rsid w:val="47F2350D"/>
    <w:rsid w:val="482D31EA"/>
    <w:rsid w:val="485970A0"/>
    <w:rsid w:val="48847961"/>
    <w:rsid w:val="489F50E6"/>
    <w:rsid w:val="48A41906"/>
    <w:rsid w:val="48B65C71"/>
    <w:rsid w:val="48F303D7"/>
    <w:rsid w:val="492837FF"/>
    <w:rsid w:val="492E6A57"/>
    <w:rsid w:val="49894B84"/>
    <w:rsid w:val="498A4B10"/>
    <w:rsid w:val="49B86103"/>
    <w:rsid w:val="49F306B0"/>
    <w:rsid w:val="4A0030EE"/>
    <w:rsid w:val="4A264BAF"/>
    <w:rsid w:val="4AC36065"/>
    <w:rsid w:val="4B134D38"/>
    <w:rsid w:val="4B1A0A44"/>
    <w:rsid w:val="4B560086"/>
    <w:rsid w:val="4B6131FB"/>
    <w:rsid w:val="4B7501F5"/>
    <w:rsid w:val="4B7A359C"/>
    <w:rsid w:val="4B813110"/>
    <w:rsid w:val="4B8C2DEB"/>
    <w:rsid w:val="4BE75898"/>
    <w:rsid w:val="4BFA3C9F"/>
    <w:rsid w:val="4C0E3379"/>
    <w:rsid w:val="4C107F48"/>
    <w:rsid w:val="4C3277BC"/>
    <w:rsid w:val="4C686851"/>
    <w:rsid w:val="4C7C6027"/>
    <w:rsid w:val="4CA459BC"/>
    <w:rsid w:val="4CB25875"/>
    <w:rsid w:val="4CC353EB"/>
    <w:rsid w:val="4CEA1028"/>
    <w:rsid w:val="4CF36F3C"/>
    <w:rsid w:val="4D3973EF"/>
    <w:rsid w:val="4D4433CA"/>
    <w:rsid w:val="4D4F67BA"/>
    <w:rsid w:val="4D603399"/>
    <w:rsid w:val="4D867EE1"/>
    <w:rsid w:val="4DBC4C65"/>
    <w:rsid w:val="4DF6568D"/>
    <w:rsid w:val="4E2E1A80"/>
    <w:rsid w:val="4E3A458F"/>
    <w:rsid w:val="4E550010"/>
    <w:rsid w:val="4E5F14CB"/>
    <w:rsid w:val="4E7F5FBD"/>
    <w:rsid w:val="4F3705F8"/>
    <w:rsid w:val="4F651D09"/>
    <w:rsid w:val="4F7C2E75"/>
    <w:rsid w:val="4FAC3540"/>
    <w:rsid w:val="4FBB12F4"/>
    <w:rsid w:val="4FCF1583"/>
    <w:rsid w:val="4FFA7625"/>
    <w:rsid w:val="50026D7D"/>
    <w:rsid w:val="501B0BF9"/>
    <w:rsid w:val="50484E27"/>
    <w:rsid w:val="507D2599"/>
    <w:rsid w:val="5096229D"/>
    <w:rsid w:val="50B44FCE"/>
    <w:rsid w:val="50DC4184"/>
    <w:rsid w:val="51475B39"/>
    <w:rsid w:val="514C3EA7"/>
    <w:rsid w:val="519849E5"/>
    <w:rsid w:val="51B36892"/>
    <w:rsid w:val="51CE6D45"/>
    <w:rsid w:val="51DE4FF4"/>
    <w:rsid w:val="520A4BCB"/>
    <w:rsid w:val="52476BBB"/>
    <w:rsid w:val="52506DA7"/>
    <w:rsid w:val="533B2B84"/>
    <w:rsid w:val="537A7243"/>
    <w:rsid w:val="539C1B81"/>
    <w:rsid w:val="53AA6184"/>
    <w:rsid w:val="53AE750F"/>
    <w:rsid w:val="53C12230"/>
    <w:rsid w:val="53EB0895"/>
    <w:rsid w:val="53F263AD"/>
    <w:rsid w:val="54141A4D"/>
    <w:rsid w:val="54693932"/>
    <w:rsid w:val="549A6BFA"/>
    <w:rsid w:val="54A70D6A"/>
    <w:rsid w:val="54E72921"/>
    <w:rsid w:val="5513079A"/>
    <w:rsid w:val="55806F07"/>
    <w:rsid w:val="55950185"/>
    <w:rsid w:val="55FA2961"/>
    <w:rsid w:val="565E3E0E"/>
    <w:rsid w:val="565E7F4F"/>
    <w:rsid w:val="56775789"/>
    <w:rsid w:val="56857D06"/>
    <w:rsid w:val="56914056"/>
    <w:rsid w:val="569F0E63"/>
    <w:rsid w:val="56DB613D"/>
    <w:rsid w:val="573810DA"/>
    <w:rsid w:val="5751659A"/>
    <w:rsid w:val="576A529F"/>
    <w:rsid w:val="57D936E4"/>
    <w:rsid w:val="57F13760"/>
    <w:rsid w:val="57FC2169"/>
    <w:rsid w:val="58096275"/>
    <w:rsid w:val="580E4560"/>
    <w:rsid w:val="581C04F1"/>
    <w:rsid w:val="582E6EF7"/>
    <w:rsid w:val="58434392"/>
    <w:rsid w:val="584E30E6"/>
    <w:rsid w:val="58707943"/>
    <w:rsid w:val="59014D02"/>
    <w:rsid w:val="59577976"/>
    <w:rsid w:val="59621A2B"/>
    <w:rsid w:val="597B384D"/>
    <w:rsid w:val="59996DA8"/>
    <w:rsid w:val="59AC3CE9"/>
    <w:rsid w:val="59C30F1B"/>
    <w:rsid w:val="5A0D5854"/>
    <w:rsid w:val="5A160C1F"/>
    <w:rsid w:val="5A18455B"/>
    <w:rsid w:val="5A20156F"/>
    <w:rsid w:val="5A8E5D27"/>
    <w:rsid w:val="5A9847F3"/>
    <w:rsid w:val="5A9F7840"/>
    <w:rsid w:val="5AAB640A"/>
    <w:rsid w:val="5AC7121C"/>
    <w:rsid w:val="5AD90B8D"/>
    <w:rsid w:val="5AE12927"/>
    <w:rsid w:val="5B1960DF"/>
    <w:rsid w:val="5B2243E9"/>
    <w:rsid w:val="5B4E1A44"/>
    <w:rsid w:val="5B4E2617"/>
    <w:rsid w:val="5B666742"/>
    <w:rsid w:val="5B6919B0"/>
    <w:rsid w:val="5B873201"/>
    <w:rsid w:val="5B89551D"/>
    <w:rsid w:val="5B967767"/>
    <w:rsid w:val="5B9D7D10"/>
    <w:rsid w:val="5B9E55DE"/>
    <w:rsid w:val="5BA6181A"/>
    <w:rsid w:val="5C1D18D2"/>
    <w:rsid w:val="5C286807"/>
    <w:rsid w:val="5C446BC8"/>
    <w:rsid w:val="5C4C687B"/>
    <w:rsid w:val="5C7C2768"/>
    <w:rsid w:val="5C7F0BE6"/>
    <w:rsid w:val="5CB23AE6"/>
    <w:rsid w:val="5CF55792"/>
    <w:rsid w:val="5CFD533A"/>
    <w:rsid w:val="5D0871E1"/>
    <w:rsid w:val="5D1B5066"/>
    <w:rsid w:val="5D2F2DE7"/>
    <w:rsid w:val="5D893B14"/>
    <w:rsid w:val="5D8B29E8"/>
    <w:rsid w:val="5D9F3D30"/>
    <w:rsid w:val="5DC15437"/>
    <w:rsid w:val="5DE51784"/>
    <w:rsid w:val="5E2810D5"/>
    <w:rsid w:val="5E2B7D62"/>
    <w:rsid w:val="5E71411E"/>
    <w:rsid w:val="5EA06921"/>
    <w:rsid w:val="5ECF6620"/>
    <w:rsid w:val="5ED04592"/>
    <w:rsid w:val="5ED5006A"/>
    <w:rsid w:val="5F576E4B"/>
    <w:rsid w:val="5F5D4EDE"/>
    <w:rsid w:val="5F7A2C30"/>
    <w:rsid w:val="5F7C505D"/>
    <w:rsid w:val="5F7E5DBD"/>
    <w:rsid w:val="5FBE370A"/>
    <w:rsid w:val="600675A0"/>
    <w:rsid w:val="60292845"/>
    <w:rsid w:val="608544E6"/>
    <w:rsid w:val="60A4258E"/>
    <w:rsid w:val="61014BB6"/>
    <w:rsid w:val="61027308"/>
    <w:rsid w:val="612E1A5D"/>
    <w:rsid w:val="61816046"/>
    <w:rsid w:val="61C55CA9"/>
    <w:rsid w:val="62182687"/>
    <w:rsid w:val="62391564"/>
    <w:rsid w:val="62816669"/>
    <w:rsid w:val="62BA0953"/>
    <w:rsid w:val="62D03A7C"/>
    <w:rsid w:val="62F16BCB"/>
    <w:rsid w:val="62F648FE"/>
    <w:rsid w:val="632B573B"/>
    <w:rsid w:val="63341DB1"/>
    <w:rsid w:val="63447612"/>
    <w:rsid w:val="634865BB"/>
    <w:rsid w:val="637411CF"/>
    <w:rsid w:val="637C02CD"/>
    <w:rsid w:val="63907004"/>
    <w:rsid w:val="63A10995"/>
    <w:rsid w:val="63A53E7D"/>
    <w:rsid w:val="63C23EFA"/>
    <w:rsid w:val="63FC0BD9"/>
    <w:rsid w:val="643A070A"/>
    <w:rsid w:val="644C573D"/>
    <w:rsid w:val="648667A7"/>
    <w:rsid w:val="64AA3A26"/>
    <w:rsid w:val="64D448DB"/>
    <w:rsid w:val="64DB383A"/>
    <w:rsid w:val="65032F85"/>
    <w:rsid w:val="65136B50"/>
    <w:rsid w:val="657E2A35"/>
    <w:rsid w:val="65A94E9D"/>
    <w:rsid w:val="65AF3FB6"/>
    <w:rsid w:val="65C60A92"/>
    <w:rsid w:val="65C83AA0"/>
    <w:rsid w:val="65E41BD1"/>
    <w:rsid w:val="662203DD"/>
    <w:rsid w:val="663D7BCC"/>
    <w:rsid w:val="666B723B"/>
    <w:rsid w:val="6678045A"/>
    <w:rsid w:val="667F6C90"/>
    <w:rsid w:val="669645C2"/>
    <w:rsid w:val="66DD6702"/>
    <w:rsid w:val="66EB5152"/>
    <w:rsid w:val="66EC04E1"/>
    <w:rsid w:val="674D780C"/>
    <w:rsid w:val="679406CB"/>
    <w:rsid w:val="67AB52F1"/>
    <w:rsid w:val="67C35C0B"/>
    <w:rsid w:val="67CB096A"/>
    <w:rsid w:val="67F3434E"/>
    <w:rsid w:val="681233D2"/>
    <w:rsid w:val="681D5EE5"/>
    <w:rsid w:val="685120B4"/>
    <w:rsid w:val="68652AB3"/>
    <w:rsid w:val="6895578E"/>
    <w:rsid w:val="689F1926"/>
    <w:rsid w:val="68A05B8A"/>
    <w:rsid w:val="68AD17BB"/>
    <w:rsid w:val="68D94D22"/>
    <w:rsid w:val="692B2E4A"/>
    <w:rsid w:val="694303FB"/>
    <w:rsid w:val="696A0B34"/>
    <w:rsid w:val="698D6A17"/>
    <w:rsid w:val="69A233E7"/>
    <w:rsid w:val="69BF6AA1"/>
    <w:rsid w:val="69E00BFE"/>
    <w:rsid w:val="69EE3535"/>
    <w:rsid w:val="69F954C1"/>
    <w:rsid w:val="6A2031B6"/>
    <w:rsid w:val="6A38592B"/>
    <w:rsid w:val="6A440C53"/>
    <w:rsid w:val="6A5D554D"/>
    <w:rsid w:val="6AC61F6F"/>
    <w:rsid w:val="6ADE74F0"/>
    <w:rsid w:val="6AE90EBD"/>
    <w:rsid w:val="6B1002C0"/>
    <w:rsid w:val="6B1F5CFA"/>
    <w:rsid w:val="6B2975AE"/>
    <w:rsid w:val="6B471FBF"/>
    <w:rsid w:val="6B723594"/>
    <w:rsid w:val="6B805156"/>
    <w:rsid w:val="6BD50977"/>
    <w:rsid w:val="6BEA2A9B"/>
    <w:rsid w:val="6BFC3A16"/>
    <w:rsid w:val="6C187AE1"/>
    <w:rsid w:val="6C9C0875"/>
    <w:rsid w:val="6C9D1F03"/>
    <w:rsid w:val="6CA91A8B"/>
    <w:rsid w:val="6CAA3931"/>
    <w:rsid w:val="6D3933CA"/>
    <w:rsid w:val="6D7B61EC"/>
    <w:rsid w:val="6DC3266E"/>
    <w:rsid w:val="6DD049FF"/>
    <w:rsid w:val="6DED73B5"/>
    <w:rsid w:val="6E09491E"/>
    <w:rsid w:val="6E0D3655"/>
    <w:rsid w:val="6E146808"/>
    <w:rsid w:val="6E5F4465"/>
    <w:rsid w:val="6E88530E"/>
    <w:rsid w:val="6E8C54DA"/>
    <w:rsid w:val="6ED03347"/>
    <w:rsid w:val="6EF11E03"/>
    <w:rsid w:val="6F111C62"/>
    <w:rsid w:val="6F2176E5"/>
    <w:rsid w:val="6F3053CA"/>
    <w:rsid w:val="6F592303"/>
    <w:rsid w:val="6F5F5B74"/>
    <w:rsid w:val="6F9B1C65"/>
    <w:rsid w:val="6FD47A25"/>
    <w:rsid w:val="6FF44026"/>
    <w:rsid w:val="6FF92B33"/>
    <w:rsid w:val="6FFB146E"/>
    <w:rsid w:val="701A5C74"/>
    <w:rsid w:val="706516C3"/>
    <w:rsid w:val="707B510C"/>
    <w:rsid w:val="70864A71"/>
    <w:rsid w:val="70896E68"/>
    <w:rsid w:val="70A846F9"/>
    <w:rsid w:val="714556B4"/>
    <w:rsid w:val="715B60E9"/>
    <w:rsid w:val="71C75A7C"/>
    <w:rsid w:val="71D4175C"/>
    <w:rsid w:val="71E96309"/>
    <w:rsid w:val="71EA1FED"/>
    <w:rsid w:val="72284A0C"/>
    <w:rsid w:val="72C16204"/>
    <w:rsid w:val="72E31366"/>
    <w:rsid w:val="730313F6"/>
    <w:rsid w:val="73145021"/>
    <w:rsid w:val="731D6723"/>
    <w:rsid w:val="731E1007"/>
    <w:rsid w:val="73370D24"/>
    <w:rsid w:val="7359268C"/>
    <w:rsid w:val="73676C3F"/>
    <w:rsid w:val="739503EB"/>
    <w:rsid w:val="73A05B28"/>
    <w:rsid w:val="73C07D69"/>
    <w:rsid w:val="73C843FF"/>
    <w:rsid w:val="74016C15"/>
    <w:rsid w:val="748006EE"/>
    <w:rsid w:val="748508C1"/>
    <w:rsid w:val="749E2255"/>
    <w:rsid w:val="74B42AE4"/>
    <w:rsid w:val="74D430B7"/>
    <w:rsid w:val="74E669A6"/>
    <w:rsid w:val="74E96580"/>
    <w:rsid w:val="750A429D"/>
    <w:rsid w:val="75167F59"/>
    <w:rsid w:val="754D77D2"/>
    <w:rsid w:val="755D38A7"/>
    <w:rsid w:val="755F5A0F"/>
    <w:rsid w:val="75614792"/>
    <w:rsid w:val="75784473"/>
    <w:rsid w:val="757E044C"/>
    <w:rsid w:val="75977BC3"/>
    <w:rsid w:val="75B161B3"/>
    <w:rsid w:val="75C56F82"/>
    <w:rsid w:val="75CC64D7"/>
    <w:rsid w:val="75E470E3"/>
    <w:rsid w:val="761D2CD5"/>
    <w:rsid w:val="76736B32"/>
    <w:rsid w:val="76AA25FA"/>
    <w:rsid w:val="76E3765E"/>
    <w:rsid w:val="76FC2AFA"/>
    <w:rsid w:val="7700225D"/>
    <w:rsid w:val="773F0836"/>
    <w:rsid w:val="77653671"/>
    <w:rsid w:val="7782683F"/>
    <w:rsid w:val="778546CC"/>
    <w:rsid w:val="77B01880"/>
    <w:rsid w:val="77B56730"/>
    <w:rsid w:val="77C04A8B"/>
    <w:rsid w:val="77D85DB3"/>
    <w:rsid w:val="77D93E9C"/>
    <w:rsid w:val="780252A0"/>
    <w:rsid w:val="78027772"/>
    <w:rsid w:val="786B4BBC"/>
    <w:rsid w:val="78A50513"/>
    <w:rsid w:val="78CF1B80"/>
    <w:rsid w:val="78E11095"/>
    <w:rsid w:val="78EB36BE"/>
    <w:rsid w:val="78FE27C4"/>
    <w:rsid w:val="79082967"/>
    <w:rsid w:val="790E1715"/>
    <w:rsid w:val="793B7339"/>
    <w:rsid w:val="796518DD"/>
    <w:rsid w:val="796A7609"/>
    <w:rsid w:val="796E0C55"/>
    <w:rsid w:val="799A648F"/>
    <w:rsid w:val="79AA0532"/>
    <w:rsid w:val="79F70999"/>
    <w:rsid w:val="79FE1DDD"/>
    <w:rsid w:val="7A075767"/>
    <w:rsid w:val="7A1A210C"/>
    <w:rsid w:val="7A212062"/>
    <w:rsid w:val="7A282A11"/>
    <w:rsid w:val="7A944384"/>
    <w:rsid w:val="7AB90FF6"/>
    <w:rsid w:val="7ABA2E36"/>
    <w:rsid w:val="7AC21562"/>
    <w:rsid w:val="7AD474A4"/>
    <w:rsid w:val="7B115232"/>
    <w:rsid w:val="7B416BDC"/>
    <w:rsid w:val="7B5350AD"/>
    <w:rsid w:val="7B561C5A"/>
    <w:rsid w:val="7B6867EB"/>
    <w:rsid w:val="7B697C89"/>
    <w:rsid w:val="7B6B69DD"/>
    <w:rsid w:val="7B8D2142"/>
    <w:rsid w:val="7B8D34C3"/>
    <w:rsid w:val="7B971D84"/>
    <w:rsid w:val="7BA9508D"/>
    <w:rsid w:val="7BF32F03"/>
    <w:rsid w:val="7C1724A5"/>
    <w:rsid w:val="7C7602C6"/>
    <w:rsid w:val="7C8E3CCF"/>
    <w:rsid w:val="7CA54112"/>
    <w:rsid w:val="7CB10C20"/>
    <w:rsid w:val="7CBE1B3C"/>
    <w:rsid w:val="7CE50CE4"/>
    <w:rsid w:val="7CEA5D5C"/>
    <w:rsid w:val="7D2177E3"/>
    <w:rsid w:val="7D2E5ABF"/>
    <w:rsid w:val="7D9C4FB9"/>
    <w:rsid w:val="7DC82AB7"/>
    <w:rsid w:val="7DF103ED"/>
    <w:rsid w:val="7E2142A2"/>
    <w:rsid w:val="7E414A3B"/>
    <w:rsid w:val="7E45658D"/>
    <w:rsid w:val="7E4A0D41"/>
    <w:rsid w:val="7E4C3614"/>
    <w:rsid w:val="7E4F5384"/>
    <w:rsid w:val="7E5A6DFA"/>
    <w:rsid w:val="7E7B0BF2"/>
    <w:rsid w:val="7E7C7A78"/>
    <w:rsid w:val="7E8D75B6"/>
    <w:rsid w:val="7EB2417D"/>
    <w:rsid w:val="7EF760EE"/>
    <w:rsid w:val="7F2A21E7"/>
    <w:rsid w:val="7F741267"/>
    <w:rsid w:val="7F796066"/>
    <w:rsid w:val="7FB27E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1"/>
    <w:unhideWhenUsed/>
    <w:qFormat/>
    <w:uiPriority w:val="9"/>
    <w:pPr>
      <w:keepNext/>
      <w:keepLines/>
      <w:outlineLvl w:val="2"/>
    </w:pPr>
    <w:rPr>
      <w:b/>
      <w:bCs/>
      <w:sz w:val="28"/>
      <w:szCs w:val="32"/>
    </w:rPr>
  </w:style>
  <w:style w:type="paragraph" w:styleId="5">
    <w:name w:val="heading 4"/>
    <w:basedOn w:val="1"/>
    <w:next w:val="1"/>
    <w:link w:val="43"/>
    <w:unhideWhenUsed/>
    <w:qFormat/>
    <w:uiPriority w:val="9"/>
    <w:pPr>
      <w:keepNext/>
      <w:keepLines/>
      <w:outlineLvl w:val="3"/>
    </w:pPr>
    <w:rPr>
      <w:rFonts w:asciiTheme="majorHAnsi" w:hAnsiTheme="majorHAnsi" w:cstheme="majorBidi"/>
      <w:b/>
      <w:bCs/>
      <w:sz w:val="24"/>
      <w:szCs w:val="28"/>
    </w:rPr>
  </w:style>
  <w:style w:type="paragraph" w:styleId="6">
    <w:name w:val="heading 5"/>
    <w:basedOn w:val="1"/>
    <w:next w:val="1"/>
    <w:unhideWhenUsed/>
    <w:qFormat/>
    <w:uiPriority w:val="9"/>
    <w:pPr>
      <w:keepNext/>
      <w:keepLines/>
      <w:outlineLvl w:val="4"/>
    </w:pPr>
    <w:rPr>
      <w:b/>
    </w:rPr>
  </w:style>
  <w:style w:type="paragraph" w:styleId="7">
    <w:name w:val="heading 8"/>
    <w:basedOn w:val="1"/>
    <w:next w:val="1"/>
    <w:qFormat/>
    <w:uiPriority w:val="0"/>
    <w:pPr>
      <w:tabs>
        <w:tab w:val="left" w:pos="1137"/>
      </w:tabs>
      <w:spacing w:before="120"/>
      <w:ind w:left="420" w:hanging="420"/>
      <w:outlineLvl w:val="7"/>
    </w:pPr>
    <w:rPr>
      <w:rFonts w:ascii="Arial" w:hAnsi="Arial" w:cs="Times New Roman"/>
      <w:sz w:val="24"/>
      <w:szCs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8">
    <w:name w:val="Normal Indent"/>
    <w:basedOn w:val="1"/>
    <w:semiHidden/>
    <w:unhideWhenUsed/>
    <w:qFormat/>
    <w:uiPriority w:val="99"/>
    <w:pPr>
      <w:ind w:firstLine="420" w:firstLineChars="200"/>
    </w:pPr>
  </w:style>
  <w:style w:type="paragraph" w:styleId="9">
    <w:name w:val="annotation text"/>
    <w:basedOn w:val="1"/>
    <w:semiHidden/>
    <w:unhideWhenUsed/>
    <w:qFormat/>
    <w:uiPriority w:val="99"/>
  </w:style>
  <w:style w:type="paragraph" w:styleId="10">
    <w:name w:val="Body Text"/>
    <w:basedOn w:val="1"/>
    <w:next w:val="1"/>
    <w:qFormat/>
    <w:uiPriority w:val="1"/>
    <w:pPr>
      <w:spacing w:before="161"/>
      <w:ind w:left="120"/>
    </w:pPr>
    <w:rPr>
      <w:rFonts w:ascii="宋体" w:hAnsi="宋体" w:cs="宋体"/>
      <w:sz w:val="24"/>
      <w:lang w:val="zh-CN" w:bidi="zh-CN"/>
    </w:rPr>
  </w:style>
  <w:style w:type="paragraph" w:styleId="11">
    <w:name w:val="Body Text Indent"/>
    <w:basedOn w:val="1"/>
    <w:qFormat/>
    <w:uiPriority w:val="0"/>
    <w:pPr>
      <w:ind w:left="270" w:leftChars="270"/>
    </w:pPr>
    <w:rPr>
      <w:rFonts w:ascii="Times New Roman" w:hAnsi="Times New Roman" w:cs="Times New Roman"/>
      <w:szCs w:val="20"/>
    </w:rPr>
  </w:style>
  <w:style w:type="paragraph" w:styleId="12">
    <w:name w:val="toc 3"/>
    <w:basedOn w:val="1"/>
    <w:next w:val="1"/>
    <w:unhideWhenUsed/>
    <w:qFormat/>
    <w:uiPriority w:val="39"/>
    <w:pPr>
      <w:tabs>
        <w:tab w:val="right" w:leader="dot" w:pos="8296"/>
      </w:tabs>
      <w:ind w:left="838" w:leftChars="381"/>
    </w:pPr>
    <w:rPr>
      <w:szCs w:val="21"/>
    </w:rPr>
  </w:style>
  <w:style w:type="paragraph" w:styleId="13">
    <w:name w:val="Plain Text"/>
    <w:basedOn w:val="1"/>
    <w:link w:val="53"/>
    <w:qFormat/>
    <w:uiPriority w:val="0"/>
    <w:pPr>
      <w:widowControl w:val="0"/>
      <w:adjustRightInd/>
      <w:snapToGrid/>
      <w:jc w:val="both"/>
    </w:pPr>
    <w:rPr>
      <w:rFonts w:ascii="宋体" w:hAnsi="Courier New" w:cs="Times New Roman"/>
      <w:b/>
      <w:kern w:val="2"/>
      <w:szCs w:val="20"/>
    </w:rPr>
  </w:style>
  <w:style w:type="paragraph" w:styleId="14">
    <w:name w:val="Body Text Indent 2"/>
    <w:basedOn w:val="1"/>
    <w:qFormat/>
    <w:uiPriority w:val="0"/>
    <w:pPr>
      <w:ind w:firstLine="539" w:firstLineChars="174"/>
    </w:pPr>
    <w:rPr>
      <w:rFonts w:ascii="仿宋_GB2312" w:eastAsia="仿宋_GB2312"/>
      <w:sz w:val="31"/>
    </w:rPr>
  </w:style>
  <w:style w:type="paragraph" w:styleId="15">
    <w:name w:val="Balloon Text"/>
    <w:basedOn w:val="1"/>
    <w:link w:val="56"/>
    <w:unhideWhenUsed/>
    <w:qFormat/>
    <w:uiPriority w:val="99"/>
    <w:rPr>
      <w:sz w:val="18"/>
      <w:szCs w:val="18"/>
    </w:rPr>
  </w:style>
  <w:style w:type="paragraph" w:styleId="16">
    <w:name w:val="footer"/>
    <w:basedOn w:val="1"/>
    <w:link w:val="55"/>
    <w:unhideWhenUsed/>
    <w:qFormat/>
    <w:uiPriority w:val="99"/>
    <w:pPr>
      <w:tabs>
        <w:tab w:val="center" w:pos="4153"/>
        <w:tab w:val="right" w:pos="8306"/>
      </w:tabs>
    </w:pPr>
    <w:rPr>
      <w:sz w:val="18"/>
      <w:szCs w:val="18"/>
    </w:rPr>
  </w:style>
  <w:style w:type="paragraph" w:styleId="17">
    <w:name w:val="envelope return"/>
    <w:basedOn w:val="1"/>
    <w:qFormat/>
    <w:uiPriority w:val="0"/>
    <w:rPr>
      <w:rFonts w:ascii="Arial" w:hAnsi="Arial"/>
    </w:rPr>
  </w:style>
  <w:style w:type="paragraph" w:styleId="18">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semiHidden/>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index heading"/>
    <w:basedOn w:val="1"/>
    <w:next w:val="22"/>
    <w:qFormat/>
    <w:uiPriority w:val="0"/>
    <w:rPr>
      <w:rFonts w:ascii="Times New Roman" w:hAnsi="Times New Roman"/>
      <w:szCs w:val="20"/>
    </w:rPr>
  </w:style>
  <w:style w:type="paragraph" w:styleId="22">
    <w:name w:val="index 1"/>
    <w:basedOn w:val="1"/>
    <w:next w:val="1"/>
    <w:unhideWhenUsed/>
    <w:qFormat/>
    <w:uiPriority w:val="99"/>
  </w:style>
  <w:style w:type="paragraph" w:styleId="23">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4">
    <w:name w:val="footnote text"/>
    <w:basedOn w:val="1"/>
    <w:semiHidden/>
    <w:unhideWhenUsed/>
    <w:qFormat/>
    <w:uiPriority w:val="99"/>
    <w:rPr>
      <w:sz w:val="18"/>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Body Text 2"/>
    <w:basedOn w:val="1"/>
    <w:unhideWhenUsed/>
    <w:qFormat/>
    <w:uiPriority w:val="99"/>
    <w:pPr>
      <w:spacing w:after="120" w:line="480" w:lineRule="auto"/>
    </w:pPr>
  </w:style>
  <w:style w:type="paragraph" w:styleId="27">
    <w:name w:val="Normal (Web)"/>
    <w:basedOn w:val="1"/>
    <w:link w:val="58"/>
    <w:qFormat/>
    <w:uiPriority w:val="0"/>
    <w:pPr>
      <w:widowControl w:val="0"/>
      <w:adjustRightInd/>
      <w:snapToGrid/>
      <w:jc w:val="both"/>
    </w:pPr>
    <w:rPr>
      <w:rFonts w:asciiTheme="minorHAnsi" w:hAnsiTheme="minorHAnsi"/>
      <w:kern w:val="2"/>
      <w:sz w:val="24"/>
      <w:szCs w:val="24"/>
    </w:rPr>
  </w:style>
  <w:style w:type="paragraph" w:styleId="28">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29">
    <w:name w:val="Body Text First Indent"/>
    <w:basedOn w:val="10"/>
    <w:unhideWhenUsed/>
    <w:qFormat/>
    <w:uiPriority w:val="99"/>
    <w:pPr>
      <w:ind w:firstLine="420" w:firstLineChars="100"/>
    </w:pPr>
    <w:rPr>
      <w:rFonts w:ascii="Times New Roman" w:hAnsi="Times New Roman" w:cs="Times New Roman"/>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22"/>
    <w:rPr>
      <w:b/>
    </w:rPr>
  </w:style>
  <w:style w:type="character" w:styleId="34">
    <w:name w:val="Emphasis"/>
    <w:basedOn w:val="32"/>
    <w:qFormat/>
    <w:uiPriority w:val="20"/>
    <w:rPr>
      <w:i/>
      <w:iCs/>
    </w:rPr>
  </w:style>
  <w:style w:type="character" w:styleId="35">
    <w:name w:val="Hyperlink"/>
    <w:basedOn w:val="32"/>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2"/>
    <w:semiHidden/>
    <w:unhideWhenUsed/>
    <w:qFormat/>
    <w:uiPriority w:val="99"/>
    <w:rPr>
      <w:sz w:val="21"/>
      <w:szCs w:val="21"/>
    </w:rPr>
  </w:style>
  <w:style w:type="character" w:styleId="37">
    <w:name w:val="footnote reference"/>
    <w:basedOn w:val="32"/>
    <w:semiHidden/>
    <w:unhideWhenUsed/>
    <w:qFormat/>
    <w:uiPriority w:val="99"/>
    <w:rPr>
      <w:vertAlign w:val="superscript"/>
    </w:rPr>
  </w:style>
  <w:style w:type="character" w:customStyle="1" w:styleId="38">
    <w:name w:val="标题 2 Char"/>
    <w:basedOn w:val="32"/>
    <w:link w:val="3"/>
    <w:qFormat/>
    <w:uiPriority w:val="9"/>
    <w:rPr>
      <w:rFonts w:asciiTheme="majorHAnsi" w:hAnsiTheme="majorHAnsi" w:eastAsiaTheme="majorEastAsia" w:cstheme="majorBidi"/>
      <w:b/>
      <w:bCs/>
      <w:sz w:val="32"/>
      <w:szCs w:val="32"/>
    </w:rPr>
  </w:style>
  <w:style w:type="paragraph" w:customStyle="1" w:styleId="39">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40">
    <w:name w:val="表格文字"/>
    <w:basedOn w:val="1"/>
    <w:qFormat/>
    <w:uiPriority w:val="0"/>
    <w:pPr>
      <w:adjustRightInd/>
      <w:spacing w:before="25" w:after="25"/>
    </w:pPr>
    <w:rPr>
      <w:rFonts w:ascii="Times New Roman"/>
      <w:bCs/>
      <w:spacing w:val="10"/>
      <w:szCs w:val="20"/>
    </w:rPr>
  </w:style>
  <w:style w:type="character" w:customStyle="1" w:styleId="41">
    <w:name w:val="标题 3 Char"/>
    <w:basedOn w:val="32"/>
    <w:link w:val="4"/>
    <w:qFormat/>
    <w:uiPriority w:val="9"/>
    <w:rPr>
      <w:rFonts w:ascii="Tahoma" w:hAnsi="Tahoma" w:eastAsia="宋体"/>
      <w:b/>
      <w:bCs/>
      <w:sz w:val="28"/>
      <w:szCs w:val="32"/>
    </w:rPr>
  </w:style>
  <w:style w:type="paragraph" w:styleId="42">
    <w:name w:val="List Paragraph"/>
    <w:basedOn w:val="1"/>
    <w:qFormat/>
    <w:uiPriority w:val="34"/>
    <w:pPr>
      <w:ind w:firstLine="420" w:firstLineChars="200"/>
    </w:pPr>
  </w:style>
  <w:style w:type="character" w:customStyle="1" w:styleId="43">
    <w:name w:val="标题 4 Char"/>
    <w:basedOn w:val="32"/>
    <w:link w:val="5"/>
    <w:qFormat/>
    <w:uiPriority w:val="9"/>
    <w:rPr>
      <w:rFonts w:eastAsia="宋体" w:asciiTheme="majorHAnsi" w:hAnsiTheme="majorHAnsi" w:cstheme="majorBidi"/>
      <w:b/>
      <w:bCs/>
      <w:sz w:val="24"/>
      <w:szCs w:val="28"/>
    </w:rPr>
  </w:style>
  <w:style w:type="character" w:customStyle="1" w:styleId="44">
    <w:name w:val="正文缩进2格 Char"/>
    <w:link w:val="45"/>
    <w:qFormat/>
    <w:uiPriority w:val="0"/>
    <w:rPr>
      <w:rFonts w:ascii="仿宋_GB2312" w:hAnsi="宋体" w:eastAsia="仿宋_GB2312"/>
      <w:kern w:val="2"/>
      <w:sz w:val="31"/>
    </w:rPr>
  </w:style>
  <w:style w:type="paragraph" w:customStyle="1" w:styleId="45">
    <w:name w:val="正文缩进2格"/>
    <w:basedOn w:val="1"/>
    <w:link w:val="44"/>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6">
    <w:name w:val="正文缩进4格"/>
    <w:basedOn w:val="45"/>
    <w:qFormat/>
    <w:uiPriority w:val="0"/>
    <w:pPr>
      <w:ind w:left="2" w:firstLine="538" w:firstLineChars="192"/>
    </w:pPr>
    <w:rPr>
      <w:color w:val="0000FF"/>
      <w:sz w:val="28"/>
    </w:rPr>
  </w:style>
  <w:style w:type="character" w:customStyle="1" w:styleId="47">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8">
    <w:name w:val="标题1"/>
    <w:qFormat/>
    <w:uiPriority w:val="0"/>
    <w:rPr>
      <w:rFonts w:ascii="Times New Roman" w:hAnsi="Times New Roman" w:eastAsia="宋体" w:cs="Times New Roman"/>
      <w:b/>
      <w:kern w:val="0"/>
      <w:sz w:val="24"/>
      <w:szCs w:val="20"/>
      <w:lang w:eastAsia="en-US"/>
    </w:rPr>
  </w:style>
  <w:style w:type="character" w:customStyle="1" w:styleId="49">
    <w:name w:val="标题 3.1 Char"/>
    <w:link w:val="50"/>
    <w:qFormat/>
    <w:uiPriority w:val="0"/>
    <w:rPr>
      <w:rFonts w:ascii="宋体" w:hAnsi="宋体" w:eastAsia="宋体"/>
      <w:b/>
      <w:color w:val="FF0000"/>
      <w:kern w:val="2"/>
      <w:sz w:val="32"/>
    </w:rPr>
  </w:style>
  <w:style w:type="paragraph" w:customStyle="1" w:styleId="50">
    <w:name w:val="标题 3.1"/>
    <w:basedOn w:val="4"/>
    <w:link w:val="49"/>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1">
    <w:name w:val="样式 楷体_GB2312 小四"/>
    <w:qFormat/>
    <w:uiPriority w:val="0"/>
    <w:rPr>
      <w:rFonts w:ascii="楷体_GB2312" w:hAnsi="楷体_GB2312" w:eastAsia="仿宋_GB2312"/>
      <w:sz w:val="24"/>
    </w:rPr>
  </w:style>
  <w:style w:type="character" w:customStyle="1" w:styleId="52">
    <w:name w:val="纯文本 Char"/>
    <w:qFormat/>
    <w:uiPriority w:val="0"/>
    <w:rPr>
      <w:rFonts w:ascii="宋体" w:hAnsi="Courier New" w:eastAsia="宋体" w:cs="Times New Roman"/>
      <w:b/>
      <w:kern w:val="2"/>
      <w:sz w:val="21"/>
      <w:szCs w:val="20"/>
    </w:rPr>
  </w:style>
  <w:style w:type="character" w:customStyle="1" w:styleId="53">
    <w:name w:val="纯文本 Char1"/>
    <w:basedOn w:val="32"/>
    <w:link w:val="13"/>
    <w:semiHidden/>
    <w:qFormat/>
    <w:uiPriority w:val="99"/>
    <w:rPr>
      <w:rFonts w:ascii="宋体" w:hAnsi="Courier New" w:eastAsia="宋体" w:cs="Courier New"/>
      <w:sz w:val="21"/>
      <w:szCs w:val="21"/>
    </w:rPr>
  </w:style>
  <w:style w:type="character" w:customStyle="1" w:styleId="54">
    <w:name w:val="页眉 Char"/>
    <w:basedOn w:val="32"/>
    <w:link w:val="18"/>
    <w:qFormat/>
    <w:uiPriority w:val="99"/>
    <w:rPr>
      <w:rFonts w:ascii="Tahoma" w:hAnsi="Tahoma"/>
      <w:sz w:val="18"/>
      <w:szCs w:val="18"/>
    </w:rPr>
  </w:style>
  <w:style w:type="character" w:customStyle="1" w:styleId="55">
    <w:name w:val="页脚 Char"/>
    <w:basedOn w:val="32"/>
    <w:link w:val="16"/>
    <w:qFormat/>
    <w:uiPriority w:val="99"/>
    <w:rPr>
      <w:rFonts w:ascii="Tahoma" w:hAnsi="Tahoma"/>
      <w:sz w:val="18"/>
      <w:szCs w:val="18"/>
    </w:rPr>
  </w:style>
  <w:style w:type="character" w:customStyle="1" w:styleId="56">
    <w:name w:val="批注框文本 Char"/>
    <w:basedOn w:val="32"/>
    <w:link w:val="15"/>
    <w:semiHidden/>
    <w:qFormat/>
    <w:uiPriority w:val="99"/>
    <w:rPr>
      <w:rFonts w:ascii="Tahoma" w:hAnsi="Tahoma"/>
      <w:sz w:val="18"/>
      <w:szCs w:val="18"/>
    </w:rPr>
  </w:style>
  <w:style w:type="paragraph" w:customStyle="1" w:styleId="57">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8">
    <w:name w:val="普通(网站) Char"/>
    <w:link w:val="27"/>
    <w:qFormat/>
    <w:uiPriority w:val="0"/>
    <w:rPr>
      <w:rFonts w:eastAsia="宋体"/>
      <w:kern w:val="2"/>
      <w:sz w:val="24"/>
      <w:szCs w:val="24"/>
    </w:rPr>
  </w:style>
  <w:style w:type="paragraph" w:customStyle="1" w:styleId="59">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0">
    <w:name w:val="p141"/>
    <w:qFormat/>
    <w:uiPriority w:val="0"/>
    <w:rPr>
      <w:sz w:val="21"/>
      <w:szCs w:val="21"/>
    </w:rPr>
  </w:style>
  <w:style w:type="paragraph" w:customStyle="1" w:styleId="61">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62">
    <w:name w:val="正文无缩进"/>
    <w:basedOn w:val="45"/>
    <w:qFormat/>
    <w:uiPriority w:val="0"/>
    <w:pPr>
      <w:ind w:firstLine="0" w:firstLineChars="0"/>
    </w:pPr>
  </w:style>
  <w:style w:type="paragraph" w:customStyle="1" w:styleId="63">
    <w:name w:val="一级条标题"/>
    <w:basedOn w:val="64"/>
    <w:next w:val="65"/>
    <w:qFormat/>
    <w:uiPriority w:val="0"/>
    <w:pPr>
      <w:tabs>
        <w:tab w:val="left" w:pos="720"/>
      </w:tabs>
      <w:spacing w:beforeLines="0" w:afterLines="0"/>
      <w:outlineLvl w:val="2"/>
    </w:pPr>
  </w:style>
  <w:style w:type="paragraph" w:customStyle="1" w:styleId="64">
    <w:name w:val="章标题"/>
    <w:next w:val="1"/>
    <w:qFormat/>
    <w:uiPriority w:val="0"/>
    <w:pPr>
      <w:tabs>
        <w:tab w:val="left" w:pos="720"/>
      </w:tabs>
      <w:spacing w:before="50" w:beforeLines="50" w:after="50" w:afterLines="50"/>
      <w:ind w:left="567" w:hanging="567"/>
      <w:jc w:val="both"/>
      <w:outlineLvl w:val="1"/>
    </w:pPr>
    <w:rPr>
      <w:rFonts w:ascii="黑体" w:hAnsi="Times New Roman" w:eastAsia="黑体" w:cs="Times New Roman"/>
      <w:sz w:val="21"/>
      <w:lang w:val="en-US" w:eastAsia="zh-CN" w:bidi="ar-SA"/>
    </w:rPr>
  </w:style>
  <w:style w:type="paragraph" w:customStyle="1" w:styleId="65">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6">
    <w:name w:val="font212"/>
    <w:basedOn w:val="32"/>
    <w:qFormat/>
    <w:uiPriority w:val="0"/>
    <w:rPr>
      <w:rFonts w:ascii="宋体" w:hAnsi="宋体" w:eastAsia="宋体" w:cs="宋体"/>
      <w:color w:val="000000"/>
      <w:sz w:val="22"/>
      <w:szCs w:val="22"/>
      <w:u w:val="none"/>
    </w:rPr>
  </w:style>
  <w:style w:type="character" w:customStyle="1" w:styleId="67">
    <w:name w:val="font41"/>
    <w:basedOn w:val="32"/>
    <w:qFormat/>
    <w:uiPriority w:val="0"/>
    <w:rPr>
      <w:rFonts w:hint="eastAsia" w:ascii="宋体" w:hAnsi="宋体" w:eastAsia="宋体" w:cs="宋体"/>
      <w:color w:val="000000"/>
      <w:sz w:val="22"/>
      <w:szCs w:val="22"/>
      <w:u w:val="none"/>
    </w:rPr>
  </w:style>
  <w:style w:type="character" w:customStyle="1" w:styleId="68">
    <w:name w:val="font181"/>
    <w:basedOn w:val="32"/>
    <w:qFormat/>
    <w:uiPriority w:val="0"/>
    <w:rPr>
      <w:rFonts w:hint="default" w:ascii="Times New Roman" w:hAnsi="Times New Roman" w:cs="Times New Roman"/>
      <w:color w:val="000000"/>
      <w:sz w:val="22"/>
      <w:szCs w:val="22"/>
      <w:u w:val="none"/>
    </w:rPr>
  </w:style>
  <w:style w:type="character" w:customStyle="1" w:styleId="69">
    <w:name w:val="font221"/>
    <w:basedOn w:val="32"/>
    <w:qFormat/>
    <w:uiPriority w:val="0"/>
    <w:rPr>
      <w:rFonts w:hint="eastAsia" w:ascii="宋体" w:hAnsi="宋体" w:eastAsia="宋体" w:cs="宋体"/>
      <w:color w:val="000000"/>
      <w:sz w:val="22"/>
      <w:szCs w:val="22"/>
      <w:u w:val="none"/>
      <w:vertAlign w:val="superscript"/>
    </w:rPr>
  </w:style>
  <w:style w:type="character" w:customStyle="1" w:styleId="70">
    <w:name w:val="font161"/>
    <w:basedOn w:val="32"/>
    <w:qFormat/>
    <w:uiPriority w:val="0"/>
    <w:rPr>
      <w:rFonts w:hint="eastAsia" w:ascii="宋体" w:hAnsi="宋体" w:eastAsia="宋体" w:cs="宋体"/>
      <w:color w:val="000000"/>
      <w:sz w:val="22"/>
      <w:szCs w:val="22"/>
      <w:u w:val="none"/>
    </w:rPr>
  </w:style>
  <w:style w:type="character" w:customStyle="1" w:styleId="71">
    <w:name w:val="font131"/>
    <w:basedOn w:val="32"/>
    <w:qFormat/>
    <w:uiPriority w:val="0"/>
    <w:rPr>
      <w:rFonts w:hint="eastAsia" w:ascii="微软雅黑" w:hAnsi="微软雅黑" w:eastAsia="微软雅黑" w:cs="微软雅黑"/>
      <w:color w:val="000000"/>
      <w:sz w:val="22"/>
      <w:szCs w:val="22"/>
      <w:u w:val="none"/>
    </w:rPr>
  </w:style>
  <w:style w:type="paragraph" w:customStyle="1" w:styleId="72">
    <w:name w:val="*正文"/>
    <w:basedOn w:val="1"/>
    <w:qFormat/>
    <w:uiPriority w:val="0"/>
    <w:pPr>
      <w:spacing w:after="200"/>
      <w:ind w:firstLine="200"/>
    </w:pPr>
    <w:rPr>
      <w:rFonts w:ascii="宋体" w:hAnsi="宋体"/>
      <w:sz w:val="24"/>
      <w:szCs w:val="24"/>
    </w:rPr>
  </w:style>
  <w:style w:type="paragraph" w:customStyle="1" w:styleId="73">
    <w:name w:val="列出段落2"/>
    <w:basedOn w:val="1"/>
    <w:qFormat/>
    <w:uiPriority w:val="0"/>
    <w:pPr>
      <w:ind w:firstLine="420" w:firstLineChars="200"/>
    </w:pPr>
    <w:rPr>
      <w:rFonts w:ascii="Calibri" w:hAnsi="Calibri" w:cs="Times New Roman"/>
    </w:rPr>
  </w:style>
  <w:style w:type="paragraph" w:customStyle="1" w:styleId="74">
    <w:name w:val="Table Paragraph"/>
    <w:basedOn w:val="1"/>
    <w:qFormat/>
    <w:uiPriority w:val="1"/>
  </w:style>
  <w:style w:type="character" w:customStyle="1" w:styleId="75">
    <w:name w:val="font61"/>
    <w:basedOn w:val="32"/>
    <w:qFormat/>
    <w:uiPriority w:val="0"/>
    <w:rPr>
      <w:rFonts w:hint="eastAsia" w:ascii="宋体" w:hAnsi="宋体" w:eastAsia="宋体" w:cs="宋体"/>
      <w:color w:val="000000"/>
      <w:sz w:val="20"/>
      <w:szCs w:val="20"/>
      <w:u w:val="none"/>
    </w:rPr>
  </w:style>
  <w:style w:type="character" w:customStyle="1" w:styleId="76">
    <w:name w:val="font101"/>
    <w:basedOn w:val="32"/>
    <w:qFormat/>
    <w:uiPriority w:val="0"/>
    <w:rPr>
      <w:rFonts w:hint="eastAsia" w:ascii="宋体" w:hAnsi="宋体" w:eastAsia="宋体" w:cs="宋体"/>
      <w:color w:val="70AD47"/>
      <w:sz w:val="20"/>
      <w:szCs w:val="20"/>
      <w:u w:val="none"/>
    </w:rPr>
  </w:style>
  <w:style w:type="character" w:customStyle="1" w:styleId="77">
    <w:name w:val="font31"/>
    <w:basedOn w:val="32"/>
    <w:qFormat/>
    <w:uiPriority w:val="0"/>
    <w:rPr>
      <w:rFonts w:hint="eastAsia" w:ascii="宋体" w:hAnsi="宋体" w:eastAsia="宋体" w:cs="宋体"/>
      <w:color w:val="000000"/>
      <w:sz w:val="20"/>
      <w:szCs w:val="20"/>
      <w:u w:val="none"/>
    </w:rPr>
  </w:style>
  <w:style w:type="character" w:customStyle="1" w:styleId="78">
    <w:name w:val="font91"/>
    <w:basedOn w:val="32"/>
    <w:qFormat/>
    <w:uiPriority w:val="0"/>
    <w:rPr>
      <w:rFonts w:hint="eastAsia" w:ascii="宋体" w:hAnsi="宋体" w:eastAsia="宋体" w:cs="宋体"/>
      <w:color w:val="000000"/>
      <w:sz w:val="22"/>
      <w:szCs w:val="22"/>
      <w:u w:val="none"/>
    </w:rPr>
  </w:style>
  <w:style w:type="character" w:customStyle="1" w:styleId="79">
    <w:name w:val="font121"/>
    <w:basedOn w:val="32"/>
    <w:qFormat/>
    <w:uiPriority w:val="0"/>
    <w:rPr>
      <w:rFonts w:hint="default" w:ascii="Times New Roman" w:hAnsi="Times New Roman" w:cs="Times New Roman"/>
      <w:color w:val="000000"/>
      <w:sz w:val="22"/>
      <w:szCs w:val="22"/>
      <w:u w:val="none"/>
    </w:rPr>
  </w:style>
  <w:style w:type="paragraph" w:customStyle="1" w:styleId="8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null3"/>
    <w:hidden/>
    <w:qFormat/>
    <w:uiPriority w:val="0"/>
    <w:rPr>
      <w:rFonts w:hint="eastAsia" w:asciiTheme="minorHAnsi" w:hAnsiTheme="minorHAnsi" w:eastAsiaTheme="minorEastAsia" w:cstheme="minorBidi"/>
      <w:lang w:val="en-US" w:eastAsia="zh-Hans" w:bidi="ar-SA"/>
    </w:rPr>
  </w:style>
  <w:style w:type="paragraph" w:customStyle="1" w:styleId="82">
    <w:name w:val="样式1"/>
    <w:basedOn w:val="11"/>
    <w:qFormat/>
    <w:uiPriority w:val="0"/>
    <w:pPr>
      <w:ind w:left="0" w:leftChars="0" w:firstLine="630"/>
    </w:pPr>
    <w:rPr>
      <w:sz w:val="28"/>
    </w:rPr>
  </w:style>
  <w:style w:type="paragraph" w:customStyle="1" w:styleId="83">
    <w:name w:val="首行缩进"/>
    <w:basedOn w:val="1"/>
    <w:qFormat/>
    <w:uiPriority w:val="99"/>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84</Pages>
  <Words>11999</Words>
  <Characters>12496</Characters>
  <Lines>357</Lines>
  <Paragraphs>100</Paragraphs>
  <TotalTime>1</TotalTime>
  <ScaleCrop>false</ScaleCrop>
  <LinksUpToDate>false</LinksUpToDate>
  <CharactersWithSpaces>12583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国顺招标</cp:lastModifiedBy>
  <cp:lastPrinted>2025-02-26T02:38:00Z</cp:lastPrinted>
  <dcterms:modified xsi:type="dcterms:W3CDTF">2026-08-10T11:21:01Z</dcterms:modified>
  <dc:subject>公开招标文件版本</dc:subject>
  <dc:title>公开招标文件版本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748AE9546B0F4A7FAD3C24F76D35F1C4_13</vt:lpwstr>
  </property>
  <property fmtid="{D5CDD505-2E9C-101B-9397-08002B2CF9AE}" pid="4" name="KSOTemplateDocerSaveRecord">
    <vt:lpwstr>eyJoZGlkIjoiOGNiNTdjYTgwZDk4MGVhOWM2Mzc5Y2E1ODMzZGQ4NDAiLCJ1c2VySWQiOiIzNTk2Mjk2NzAifQ==</vt:lpwstr>
  </property>
</Properties>
</file>