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441900014-2026-00317</w:t>
      </w:r>
    </w:p>
    <w:p>
      <w:pPr>
        <w:pStyle w:val="null3"/>
        <w:jc w:val="center"/>
        <w:outlineLvl w:val="3"/>
      </w:pPr>
      <w:r>
        <w:rPr>
          <w:sz w:val="24"/>
          <w:b/>
        </w:rPr>
        <w:t>采购项目编号：</w:t>
      </w:r>
      <w:r>
        <w:rPr>
          <w:sz w:val="24"/>
          <w:b/>
        </w:rPr>
        <w:t>441900014-2026-00317</w:t>
      </w:r>
    </w:p>
    <w:p>
      <w:pPr>
        <w:pStyle w:val="null3"/>
        <w:jc w:val="center"/>
        <w:outlineLvl w:val="3"/>
      </w:pPr>
      <w:r>
        <w:rPr>
          <w:sz w:val="24"/>
          <w:b/>
        </w:rPr>
        <w:t>项目名称：</w:t>
      </w:r>
      <w:r>
        <w:rPr>
          <w:sz w:val="24"/>
          <w:b/>
        </w:rPr>
        <w:t>东莞市公安局交通管理支队横沥大队采购拖车服务项目</w:t>
      </w:r>
    </w:p>
    <w:p>
      <w:pPr>
        <w:pStyle w:val="null3"/>
        <w:jc w:val="center"/>
        <w:outlineLvl w:val="3"/>
      </w:pPr>
      <w:r>
        <w:rPr>
          <w:sz w:val="24"/>
          <w:b/>
        </w:rPr>
        <w:t>采购人：</w:t>
      </w:r>
      <w:r>
        <w:rPr>
          <w:sz w:val="24"/>
          <w:b/>
        </w:rPr>
        <w:t>东莞市公安局横沥分局</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东莞市公安局横沥分局</w:t>
      </w:r>
      <w:r>
        <w:rPr/>
        <w:t>的委托，采用</w:t>
      </w:r>
      <w:r>
        <w:rPr/>
        <w:t>公开招标</w:t>
      </w:r>
      <w:r>
        <w:rPr/>
        <w:t>方式组织采购</w:t>
      </w:r>
      <w:r>
        <w:rPr/>
        <w:t>东莞市公安局交通管理支队横沥大队采购拖车服务项目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东莞市公安局交通管理支队横沥大队采购拖车服务项目</w:t>
      </w:r>
    </w:p>
    <w:p>
      <w:pPr>
        <w:pStyle w:val="null3"/>
        <w:ind w:firstLine="480"/>
      </w:pPr>
      <w:r>
        <w:rPr/>
        <w:t>采购计划编号：</w:t>
      </w:r>
      <w:r>
        <w:rPr/>
        <w:t>441900014-2026-00317</w:t>
      </w:r>
    </w:p>
    <w:p>
      <w:pPr>
        <w:pStyle w:val="null3"/>
        <w:ind w:firstLine="480"/>
      </w:pPr>
      <w:r>
        <w:rPr/>
        <w:t>采购项目编号：</w:t>
      </w:r>
      <w:r>
        <w:rPr/>
        <w:t>441900014-2026-00317</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采购包1(东莞市公安局交通管理支队横沥大队采购拖车服务项目):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东莞市公安局交通管理支队横沥大队采购拖车服务项目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合同履行期限：合同生效之日起2年。（具体以合同签订时间为准）。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采购包1（东莞市公安局交通管理支队横沥大队采购拖车服务项目）：</w:t>
      </w:r>
      <w:r>
        <w:rPr/>
        <w:t>本项目整体专门面向中小企业采购。供应商须符合本项目采购标的对应行业（本项目行业为：租赁和商务服务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采购包1（东莞市公安局交通管理支队横沥大队采购拖车服务项目）：</w:t>
      </w:r>
    </w:p>
    <w:p>
      <w:pPr>
        <w:pStyle w:val="null3"/>
      </w:pPr>
      <w:r>
        <w:rPr/>
        <w:t>1)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东莞市公安局横沥分局</w:t>
      </w:r>
    </w:p>
    <w:p>
      <w:pPr>
        <w:pStyle w:val="null3"/>
        <w:ind w:firstLine="480"/>
      </w:pPr>
      <w:r>
        <w:rPr/>
        <w:t xml:space="preserve"> 地址：</w:t>
      </w:r>
      <w:r>
        <w:rPr/>
        <w:t>东莞市横沥镇中山西路417号</w:t>
      </w:r>
    </w:p>
    <w:p>
      <w:pPr>
        <w:pStyle w:val="null3"/>
        <w:ind w:firstLine="480"/>
      </w:pPr>
      <w:r>
        <w:rPr/>
        <w:t xml:space="preserve"> 联系方式：</w:t>
      </w:r>
      <w:r>
        <w:rPr/>
        <w:t>0769-23087002</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东莞市南城街道鸿福西路81号国际商会大厦13A层01室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杨俊平</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3"/>
      </w:pPr>
      <w:r>
        <w:rPr>
          <w:sz w:val="21"/>
        </w:rPr>
        <w:t>对</w:t>
      </w:r>
      <w:r>
        <w:rPr>
          <w:sz w:val="21"/>
        </w:rPr>
        <w:t>东莞市公安局交通管理支队横沥大队</w:t>
      </w:r>
      <w:r>
        <w:rPr>
          <w:sz w:val="21"/>
        </w:rPr>
        <w:t>暂扣违法、事故车辆进行拖车业务（上级部门临时专项行动及抢险救灾的拖车服务除外）。</w:t>
      </w:r>
    </w:p>
    <w:p>
      <w:pPr>
        <w:pStyle w:val="null3"/>
        <w:jc w:val="both"/>
        <w:outlineLvl w:val="3"/>
      </w:pPr>
      <w:r>
        <w:rPr>
          <w:sz w:val="24"/>
          <w:b/>
        </w:rPr>
        <w:t>二、</w:t>
      </w:r>
      <w:r>
        <w:rPr>
          <w:sz w:val="24"/>
          <w:b/>
        </w:rPr>
        <w:t>拖车</w:t>
      </w:r>
      <w:r>
        <w:rPr>
          <w:sz w:val="24"/>
          <w:b/>
        </w:rPr>
        <w:t>车型</w:t>
      </w:r>
      <w:r>
        <w:rPr>
          <w:sz w:val="24"/>
          <w:b/>
        </w:rPr>
        <w:t>要求</w:t>
      </w:r>
    </w:p>
    <w:p>
      <w:pPr>
        <w:pStyle w:val="null3"/>
        <w:ind w:firstLine="420"/>
        <w:jc w:val="both"/>
      </w:pPr>
      <w:r>
        <w:rPr>
          <w:sz w:val="21"/>
        </w:rPr>
        <w:t>1、</w:t>
      </w:r>
      <w:r>
        <w:rPr>
          <w:sz w:val="21"/>
        </w:rPr>
        <w:t>重型非载货专项作业车</w:t>
      </w:r>
      <w:r>
        <w:rPr>
          <w:sz w:val="21"/>
        </w:rPr>
        <w:t>（</w:t>
      </w:r>
      <w:r>
        <w:rPr>
          <w:sz w:val="21"/>
        </w:rPr>
        <w:t>救援随车吊</w:t>
      </w:r>
      <w:r>
        <w:rPr>
          <w:sz w:val="21"/>
        </w:rPr>
        <w:t>）</w:t>
      </w:r>
      <w:r>
        <w:rPr>
          <w:sz w:val="21"/>
        </w:rPr>
        <w:t>（</w:t>
      </w:r>
      <w:r>
        <w:rPr>
          <w:sz w:val="21"/>
        </w:rPr>
        <w:t>总质量</w:t>
      </w:r>
      <w:r>
        <w:rPr>
          <w:sz w:val="21"/>
        </w:rPr>
        <w:t>1</w:t>
      </w:r>
      <w:r>
        <w:rPr>
          <w:sz w:val="21"/>
        </w:rPr>
        <w:t>2</w:t>
      </w:r>
      <w:r>
        <w:rPr>
          <w:sz w:val="21"/>
        </w:rPr>
        <w:t>吨含以上）</w:t>
      </w:r>
      <w:r>
        <w:rPr>
          <w:sz w:val="21"/>
        </w:rPr>
        <w:t>2台</w:t>
      </w:r>
      <w:r>
        <w:rPr>
          <w:sz w:val="21"/>
        </w:rPr>
        <w:t>；</w:t>
      </w:r>
    </w:p>
    <w:p>
      <w:pPr>
        <w:pStyle w:val="null3"/>
        <w:ind w:firstLine="420"/>
        <w:jc w:val="both"/>
      </w:pPr>
      <w:r>
        <w:rPr>
          <w:sz w:val="21"/>
        </w:rPr>
        <w:t>2、重型非载货专项作业车（拖吊一体救援专用重型车）（总质量25吨或以上）1台；</w:t>
      </w:r>
    </w:p>
    <w:p>
      <w:pPr>
        <w:pStyle w:val="null3"/>
        <w:ind w:firstLine="420"/>
        <w:jc w:val="both"/>
      </w:pPr>
      <w:r>
        <w:rPr>
          <w:sz w:val="21"/>
        </w:rPr>
        <w:t>3、</w:t>
      </w:r>
      <w:r>
        <w:rPr>
          <w:sz w:val="21"/>
        </w:rPr>
        <w:t>重型非载货专项作业车（</w:t>
      </w:r>
      <w:r>
        <w:rPr>
          <w:sz w:val="21"/>
        </w:rPr>
        <w:t>总质量</w:t>
      </w:r>
      <w:r>
        <w:rPr>
          <w:sz w:val="21"/>
        </w:rPr>
        <w:t>19</w:t>
      </w:r>
      <w:r>
        <w:rPr>
          <w:sz w:val="21"/>
        </w:rPr>
        <w:t>吨</w:t>
      </w:r>
      <w:r>
        <w:rPr>
          <w:sz w:val="21"/>
        </w:rPr>
        <w:t>含</w:t>
      </w:r>
      <w:r>
        <w:rPr>
          <w:sz w:val="21"/>
        </w:rPr>
        <w:t>以上）</w:t>
      </w:r>
      <w:r>
        <w:rPr>
          <w:sz w:val="21"/>
        </w:rPr>
        <w:t>2台</w:t>
      </w:r>
      <w:r>
        <w:rPr>
          <w:sz w:val="21"/>
        </w:rPr>
        <w:t>；</w:t>
      </w:r>
    </w:p>
    <w:p>
      <w:pPr>
        <w:pStyle w:val="null3"/>
        <w:ind w:firstLine="420"/>
        <w:jc w:val="both"/>
      </w:pPr>
      <w:r>
        <w:rPr>
          <w:sz w:val="21"/>
        </w:rPr>
        <w:t>4、</w:t>
      </w:r>
      <w:r>
        <w:rPr>
          <w:sz w:val="21"/>
        </w:rPr>
        <w:t>中型非载货专项作业车</w:t>
      </w:r>
      <w:r>
        <w:rPr>
          <w:sz w:val="21"/>
        </w:rPr>
        <w:t>（平板拖）</w:t>
      </w:r>
      <w:r>
        <w:rPr>
          <w:sz w:val="21"/>
        </w:rPr>
        <w:t>（</w:t>
      </w:r>
      <w:r>
        <w:rPr>
          <w:sz w:val="21"/>
        </w:rPr>
        <w:t>总质量</w:t>
      </w:r>
      <w:r>
        <w:rPr>
          <w:sz w:val="21"/>
        </w:rPr>
        <w:t>7</w:t>
      </w:r>
      <w:r>
        <w:rPr>
          <w:sz w:val="21"/>
        </w:rPr>
        <w:t>吨含以上）</w:t>
      </w:r>
      <w:r>
        <w:rPr>
          <w:sz w:val="21"/>
        </w:rPr>
        <w:t>5台</w:t>
      </w:r>
      <w:r>
        <w:rPr>
          <w:sz w:val="21"/>
        </w:rPr>
        <w:t>。</w:t>
      </w:r>
    </w:p>
    <w:p>
      <w:pPr>
        <w:pStyle w:val="null3"/>
        <w:jc w:val="both"/>
        <w:outlineLvl w:val="3"/>
      </w:pPr>
      <w:r>
        <w:rPr>
          <w:sz w:val="24"/>
          <w:b/>
        </w:rPr>
        <w:t>三、</w:t>
      </w:r>
      <w:r>
        <w:rPr>
          <w:sz w:val="24"/>
          <w:b/>
        </w:rPr>
        <w:t>人员及服务要求</w:t>
      </w:r>
    </w:p>
    <w:p>
      <w:pPr>
        <w:pStyle w:val="null3"/>
        <w:ind w:firstLine="420"/>
        <w:jc w:val="both"/>
      </w:pPr>
      <w:r>
        <w:rPr>
          <w:sz w:val="21"/>
        </w:rPr>
        <w:t>1、需配备1</w:t>
      </w:r>
      <w:r>
        <w:rPr>
          <w:sz w:val="21"/>
        </w:rPr>
        <w:t>0</w:t>
      </w:r>
      <w:r>
        <w:rPr>
          <w:sz w:val="21"/>
        </w:rPr>
        <w:t>人</w:t>
      </w:r>
      <w:r>
        <w:rPr>
          <w:sz w:val="21"/>
        </w:rPr>
        <w:t>或</w:t>
      </w:r>
      <w:r>
        <w:rPr>
          <w:sz w:val="21"/>
        </w:rPr>
        <w:t>以上工作人员，且具有</w:t>
      </w:r>
      <w:r>
        <w:rPr>
          <w:sz w:val="21"/>
        </w:rPr>
        <w:t>A2或A1驾照，有3年以上驾驶经验，投标人需在投标文件上提供相关资料。</w:t>
      </w:r>
    </w:p>
    <w:p>
      <w:pPr>
        <w:pStyle w:val="null3"/>
        <w:ind w:firstLine="420"/>
        <w:jc w:val="both"/>
      </w:pPr>
      <w:r>
        <w:rPr>
          <w:sz w:val="21"/>
        </w:rPr>
        <w:t>2、工作人员需有3年以上专业水平，实行24小时全天候值班，在横沥镇范围内发生交通事故及扣留机动车需20分钟到达现场。</w:t>
      </w:r>
    </w:p>
    <w:p>
      <w:pPr>
        <w:pStyle w:val="null3"/>
        <w:ind w:firstLine="420"/>
        <w:jc w:val="both"/>
      </w:pPr>
      <w:r>
        <w:rPr>
          <w:sz w:val="21"/>
        </w:rPr>
        <w:t>3、工作人员</w:t>
      </w:r>
      <w:r>
        <w:rPr>
          <w:sz w:val="21"/>
        </w:rPr>
        <w:t>须</w:t>
      </w:r>
      <w:r>
        <w:rPr>
          <w:sz w:val="21"/>
        </w:rPr>
        <w:t>购买</w:t>
      </w:r>
      <w:r>
        <w:rPr>
          <w:sz w:val="21"/>
        </w:rPr>
        <w:t>社会保障金</w:t>
      </w:r>
      <w:r>
        <w:rPr>
          <w:sz w:val="21"/>
        </w:rPr>
        <w:t>。</w:t>
      </w:r>
    </w:p>
    <w:p>
      <w:pPr>
        <w:pStyle w:val="null3"/>
        <w:ind w:firstLine="420"/>
        <w:jc w:val="both"/>
      </w:pPr>
      <w:r>
        <w:rPr>
          <w:sz w:val="21"/>
        </w:rPr>
        <w:t>4、工作人员无违法犯罪记录。</w:t>
      </w:r>
    </w:p>
    <w:p>
      <w:pPr>
        <w:pStyle w:val="null3"/>
        <w:ind w:firstLine="420"/>
        <w:jc w:val="both"/>
      </w:pPr>
      <w:r>
        <w:rPr>
          <w:sz w:val="21"/>
        </w:rPr>
        <w:t>5、</w:t>
      </w:r>
      <w:r>
        <w:rPr>
          <w:sz w:val="21"/>
        </w:rPr>
        <w:t>中标供应商</w:t>
      </w:r>
      <w:r>
        <w:rPr>
          <w:sz w:val="21"/>
        </w:rPr>
        <w:t>不得收取因违法或事故被暂扣车辆所有人的拖移服务费，保证车辆在到达指定停车场的安全，如在拖移过程中造成车辆及物品丢失、损坏的，投标人与车辆所有人双方协商解决。</w:t>
      </w:r>
    </w:p>
    <w:p>
      <w:pPr>
        <w:pStyle w:val="null3"/>
        <w:ind w:firstLine="420"/>
        <w:jc w:val="both"/>
      </w:pPr>
      <w:r>
        <w:rPr>
          <w:sz w:val="21"/>
        </w:rPr>
        <w:t>6、</w:t>
      </w:r>
      <w:r>
        <w:rPr>
          <w:sz w:val="21"/>
        </w:rPr>
        <w:t>中标供应商</w:t>
      </w:r>
      <w:r>
        <w:rPr>
          <w:sz w:val="21"/>
        </w:rPr>
        <w:t>应当在违法或事故现场拍照，做好记录（包括空程车辆）作为每月报销的依据，每月的拖车数量需经违法办及事故处理中队核对确认后，才能作为报销的依据。</w:t>
      </w:r>
    </w:p>
    <w:p>
      <w:pPr>
        <w:pStyle w:val="null3"/>
        <w:ind w:firstLine="420"/>
        <w:jc w:val="both"/>
      </w:pPr>
      <w:r>
        <w:rPr>
          <w:sz w:val="21"/>
        </w:rPr>
        <w:t>7、</w:t>
      </w:r>
      <w:r>
        <w:rPr>
          <w:sz w:val="21"/>
        </w:rPr>
        <w:t>中标供应商</w:t>
      </w:r>
      <w:r>
        <w:rPr>
          <w:sz w:val="21"/>
        </w:rPr>
        <w:t>自行承担拖车车辆的油料费、维修费、路桥费、保管费、人员工资、保险等一切</w:t>
      </w:r>
      <w:r>
        <w:rPr>
          <w:sz w:val="21"/>
        </w:rPr>
        <w:t>完成项目的必要</w:t>
      </w:r>
      <w:r>
        <w:rPr>
          <w:sz w:val="21"/>
        </w:rPr>
        <w:t>费用。</w:t>
      </w:r>
    </w:p>
    <w:p>
      <w:pPr>
        <w:pStyle w:val="null3"/>
        <w:jc w:val="both"/>
        <w:outlineLvl w:val="3"/>
      </w:pPr>
      <w:r>
        <w:rPr>
          <w:sz w:val="24"/>
          <w:b/>
        </w:rPr>
        <w:t>四、</w:t>
      </w:r>
      <w:r>
        <w:rPr>
          <w:sz w:val="24"/>
          <w:b/>
        </w:rPr>
        <w:t>终止合同及保管车辆处理</w:t>
      </w:r>
    </w:p>
    <w:p>
      <w:pPr>
        <w:pStyle w:val="null3"/>
        <w:ind w:firstLine="420"/>
        <w:jc w:val="both"/>
      </w:pPr>
      <w:r>
        <w:rPr>
          <w:sz w:val="21"/>
        </w:rPr>
        <w:t>出现下列情况之一，终止合同，取消中标供应商服务资格：</w:t>
      </w:r>
    </w:p>
    <w:p>
      <w:pPr>
        <w:pStyle w:val="null3"/>
        <w:ind w:firstLine="420"/>
        <w:jc w:val="both"/>
      </w:pPr>
      <w:r>
        <w:rPr>
          <w:sz w:val="21"/>
        </w:rPr>
        <w:t>1、不按上级公安机关执法办案暂扣车辆管理规定进行管理，经二次整改后仍达不到要求；</w:t>
      </w:r>
    </w:p>
    <w:p>
      <w:pPr>
        <w:pStyle w:val="null3"/>
        <w:ind w:firstLine="420"/>
        <w:jc w:val="both"/>
      </w:pPr>
      <w:r>
        <w:rPr>
          <w:sz w:val="21"/>
        </w:rPr>
        <w:t>2、中标供应商违反服务承诺或服务要求的，三次无正当理由拒绝响应的或三次响后无法按时完成工作的；</w:t>
      </w:r>
    </w:p>
    <w:p>
      <w:pPr>
        <w:pStyle w:val="null3"/>
        <w:ind w:firstLine="420"/>
        <w:jc w:val="both"/>
      </w:pPr>
      <w:r>
        <w:rPr>
          <w:sz w:val="21"/>
        </w:rPr>
        <w:t>3、如上有关公安机关部门要求调整拖车业务工作，本次确定的供应商服务资格即告终止；</w:t>
      </w:r>
    </w:p>
    <w:p>
      <w:pPr>
        <w:pStyle w:val="null3"/>
        <w:ind w:firstLine="420"/>
        <w:jc w:val="both"/>
      </w:pPr>
      <w:r>
        <w:rPr>
          <w:sz w:val="21"/>
        </w:rPr>
        <w:t>4、中标供应商违反有关法律法规规定。</w:t>
      </w:r>
    </w:p>
    <w:p>
      <w:pPr>
        <w:pStyle w:val="null3"/>
        <w:jc w:val="both"/>
        <w:outlineLvl w:val="3"/>
      </w:pPr>
      <w:r>
        <w:rPr>
          <w:sz w:val="24"/>
          <w:b/>
        </w:rPr>
        <w:t>五、</w:t>
      </w:r>
      <w:r>
        <w:rPr>
          <w:sz w:val="24"/>
          <w:b/>
        </w:rPr>
        <w:t>对</w:t>
      </w:r>
      <w:r>
        <w:rPr>
          <w:sz w:val="24"/>
          <w:b/>
        </w:rPr>
        <w:t>中标供应商</w:t>
      </w:r>
      <w:r>
        <w:rPr>
          <w:sz w:val="24"/>
          <w:b/>
        </w:rPr>
        <w:t>要求</w:t>
      </w:r>
    </w:p>
    <w:p>
      <w:pPr>
        <w:pStyle w:val="null3"/>
        <w:ind w:firstLine="420"/>
        <w:jc w:val="left"/>
      </w:pPr>
      <w:r>
        <w:rPr>
          <w:sz w:val="21"/>
        </w:rPr>
        <w:t>1、</w:t>
      </w:r>
      <w:r>
        <w:rPr>
          <w:sz w:val="21"/>
        </w:rPr>
        <w:t>中标供应商</w:t>
      </w:r>
      <w:r>
        <w:rPr>
          <w:sz w:val="21"/>
        </w:rPr>
        <w:t>需于接到中标通知书</w:t>
      </w:r>
      <w:r>
        <w:rPr>
          <w:sz w:val="24"/>
        </w:rPr>
        <w:t xml:space="preserve"> </w:t>
      </w:r>
      <w:r>
        <w:rPr>
          <w:sz w:val="21"/>
        </w:rPr>
        <w:t>15</w:t>
      </w:r>
      <w:r>
        <w:rPr>
          <w:sz w:val="24"/>
        </w:rPr>
        <w:t xml:space="preserve"> </w:t>
      </w:r>
      <w:r>
        <w:rPr>
          <w:sz w:val="21"/>
        </w:rPr>
        <w:t>天内对所有服务车辆安装车载无线对讲机，保证</w:t>
      </w:r>
      <w:r>
        <w:rPr>
          <w:sz w:val="21"/>
        </w:rPr>
        <w:t>24 小时通讯畅通，同时提供一台手持式对讲机给交警大队电台，便于</w:t>
      </w:r>
      <w:r>
        <w:rPr>
          <w:sz w:val="21"/>
        </w:rPr>
        <w:t>东莞市公安局交通管理支队横沥大队</w:t>
      </w:r>
      <w:r>
        <w:rPr>
          <w:sz w:val="21"/>
        </w:rPr>
        <w:t>监督中标单位的运作或应急时调动拯救车辆。</w:t>
      </w:r>
    </w:p>
    <w:p>
      <w:pPr>
        <w:pStyle w:val="null3"/>
        <w:ind w:firstLine="420"/>
        <w:jc w:val="both"/>
      </w:pPr>
      <w:r>
        <w:rPr>
          <w:sz w:val="21"/>
        </w:rPr>
        <w:t>2、中标供应商需对所有拯救车，安装全球卫星定位系统（GPS 终端监控系统，证明材料包括：车载终端主设备产品说明书、生产厂家的型号证明、采用 CDMA1X 无线通讯网络的协议书等），并需与东莞市公安局交通管理支队联网；车辆定位数据需保存 3 个月，并实时提供给东莞市公安局交通管理支队横沥大队。</w:t>
      </w:r>
    </w:p>
    <w:p>
      <w:pPr>
        <w:pStyle w:val="null3"/>
        <w:ind w:firstLine="420"/>
        <w:jc w:val="both"/>
      </w:pPr>
      <w:r>
        <w:rPr>
          <w:sz w:val="21"/>
        </w:rPr>
        <w:t>3、提供的车辆需安装行车记录仪，行车记录仪需配备三个摄像头，满足日间、夜间的记录要求，能清晰摄录从采购人将暂扣车辆移交给中标供应商起止、中标供应商将暂扣车辆拖移至采购人指定停车场并移交完毕的整个过程，具体安装要求由采购人指定，摄录数据至少保存 45 天。</w:t>
      </w:r>
    </w:p>
    <w:p>
      <w:pPr>
        <w:pStyle w:val="null3"/>
        <w:ind w:firstLine="420"/>
        <w:jc w:val="both"/>
      </w:pPr>
      <w:r>
        <w:rPr>
          <w:sz w:val="21"/>
        </w:rPr>
        <w:t>4、如车辆为租赁的，中标供应商需提交期限为自中标之日起计不少于 36 个月的车辆租赁合同原件（签订合同时如有要求提供）。</w:t>
      </w:r>
    </w:p>
    <w:p>
      <w:pPr>
        <w:pStyle w:val="null3"/>
        <w:ind w:firstLine="420"/>
        <w:jc w:val="both"/>
      </w:pPr>
      <w:r>
        <w:rPr>
          <w:sz w:val="21"/>
        </w:rPr>
        <w:t>5、中标供应商应于每天下午 17：00 时前将次日的拖车（含车型、车号）及工作人员（姓名、移动电话号码）的工作安排报交警大队便于交警大队监督、联系与调动。</w:t>
      </w:r>
    </w:p>
    <w:p>
      <w:pPr>
        <w:pStyle w:val="null3"/>
        <w:ind w:firstLine="420"/>
        <w:jc w:val="both"/>
      </w:pPr>
      <w:r>
        <w:rPr>
          <w:sz w:val="21"/>
        </w:rPr>
        <w:t>6、中标供应商对上述工作进行检查，如未按上述要求完成的，采购人有权取消其服务资格。</w:t>
      </w:r>
    </w:p>
    <w:p>
      <w:pPr>
        <w:pStyle w:val="null3"/>
        <w:jc w:val="both"/>
        <w:outlineLvl w:val="3"/>
      </w:pPr>
      <w:r>
        <w:rPr>
          <w:sz w:val="24"/>
          <w:b/>
        </w:rPr>
        <w:t>六、</w:t>
      </w:r>
      <w:r>
        <w:rPr>
          <w:sz w:val="24"/>
          <w:b/>
        </w:rPr>
        <w:t>采购人权利和义务</w:t>
      </w:r>
    </w:p>
    <w:p>
      <w:pPr>
        <w:pStyle w:val="null3"/>
        <w:ind w:firstLine="420"/>
        <w:jc w:val="both"/>
      </w:pPr>
      <w:r>
        <w:rPr>
          <w:sz w:val="21"/>
        </w:rPr>
        <w:t>1、服务期限内，可 24 小时随时向</w:t>
      </w:r>
      <w:r>
        <w:rPr>
          <w:sz w:val="21"/>
        </w:rPr>
        <w:t>中标供应商</w:t>
      </w:r>
      <w:r>
        <w:rPr>
          <w:sz w:val="21"/>
        </w:rPr>
        <w:t>发出指令，让其在约定的服务区域内执行违章、事故、故障拖车服务。</w:t>
      </w:r>
    </w:p>
    <w:p>
      <w:pPr>
        <w:pStyle w:val="null3"/>
        <w:ind w:firstLine="420"/>
        <w:jc w:val="both"/>
      </w:pPr>
      <w:r>
        <w:rPr>
          <w:sz w:val="21"/>
        </w:rPr>
        <w:t>2、遇到重、特大事故、事件及交通警卫活动，需要功能全面和较大型拖车业务，交警大队有权统筹安排，调动</w:t>
      </w:r>
      <w:r>
        <w:rPr>
          <w:sz w:val="21"/>
        </w:rPr>
        <w:t>中标供应商</w:t>
      </w:r>
      <w:r>
        <w:rPr>
          <w:sz w:val="21"/>
        </w:rPr>
        <w:t>服务车辆进行相关拖车工作。</w:t>
      </w:r>
    </w:p>
    <w:p>
      <w:pPr>
        <w:pStyle w:val="null3"/>
        <w:ind w:firstLine="420"/>
        <w:jc w:val="both"/>
      </w:pPr>
      <w:r>
        <w:rPr>
          <w:sz w:val="21"/>
        </w:rPr>
        <w:t>3、不能随意指示</w:t>
      </w:r>
      <w:r>
        <w:rPr>
          <w:sz w:val="21"/>
        </w:rPr>
        <w:t>中标供应商</w:t>
      </w:r>
      <w:r>
        <w:rPr>
          <w:sz w:val="21"/>
        </w:rPr>
        <w:t>服务车辆执行拖车以外的服务，双方事先约定的除外。</w:t>
      </w:r>
    </w:p>
    <w:p>
      <w:pPr>
        <w:pStyle w:val="null3"/>
        <w:ind w:firstLine="420"/>
        <w:jc w:val="both"/>
      </w:pPr>
      <w:r>
        <w:rPr>
          <w:sz w:val="21"/>
        </w:rPr>
        <w:t>4、不承担</w:t>
      </w:r>
      <w:r>
        <w:rPr>
          <w:sz w:val="21"/>
        </w:rPr>
        <w:t>中标供应商</w:t>
      </w:r>
      <w:r>
        <w:rPr>
          <w:sz w:val="21"/>
        </w:rPr>
        <w:t>利用服务车辆从事非法活动所导致的后果。</w:t>
      </w:r>
    </w:p>
    <w:p>
      <w:pPr>
        <w:pStyle w:val="null3"/>
        <w:ind w:firstLine="420"/>
        <w:jc w:val="both"/>
      </w:pPr>
      <w:r>
        <w:rPr>
          <w:sz w:val="21"/>
        </w:rPr>
        <w:t>5、按时向</w:t>
      </w:r>
      <w:r>
        <w:rPr>
          <w:sz w:val="21"/>
        </w:rPr>
        <w:t>中标供应商</w:t>
      </w:r>
      <w:r>
        <w:rPr>
          <w:sz w:val="21"/>
        </w:rPr>
        <w:t>支付有关费用。</w:t>
      </w:r>
    </w:p>
    <w:p>
      <w:pPr>
        <w:pStyle w:val="null3"/>
        <w:jc w:val="both"/>
        <w:outlineLvl w:val="3"/>
      </w:pPr>
      <w:r>
        <w:rPr>
          <w:sz w:val="24"/>
          <w:b/>
        </w:rPr>
        <w:t>七、</w:t>
      </w:r>
      <w:r>
        <w:rPr>
          <w:sz w:val="24"/>
          <w:b/>
        </w:rPr>
        <w:t>中标供应商</w:t>
      </w:r>
      <w:r>
        <w:rPr>
          <w:sz w:val="24"/>
          <w:b/>
        </w:rPr>
        <w:t>权利和义务</w:t>
      </w:r>
    </w:p>
    <w:p>
      <w:pPr>
        <w:pStyle w:val="null3"/>
        <w:ind w:firstLine="420"/>
        <w:jc w:val="both"/>
      </w:pPr>
      <w:r>
        <w:rPr>
          <w:sz w:val="21"/>
        </w:rPr>
        <w:t>1、服务期限内发生责任事故，</w:t>
      </w:r>
      <w:r>
        <w:rPr>
          <w:sz w:val="21"/>
        </w:rPr>
        <w:t>中标供应商</w:t>
      </w:r>
      <w:r>
        <w:rPr>
          <w:sz w:val="21"/>
        </w:rPr>
        <w:t>应立即通知交警大队及有关部门，并协同处理。</w:t>
      </w:r>
    </w:p>
    <w:p>
      <w:pPr>
        <w:pStyle w:val="null3"/>
        <w:ind w:firstLine="420"/>
        <w:jc w:val="both"/>
      </w:pPr>
      <w:r>
        <w:rPr>
          <w:sz w:val="21"/>
        </w:rPr>
        <w:t>2、</w:t>
      </w:r>
      <w:r>
        <w:rPr>
          <w:sz w:val="21"/>
        </w:rPr>
        <w:t>中标供应商</w:t>
      </w:r>
      <w:r>
        <w:rPr>
          <w:sz w:val="21"/>
        </w:rPr>
        <w:t>提供的拯救车辆（含拯救拖车），必须统一车身颜色，统一喷涂单位名称和投诉电话，负责拖车服务的员工必须统一着装。</w:t>
      </w:r>
    </w:p>
    <w:p>
      <w:pPr>
        <w:pStyle w:val="null3"/>
        <w:ind w:firstLine="420"/>
        <w:jc w:val="both"/>
      </w:pPr>
      <w:r>
        <w:rPr>
          <w:sz w:val="21"/>
        </w:rPr>
        <w:t>3、</w:t>
      </w:r>
      <w:r>
        <w:rPr>
          <w:sz w:val="21"/>
        </w:rPr>
        <w:t>中标供应商</w:t>
      </w:r>
      <w:r>
        <w:rPr>
          <w:sz w:val="21"/>
        </w:rPr>
        <w:t>必须将（交通）违法、事故的车辆以及车上货物拖曳到公安机关指定的地方，并与有关工作人员办好交接手续。</w:t>
      </w:r>
    </w:p>
    <w:p>
      <w:pPr>
        <w:pStyle w:val="null3"/>
        <w:ind w:firstLine="420"/>
        <w:jc w:val="both"/>
      </w:pPr>
      <w:r>
        <w:rPr>
          <w:sz w:val="21"/>
        </w:rPr>
        <w:t>4、</w:t>
      </w:r>
      <w:r>
        <w:rPr>
          <w:sz w:val="21"/>
        </w:rPr>
        <w:t>中标供应商</w:t>
      </w:r>
      <w:r>
        <w:rPr>
          <w:sz w:val="21"/>
        </w:rPr>
        <w:t>自行承担拖车车辆的油料费、维修费、路桥费、保管费、人员工资、保险等一切费用。</w:t>
      </w:r>
    </w:p>
    <w:p>
      <w:pPr>
        <w:pStyle w:val="null3"/>
        <w:ind w:firstLine="420"/>
        <w:jc w:val="both"/>
      </w:pPr>
      <w:r>
        <w:rPr>
          <w:sz w:val="21"/>
        </w:rPr>
        <w:t>5、</w:t>
      </w:r>
      <w:r>
        <w:rPr>
          <w:sz w:val="21"/>
        </w:rPr>
        <w:t>中标供应商</w:t>
      </w:r>
      <w:r>
        <w:rPr>
          <w:sz w:val="21"/>
        </w:rPr>
        <w:t>必须在签订合同时提供按照商业经营管理的相关商业保险的复印件，此部分保险由</w:t>
      </w:r>
      <w:r>
        <w:rPr>
          <w:sz w:val="21"/>
        </w:rPr>
        <w:t>中标供应商</w:t>
      </w:r>
      <w:r>
        <w:rPr>
          <w:sz w:val="21"/>
        </w:rPr>
        <w:t>购买。</w:t>
      </w:r>
    </w:p>
    <w:p>
      <w:pPr>
        <w:pStyle w:val="null3"/>
        <w:jc w:val="both"/>
        <w:outlineLvl w:val="3"/>
      </w:pPr>
      <w:r>
        <w:rPr>
          <w:sz w:val="24"/>
          <w:b/>
        </w:rPr>
        <w:t>八、</w:t>
      </w:r>
      <w:r>
        <w:rPr>
          <w:sz w:val="24"/>
          <w:b/>
        </w:rPr>
        <w:t>投保商业保险为了提高</w:t>
      </w:r>
      <w:r>
        <w:rPr>
          <w:sz w:val="24"/>
          <w:b/>
        </w:rPr>
        <w:t>中标供应商</w:t>
      </w:r>
      <w:r>
        <w:rPr>
          <w:sz w:val="24"/>
          <w:b/>
        </w:rPr>
        <w:t>对合同的履约能力，有效解决被拖车辆因自然或人为因素造成损毁所导致的赔偿问题，就</w:t>
      </w:r>
      <w:r>
        <w:rPr>
          <w:sz w:val="24"/>
          <w:b/>
        </w:rPr>
        <w:t>中标供应商</w:t>
      </w:r>
      <w:r>
        <w:rPr>
          <w:sz w:val="24"/>
          <w:b/>
        </w:rPr>
        <w:t>投保商业保险提出具体约定如下：</w:t>
      </w:r>
    </w:p>
    <w:p>
      <w:pPr>
        <w:pStyle w:val="null3"/>
        <w:ind w:firstLine="420"/>
        <w:jc w:val="both"/>
      </w:pPr>
      <w:r>
        <w:rPr>
          <w:sz w:val="21"/>
        </w:rPr>
        <w:t>1、</w:t>
      </w:r>
      <w:r>
        <w:rPr>
          <w:sz w:val="21"/>
        </w:rPr>
        <w:t>中标供应商</w:t>
      </w:r>
      <w:r>
        <w:rPr>
          <w:sz w:val="21"/>
        </w:rPr>
        <w:t>在合同有效期内应就拖曳车辆的具体行为定期购买商业财产保险。</w:t>
      </w:r>
    </w:p>
    <w:p>
      <w:pPr>
        <w:pStyle w:val="null3"/>
        <w:ind w:firstLine="420"/>
        <w:jc w:val="both"/>
      </w:pPr>
      <w:r>
        <w:rPr>
          <w:sz w:val="21"/>
        </w:rPr>
        <w:t>2、</w:t>
      </w:r>
      <w:r>
        <w:rPr>
          <w:sz w:val="21"/>
        </w:rPr>
        <w:t>中标供应商</w:t>
      </w:r>
      <w:r>
        <w:rPr>
          <w:sz w:val="21"/>
        </w:rPr>
        <w:t>所购上述财产保险的投保及理赔范围应全面且细致，除突发自然灾害、战争等不可抗拒的因素外，须包括车辆在被拖曳过程中遭到盗抢、火灾（含自燃）、二次交通事故以及因其它人为因素造成损失等一切可预见的情况。</w:t>
      </w:r>
    </w:p>
    <w:p>
      <w:pPr>
        <w:pStyle w:val="null3"/>
        <w:ind w:firstLine="420"/>
        <w:jc w:val="both"/>
      </w:pPr>
      <w:r>
        <w:rPr>
          <w:sz w:val="21"/>
        </w:rPr>
        <w:t>3、</w:t>
      </w:r>
      <w:r>
        <w:rPr>
          <w:sz w:val="21"/>
        </w:rPr>
        <w:t>中标供应商</w:t>
      </w:r>
      <w:r>
        <w:rPr>
          <w:sz w:val="21"/>
        </w:rPr>
        <w:t>所购上述财产保险的理赔时限应在合同履约期内持续有效，若其间发生理赔事故的，应当在投保期限终止前与保险公司续约或重新与其他保险公司签约投保，保障合同履约期限内任意时刻的保险理赔金额应不少于人民币</w:t>
      </w:r>
      <w:r>
        <w:rPr>
          <w:sz w:val="21"/>
        </w:rPr>
        <w:t>100 万元整。</w:t>
      </w:r>
    </w:p>
    <w:p>
      <w:pPr>
        <w:pStyle w:val="null3"/>
        <w:ind w:firstLine="420"/>
        <w:jc w:val="both"/>
      </w:pPr>
      <w:r>
        <w:rPr>
          <w:sz w:val="21"/>
        </w:rPr>
        <w:t>4、</w:t>
      </w:r>
      <w:r>
        <w:rPr>
          <w:sz w:val="21"/>
        </w:rPr>
        <w:t>中标供应商</w:t>
      </w:r>
      <w:r>
        <w:rPr>
          <w:sz w:val="21"/>
        </w:rPr>
        <w:t>在拖曳车辆的过程中，发生上述财产保险理赔范围内的事故时，保险公司的赔付金额不足以全额支付</w:t>
      </w:r>
      <w:r>
        <w:rPr>
          <w:sz w:val="21"/>
        </w:rPr>
        <w:t>中标供应商</w:t>
      </w:r>
      <w:r>
        <w:rPr>
          <w:sz w:val="21"/>
        </w:rPr>
        <w:t>所应当承担的法律责任的，上述的不足部分应由</w:t>
      </w:r>
      <w:r>
        <w:rPr>
          <w:sz w:val="21"/>
        </w:rPr>
        <w:t>中标供应商</w:t>
      </w:r>
      <w:r>
        <w:rPr>
          <w:sz w:val="21"/>
        </w:rPr>
        <w:t>自行担负，交警大队不承担因此而导致的任何法律后果。</w:t>
      </w:r>
    </w:p>
    <w:p>
      <w:pPr>
        <w:pStyle w:val="null3"/>
        <w:ind w:firstLine="420"/>
        <w:jc w:val="both"/>
      </w:pPr>
      <w:r>
        <w:rPr>
          <w:sz w:val="21"/>
        </w:rPr>
        <w:t>5、对于商业保险所不予理赔的范围及其它相关情况，</w:t>
      </w:r>
      <w:r>
        <w:rPr>
          <w:sz w:val="21"/>
        </w:rPr>
        <w:t>中标供应商</w:t>
      </w:r>
      <w:r>
        <w:rPr>
          <w:sz w:val="21"/>
        </w:rPr>
        <w:t>应向第三方当事人即被拖曳车辆的车主（司</w:t>
      </w:r>
      <w:r>
        <w:rPr>
          <w:sz w:val="21"/>
        </w:rPr>
        <w:t>机）所提供的托收票据（一式三联）中予以书面说明，在拖曳车辆具体行为实施之前交由该车主（司</w:t>
      </w:r>
      <w:r>
        <w:rPr>
          <w:sz w:val="21"/>
        </w:rPr>
        <w:t>机）签字确认，并将上述票据分别交由交警大队、</w:t>
      </w:r>
      <w:r>
        <w:rPr>
          <w:sz w:val="21"/>
        </w:rPr>
        <w:t>中标供应商</w:t>
      </w:r>
      <w:r>
        <w:rPr>
          <w:sz w:val="21"/>
        </w:rPr>
        <w:t>、第三方当事人妥善保管。</w:t>
      </w:r>
    </w:p>
    <w:p>
      <w:pPr>
        <w:pStyle w:val="null3"/>
        <w:ind w:firstLine="420"/>
        <w:jc w:val="both"/>
      </w:pPr>
      <w:r>
        <w:rPr>
          <w:sz w:val="21"/>
        </w:rPr>
        <w:t>6、上述 1-5 款所称商业保险，仅指</w:t>
      </w:r>
      <w:r>
        <w:rPr>
          <w:sz w:val="21"/>
        </w:rPr>
        <w:t>中标供应商</w:t>
      </w:r>
      <w:r>
        <w:rPr>
          <w:sz w:val="21"/>
        </w:rPr>
        <w:t>为第三方当事人即被拖曳车辆的车主（司机）所提供的风险保障，不含</w:t>
      </w:r>
      <w:r>
        <w:rPr>
          <w:sz w:val="21"/>
        </w:rPr>
        <w:t>中标供应商</w:t>
      </w:r>
      <w:r>
        <w:rPr>
          <w:sz w:val="21"/>
        </w:rPr>
        <w:t>为自身车辆及装备提供的风险保障；</w:t>
      </w:r>
      <w:r>
        <w:rPr>
          <w:sz w:val="21"/>
        </w:rPr>
        <w:t>中标供应商</w:t>
      </w:r>
      <w:r>
        <w:rPr>
          <w:sz w:val="21"/>
        </w:rPr>
        <w:t>自身的风险保障由</w:t>
      </w:r>
      <w:r>
        <w:rPr>
          <w:sz w:val="21"/>
        </w:rPr>
        <w:t>中标供应商</w:t>
      </w:r>
      <w:r>
        <w:rPr>
          <w:sz w:val="21"/>
        </w:rPr>
        <w:t>自行确定，不属于本合同约定的范围。</w:t>
      </w:r>
    </w:p>
    <w:p>
      <w:pPr>
        <w:pStyle w:val="null3"/>
        <w:jc w:val="both"/>
        <w:outlineLvl w:val="3"/>
      </w:pPr>
      <w:r>
        <w:rPr>
          <w:sz w:val="24"/>
          <w:b/>
        </w:rPr>
        <w:t>九、</w:t>
      </w:r>
      <w:r>
        <w:rPr>
          <w:sz w:val="24"/>
          <w:b/>
        </w:rPr>
        <w:t>违约责任</w:t>
      </w:r>
    </w:p>
    <w:p>
      <w:pPr>
        <w:pStyle w:val="null3"/>
        <w:ind w:firstLine="420"/>
        <w:jc w:val="both"/>
      </w:pPr>
      <w:r>
        <w:rPr>
          <w:sz w:val="21"/>
        </w:rPr>
        <w:t>1、交警大队违反本合同要求的规定，造成</w:t>
      </w:r>
      <w:r>
        <w:rPr>
          <w:sz w:val="21"/>
        </w:rPr>
        <w:t>中标供应商</w:t>
      </w:r>
      <w:r>
        <w:rPr>
          <w:sz w:val="21"/>
        </w:rPr>
        <w:t>损失的，交警大队应给予</w:t>
      </w:r>
      <w:r>
        <w:rPr>
          <w:sz w:val="21"/>
        </w:rPr>
        <w:t>中标供应商</w:t>
      </w:r>
      <w:r>
        <w:rPr>
          <w:sz w:val="21"/>
        </w:rPr>
        <w:t>经济赔偿，并承担相应的法律责任。如果项目需要办理财政直接支付手续，因财政资金拨款延误而导致交警大队逾期付款，交警大队不承担逾期付款的违约责任，并且此情况不能成为</w:t>
      </w:r>
      <w:r>
        <w:rPr>
          <w:sz w:val="21"/>
        </w:rPr>
        <w:t>中标供应商</w:t>
      </w:r>
      <w:r>
        <w:rPr>
          <w:sz w:val="21"/>
        </w:rPr>
        <w:t>暂停服务的理由。</w:t>
      </w:r>
    </w:p>
    <w:p>
      <w:pPr>
        <w:pStyle w:val="null3"/>
        <w:ind w:firstLine="420"/>
        <w:jc w:val="both"/>
      </w:pPr>
      <w:r>
        <w:rPr>
          <w:sz w:val="21"/>
        </w:rPr>
        <w:t>2、</w:t>
      </w:r>
      <w:r>
        <w:rPr>
          <w:sz w:val="21"/>
        </w:rPr>
        <w:t>中标供应商</w:t>
      </w:r>
      <w:r>
        <w:rPr>
          <w:sz w:val="21"/>
        </w:rPr>
        <w:t>违反本合同要求的规定，未能达到服务约定，每次处罚金</w:t>
      </w:r>
      <w:r>
        <w:rPr>
          <w:sz w:val="21"/>
        </w:rPr>
        <w:t>5,000.00 元（人民币伍仟元整）当累计罚金超出中标价时，采购人有权要求终止合同；造成采购人经济损失的，</w:t>
      </w:r>
      <w:r>
        <w:rPr>
          <w:sz w:val="21"/>
        </w:rPr>
        <w:t>中标供应商</w:t>
      </w:r>
      <w:r>
        <w:rPr>
          <w:sz w:val="21"/>
        </w:rPr>
        <w:t>应给予采购人经济赔偿，并承担相应的法律责任。</w:t>
      </w:r>
    </w:p>
    <w:p>
      <w:pPr>
        <w:pStyle w:val="null3"/>
        <w:jc w:val="both"/>
        <w:outlineLvl w:val="3"/>
      </w:pPr>
      <w:r>
        <w:rPr>
          <w:sz w:val="24"/>
          <w:b/>
        </w:rPr>
        <w:t>十、</w:t>
      </w:r>
      <w:r>
        <w:rPr>
          <w:sz w:val="24"/>
          <w:b/>
        </w:rPr>
        <w:t>其他服务要求</w:t>
      </w:r>
    </w:p>
    <w:p>
      <w:pPr>
        <w:pStyle w:val="null3"/>
        <w:ind w:firstLine="420"/>
        <w:jc w:val="both"/>
      </w:pPr>
      <w:r>
        <w:rPr>
          <w:sz w:val="21"/>
        </w:rPr>
        <w:t>1、中标供应商不足1</w:t>
      </w:r>
      <w:r>
        <w:rPr>
          <w:sz w:val="21"/>
        </w:rPr>
        <w:t>1</w:t>
      </w:r>
      <w:r>
        <w:rPr>
          <w:sz w:val="21"/>
        </w:rPr>
        <w:t>名工作人员时，需在</w:t>
      </w:r>
      <w:r>
        <w:rPr>
          <w:sz w:val="21"/>
        </w:rPr>
        <w:t>1</w:t>
      </w:r>
      <w:r>
        <w:rPr>
          <w:sz w:val="21"/>
        </w:rPr>
        <w:t>1</w:t>
      </w:r>
      <w:r>
        <w:rPr>
          <w:sz w:val="21"/>
        </w:rPr>
        <w:t>个工作日内补足符合规定的人员数量，逾期未补足人员的甲方每日可扣减服务费</w:t>
      </w:r>
      <w:r>
        <w:rPr>
          <w:sz w:val="21"/>
        </w:rPr>
        <w:t>200元，逾期超过10日，甲方有权取消其资格。</w:t>
      </w:r>
    </w:p>
    <w:p>
      <w:pPr>
        <w:pStyle w:val="null3"/>
        <w:ind w:firstLine="420"/>
        <w:jc w:val="both"/>
      </w:pPr>
      <w:r>
        <w:rPr>
          <w:sz w:val="21"/>
        </w:rPr>
        <w:t>2、中标供应商在接收甲方通知后超过20分钟到达现场的，每次扣减服务费100元，若一个月内超过5次超时到达现场的，甲方有权取消资格。</w:t>
      </w:r>
    </w:p>
    <w:p>
      <w:pPr>
        <w:pStyle w:val="null3"/>
        <w:ind w:firstLine="408"/>
        <w:jc w:val="left"/>
      </w:pPr>
      <w:r>
        <w:rPr>
          <w:sz w:val="21"/>
        </w:rPr>
        <w:t>3、</w:t>
      </w:r>
      <w:r>
        <w:rPr>
          <w:sz w:val="21"/>
        </w:rPr>
        <w:t>中标供应商</w:t>
      </w:r>
      <w:r>
        <w:rPr>
          <w:sz w:val="21"/>
        </w:rPr>
        <w:t>提供服务的车辆及人员要有符合国家、地区规定的相关证件，并按有关规定持证驾驶。</w:t>
      </w:r>
    </w:p>
    <w:p>
      <w:pPr>
        <w:pStyle w:val="null3"/>
        <w:ind w:firstLine="420"/>
        <w:jc w:val="left"/>
      </w:pPr>
      <w:r>
        <w:rPr>
          <w:sz w:val="21"/>
        </w:rPr>
        <w:t>4、</w:t>
      </w:r>
      <w:r>
        <w:rPr>
          <w:sz w:val="21"/>
        </w:rPr>
        <w:t>中标供应商</w:t>
      </w:r>
      <w:r>
        <w:rPr>
          <w:sz w:val="21"/>
        </w:rPr>
        <w:t>必须依照交通部颁布的有关技术标准及检测证明。对服务车辆进行检查、保养、维修，保持服</w:t>
      </w:r>
      <w:r>
        <w:rPr>
          <w:sz w:val="21"/>
        </w:rPr>
        <w:t>务汽车技术状态良好，服务车辆应是已年检车辆，并达到一级技术等级的在用车。</w:t>
      </w:r>
    </w:p>
    <w:p>
      <w:pPr>
        <w:pStyle w:val="null3"/>
        <w:ind w:firstLine="420"/>
        <w:jc w:val="left"/>
      </w:pPr>
      <w:r>
        <w:rPr>
          <w:sz w:val="21"/>
        </w:rPr>
        <w:t>5、采购人不确保拖车服务的数量，拖车服务费用车承载车辆的最少运载数量，由采购人、</w:t>
      </w:r>
      <w:r>
        <w:rPr>
          <w:sz w:val="21"/>
        </w:rPr>
        <w:t>中标供应商</w:t>
      </w:r>
      <w:r>
        <w:rPr>
          <w:sz w:val="21"/>
        </w:rPr>
        <w:t>双方共同协商确定。</w:t>
      </w:r>
    </w:p>
    <w:p>
      <w:pPr>
        <w:pStyle w:val="null3"/>
        <w:ind w:firstLine="420"/>
        <w:jc w:val="left"/>
      </w:pPr>
      <w:r>
        <w:rPr>
          <w:sz w:val="21"/>
        </w:rPr>
        <w:t>6、投标人需根据采购需求，在投标文件中提供切实可行的总体服务方案、质量保证措施方案、管理制度方案、应急措施预案、岗位人员配备方案等。</w:t>
      </w:r>
    </w:p>
    <w:p>
      <w:pPr>
        <w:pStyle w:val="null3"/>
        <w:jc w:val="both"/>
      </w:pPr>
      <w:r>
        <w:rPr/>
        <w:t xml:space="preserve"> </w:t>
      </w:r>
    </w:p>
    <w:p>
      <w:pPr>
        <w:pStyle w:val="null3"/>
        <w:jc w:val="both"/>
        <w:outlineLvl w:val="3"/>
      </w:pPr>
      <w:r>
        <w:rPr>
          <w:sz w:val="24"/>
          <w:b/>
        </w:rPr>
        <w:t>附件</w:t>
      </w:r>
      <w:r>
        <w:rPr>
          <w:sz w:val="24"/>
          <w:b/>
        </w:rPr>
        <w:t>1</w:t>
      </w:r>
      <w:r>
        <w:rPr>
          <w:sz w:val="24"/>
          <w:b/>
        </w:rPr>
        <w:t>：</w:t>
      </w:r>
      <w:r>
        <w:rPr>
          <w:sz w:val="24"/>
          <w:b/>
        </w:rPr>
        <w:t>东莞市物价管理部门收费标准</w:t>
      </w:r>
    </w:p>
    <w:p>
      <w:pPr>
        <w:pStyle w:val="null3"/>
        <w:jc w:val="both"/>
      </w:pPr>
      <w:r>
        <w:rPr>
          <w:sz w:val="21"/>
        </w:rPr>
        <w:t>中标单位拖车服务的收费标准不能高于以下各类车型的拖车服务收费标准：</w:t>
      </w:r>
    </w:p>
    <w:tbl>
      <w:tblPr>
        <w:tblW w:w="0" w:type="auto"/>
        <w:tblBorders>
          <w:top w:val="none" w:color="000000" w:sz="4"/>
          <w:left w:val="none" w:color="000000" w:sz="4"/>
          <w:bottom w:val="none" w:color="000000" w:sz="4"/>
          <w:right w:val="none" w:color="000000" w:sz="4"/>
          <w:insideH w:val="none"/>
          <w:insideV w:val="none"/>
        </w:tblBorders>
      </w:tblPr>
      <w:tblGrid>
        <w:gridCol w:w="1040"/>
        <w:gridCol w:w="1542"/>
        <w:gridCol w:w="806"/>
        <w:gridCol w:w="806"/>
        <w:gridCol w:w="808"/>
        <w:gridCol w:w="3300"/>
      </w:tblGrid>
      <w:tr>
        <w:tc>
          <w:tcPr>
            <w:tcW w:type="dxa" w:w="1040"/>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车类</w:t>
            </w:r>
          </w:p>
        </w:tc>
        <w:tc>
          <w:tcPr>
            <w:tcW w:type="dxa" w:w="1542"/>
            <w:vMerge w:val="restart"/>
            <w:tcBorders>
              <w:top w:val="single" w:color="000000" w:sz="4"/>
              <w:left w:val="none" w:color="000000" w:sz="4"/>
              <w:bottom w:val="single" w:color="000000" w:sz="4"/>
              <w:right w:val="none" w:color="000000" w:sz="4"/>
            </w:tcBorders>
            <w:shd w:fill="FFFFFF"/>
            <w:tcMar>
              <w:top w:type="dxa" w:w="0"/>
              <w:left w:type="dxa" w:w="0"/>
              <w:bottom w:type="dxa" w:w="0"/>
              <w:right w:type="dxa" w:w="0"/>
            </w:tcMar>
            <w:vAlign w:val="top"/>
          </w:tcPr>
          <w:p>
            <w:pPr>
              <w:pStyle w:val="null3"/>
              <w:jc w:val="center"/>
            </w:pPr>
            <w:r>
              <w:rPr>
                <w:sz w:val="21"/>
              </w:rPr>
              <w:t>车辆类型</w:t>
            </w:r>
          </w:p>
        </w:tc>
        <w:tc>
          <w:tcPr>
            <w:tcW w:type="dxa" w:w="806"/>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基价（元</w:t>
            </w:r>
            <w:r>
              <w:rPr>
                <w:sz w:val="21"/>
              </w:rPr>
              <w:t>/车·次）</w:t>
            </w:r>
          </w:p>
        </w:tc>
        <w:tc>
          <w:tcPr>
            <w:tcW w:type="dxa" w:w="806"/>
            <w:vMerge w:val="restart"/>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加收标准（元</w:t>
            </w:r>
            <w:r>
              <w:rPr>
                <w:sz w:val="21"/>
              </w:rPr>
              <w:t>/车·公里）</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故障车拖车上限价</w:t>
            </w:r>
          </w:p>
        </w:tc>
        <w:tc>
          <w:tcPr>
            <w:tcW w:type="dxa" w:w="3300"/>
            <w:vMerge w:val="restart"/>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20"/>
              <w:jc w:val="center"/>
            </w:pPr>
            <w:r>
              <w:rPr>
                <w:sz w:val="21"/>
              </w:rPr>
              <w:t>备</w:t>
            </w:r>
            <w:r>
              <w:rPr>
                <w:sz w:val="21"/>
              </w:rPr>
              <w:t>注</w:t>
            </w:r>
          </w:p>
        </w:tc>
      </w:tr>
      <w:tr>
        <w:tc>
          <w:tcPr>
            <w:tcW w:type="dxa" w:w="1040"/>
            <w:vMerge/>
            <w:tcBorders>
              <w:top w:val="single" w:color="000000" w:sz="4"/>
              <w:left w:val="single" w:color="000000" w:sz="4"/>
              <w:bottom w:val="single" w:color="000000" w:sz="4"/>
              <w:right w:val="single" w:color="000000" w:sz="4"/>
            </w:tcBorders>
          </w:tcPr>
          <w:p/>
        </w:tc>
        <w:tc>
          <w:tcPr>
            <w:tcW w:type="dxa" w:w="1542"/>
            <w:vMerge/>
            <w:tcBorders>
              <w:top w:val="single" w:color="000000" w:sz="4"/>
              <w:left w:val="none" w:color="000000" w:sz="4"/>
              <w:bottom w:val="single" w:color="000000" w:sz="4"/>
              <w:right w:val="none" w:color="000000" w:sz="4"/>
            </w:tcBorders>
          </w:tcPr>
          <w:p/>
        </w:tc>
        <w:tc>
          <w:tcPr>
            <w:tcW w:type="dxa" w:w="806"/>
            <w:vMerge/>
            <w:tcBorders>
              <w:top w:val="single" w:color="000000" w:sz="4"/>
              <w:left w:val="single" w:color="000000" w:sz="4"/>
              <w:bottom w:val="single" w:color="000000" w:sz="4"/>
              <w:right w:val="single" w:color="000000" w:sz="4"/>
            </w:tcBorders>
          </w:tcPr>
          <w:p/>
        </w:tc>
        <w:tc>
          <w:tcPr>
            <w:tcW w:type="dxa" w:w="806"/>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3300"/>
            <w:vMerge/>
            <w:tcBorders>
              <w:top w:val="singl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一类车</w:t>
            </w:r>
          </w:p>
        </w:tc>
        <w:tc>
          <w:tcPr>
            <w:tcW w:type="dxa" w:w="15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7座以下（含7座）客车、2吨（含2吨）以下货车</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360</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10</w:t>
            </w:r>
          </w:p>
        </w:tc>
        <w:tc>
          <w:tcPr>
            <w:tcW w:type="dxa" w:w="80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670</w:t>
            </w:r>
          </w:p>
        </w:tc>
        <w:tc>
          <w:tcPr>
            <w:tcW w:type="dxa" w:w="3300"/>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1"/>
              </w:rPr>
              <w:t>1.救援方应事故、故障车辆车主(或驾驶员)要求赶到现场后因车主(或驾驶员)单方原因取消施救的，由于车主(或驾驶员)故意隐瞒实际装载吨位造成二次出动拖车的，按被拖车辆规定收费标准的50%收取拖车空驶费。</w:t>
            </w:r>
          </w:p>
          <w:p>
            <w:pPr>
              <w:pStyle w:val="null3"/>
              <w:jc w:val="both"/>
            </w:pPr>
            <w:r>
              <w:rPr>
                <w:sz w:val="21"/>
              </w:rPr>
              <w:t>2.能正常行驶的车辆，不得强制拖车并收费。在一次车辆救援服务过程中，出动一台拖车拖运两辆以上事故或故障车辆的，对每辆被拖车辆均只能按规定收费标准的80%收费。</w:t>
            </w:r>
          </w:p>
          <w:p>
            <w:pPr>
              <w:pStyle w:val="null3"/>
              <w:jc w:val="both"/>
            </w:pPr>
            <w:r>
              <w:rPr>
                <w:sz w:val="21"/>
              </w:rPr>
              <w:t>3.被拖货车凭行驶证核定的额定载质量（千克）进行分类；客车凭行驶证核定的座位数进行分类,其中卧铺客车每1铺位折合1.5个座位。</w:t>
            </w:r>
          </w:p>
          <w:p>
            <w:pPr>
              <w:pStyle w:val="null3"/>
              <w:jc w:val="both"/>
            </w:pPr>
            <w:r>
              <w:rPr>
                <w:sz w:val="21"/>
              </w:rPr>
              <w:t>4.冲入避险区的车辆，拖离避险区的服务费用由救援方和车主协商并以书面协议确定。</w:t>
            </w:r>
          </w:p>
          <w:p>
            <w:pPr>
              <w:pStyle w:val="null3"/>
              <w:jc w:val="both"/>
            </w:pPr>
            <w:r>
              <w:rPr>
                <w:sz w:val="21"/>
              </w:rPr>
              <w:t>5.对拖挂一体车辆，若呈连体状态可一体拖移的,按照高于主车一个车型分类标准计费；若只能分开拖移的，按两台车辆分别计费。未标明载重吨位的特种车辆按实际运载吨数对应车型的收费标准计费。</w:t>
            </w:r>
          </w:p>
          <w:p>
            <w:pPr>
              <w:pStyle w:val="null3"/>
              <w:jc w:val="both"/>
            </w:pPr>
            <w:r>
              <w:rPr>
                <w:sz w:val="21"/>
              </w:rPr>
              <w:t>6.拖车的车辆通行费由救援方负担；事故、故障车辆的车辆通行费由车主(或驾驶员)负担。</w:t>
            </w:r>
          </w:p>
          <w:p>
            <w:pPr>
              <w:pStyle w:val="null3"/>
              <w:jc w:val="both"/>
            </w:pPr>
            <w:r>
              <w:rPr>
                <w:sz w:val="21"/>
              </w:rPr>
              <w:t>7.对装运公安部门规定为运输易燃、易爆及危险品的事故、故障车辆，拖车费加收20%。</w:t>
            </w:r>
          </w:p>
        </w:tc>
      </w:tr>
      <w:tr>
        <w:tc>
          <w:tcPr>
            <w:tcW w:type="dxa" w:w="104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二类车</w:t>
            </w:r>
          </w:p>
        </w:tc>
        <w:tc>
          <w:tcPr>
            <w:tcW w:type="dxa" w:w="15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8座以上至19座（含19座）以下客车、2吨以上至5吨（含5吨）货车</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450</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13</w:t>
            </w:r>
          </w:p>
        </w:tc>
        <w:tc>
          <w:tcPr>
            <w:tcW w:type="dxa" w:w="80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825</w:t>
            </w:r>
          </w:p>
        </w:tc>
        <w:tc>
          <w:tcPr>
            <w:tcW w:type="dxa" w:w="330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三类车</w:t>
            </w:r>
          </w:p>
        </w:tc>
        <w:tc>
          <w:tcPr>
            <w:tcW w:type="dxa" w:w="15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20座以上至39座（含39座）以下客车、5吨以上至10吨（含10吨）货车</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540</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16</w:t>
            </w:r>
          </w:p>
        </w:tc>
        <w:tc>
          <w:tcPr>
            <w:tcW w:type="dxa" w:w="80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1000</w:t>
            </w:r>
          </w:p>
        </w:tc>
        <w:tc>
          <w:tcPr>
            <w:tcW w:type="dxa" w:w="3300"/>
            <w:vMerge/>
            <w:tcBorders>
              <w:top w:val="none" w:color="000000" w:sz="4"/>
              <w:left w:val="none" w:color="000000" w:sz="4"/>
              <w:bottom w:val="single" w:color="000000" w:sz="4"/>
              <w:right w:val="single" w:color="000000" w:sz="4"/>
            </w:tcBorders>
          </w:tcPr>
          <w:p/>
        </w:tc>
      </w:tr>
      <w:tr>
        <w:tc>
          <w:tcPr>
            <w:tcW w:type="dxa" w:w="104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四类车</w:t>
            </w:r>
          </w:p>
        </w:tc>
        <w:tc>
          <w:tcPr>
            <w:tcW w:type="dxa" w:w="15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40座（含40座）以上客车、10吨以上至15吨（含15吨）货车、20英尺集装箱车</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630</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19</w:t>
            </w:r>
          </w:p>
        </w:tc>
        <w:tc>
          <w:tcPr>
            <w:tcW w:type="dxa" w:w="80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1175</w:t>
            </w:r>
          </w:p>
        </w:tc>
        <w:tc>
          <w:tcPr>
            <w:tcW w:type="dxa" w:w="3300"/>
            <w:vMerge/>
            <w:tcBorders>
              <w:top w:val="none" w:color="000000" w:sz="4"/>
              <w:left w:val="none" w:color="000000" w:sz="4"/>
              <w:bottom w:val="single" w:color="000000" w:sz="4"/>
              <w:right w:val="single" w:color="000000" w:sz="4"/>
            </w:tcBorders>
          </w:tcPr>
          <w:p/>
        </w:tc>
      </w:tr>
      <w:tr>
        <w:tc>
          <w:tcPr>
            <w:tcW w:type="dxa" w:w="1040"/>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五类车</w:t>
            </w:r>
          </w:p>
        </w:tc>
        <w:tc>
          <w:tcPr>
            <w:tcW w:type="dxa" w:w="15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15吨以上至35吨（含35吨）货车、40英尺集装箱车</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720</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22</w:t>
            </w:r>
          </w:p>
        </w:tc>
        <w:tc>
          <w:tcPr>
            <w:tcW w:type="dxa" w:w="80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1350</w:t>
            </w:r>
          </w:p>
        </w:tc>
        <w:tc>
          <w:tcPr>
            <w:tcW w:type="dxa" w:w="3300"/>
            <w:vMerge/>
            <w:tcBorders>
              <w:top w:val="none" w:color="000000" w:sz="4"/>
              <w:left w:val="none" w:color="000000" w:sz="4"/>
              <w:bottom w:val="single" w:color="000000" w:sz="4"/>
              <w:right w:val="single" w:color="000000" w:sz="4"/>
            </w:tcBorders>
          </w:tcPr>
          <w:p/>
        </w:tc>
      </w:tr>
      <w:tr>
        <w:tc>
          <w:tcPr>
            <w:tcW w:type="dxa" w:w="1040"/>
            <w:vMerge/>
            <w:tcBorders>
              <w:top w:val="none" w:color="000000" w:sz="4"/>
              <w:left w:val="single" w:color="000000" w:sz="4"/>
              <w:bottom w:val="single" w:color="000000" w:sz="4"/>
              <w:right w:val="single" w:color="000000" w:sz="4"/>
            </w:tcBorders>
          </w:tcPr>
          <w:p/>
        </w:tc>
        <w:tc>
          <w:tcPr>
            <w:tcW w:type="dxa" w:w="15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35吨以上货车</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900</w:t>
            </w:r>
          </w:p>
        </w:tc>
        <w:tc>
          <w:tcPr>
            <w:tcW w:type="dxa" w:w="80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25</w:t>
            </w:r>
          </w:p>
        </w:tc>
        <w:tc>
          <w:tcPr>
            <w:tcW w:type="dxa" w:w="80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1525</w:t>
            </w:r>
          </w:p>
        </w:tc>
        <w:tc>
          <w:tcPr>
            <w:tcW w:type="dxa" w:w="3300"/>
            <w:vMerge/>
            <w:tcBorders>
              <w:top w:val="none" w:color="000000" w:sz="4"/>
              <w:left w:val="none" w:color="000000" w:sz="4"/>
              <w:bottom w:val="single" w:color="000000" w:sz="4"/>
              <w:right w:val="single" w:color="000000" w:sz="4"/>
            </w:tcBorders>
          </w:tcPr>
          <w:p/>
        </w:tc>
      </w:tr>
    </w:tbl>
    <w:p>
      <w:pPr>
        <w:pStyle w:val="null3"/>
        <w:jc w:val="both"/>
        <w:outlineLvl w:val="3"/>
      </w:pPr>
      <w:r>
        <w:rPr>
          <w:sz w:val="24"/>
          <w:b/>
        </w:rPr>
        <w:t>附件</w:t>
      </w:r>
      <w:r>
        <w:rPr>
          <w:sz w:val="24"/>
          <w:b/>
        </w:rPr>
        <w:t>2</w:t>
      </w:r>
      <w:r>
        <w:rPr>
          <w:sz w:val="24"/>
          <w:b/>
        </w:rPr>
        <w:t xml:space="preserve"> </w:t>
      </w:r>
      <w:r>
        <w:rPr>
          <w:sz w:val="24"/>
          <w:b/>
        </w:rPr>
        <w:t>：</w:t>
      </w:r>
      <w:r>
        <w:rPr>
          <w:sz w:val="24"/>
          <w:b/>
        </w:rPr>
        <w:t>广东省高速公路事故和故障车辆吊车服务收费标准表（含快速路）</w:t>
      </w:r>
    </w:p>
    <w:p>
      <w:pPr>
        <w:pStyle w:val="null3"/>
        <w:jc w:val="both"/>
      </w:pPr>
      <w:r>
        <w:rPr>
          <w:sz w:val="21"/>
        </w:rPr>
        <w:t>中标单位拖车服务的收费标准不能高于以下各类车型的拖车服务收费标准：</w:t>
      </w:r>
    </w:p>
    <w:tbl>
      <w:tblPr>
        <w:tblW w:w="0" w:type="auto"/>
        <w:tblBorders>
          <w:top w:val="none" w:color="000000" w:sz="4"/>
          <w:left w:val="none" w:color="000000" w:sz="4"/>
          <w:bottom w:val="none" w:color="000000" w:sz="4"/>
          <w:right w:val="none" w:color="000000" w:sz="4"/>
          <w:insideH w:val="none"/>
          <w:insideV w:val="none"/>
        </w:tblBorders>
      </w:tblPr>
      <w:tblGrid>
        <w:gridCol w:w="1025"/>
        <w:gridCol w:w="2163"/>
        <w:gridCol w:w="1321"/>
        <w:gridCol w:w="3794"/>
      </w:tblGrid>
      <w:tr>
        <w:tc>
          <w:tcPr>
            <w:tcW w:type="dxa" w:w="10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车</w:t>
            </w:r>
            <w:r>
              <w:rPr>
                <w:sz w:val="21"/>
              </w:rPr>
              <w:t>类</w:t>
            </w:r>
          </w:p>
        </w:tc>
        <w:tc>
          <w:tcPr>
            <w:tcW w:type="dxa" w:w="2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车辆类型</w:t>
            </w:r>
          </w:p>
        </w:tc>
        <w:tc>
          <w:tcPr>
            <w:tcW w:type="dxa" w:w="132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收费标准（元</w:t>
            </w:r>
            <w:r>
              <w:rPr>
                <w:sz w:val="21"/>
              </w:rPr>
              <w:t>/车·次）</w:t>
            </w:r>
          </w:p>
        </w:tc>
        <w:tc>
          <w:tcPr>
            <w:tcW w:type="dxa" w:w="37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备</w:t>
            </w:r>
            <w:r>
              <w:rPr>
                <w:sz w:val="21"/>
              </w:rPr>
              <w:t>注</w:t>
            </w:r>
          </w:p>
        </w:tc>
      </w:tr>
      <w:tr>
        <w:tc>
          <w:tcPr>
            <w:tcW w:type="dxa" w:w="10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一类车</w:t>
            </w:r>
          </w:p>
        </w:tc>
        <w:tc>
          <w:tcPr>
            <w:tcW w:type="dxa" w:w="2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7座以下（含7座）客车、2吨（含2吨）以下货车</w:t>
            </w:r>
          </w:p>
        </w:tc>
        <w:tc>
          <w:tcPr>
            <w:tcW w:type="dxa" w:w="1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900</w:t>
            </w:r>
          </w:p>
        </w:tc>
        <w:tc>
          <w:tcPr>
            <w:tcW w:type="dxa" w:w="379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1.吊车服务包括在事故或故障现场将被吊车辆吊运至拖车以及将被吊车辆从拖车吊运至卸载场地两个环节，仅完成一个环节的，按规定标准的70%收费。</w:t>
            </w:r>
          </w:p>
          <w:p>
            <w:pPr>
              <w:pStyle w:val="null3"/>
              <w:jc w:val="both"/>
            </w:pPr>
            <w:r>
              <w:rPr>
                <w:sz w:val="21"/>
              </w:rPr>
              <w:t>2.拖吊一体的救援车辆，未使用拖车的不得收取拖车费，未使用吊车的不得收取吊车费，拖、吊同时使用的，拖车按规定标准收费，吊车按规定标准的70%收费。</w:t>
            </w:r>
          </w:p>
          <w:p>
            <w:pPr>
              <w:pStyle w:val="null3"/>
              <w:jc w:val="both"/>
            </w:pPr>
            <w:r>
              <w:rPr>
                <w:sz w:val="21"/>
              </w:rPr>
              <w:t>3.在一次车辆救援服务过程中，出动一台吊车吊运两辆以上事故或故障车辆，对每台被吊车辆均只能按规定标准的80%收费。被吊车辆超过1台吊车施救能力，经公安交警确认必须使用两台吊车配合施救的，吊车总费用不得超过被吊车辆规定标准的180%。</w:t>
            </w:r>
          </w:p>
          <w:p>
            <w:pPr>
              <w:pStyle w:val="null3"/>
              <w:jc w:val="both"/>
            </w:pPr>
            <w:r>
              <w:rPr>
                <w:sz w:val="21"/>
              </w:rPr>
              <w:t xml:space="preserve"> 4.由于车主故意隐瞒实际装载吨位，造成二次出动吊车的，按被吊车辆规定标准的30%收取空驶费。</w:t>
            </w:r>
          </w:p>
          <w:p>
            <w:pPr>
              <w:pStyle w:val="null3"/>
              <w:jc w:val="both"/>
            </w:pPr>
            <w:r>
              <w:rPr>
                <w:sz w:val="21"/>
              </w:rPr>
              <w:t>5.被吊货车凭行驶证核定的额定载质量（千克）进行分类；客车凭行驶证核定的座位数进行分类,其中卧铺客车每1铺位折合1.5个座位。</w:t>
            </w:r>
          </w:p>
          <w:p>
            <w:pPr>
              <w:pStyle w:val="null3"/>
              <w:jc w:val="both"/>
            </w:pPr>
            <w:r>
              <w:rPr>
                <w:sz w:val="21"/>
              </w:rPr>
              <w:t>6.对拖挂一体车辆，按照高于主车一个车型分类标准计费。未标明载重吨位的特种车辆按实际运载吨数对应车型的收费标准计费。</w:t>
            </w:r>
          </w:p>
          <w:p>
            <w:pPr>
              <w:pStyle w:val="null3"/>
              <w:jc w:val="both"/>
            </w:pPr>
            <w:r>
              <w:rPr>
                <w:sz w:val="21"/>
              </w:rPr>
              <w:t>7.吊车的车辆通行费由救援方负担。</w:t>
            </w:r>
          </w:p>
          <w:p>
            <w:pPr>
              <w:pStyle w:val="null3"/>
              <w:jc w:val="both"/>
            </w:pPr>
            <w:r>
              <w:rPr>
                <w:sz w:val="21"/>
              </w:rPr>
              <w:t>8.对装运公安部门规定为运输易燃、易爆及危险品的事故、故障车辆，吊车费加收20%。</w:t>
            </w:r>
          </w:p>
        </w:tc>
      </w:tr>
      <w:tr>
        <w:tc>
          <w:tcPr>
            <w:tcW w:type="dxa" w:w="10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二类车</w:t>
            </w:r>
          </w:p>
        </w:tc>
        <w:tc>
          <w:tcPr>
            <w:tcW w:type="dxa" w:w="2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8座以上至19座（含19座）以下客车、2吨以上至5吨（含5吨）货车</w:t>
            </w:r>
          </w:p>
        </w:tc>
        <w:tc>
          <w:tcPr>
            <w:tcW w:type="dxa" w:w="1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1400</w:t>
            </w:r>
          </w:p>
        </w:tc>
        <w:tc>
          <w:tcPr>
            <w:tcW w:type="dxa" w:w="3794"/>
            <w:vMerge/>
            <w:tcBorders>
              <w:top w:val="none" w:color="000000" w:sz="4"/>
              <w:left w:val="none" w:color="000000" w:sz="4"/>
              <w:bottom w:val="single" w:color="000000" w:sz="4"/>
              <w:right w:val="single" w:color="000000" w:sz="4"/>
            </w:tcBorders>
          </w:tcPr>
          <w:p/>
        </w:tc>
      </w:tr>
      <w:tr>
        <w:tc>
          <w:tcPr>
            <w:tcW w:type="dxa" w:w="10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三类车</w:t>
            </w:r>
          </w:p>
        </w:tc>
        <w:tc>
          <w:tcPr>
            <w:tcW w:type="dxa" w:w="2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20座以上至39座（含39座）以下客车、5吨以上至10吨（含10吨）货车</w:t>
            </w:r>
          </w:p>
        </w:tc>
        <w:tc>
          <w:tcPr>
            <w:tcW w:type="dxa" w:w="1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1800</w:t>
            </w:r>
          </w:p>
        </w:tc>
        <w:tc>
          <w:tcPr>
            <w:tcW w:type="dxa" w:w="3794"/>
            <w:vMerge/>
            <w:tcBorders>
              <w:top w:val="none" w:color="000000" w:sz="4"/>
              <w:left w:val="none" w:color="000000" w:sz="4"/>
              <w:bottom w:val="single" w:color="000000" w:sz="4"/>
              <w:right w:val="single" w:color="000000" w:sz="4"/>
            </w:tcBorders>
          </w:tcPr>
          <w:p/>
        </w:tc>
      </w:tr>
      <w:tr>
        <w:tc>
          <w:tcPr>
            <w:tcW w:type="dxa" w:w="10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四类车</w:t>
            </w:r>
          </w:p>
        </w:tc>
        <w:tc>
          <w:tcPr>
            <w:tcW w:type="dxa" w:w="2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40座（含40座）以上客车、10吨以上至15吨（含15吨）货车、20英尺集装箱车</w:t>
            </w:r>
          </w:p>
        </w:tc>
        <w:tc>
          <w:tcPr>
            <w:tcW w:type="dxa" w:w="1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2500</w:t>
            </w:r>
          </w:p>
        </w:tc>
        <w:tc>
          <w:tcPr>
            <w:tcW w:type="dxa" w:w="3794"/>
            <w:vMerge/>
            <w:tcBorders>
              <w:top w:val="none" w:color="000000" w:sz="4"/>
              <w:left w:val="none" w:color="000000" w:sz="4"/>
              <w:bottom w:val="single" w:color="000000" w:sz="4"/>
              <w:right w:val="single" w:color="000000" w:sz="4"/>
            </w:tcBorders>
          </w:tcPr>
          <w:p/>
        </w:tc>
      </w:tr>
      <w:tr>
        <w:tc>
          <w:tcPr>
            <w:tcW w:type="dxa" w:w="102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五类车</w:t>
            </w:r>
          </w:p>
        </w:tc>
        <w:tc>
          <w:tcPr>
            <w:tcW w:type="dxa" w:w="2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15吨以上至35吨（含35吨）货车、40英尺集装箱车</w:t>
            </w:r>
          </w:p>
        </w:tc>
        <w:tc>
          <w:tcPr>
            <w:tcW w:type="dxa" w:w="1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3000</w:t>
            </w:r>
          </w:p>
        </w:tc>
        <w:tc>
          <w:tcPr>
            <w:tcW w:type="dxa" w:w="3794"/>
            <w:vMerge/>
            <w:tcBorders>
              <w:top w:val="none" w:color="000000" w:sz="4"/>
              <w:left w:val="none" w:color="000000" w:sz="4"/>
              <w:bottom w:val="single" w:color="000000" w:sz="4"/>
              <w:right w:val="single" w:color="000000" w:sz="4"/>
            </w:tcBorders>
          </w:tcPr>
          <w:p/>
        </w:tc>
      </w:tr>
      <w:tr>
        <w:tc>
          <w:tcPr>
            <w:tcW w:type="dxa" w:w="1025"/>
            <w:vMerge/>
            <w:tcBorders>
              <w:top w:val="none" w:color="000000" w:sz="4"/>
              <w:left w:val="single" w:color="000000" w:sz="4"/>
              <w:bottom w:val="single" w:color="000000" w:sz="4"/>
              <w:right w:val="single" w:color="000000" w:sz="4"/>
            </w:tcBorders>
          </w:tcPr>
          <w:p/>
        </w:tc>
        <w:tc>
          <w:tcPr>
            <w:tcW w:type="dxa" w:w="2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35吨以上货车</w:t>
            </w:r>
          </w:p>
        </w:tc>
        <w:tc>
          <w:tcPr>
            <w:tcW w:type="dxa" w:w="1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4000</w:t>
            </w:r>
          </w:p>
        </w:tc>
        <w:tc>
          <w:tcPr>
            <w:tcW w:type="dxa" w:w="3794"/>
            <w:vMerge/>
            <w:tcBorders>
              <w:top w:val="none" w:color="000000" w:sz="4"/>
              <w:left w:val="none" w:color="000000" w:sz="4"/>
              <w:bottom w:val="single" w:color="000000" w:sz="4"/>
              <w:right w:val="single" w:color="000000" w:sz="4"/>
            </w:tcBorders>
          </w:tcPr>
          <w:p/>
        </w:tc>
      </w:tr>
    </w:tbl>
    <w:p>
      <w:pPr>
        <w:pStyle w:val="null3"/>
        <w:ind w:firstLine="420"/>
        <w:jc w:val="left"/>
      </w:pPr>
      <w:r>
        <w:rPr/>
        <w:t>采购包1（东莞市公安局交通管理支队横沥大队采购拖车服务项目）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合同生效之日起2年。（具体以合同签订时间为准）。</w:t>
            </w:r>
          </w:p>
        </w:tc>
      </w:tr>
      <w:tr>
        <w:tc>
          <w:tcPr>
            <w:tcW w:type="dxa" w:w="4153"/>
          </w:tcPr>
          <w:p>
            <w:pPr>
              <w:pStyle w:val="null3"/>
            </w:pPr>
            <w:r>
              <w:rPr/>
              <w:t>标的提供的地点</w:t>
            </w:r>
          </w:p>
        </w:tc>
        <w:tc>
          <w:tcPr>
            <w:tcW w:type="dxa" w:w="4153"/>
          </w:tcPr>
          <w:p>
            <w:pPr>
              <w:pStyle w:val="null3"/>
            </w:pPr>
            <w:r>
              <w:rPr/>
              <w:t>东莞市横沥镇或采购人指定地点（如有变化另行确定）。</w:t>
            </w:r>
          </w:p>
        </w:tc>
      </w:tr>
      <w:tr>
        <w:tc>
          <w:tcPr>
            <w:tcW w:type="dxa" w:w="4153"/>
          </w:tcPr>
          <w:p>
            <w:pPr>
              <w:pStyle w:val="null3"/>
            </w:pPr>
            <w:r>
              <w:rPr/>
              <w:t>付款方式</w:t>
            </w:r>
          </w:p>
        </w:tc>
        <w:tc>
          <w:tcPr>
            <w:tcW w:type="dxa" w:w="4153"/>
          </w:tcPr>
          <w:p>
            <w:pPr>
              <w:pStyle w:val="null3"/>
            </w:pPr>
            <w:r>
              <w:rPr/>
              <w:t>1期：支付比例100%,1、按月支付，根据上个月实际发生的拖车数量、拖车里程按实际结算金额向中标人支付。 2、中标人应在采购人办理审核通过手续并接到相关通知后3个工作日内提供等额的增值税专用发票给采购人，以便采购人及时办理支付手续。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1期：按国家及相关行业标准进行验收。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（1）★投标人必须以折扣率方式进行报价，0＜投标折扣率＜100%； （2）拖车服务费参照《东莞市物价管理部门收费标准》及《广东省高速公路事故和故障车辆吊车服务收费标准表（含快速路）》进行折扣。 （详见附件1和附件2） （3）投标人的投标报价包括完成合同所需的一切本身和不可或缺的所有工作开支、政策性文件规定及合同包含的所有风险、责任等各项全部费用并承担一切风险责任。 （4）中标价在合同实施期间不作调整，中标人不得以任何理由予以变更，除非采购人提出的服务要求变更。 （5）投标人的报价不仅应包括招标文件提供的技术条款中所标明的，还应包括任何未明确标出的拖车服务所必须的全部费用。投标人按要求应列入而未列入服务的项目，均认为已含在其报价中。 二、投标人应充分结合本招标文件上下文了解项目招标需求、采购文件未尽事宜，将在合同签订或项目执行过程中双方协商确定，供应商须无条件满足采购单位的合理要求。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东莞市公安局交通管理支队横沥大队采购拖车服务项目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东莞市公安局交通管理支队横沥大队采购拖车服务项目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东莞市公安局横沥分局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杨先生</w:t>
      </w:r>
    </w:p>
    <w:p>
      <w:pPr>
        <w:pStyle w:val="null3"/>
        <w:ind w:firstLine="480"/>
      </w:pPr>
      <w:r>
        <w:rPr/>
        <w:t>电话：</w:t>
      </w:r>
      <w:r>
        <w:rPr/>
        <w:t>0769-22881803</w:t>
      </w:r>
    </w:p>
    <w:p>
      <w:pPr>
        <w:pStyle w:val="null3"/>
        <w:ind w:firstLine="480"/>
      </w:pPr>
      <w:r>
        <w:rPr/>
        <w:t>传真：</w:t>
      </w:r>
      <w:r>
        <w:rPr/>
        <w:t>/</w:t>
      </w:r>
    </w:p>
    <w:p>
      <w:pPr>
        <w:pStyle w:val="null3"/>
        <w:ind w:firstLine="480"/>
      </w:pPr>
      <w:r>
        <w:rPr/>
        <w:t>邮箱：</w:t>
      </w:r>
      <w:r>
        <w:rPr/>
        <w:t>471539976@qq.com</w:t>
      </w:r>
    </w:p>
    <w:p>
      <w:pPr>
        <w:pStyle w:val="null3"/>
        <w:ind w:firstLine="480"/>
      </w:pPr>
      <w:r>
        <w:rPr/>
        <w:t>地址：</w:t>
      </w:r>
      <w:r>
        <w:rPr/>
        <w:t>东莞市南城街道鸿福西路81号国际商会大厦13A层01室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公安局交通管理支队横沥大队采购拖车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采购包1（东莞市公安局交通管理支队横沥大队采购拖车服务项目）：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采购包1（东莞市公安局交通管理支队横沥大队采购拖车服务项目）：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供应商须符合本项目采购标的对应行业（本项目行业为：租赁和商务服务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采购包1（东莞市公安局交通管理支队横沥大队采购拖车服务项目）：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采购包1(东莞市公安局交通管理支队横沥大队采购拖车服务项目):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p>
        </w:tc>
        <w:tc>
          <w:tcPr>
            <w:tcW w:type="dxa" w:w="5076"/>
          </w:tcPr>
          <w:p>
            <w:pPr>
              <w:pStyle w:val="null3"/>
              <w:jc w:val="left"/>
            </w:pPr>
            <w:r>
              <w:rPr/>
              <w:t>根据投标人提供的总体服务方案进行综合评审（包括但不限于日常管理、门卫安排、车辆进出场交接和安排等）： （1）总体服务方案科学具体、可行性高、方案全面周到并优于采购需求的得15分； （2）总体服务方案比较具体、可行性一般、方案基本满足采购需求的得10分； （3）总体服务方案一般、可行性一般、方案基本满足采购需求的得5分； （4）总体服务方案简单、可行性差，方案不能满足采购需求的得1分； （5）未提供相关方案的不得分。</w:t>
            </w:r>
          </w:p>
        </w:tc>
      </w:tr>
      <w:tr>
        <w:tc>
          <w:tcPr>
            <w:tcW w:type="dxa" w:w="922"/>
            <w:gridSpan w:val="2"/>
            <w:vMerge/>
          </w:tcPr>
          <w:p/>
        </w:tc>
        <w:tc>
          <w:tcPr>
            <w:tcW w:type="dxa" w:w="2307"/>
          </w:tcPr>
          <w:p>
            <w:pPr>
              <w:pStyle w:val="null3"/>
              <w:jc w:val="left"/>
            </w:pPr>
            <w:r>
              <w:rPr/>
              <w:t>质量保证措施方案 (12.0分)</w:t>
            </w:r>
          </w:p>
        </w:tc>
        <w:tc>
          <w:tcPr>
            <w:tcW w:type="dxa" w:w="5076"/>
          </w:tcPr>
          <w:p>
            <w:pPr>
              <w:pStyle w:val="null3"/>
              <w:jc w:val="left"/>
            </w:pPr>
            <w:r>
              <w:rPr/>
              <w:t>根据投标人提供的质量保证措施进行综合评审（包括但不限于停车场管理、人员执行能力、场地运转、拖车服务、车辆保管和处置等情况）： （1）质量保证措施详细完整、可操作性强，得12分； （2）质量保证措施较完整、可操作性较强，得8分； （3）质量保证措施基本完整、可操作性一般，得4分； （4）质量保证措施简单、可操作性差，得1分； （5）未提供相关方案的不得分。</w:t>
            </w:r>
          </w:p>
        </w:tc>
      </w:tr>
      <w:tr>
        <w:tc>
          <w:tcPr>
            <w:tcW w:type="dxa" w:w="922"/>
            <w:gridSpan w:val="2"/>
            <w:vMerge/>
          </w:tcPr>
          <w:p/>
        </w:tc>
        <w:tc>
          <w:tcPr>
            <w:tcW w:type="dxa" w:w="2307"/>
          </w:tcPr>
          <w:p>
            <w:pPr>
              <w:pStyle w:val="null3"/>
              <w:jc w:val="left"/>
            </w:pPr>
            <w:r>
              <w:rPr/>
              <w:t>管理制度方案 (12.0分)</w:t>
            </w:r>
          </w:p>
        </w:tc>
        <w:tc>
          <w:tcPr>
            <w:tcW w:type="dxa" w:w="5076"/>
          </w:tcPr>
          <w:p>
            <w:pPr>
              <w:pStyle w:val="null3"/>
              <w:jc w:val="left"/>
            </w:pPr>
            <w:r>
              <w:rPr/>
              <w:t>根据投标人提供的管理制度进行综合评审（包括但不限于规章管理制度、档案管理制度、项目管理架构等）： （1）规章管理制度、档案管理健全完善，项目管理架构完善、具体、合理，得12分； （2）规章管理制度、档案管理比较具体详尽，项目管理架构较为合理，得8分； （3）规章管理制度、档案管理基本完善，项目管理架构基本合理，得4分； （4）规章管理制度、档案管理不完善、及项目管理架构不合理，得1分； （5）未提供相关方案的不得分。</w:t>
            </w:r>
          </w:p>
        </w:tc>
      </w:tr>
      <w:tr>
        <w:tc>
          <w:tcPr>
            <w:tcW w:type="dxa" w:w="922"/>
            <w:gridSpan w:val="2"/>
            <w:vMerge/>
          </w:tcPr>
          <w:p/>
        </w:tc>
        <w:tc>
          <w:tcPr>
            <w:tcW w:type="dxa" w:w="2307"/>
          </w:tcPr>
          <w:p>
            <w:pPr>
              <w:pStyle w:val="null3"/>
              <w:jc w:val="left"/>
            </w:pPr>
            <w:r>
              <w:rPr/>
              <w:t>应急措施预案 (12.0分)</w:t>
            </w:r>
          </w:p>
        </w:tc>
        <w:tc>
          <w:tcPr>
            <w:tcW w:type="dxa" w:w="5076"/>
          </w:tcPr>
          <w:p>
            <w:pPr>
              <w:pStyle w:val="null3"/>
              <w:jc w:val="left"/>
            </w:pPr>
            <w:r>
              <w:rPr/>
              <w:t>根据投标人提供针对火灾、事故、设备故障、突发事件等可能影响停车场安全和正常运营的情况，制定有针对性和可操作性的应急措施预案进行综合评审（包括但不限于应急响应流程、人员职责分工、救援设备和物资清单以及与相关部门的联动机制）： （1）应急措施预案全面完善、针对性及可操作性强，得12分； （2）应急措施预案较完善、针对性及可操作性较强，得8分； （3）应急措施预案基本完善、针对性及可操作性一般，得4分； （4）应急措施预案不完善、针对性及可操作性差，得1分； （5）未提供相关方案的不得分。</w:t>
            </w:r>
          </w:p>
        </w:tc>
      </w:tr>
      <w:tr>
        <w:tc>
          <w:tcPr>
            <w:tcW w:type="dxa" w:w="922"/>
            <w:gridSpan w:val="2"/>
            <w:vMerge/>
          </w:tcPr>
          <w:p/>
        </w:tc>
        <w:tc>
          <w:tcPr>
            <w:tcW w:type="dxa" w:w="2307"/>
          </w:tcPr>
          <w:p>
            <w:pPr>
              <w:pStyle w:val="null3"/>
              <w:jc w:val="left"/>
            </w:pPr>
            <w:r>
              <w:rPr/>
              <w:t>岗位人员配备方案 (9.0分)</w:t>
            </w:r>
          </w:p>
        </w:tc>
        <w:tc>
          <w:tcPr>
            <w:tcW w:type="dxa" w:w="5076"/>
          </w:tcPr>
          <w:p>
            <w:pPr>
              <w:pStyle w:val="null3"/>
              <w:jc w:val="left"/>
            </w:pPr>
            <w:r>
              <w:rPr/>
              <w:t>根据投标人提供的岗位人员配备方案进行评审（包括但不限于各岗位人员数量配备、经验、服务时间安排，岗位职责分工等）： （1）岗位人员数量优于项目需求，经验丰富，服务时间安排科学合理，岗位职责分工明确，得9分； （2）岗位人员数量符合项目需求，有一定经验，服务时间安排合理，岗位职责分工基本明确，得5分； （3）岗位人员数量勉强满足项目需求，几乎没有经验，服务时间安排不合理，岗位职责分工比较笼统模糊，得1分； （4）未提供相关方案的不得分。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(12.0分)</w:t>
            </w:r>
          </w:p>
        </w:tc>
        <w:tc>
          <w:tcPr>
            <w:tcW w:type="dxa" w:w="5076"/>
          </w:tcPr>
          <w:p>
            <w:pPr>
              <w:pStyle w:val="null3"/>
              <w:jc w:val="left"/>
            </w:pPr>
            <w:r>
              <w:rPr/>
              <w:t>投标人具有由国家认监委批准设立的认证机构颁发并在有效期内的质量管理体系认证、环境管理体系认证、职业健康安全管理体系认证，每个得4分，最高得12分。 注：须提供有效认证证书复印件以及在全国认证认可信息公共服务平台（http://cx.cnca.cn/）的有效查询记录截图，所有材料须加盖投标人公章；处于失效、撤销或暂停状态的认证证书，对应项不得分；投标人因成立时长不足暂未取得对应认证证书的，提供书面说明后可获得对应认证证书分值；未按上述要求提供证明材料的，不得分。</w:t>
            </w:r>
          </w:p>
        </w:tc>
      </w:tr>
      <w:tr>
        <w:tc>
          <w:tcPr>
            <w:tcW w:type="dxa" w:w="922"/>
            <w:gridSpan w:val="2"/>
            <w:vMerge/>
          </w:tcPr>
          <w:p/>
        </w:tc>
        <w:tc>
          <w:tcPr>
            <w:tcW w:type="dxa" w:w="2307"/>
          </w:tcPr>
          <w:p>
            <w:pPr>
              <w:pStyle w:val="null3"/>
              <w:jc w:val="left"/>
            </w:pPr>
            <w:r>
              <w:rPr/>
              <w:t>业绩 (8.0分)</w:t>
            </w:r>
          </w:p>
        </w:tc>
        <w:tc>
          <w:tcPr>
            <w:tcW w:type="dxa" w:w="5076"/>
          </w:tcPr>
          <w:p>
            <w:pPr>
              <w:pStyle w:val="null3"/>
              <w:jc w:val="left"/>
            </w:pPr>
            <w:r>
              <w:rPr/>
              <w:t>投标人具有拖车服务类项目业绩，每提供一个业绩得2分，最高得8分。 注：须提供合同复印件加盖投标人公章，不符合以上要求不得分。</w:t>
            </w:r>
          </w:p>
        </w:tc>
      </w:tr>
      <w:tr>
        <w:tc>
          <w:tcPr>
            <w:tcW w:type="dxa" w:w="922"/>
            <w:gridSpan w:val="2"/>
            <w:vMerge/>
          </w:tcPr>
          <w:p/>
        </w:tc>
        <w:tc>
          <w:tcPr>
            <w:tcW w:type="dxa" w:w="2307"/>
          </w:tcPr>
          <w:p>
            <w:pPr>
              <w:pStyle w:val="null3"/>
              <w:jc w:val="left"/>
            </w:pPr>
            <w:r>
              <w:rPr/>
              <w:t>车辆要求 (10.0分)</w:t>
            </w:r>
          </w:p>
        </w:tc>
        <w:tc>
          <w:tcPr>
            <w:tcW w:type="dxa" w:w="5076"/>
          </w:tcPr>
          <w:p>
            <w:pPr>
              <w:pStyle w:val="null3"/>
              <w:jc w:val="left"/>
            </w:pPr>
            <w:r>
              <w:rPr/>
              <w:t>根据投标人拟投入本项目车辆进行评审： 1、投标人提供12吨（或以上）的重型非载货专项作业车（救援随车吊）的，每提供一台得1分，最高得2分； 2、投标人提供25吨（或以上）的重型非载货专项作业车（拖吊一体救援专用重型车）的，每提供一台得1分，最高得1分； 3、投标人提供19吨（或以上）的重型非载货专项作业车的，每提供一台得1分，最高2分； 4、投标人提供7吨（或以上）的中型非载货专项作业车（平板拖）的，每提供一台得1分，最高得5分。 注：（1）如投标人自有车辆：须提供车辆购置发票（或车辆登记证书）及车辆行驶证复印件加盖投标人公章，不符合以上要求的不得分；（2）如投标人租赁车辆：须提供租赁合同（租赁期不少于项目的服务期）及车辆行驶证复印件加盖投标人公章，不符合以上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42"/>
          <w:b/>
        </w:rPr>
        <w:t>广东省政府采购</w:t>
      </w:r>
    </w:p>
    <w:p>
      <w:pPr>
        <w:pStyle w:val="null3"/>
        <w:spacing w:before="150" w:after="150"/>
        <w:ind w:left="0" w:right="0"/>
        <w:jc w:val="both"/>
      </w:pPr>
      <w:r>
        <w:rPr>
          <w:sz w:val="42"/>
          <w:color w:val="222222"/>
        </w:rPr>
        <w:t xml:space="preserve"> </w:t>
      </w:r>
    </w:p>
    <w:p>
      <w:pPr>
        <w:pStyle w:val="null3"/>
        <w:spacing w:before="0" w:after="0"/>
        <w:ind w:left="0" w:right="0"/>
        <w:jc w:val="center"/>
      </w:pPr>
      <w:r>
        <w:rPr>
          <w:sz w:val="42"/>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1"/>
        </w:rPr>
        <w:t xml:space="preserve"> </w:t>
      </w:r>
    </w:p>
    <w:p>
      <w:pPr>
        <w:pStyle w:val="null3"/>
      </w:pPr>
      <w:r>
        <w:rPr>
          <w:sz w:val="24"/>
        </w:rPr>
        <w:t>甲方：</w:t>
      </w:r>
      <w:r>
        <w:rPr>
          <w:sz w:val="24"/>
          <w:u w:val="single"/>
        </w:rPr>
        <w:t xml:space="preserve"> 　　　　　   </w:t>
      </w:r>
    </w:p>
    <w:p>
      <w:pPr>
        <w:pStyle w:val="null3"/>
      </w:pPr>
      <w:r>
        <w:rPr>
          <w:sz w:val="24"/>
        </w:rPr>
        <w:t>电话：</w:t>
      </w:r>
      <w:r>
        <w:rPr>
          <w:sz w:val="24"/>
          <w:u w:val="single"/>
        </w:rPr>
        <w:t xml:space="preserve"> 　　　　   </w:t>
      </w:r>
      <w:r>
        <w:rPr>
          <w:sz w:val="24"/>
        </w:rPr>
        <w:t>传真 ：</w:t>
      </w:r>
      <w:r>
        <w:rPr>
          <w:sz w:val="24"/>
          <w:u w:val="single"/>
        </w:rPr>
        <w:t xml:space="preserve"> 　　　  </w:t>
      </w:r>
      <w:r>
        <w:rPr>
          <w:sz w:val="24"/>
        </w:rPr>
        <w:t xml:space="preserve"> 地址：</w:t>
      </w:r>
      <w:r>
        <w:rPr>
          <w:sz w:val="24"/>
          <w:u w:val="single"/>
        </w:rPr>
        <w:t xml:space="preserve"> 　　　     </w:t>
      </w:r>
    </w:p>
    <w:p>
      <w:pPr>
        <w:pStyle w:val="null3"/>
      </w:pPr>
      <w:r>
        <w:rPr>
          <w:sz w:val="24"/>
        </w:rPr>
        <w:t>乙方：</w:t>
      </w:r>
      <w:r>
        <w:rPr>
          <w:sz w:val="24"/>
          <w:u w:val="single"/>
        </w:rPr>
        <w:t xml:space="preserve"> 　　　　　   </w:t>
      </w:r>
    </w:p>
    <w:p>
      <w:pPr>
        <w:pStyle w:val="null3"/>
      </w:pPr>
      <w:r>
        <w:rPr>
          <w:sz w:val="24"/>
        </w:rPr>
        <w:t>电话：</w:t>
      </w:r>
      <w:r>
        <w:rPr>
          <w:sz w:val="24"/>
          <w:u w:val="single"/>
        </w:rPr>
        <w:t xml:space="preserve"> 　　　　    </w:t>
      </w:r>
      <w:r>
        <w:rPr>
          <w:sz w:val="24"/>
        </w:rPr>
        <w:t>传真：</w:t>
      </w:r>
      <w:r>
        <w:rPr>
          <w:sz w:val="24"/>
          <w:u w:val="single"/>
        </w:rPr>
        <w:t xml:space="preserve">　　　     </w:t>
      </w:r>
      <w:r>
        <w:rPr>
          <w:sz w:val="24"/>
        </w:rPr>
        <w:t>地址：</w:t>
      </w:r>
      <w:r>
        <w:rPr>
          <w:sz w:val="24"/>
          <w:u w:val="single"/>
        </w:rPr>
        <w:t xml:space="preserve"> 　　　    </w:t>
      </w:r>
    </w:p>
    <w:p>
      <w:pPr>
        <w:pStyle w:val="null3"/>
        <w:spacing w:before="150" w:after="150"/>
        <w:ind w:left="0" w:right="0"/>
        <w:jc w:val="both"/>
      </w:pPr>
      <w:r>
        <w:rPr>
          <w:sz w:val="24"/>
          <w:color w:val="222222"/>
        </w:rPr>
        <w:t xml:space="preserve"> </w:t>
      </w:r>
    </w:p>
    <w:p>
      <w:pPr>
        <w:pStyle w:val="null3"/>
        <w:spacing w:before="0" w:after="0"/>
        <w:ind w:left="0" w:right="0"/>
        <w:jc w:val="both"/>
      </w:pPr>
      <w:r>
        <w:rPr>
          <w:sz w:val="24"/>
        </w:rPr>
        <w:t xml:space="preserve">  根据</w:t>
      </w:r>
      <w:r>
        <w:rPr>
          <w:sz w:val="24"/>
          <w:u w:val="single"/>
        </w:rPr>
        <w:t xml:space="preserve">          </w:t>
      </w:r>
      <w:r>
        <w:rPr>
          <w:sz w:val="24"/>
        </w:rPr>
        <w:t>项目的采购结果，按照《中华人民共和国政府采购法》，《中华人民共和国民法典(合同编)》的规定，经双方协商，本着平等互利和诚实信用的原则，一致同意遵守本合同如下。</w:t>
      </w:r>
    </w:p>
    <w:p>
      <w:pPr>
        <w:pStyle w:val="null3"/>
        <w:jc w:val="both"/>
      </w:pPr>
      <w:r>
        <w:rPr>
          <w:sz w:val="24"/>
        </w:rPr>
        <w:t>一、合同金额</w:t>
      </w:r>
    </w:p>
    <w:p>
      <w:pPr>
        <w:pStyle w:val="null3"/>
        <w:jc w:val="both"/>
      </w:pPr>
      <w:r>
        <w:rPr>
          <w:sz w:val="24"/>
        </w:rPr>
        <w:t>　　合同金额为（大写）：_____________元（￥_________元）人民币。</w:t>
      </w:r>
    </w:p>
    <w:p>
      <w:pPr>
        <w:pStyle w:val="null3"/>
        <w:jc w:val="both"/>
      </w:pPr>
      <w:r>
        <w:rPr>
          <w:sz w:val="24"/>
        </w:rPr>
        <w:t>二、服务范围</w:t>
      </w:r>
    </w:p>
    <w:p>
      <w:pPr>
        <w:pStyle w:val="null3"/>
        <w:jc w:val="both"/>
      </w:pPr>
      <w:r>
        <w:rPr>
          <w:sz w:val="24"/>
        </w:rPr>
        <w:t>　　甲方聘请乙方提供以下服务：</w:t>
      </w:r>
    </w:p>
    <w:p>
      <w:pPr>
        <w:pStyle w:val="null3"/>
        <w:jc w:val="both"/>
      </w:pPr>
      <w:r>
        <w:rPr>
          <w:sz w:val="24"/>
        </w:rPr>
        <w:t xml:space="preserve"> 1．　　　　　　　　　　　。</w:t>
      </w:r>
    </w:p>
    <w:p>
      <w:pPr>
        <w:pStyle w:val="null3"/>
        <w:jc w:val="both"/>
      </w:pPr>
      <w:r>
        <w:rPr>
          <w:sz w:val="24"/>
        </w:rPr>
        <w:t xml:space="preserve"> 2．　　　　　　　　　　　</w:t>
      </w:r>
    </w:p>
    <w:p>
      <w:pPr>
        <w:pStyle w:val="null3"/>
        <w:jc w:val="both"/>
      </w:pPr>
      <w:r>
        <w:rPr>
          <w:sz w:val="24"/>
        </w:rPr>
        <w:t>……</w:t>
      </w:r>
    </w:p>
    <w:p>
      <w:pPr>
        <w:pStyle w:val="null3"/>
        <w:jc w:val="both"/>
      </w:pPr>
      <w:r>
        <w:rPr>
          <w:sz w:val="24"/>
        </w:rPr>
        <w:t>三、甲方乙方的权利和义务</w:t>
      </w:r>
    </w:p>
    <w:p>
      <w:pPr>
        <w:pStyle w:val="null3"/>
        <w:jc w:val="both"/>
      </w:pPr>
      <w:r>
        <w:rPr>
          <w:sz w:val="24"/>
        </w:rPr>
        <w:t xml:space="preserve"> 1.甲方的权利和义务</w:t>
      </w:r>
    </w:p>
    <w:p>
      <w:pPr>
        <w:pStyle w:val="null3"/>
        <w:jc w:val="both"/>
      </w:pPr>
      <w:r>
        <w:rPr>
          <w:sz w:val="24"/>
        </w:rPr>
        <w:t xml:space="preserve"> 2.乙方的权利和义务</w:t>
      </w:r>
    </w:p>
    <w:p>
      <w:pPr>
        <w:pStyle w:val="null3"/>
        <w:jc w:val="both"/>
      </w:pPr>
      <w:r>
        <w:rPr>
          <w:sz w:val="24"/>
        </w:rPr>
        <w:t>四、服务期间（项目完成期限）</w:t>
      </w:r>
    </w:p>
    <w:p>
      <w:pPr>
        <w:pStyle w:val="null3"/>
        <w:jc w:val="both"/>
      </w:pPr>
      <w:r>
        <w:rPr>
          <w:sz w:val="24"/>
        </w:rPr>
        <w:t xml:space="preserve"> 1.委托服务期间自______年______月至______年______月止。</w:t>
      </w:r>
    </w:p>
    <w:p>
      <w:pPr>
        <w:pStyle w:val="null3"/>
        <w:jc w:val="both"/>
      </w:pPr>
      <w:r>
        <w:rPr>
          <w:sz w:val="24"/>
        </w:rPr>
        <w:t>五、付款方式</w:t>
      </w:r>
    </w:p>
    <w:p>
      <w:pPr>
        <w:pStyle w:val="null3"/>
        <w:jc w:val="both"/>
      </w:pPr>
      <w:r>
        <w:rPr>
          <w:sz w:val="24"/>
        </w:rPr>
        <w:t>　　由甲方按下列程序在        内付款：</w:t>
      </w:r>
    </w:p>
    <w:p>
      <w:pPr>
        <w:pStyle w:val="null3"/>
        <w:jc w:val="both"/>
      </w:pPr>
      <w:r>
        <w:rPr>
          <w:sz w:val="24"/>
        </w:rPr>
        <w:t xml:space="preserve"> 1.在合同实施及服务人员到达服务地后__天内，甲方应将第一次付　　款总服务费的__(-%)付给乙方。</w:t>
      </w:r>
    </w:p>
    <w:p>
      <w:pPr>
        <w:pStyle w:val="null3"/>
        <w:jc w:val="both"/>
      </w:pPr>
      <w:r>
        <w:rPr>
          <w:sz w:val="24"/>
        </w:rPr>
        <w:t xml:space="preserve"> 2.第二次付款额应为总服务费的__(-%)，甲方应在乙方已经准备好，并递交了服务报告及其它相关文件，而这些报告和文件符合合同附件上的要求并被甲方验收后付给乙方。</w:t>
      </w:r>
    </w:p>
    <w:p>
      <w:pPr>
        <w:pStyle w:val="null3"/>
        <w:jc w:val="both"/>
      </w:pPr>
      <w:r>
        <w:rPr>
          <w:sz w:val="24"/>
        </w:rPr>
        <w:t xml:space="preserve"> 3.最后一次付款额应为总服务费的__(-%)，甲方应在乙方递交了服务总结报告和说明并完全履行合同完毕_________日内付给乙方。</w:t>
      </w:r>
    </w:p>
    <w:p>
      <w:pPr>
        <w:pStyle w:val="null3"/>
        <w:jc w:val="both"/>
      </w:pPr>
      <w:r>
        <w:rPr>
          <w:sz w:val="24"/>
        </w:rPr>
        <w:t xml:space="preserve">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both"/>
      </w:pPr>
      <w:r>
        <w:rPr>
          <w:sz w:val="24"/>
        </w:rPr>
        <w:t>六、知识产权归属</w:t>
      </w:r>
    </w:p>
    <w:p>
      <w:pPr>
        <w:pStyle w:val="null3"/>
        <w:jc w:val="both"/>
      </w:pPr>
      <w:r>
        <w:rPr>
          <w:sz w:val="24"/>
        </w:rPr>
        <w:t>七、保密</w:t>
      </w:r>
    </w:p>
    <w:p>
      <w:pPr>
        <w:pStyle w:val="null3"/>
        <w:jc w:val="both"/>
      </w:pPr>
      <w:r>
        <w:rPr>
          <w:sz w:val="24"/>
        </w:rPr>
        <w:t>八、违约责任与赔偿损失</w:t>
      </w:r>
    </w:p>
    <w:p>
      <w:pPr>
        <w:pStyle w:val="null3"/>
        <w:jc w:val="both"/>
      </w:pPr>
      <w:r>
        <w:rPr>
          <w:sz w:val="24"/>
        </w:rPr>
        <w:t xml:space="preserve"> 1.乙方提供的服务不符合本合同规定的，甲方有权拒收，并且乙方须向甲方方支付本合同总价5%的违约金。</w:t>
      </w:r>
    </w:p>
    <w:p>
      <w:pPr>
        <w:pStyle w:val="null3"/>
        <w:jc w:val="both"/>
      </w:pPr>
      <w:r>
        <w:rPr>
          <w:sz w:val="24"/>
        </w:rPr>
        <w:t xml:space="preserve"> 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4"/>
        </w:rPr>
        <w:t xml:space="preserve"> 3.甲方无正当理由拒收接受服务，到期拒付服务款项的，甲方向乙方偿付本合同总的5%的违约金。甲方人逾期付款，则每日按本合同总价的3‰向乙方偿付违约金。</w:t>
      </w:r>
    </w:p>
    <w:p>
      <w:pPr>
        <w:pStyle w:val="null3"/>
        <w:jc w:val="both"/>
      </w:pPr>
      <w:r>
        <w:rPr>
          <w:sz w:val="24"/>
        </w:rPr>
        <w:t xml:space="preserve"> 4.对于因甲方原因导致变更、中止或者终止政府采购合同的，甲方应当依照以下合同约定对供应商受到的损失予以赔偿或者补偿：        </w:t>
      </w:r>
    </w:p>
    <w:p>
      <w:pPr>
        <w:pStyle w:val="null3"/>
        <w:jc w:val="both"/>
      </w:pPr>
      <w:r>
        <w:rPr>
          <w:sz w:val="24"/>
        </w:rPr>
        <w:t xml:space="preserve"> 5.其它违约责任按《中华人民共和国民法典(合同编)》处理。</w:t>
      </w:r>
    </w:p>
    <w:p>
      <w:pPr>
        <w:pStyle w:val="null3"/>
        <w:jc w:val="both"/>
      </w:pPr>
      <w:r>
        <w:rPr>
          <w:sz w:val="24"/>
        </w:rPr>
        <w:t>九、争议的解决</w:t>
      </w:r>
    </w:p>
    <w:p>
      <w:pPr>
        <w:pStyle w:val="null3"/>
        <w:jc w:val="both"/>
      </w:pPr>
      <w:r>
        <w:rPr>
          <w:sz w:val="24"/>
        </w:rPr>
        <w:t xml:space="preserve">合同执行过程中发生的任何争议，如双方不能通过友好协商解决，按相关法律法规处理。     </w:t>
      </w:r>
    </w:p>
    <w:p>
      <w:pPr>
        <w:pStyle w:val="null3"/>
        <w:jc w:val="both"/>
      </w:pPr>
      <w:r>
        <w:rPr>
          <w:sz w:val="24"/>
        </w:rPr>
        <w:t>十、不可抗力</w:t>
      </w:r>
    </w:p>
    <w:p>
      <w:pPr>
        <w:pStyle w:val="null3"/>
        <w:jc w:val="both"/>
      </w:pPr>
      <w:r>
        <w:rPr>
          <w:sz w:val="24"/>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rPr>
        <w:t>十一、税费</w:t>
      </w:r>
    </w:p>
    <w:p>
      <w:pPr>
        <w:pStyle w:val="null3"/>
        <w:jc w:val="both"/>
      </w:pPr>
      <w:r>
        <w:rPr>
          <w:sz w:val="24"/>
        </w:rPr>
        <w:t>　　在中国境内、外发生的与本合同执行有关的一切税费均由乙方负担。</w:t>
      </w:r>
    </w:p>
    <w:p>
      <w:pPr>
        <w:pStyle w:val="null3"/>
        <w:jc w:val="both"/>
      </w:pPr>
      <w:r>
        <w:rPr>
          <w:sz w:val="24"/>
        </w:rPr>
        <w:t>十二、其它</w:t>
      </w:r>
    </w:p>
    <w:p>
      <w:pPr>
        <w:pStyle w:val="null3"/>
        <w:jc w:val="both"/>
      </w:pPr>
      <w:r>
        <w:rPr>
          <w:sz w:val="24"/>
        </w:rPr>
        <w:t xml:space="preserve"> 1.本合同所有附件、招标文件、投标文件、中标通知书均为合同的有效组成部分，与本合同具有同等法律效力。</w:t>
      </w:r>
    </w:p>
    <w:p>
      <w:pPr>
        <w:pStyle w:val="null3"/>
        <w:jc w:val="both"/>
      </w:pPr>
      <w:r>
        <w:rPr>
          <w:sz w:val="24"/>
        </w:rPr>
        <w:t xml:space="preserve"> 2.在执行本合同的过程中，所有经双方签署确认的文件（包括会议纪要、补充协议、往来信函）即成为本合同的有效组成部分。</w:t>
      </w:r>
    </w:p>
    <w:p>
      <w:pPr>
        <w:pStyle w:val="null3"/>
        <w:jc w:val="both"/>
      </w:pPr>
      <w:r>
        <w:rPr>
          <w:sz w:val="24"/>
        </w:rPr>
        <w:t xml:space="preserve"> 3.如一方地址、电话、传真号码有变更，应在变更当日内书面通知对方，否则，应承担相应责任。</w:t>
      </w:r>
    </w:p>
    <w:p>
      <w:pPr>
        <w:pStyle w:val="null3"/>
        <w:jc w:val="both"/>
      </w:pPr>
      <w:r>
        <w:rPr>
          <w:sz w:val="24"/>
        </w:rPr>
        <w:t xml:space="preserve"> 4.除甲方事先书面同意外，乙方不得部分或全部转让其应履行的合同项下的义务。</w:t>
      </w:r>
    </w:p>
    <w:p>
      <w:pPr>
        <w:pStyle w:val="null3"/>
        <w:jc w:val="both"/>
      </w:pPr>
      <w:r>
        <w:rPr>
          <w:sz w:val="24"/>
        </w:rPr>
        <w:t>十三、合同生效</w:t>
      </w:r>
    </w:p>
    <w:p>
      <w:pPr>
        <w:pStyle w:val="null3"/>
        <w:jc w:val="both"/>
      </w:pPr>
      <w:r>
        <w:rPr>
          <w:sz w:val="24"/>
        </w:rPr>
        <w:t xml:space="preserve"> 1.本合同在甲乙双方法人代表或其授权代表签字盖章后生效。</w:t>
      </w:r>
    </w:p>
    <w:p>
      <w:pPr>
        <w:pStyle w:val="null3"/>
        <w:jc w:val="both"/>
      </w:pPr>
      <w:r>
        <w:rPr>
          <w:sz w:val="24"/>
        </w:rPr>
        <w:t xml:space="preserve"> 2.合同一式    份。</w:t>
      </w:r>
    </w:p>
    <w:p>
      <w:pPr>
        <w:pStyle w:val="null3"/>
        <w:jc w:val="both"/>
      </w:pPr>
      <w:r>
        <w:rPr>
          <w:sz w:val="24"/>
        </w:rPr>
        <w:t xml:space="preserve"> </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441900014-2026-00317</w:t>
      </w:r>
    </w:p>
    <w:p>
      <w:pPr>
        <w:pStyle w:val="null3"/>
        <w:jc w:val="center"/>
        <w:outlineLvl w:val="3"/>
      </w:pPr>
      <w:r>
        <w:rPr>
          <w:sz w:val="24"/>
          <w:b/>
        </w:rPr>
        <w:t>采购项目编号：</w:t>
      </w:r>
      <w:r>
        <w:rPr>
          <w:sz w:val="24"/>
          <w:b/>
        </w:rPr>
        <w:t>441900014-2026-00317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东莞市公安局交通管理支队横沥大队采购拖车服务项目</w:t>
      </w:r>
      <w:r>
        <w:rPr>
          <w:u w:val="single"/>
        </w:rPr>
        <w:t>”</w:t>
      </w:r>
      <w:r>
        <w:rPr/>
        <w:t>项目的招标[采购项目编号为：</w:t>
      </w:r>
      <w:r>
        <w:rPr>
          <w:u w:val="single"/>
        </w:rPr>
        <w:t>441900014-2026-00317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东莞市公安局交通管理支队横沥大队采购拖车服务项目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东莞市公安局交通管理支队横沥大队采购拖车服务项目</w:t>
      </w:r>
      <w:r>
        <w:rPr/>
        <w:t>”项目采购[采购项目编号为</w:t>
      </w:r>
      <w:r>
        <w:rPr/>
        <w:t>441900014-2026-00317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东莞市公安局横沥分局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东莞市公安局交通管理支队横沥大队采购拖车服务项目</w:t>
      </w:r>
      <w:r>
        <w:rPr/>
        <w:t>招标中获中标（采购项目编号：</w:t>
      </w:r>
      <w:r>
        <w:rPr/>
        <w:t>441900014-2026-00317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东莞市公安局交通管理支队横沥大队采购拖车服务项目</w:t>
      </w:r>
      <w:r>
        <w:rPr/>
        <w:t>”项目（采购项目编号：</w:t>
      </w:r>
      <w:r>
        <w:rPr/>
        <w:t>441900014-2026-00317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