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441900036-2026-00214</w:t>
      </w:r>
    </w:p>
    <w:p>
      <w:pPr>
        <w:pStyle w:val="null3"/>
        <w:jc w:val="center"/>
        <w:outlineLvl w:val="3"/>
      </w:pPr>
      <w:r>
        <w:rPr>
          <w:sz w:val="24"/>
          <w:b/>
        </w:rPr>
        <w:t>采购项目编号：</w:t>
      </w:r>
      <w:r>
        <w:rPr>
          <w:sz w:val="24"/>
          <w:b/>
        </w:rPr>
        <w:t>441900036-2026-00214</w:t>
      </w:r>
    </w:p>
    <w:p>
      <w:pPr>
        <w:pStyle w:val="null3"/>
        <w:jc w:val="center"/>
        <w:outlineLvl w:val="3"/>
      </w:pPr>
      <w:r>
        <w:rPr>
          <w:sz w:val="24"/>
          <w:b/>
        </w:rPr>
        <w:t>项目名称：</w:t>
      </w:r>
      <w:r>
        <w:rPr>
          <w:sz w:val="24"/>
          <w:b/>
        </w:rPr>
        <w:t>2026-2028年高埗镇镇管河道保洁项目</w:t>
      </w:r>
    </w:p>
    <w:p>
      <w:pPr>
        <w:pStyle w:val="null3"/>
        <w:jc w:val="center"/>
        <w:outlineLvl w:val="3"/>
      </w:pPr>
      <w:r>
        <w:rPr>
          <w:sz w:val="24"/>
          <w:b/>
        </w:rPr>
        <w:t>采购人：</w:t>
      </w:r>
      <w:r>
        <w:rPr>
          <w:sz w:val="24"/>
          <w:b/>
        </w:rPr>
        <w:t>东莞市高埗镇水务工程运营中心</w:t>
      </w:r>
    </w:p>
    <w:p>
      <w:pPr>
        <w:pStyle w:val="null3"/>
        <w:jc w:val="center"/>
        <w:outlineLvl w:val="3"/>
      </w:pPr>
      <w:r>
        <w:rPr>
          <w:sz w:val="24"/>
          <w:b/>
        </w:rPr>
        <w:t>采购代理机构：</w:t>
      </w:r>
      <w:r>
        <w:rPr>
          <w:sz w:val="24"/>
          <w:b/>
        </w:rPr>
        <w:t>广东政通招标有限公司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广东政通招标有限公司</w:t>
      </w:r>
      <w:r>
        <w:rPr/>
        <w:t>受</w:t>
      </w:r>
      <w:r>
        <w:rPr/>
        <w:t>东莞市高埗镇水务工程运营中心</w:t>
      </w:r>
      <w:r>
        <w:rPr/>
        <w:t>的委托，采用</w:t>
      </w:r>
      <w:r>
        <w:rPr/>
        <w:t>竞争性磋商</w:t>
      </w:r>
      <w:r>
        <w:rPr/>
        <w:t>方式组织采购</w:t>
      </w:r>
      <w:r>
        <w:rPr/>
        <w:t>2026-2028年高埗镇镇管河道保洁项目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2026-2028年高埗镇镇管河道保洁项目</w:t>
      </w:r>
    </w:p>
    <w:p>
      <w:pPr>
        <w:pStyle w:val="null3"/>
        <w:ind w:firstLine="480"/>
      </w:pPr>
      <w:r>
        <w:rPr/>
        <w:t>采购计划编号：</w:t>
      </w:r>
      <w:r>
        <w:rPr/>
        <w:t>441900036-2026-00214</w:t>
      </w:r>
    </w:p>
    <w:p>
      <w:pPr>
        <w:pStyle w:val="null3"/>
        <w:ind w:firstLine="480"/>
      </w:pPr>
      <w:r>
        <w:rPr/>
        <w:t>采购项目编号：</w:t>
      </w:r>
      <w:r>
        <w:rPr/>
        <w:t>441900036-2026-00214</w:t>
      </w:r>
    </w:p>
    <w:p>
      <w:pPr>
        <w:pStyle w:val="null3"/>
        <w:ind w:firstLine="480"/>
      </w:pPr>
      <w:r>
        <w:rPr/>
        <w:t>采购方式：</w:t>
      </w:r>
      <w:r>
        <w:rPr/>
        <w:t>竞争性磋商</w:t>
      </w:r>
    </w:p>
    <w:p>
      <w:pPr>
        <w:pStyle w:val="null3"/>
        <w:ind w:firstLine="480"/>
      </w:pPr>
      <w:r>
        <w:rPr/>
        <w:t>预算金额：</w:t>
      </w:r>
      <w:r>
        <w:rPr/>
        <w:t>1,940,680.00</w:t>
      </w:r>
      <w:r>
        <w:rPr/>
        <w:t>元</w:t>
      </w:r>
    </w:p>
    <w:p>
      <w:pPr>
        <w:pStyle w:val="null3"/>
        <w:outlineLvl w:val="3"/>
      </w:pPr>
      <w:r>
        <w:rPr>
          <w:sz w:val="24"/>
          <w:b/>
        </w:rPr>
        <w:t>2.项目内容及需求情况（采购项目技术规格、参数及要求）</w:t>
      </w:r>
    </w:p>
    <w:p>
      <w:pPr>
        <w:pStyle w:val="null3"/>
      </w:pPr>
      <w:r>
        <w:rPr/>
        <w:t>采购包1(2026-2028年高埗镇镇管河道保洁项目):</w:t>
      </w:r>
    </w:p>
    <w:p>
      <w:pPr>
        <w:pStyle w:val="null3"/>
      </w:pPr>
      <w:r>
        <w:rPr/>
        <w:t>采购包预算金额：1,940,680.00元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城镇水域治理服务</w:t>
            </w:r>
          </w:p>
        </w:tc>
        <w:tc>
          <w:tcPr>
            <w:tcW w:type="dxa" w:w="2052"/>
          </w:tcPr>
          <w:p>
            <w:pPr>
              <w:pStyle w:val="null3"/>
            </w:pPr>
            <w:r>
              <w:rPr/>
              <w:t>2026-2028年高埗镇镇管河道保洁项目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1,940,680.00</w:t>
            </w:r>
          </w:p>
        </w:tc>
        <w:tc>
          <w:tcPr>
            <w:tcW w:type="dxa" w:w="977"/>
          </w:tcPr>
          <w:p>
            <w:pPr>
              <w:pStyle w:val="null3"/>
            </w:pPr>
            <w:r>
              <w:rPr/>
              <w:t>否</w:t>
            </w:r>
          </w:p>
        </w:tc>
      </w:tr>
    </w:tbl>
    <w:p>
      <w:pPr>
        <w:pStyle w:val="null3"/>
      </w:pPr>
      <w:r>
        <w:rPr/>
        <w:t>本采购包接受联合体响应</w:t>
      </w:r>
    </w:p>
    <w:p>
      <w:pPr>
        <w:pStyle w:val="null3"/>
      </w:pPr>
      <w:r>
        <w:rPr/>
        <w:t>合同分包：不允许合同分包</w:t>
      </w:r>
    </w:p>
    <w:p>
      <w:pPr>
        <w:pStyle w:val="null3"/>
      </w:pPr>
      <w:r>
        <w:rPr/>
        <w:t>合同履行期限：自合同签订之日起2年。</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2）有依法缴纳税收和社会保障资金的良好记录：投标（响应）文件中提供《资格条件承诺函》，可参考公告附件格式。</w:t>
      </w:r>
    </w:p>
    <w:p>
      <w:pPr>
        <w:pStyle w:val="null3"/>
      </w:pPr>
      <w:r>
        <w:rPr/>
        <w:t>3）具有良好的商业信誉和健全的财务会计制度：投标（响应）文件中提供《资格条件承诺函》，可参考公告附件格式。</w:t>
      </w:r>
    </w:p>
    <w:p>
      <w:pPr>
        <w:pStyle w:val="null3"/>
      </w:pPr>
      <w:r>
        <w:rPr/>
        <w:t>4）履行合同所必需的设备和专业技术能力：投标（响应）文件中提供《资格条件承诺函》，可参考公告附件格式。</w:t>
      </w:r>
    </w:p>
    <w:p>
      <w:pPr>
        <w:pStyle w:val="null3"/>
      </w:pPr>
      <w:r>
        <w:rPr/>
        <w:t>5）参加采购活动前3年内，在经营活动中没有重大违法记录：投标（响应）文件中提供《资格条件承诺函》，可参考公告附件格式。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采购包1（2026-2028年高埗镇镇管河道保洁项目）：</w:t>
      </w:r>
      <w:r>
        <w:rPr/>
        <w:t>本项目不属于专门面向中小企业采购。</w:t>
      </w:r>
    </w:p>
    <w:p>
      <w:pPr>
        <w:pStyle w:val="null3"/>
        <w:outlineLvl w:val="3"/>
      </w:pPr>
      <w:r>
        <w:rPr>
          <w:sz w:val="24"/>
          <w:b/>
        </w:rPr>
        <w:t>3.本项目特定的资格要求：</w:t>
      </w:r>
    </w:p>
    <w:p>
      <w:pPr>
        <w:pStyle w:val="null3"/>
      </w:pPr>
      <w:r>
        <w:rPr/>
        <w:t>采购包1（2026-2028年高埗镇镇管河道保洁项目）：</w:t>
      </w:r>
    </w:p>
    <w:p>
      <w:pPr>
        <w:pStyle w:val="null3"/>
      </w:pPr>
      <w:r>
        <w:rPr/>
        <w:t>1)供应商未被列入“信用中国”网站(www.creditchina.gov.cn)“记录失信被执行人或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东莞市高埗镇水务工程运营中心</w:t>
      </w:r>
    </w:p>
    <w:p>
      <w:pPr>
        <w:pStyle w:val="null3"/>
        <w:ind w:firstLine="480"/>
      </w:pPr>
      <w:r>
        <w:rPr/>
        <w:t>地址：</w:t>
      </w:r>
      <w:r>
        <w:rPr/>
        <w:t>高埗镇高龙中路1号</w:t>
      </w:r>
    </w:p>
    <w:p>
      <w:pPr>
        <w:pStyle w:val="null3"/>
        <w:ind w:firstLine="480"/>
      </w:pPr>
      <w:r>
        <w:rPr/>
        <w:t>联系方式：</w:t>
      </w:r>
      <w:r>
        <w:rPr/>
        <w:t>81136276</w:t>
      </w:r>
    </w:p>
    <w:p>
      <w:pPr>
        <w:pStyle w:val="null3"/>
        <w:outlineLvl w:val="3"/>
      </w:pPr>
      <w:r>
        <w:rPr>
          <w:sz w:val="24"/>
          <w:b/>
        </w:rPr>
        <w:t>2.采购代理机构信息</w:t>
      </w:r>
    </w:p>
    <w:p>
      <w:pPr>
        <w:pStyle w:val="null3"/>
        <w:ind w:firstLine="480"/>
      </w:pPr>
      <w:r>
        <w:rPr/>
        <w:t>名称：</w:t>
      </w:r>
      <w:r>
        <w:rPr/>
        <w:t>广东政通招标有限公司</w:t>
      </w:r>
    </w:p>
    <w:p>
      <w:pPr>
        <w:pStyle w:val="null3"/>
        <w:ind w:firstLine="480"/>
      </w:pPr>
      <w:r>
        <w:rPr/>
        <w:t xml:space="preserve"> 地址：</w:t>
      </w:r>
      <w:r>
        <w:rPr/>
        <w:t>广东省东莞市南城街道广东省东莞市南城街道鸿福路199号410、411室</w:t>
      </w:r>
    </w:p>
    <w:p>
      <w:pPr>
        <w:pStyle w:val="null3"/>
        <w:ind w:firstLine="480"/>
      </w:pPr>
      <w:r>
        <w:rPr/>
        <w:t xml:space="preserve"> 联系方式：</w:t>
      </w:r>
      <w:r>
        <w:rPr/>
        <w:t>0769-22881803</w:t>
      </w:r>
    </w:p>
    <w:p>
      <w:pPr>
        <w:pStyle w:val="null3"/>
        <w:outlineLvl w:val="3"/>
      </w:pPr>
      <w:r>
        <w:rPr>
          <w:sz w:val="24"/>
          <w:b/>
        </w:rPr>
        <w:t xml:space="preserve"> 3.项目联系方式</w:t>
      </w:r>
    </w:p>
    <w:p>
      <w:pPr>
        <w:pStyle w:val="null3"/>
        <w:ind w:firstLine="480"/>
      </w:pPr>
      <w:r>
        <w:rPr/>
        <w:t xml:space="preserve"> 项目联系人：</w:t>
      </w:r>
      <w:r>
        <w:rPr/>
        <w:t>杨俊平</w:t>
      </w:r>
    </w:p>
    <w:p>
      <w:pPr>
        <w:pStyle w:val="null3"/>
        <w:ind w:firstLine="480"/>
      </w:pPr>
      <w:r>
        <w:rPr/>
        <w:t xml:space="preserve"> 电话：</w:t>
      </w:r>
      <w:r>
        <w:rPr/>
        <w:t>0769-22881803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广东政通招标有限公司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2026-2028</w:t>
      </w:r>
      <w:r>
        <w:rPr>
          <w:sz w:val="21"/>
          <w:b/>
        </w:rPr>
        <w:t>年高埗镇镇管河道保洁项目</w:t>
      </w:r>
    </w:p>
    <w:p>
      <w:pPr>
        <w:pStyle w:val="null3"/>
      </w:pPr>
      <w:r>
        <w:rPr/>
        <w:t>采购包1（2026-2028年高埗镇镇管河道保洁项目）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自合同签订之日起2年。</w:t>
            </w:r>
          </w:p>
        </w:tc>
      </w:tr>
      <w:tr>
        <w:tc>
          <w:tcPr>
            <w:tcW w:type="dxa" w:w="4153"/>
          </w:tcPr>
          <w:p>
            <w:pPr>
              <w:pStyle w:val="null3"/>
            </w:pPr>
            <w:r>
              <w:rPr/>
              <w:t>标的提供的地点</w:t>
            </w:r>
          </w:p>
        </w:tc>
        <w:tc>
          <w:tcPr>
            <w:tcW w:type="dxa" w:w="4153"/>
          </w:tcPr>
          <w:p>
            <w:pPr>
              <w:pStyle w:val="null3"/>
            </w:pPr>
            <w:r>
              <w:rPr/>
              <w:t>东莞市(或采购人指定地点)</w:t>
            </w:r>
          </w:p>
        </w:tc>
      </w:tr>
      <w:tr>
        <w:tc>
          <w:tcPr>
            <w:tcW w:type="dxa" w:w="4153"/>
          </w:tcPr>
          <w:p>
            <w:pPr>
              <w:pStyle w:val="null3"/>
            </w:pPr>
            <w:r>
              <w:rPr/>
              <w:t>付款方式</w:t>
            </w:r>
          </w:p>
        </w:tc>
        <w:tc>
          <w:tcPr>
            <w:tcW w:type="dxa" w:w="4153"/>
          </w:tcPr>
          <w:p>
            <w:pPr>
              <w:pStyle w:val="null3"/>
            </w:pPr>
            <w:r>
              <w:rPr/>
              <w:t>1期：支付比例100%,1、按季度支付。（注：每季度款项＝中标（成交）价÷8个季度） 2、合同生效后第二个季度起每季度第一个月20日前办理请款手续，经呈款审批后向成交人支付上季度的承包款。 3、采购人对成交人的河道保洁工作实行检查监督，详见《东莞市高埗镇水域面源整治作业评分标准》，若按评分标准有扣分情况，所需处罚金额从当月承包款中相应扣除。 注：本项目资金来源为财政资金，相关付款程序严格遵守东莞市（或项目所在镇街）政府财政资金支付程序规定。</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由采购人每周派出巡河队对作业情况进行记录，并根据采购项目内容、技术商务要求、成交人的响应承诺及双方合同约定每季度验收考核一次，根据成交人提供的河道保洁服务情况按以下《东莞市高埗镇水域面源整治作业评分标准》进行考核。</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w:t>
            </w:r>
          </w:p>
          <w:p>
            <w:pPr>
              <w:pStyle w:val="null3"/>
            </w:pPr>
            <w:r>
              <w:rPr/>
              <w:t>户名：/</w:t>
            </w:r>
          </w:p>
          <w:p>
            <w:pPr>
              <w:pStyle w:val="null3"/>
            </w:pPr>
            <w:r>
              <w:rPr/>
              <w:t>开户行：/</w:t>
            </w:r>
          </w:p>
          <w:p>
            <w:pPr>
              <w:pStyle w:val="null3"/>
            </w:pPr>
            <w:r>
              <w:rPr/>
              <w:t>支票提交方式：/</w:t>
            </w:r>
          </w:p>
          <w:p>
            <w:pPr>
              <w:pStyle w:val="null3"/>
            </w:pPr>
            <w:r>
              <w:rPr/>
              <w:t>汇票、本票提交方式：/</w:t>
            </w:r>
          </w:p>
          <w:p>
            <w:pPr>
              <w:pStyle w:val="null3"/>
            </w:pPr>
            <w:r>
              <w:rPr/>
              <w:t>说明：1、成交人向采购人提交履约保证金，履约保证金形式：采用银行转账或者以专业担保机构、金融机构出具的担保函的形式；履约保证金金额：合同金额的5%；履约保证金账户：采购人指定账户（单位基本账户）。 2、履约保证金可以采用银行转账或者以专业担保机构、金融机构出具的担保函的形式缴交。履约保函应是合法经营的金融机构或担保机构出具的保函，非东莞市范围内金融机构或担保机构出具的履约保函必须附上当地公证部门出具的公证文件。履约保函的内容，应符合磋商文件、响应文件和采购合同的要求。履约保函应在采购合同有 效期满后28天内继续有效。 3、若成交人不按规定提交履约保证金，采购人将有充分的理由解除合 同，给采购人造成的损失超过投标保证金数额的，还应当对超过部分予以赔偿。 4、在整个项目验 收合格后，成交人向采购人提交退回履约保证金的申请，采购人办理履约保证金退还手续，将履约保证金退回原成交人的汇入帐户。</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1，本项目以总价的形式进行报价，报价应包含完成本次采购所有内容的费用，包含各种税务费及合同实施过程中的应预见和不可预见费用等完成合同规定责任和义务、达到合同目的的一切费用。</w:t>
            </w:r>
          </w:p>
          <w:p>
            <w:pPr>
              <w:pStyle w:val="null3"/>
            </w:pPr>
            <w:r>
              <w:rPr/>
              <w:t>2，本服务项目为包工、包料、包质量、包安全、包税收等的中标（成交）价一次包干项目。成交人对磋商文件内的所有内容和要求进行包干。</w:t>
            </w:r>
          </w:p>
          <w:p>
            <w:pPr>
              <w:pStyle w:val="null3"/>
            </w:pPr>
            <w:r>
              <w:rPr/>
              <w:t>3，供应商自行对项目现场及周边环境进行踏勘，以便于供应商获取有关编辑响应文件和签署实施合同所涉及到现场的各项资料。供应商应承担踏勘现场所发生的费用以及责任、风险。供应商充分掌握现场实际情况后，逐条对应用户需求书中的具体要求制定详细的、切实可行的清淤维护及应急抢险方案。方案要求包括实施计划、设备、人员、安全文明施工等。当磋商文件的所有内容和要求与实际不符时，以实际为准，不再增加任何费用，供应商应充分考虑由此而增加的费用，并包含在响应报价内。</w:t>
            </w:r>
          </w:p>
          <w:p>
            <w:pPr>
              <w:pStyle w:val="null3"/>
            </w:pPr>
            <w:r>
              <w:rPr/>
              <w:t>4，淤泥运输处理费用包含在响应总价内，结算时不再增加任何费用，供应商应充分考虑由此而增加的费用，并包含在响应总价内。</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城镇水域治理服务</w:t>
            </w:r>
          </w:p>
        </w:tc>
        <w:tc>
          <w:tcPr>
            <w:tcW w:type="dxa" w:w="933"/>
          </w:tcPr>
          <w:p>
            <w:pPr>
              <w:pStyle w:val="null3"/>
              <w:jc w:val="left"/>
            </w:pPr>
            <w:r>
              <w:rPr/>
              <w:t>2026-2028年高埗镇镇管河道保洁项目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1,940,680.00</w:t>
            </w:r>
          </w:p>
        </w:tc>
        <w:tc>
          <w:tcPr>
            <w:tcW w:type="dxa" w:w="933"/>
          </w:tcPr>
          <w:p>
            <w:pPr>
              <w:pStyle w:val="null3"/>
              <w:jc w:val="right"/>
            </w:pPr>
            <w:r>
              <w:rPr/>
              <w:t>1,940,680.00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2026-2028年高埗镇镇管河道保洁项目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1"/>
                <w:b/>
              </w:rPr>
              <w:t>一、项目概况及</w:t>
            </w:r>
            <w:r>
              <w:rPr>
                <w:sz w:val="21"/>
                <w:b/>
              </w:rPr>
              <w:t>磋商</w:t>
            </w:r>
            <w:r>
              <w:rPr>
                <w:sz w:val="21"/>
                <w:b/>
              </w:rPr>
              <w:t>范围</w:t>
            </w:r>
          </w:p>
          <w:p>
            <w:pPr>
              <w:pStyle w:val="null3"/>
              <w:ind w:firstLine="420"/>
              <w:jc w:val="both"/>
            </w:pPr>
            <w:r>
              <w:rPr>
                <w:sz w:val="21"/>
              </w:rPr>
              <w:t>1、为保障城乡供水及防洪排涝安全，改善水环境，全面推进水面漂浮物统一清理工作的开展，实现水面保洁常态化，根据 《东莞市市容环境卫生管理规定》、《关于对开展2026-2028年高埗镇镇管河道保洁项目的复函（高党政办复 [2026]82号）》等文件精神，高埗镇特进行本次项目</w:t>
            </w:r>
            <w:r>
              <w:rPr>
                <w:sz w:val="21"/>
              </w:rPr>
              <w:t>磋商</w:t>
            </w:r>
            <w:r>
              <w:rPr>
                <w:sz w:val="21"/>
              </w:rPr>
              <w:t>。</w:t>
            </w:r>
          </w:p>
          <w:p>
            <w:pPr>
              <w:pStyle w:val="null3"/>
              <w:ind w:firstLine="420"/>
              <w:jc w:val="both"/>
            </w:pPr>
            <w:r>
              <w:rPr>
                <w:sz w:val="21"/>
              </w:rPr>
              <w:t>2、项目内容：东莞市高埗镇水域面源整治服务工作，其中包括：</w:t>
            </w:r>
          </w:p>
          <w:p>
            <w:pPr>
              <w:pStyle w:val="null3"/>
              <w:ind w:firstLine="420"/>
              <w:jc w:val="both"/>
            </w:pPr>
            <w:r>
              <w:rPr>
                <w:sz w:val="21"/>
              </w:rPr>
              <w:t>①镇属管理河涌：中心涌（含欧邓排涌新创社区段）、南排涌、北排涌、高埗旧排站排涌、欧邓排涌3#。5条河涌总长21440米，水域总面积约481254.1平方米。</w:t>
            </w:r>
          </w:p>
          <w:p>
            <w:pPr>
              <w:pStyle w:val="null3"/>
              <w:ind w:firstLine="420"/>
              <w:jc w:val="both"/>
            </w:pPr>
            <w:r>
              <w:rPr>
                <w:sz w:val="21"/>
              </w:rPr>
              <w:t>②东江支流高埗段：东江南支流（大王洲岛连通段）高埗镇段、东江北干流高埗段、潢涌河高埗段、中堂水道高埗段。4条河涌总长18170米，水域总面积约1560000平方米。</w:t>
            </w:r>
          </w:p>
          <w:p>
            <w:pPr>
              <w:pStyle w:val="null3"/>
              <w:ind w:firstLine="420"/>
              <w:jc w:val="both"/>
            </w:pPr>
            <w:r>
              <w:rPr>
                <w:sz w:val="21"/>
              </w:rPr>
              <w:t>详见下表：</w:t>
            </w:r>
          </w:p>
          <w:p>
            <w:pPr>
              <w:pStyle w:val="null3"/>
              <w:ind w:firstLine="480"/>
              <w:jc w:val="center"/>
            </w:pPr>
            <w:r>
              <w:rPr>
                <w:sz w:val="21"/>
              </w:rPr>
              <w:t>高埗镇镇属管理河涌保洁范围清单</w:t>
            </w:r>
          </w:p>
          <w:tbl>
            <w:tblPr>
              <w:tblInd w:type="dxa" w:w="210"/>
              <w:tblBorders>
                <w:top w:val="none" w:color="000000" w:sz="4"/>
                <w:left w:val="none" w:color="000000" w:sz="4"/>
                <w:bottom w:val="none" w:color="000000" w:sz="4"/>
                <w:right w:val="none" w:color="000000" w:sz="4"/>
                <w:insideH w:val="none"/>
                <w:insideV w:val="none"/>
              </w:tblBorders>
            </w:tblPr>
            <w:tblGrid>
              <w:gridCol w:w="571"/>
              <w:gridCol w:w="704"/>
              <w:gridCol w:w="911"/>
              <w:gridCol w:w="510"/>
              <w:gridCol w:w="765"/>
              <w:gridCol w:w="2137"/>
            </w:tblGrid>
            <w:tr>
              <w:tc>
                <w:tcPr>
                  <w:tcW w:type="dxa" w:w="5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河涌名</w:t>
                  </w:r>
                </w:p>
              </w:tc>
              <w:tc>
                <w:tcPr>
                  <w:tcW w:type="dxa" w:w="7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w:t>
                  </w:r>
                  <w:r>
                    <w:rPr>
                      <w:sz w:val="21"/>
                    </w:rPr>
                    <w:t>m）</w:t>
                  </w:r>
                </w:p>
              </w:tc>
              <w:tc>
                <w:tcPr>
                  <w:tcW w:type="dxa" w:w="9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面积（㎡）</w:t>
                  </w:r>
                </w:p>
              </w:tc>
              <w:tc>
                <w:tcPr>
                  <w:tcW w:type="dxa" w:w="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起点</w:t>
                  </w:r>
                </w:p>
              </w:tc>
              <w:tc>
                <w:tcPr>
                  <w:tcW w:type="dxa" w:w="7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终点</w:t>
                  </w:r>
                </w:p>
              </w:tc>
              <w:tc>
                <w:tcPr>
                  <w:tcW w:type="dxa" w:w="21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途径村</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中心涌</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6830</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241353.5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高埗泵站</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冼沙与石碣交界</w:t>
                  </w:r>
                </w:p>
              </w:tc>
              <w:tc>
                <w:tcPr>
                  <w:tcW w:type="dxa" w:w="2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卢溪村、冼沙村、低涌村、高埗村、新联村、新创社区（含欧邓排涌新创社区段</w:t>
                  </w:r>
                  <w:r>
                    <w:rPr>
                      <w:sz w:val="21"/>
                    </w:rPr>
                    <w:t>150米）</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南排涌</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5440</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65895</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高埗村</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冼沙与石碣交界</w:t>
                  </w:r>
                </w:p>
              </w:tc>
              <w:tc>
                <w:tcPr>
                  <w:tcW w:type="dxa" w:w="2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高埗村、凌屋村、冼沙村</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北排涌</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8300</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165804.7</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芦村水闸</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塘厦与石碣交界</w:t>
                  </w:r>
                </w:p>
              </w:tc>
              <w:tc>
                <w:tcPr>
                  <w:tcW w:type="dxa" w:w="2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芦村村、塘厦村、宝莲村、保安围村、横滘头村、</w:t>
                  </w:r>
                </w:p>
                <w:p>
                  <w:pPr>
                    <w:pStyle w:val="null3"/>
                    <w:jc w:val="center"/>
                  </w:pPr>
                  <w:r>
                    <w:rPr>
                      <w:sz w:val="21"/>
                    </w:rPr>
                    <w:t>护安围村</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高埗旧排站排涌</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470</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5065.1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中心涌</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旧排站</w:t>
                  </w:r>
                </w:p>
              </w:tc>
              <w:tc>
                <w:tcPr>
                  <w:tcW w:type="dxa" w:w="2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新创社区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欧邓排涌</w:t>
                  </w:r>
                  <w:r>
                    <w:rPr>
                      <w:sz w:val="21"/>
                    </w:rPr>
                    <w:t>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3135.8</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振兴北路</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柳树坊桥</w:t>
                  </w:r>
                </w:p>
              </w:tc>
              <w:tc>
                <w:tcPr>
                  <w:tcW w:type="dxa" w:w="2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新创社区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21440</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481254.1</w:t>
                  </w:r>
                </w:p>
              </w:tc>
              <w:tc>
                <w:tcPr>
                  <w:tcW w:type="dxa" w:w="34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076"/>
          </w:tcPr>
          <w:p/>
        </w:tc>
        <w:tc>
          <w:tcPr>
            <w:tcW w:type="dxa" w:w="415"/>
          </w:tcPr>
          <w:p>
            <w:pPr>
              <w:pStyle w:val="null3"/>
            </w:pPr>
            <w:r>
              <w:rPr/>
              <w:t>2</w:t>
            </w:r>
          </w:p>
        </w:tc>
        <w:tc>
          <w:tcPr>
            <w:tcW w:type="dxa" w:w="5814"/>
          </w:tcPr>
          <w:tbl>
            <w:tblPr>
              <w:tblInd w:type="dxa" w:w="105"/>
              <w:tblBorders>
                <w:top w:val="none" w:color="000000" w:sz="4"/>
                <w:left w:val="none" w:color="000000" w:sz="4"/>
                <w:bottom w:val="none" w:color="000000" w:sz="4"/>
                <w:right w:val="none" w:color="000000" w:sz="4"/>
                <w:insideH w:val="none"/>
                <w:insideV w:val="none"/>
              </w:tblBorders>
            </w:tblPr>
            <w:tblGrid>
              <w:gridCol w:w="626"/>
              <w:gridCol w:w="626"/>
              <w:gridCol w:w="626"/>
              <w:gridCol w:w="722"/>
              <w:gridCol w:w="1011"/>
              <w:gridCol w:w="1986"/>
            </w:tblGrid>
            <w:tr>
              <w:tc>
                <w:tcPr>
                  <w:tcW w:type="dxa" w:w="5597"/>
                  <w:gridSpan w:val="6"/>
                  <w:tcBorders>
                    <w:top w:val="none" w:color="000000" w:sz="4"/>
                    <w:left w:val="none" w:color="000000" w:sz="4"/>
                    <w:bottom w:val="single" w:color="000000" w:sz="4"/>
                    <w:right w:val="none" w:color="000000" w:sz="4"/>
                  </w:tcBorders>
                  <w:tcMar>
                    <w:top w:type="dxa" w:w="15"/>
                    <w:left w:type="dxa" w:w="15"/>
                    <w:bottom w:type="dxa" w:w="0"/>
                    <w:right w:type="dxa" w:w="15"/>
                  </w:tcMar>
                  <w:vAlign w:val="top"/>
                </w:tcPr>
                <w:p>
                  <w:pPr>
                    <w:pStyle w:val="null3"/>
                    <w:jc w:val="center"/>
                  </w:pPr>
                  <w:r>
                    <w:rPr>
                      <w:sz w:val="21"/>
                    </w:rPr>
                    <w:t>东江支流高埗段保洁范围清单</w:t>
                  </w:r>
                </w:p>
              </w:tc>
            </w:tr>
            <w:tr>
              <w:tc>
                <w:tcPr>
                  <w:tcW w:type="dxa" w:w="6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河涌名</w:t>
                  </w:r>
                </w:p>
              </w:tc>
              <w:tc>
                <w:tcPr>
                  <w:tcW w:type="dxa" w:w="62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长（</w:t>
                  </w:r>
                  <w:r>
                    <w:rPr>
                      <w:sz w:val="21"/>
                    </w:rPr>
                    <w:t>m）</w:t>
                  </w:r>
                </w:p>
              </w:tc>
              <w:tc>
                <w:tcPr>
                  <w:tcW w:type="dxa" w:w="62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面积（㎡）</w:t>
                  </w:r>
                </w:p>
              </w:tc>
              <w:tc>
                <w:tcPr>
                  <w:tcW w:type="dxa" w:w="7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起点</w:t>
                  </w:r>
                </w:p>
              </w:tc>
              <w:tc>
                <w:tcPr>
                  <w:tcW w:type="dxa" w:w="101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终点</w:t>
                  </w:r>
                </w:p>
              </w:tc>
              <w:tc>
                <w:tcPr>
                  <w:tcW w:type="dxa" w:w="198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流经村</w:t>
                  </w:r>
                </w:p>
              </w:tc>
            </w:tr>
            <w:tr>
              <w:tc>
                <w:tcPr>
                  <w:tcW w:type="dxa" w:w="6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东江南支流（大王洲岛连通段）高埗镇段</w:t>
                  </w:r>
                </w:p>
              </w:tc>
              <w:tc>
                <w:tcPr>
                  <w:tcW w:type="dxa" w:w="6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220</w:t>
                  </w:r>
                </w:p>
              </w:tc>
              <w:tc>
                <w:tcPr>
                  <w:tcW w:type="dxa" w:w="6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水域面积合计约</w:t>
                  </w:r>
                  <w:r>
                    <w:rPr>
                      <w:sz w:val="21"/>
                    </w:rPr>
                    <w:t>1560000</w:t>
                  </w: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东城街道樟村社区与高埗镇上江城村交界西北侧与东江南支流（上游段）相交</w:t>
                  </w:r>
                </w:p>
              </w:tc>
              <w:tc>
                <w:tcPr>
                  <w:tcW w:type="dxa" w:w="10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东城街道樟村社区与高埗镇上江城村交界东南侧</w:t>
                  </w:r>
                </w:p>
              </w:tc>
              <w:tc>
                <w:tcPr>
                  <w:tcW w:type="dxa" w:w="19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上江城村</w:t>
                  </w:r>
                </w:p>
              </w:tc>
            </w:tr>
            <w:tr>
              <w:tc>
                <w:tcPr>
                  <w:tcW w:type="dxa" w:w="6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东江北干流高埗段</w:t>
                  </w:r>
                </w:p>
              </w:tc>
              <w:tc>
                <w:tcPr>
                  <w:tcW w:type="dxa" w:w="6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1220</w:t>
                  </w:r>
                </w:p>
              </w:tc>
              <w:tc>
                <w:tcPr>
                  <w:tcW w:type="dxa" w:w="626"/>
                  <w:vMerge/>
                  <w:tcBorders>
                    <w:top w:val="none" w:color="000000" w:sz="4"/>
                    <w:left w:val="none" w:color="000000" w:sz="4"/>
                    <w:bottom w:val="single" w:color="000000" w:sz="4"/>
                    <w:right w:val="single" w:color="000000" w:sz="4"/>
                  </w:tcBorders>
                </w:tcP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与石碣镇交界处</w:t>
                  </w:r>
                </w:p>
              </w:tc>
              <w:tc>
                <w:tcPr>
                  <w:tcW w:type="dxa" w:w="10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与中堂镇交界处</w:t>
                  </w:r>
                </w:p>
              </w:tc>
              <w:tc>
                <w:tcPr>
                  <w:tcW w:type="dxa" w:w="19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塘厦村</w:t>
                  </w:r>
                </w:p>
              </w:tc>
            </w:tr>
            <w:tr>
              <w:tc>
                <w:tcPr>
                  <w:tcW w:type="dxa" w:w="6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潢涌河高埗段</w:t>
                  </w:r>
                </w:p>
              </w:tc>
              <w:tc>
                <w:tcPr>
                  <w:tcW w:type="dxa" w:w="6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8490</w:t>
                  </w:r>
                </w:p>
              </w:tc>
              <w:tc>
                <w:tcPr>
                  <w:tcW w:type="dxa" w:w="626"/>
                  <w:vMerge/>
                  <w:tcBorders>
                    <w:top w:val="none" w:color="000000" w:sz="4"/>
                    <w:left w:val="none" w:color="000000" w:sz="4"/>
                    <w:bottom w:val="single" w:color="000000" w:sz="4"/>
                    <w:right w:val="single" w:color="000000" w:sz="4"/>
                  </w:tcBorders>
                </w:tcP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芦村村与中堂水道相交处</w:t>
                  </w:r>
                </w:p>
              </w:tc>
              <w:tc>
                <w:tcPr>
                  <w:tcW w:type="dxa" w:w="10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塘厦村北侧汇入东江北干流处</w:t>
                  </w:r>
                </w:p>
              </w:tc>
              <w:tc>
                <w:tcPr>
                  <w:tcW w:type="dxa" w:w="19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塘厦村、保安围村、护安围村、草墩村、芦村村（含飞地凤涌）</w:t>
                  </w:r>
                </w:p>
              </w:tc>
            </w:tr>
            <w:tr>
              <w:tc>
                <w:tcPr>
                  <w:tcW w:type="dxa" w:w="6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中堂水道高埗段</w:t>
                  </w:r>
                </w:p>
              </w:tc>
              <w:tc>
                <w:tcPr>
                  <w:tcW w:type="dxa" w:w="6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8240</w:t>
                  </w:r>
                </w:p>
              </w:tc>
              <w:tc>
                <w:tcPr>
                  <w:tcW w:type="dxa" w:w="626"/>
                  <w:vMerge/>
                  <w:tcBorders>
                    <w:top w:val="none" w:color="000000" w:sz="4"/>
                    <w:left w:val="none" w:color="000000" w:sz="4"/>
                    <w:bottom w:val="single" w:color="000000" w:sz="4"/>
                    <w:right w:val="single" w:color="000000" w:sz="4"/>
                  </w:tcBorders>
                </w:tcPr>
                <w:p/>
              </w:tc>
              <w:tc>
                <w:tcPr>
                  <w:tcW w:type="dxa" w:w="7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上江城村梨川大桥附近</w:t>
                  </w:r>
                </w:p>
              </w:tc>
              <w:tc>
                <w:tcPr>
                  <w:tcW w:type="dxa" w:w="10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芦村村与中堂镇风冲村的交界处</w:t>
                  </w:r>
                </w:p>
              </w:tc>
              <w:tc>
                <w:tcPr>
                  <w:tcW w:type="dxa" w:w="19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上江城村、下江城村、高埗村、新创社区、芦村村</w:t>
                  </w:r>
                </w:p>
              </w:tc>
            </w:tr>
            <w:tr>
              <w:tc>
                <w:tcPr>
                  <w:tcW w:type="dxa" w:w="6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合计</w:t>
                  </w:r>
                </w:p>
              </w:tc>
              <w:tc>
                <w:tcPr>
                  <w:tcW w:type="dxa" w:w="6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18170</w:t>
                  </w:r>
                </w:p>
              </w:tc>
              <w:tc>
                <w:tcPr>
                  <w:tcW w:type="dxa" w:w="4345"/>
                  <w:gridSpan w:val="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bl>
          <w:p>
            <w:pPr>
              <w:pStyle w:val="null3"/>
            </w:pPr>
            <w:r>
              <w:rPr>
                <w:sz w:val="21"/>
              </w:rPr>
              <w:t>3、保洁频次：镇属管理河涌落实一日两清工作，东江支流高埗段落实一周两清工作。</w:t>
            </w:r>
          </w:p>
        </w:tc>
      </w:tr>
      <w:tr>
        <w:tc>
          <w:tcPr>
            <w:tcW w:type="dxa" w:w="2076"/>
          </w:tcPr>
          <w:p/>
        </w:tc>
        <w:tc>
          <w:tcPr>
            <w:tcW w:type="dxa" w:w="415"/>
          </w:tcPr>
          <w:p>
            <w:pPr>
              <w:pStyle w:val="null3"/>
            </w:pPr>
            <w:r>
              <w:rPr/>
              <w:t>3</w:t>
            </w:r>
          </w:p>
        </w:tc>
        <w:tc>
          <w:tcPr>
            <w:tcW w:type="dxa" w:w="5814"/>
          </w:tcPr>
          <w:p>
            <w:pPr>
              <w:pStyle w:val="null3"/>
              <w:ind w:firstLine="480"/>
              <w:jc w:val="both"/>
            </w:pPr>
            <w:r>
              <w:rPr>
                <w:sz w:val="21"/>
                <w:b/>
              </w:rPr>
              <w:t>二、主要工作内容</w:t>
            </w:r>
          </w:p>
          <w:p>
            <w:pPr>
              <w:pStyle w:val="null3"/>
              <w:ind w:firstLine="420"/>
              <w:jc w:val="both"/>
            </w:pPr>
            <w:r>
              <w:rPr>
                <w:sz w:val="21"/>
              </w:rPr>
              <w:t>高埗镇镇管河涌水域面源整治包括水面垃圾（含水浮莲）清理保洁、迎水斜坡垃圾清理保洁等两部分工作。具体处理措施如下</w:t>
            </w:r>
          </w:p>
          <w:p>
            <w:pPr>
              <w:pStyle w:val="null3"/>
              <w:ind w:firstLine="420"/>
              <w:jc w:val="both"/>
            </w:pPr>
            <w:r>
              <w:rPr>
                <w:sz w:val="21"/>
              </w:rPr>
              <w:t>1、水面垃圾（含水浮莲、死猪、胶瓶子等）清理和保洁。水面垃圾（含水浮莲）不适宜焚烧，需由专业人员打捞、清理、运输至指定地点处理，具体内容包括：</w:t>
            </w:r>
          </w:p>
          <w:p>
            <w:pPr>
              <w:pStyle w:val="null3"/>
              <w:ind w:firstLine="420"/>
              <w:jc w:val="both"/>
            </w:pPr>
            <w:r>
              <w:rPr>
                <w:sz w:val="21"/>
              </w:rPr>
              <w:t>1）制定水面垃圾清理和保洁工作实施细则。</w:t>
            </w:r>
          </w:p>
          <w:p>
            <w:pPr>
              <w:pStyle w:val="null3"/>
              <w:ind w:firstLine="420"/>
              <w:jc w:val="both"/>
            </w:pPr>
            <w:r>
              <w:rPr>
                <w:sz w:val="21"/>
              </w:rPr>
              <w:t>2）</w:t>
            </w:r>
            <w:r>
              <w:rPr>
                <w:sz w:val="21"/>
              </w:rPr>
              <w:t>供应商</w:t>
            </w:r>
            <w:r>
              <w:rPr>
                <w:sz w:val="21"/>
              </w:rPr>
              <w:t>需要勘查现场，了解镇内河涌情况，分析首次和以后的水浮莲和垃圾数量，对打捞的水浮莲和垃圾处理有明确的处理方案。</w:t>
            </w:r>
          </w:p>
          <w:p>
            <w:pPr>
              <w:pStyle w:val="null3"/>
              <w:ind w:firstLine="420"/>
              <w:jc w:val="both"/>
            </w:pPr>
            <w:r>
              <w:rPr>
                <w:sz w:val="21"/>
              </w:rPr>
              <w:t>3）迅速开展清运准备工作，可因地制宜设立垃圾清运码头，并配套有关设备设施。</w:t>
            </w:r>
          </w:p>
          <w:p>
            <w:pPr>
              <w:pStyle w:val="null3"/>
              <w:ind w:firstLine="420"/>
              <w:jc w:val="both"/>
            </w:pPr>
            <w:r>
              <w:rPr>
                <w:sz w:val="21"/>
              </w:rPr>
              <w:t>4）由</w:t>
            </w:r>
            <w:r>
              <w:rPr>
                <w:sz w:val="21"/>
              </w:rPr>
              <w:t>供应商</w:t>
            </w:r>
            <w:r>
              <w:rPr>
                <w:sz w:val="21"/>
              </w:rPr>
              <w:t>制定第一次水面垃圾（含水浮莲）集中清理专项实施方案，开展第一次水面垃圾（含水浮莲）集中清理，对整治范围内河道进行全面清理，以便于日后保洁工作。</w:t>
            </w:r>
          </w:p>
          <w:p>
            <w:pPr>
              <w:pStyle w:val="null3"/>
              <w:ind w:firstLine="420"/>
              <w:jc w:val="both"/>
            </w:pPr>
            <w:r>
              <w:rPr>
                <w:sz w:val="21"/>
              </w:rPr>
              <w:t>2、迎水斜坡垃圾清理保洁。</w:t>
            </w:r>
          </w:p>
          <w:p>
            <w:pPr>
              <w:pStyle w:val="null3"/>
              <w:ind w:firstLine="420"/>
              <w:jc w:val="both"/>
            </w:pPr>
            <w:r>
              <w:rPr>
                <w:sz w:val="21"/>
              </w:rPr>
              <w:t>3、河涌水面及迎水斜坡垃圾清理保洁工作需验收考核，具体内容包括：</w:t>
            </w:r>
          </w:p>
          <w:p>
            <w:pPr>
              <w:pStyle w:val="null3"/>
              <w:ind w:firstLine="420"/>
              <w:jc w:val="both"/>
            </w:pPr>
            <w:r>
              <w:rPr>
                <w:sz w:val="21"/>
              </w:rPr>
              <w:t>1）河涌水面及迎水斜坡垃圾清理保洁工作需每月考核，由采购人组织实施。</w:t>
            </w:r>
          </w:p>
          <w:p>
            <w:pPr>
              <w:pStyle w:val="null3"/>
              <w:ind w:firstLine="420"/>
              <w:jc w:val="both"/>
            </w:pPr>
            <w:r>
              <w:rPr>
                <w:sz w:val="21"/>
              </w:rPr>
              <w:t>2）在迎水斜坡生长的树木，因不可抗力（台风、暴雨等自然灾害）造成树木倒塌在河涌水面的情况，</w:t>
            </w:r>
            <w:r>
              <w:rPr>
                <w:sz w:val="21"/>
              </w:rPr>
              <w:t>成交人</w:t>
            </w:r>
            <w:r>
              <w:rPr>
                <w:sz w:val="21"/>
              </w:rPr>
              <w:t>应在</w:t>
            </w:r>
            <w:r>
              <w:rPr>
                <w:sz w:val="21"/>
              </w:rPr>
              <w:t>12小时内或根据有关部门设定的时间内及时完成现场清理工作。</w:t>
            </w:r>
          </w:p>
          <w:p>
            <w:pPr>
              <w:pStyle w:val="null3"/>
              <w:ind w:firstLine="420"/>
              <w:jc w:val="both"/>
            </w:pPr>
            <w:r>
              <w:rPr>
                <w:sz w:val="21"/>
              </w:rPr>
              <w:t>3）采购人每周派出巡河队对作业情况进行记录，根据东莞市高埗镇水域面源整治作业评分标准相应进行扣分。</w:t>
            </w:r>
          </w:p>
        </w:tc>
      </w:tr>
      <w:tr>
        <w:tc>
          <w:tcPr>
            <w:tcW w:type="dxa" w:w="2076"/>
          </w:tcPr>
          <w:p/>
        </w:tc>
        <w:tc>
          <w:tcPr>
            <w:tcW w:type="dxa" w:w="415"/>
          </w:tcPr>
          <w:p>
            <w:pPr>
              <w:pStyle w:val="null3"/>
            </w:pPr>
            <w:r>
              <w:rPr/>
              <w:t>4</w:t>
            </w:r>
          </w:p>
        </w:tc>
        <w:tc>
          <w:tcPr>
            <w:tcW w:type="dxa" w:w="5814"/>
          </w:tcPr>
          <w:p>
            <w:pPr>
              <w:pStyle w:val="null3"/>
              <w:ind w:firstLine="480"/>
              <w:jc w:val="both"/>
            </w:pPr>
            <w:r>
              <w:rPr>
                <w:sz w:val="21"/>
                <w:b/>
              </w:rPr>
              <w:t>三、工作要求</w:t>
            </w:r>
          </w:p>
          <w:p>
            <w:pPr>
              <w:pStyle w:val="null3"/>
              <w:ind w:firstLine="420"/>
              <w:jc w:val="both"/>
            </w:pPr>
            <w:r>
              <w:rPr>
                <w:sz w:val="21"/>
              </w:rPr>
              <w:t>本项目执行水域面源整治标准，严格实行项目经理制度，项目经理专职全面负责本项目，并做好每天的监督检查记录和存档上报；保洁作业工人需穿着统一工作服（需经采购人审定）上岗。具体管理要求如下：</w:t>
            </w:r>
          </w:p>
          <w:p>
            <w:pPr>
              <w:pStyle w:val="null3"/>
              <w:ind w:firstLine="420"/>
              <w:jc w:val="both"/>
            </w:pPr>
            <w:r>
              <w:rPr>
                <w:sz w:val="21"/>
              </w:rPr>
              <w:t>1、人员设备配置要求：</w:t>
            </w:r>
          </w:p>
          <w:p>
            <w:pPr>
              <w:pStyle w:val="null3"/>
              <w:ind w:firstLine="420"/>
              <w:jc w:val="both"/>
            </w:pPr>
            <w:r>
              <w:rPr>
                <w:sz w:val="21"/>
              </w:rPr>
              <w:t>1）</w:t>
            </w:r>
            <w:r>
              <w:rPr>
                <w:sz w:val="21"/>
              </w:rPr>
              <w:t>供应商</w:t>
            </w:r>
            <w:r>
              <w:rPr>
                <w:sz w:val="21"/>
              </w:rPr>
              <w:t>需针对本项目组建一支不少于以下要求的河道保洁专业管理队伍</w:t>
            </w:r>
            <w:r>
              <w:rPr>
                <w:sz w:val="21"/>
              </w:rPr>
              <w:t>（</w:t>
            </w:r>
            <w:r>
              <w:rPr>
                <w:sz w:val="21"/>
              </w:rPr>
              <w:t>包括项目主管</w:t>
            </w:r>
            <w:r>
              <w:rPr>
                <w:sz w:val="21"/>
              </w:rPr>
              <w:t>1名、管理组长2名、财务人员1名、专职资料员1名、河道保洁人员1</w:t>
            </w:r>
            <w:r>
              <w:rPr>
                <w:sz w:val="21"/>
              </w:rPr>
              <w:t>0</w:t>
            </w:r>
            <w:r>
              <w:rPr>
                <w:sz w:val="21"/>
              </w:rPr>
              <w:t>名等共计不少于</w:t>
            </w:r>
            <w:r>
              <w:rPr>
                <w:sz w:val="21"/>
              </w:rPr>
              <w:t>1</w:t>
            </w:r>
            <w:r>
              <w:rPr>
                <w:sz w:val="21"/>
              </w:rPr>
              <w:t>5</w:t>
            </w:r>
            <w:r>
              <w:rPr>
                <w:sz w:val="21"/>
              </w:rPr>
              <w:t>人</w:t>
            </w:r>
            <w:r>
              <w:rPr>
                <w:sz w:val="21"/>
              </w:rPr>
              <w:t>）；一</w:t>
            </w:r>
            <w:r>
              <w:rPr>
                <w:sz w:val="21"/>
              </w:rPr>
              <w:t>套完整的设备及工具等，配置不低于巡查车辆</w:t>
            </w:r>
            <w:r>
              <w:rPr>
                <w:sz w:val="21"/>
              </w:rPr>
              <w:t>2台（轿车，1台用于日常巡查使用，1台用于突发情况应急使用）、垃圾清运车辆1台、巡河快艇1艘、</w:t>
            </w:r>
            <w:r>
              <w:rPr>
                <w:sz w:val="21"/>
              </w:rPr>
              <w:t>1</w:t>
            </w:r>
            <w:r>
              <w:rPr>
                <w:sz w:val="21"/>
              </w:rPr>
              <w:t>吨或以上符合安全标准且外观质量好的</w:t>
            </w:r>
            <w:r>
              <w:rPr>
                <w:sz w:val="21"/>
              </w:rPr>
              <w:t>河道保洁</w:t>
            </w:r>
            <w:r>
              <w:rPr>
                <w:sz w:val="21"/>
              </w:rPr>
              <w:t>船</w:t>
            </w:r>
            <w:r>
              <w:rPr>
                <w:sz w:val="21"/>
              </w:rPr>
              <w:t>4</w:t>
            </w:r>
            <w:r>
              <w:rPr>
                <w:sz w:val="21"/>
              </w:rPr>
              <w:t>艘、手推车</w:t>
            </w:r>
            <w:r>
              <w:rPr>
                <w:sz w:val="21"/>
              </w:rPr>
              <w:t>2台、足量的水面垃圾清理工具以及充足的拦污带、吸油棉等应急清理物资，另外还需为所有员工配置救生衣、反光衣、线手套、雨衣及工作服装等。垃圾收集车、手推车需有密闭措施。车辆应按要求印制统一标识。</w:t>
            </w:r>
          </w:p>
          <w:p>
            <w:pPr>
              <w:pStyle w:val="null3"/>
              <w:ind w:firstLine="420"/>
              <w:jc w:val="both"/>
            </w:pPr>
            <w:r>
              <w:rPr>
                <w:sz w:val="21"/>
              </w:rPr>
              <w:t>2）</w:t>
            </w:r>
            <w:r>
              <w:rPr>
                <w:sz w:val="21"/>
              </w:rPr>
              <w:t>成交人</w:t>
            </w:r>
            <w:r>
              <w:rPr>
                <w:sz w:val="21"/>
              </w:rPr>
              <w:t>需</w:t>
            </w:r>
            <w:r>
              <w:rPr>
                <w:sz w:val="21"/>
              </w:rPr>
              <w:t>在中标（成交）后</w:t>
            </w:r>
            <w:r>
              <w:rPr>
                <w:sz w:val="21"/>
              </w:rPr>
              <w:t>在本镇内设置办公室、工具房。工具及办公地点需在发出</w:t>
            </w:r>
            <w:r>
              <w:rPr>
                <w:sz w:val="21"/>
              </w:rPr>
              <w:t>中标（成交）通知书</w:t>
            </w:r>
            <w:r>
              <w:rPr>
                <w:sz w:val="21"/>
              </w:rPr>
              <w:t>之日起</w:t>
            </w:r>
            <w:r>
              <w:rPr>
                <w:sz w:val="21"/>
              </w:rPr>
              <w:t>20日内经采购人验收认定。</w:t>
            </w:r>
          </w:p>
          <w:p>
            <w:pPr>
              <w:pStyle w:val="null3"/>
              <w:ind w:firstLine="420"/>
              <w:jc w:val="both"/>
            </w:pPr>
            <w:r>
              <w:rPr>
                <w:sz w:val="21"/>
              </w:rPr>
              <w:t>3）</w:t>
            </w:r>
            <w:r>
              <w:rPr>
                <w:sz w:val="21"/>
              </w:rPr>
              <w:t>成交人</w:t>
            </w:r>
            <w:r>
              <w:rPr>
                <w:sz w:val="21"/>
              </w:rPr>
              <w:t>需要按国家有关法律法规守法经营，按国家有关规定按时支付工人的工资和有关福利待遇，否则采购人有权单方面终止合同，并没收</w:t>
            </w:r>
            <w:r>
              <w:rPr>
                <w:sz w:val="21"/>
              </w:rPr>
              <w:t>成交人</w:t>
            </w:r>
            <w:r>
              <w:rPr>
                <w:sz w:val="21"/>
              </w:rPr>
              <w:t>履约保证金。</w:t>
            </w:r>
          </w:p>
          <w:p>
            <w:pPr>
              <w:pStyle w:val="null3"/>
              <w:ind w:firstLine="420"/>
              <w:jc w:val="both"/>
            </w:pPr>
            <w:r>
              <w:rPr>
                <w:sz w:val="21"/>
              </w:rPr>
              <w:t>2、作业管理要求：</w:t>
            </w:r>
          </w:p>
          <w:p>
            <w:pPr>
              <w:pStyle w:val="null3"/>
              <w:ind w:firstLine="420"/>
              <w:jc w:val="both"/>
            </w:pPr>
            <w:r>
              <w:rPr>
                <w:sz w:val="21"/>
              </w:rPr>
              <w:t>1）</w:t>
            </w:r>
            <w:r>
              <w:rPr>
                <w:sz w:val="21"/>
              </w:rPr>
              <w:t>成交人</w:t>
            </w:r>
            <w:r>
              <w:rPr>
                <w:sz w:val="21"/>
              </w:rPr>
              <w:t>需要在合同签订后</w:t>
            </w:r>
            <w:r>
              <w:rPr>
                <w:sz w:val="21"/>
              </w:rPr>
              <w:t>10个工作日内开展第一次水面垃圾（含水浮莲）集中清理，集中清理需要为日后日常清理保洁做好准备。</w:t>
            </w:r>
          </w:p>
          <w:p>
            <w:pPr>
              <w:pStyle w:val="null3"/>
              <w:ind w:firstLine="420"/>
              <w:jc w:val="both"/>
            </w:pPr>
            <w:r>
              <w:rPr>
                <w:sz w:val="21"/>
              </w:rPr>
              <w:t>2）</w:t>
            </w:r>
            <w:r>
              <w:rPr>
                <w:sz w:val="21"/>
              </w:rPr>
              <w:t>供应商</w:t>
            </w:r>
            <w:r>
              <w:rPr>
                <w:sz w:val="21"/>
              </w:rPr>
              <w:t>需认真落实镇属管理河涌一日两清工作，合理配置河道清洁人员在河涌水面实行全天</w:t>
            </w:r>
            <w:r>
              <w:rPr>
                <w:sz w:val="21"/>
              </w:rPr>
              <w:t>1</w:t>
            </w:r>
            <w:r>
              <w:rPr>
                <w:sz w:val="21"/>
              </w:rPr>
              <w:t>0</w:t>
            </w:r>
            <w:r>
              <w:rPr>
                <w:sz w:val="21"/>
              </w:rPr>
              <w:t>小时（即早上</w:t>
            </w:r>
            <w:r>
              <w:rPr>
                <w:sz w:val="21"/>
              </w:rPr>
              <w:t>7时至</w:t>
            </w:r>
            <w:r>
              <w:rPr>
                <w:sz w:val="21"/>
              </w:rPr>
              <w:t>中午</w:t>
            </w:r>
            <w:r>
              <w:rPr>
                <w:sz w:val="21"/>
              </w:rPr>
              <w:t>12时，下午13时至</w:t>
            </w:r>
            <w:r>
              <w:rPr>
                <w:sz w:val="21"/>
              </w:rPr>
              <w:t>当晚上</w:t>
            </w:r>
            <w:r>
              <w:rPr>
                <w:sz w:val="21"/>
              </w:rPr>
              <w:t>6时）巡回清理和保洁（6级及6级以上大风、红色暴雨警告除外），首次清洁应在9：00前完成；认真落实东江支流高埗段一周定期两清工作。</w:t>
            </w:r>
          </w:p>
          <w:p>
            <w:pPr>
              <w:pStyle w:val="null3"/>
              <w:ind w:firstLine="420"/>
              <w:jc w:val="both"/>
            </w:pPr>
            <w:r>
              <w:rPr>
                <w:sz w:val="21"/>
              </w:rPr>
              <w:t>3）管护保洁范围内的河涌水面保持干净整洁无漂浮垃圾、杂物、漂浮植物，无卫生死角和盲区。</w:t>
            </w:r>
          </w:p>
          <w:p>
            <w:pPr>
              <w:pStyle w:val="null3"/>
              <w:ind w:firstLine="420"/>
              <w:jc w:val="both"/>
            </w:pPr>
            <w:r>
              <w:rPr>
                <w:sz w:val="21"/>
              </w:rPr>
              <w:t>4）管护保洁范围内的迎水斜坡保持干净整洁无垃圾、杂物、枯枝杂树、废物，无卫生死角和盲区。</w:t>
            </w:r>
          </w:p>
          <w:p>
            <w:pPr>
              <w:pStyle w:val="null3"/>
              <w:ind w:firstLine="420"/>
              <w:jc w:val="both"/>
            </w:pPr>
            <w:r>
              <w:rPr>
                <w:sz w:val="21"/>
              </w:rPr>
              <w:t>5）收集的垃圾要做到日产日清，不能堆放在河涌两边。</w:t>
            </w:r>
          </w:p>
          <w:p>
            <w:pPr>
              <w:pStyle w:val="null3"/>
              <w:ind w:firstLine="420"/>
              <w:jc w:val="both"/>
            </w:pPr>
            <w:r>
              <w:rPr>
                <w:sz w:val="21"/>
              </w:rPr>
              <w:t>6）垃圾运输车辆运输时不得沿途洒漏，转载后车容整洁。</w:t>
            </w:r>
          </w:p>
          <w:p>
            <w:pPr>
              <w:pStyle w:val="null3"/>
              <w:ind w:firstLine="420"/>
              <w:jc w:val="both"/>
            </w:pPr>
            <w:r>
              <w:rPr>
                <w:sz w:val="21"/>
              </w:rPr>
              <w:t>7）每日对水域环境卫生实行定时保洁、收运，并做好记录。</w:t>
            </w:r>
          </w:p>
          <w:p>
            <w:pPr>
              <w:pStyle w:val="null3"/>
              <w:ind w:firstLine="420"/>
              <w:jc w:val="both"/>
            </w:pPr>
            <w:r>
              <w:rPr>
                <w:sz w:val="21"/>
              </w:rPr>
              <w:t>8）该管理项目产生的垃圾由</w:t>
            </w:r>
            <w:r>
              <w:rPr>
                <w:sz w:val="21"/>
              </w:rPr>
              <w:t>成交人</w:t>
            </w:r>
            <w:r>
              <w:rPr>
                <w:sz w:val="21"/>
              </w:rPr>
              <w:t>自行处理、运输至合法的垃圾收运站。运输过程中垃圾不得扬、洒、拖挂，不得乱倒、乱卸、乱抛，不得有污水滴漏。</w:t>
            </w:r>
          </w:p>
          <w:p>
            <w:pPr>
              <w:pStyle w:val="null3"/>
              <w:ind w:firstLine="420"/>
              <w:jc w:val="both"/>
            </w:pPr>
            <w:r>
              <w:rPr>
                <w:sz w:val="21"/>
              </w:rPr>
              <w:t>9）项目主管要落实好岗位责任制，加强日常巡查，发现他人在保洁范围内乱倾倒垃圾的行动，要及时制止，并向属地执法部门报告，同时恢复场地原貌。</w:t>
            </w:r>
          </w:p>
          <w:p>
            <w:pPr>
              <w:pStyle w:val="null3"/>
              <w:ind w:firstLine="420"/>
              <w:jc w:val="both"/>
            </w:pPr>
            <w:r>
              <w:rPr>
                <w:sz w:val="21"/>
              </w:rPr>
              <w:t>1</w:t>
            </w:r>
            <w:r>
              <w:rPr>
                <w:sz w:val="21"/>
              </w:rPr>
              <w:t>0</w:t>
            </w:r>
            <w:r>
              <w:rPr>
                <w:sz w:val="21"/>
              </w:rPr>
              <w:t>）每月</w:t>
            </w:r>
            <w:r>
              <w:rPr>
                <w:sz w:val="21"/>
              </w:rPr>
              <w:t>3日前，按指定格式向主管部门上报上月各类作业统计表和当月工作计划。</w:t>
            </w:r>
          </w:p>
          <w:p>
            <w:pPr>
              <w:pStyle w:val="null3"/>
              <w:ind w:firstLine="420"/>
              <w:jc w:val="both"/>
            </w:pPr>
            <w:r>
              <w:rPr>
                <w:sz w:val="21"/>
              </w:rPr>
              <w:t>1</w:t>
            </w:r>
            <w:r>
              <w:rPr>
                <w:sz w:val="21"/>
              </w:rPr>
              <w:t>1</w:t>
            </w:r>
            <w:r>
              <w:rPr>
                <w:sz w:val="21"/>
              </w:rPr>
              <w:t>）</w:t>
            </w:r>
            <w:r>
              <w:rPr>
                <w:sz w:val="21"/>
              </w:rPr>
              <w:t>成交人</w:t>
            </w:r>
            <w:r>
              <w:rPr>
                <w:sz w:val="21"/>
              </w:rPr>
              <w:t>每天应安排专人值班，并</w:t>
            </w:r>
            <w:r>
              <w:rPr>
                <w:sz w:val="21"/>
              </w:rPr>
              <w:t>24小时开机，以防突发事故，</w:t>
            </w:r>
            <w:r>
              <w:rPr>
                <w:sz w:val="21"/>
              </w:rPr>
              <w:t>成交人</w:t>
            </w:r>
            <w:r>
              <w:rPr>
                <w:sz w:val="21"/>
              </w:rPr>
              <w:t>要预备一艘</w:t>
            </w:r>
            <w:r>
              <w:rPr>
                <w:sz w:val="21"/>
              </w:rPr>
              <w:t>河道保洁</w:t>
            </w:r>
            <w:r>
              <w:rPr>
                <w:sz w:val="21"/>
              </w:rPr>
              <w:t>船、</w:t>
            </w:r>
            <w:r>
              <w:rPr>
                <w:sz w:val="21"/>
              </w:rPr>
              <w:t>3名工作人员作为应急处理分队。该分队接到采购人通知后20分钟内将所需的材料和人员运送到现场进行抢险工作。</w:t>
            </w:r>
          </w:p>
          <w:p>
            <w:pPr>
              <w:pStyle w:val="null3"/>
              <w:ind w:firstLine="420"/>
              <w:jc w:val="both"/>
            </w:pPr>
            <w:r>
              <w:rPr>
                <w:sz w:val="21"/>
              </w:rPr>
              <w:t>1</w:t>
            </w:r>
            <w:r>
              <w:rPr>
                <w:sz w:val="21"/>
              </w:rPr>
              <w:t>2</w:t>
            </w:r>
            <w:r>
              <w:rPr>
                <w:sz w:val="21"/>
              </w:rPr>
              <w:t>）</w:t>
            </w:r>
            <w:r>
              <w:rPr>
                <w:sz w:val="21"/>
              </w:rPr>
              <w:t>成交人</w:t>
            </w:r>
            <w:r>
              <w:rPr>
                <w:sz w:val="21"/>
              </w:rPr>
              <w:t>应负责河涌两岸树头垃圾；</w:t>
            </w:r>
          </w:p>
          <w:p>
            <w:pPr>
              <w:pStyle w:val="null3"/>
              <w:ind w:firstLine="420"/>
              <w:jc w:val="both"/>
            </w:pPr>
            <w:r>
              <w:rPr>
                <w:sz w:val="21"/>
              </w:rPr>
              <w:t>1</w:t>
            </w:r>
            <w:r>
              <w:rPr>
                <w:sz w:val="21"/>
              </w:rPr>
              <w:t>3</w:t>
            </w:r>
            <w:r>
              <w:rPr>
                <w:sz w:val="21"/>
              </w:rPr>
              <w:t>）</w:t>
            </w:r>
            <w:r>
              <w:rPr>
                <w:sz w:val="21"/>
              </w:rPr>
              <w:t>成交人</w:t>
            </w:r>
            <w:r>
              <w:rPr>
                <w:sz w:val="21"/>
              </w:rPr>
              <w:t>需无条件服从采购人的一切应急及迎检任务，重大节假日及或活动等特殊情况需指定应急处理方案。</w:t>
            </w:r>
          </w:p>
        </w:tc>
      </w:tr>
      <w:tr>
        <w:tc>
          <w:tcPr>
            <w:tcW w:type="dxa" w:w="2076"/>
          </w:tcPr>
          <w:p/>
        </w:tc>
        <w:tc>
          <w:tcPr>
            <w:tcW w:type="dxa" w:w="415"/>
          </w:tcPr>
          <w:p>
            <w:pPr>
              <w:pStyle w:val="null3"/>
            </w:pPr>
            <w:r>
              <w:rPr/>
              <w:t>5</w:t>
            </w:r>
          </w:p>
        </w:tc>
        <w:tc>
          <w:tcPr>
            <w:tcW w:type="dxa" w:w="5814"/>
          </w:tcPr>
          <w:p>
            <w:pPr>
              <w:pStyle w:val="null3"/>
              <w:ind w:firstLine="480"/>
              <w:jc w:val="both"/>
            </w:pPr>
            <w:r>
              <w:rPr>
                <w:sz w:val="21"/>
                <w:b/>
              </w:rPr>
              <w:t>四、其他要求：</w:t>
            </w:r>
          </w:p>
          <w:p>
            <w:pPr>
              <w:pStyle w:val="null3"/>
              <w:ind w:firstLine="420"/>
              <w:jc w:val="both"/>
            </w:pPr>
            <w:r>
              <w:rPr>
                <w:sz w:val="21"/>
              </w:rPr>
              <w:t>1</w:t>
            </w:r>
            <w:r>
              <w:rPr>
                <w:sz w:val="21"/>
              </w:rPr>
              <w:t>、</w:t>
            </w:r>
            <w:r>
              <w:rPr>
                <w:sz w:val="21"/>
              </w:rPr>
              <w:t>供应商</w:t>
            </w:r>
            <w:r>
              <w:rPr>
                <w:sz w:val="21"/>
              </w:rPr>
              <w:t>就本项目指派的项目经理在投标</w:t>
            </w:r>
            <w:r>
              <w:rPr>
                <w:sz w:val="21"/>
              </w:rPr>
              <w:t>响应</w:t>
            </w:r>
            <w:r>
              <w:rPr>
                <w:sz w:val="21"/>
              </w:rPr>
              <w:t>前需认真勘察现场，充分掌握现场实际情况后，逐条对应用户需求书中具体要求制定详细的、切实可行的实施及应急抢险方案。方案要求包括实施计划、设备、人员、安全文明施工等。</w:t>
            </w:r>
          </w:p>
          <w:p>
            <w:pPr>
              <w:pStyle w:val="null3"/>
              <w:ind w:firstLine="420"/>
              <w:jc w:val="both"/>
            </w:pPr>
            <w:r>
              <w:rPr>
                <w:sz w:val="21"/>
              </w:rPr>
              <w:t>2</w:t>
            </w:r>
            <w:r>
              <w:rPr>
                <w:sz w:val="21"/>
              </w:rPr>
              <w:t>、</w:t>
            </w:r>
            <w:r>
              <w:rPr>
                <w:sz w:val="21"/>
              </w:rPr>
              <w:t>供应商</w:t>
            </w:r>
            <w:r>
              <w:rPr>
                <w:sz w:val="21"/>
              </w:rPr>
              <w:t>在中标</w:t>
            </w:r>
            <w:r>
              <w:rPr>
                <w:sz w:val="21"/>
              </w:rPr>
              <w:t>（</w:t>
            </w:r>
            <w:r>
              <w:rPr>
                <w:sz w:val="21"/>
              </w:rPr>
              <w:t>成交）</w:t>
            </w:r>
            <w:r>
              <w:rPr>
                <w:sz w:val="21"/>
              </w:rPr>
              <w:t>后，严格按照其</w:t>
            </w:r>
            <w:r>
              <w:rPr>
                <w:sz w:val="21"/>
              </w:rPr>
              <w:t>响应</w:t>
            </w:r>
            <w:r>
              <w:rPr>
                <w:sz w:val="21"/>
              </w:rPr>
              <w:t>文件中的实施方案执行；除非其更改方案优于原</w:t>
            </w:r>
            <w:r>
              <w:rPr>
                <w:sz w:val="21"/>
              </w:rPr>
              <w:t>响应</w:t>
            </w:r>
            <w:r>
              <w:rPr>
                <w:sz w:val="21"/>
              </w:rPr>
              <w:t>文件的，并经采购人确认后，方可更改。</w:t>
            </w:r>
          </w:p>
          <w:p>
            <w:pPr>
              <w:pStyle w:val="null3"/>
              <w:ind w:firstLine="420"/>
              <w:jc w:val="both"/>
            </w:pPr>
            <w:r>
              <w:rPr>
                <w:sz w:val="21"/>
              </w:rPr>
              <w:t>3</w:t>
            </w:r>
            <w:r>
              <w:rPr>
                <w:sz w:val="21"/>
              </w:rPr>
              <w:t>、</w:t>
            </w:r>
            <w:r>
              <w:rPr>
                <w:sz w:val="21"/>
              </w:rPr>
              <w:t>供应商</w:t>
            </w:r>
            <w:r>
              <w:rPr>
                <w:sz w:val="21"/>
              </w:rPr>
              <w:t>应本着认真、负责态度组织技术队伍，做好项目服务的工作落实方案。</w:t>
            </w:r>
          </w:p>
          <w:p>
            <w:pPr>
              <w:pStyle w:val="null3"/>
              <w:ind w:firstLine="420"/>
              <w:jc w:val="both"/>
            </w:pPr>
            <w:r>
              <w:rPr>
                <w:sz w:val="21"/>
              </w:rPr>
              <w:t>4</w:t>
            </w:r>
            <w:r>
              <w:rPr>
                <w:sz w:val="21"/>
              </w:rPr>
              <w:t>、项目未尽事宜将在采购合同中另行约定，</w:t>
            </w:r>
            <w:r>
              <w:rPr>
                <w:sz w:val="21"/>
              </w:rPr>
              <w:t>成交人</w:t>
            </w:r>
            <w:r>
              <w:rPr>
                <w:sz w:val="21"/>
              </w:rPr>
              <w:t>需无条件同意采购人基于为顺利完成本项目所提出的各项合理要求。</w:t>
            </w:r>
          </w:p>
        </w:tc>
      </w:tr>
      <w:tr>
        <w:tc>
          <w:tcPr>
            <w:tcW w:type="dxa" w:w="2076"/>
          </w:tcPr>
          <w:p/>
        </w:tc>
        <w:tc>
          <w:tcPr>
            <w:tcW w:type="dxa" w:w="415"/>
          </w:tcPr>
          <w:p>
            <w:pPr>
              <w:pStyle w:val="null3"/>
            </w:pPr>
            <w:r>
              <w:rPr/>
              <w:t>6</w:t>
            </w:r>
          </w:p>
        </w:tc>
        <w:tc>
          <w:tcPr>
            <w:tcW w:type="dxa" w:w="5814"/>
          </w:tcPr>
          <w:p>
            <w:pPr>
              <w:pStyle w:val="null3"/>
              <w:ind w:firstLine="480"/>
              <w:jc w:val="both"/>
            </w:pPr>
            <w:r>
              <w:rPr>
                <w:sz w:val="21"/>
                <w:b/>
              </w:rPr>
              <w:t>五、工作评分标准</w:t>
            </w:r>
          </w:p>
          <w:p>
            <w:pPr>
              <w:pStyle w:val="null3"/>
              <w:ind w:firstLine="480"/>
              <w:jc w:val="center"/>
            </w:pPr>
            <w:r>
              <w:rPr>
                <w:sz w:val="21"/>
                <w:b/>
              </w:rPr>
              <w:t>《东莞市高埗镇水域面源整治作业评分标准》</w:t>
            </w:r>
          </w:p>
          <w:tbl>
            <w:tblPr>
              <w:tblInd w:type="dxa" w:w="210"/>
              <w:tblBorders>
                <w:top w:val="none" w:color="000000" w:sz="4"/>
                <w:left w:val="none" w:color="000000" w:sz="4"/>
                <w:bottom w:val="none" w:color="000000" w:sz="4"/>
                <w:right w:val="none" w:color="000000" w:sz="4"/>
                <w:insideH w:val="none"/>
                <w:insideV w:val="none"/>
              </w:tblBorders>
            </w:tblPr>
            <w:tblGrid>
              <w:gridCol w:w="567"/>
              <w:gridCol w:w="1689"/>
              <w:gridCol w:w="2280"/>
              <w:gridCol w:w="520"/>
              <w:gridCol w:w="532"/>
            </w:tblGrid>
            <w:tr>
              <w:tc>
                <w:tcPr>
                  <w:tcW w:type="dxa" w:w="225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现场考核</w:t>
                  </w:r>
                </w:p>
              </w:tc>
              <w:tc>
                <w:tcPr>
                  <w:tcW w:type="dxa" w:w="228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扣分办法</w:t>
                  </w:r>
                </w:p>
              </w:tc>
              <w:tc>
                <w:tcPr>
                  <w:tcW w:type="dxa" w:w="52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应得分</w:t>
                  </w:r>
                </w:p>
              </w:tc>
              <w:tc>
                <w:tcPr>
                  <w:tcW w:type="dxa" w:w="53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检查扣分</w:t>
                  </w:r>
                </w:p>
              </w:tc>
            </w:tr>
            <w:tr>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1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检查方法及评价依据</w:t>
                  </w:r>
                </w:p>
              </w:tc>
              <w:tc>
                <w:tcPr>
                  <w:tcW w:type="dxa" w:w="2280"/>
                  <w:vMerge/>
                  <w:tcBorders>
                    <w:top w:val="single" w:color="000000" w:sz="4"/>
                    <w:left w:val="none" w:color="000000" w:sz="4"/>
                    <w:bottom w:val="single" w:color="000000" w:sz="4"/>
                    <w:right w:val="single" w:color="000000" w:sz="4"/>
                  </w:tcBorders>
                </w:tcPr>
                <w:p/>
              </w:tc>
              <w:tc>
                <w:tcPr>
                  <w:tcW w:type="dxa" w:w="520"/>
                  <w:vMerge/>
                  <w:tcBorders>
                    <w:top w:val="single" w:color="000000" w:sz="4"/>
                    <w:left w:val="none" w:color="000000" w:sz="4"/>
                    <w:bottom w:val="single" w:color="000000" w:sz="4"/>
                    <w:right w:val="single" w:color="000000" w:sz="4"/>
                  </w:tcBorders>
                </w:tcPr>
                <w:p/>
              </w:tc>
              <w:tc>
                <w:tcPr>
                  <w:tcW w:type="dxa" w:w="532"/>
                  <w:vMerge/>
                  <w:tcBorders>
                    <w:top w:val="single" w:color="000000" w:sz="4"/>
                    <w:left w:val="none" w:color="000000" w:sz="4"/>
                    <w:bottom w:val="single" w:color="000000" w:sz="4"/>
                    <w:right w:val="single" w:color="000000" w:sz="4"/>
                  </w:tcBorders>
                </w:tcPr>
                <w:p/>
              </w:tc>
            </w:tr>
            <w:tr>
              <w:tc>
                <w:tcPr>
                  <w:tcW w:type="dxa" w:w="5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水域面源整治作业（</w:t>
                  </w:r>
                  <w:r>
                    <w:rPr>
                      <w:sz w:val="21"/>
                    </w:rPr>
                    <w:t>65</w:t>
                  </w:r>
                  <w:r>
                    <w:rPr>
                      <w:sz w:val="21"/>
                    </w:rPr>
                    <w:t>分）</w:t>
                  </w:r>
                </w:p>
              </w:tc>
              <w:tc>
                <w:tcPr>
                  <w:tcW w:type="dxa" w:w="1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、河涌及涌边迎水斜坡出现未清理。</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、坡岸每处零散垃圾大于或等于</w:t>
                  </w:r>
                  <w:r>
                    <w:rPr>
                      <w:sz w:val="21"/>
                    </w:rPr>
                    <w:t>1</w:t>
                  </w:r>
                  <w:r>
                    <w:rPr>
                      <w:sz w:val="21"/>
                    </w:rPr>
                    <w:t>平方米扣</w:t>
                  </w:r>
                  <w:r>
                    <w:rPr>
                      <w:sz w:val="21"/>
                    </w:rPr>
                    <w:t>1</w:t>
                  </w:r>
                  <w:r>
                    <w:rPr>
                      <w:sz w:val="21"/>
                    </w:rPr>
                    <w:t>分；成片垃圾每处扣</w:t>
                  </w:r>
                  <w:r>
                    <w:rPr>
                      <w:sz w:val="21"/>
                    </w:rPr>
                    <w:t>2</w:t>
                  </w:r>
                  <w:r>
                    <w:rPr>
                      <w:sz w:val="21"/>
                    </w:rPr>
                    <w:t>分，扣完为止。</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7"/>
                  <w:vMerge/>
                  <w:tcBorders>
                    <w:top w:val="none" w:color="000000" w:sz="4"/>
                    <w:left w:val="single" w:color="000000" w:sz="4"/>
                    <w:bottom w:val="single" w:color="000000" w:sz="4"/>
                    <w:right w:val="single" w:color="000000" w:sz="4"/>
                  </w:tcBorders>
                </w:tcPr>
                <w:p/>
              </w:tc>
              <w:tc>
                <w:tcPr>
                  <w:tcW w:type="dxa" w:w="1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r>
                    <w:rPr>
                      <w:sz w:val="21"/>
                    </w:rPr>
                    <w:t>、河涌及涌边迎水斜坡严格控制无漂浮物无垃圾。</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r>
                    <w:rPr>
                      <w:sz w:val="21"/>
                    </w:rPr>
                    <w:t>、每处漂浮物大于或等于</w:t>
                  </w:r>
                  <w:r>
                    <w:rPr>
                      <w:sz w:val="21"/>
                    </w:rPr>
                    <w:t>1</w:t>
                  </w:r>
                  <w:r>
                    <w:rPr>
                      <w:sz w:val="21"/>
                    </w:rPr>
                    <w:t>平方米扣</w:t>
                  </w:r>
                  <w:r>
                    <w:rPr>
                      <w:sz w:val="21"/>
                    </w:rPr>
                    <w:t>1</w:t>
                  </w:r>
                  <w:r>
                    <w:rPr>
                      <w:sz w:val="21"/>
                    </w:rPr>
                    <w:t>分；集中成片漂浮物每处扣</w:t>
                  </w:r>
                  <w:r>
                    <w:rPr>
                      <w:sz w:val="21"/>
                    </w:rPr>
                    <w:t>2</w:t>
                  </w:r>
                  <w:r>
                    <w:rPr>
                      <w:sz w:val="21"/>
                    </w:rPr>
                    <w:t>分，扣完为止。</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7"/>
                  <w:vMerge/>
                  <w:tcBorders>
                    <w:top w:val="none" w:color="000000" w:sz="4"/>
                    <w:left w:val="single" w:color="000000" w:sz="4"/>
                    <w:bottom w:val="single" w:color="000000" w:sz="4"/>
                    <w:right w:val="single" w:color="000000" w:sz="4"/>
                  </w:tcBorders>
                </w:tcPr>
                <w:p/>
              </w:tc>
              <w:tc>
                <w:tcPr>
                  <w:tcW w:type="dxa" w:w="16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r>
                    <w:rPr>
                      <w:sz w:val="21"/>
                    </w:rPr>
                    <w:t>、作业人员不按规定穿着工作服、船只内未配备救生衣。</w:t>
                  </w:r>
                </w:p>
              </w:tc>
              <w:tc>
                <w:tcPr>
                  <w:tcW w:type="dxa" w:w="2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r>
                    <w:rPr>
                      <w:sz w:val="21"/>
                    </w:rPr>
                    <w:t>、保洁员必须穿着统一公司着装，按要求穿戴救生衣，文明作业；未按要求做到的每次扣</w:t>
                  </w:r>
                  <w:r>
                    <w:rPr>
                      <w:sz w:val="21"/>
                    </w:rPr>
                    <w:t>1</w:t>
                  </w:r>
                  <w:r>
                    <w:rPr>
                      <w:sz w:val="21"/>
                    </w:rPr>
                    <w:t>分，扣完为止。</w:t>
                  </w:r>
                </w:p>
              </w:tc>
              <w:tc>
                <w:tcPr>
                  <w:tcW w:type="dxa" w:w="5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7"/>
                  <w:vMerge/>
                  <w:tcBorders>
                    <w:top w:val="none" w:color="000000" w:sz="4"/>
                    <w:left w:val="single" w:color="000000" w:sz="4"/>
                    <w:bottom w:val="single" w:color="000000" w:sz="4"/>
                    <w:right w:val="single" w:color="000000" w:sz="4"/>
                  </w:tcBorders>
                </w:tcPr>
                <w:p/>
              </w:tc>
              <w:tc>
                <w:tcPr>
                  <w:tcW w:type="dxa" w:w="1689"/>
                  <w:vMerge/>
                  <w:tcBorders>
                    <w:top w:val="none" w:color="000000" w:sz="4"/>
                    <w:left w:val="none" w:color="000000" w:sz="4"/>
                    <w:bottom w:val="single" w:color="000000" w:sz="4"/>
                    <w:right w:val="single" w:color="000000" w:sz="4"/>
                  </w:tcBorders>
                </w:tcPr>
                <w:p/>
              </w:tc>
              <w:tc>
                <w:tcPr>
                  <w:tcW w:type="dxa" w:w="2280"/>
                  <w:vMerge/>
                  <w:tcBorders>
                    <w:top w:val="none" w:color="000000" w:sz="4"/>
                    <w:left w:val="none" w:color="000000" w:sz="4"/>
                    <w:bottom w:val="single" w:color="000000" w:sz="4"/>
                    <w:right w:val="single" w:color="000000" w:sz="4"/>
                  </w:tcBorders>
                </w:tcPr>
                <w:p/>
              </w:tc>
              <w:tc>
                <w:tcPr>
                  <w:tcW w:type="dxa" w:w="520"/>
                  <w:vMerge/>
                  <w:tcBorders>
                    <w:top w:val="none" w:color="000000" w:sz="4"/>
                    <w:left w:val="none" w:color="000000" w:sz="4"/>
                    <w:bottom w:val="single" w:color="000000" w:sz="4"/>
                    <w:right w:val="single" w:color="000000" w:sz="4"/>
                  </w:tcBorders>
                </w:tcPr>
                <w:p/>
              </w:tc>
              <w:tc>
                <w:tcPr>
                  <w:tcW w:type="dxa" w:w="532"/>
                  <w:vMerge/>
                  <w:tcBorders>
                    <w:top w:val="none" w:color="000000" w:sz="4"/>
                    <w:left w:val="none" w:color="000000" w:sz="4"/>
                    <w:bottom w:val="single" w:color="000000" w:sz="4"/>
                    <w:right w:val="single" w:color="000000" w:sz="4"/>
                  </w:tcBorders>
                </w:tcPr>
                <w:p/>
              </w:tc>
            </w:tr>
            <w:tr>
              <w:tc>
                <w:tcPr>
                  <w:tcW w:type="dxa" w:w="567"/>
                  <w:vMerge/>
                  <w:tcBorders>
                    <w:top w:val="none" w:color="000000" w:sz="4"/>
                    <w:left w:val="single" w:color="000000" w:sz="4"/>
                    <w:bottom w:val="single" w:color="000000" w:sz="4"/>
                    <w:right w:val="single" w:color="000000" w:sz="4"/>
                  </w:tcBorders>
                </w:tcPr>
                <w:p/>
              </w:tc>
              <w:tc>
                <w:tcPr>
                  <w:tcW w:type="dxa" w:w="1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r>
                    <w:rPr>
                      <w:sz w:val="21"/>
                    </w:rPr>
                    <w:t>、实际作业人员不得少于</w:t>
                  </w:r>
                  <w:r>
                    <w:rPr>
                      <w:sz w:val="21"/>
                    </w:rPr>
                    <w:t>10</w:t>
                  </w:r>
                  <w:r>
                    <w:rPr>
                      <w:sz w:val="21"/>
                    </w:rPr>
                    <w:t>人。</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r>
                    <w:rPr>
                      <w:sz w:val="21"/>
                    </w:rPr>
                    <w:t>、缺少作业人员的，每次每人次扣</w:t>
                  </w:r>
                  <w:r>
                    <w:rPr>
                      <w:sz w:val="21"/>
                    </w:rPr>
                    <w:t>1</w:t>
                  </w:r>
                  <w:r>
                    <w:rPr>
                      <w:sz w:val="21"/>
                    </w:rPr>
                    <w:t>分，扣完为止。</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7"/>
                  <w:vMerge/>
                  <w:tcBorders>
                    <w:top w:val="none" w:color="000000" w:sz="4"/>
                    <w:left w:val="single" w:color="000000" w:sz="4"/>
                    <w:bottom w:val="single" w:color="000000" w:sz="4"/>
                    <w:right w:val="single" w:color="000000" w:sz="4"/>
                  </w:tcBorders>
                </w:tcPr>
                <w:p/>
              </w:tc>
              <w:tc>
                <w:tcPr>
                  <w:tcW w:type="dxa" w:w="1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r>
                    <w:rPr>
                      <w:sz w:val="21"/>
                    </w:rPr>
                    <w:t>、作业时间内无人作业。</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r>
                    <w:rPr>
                      <w:sz w:val="21"/>
                    </w:rPr>
                    <w:t>、每次扣</w:t>
                  </w:r>
                  <w:r>
                    <w:rPr>
                      <w:sz w:val="21"/>
                    </w:rPr>
                    <w:t>2</w:t>
                  </w:r>
                  <w:r>
                    <w:rPr>
                      <w:sz w:val="21"/>
                    </w:rPr>
                    <w:t>分，扣完为止。</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7"/>
                  <w:vMerge/>
                  <w:tcBorders>
                    <w:top w:val="none" w:color="000000" w:sz="4"/>
                    <w:left w:val="single" w:color="000000" w:sz="4"/>
                    <w:bottom w:val="single" w:color="000000" w:sz="4"/>
                    <w:right w:val="single" w:color="000000" w:sz="4"/>
                  </w:tcBorders>
                </w:tcPr>
                <w:p/>
              </w:tc>
              <w:tc>
                <w:tcPr>
                  <w:tcW w:type="dxa" w:w="1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r>
                    <w:rPr>
                      <w:sz w:val="21"/>
                    </w:rPr>
                    <w:t>、不按规定倾倒垃圾。</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r>
                    <w:rPr>
                      <w:sz w:val="21"/>
                    </w:rPr>
                    <w:t>、打捞的垃圾、杂物应送到指定的垃圾收集点，未按要求做到的每次扣</w:t>
                  </w:r>
                  <w:r>
                    <w:rPr>
                      <w:sz w:val="21"/>
                    </w:rPr>
                    <w:t>1</w:t>
                  </w:r>
                  <w:r>
                    <w:rPr>
                      <w:sz w:val="21"/>
                    </w:rPr>
                    <w:t>分，扣完为止。</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7"/>
                  <w:vMerge/>
                  <w:tcBorders>
                    <w:top w:val="none" w:color="000000" w:sz="4"/>
                    <w:left w:val="single" w:color="000000" w:sz="4"/>
                    <w:bottom w:val="single" w:color="000000" w:sz="4"/>
                    <w:right w:val="single" w:color="000000" w:sz="4"/>
                  </w:tcBorders>
                </w:tcPr>
                <w:p/>
              </w:tc>
              <w:tc>
                <w:tcPr>
                  <w:tcW w:type="dxa" w:w="1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w:t>
                  </w:r>
                  <w:r>
                    <w:rPr>
                      <w:sz w:val="21"/>
                    </w:rPr>
                    <w:t>、车辆运输途中不得撒漏垃圾、油污等。</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w:t>
                  </w:r>
                  <w:r>
                    <w:rPr>
                      <w:sz w:val="21"/>
                    </w:rPr>
                    <w:t>、每次扣</w:t>
                  </w:r>
                  <w:r>
                    <w:rPr>
                      <w:sz w:val="21"/>
                    </w:rPr>
                    <w:t>1</w:t>
                  </w:r>
                  <w:r>
                    <w:rPr>
                      <w:sz w:val="21"/>
                    </w:rPr>
                    <w:t>分，扣完为止。</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7"/>
                  <w:vMerge/>
                  <w:tcBorders>
                    <w:top w:val="none" w:color="000000" w:sz="4"/>
                    <w:left w:val="single" w:color="000000" w:sz="4"/>
                    <w:bottom w:val="single" w:color="000000" w:sz="4"/>
                    <w:right w:val="single" w:color="000000" w:sz="4"/>
                  </w:tcBorders>
                </w:tcPr>
                <w:p/>
              </w:tc>
              <w:tc>
                <w:tcPr>
                  <w:tcW w:type="dxa" w:w="1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w:t>
                  </w:r>
                  <w:r>
                    <w:rPr>
                      <w:sz w:val="21"/>
                    </w:rPr>
                    <w:t>、产生的垃圾日产日清。</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w:t>
                  </w:r>
                  <w:r>
                    <w:rPr>
                      <w:sz w:val="21"/>
                    </w:rPr>
                    <w:t>，发现垃圾、杂物打捞上岸要及时送到垃圾收集点，做到垃圾、杂物每日及时清理，垃圾不准堆放岸边过夜，保河岸线无垃圾堆放，日捞日清积存垃圾，每发现一次扣</w:t>
                  </w:r>
                  <w:r>
                    <w:rPr>
                      <w:sz w:val="21"/>
                    </w:rPr>
                    <w:t>1</w:t>
                  </w:r>
                  <w:r>
                    <w:rPr>
                      <w:sz w:val="21"/>
                    </w:rPr>
                    <w:t>分，扣完为止。</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7"/>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检查及其他（</w:t>
                  </w:r>
                  <w:r>
                    <w:rPr>
                      <w:sz w:val="21"/>
                    </w:rPr>
                    <w:t>35</w:t>
                  </w:r>
                  <w:r>
                    <w:rPr>
                      <w:sz w:val="21"/>
                    </w:rPr>
                    <w:t>分）</w:t>
                  </w:r>
                </w:p>
              </w:tc>
              <w:tc>
                <w:tcPr>
                  <w:tcW w:type="dxa" w:w="1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、不按时、不按标准、不按要求完成有关部门所组织的清洁活动及突击性的卫生清洁任务。</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、每次扣</w:t>
                  </w:r>
                  <w:r>
                    <w:rPr>
                      <w:sz w:val="21"/>
                    </w:rPr>
                    <w:t>2</w:t>
                  </w:r>
                  <w:r>
                    <w:rPr>
                      <w:sz w:val="21"/>
                    </w:rPr>
                    <w:t>分，扣完为止。</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7"/>
                  <w:vMerge/>
                  <w:tcBorders>
                    <w:top w:val="none" w:color="000000" w:sz="4"/>
                    <w:left w:val="single" w:color="000000" w:sz="4"/>
                    <w:bottom w:val="none" w:color="000000" w:sz="4"/>
                    <w:right w:val="single" w:color="000000" w:sz="4"/>
                  </w:tcBorders>
                </w:tcPr>
                <w:p/>
              </w:tc>
              <w:tc>
                <w:tcPr>
                  <w:tcW w:type="dxa" w:w="1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r>
                    <w:rPr>
                      <w:sz w:val="21"/>
                    </w:rPr>
                    <w:t>、工作不到位，被上级部门批评、被媒体曝光、被群众投诉的。</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r>
                    <w:rPr>
                      <w:sz w:val="21"/>
                    </w:rPr>
                    <w:t>、被批评、被市民、其他部分投诉，情况属实的，每批评</w:t>
                  </w:r>
                  <w:r>
                    <w:rPr>
                      <w:sz w:val="21"/>
                    </w:rPr>
                    <w:t>1</w:t>
                  </w:r>
                  <w:r>
                    <w:rPr>
                      <w:sz w:val="21"/>
                    </w:rPr>
                    <w:t>次或每投诉一次扣</w:t>
                  </w:r>
                  <w:r>
                    <w:rPr>
                      <w:sz w:val="21"/>
                    </w:rPr>
                    <w:t>2</w:t>
                  </w:r>
                  <w:r>
                    <w:rPr>
                      <w:sz w:val="21"/>
                    </w:rPr>
                    <w:t>分，扣完为止。</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7"/>
                  <w:vMerge/>
                  <w:tcBorders>
                    <w:top w:val="none" w:color="000000" w:sz="4"/>
                    <w:left w:val="single" w:color="000000" w:sz="4"/>
                    <w:bottom w:val="none" w:color="000000" w:sz="4"/>
                    <w:right w:val="single" w:color="000000" w:sz="4"/>
                  </w:tcBorders>
                </w:tcPr>
                <w:p/>
              </w:tc>
              <w:tc>
                <w:tcPr>
                  <w:tcW w:type="dxa" w:w="1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r>
                    <w:rPr>
                      <w:sz w:val="21"/>
                    </w:rPr>
                    <w:t>、积极执行整改通知，对甲方提出的整改建议诚恳接受，对下达的整改任务要按期完成。</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r>
                    <w:rPr>
                      <w:sz w:val="21"/>
                    </w:rPr>
                    <w:t>、共同确认或情况属实的整改通知书拒绝签字的，每次扣</w:t>
                  </w:r>
                  <w:r>
                    <w:rPr>
                      <w:sz w:val="21"/>
                    </w:rPr>
                    <w:t>2</w:t>
                  </w:r>
                  <w:r>
                    <w:rPr>
                      <w:sz w:val="21"/>
                    </w:rPr>
                    <w:t>分；对不按期完成的，每逾期一天，扣</w:t>
                  </w:r>
                  <w:r>
                    <w:rPr>
                      <w:sz w:val="21"/>
                    </w:rPr>
                    <w:t>1</w:t>
                  </w:r>
                  <w:r>
                    <w:rPr>
                      <w:sz w:val="21"/>
                    </w:rPr>
                    <w:t>分，扣完为止。</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7"/>
                  <w:vMerge/>
                  <w:tcBorders>
                    <w:top w:val="none" w:color="000000" w:sz="4"/>
                    <w:left w:val="single" w:color="000000" w:sz="4"/>
                    <w:bottom w:val="none" w:color="000000" w:sz="4"/>
                    <w:right w:val="single" w:color="000000" w:sz="4"/>
                  </w:tcBorders>
                </w:tcPr>
                <w:p/>
              </w:tc>
              <w:tc>
                <w:tcPr>
                  <w:tcW w:type="dxa" w:w="1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r>
                    <w:rPr>
                      <w:sz w:val="21"/>
                    </w:rPr>
                    <w:t>、汛期巡查清扫质量</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r>
                    <w:rPr>
                      <w:sz w:val="21"/>
                    </w:rPr>
                    <w:t>、在规定的作业时间内未清理完毕的，每次扣</w:t>
                  </w:r>
                  <w:r>
                    <w:rPr>
                      <w:sz w:val="21"/>
                    </w:rPr>
                    <w:t>1</w:t>
                  </w:r>
                  <w:r>
                    <w:rPr>
                      <w:sz w:val="21"/>
                    </w:rPr>
                    <w:t>分，扣完为止。</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8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合计总得分（</w:t>
                  </w:r>
                  <w:r>
                    <w:rPr>
                      <w:sz w:val="21"/>
                    </w:rPr>
                    <w:t>）＝总分（</w:t>
                  </w:r>
                  <w:r>
                    <w:rPr>
                      <w:sz w:val="21"/>
                    </w:rPr>
                    <w:t>100</w:t>
                  </w:r>
                  <w:r>
                    <w:rPr>
                      <w:sz w:val="21"/>
                    </w:rPr>
                    <w:t>）－合计总扣分（</w:t>
                  </w:r>
                  <w:r>
                    <w:rPr>
                      <w:sz w:val="21"/>
                    </w:rPr>
                    <w:t xml:space="preserve"> </w:t>
                  </w:r>
                  <w:r>
                    <w:rPr>
                      <w:sz w:val="21"/>
                    </w:rPr>
                    <w:t>）；</w:t>
                  </w:r>
                </w:p>
              </w:tc>
            </w:tr>
            <w:tr>
              <w:tc>
                <w:tcPr>
                  <w:tcW w:type="dxa" w:w="558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说明：</w:t>
                  </w:r>
                </w:p>
                <w:p>
                  <w:pPr>
                    <w:pStyle w:val="null3"/>
                    <w:jc w:val="both"/>
                  </w:pPr>
                  <w:r>
                    <w:rPr>
                      <w:sz w:val="21"/>
                    </w:rPr>
                    <w:t>1、管护保洁范围内的河涌水面保持干净整洁无漂浮垃圾、杂物、漂浮植物，无卫生死角和盲区。迎水斜坡保持干净整洁无垃圾、杂物、枯枝杂树、废物，无卫生死角和盲区。</w:t>
                  </w:r>
                </w:p>
                <w:p>
                  <w:pPr>
                    <w:pStyle w:val="null3"/>
                    <w:jc w:val="both"/>
                  </w:pPr>
                  <w:r>
                    <w:rPr>
                      <w:sz w:val="21"/>
                    </w:rPr>
                    <w:t>2、采购人实行</w:t>
                  </w:r>
                  <w:r>
                    <w:rPr>
                      <w:sz w:val="21"/>
                    </w:rPr>
                    <w:t>月</w:t>
                  </w:r>
                  <w:r>
                    <w:rPr>
                      <w:sz w:val="21"/>
                    </w:rPr>
                    <w:t>度考核，</w:t>
                  </w:r>
                  <w:r>
                    <w:rPr>
                      <w:sz w:val="21"/>
                    </w:rPr>
                    <w:t>月</w:t>
                  </w:r>
                  <w:r>
                    <w:rPr>
                      <w:sz w:val="21"/>
                    </w:rPr>
                    <w:t>度绩效考核分数满分为</w:t>
                  </w:r>
                  <w:r>
                    <w:rPr>
                      <w:sz w:val="21"/>
                    </w:rPr>
                    <w:t>100分。</w:t>
                  </w:r>
                </w:p>
                <w:p>
                  <w:pPr>
                    <w:pStyle w:val="null3"/>
                    <w:jc w:val="both"/>
                  </w:pPr>
                  <w:r>
                    <w:rPr>
                      <w:sz w:val="21"/>
                    </w:rPr>
                    <w:t>3、最终考核得分90分（含）以上不扣除当</w:t>
                  </w:r>
                  <w:r>
                    <w:rPr>
                      <w:sz w:val="21"/>
                    </w:rPr>
                    <w:t>月</w:t>
                  </w:r>
                  <w:r>
                    <w:rPr>
                      <w:sz w:val="21"/>
                    </w:rPr>
                    <w:t>承包费。</w:t>
                  </w:r>
                  <w:r>
                    <w:rPr>
                      <w:sz w:val="21"/>
                    </w:rPr>
                    <w:t>80分（含）至90分（不含）的，不足90分部分每分扣除当</w:t>
                  </w:r>
                  <w:r>
                    <w:rPr>
                      <w:sz w:val="21"/>
                    </w:rPr>
                    <w:t>月</w:t>
                  </w:r>
                  <w:r>
                    <w:rPr>
                      <w:sz w:val="21"/>
                    </w:rPr>
                    <w:t>1</w:t>
                  </w:r>
                  <w:r>
                    <w:rPr>
                      <w:sz w:val="21"/>
                    </w:rPr>
                    <w:t>%承包费。70分（含）至80分（不含）的，扣除当</w:t>
                  </w:r>
                  <w:r>
                    <w:rPr>
                      <w:sz w:val="21"/>
                    </w:rPr>
                    <w:t>月</w:t>
                  </w:r>
                  <w:r>
                    <w:rPr>
                      <w:sz w:val="21"/>
                    </w:rPr>
                    <w:t>承包费</w:t>
                  </w:r>
                  <w:r>
                    <w:rPr>
                      <w:sz w:val="21"/>
                    </w:rPr>
                    <w:t>10</w:t>
                  </w:r>
                  <w:r>
                    <w:rPr>
                      <w:sz w:val="21"/>
                    </w:rPr>
                    <w:t>%（即不足90分部分）的基础上，不足80分的部分每分扣除当</w:t>
                  </w:r>
                  <w:r>
                    <w:rPr>
                      <w:sz w:val="21"/>
                    </w:rPr>
                    <w:t>月</w:t>
                  </w:r>
                  <w:r>
                    <w:rPr>
                      <w:sz w:val="21"/>
                    </w:rPr>
                    <w:t>2</w:t>
                  </w:r>
                  <w:r>
                    <w:rPr>
                      <w:sz w:val="21"/>
                    </w:rPr>
                    <w:t>%承包费，例如76分，应扣除当</w:t>
                  </w:r>
                  <w:r>
                    <w:rPr>
                      <w:sz w:val="21"/>
                    </w:rPr>
                    <w:t>月</w:t>
                  </w:r>
                  <w:r>
                    <w:rPr>
                      <w:sz w:val="21"/>
                    </w:rPr>
                    <w:t>承包费（</w:t>
                  </w:r>
                  <w:r>
                    <w:rPr>
                      <w:sz w:val="21"/>
                    </w:rPr>
                    <w:t>90-80）*</w:t>
                  </w:r>
                  <w:r>
                    <w:rPr>
                      <w:sz w:val="21"/>
                    </w:rPr>
                    <w:t>1</w:t>
                  </w:r>
                  <w:r>
                    <w:rPr>
                      <w:sz w:val="21"/>
                    </w:rPr>
                    <w:t>%+（80-76）*</w:t>
                  </w:r>
                  <w:r>
                    <w:rPr>
                      <w:sz w:val="21"/>
                    </w:rPr>
                    <w:t>2</w:t>
                  </w:r>
                  <w:r>
                    <w:rPr>
                      <w:sz w:val="21"/>
                    </w:rPr>
                    <w:t>%=</w:t>
                  </w:r>
                  <w:r>
                    <w:rPr>
                      <w:sz w:val="21"/>
                    </w:rPr>
                    <w:t>18</w:t>
                  </w:r>
                  <w:r>
                    <w:rPr>
                      <w:sz w:val="21"/>
                    </w:rPr>
                    <w:t>%。不足70分的，一次性扣除当</w:t>
                  </w:r>
                  <w:r>
                    <w:rPr>
                      <w:sz w:val="21"/>
                    </w:rPr>
                    <w:t>月</w:t>
                  </w:r>
                  <w:r>
                    <w:rPr>
                      <w:sz w:val="21"/>
                    </w:rPr>
                    <w:t>5</w:t>
                  </w:r>
                  <w:r>
                    <w:rPr>
                      <w:sz w:val="21"/>
                    </w:rPr>
                    <w:t>0%承包费。以上分值若出现小数点后尾数则向下取整。</w:t>
                  </w:r>
                </w:p>
                <w:p>
                  <w:pPr>
                    <w:pStyle w:val="null3"/>
                    <w:jc w:val="both"/>
                  </w:pPr>
                  <w:r>
                    <w:rPr>
                      <w:sz w:val="21"/>
                    </w:rPr>
                    <w:t>4、累计两次低于70分的，除按规定扣罚外，采购人有权单方面终止合同并没收履约保证金，由此造成的一切责任及损失由</w:t>
                  </w:r>
                  <w:r>
                    <w:rPr>
                      <w:sz w:val="21"/>
                    </w:rPr>
                    <w:t>成交人</w:t>
                  </w:r>
                  <w:r>
                    <w:rPr>
                      <w:sz w:val="21"/>
                    </w:rPr>
                    <w:t>负责，采购人无需承担任何责任及费用。</w:t>
                  </w:r>
                </w:p>
                <w:p>
                  <w:pPr>
                    <w:pStyle w:val="null3"/>
                    <w:jc w:val="both"/>
                  </w:pPr>
                  <w:r>
                    <w:rPr>
                      <w:sz w:val="21"/>
                    </w:rPr>
                    <w:t>5、由于</w:t>
                  </w:r>
                  <w:r>
                    <w:rPr>
                      <w:sz w:val="21"/>
                    </w:rPr>
                    <w:t>成交人</w:t>
                  </w:r>
                  <w:r>
                    <w:rPr>
                      <w:sz w:val="21"/>
                    </w:rPr>
                    <w:t>履职不力导致河涌</w:t>
                  </w:r>
                  <w:r>
                    <w:rPr>
                      <w:sz w:val="21"/>
                    </w:rPr>
                    <w:t>“垃圾围河”问题严重，被市级或以上部门通报批评的，采购人有权单方面终止合同并没收履约保证金，由此造成的一切责任及损失由</w:t>
                  </w:r>
                  <w:r>
                    <w:rPr>
                      <w:sz w:val="21"/>
                    </w:rPr>
                    <w:t>成交人</w:t>
                  </w:r>
                  <w:r>
                    <w:rPr>
                      <w:sz w:val="21"/>
                    </w:rPr>
                    <w:t>负责，采购人无需承担任何责任及费用。</w:t>
                  </w:r>
                </w:p>
                <w:p>
                  <w:pPr>
                    <w:pStyle w:val="null3"/>
                    <w:jc w:val="left"/>
                  </w:pPr>
                  <w:r>
                    <w:rPr>
                      <w:sz w:val="21"/>
                    </w:rPr>
                    <w:t>6、除《东莞市高埗镇水域面源整治作业评分标准》扣罚外，当季度若被市级或以上部门投诉曝光3次或镇级部门投诉曝光4次及以上关于河涌保洁问题的，处于扣减当季度经费10%处理。</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1.采购代理机构：本项目是指广东政通招标有限公司，负责整个采购活动的组织，依法负责编制和发布磋商文件，对磋商文件拥有最终的解释权，不以任何身份出任磋商小组成员。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东莞市高埗镇水务工程运营中心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远程电子评标</w:t>
            </w:r>
            <w:r>
              <w:rPr/>
              <w:t>（供应商应当审慎标记各评审项的应答部分，标记内容清晰且完整，否则将自行承担不利后果）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成交）服务费根据国家计委[计价格[2002]1980号]文和国家发改委[发改价格[2011]534号]文及相关规定向中标（成交）单位收取，按差额定率累进法计算，以中标（成交）通知书中确定的中标（成交）总金额作为收费的计算依据。</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 xml:space="preserve">（2）非加密电子版文件 U 盘(或光盘) </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60分钟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广东政通招标有限公司</w:t>
      </w:r>
      <w:r>
        <w:rPr/>
        <w:t>代收。具体操作要求详见</w:t>
      </w:r>
      <w:r>
        <w:rPr/>
        <w:t>广东政通招标有限公司</w:t>
      </w:r>
      <w:r>
        <w:rPr/>
        <w:t>有关指引，递交事宜请自行咨询</w:t>
      </w:r>
      <w:r>
        <w:rPr/>
        <w:t>广东政通招标有限公司</w:t>
      </w:r>
      <w:r>
        <w:rPr/>
        <w:t>；请各供应商在响应文件递交截止时间前按须知前附表规定的金额递交至</w:t>
      </w:r>
      <w:r>
        <w:rPr/>
        <w:t>广东政通招标有限公司</w:t>
      </w:r>
      <w:r>
        <w:rPr/>
        <w:t>，到账情况以开启时</w:t>
      </w:r>
      <w:r>
        <w:rPr/>
        <w:t>广东政通招标有限公司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杨俊平</w:t>
      </w:r>
    </w:p>
    <w:p>
      <w:pPr>
        <w:pStyle w:val="null3"/>
        <w:ind w:firstLine="480"/>
      </w:pPr>
      <w:r>
        <w:rPr/>
        <w:t>电话：</w:t>
      </w:r>
      <w:r>
        <w:rPr/>
        <w:t>0769-22881803</w:t>
      </w:r>
    </w:p>
    <w:p>
      <w:pPr>
        <w:pStyle w:val="null3"/>
        <w:ind w:firstLine="480"/>
      </w:pPr>
      <w:r>
        <w:rPr/>
        <w:t>传真：</w:t>
      </w:r>
      <w:r>
        <w:rPr/>
        <w:t>0769-22881803</w:t>
      </w:r>
    </w:p>
    <w:p>
      <w:pPr>
        <w:pStyle w:val="null3"/>
        <w:ind w:firstLine="480"/>
      </w:pPr>
      <w:r>
        <w:rPr/>
        <w:t>邮箱：</w:t>
      </w:r>
      <w:r>
        <w:rPr/>
        <w:t>471539976@qq.com</w:t>
      </w:r>
    </w:p>
    <w:p>
      <w:pPr>
        <w:pStyle w:val="null3"/>
        <w:ind w:firstLine="480"/>
      </w:pPr>
      <w:r>
        <w:rPr/>
        <w:t>地址：</w:t>
      </w:r>
      <w:r>
        <w:rPr/>
        <w:t>东莞市南城街道鸿福路199号（市民服务中心北门）410室</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(2026-2028年高埗镇镇管河道保洁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广东政通招标有限公司</w:t>
      </w:r>
      <w:r>
        <w:rPr/>
        <w:t>统一对外发布。</w:t>
      </w:r>
    </w:p>
    <w:p>
      <w:pPr>
        <w:pStyle w:val="null3"/>
        <w:ind w:firstLine="480"/>
      </w:pPr>
      <w:r>
        <w:rPr/>
        <w:t>（2）对</w:t>
      </w:r>
      <w:r>
        <w:rPr/>
        <w:t>广东政通招标有限公司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采购包1（2026-2028年高埗镇镇管河道保洁项目）：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小型、微型企业，监狱企业，残疾人福利性单位</w:t>
            </w:r>
          </w:p>
        </w:tc>
        <w:tc>
          <w:tcPr>
            <w:tcW w:type="dxa" w:w="2160"/>
          </w:tcPr>
          <w:p>
            <w:pPr>
              <w:pStyle w:val="null3"/>
            </w:pPr>
            <w:r>
              <w:rPr/>
              <w:t>投标（响应）供应商为大中型企业与小微企业组成联合体或者大中型企业向一家或者多家小微企业分包的，对于联合体协议或者分包意向协议约定小微企业的合同份额占到合同总金额30%以上</w:t>
            </w:r>
          </w:p>
        </w:tc>
        <w:tc>
          <w:tcPr>
            <w:tcW w:type="dxa" w:w="1246"/>
          </w:tcPr>
          <w:p>
            <w:pPr>
              <w:pStyle w:val="null3"/>
            </w:pPr>
            <w:r>
              <w:rPr/>
              <w:t>6%</w:t>
            </w:r>
          </w:p>
        </w:tc>
        <w:tc>
          <w:tcPr>
            <w:tcW w:type="dxa" w:w="2160"/>
          </w:tcPr>
          <w:p>
            <w:pPr>
              <w:pStyle w:val="null3"/>
              <w:jc w:val="left"/>
            </w:pPr>
            <w:r>
              <w:rPr/>
              <w:t>大中型企业与小微企业组成联合体或者允许大中型企业向一家或者多家小微企业分包的采购项目，对于联合协议或者分包意向协议约定小微企业的合同份额占到合同总金额 30%以上的，报价给予价格扣除C1，即：评标价=最后报价×（1-C1）;监狱企业与残疾人福利性单位视同小型、微型企业，享受同等价格扣除，当企业属性重复时，不重复价格扣除。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采购包1（2026-2028年高埗镇镇管河道保洁项目）：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投标（响应）文件中提供《资格条件承诺函》，可参考公告附件格式。</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投标（响应）文件中提供《资格条件承诺函》，可参考公告附件格式。</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投标（响应）文件中提供《资格条件承诺函》，可参考公告附件格式。</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投标（响应）文件中提供《资格条件承诺函》，可参考公告附件格式。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本项目不属于专门面向中小企业采购。</w:t>
            </w:r>
          </w:p>
        </w:tc>
      </w:tr>
    </w:tbl>
    <w:p>
      <w:pPr>
        <w:pStyle w:val="null3"/>
        <w:ind w:firstLine="480"/>
      </w:pPr>
      <w:r>
        <w:rPr/>
        <w:t>表二符合性审查表：</w:t>
      </w:r>
    </w:p>
    <w:p>
      <w:pPr>
        <w:pStyle w:val="null3"/>
      </w:pPr>
      <w:r>
        <w:rPr/>
        <w:t>采购包1（2026-2028年高埗镇镇管河道保洁项目）：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已按规定格式编制及盖章、签署，投标有效期满足招标文件要求。</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已经盖章、签署，授权有效期。</w:t>
            </w:r>
          </w:p>
        </w:tc>
      </w:tr>
      <w:tr>
        <w:tc>
          <w:tcPr>
            <w:tcW w:type="dxa" w:w="890"/>
          </w:tcPr>
          <w:p>
            <w:pPr>
              <w:pStyle w:val="null3"/>
            </w:pPr>
            <w:r>
              <w:rPr/>
              <w:t>3</w:t>
            </w:r>
          </w:p>
        </w:tc>
        <w:tc>
          <w:tcPr>
            <w:tcW w:type="dxa" w:w="3178"/>
          </w:tcPr>
          <w:p>
            <w:pPr>
              <w:pStyle w:val="null3"/>
            </w:pPr>
            <w:r>
              <w:rPr/>
              <w:t>投标文件内容、签署、盖章</w:t>
            </w:r>
          </w:p>
        </w:tc>
        <w:tc>
          <w:tcPr>
            <w:tcW w:type="dxa" w:w="4238"/>
          </w:tcPr>
          <w:p>
            <w:pPr>
              <w:pStyle w:val="null3"/>
            </w:pPr>
            <w:r>
              <w:rPr/>
              <w:t>投标文件内容完整，无重大错漏，并已按招标文件要求盖章、签署。</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投标人的投标报价无超出项目预算金额。</w:t>
            </w:r>
          </w:p>
        </w:tc>
      </w:tr>
      <w:tr>
        <w:tc>
          <w:tcPr>
            <w:tcW w:type="dxa" w:w="890"/>
          </w:tcPr>
          <w:p>
            <w:pPr>
              <w:pStyle w:val="null3"/>
            </w:pPr>
            <w:r>
              <w:rPr/>
              <w:t>5</w:t>
            </w:r>
          </w:p>
        </w:tc>
        <w:tc>
          <w:tcPr>
            <w:tcW w:type="dxa" w:w="3178"/>
          </w:tcPr>
          <w:p>
            <w:pPr>
              <w:pStyle w:val="null3"/>
            </w:pPr>
            <w:r>
              <w:rPr/>
              <w:t>商务审查</w:t>
            </w:r>
          </w:p>
        </w:tc>
        <w:tc>
          <w:tcPr>
            <w:tcW w:type="dxa" w:w="4238"/>
          </w:tcPr>
          <w:p>
            <w:pPr>
              <w:pStyle w:val="null3"/>
            </w:pPr>
            <w:r>
              <w:rPr/>
              <w:t>商务条款满足招标文件要求。</w:t>
            </w:r>
          </w:p>
        </w:tc>
      </w:tr>
      <w:tr>
        <w:tc>
          <w:tcPr>
            <w:tcW w:type="dxa" w:w="890"/>
          </w:tcPr>
          <w:p>
            <w:pPr>
              <w:pStyle w:val="null3"/>
            </w:pPr>
            <w:r>
              <w:rPr/>
              <w:t>6</w:t>
            </w:r>
          </w:p>
        </w:tc>
        <w:tc>
          <w:tcPr>
            <w:tcW w:type="dxa" w:w="3178"/>
          </w:tcPr>
          <w:p>
            <w:pPr>
              <w:pStyle w:val="null3"/>
            </w:pPr>
            <w:r>
              <w:rPr/>
              <w:t>技术审查</w:t>
            </w:r>
          </w:p>
        </w:tc>
        <w:tc>
          <w:tcPr>
            <w:tcW w:type="dxa" w:w="4238"/>
          </w:tcPr>
          <w:p>
            <w:pPr>
              <w:pStyle w:val="null3"/>
            </w:pPr>
            <w:r>
              <w:rPr/>
              <w:t>技术条款满足招标文件要求。</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8</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r>
        <w:tc>
          <w:tcPr>
            <w:tcW w:type="dxa" w:w="890"/>
          </w:tcPr>
          <w:p>
            <w:pPr>
              <w:pStyle w:val="null3"/>
            </w:pPr>
            <w:r>
              <w:rPr/>
              <w:t>9</w:t>
            </w:r>
          </w:p>
        </w:tc>
        <w:tc>
          <w:tcPr>
            <w:tcW w:type="dxa" w:w="3178"/>
          </w:tcPr>
          <w:p>
            <w:pPr>
              <w:pStyle w:val="null3"/>
            </w:pPr>
            <w:r>
              <w:rPr/>
              <w:t>异常低价审查</w:t>
            </w:r>
          </w:p>
        </w:tc>
        <w:tc>
          <w:tcPr>
            <w:tcW w:type="dxa" w:w="4238"/>
          </w:tcPr>
          <w:p>
            <w:pPr>
              <w:pStyle w:val="null3"/>
            </w:pPr>
            <w:r>
              <w:rPr/>
              <w:t>异常低价审查，在评审中出现下列情形之一的，评审委员会应当启动异常低价投标（响应）审查程序：（一）投标（响应）报价低于全部通过符合性审查供应商投标（响应）报价平均值50%的，即投标（响应）报价&lt;全部通过符合性审查供应商投标（响应）报价平均值×50%；（二）投标（响应）报价低于通过符合性审查的次低报价供应商投标（响应）报价50%的，即投标（响应）报价&lt;通过符合性审查的次低报价供应商投标（响应）报价×50%；（三）投标（响应）报价低于采购项目最高限价45%的，即投标（响应）报价&lt;采购项目最高限价×45%；（四）评审委员会基于专业判断，认为供应商报价过低，有可能影响产品质量或者不能诚信履约的其他情形。评审委员会启动异常低价投标（响应）审查后，应当要求相关供应商在评审现场合理的时间内（30分钟内）提供书面说明及必要的证明材料，对投标（响应）价格作出解释。提供项目具体成本测算等与报价合理性相关的书面说明及必要的证明材料，包括但不限于原材料成本、人工成本、制造费用等。投标（响应）供应商不能提供书面说明、证明材料，或者提供的书面说明、证明材料不能证明其报价合理性的，评审委员会应当将其作为无效投标（响应）处理。如果投标（响应）供应商提供的书面说明、证明材料能证明其报价合理性的，评审结果为通过。</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采购包1(2026-2028年高埗镇镇管河道保洁项目):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项目理解程度 (6.0分)</w:t>
            </w:r>
          </w:p>
        </w:tc>
        <w:tc>
          <w:tcPr>
            <w:tcW w:type="dxa" w:w="5076"/>
          </w:tcPr>
          <w:p>
            <w:pPr>
              <w:pStyle w:val="null3"/>
              <w:jc w:val="left"/>
            </w:pPr>
            <w:r>
              <w:rPr/>
              <w:t>根据供应商对本项目现状及用户需求的了解程度进行综合评审： 供应商对项目背景、工作内容理解深刻，对本项目现状的分析准确到位并提出合理的应对措施，得6分； 供应商对项目背景、工作内容分析有基本了解，对本项目现状有一定的分析及理解，得3分； 供应商对项目背景、工作内容分析理解较少或不符合本项目实际情况，得1分； 未提供不得分。</w:t>
            </w:r>
          </w:p>
        </w:tc>
      </w:tr>
      <w:tr>
        <w:tc>
          <w:tcPr>
            <w:tcW w:type="dxa" w:w="922"/>
            <w:gridSpan w:val="2"/>
            <w:vMerge/>
          </w:tcPr>
          <w:p/>
        </w:tc>
        <w:tc>
          <w:tcPr>
            <w:tcW w:type="dxa" w:w="2307"/>
          </w:tcPr>
          <w:p>
            <w:pPr>
              <w:pStyle w:val="null3"/>
              <w:jc w:val="left"/>
            </w:pPr>
            <w:r>
              <w:rPr/>
              <w:t>水浮莲、垃圾清理以及打捞物处理方案 (8.0分)</w:t>
            </w:r>
          </w:p>
        </w:tc>
        <w:tc>
          <w:tcPr>
            <w:tcW w:type="dxa" w:w="5076"/>
          </w:tcPr>
          <w:p>
            <w:pPr>
              <w:pStyle w:val="null3"/>
              <w:jc w:val="left"/>
            </w:pPr>
            <w:r>
              <w:rPr/>
              <w:t>根据各供应商针对本项目河道水浮莲、垃圾清理以及打捞物处理的专项实施方案进行综合评审： 方案详尽完整、工作流程科学合理、质量管理保障措施严谨规范，得8分； 方案及工作流程完整，质量管理保证措施基本可行，得4分； 方案缺乏合理性，得1分； 未提供不得分。</w:t>
            </w:r>
          </w:p>
        </w:tc>
      </w:tr>
      <w:tr>
        <w:tc>
          <w:tcPr>
            <w:tcW w:type="dxa" w:w="922"/>
            <w:gridSpan w:val="2"/>
            <w:vMerge/>
          </w:tcPr>
          <w:p/>
        </w:tc>
        <w:tc>
          <w:tcPr>
            <w:tcW w:type="dxa" w:w="2307"/>
          </w:tcPr>
          <w:p>
            <w:pPr>
              <w:pStyle w:val="null3"/>
              <w:jc w:val="left"/>
            </w:pPr>
            <w:r>
              <w:rPr/>
              <w:t>迎水斜坡垃圾清理保洁方案 (8.0分)</w:t>
            </w:r>
          </w:p>
        </w:tc>
        <w:tc>
          <w:tcPr>
            <w:tcW w:type="dxa" w:w="5076"/>
          </w:tcPr>
          <w:p>
            <w:pPr>
              <w:pStyle w:val="null3"/>
              <w:jc w:val="left"/>
            </w:pPr>
            <w:r>
              <w:rPr/>
              <w:t>根据各供应商针对本项目河道迎水斜坡垃圾清理保洁方案进行综合评审： 方案详尽完整、工作流程科学合理、质量管理保障措施严谨规范，得8分； 方案及工作流程完整，质量管理保证措施基本可行，得4分； 方案缺乏合理性，得1分； 未提供不得分。</w:t>
            </w:r>
          </w:p>
        </w:tc>
      </w:tr>
      <w:tr>
        <w:tc>
          <w:tcPr>
            <w:tcW w:type="dxa" w:w="922"/>
            <w:gridSpan w:val="2"/>
            <w:vMerge/>
          </w:tcPr>
          <w:p/>
        </w:tc>
        <w:tc>
          <w:tcPr>
            <w:tcW w:type="dxa" w:w="2307"/>
          </w:tcPr>
          <w:p>
            <w:pPr>
              <w:pStyle w:val="null3"/>
              <w:jc w:val="left"/>
            </w:pPr>
            <w:r>
              <w:rPr/>
              <w:t>应急处置方案 (7.0分)</w:t>
            </w:r>
          </w:p>
        </w:tc>
        <w:tc>
          <w:tcPr>
            <w:tcW w:type="dxa" w:w="5076"/>
          </w:tcPr>
          <w:p>
            <w:pPr>
              <w:pStyle w:val="null3"/>
              <w:jc w:val="left"/>
            </w:pPr>
            <w:r>
              <w:rPr/>
              <w:t>根据供应商针对台风、暴雨等天气影响、重大检查任务，重大节假日或活动等特殊情况制定的应急处置方案（包括传达机制、人员和设备调配、责任分工等）进行综合评审： 应急处置方案详尽完善，传达机制、人员和设备调配、责任分工明确、可实施性强，得7分； 应急处置方案基本完整，具备一定的可实施性，得4分； 应急方案简单、不完整或可实施性差，得1分； 无提供得0分。</w:t>
            </w:r>
          </w:p>
        </w:tc>
      </w:tr>
      <w:tr>
        <w:tc>
          <w:tcPr>
            <w:tcW w:type="dxa" w:w="922"/>
            <w:gridSpan w:val="2"/>
            <w:vMerge/>
          </w:tcPr>
          <w:p/>
        </w:tc>
        <w:tc>
          <w:tcPr>
            <w:tcW w:type="dxa" w:w="2307"/>
          </w:tcPr>
          <w:p>
            <w:pPr>
              <w:pStyle w:val="null3"/>
              <w:jc w:val="left"/>
            </w:pPr>
            <w:r>
              <w:rPr/>
              <w:t>人员配备方案 (7.0分)</w:t>
            </w:r>
          </w:p>
        </w:tc>
        <w:tc>
          <w:tcPr>
            <w:tcW w:type="dxa" w:w="5076"/>
          </w:tcPr>
          <w:p>
            <w:pPr>
              <w:pStyle w:val="null3"/>
              <w:jc w:val="left"/>
            </w:pPr>
            <w:r>
              <w:rPr/>
              <w:t>根据供应商提供的服务人员配备方案（包括各岗位人员数量配备、服务时间安排、人员培训及考核淘汰机制等）进行综合评审： 人员配备充足，服务时间安排科学严谨，人员培训及考核淘汰方案完善，得7分； 人员配合基本满足要求，服务时间安排合理，人员培训及考核淘汰方案基本完整，得4分； 人员配备不足或服务时间安排不合理，得1分； 未提供不得分。</w:t>
            </w:r>
          </w:p>
        </w:tc>
      </w:tr>
      <w:tr>
        <w:tc>
          <w:tcPr>
            <w:tcW w:type="dxa" w:w="922"/>
            <w:gridSpan w:val="2"/>
            <w:vMerge/>
          </w:tcPr>
          <w:p/>
        </w:tc>
        <w:tc>
          <w:tcPr>
            <w:tcW w:type="dxa" w:w="2307"/>
          </w:tcPr>
          <w:p>
            <w:pPr>
              <w:pStyle w:val="null3"/>
              <w:jc w:val="left"/>
            </w:pPr>
            <w:r>
              <w:rPr/>
              <w:t>交接方案 (7.0分)</w:t>
            </w:r>
          </w:p>
        </w:tc>
        <w:tc>
          <w:tcPr>
            <w:tcW w:type="dxa" w:w="5076"/>
          </w:tcPr>
          <w:p>
            <w:pPr>
              <w:pStyle w:val="null3"/>
              <w:jc w:val="left"/>
            </w:pPr>
            <w:r>
              <w:rPr/>
              <w:t>根据供应商提供的与现任承包单位的业务交接方案及与下一任承包单位的业务交接方案（包括服务情况、设备设施等）进行综合评审： 交接方案完整可行，交接期间能够保证服务质量不受影响，可操作性强，得7分； 交接方案基本完整，可操作性一般，得4分； 交接方案缺乏合理性，得1分； 未提供不得分。</w:t>
            </w:r>
          </w:p>
        </w:tc>
      </w:tr>
      <w:tr>
        <w:tc>
          <w:tcPr>
            <w:tcW w:type="dxa" w:w="922"/>
            <w:gridSpan w:val="2"/>
            <w:vMerge/>
          </w:tcPr>
          <w:p/>
        </w:tc>
        <w:tc>
          <w:tcPr>
            <w:tcW w:type="dxa" w:w="2307"/>
          </w:tcPr>
          <w:p>
            <w:pPr>
              <w:pStyle w:val="null3"/>
              <w:jc w:val="left"/>
            </w:pPr>
            <w:r>
              <w:rPr/>
              <w:t>质量保证措施和自律承诺 (7.0分)</w:t>
            </w:r>
          </w:p>
        </w:tc>
        <w:tc>
          <w:tcPr>
            <w:tcW w:type="dxa" w:w="5076"/>
          </w:tcPr>
          <w:p>
            <w:pPr>
              <w:pStyle w:val="null3"/>
              <w:jc w:val="left"/>
            </w:pPr>
            <w:r>
              <w:rPr/>
              <w:t>根据供应商对本项目维护保洁等要求所提供的质量保证措施和自律承诺进行综合评审： 维护保洁质量目标及分期目标详尽完善，保证措施严谨充分，提供的个性化服务承诺与违约责任承诺完全满足文件要求，能保证有足够的人力、设备等资源按时按质按量地完成保洁工作，得7分； 维护保洁质量目标及分期目标基本完整，个性化服务承诺基本满足文件要求，能保证有足够的人力、设备等资源按时按质按量地完成保洁工作的，得4分； 维护保洁质量目标及分期目标不完整、个性化服务承诺不满足要求，得1分； 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同类业绩情况 (21.0分)</w:t>
            </w:r>
          </w:p>
        </w:tc>
        <w:tc>
          <w:tcPr>
            <w:tcW w:type="dxa" w:w="5076"/>
          </w:tcPr>
          <w:p>
            <w:pPr>
              <w:pStyle w:val="null3"/>
              <w:jc w:val="left"/>
            </w:pPr>
            <w:r>
              <w:rPr/>
              <w:t>根据供应商承接的水面保洁（或环卫清扫保洁或垃圾清运或水域清淤）类项目业绩，每提供一个业绩得3分，本项最高得21分。 注：须同时提供业绩合同及合同期内任意交易发票复印件并加盖供应商公章。若为联合体投标，联合体任一成员具备相应资料均可计分。如提供虚假资料，一经查实，其投标（响应）将被判定无效。</w:t>
            </w:r>
          </w:p>
        </w:tc>
      </w:tr>
      <w:tr>
        <w:tc>
          <w:tcPr>
            <w:tcW w:type="dxa" w:w="922"/>
            <w:gridSpan w:val="2"/>
            <w:vMerge/>
          </w:tcPr>
          <w:p/>
        </w:tc>
        <w:tc>
          <w:tcPr>
            <w:tcW w:type="dxa" w:w="2307"/>
          </w:tcPr>
          <w:p>
            <w:pPr>
              <w:pStyle w:val="null3"/>
              <w:jc w:val="left"/>
            </w:pPr>
            <w:r>
              <w:rPr/>
              <w:t>企业实力 (9.0分)</w:t>
            </w:r>
          </w:p>
        </w:tc>
        <w:tc>
          <w:tcPr>
            <w:tcW w:type="dxa" w:w="5076"/>
          </w:tcPr>
          <w:p>
            <w:pPr>
              <w:pStyle w:val="null3"/>
              <w:jc w:val="left"/>
            </w:pPr>
            <w:r>
              <w:rPr/>
              <w:t>供应商具有由国家认证认可监督管理部门批准设立的认证机构颁发并在有效期内有以下证书： ①质量管理体系认证证书； ②环境管理体系认证证书； ③职业健康安全管理体系认证证书。 每具有一类证书得3分，本项最高得9分。 注：须提供有效证书复印件及在全国认证认可信息公共服务平台网站（http://cx.cnca.cn/）的有效查询记录截图，并加盖供应商公章。若为联合体投标，联合体任一成员具备相应资料均可计分。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广东省政府采购</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48"/>
          <w:b/>
          <w:color w:val="222222"/>
        </w:rPr>
        <w:t>合　同　书</w:t>
      </w:r>
    </w:p>
    <w:p>
      <w:pPr>
        <w:pStyle w:val="null3"/>
        <w:shd w:fill="FFFFFF"/>
        <w:spacing w:before="0" w:after="0"/>
        <w:ind w:left="0" w:right="0"/>
        <w:jc w:val="center"/>
      </w:pPr>
      <w:r>
        <w:br/>
      </w:r>
      <w:r>
        <w:br/>
      </w:r>
      <w:r>
        <w:br/>
      </w: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jc w:val="both"/>
      </w:pPr>
      <w:r>
        <w:br/>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color w:val="222222"/>
        </w:rPr>
        <w:t xml:space="preserve"> </w:t>
      </w:r>
      <w:r>
        <w:rPr>
          <w:rFonts w:ascii="宋体" w:hAnsi="宋体" w:cs="宋体" w:eastAsia="宋体"/>
          <w:sz w:val="27"/>
          <w:color w:val="222222"/>
        </w:rPr>
        <w:t>：</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b/>
          <w:color w:val="222222"/>
        </w:rPr>
        <w:t>乙方：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color w:val="222222"/>
        </w:rPr>
        <w:t xml:space="preserve"> </w:t>
      </w:r>
      <w:r>
        <w:rPr>
          <w:rFonts w:ascii="宋体" w:hAnsi="宋体" w:cs="宋体" w:eastAsia="宋体"/>
          <w:sz w:val="27"/>
          <w:color w:val="222222"/>
        </w:rPr>
        <w:t xml:space="preserve"> </w:t>
      </w:r>
      <w:r>
        <w:rPr>
          <w:rFonts w:ascii="宋体" w:hAnsi="宋体" w:cs="宋体" w:eastAsia="宋体"/>
          <w:sz w:val="27"/>
          <w:color w:val="222222"/>
        </w:rPr>
        <w:t>根据</w:t>
      </w:r>
      <w:r>
        <w:rPr>
          <w:rFonts w:ascii="宋体" w:hAnsi="宋体" w:cs="宋体" w:eastAsia="宋体"/>
          <w:sz w:val="27"/>
          <w:color w:val="222222"/>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项目</w:t>
      </w:r>
      <w:r>
        <w:rPr>
          <w:rFonts w:ascii="宋体" w:hAnsi="宋体" w:cs="宋体" w:eastAsia="宋体"/>
          <w:sz w:val="27"/>
          <w:color w:val="222222"/>
          <w:u w:val="single"/>
        </w:rPr>
        <w:t xml:space="preserve"> </w:t>
      </w:r>
      <w:r>
        <w:rPr>
          <w:rFonts w:ascii="宋体" w:hAnsi="宋体" w:cs="宋体" w:eastAsia="宋体"/>
          <w:sz w:val="27"/>
          <w:color w:val="222222"/>
        </w:rPr>
        <w:t>的采购结果，按照《中华人民共和国政府采购法》，《</w:t>
      </w:r>
      <w:r>
        <w:rPr>
          <w:rFonts w:ascii="宋体" w:hAnsi="宋体" w:cs="宋体" w:eastAsia="宋体"/>
          <w:sz w:val="27"/>
          <w:color w:val="222222"/>
        </w:rPr>
        <w:t>中华人民共和国民法典(合同编)</w:t>
      </w:r>
      <w:r>
        <w:rPr>
          <w:rFonts w:ascii="宋体" w:hAnsi="宋体" w:cs="宋体" w:eastAsia="宋体"/>
          <w:sz w:val="27"/>
          <w:color w:val="222222"/>
        </w:rPr>
        <w:t>》的规定，经双方协商，本着平等互利和诚实信用的原则，一致同意遵守本合同如下。</w:t>
      </w:r>
    </w:p>
    <w:p>
      <w:pPr>
        <w:pStyle w:val="null3"/>
        <w:shd w:fill="FFFFFF"/>
        <w:spacing w:before="0" w:after="0"/>
        <w:ind w:left="0" w:right="0"/>
        <w:jc w:val="both"/>
      </w:pPr>
      <w:r>
        <w:rPr>
          <w:rFonts w:ascii="宋体" w:hAnsi="宋体" w:cs="宋体" w:eastAsia="宋体"/>
          <w:sz w:val="27"/>
          <w:b/>
          <w:color w:val="222222"/>
        </w:rPr>
        <w:t>一、合同金额</w:t>
      </w:r>
    </w:p>
    <w:p>
      <w:pPr>
        <w:pStyle w:val="null3"/>
        <w:shd w:fill="FFFFFF"/>
        <w:spacing w:before="0" w:after="0"/>
        <w:ind w:left="0" w:right="0"/>
        <w:jc w:val="both"/>
      </w:pPr>
      <w:r>
        <w:rPr>
          <w:rFonts w:ascii="宋体" w:hAnsi="宋体" w:cs="宋体" w:eastAsia="宋体"/>
          <w:sz w:val="27"/>
          <w:color w:val="222222"/>
        </w:rPr>
        <w:t>　　合同金额为（大写）：_____________元（￥_________元）人民币。</w:t>
      </w:r>
    </w:p>
    <w:p>
      <w:pPr>
        <w:pStyle w:val="null3"/>
        <w:shd w:fill="FFFFFF"/>
        <w:spacing w:before="0" w:after="0"/>
        <w:ind w:left="0" w:right="0"/>
        <w:jc w:val="both"/>
      </w:pPr>
      <w:r>
        <w:rPr>
          <w:rFonts w:ascii="宋体" w:hAnsi="宋体" w:cs="宋体" w:eastAsia="宋体"/>
          <w:sz w:val="27"/>
          <w:b/>
          <w:color w:val="222222"/>
        </w:rPr>
        <w:t>二、服务范围</w:t>
      </w:r>
    </w:p>
    <w:p>
      <w:pPr>
        <w:pStyle w:val="null3"/>
        <w:shd w:fill="FFFFFF"/>
        <w:spacing w:before="0" w:after="0"/>
        <w:ind w:left="0" w:right="0"/>
        <w:jc w:val="both"/>
      </w:pPr>
      <w:r>
        <w:rPr>
          <w:rFonts w:ascii="宋体" w:hAnsi="宋体" w:cs="宋体" w:eastAsia="宋体"/>
          <w:sz w:val="27"/>
          <w:color w:val="222222"/>
        </w:rPr>
        <w:t>　　甲方聘请乙方提供以下服务：</w:t>
      </w:r>
    </w:p>
    <w:p>
      <w:pPr>
        <w:pStyle w:val="null3"/>
        <w:shd w:fill="FFFFFF"/>
        <w:spacing w:before="0" w:after="0"/>
        <w:ind w:left="0" w:right="0"/>
        <w:jc w:val="both"/>
      </w:pPr>
      <w:r>
        <w:rPr>
          <w:rFonts w:ascii="宋体" w:hAnsi="宋体" w:cs="宋体" w:eastAsia="宋体"/>
          <w:sz w:val="27"/>
          <w:color w:val="222222"/>
        </w:rPr>
        <w:t>　　1．</w:t>
      </w:r>
      <w:r>
        <w:rPr>
          <w:rFonts w:ascii="宋体" w:hAnsi="宋体" w:cs="宋体" w:eastAsia="宋体"/>
          <w:sz w:val="27"/>
          <w:color w:val="222222"/>
          <w:u w:val="single"/>
        </w:rPr>
        <w:t>　　　　　　　　　　　</w:t>
      </w: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color w:val="222222"/>
        </w:rPr>
        <w:t>　　2．</w:t>
      </w:r>
      <w:r>
        <w:rPr>
          <w:rFonts w:ascii="宋体" w:hAnsi="宋体" w:cs="宋体" w:eastAsia="宋体"/>
          <w:sz w:val="27"/>
          <w:color w:val="222222"/>
          <w:u w:val="single"/>
        </w:rPr>
        <w:t>　　　　　　　　　　　</w:t>
      </w:r>
    </w:p>
    <w:p>
      <w:pPr>
        <w:pStyle w:val="null3"/>
        <w:shd w:fill="FFFFFF"/>
        <w:spacing w:before="0" w:after="0"/>
        <w:ind w:left="0" w:right="0"/>
        <w:jc w:val="both"/>
      </w:pP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b/>
          <w:color w:val="222222"/>
        </w:rPr>
        <w:t>三、甲方乙方的权利和义务</w:t>
      </w:r>
    </w:p>
    <w:p>
      <w:pPr>
        <w:pStyle w:val="null3"/>
        <w:shd w:fill="FFFFFF"/>
        <w:spacing w:before="0" w:after="0"/>
        <w:ind w:left="0" w:right="0"/>
        <w:jc w:val="both"/>
      </w:pPr>
      <w:r>
        <w:rPr>
          <w:rFonts w:ascii="宋体" w:hAnsi="宋体" w:cs="宋体" w:eastAsia="宋体"/>
          <w:sz w:val="27"/>
          <w:color w:val="222222"/>
        </w:rPr>
        <w:t>　　1.甲方的权利和义务</w:t>
      </w:r>
    </w:p>
    <w:p>
      <w:pPr>
        <w:pStyle w:val="null3"/>
        <w:shd w:fill="FFFFFF"/>
        <w:spacing w:before="0" w:after="0"/>
        <w:ind w:left="0" w:right="0"/>
        <w:jc w:val="both"/>
      </w:pPr>
      <w:r>
        <w:rPr>
          <w:rFonts w:ascii="宋体" w:hAnsi="宋体" w:cs="宋体" w:eastAsia="宋体"/>
          <w:sz w:val="27"/>
          <w:color w:val="222222"/>
        </w:rPr>
        <w:t>　　2.乙方的权利和义务</w:t>
      </w:r>
    </w:p>
    <w:p>
      <w:pPr>
        <w:pStyle w:val="null3"/>
        <w:shd w:fill="FFFFFF"/>
        <w:spacing w:before="0" w:after="0"/>
        <w:ind w:left="0" w:right="0"/>
        <w:jc w:val="both"/>
      </w:pPr>
      <w:r>
        <w:rPr>
          <w:rFonts w:ascii="宋体" w:hAnsi="宋体" w:cs="宋体" w:eastAsia="宋体"/>
          <w:sz w:val="27"/>
          <w:b/>
          <w:color w:val="222222"/>
        </w:rPr>
        <w:t>四、服务期间（项目完成期限）</w:t>
      </w:r>
    </w:p>
    <w:p>
      <w:pPr>
        <w:pStyle w:val="null3"/>
        <w:shd w:fill="FFFFFF"/>
        <w:spacing w:before="0" w:after="0"/>
        <w:ind w:left="0" w:right="0"/>
        <w:jc w:val="both"/>
      </w:pPr>
      <w:r>
        <w:rPr>
          <w:rFonts w:ascii="宋体" w:hAnsi="宋体" w:cs="宋体" w:eastAsia="宋体"/>
          <w:sz w:val="27"/>
          <w:color w:val="222222"/>
        </w:rPr>
        <w:t>　　1.委托服务期间自______年______月至______年______月止。</w:t>
      </w:r>
    </w:p>
    <w:p>
      <w:pPr>
        <w:pStyle w:val="null3"/>
        <w:shd w:fill="FFFFFF"/>
        <w:spacing w:before="0" w:after="0"/>
        <w:ind w:left="0" w:right="0"/>
        <w:jc w:val="both"/>
      </w:pPr>
      <w:r>
        <w:rPr>
          <w:rFonts w:ascii="宋体" w:hAnsi="宋体" w:cs="宋体" w:eastAsia="宋体"/>
          <w:sz w:val="27"/>
          <w:b/>
          <w:color w:val="222222"/>
        </w:rPr>
        <w:t>五、付款方式</w:t>
      </w:r>
    </w:p>
    <w:p>
      <w:pPr>
        <w:pStyle w:val="null3"/>
        <w:shd w:fill="FFFFFF"/>
        <w:spacing w:before="0" w:after="0"/>
        <w:ind w:left="0" w:right="0"/>
        <w:jc w:val="both"/>
      </w:pPr>
      <w:r>
        <w:rPr>
          <w:rFonts w:ascii="宋体" w:hAnsi="宋体" w:cs="宋体" w:eastAsia="宋体"/>
          <w:sz w:val="27"/>
          <w:color w:val="222222"/>
        </w:rPr>
        <w:t>　　由甲方按下列程序在</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内付款：</w:t>
      </w:r>
    </w:p>
    <w:p>
      <w:pPr>
        <w:pStyle w:val="null3"/>
        <w:shd w:fill="FFFFFF"/>
        <w:spacing w:before="0" w:after="0"/>
        <w:ind w:left="0" w:right="0"/>
        <w:jc w:val="both"/>
      </w:pPr>
      <w:r>
        <w:rPr>
          <w:rFonts w:ascii="宋体" w:hAnsi="宋体" w:cs="宋体" w:eastAsia="宋体"/>
          <w:sz w:val="27"/>
          <w:color w:val="222222"/>
        </w:rPr>
        <w:t>　　1.在合同实施及服务人员到达服务地后__天内，甲方应将第一次付　　款总服务费的__(-%)付给乙方。</w:t>
      </w:r>
    </w:p>
    <w:p>
      <w:pPr>
        <w:pStyle w:val="null3"/>
        <w:shd w:fill="FFFFFF"/>
        <w:spacing w:before="0" w:after="0"/>
        <w:ind w:left="0" w:right="0"/>
        <w:jc w:val="both"/>
      </w:pPr>
      <w:r>
        <w:rPr>
          <w:rFonts w:ascii="宋体" w:hAnsi="宋体" w:cs="宋体" w:eastAsia="宋体"/>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jc w:val="both"/>
      </w:pPr>
      <w:r>
        <w:rPr>
          <w:rFonts w:ascii="宋体" w:hAnsi="宋体" w:cs="宋体" w:eastAsia="宋体"/>
          <w:sz w:val="27"/>
          <w:color w:val="222222"/>
        </w:rPr>
        <w:t>　　3.最后一次付款额应为总服务费的__(-%)，甲方应在乙方递交了服务总结报告和说明并完全履行合同完毕_________日内付给乙方。</w:t>
      </w:r>
    </w:p>
    <w:p>
      <w:pPr>
        <w:pStyle w:val="null3"/>
        <w:shd w:fill="FFFFFF"/>
        <w:spacing w:before="0" w:after="0"/>
        <w:ind w:left="0" w:right="0"/>
        <w:jc w:val="both"/>
      </w:pPr>
      <w:r>
        <w:rPr>
          <w:rFonts w:ascii="宋体" w:hAnsi="宋体" w:cs="宋体" w:eastAsia="宋体"/>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jc w:val="both"/>
      </w:pPr>
      <w:r>
        <w:rPr>
          <w:rFonts w:ascii="宋体" w:hAnsi="宋体" w:cs="宋体" w:eastAsia="宋体"/>
          <w:sz w:val="27"/>
          <w:b/>
          <w:color w:val="222222"/>
        </w:rPr>
        <w:t>六、知识产权归属</w:t>
      </w:r>
    </w:p>
    <w:p>
      <w:pPr>
        <w:pStyle w:val="null3"/>
        <w:shd w:fill="FFFFFF"/>
        <w:spacing w:before="0" w:after="0"/>
        <w:ind w:left="0" w:right="0"/>
        <w:jc w:val="both"/>
      </w:pPr>
      <w:r>
        <w:rPr>
          <w:rFonts w:ascii="宋体" w:hAnsi="宋体" w:cs="宋体" w:eastAsia="宋体"/>
          <w:sz w:val="27"/>
          <w:b/>
          <w:color w:val="222222"/>
        </w:rPr>
        <w:t>七、保密</w:t>
      </w:r>
    </w:p>
    <w:p>
      <w:pPr>
        <w:pStyle w:val="null3"/>
        <w:shd w:fill="FFFFFF"/>
        <w:spacing w:before="0" w:after="0"/>
        <w:ind w:left="0" w:right="0"/>
        <w:jc w:val="both"/>
      </w:pPr>
      <w:r>
        <w:rPr>
          <w:rFonts w:ascii="宋体" w:hAnsi="宋体" w:cs="宋体" w:eastAsia="宋体"/>
          <w:sz w:val="27"/>
          <w:b/>
          <w:color w:val="222222"/>
        </w:rPr>
        <w:t>八、违约责任与赔偿损失</w:t>
      </w:r>
    </w:p>
    <w:p>
      <w:pPr>
        <w:pStyle w:val="null3"/>
        <w:shd w:fill="FFFFFF"/>
        <w:spacing w:before="0" w:after="0"/>
        <w:ind w:left="0" w:right="0"/>
        <w:jc w:val="both"/>
      </w:pPr>
      <w:r>
        <w:rPr>
          <w:rFonts w:ascii="宋体" w:hAnsi="宋体" w:cs="宋体" w:eastAsia="宋体"/>
          <w:sz w:val="27"/>
          <w:color w:val="222222"/>
        </w:rPr>
        <w:t>　　1.乙方提供的服务不符合本合同规定的，甲方有权拒收，并且乙方须向甲方方支付本合同总价5%的违约金。</w:t>
      </w:r>
    </w:p>
    <w:p>
      <w:pPr>
        <w:pStyle w:val="null3"/>
        <w:shd w:fill="FFFFFF"/>
        <w:spacing w:before="0" w:after="0"/>
        <w:ind w:left="0" w:right="0"/>
        <w:jc w:val="both"/>
      </w:pPr>
      <w:r>
        <w:rPr>
          <w:rFonts w:ascii="宋体" w:hAnsi="宋体" w:cs="宋体" w:eastAsia="宋体"/>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jc w:val="both"/>
      </w:pPr>
      <w:r>
        <w:rPr>
          <w:rFonts w:ascii="宋体" w:hAnsi="宋体" w:cs="宋体" w:eastAsia="宋体"/>
          <w:sz w:val="27"/>
          <w:color w:val="222222"/>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jc w:val="both"/>
      </w:pPr>
      <w:r>
        <w:rPr>
          <w:rFonts w:ascii="宋体" w:hAnsi="宋体" w:cs="宋体" w:eastAsia="宋体"/>
          <w:sz w:val="27"/>
          <w:color w:val="222222"/>
        </w:rPr>
        <w:t>　　4.对于因甲方原因导致变更、中止或者终止政府采购合同的，甲方应当依照以下合同约定对供应商受到的损失予以赔偿或者补偿：</w:t>
      </w:r>
    </w:p>
    <w:p>
      <w:pPr>
        <w:pStyle w:val="null3"/>
        <w:shd w:fill="FFFFFF"/>
        <w:spacing w:before="0" w:after="0"/>
        <w:ind w:left="0" w:right="0"/>
        <w:jc w:val="both"/>
      </w:pP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p>
    <w:p>
      <w:pPr>
        <w:pStyle w:val="null3"/>
        <w:shd w:fill="FFFFFF"/>
        <w:spacing w:before="0" w:after="0"/>
        <w:ind w:left="0" w:right="0"/>
        <w:jc w:val="both"/>
      </w:pPr>
      <w:r>
        <w:rPr>
          <w:rFonts w:ascii="宋体" w:hAnsi="宋体" w:cs="宋体" w:eastAsia="宋体"/>
          <w:sz w:val="27"/>
          <w:color w:val="222222"/>
        </w:rPr>
        <w:t>　　5.其它违约责任按《</w:t>
      </w:r>
      <w:r>
        <w:rPr>
          <w:rFonts w:ascii="宋体" w:hAnsi="宋体" w:cs="宋体" w:eastAsia="宋体"/>
          <w:sz w:val="27"/>
          <w:color w:val="222222"/>
        </w:rPr>
        <w:t>中华人民共和国民法典(合同编)</w:t>
      </w:r>
      <w:r>
        <w:rPr>
          <w:rFonts w:ascii="宋体" w:hAnsi="宋体" w:cs="宋体" w:eastAsia="宋体"/>
          <w:sz w:val="27"/>
          <w:color w:val="222222"/>
        </w:rPr>
        <w:t>》处理。</w:t>
      </w:r>
    </w:p>
    <w:p>
      <w:pPr>
        <w:pStyle w:val="null3"/>
        <w:shd w:fill="FFFFFF"/>
        <w:spacing w:before="0" w:after="0"/>
        <w:ind w:left="0" w:right="0"/>
        <w:jc w:val="both"/>
      </w:pPr>
      <w:r>
        <w:rPr>
          <w:rFonts w:ascii="宋体" w:hAnsi="宋体" w:cs="宋体" w:eastAsia="宋体"/>
          <w:sz w:val="27"/>
          <w:b/>
          <w:color w:val="222222"/>
        </w:rPr>
        <w:t>九、争议的解决</w:t>
      </w:r>
    </w:p>
    <w:p>
      <w:pPr>
        <w:pStyle w:val="null3"/>
        <w:shd w:fill="FFFFFF"/>
        <w:spacing w:before="0" w:after="0"/>
        <w:ind w:left="0" w:right="0" w:firstLine="400"/>
        <w:jc w:val="both"/>
      </w:pPr>
      <w:r>
        <w:rPr>
          <w:rFonts w:ascii="宋体" w:hAnsi="宋体" w:cs="宋体" w:eastAsia="宋体"/>
          <w:sz w:val="27"/>
          <w:color w:val="222222"/>
        </w:rPr>
        <w:t>合同执行过程中发生的任何争议，如双方不能通过友好协商解决，按相关法律法规处理。</w:t>
      </w:r>
      <w:r>
        <w:rPr>
          <w:rFonts w:ascii="helvetica" w:hAnsi="helvetica" w:cs="helvetica" w:eastAsia="helvetica"/>
          <w:sz w:val="27"/>
          <w:color w:val="222222"/>
        </w:rPr>
        <w:t xml:space="preserve"> </w:t>
      </w:r>
      <w:r>
        <w:rPr>
          <w:rFonts w:ascii="宋体" w:hAnsi="宋体" w:cs="宋体" w:eastAsia="宋体"/>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十、不可抗力</w:t>
      </w:r>
    </w:p>
    <w:p>
      <w:pPr>
        <w:pStyle w:val="null3"/>
        <w:shd w:fill="FFFFFF"/>
        <w:spacing w:before="0" w:after="0"/>
        <w:ind w:left="0" w:right="0"/>
        <w:jc w:val="both"/>
      </w:pPr>
      <w:r>
        <w:rPr>
          <w:rFonts w:ascii="宋体" w:hAnsi="宋体" w:cs="宋体" w:eastAsia="宋体"/>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jc w:val="both"/>
      </w:pPr>
      <w:r>
        <w:rPr>
          <w:rFonts w:ascii="宋体" w:hAnsi="宋体" w:cs="宋体" w:eastAsia="宋体"/>
          <w:sz w:val="27"/>
          <w:b/>
          <w:color w:val="222222"/>
        </w:rPr>
        <w:t>十一、税费</w:t>
      </w:r>
    </w:p>
    <w:p>
      <w:pPr>
        <w:pStyle w:val="null3"/>
        <w:shd w:fill="FFFFFF"/>
        <w:spacing w:before="0" w:after="0"/>
        <w:ind w:left="0" w:right="0"/>
        <w:jc w:val="both"/>
      </w:pPr>
      <w:r>
        <w:rPr>
          <w:rFonts w:ascii="宋体" w:hAnsi="宋体" w:cs="宋体" w:eastAsia="宋体"/>
          <w:sz w:val="27"/>
          <w:color w:val="222222"/>
        </w:rPr>
        <w:t>　　在中国境内、外发生的与本合同执行有关的一切税费均由乙方负担。</w:t>
      </w:r>
    </w:p>
    <w:p>
      <w:pPr>
        <w:pStyle w:val="null3"/>
        <w:shd w:fill="FFFFFF"/>
        <w:spacing w:before="0" w:after="0"/>
        <w:ind w:left="0" w:right="0"/>
        <w:jc w:val="both"/>
      </w:pPr>
      <w:r>
        <w:rPr>
          <w:rFonts w:ascii="宋体" w:hAnsi="宋体" w:cs="宋体" w:eastAsia="宋体"/>
          <w:sz w:val="27"/>
          <w:b/>
          <w:color w:val="222222"/>
        </w:rPr>
        <w:t>十二、其它</w:t>
      </w:r>
    </w:p>
    <w:p>
      <w:pPr>
        <w:pStyle w:val="null3"/>
        <w:shd w:fill="FFFFFF"/>
        <w:spacing w:before="0" w:after="0"/>
        <w:ind w:left="0" w:right="0"/>
        <w:jc w:val="both"/>
      </w:pPr>
      <w:r>
        <w:rPr>
          <w:rFonts w:ascii="宋体" w:hAnsi="宋体" w:cs="宋体" w:eastAsia="宋体"/>
          <w:sz w:val="27"/>
          <w:color w:val="222222"/>
        </w:rPr>
        <w:t>　　1.本合同所有附件、招标文件、投标文件、中标通知书均为合同的有效组成部分，与本合同具有同等法律效力。</w:t>
      </w:r>
    </w:p>
    <w:p>
      <w:pPr>
        <w:pStyle w:val="null3"/>
        <w:shd w:fill="FFFFFF"/>
        <w:spacing w:before="0" w:after="0"/>
        <w:ind w:left="0" w:right="0"/>
        <w:jc w:val="both"/>
      </w:pPr>
      <w:r>
        <w:rPr>
          <w:rFonts w:ascii="宋体" w:hAnsi="宋体" w:cs="宋体" w:eastAsia="宋体"/>
          <w:sz w:val="27"/>
          <w:color w:val="222222"/>
        </w:rPr>
        <w:t>　　2.在执行本合同的过程中，所有经双方签署确认的文件（包括会议纪要、补充协议、往来信函）即成为本合同的有效组成部分。</w:t>
      </w:r>
    </w:p>
    <w:p>
      <w:pPr>
        <w:pStyle w:val="null3"/>
        <w:shd w:fill="FFFFFF"/>
        <w:spacing w:before="0" w:after="0"/>
        <w:ind w:left="0" w:right="0"/>
        <w:jc w:val="both"/>
      </w:pPr>
      <w:r>
        <w:rPr>
          <w:rFonts w:ascii="宋体" w:hAnsi="宋体" w:cs="宋体" w:eastAsia="宋体"/>
          <w:sz w:val="27"/>
          <w:color w:val="222222"/>
        </w:rPr>
        <w:t>　　3.如一方地址、电话、传真号码有变更，应在变更当日内书面通知对方，否则，应承担相应责任。</w:t>
      </w:r>
    </w:p>
    <w:p>
      <w:pPr>
        <w:pStyle w:val="null3"/>
        <w:shd w:fill="FFFFFF"/>
        <w:spacing w:before="0" w:after="0"/>
        <w:ind w:left="0" w:right="0"/>
        <w:jc w:val="both"/>
      </w:pPr>
      <w:r>
        <w:rPr>
          <w:rFonts w:ascii="宋体" w:hAnsi="宋体" w:cs="宋体" w:eastAsia="宋体"/>
          <w:sz w:val="27"/>
          <w:color w:val="222222"/>
        </w:rPr>
        <w:t>　　4.除甲方事先书面同意外，乙方不得部分或全部转让其应履行的合同项下的义务。</w:t>
      </w:r>
    </w:p>
    <w:p>
      <w:pPr>
        <w:pStyle w:val="null3"/>
        <w:shd w:fill="FFFFFF"/>
        <w:spacing w:before="0" w:after="0"/>
        <w:ind w:left="0" w:right="0"/>
        <w:jc w:val="both"/>
      </w:pPr>
      <w:r>
        <w:rPr>
          <w:rFonts w:ascii="宋体" w:hAnsi="宋体" w:cs="宋体" w:eastAsia="宋体"/>
          <w:sz w:val="27"/>
          <w:b/>
          <w:color w:val="222222"/>
        </w:rPr>
        <w:t>十三、合同生效</w:t>
      </w:r>
    </w:p>
    <w:p>
      <w:pPr>
        <w:pStyle w:val="null3"/>
        <w:shd w:fill="FFFFFF"/>
        <w:spacing w:before="0" w:after="0"/>
        <w:ind w:left="0" w:right="0"/>
        <w:jc w:val="both"/>
      </w:pPr>
      <w:r>
        <w:rPr>
          <w:rFonts w:ascii="宋体" w:hAnsi="宋体" w:cs="宋体" w:eastAsia="宋体"/>
          <w:sz w:val="27"/>
          <w:color w:val="222222"/>
        </w:rPr>
        <w:t>　　1.本合同在甲乙双方法人代表或其授权代表签字盖章后生效。</w:t>
      </w:r>
    </w:p>
    <w:p>
      <w:pPr>
        <w:pStyle w:val="null3"/>
        <w:shd w:fill="FFFFFF"/>
        <w:spacing w:before="0" w:after="0"/>
        <w:ind w:left="0" w:right="0"/>
        <w:jc w:val="both"/>
      </w:pPr>
      <w:r>
        <w:rPr>
          <w:rFonts w:ascii="宋体" w:hAnsi="宋体" w:cs="宋体" w:eastAsia="宋体"/>
          <w:sz w:val="27"/>
          <w:color w:val="222222"/>
        </w:rPr>
        <w:t>　　2.合同一式</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份。</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甲方（盖章）：</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乙方（盖章）：</w:t>
      </w:r>
    </w:p>
    <w:p>
      <w:pPr>
        <w:pStyle w:val="null3"/>
        <w:shd w:fill="FFFFFF"/>
        <w:spacing w:before="0" w:after="0"/>
        <w:ind w:left="0" w:right="0"/>
        <w:jc w:val="both"/>
      </w:pPr>
      <w:r>
        <w:rPr>
          <w:rFonts w:ascii="宋体" w:hAnsi="宋体" w:cs="宋体" w:eastAsia="宋体"/>
          <w:sz w:val="27"/>
          <w:b/>
          <w:color w:val="222222"/>
        </w:rPr>
        <w:t>代表：</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代表：</w:t>
      </w:r>
    </w:p>
    <w:p>
      <w:pPr>
        <w:pStyle w:val="null3"/>
        <w:shd w:fill="FFFFFF"/>
        <w:spacing w:before="0" w:after="0"/>
        <w:ind w:left="0" w:right="0"/>
        <w:jc w:val="both"/>
      </w:pPr>
      <w:r>
        <w:rPr>
          <w:rFonts w:ascii="宋体" w:hAnsi="宋体" w:cs="宋体" w:eastAsia="宋体"/>
          <w:sz w:val="27"/>
          <w:color w:val="222222"/>
        </w:rPr>
        <w:t>签订地点：</w:t>
      </w:r>
    </w:p>
    <w:p>
      <w:pPr>
        <w:pStyle w:val="null3"/>
        <w:shd w:fill="FFFFFF"/>
        <w:spacing w:before="0" w:after="0"/>
        <w:ind w:left="0" w:right="0"/>
        <w:jc w:val="both"/>
      </w:pPr>
      <w:r>
        <w:rPr>
          <w:rFonts w:ascii="宋体" w:hAnsi="宋体" w:cs="宋体" w:eastAsia="宋体"/>
          <w:sz w:val="27"/>
          <w:color w:val="222222"/>
        </w:rPr>
        <w:t>签订日期：　　　年　　月　　日</w:t>
      </w:r>
      <w:r>
        <w:rPr>
          <w:rFonts w:ascii="宋体" w:hAnsi="宋体" w:cs="宋体" w:eastAsia="宋体"/>
          <w:sz w:val="27"/>
          <w:color w:val="222222"/>
        </w:rPr>
        <w:t xml:space="preserve"> </w:t>
      </w:r>
      <w:r>
        <w:rPr>
          <w:rFonts w:ascii="宋体" w:hAnsi="宋体" w:cs="宋体" w:eastAsia="宋体"/>
          <w:sz w:val="27"/>
          <w:color w:val="222222"/>
        </w:rPr>
        <w:t xml:space="preserve"> 签订日期：　　　年　　月　　日</w:t>
      </w:r>
    </w:p>
    <w:p>
      <w:pPr>
        <w:pStyle w:val="null3"/>
        <w:shd w:fill="FFFFFF"/>
        <w:spacing w:before="0" w:after="0"/>
        <w:ind w:left="0" w:right="0"/>
        <w:jc w:val="both"/>
      </w:pPr>
      <w:r>
        <w:rPr>
          <w:rFonts w:ascii="宋体" w:hAnsi="宋体" w:cs="宋体" w:eastAsia="宋体"/>
          <w:sz w:val="27"/>
          <w:color w:val="222222"/>
        </w:rPr>
        <w:t>开户名称：</w:t>
      </w:r>
    </w:p>
    <w:p>
      <w:pPr>
        <w:pStyle w:val="null3"/>
        <w:shd w:fill="FFFFFF"/>
        <w:spacing w:before="0" w:after="0"/>
        <w:ind w:left="0" w:right="0"/>
        <w:jc w:val="both"/>
      </w:pPr>
      <w:r>
        <w:rPr>
          <w:rFonts w:ascii="宋体" w:hAnsi="宋体" w:cs="宋体" w:eastAsia="宋体"/>
          <w:sz w:val="27"/>
          <w:color w:val="222222"/>
        </w:rPr>
        <w:t>银行帐号：</w:t>
      </w:r>
    </w:p>
    <w:p>
      <w:pPr>
        <w:pStyle w:val="null3"/>
        <w:shd w:fill="FFFFFF"/>
        <w:spacing w:before="0" w:after="0"/>
        <w:ind w:left="0" w:right="0"/>
        <w:jc w:val="both"/>
      </w:pPr>
      <w:r>
        <w:rPr>
          <w:rFonts w:ascii="宋体" w:hAnsi="宋体" w:cs="宋体" w:eastAsia="宋体"/>
          <w:sz w:val="27"/>
          <w:color w:val="222222"/>
        </w:rPr>
        <w:t>开 户 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441900036-2026-00214</w:t>
      </w:r>
    </w:p>
    <w:p>
      <w:pPr>
        <w:pStyle w:val="null3"/>
        <w:jc w:val="center"/>
        <w:outlineLvl w:val="3"/>
      </w:pPr>
      <w:r>
        <w:rPr>
          <w:sz w:val="24"/>
          <w:b/>
        </w:rPr>
        <w:t>采购项目编号：</w:t>
      </w:r>
      <w:r>
        <w:rPr>
          <w:sz w:val="24"/>
          <w:b/>
        </w:rPr>
        <w:t>441900036-2026-00214</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广东政通招标有限公司</w:t>
      </w:r>
    </w:p>
    <w:p>
      <w:pPr>
        <w:pStyle w:val="null3"/>
        <w:ind w:firstLine="480"/>
      </w:pPr>
      <w:r>
        <w:rPr/>
        <w:t xml:space="preserve"> 你方组织的</w:t>
      </w:r>
      <w:r>
        <w:rPr>
          <w:u w:val="single"/>
        </w:rPr>
        <w:t>“</w:t>
      </w:r>
      <w:r>
        <w:rPr>
          <w:u w:val="single"/>
        </w:rPr>
        <w:t>2026-2028年高埗镇镇管河道保洁项目</w:t>
      </w:r>
      <w:r>
        <w:rPr>
          <w:u w:val="single"/>
        </w:rPr>
        <w:t>”</w:t>
      </w:r>
      <w:r>
        <w:rPr/>
        <w:t>项目的竞争性磋商[采购项目编号为：</w:t>
      </w:r>
      <w:r>
        <w:rPr>
          <w:u w:val="single"/>
        </w:rPr>
        <w:t>441900036-2026-00214</w:t>
      </w:r>
      <w:r>
        <w:rPr/>
        <w:t>]，我方愿参与响应。</w:t>
      </w:r>
    </w:p>
    <w:p>
      <w:pPr>
        <w:pStyle w:val="null3"/>
        <w:ind w:firstLine="480"/>
      </w:pPr>
      <w:r>
        <w:rPr/>
        <w:t>我方确认收到贵方提供的</w:t>
      </w:r>
      <w:r>
        <w:rPr>
          <w:u w:val="single"/>
        </w:rPr>
        <w:t>“</w:t>
      </w:r>
      <w:r>
        <w:rPr>
          <w:u w:val="single"/>
        </w:rPr>
        <w:t>2026-2028年高埗镇镇管河道保洁项目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广东政通招标有限公司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2026-2028年高埗镇镇管河道保洁项目</w:t>
      </w:r>
      <w:r>
        <w:rPr/>
        <w:t>”项目采购[采购项目编号为</w:t>
      </w:r>
      <w:r>
        <w:rPr/>
        <w:t>441900036-2026-00214</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东莞市高埗镇水务工程运营中心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广东政通招标有限公司</w:t>
      </w:r>
    </w:p>
    <w:p>
      <w:pPr>
        <w:pStyle w:val="null3"/>
        <w:ind w:firstLine="480"/>
      </w:pPr>
      <w:r>
        <w:rPr/>
        <w:t>我单位参加贵公司组织的</w:t>
      </w:r>
      <w:r>
        <w:rPr/>
        <w:t>2026-2028年高埗镇镇管河道保洁项目</w:t>
      </w:r>
      <w:r>
        <w:rPr/>
        <w:t>（采购项目编号：</w:t>
      </w:r>
      <w:r>
        <w:rPr/>
        <w:t>441900036-2026-00214</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广东政通招标有限公司</w:t>
      </w:r>
    </w:p>
    <w:p>
      <w:pPr>
        <w:pStyle w:val="null3"/>
        <w:ind w:firstLine="480"/>
      </w:pPr>
      <w:r>
        <w:rPr/>
        <w:t>我单位已登记并准备参与“</w:t>
      </w:r>
      <w:r>
        <w:rPr/>
        <w:t>2026-2028年高埗镇镇管河道保洁项目</w:t>
      </w:r>
      <w:r>
        <w:rPr/>
        <w:t>”项目（采购项目编号：</w:t>
      </w:r>
      <w:r>
        <w:rPr/>
        <w:t>441900036-2026-00214</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