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441900003-2026-00387</w:t>
      </w:r>
    </w:p>
    <w:p>
      <w:pPr>
        <w:pStyle w:val="null3"/>
        <w:jc w:val="center"/>
        <w:outlineLvl w:val="3"/>
      </w:pPr>
      <w:r>
        <w:rPr>
          <w:sz w:val="24"/>
          <w:b/>
        </w:rPr>
        <w:t>采购项目编号：</w:t>
      </w:r>
      <w:r>
        <w:rPr>
          <w:sz w:val="24"/>
          <w:b/>
        </w:rPr>
        <w:t>441900003-2026-00387</w:t>
      </w:r>
    </w:p>
    <w:p>
      <w:pPr>
        <w:pStyle w:val="null3"/>
        <w:jc w:val="center"/>
        <w:outlineLvl w:val="3"/>
      </w:pPr>
      <w:r>
        <w:rPr>
          <w:sz w:val="24"/>
          <w:b/>
        </w:rPr>
        <w:t>项目名称：</w:t>
      </w:r>
      <w:r>
        <w:rPr>
          <w:sz w:val="24"/>
          <w:b/>
        </w:rPr>
        <w:t>2026年广东省城市篮球联赛、城市足球超级联赛（南城赛区）科技信息化服务项目</w:t>
      </w:r>
    </w:p>
    <w:p>
      <w:pPr>
        <w:pStyle w:val="null3"/>
        <w:jc w:val="center"/>
        <w:outlineLvl w:val="3"/>
      </w:pPr>
      <w:r>
        <w:rPr>
          <w:sz w:val="24"/>
          <w:b/>
        </w:rPr>
        <w:t>采购人：</w:t>
      </w:r>
      <w:r>
        <w:rPr>
          <w:sz w:val="24"/>
          <w:b/>
        </w:rPr>
        <w:t>东莞市公安局南城分局</w:t>
      </w:r>
    </w:p>
    <w:p>
      <w:pPr>
        <w:pStyle w:val="null3"/>
        <w:jc w:val="center"/>
        <w:outlineLvl w:val="3"/>
      </w:pPr>
      <w:r>
        <w:rPr>
          <w:sz w:val="24"/>
          <w:b/>
        </w:rPr>
        <w:t>采购代理机构：</w:t>
      </w:r>
      <w:r>
        <w:rPr>
          <w:sz w:val="24"/>
          <w:b/>
        </w:rPr>
        <w:t>广东政通招标有限公司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广东政通招标有限公司</w:t>
      </w:r>
      <w:r>
        <w:rPr/>
        <w:t>受</w:t>
      </w:r>
      <w:r>
        <w:rPr/>
        <w:t>东莞市公安局南城分局</w:t>
      </w:r>
      <w:r>
        <w:rPr/>
        <w:t>的委托，采用</w:t>
      </w:r>
      <w:r>
        <w:rPr/>
        <w:t>公开招标</w:t>
      </w:r>
      <w:r>
        <w:rPr/>
        <w:t>方式组织采购</w:t>
      </w:r>
      <w:r>
        <w:rPr/>
        <w:t>2026年广东省城市篮球联赛、城市足球超级联赛（南城赛区）科技信息化服务项目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2026年广东省城市篮球联赛、城市足球超级联赛（南城赛区）科技信息化服务项目</w:t>
      </w:r>
    </w:p>
    <w:p>
      <w:pPr>
        <w:pStyle w:val="null3"/>
        <w:ind w:firstLine="480"/>
      </w:pPr>
      <w:r>
        <w:rPr/>
        <w:t>采购计划编号：</w:t>
      </w:r>
      <w:r>
        <w:rPr/>
        <w:t>441900003-2026-00387</w:t>
      </w:r>
    </w:p>
    <w:p>
      <w:pPr>
        <w:pStyle w:val="null3"/>
        <w:ind w:firstLine="480"/>
      </w:pPr>
      <w:r>
        <w:rPr/>
        <w:t>采购项目编号：</w:t>
      </w:r>
      <w:r>
        <w:rPr/>
        <w:t>441900003-2026-00387</w:t>
      </w:r>
    </w:p>
    <w:p>
      <w:pPr>
        <w:pStyle w:val="null3"/>
        <w:ind w:firstLine="480"/>
      </w:pPr>
      <w:r>
        <w:rPr/>
        <w:t>采购方式：</w:t>
      </w:r>
      <w:r>
        <w:rPr/>
        <w:t>公开招标</w:t>
      </w:r>
    </w:p>
    <w:p>
      <w:pPr>
        <w:pStyle w:val="null3"/>
        <w:ind w:firstLine="480"/>
      </w:pPr>
      <w:r>
        <w:rPr/>
        <w:t>预算金额：</w:t>
      </w:r>
      <w:r>
        <w:rPr/>
        <w:t>1,002,000.00</w:t>
      </w:r>
      <w:r>
        <w:rPr/>
        <w:t>元</w:t>
      </w:r>
    </w:p>
    <w:p>
      <w:pPr>
        <w:pStyle w:val="null3"/>
        <w:outlineLvl w:val="3"/>
      </w:pPr>
      <w:r>
        <w:rPr>
          <w:sz w:val="24"/>
          <w:b/>
        </w:rPr>
        <w:t>2.项目内容及需求情况（采购项目技术规格、参数及要求）</w:t>
      </w:r>
    </w:p>
    <w:p>
      <w:pPr>
        <w:pStyle w:val="null3"/>
      </w:pPr>
      <w:r>
        <w:rPr/>
        <w:t>采购包1(2026年广东省城市篮球联赛、城市足球超级联赛（南城赛区）科技信息化服务项目):</w:t>
      </w:r>
    </w:p>
    <w:p>
      <w:pPr>
        <w:pStyle w:val="null3"/>
      </w:pPr>
      <w:r>
        <w:rPr/>
        <w:t>采购包预算金额：1,002,000.00元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其他信息技术服务</w:t>
            </w:r>
          </w:p>
        </w:tc>
        <w:tc>
          <w:tcPr>
            <w:tcW w:type="dxa" w:w="2136"/>
          </w:tcPr>
          <w:p>
            <w:pPr>
              <w:pStyle w:val="null3"/>
            </w:pPr>
            <w:r>
              <w:rPr/>
              <w:t>2026年广东省城市篮球联赛、城市足球超级联赛（南城赛区）科技信息化服务项目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合同履行期限：合同签订之日起3天完成供货、安装、调试及验收并交付采购人使用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2）有依法缴纳税收和社会保障资金的良好记录：投标（响应）文件中提供《资格条件承诺函》，可参考公告附件格式。</w:t>
      </w:r>
    </w:p>
    <w:p>
      <w:pPr>
        <w:pStyle w:val="null3"/>
      </w:pPr>
      <w:r>
        <w:rPr/>
        <w:t>3）具有良好的商业信誉和健全的财务会计制度：投标（响应）文件中提供《资格条件承诺函》，可参考公告附件格式。</w:t>
      </w:r>
    </w:p>
    <w:p>
      <w:pPr>
        <w:pStyle w:val="null3"/>
      </w:pPr>
      <w:r>
        <w:rPr/>
        <w:t>4）履行合同所必需的设备和专业技术能力：投标（响应）文件中提供《资格条件承诺函》，可参考公告附件格式。</w:t>
      </w:r>
    </w:p>
    <w:p>
      <w:pPr>
        <w:pStyle w:val="null3"/>
      </w:pPr>
      <w:r>
        <w:rPr/>
        <w:t>5）参加采购活动前3年内，在经营活动中没有重大违法记录：投标（响应）文件中提供《资格条件承诺函》，可参考公告附件格式。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采购包1（2026年广东省城市篮球联赛、城市足球超级联赛（南城赛区）科技信息化服务项目）：</w:t>
      </w:r>
      <w:r>
        <w:rPr/>
        <w:t>本项目不属于专门面向中小企业采购。</w:t>
      </w:r>
    </w:p>
    <w:p>
      <w:pPr>
        <w:pStyle w:val="null3"/>
        <w:outlineLvl w:val="3"/>
      </w:pPr>
      <w:r>
        <w:rPr>
          <w:sz w:val="24"/>
          <w:b/>
        </w:rPr>
        <w:t>3.本项目特定的资格要求：</w:t>
      </w:r>
    </w:p>
    <w:p>
      <w:pPr>
        <w:pStyle w:val="null3"/>
      </w:pPr>
      <w:r>
        <w:rPr/>
        <w:t>采购包1（2026年广东省城市篮球联赛、城市足球超级联赛（南城赛区）科技信息化服务项目）：</w:t>
      </w:r>
    </w:p>
    <w:p>
      <w:pPr>
        <w:pStyle w:val="null3"/>
      </w:pPr>
      <w:r>
        <w:rPr/>
        <w:t>1)供应商未被列入“信用中国”网站(www.creditchina.gov.cn)“记录失信被执行人或税收违法黑名单”记录名单；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东莞市公安局南城分局</w:t>
      </w:r>
    </w:p>
    <w:p>
      <w:pPr>
        <w:pStyle w:val="null3"/>
        <w:ind w:firstLine="480"/>
      </w:pPr>
      <w:r>
        <w:rPr/>
        <w:t xml:space="preserve"> 地址：</w:t>
      </w:r>
      <w:r>
        <w:rPr/>
        <w:t>莞太大道158号</w:t>
      </w:r>
    </w:p>
    <w:p>
      <w:pPr>
        <w:pStyle w:val="null3"/>
        <w:ind w:firstLine="480"/>
      </w:pPr>
      <w:r>
        <w:rPr/>
        <w:t xml:space="preserve"> 联系方式：</w:t>
      </w:r>
      <w:r>
        <w:rPr/>
        <w:t>0769-23082201</w:t>
      </w:r>
    </w:p>
    <w:p>
      <w:pPr>
        <w:pStyle w:val="null3"/>
        <w:outlineLvl w:val="3"/>
      </w:pPr>
      <w:r>
        <w:rPr>
          <w:sz w:val="24"/>
          <w:b/>
        </w:rPr>
        <w:t xml:space="preserve"> 2.采购代理机构信息</w:t>
      </w:r>
    </w:p>
    <w:p>
      <w:pPr>
        <w:pStyle w:val="null3"/>
        <w:ind w:firstLine="480"/>
      </w:pPr>
      <w:r>
        <w:rPr/>
        <w:t xml:space="preserve"> 名称：</w:t>
      </w:r>
      <w:r>
        <w:rPr/>
        <w:t>广东政通招标有限公司</w:t>
      </w:r>
    </w:p>
    <w:p>
      <w:pPr>
        <w:pStyle w:val="null3"/>
        <w:ind w:firstLine="480"/>
      </w:pPr>
      <w:r>
        <w:rPr/>
        <w:t xml:space="preserve"> 地址：</w:t>
      </w:r>
      <w:r>
        <w:rPr/>
        <w:t>广东省东莞市南城街道广东省东莞市南城街道鸿福路199号410、411室</w:t>
      </w:r>
    </w:p>
    <w:p>
      <w:pPr>
        <w:pStyle w:val="null3"/>
        <w:ind w:firstLine="480"/>
      </w:pPr>
      <w:r>
        <w:rPr/>
        <w:t xml:space="preserve"> 联系方式：</w:t>
      </w:r>
      <w:r>
        <w:rPr/>
        <w:t>0769-22881803</w:t>
      </w:r>
    </w:p>
    <w:p>
      <w:pPr>
        <w:pStyle w:val="null3"/>
        <w:outlineLvl w:val="3"/>
      </w:pPr>
      <w:r>
        <w:rPr>
          <w:sz w:val="24"/>
          <w:b/>
        </w:rPr>
        <w:t xml:space="preserve"> 3.项目联系方式</w:t>
      </w:r>
    </w:p>
    <w:p>
      <w:pPr>
        <w:pStyle w:val="null3"/>
        <w:ind w:firstLine="480"/>
      </w:pPr>
      <w:r>
        <w:rPr/>
        <w:t xml:space="preserve"> 项目联系人：</w:t>
      </w:r>
      <w:r>
        <w:rPr/>
        <w:t>徐柳莉</w:t>
      </w:r>
    </w:p>
    <w:p>
      <w:pPr>
        <w:pStyle w:val="null3"/>
        <w:ind w:firstLine="480"/>
      </w:pPr>
      <w:r>
        <w:rPr/>
        <w:t xml:space="preserve"> 电话：</w:t>
      </w:r>
      <w:r>
        <w:rPr/>
        <w:t>0769-22881803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广东政通招标有限公司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一、项目概况：</w:t>
      </w:r>
    </w:p>
    <w:p>
      <w:pPr>
        <w:pStyle w:val="null3"/>
        <w:ind w:firstLine="420"/>
      </w:pPr>
      <w:r>
        <w:rPr>
          <w:sz w:val="21"/>
        </w:rPr>
        <w:t>根据</w:t>
      </w:r>
      <w:r>
        <w:rPr>
          <w:sz w:val="21"/>
          <w:color w:val="222222"/>
        </w:rPr>
        <w:t>2026年广东省城市篮球联赛、城市足球超级联赛</w:t>
      </w:r>
      <w:r>
        <w:rPr>
          <w:sz w:val="21"/>
        </w:rPr>
        <w:t>场馆信息化建设要求，本项目</w:t>
      </w:r>
      <w:r>
        <w:rPr>
          <w:sz w:val="21"/>
        </w:rPr>
        <w:t>在体育中心体育馆</w:t>
      </w:r>
      <w:r>
        <w:rPr>
          <w:sz w:val="21"/>
        </w:rPr>
        <w:t>进行信息化建设。</w:t>
      </w:r>
    </w:p>
    <w:p>
      <w:pPr>
        <w:pStyle w:val="null3"/>
        <w:jc w:val="both"/>
      </w:pPr>
      <w:r>
        <w:rPr>
          <w:sz w:val="21"/>
          <w:b/>
        </w:rPr>
        <w:t>采购清单</w:t>
      </w:r>
      <w:r>
        <w:rPr>
          <w:sz w:val="21"/>
          <w:b/>
        </w:rPr>
        <w:t>：</w:t>
      </w:r>
    </w:p>
    <w:p>
      <w:pPr>
        <w:pStyle w:val="null3"/>
        <w:jc w:val="both"/>
      </w:pPr>
      <w:r>
        <w:rPr>
          <w:sz w:val="21"/>
          <w:b/>
        </w:rPr>
        <w:t>1，足球场：</w:t>
      </w:r>
    </w:p>
    <w:p>
      <w:pPr>
        <w:pStyle w:val="null3"/>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282"/>
        <w:gridCol w:w="724"/>
        <w:gridCol w:w="234"/>
        <w:gridCol w:w="314"/>
        <w:gridCol w:w="342"/>
        <w:gridCol w:w="460"/>
        <w:gridCol w:w="460"/>
        <w:gridCol w:w="5023"/>
        <w:gridCol w:w="460"/>
      </w:tblGrid>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项目名称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计算</w:t>
            </w:r>
            <w:r>
              <w:br/>
            </w:r>
            <w:r>
              <w:rPr>
                <w:sz w:val="21"/>
              </w:rPr>
              <w:t>单位</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计算数量</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r>
              <w:br/>
            </w:r>
            <w:r>
              <w:rPr>
                <w:sz w:val="21"/>
              </w:rPr>
              <w:t>(元/日)</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r>
              <w:br/>
            </w:r>
            <w:r>
              <w:rPr>
                <w:sz w:val="21"/>
              </w:rPr>
              <w:t>(元/日)</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每次活动概算</w:t>
            </w:r>
            <w:r>
              <w:br/>
            </w:r>
            <w:r>
              <w:rPr>
                <w:sz w:val="21"/>
              </w:rPr>
              <w:t>（按</w:t>
            </w:r>
            <w:r>
              <w:rPr>
                <w:sz w:val="21"/>
              </w:rPr>
              <w:t>4天算）</w:t>
            </w:r>
          </w:p>
        </w:tc>
        <w:tc>
          <w:tcPr>
            <w:tcW w:type="dxa" w:w="5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说明</w:t>
            </w:r>
          </w:p>
        </w:tc>
        <w:tc>
          <w:tcPr>
            <w:tcW w:type="dxa" w:w="46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设备获取方</w:t>
            </w:r>
            <w:r>
              <w:br/>
            </w:r>
            <w:r>
              <w:rPr>
                <w:sz w:val="21"/>
              </w:rPr>
              <w:t>式</w:t>
            </w:r>
            <w:r>
              <w:br/>
            </w:r>
            <w:r>
              <w:rPr>
                <w:sz w:val="21"/>
              </w:rPr>
              <w:t>(购置/租</w:t>
            </w:r>
            <w:r>
              <w:br/>
            </w:r>
            <w:r>
              <w:rPr>
                <w:sz w:val="21"/>
              </w:rPr>
              <w:t>赁</w:t>
            </w:r>
            <w:r>
              <w:rPr>
                <w:sz w:val="21"/>
              </w:rPr>
              <w:t>)</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 一 )</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设备租赁及线路费用（每日）</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东莞市体育中心举行大型活动期间，提前</w:t>
            </w:r>
            <w:r>
              <w:rPr>
                <w:sz w:val="21"/>
              </w:rPr>
              <w:t>3天完场指挥部搭建及相关视频补点工作。设备租赁费用期限涵盖每次活动准备和举行期间</w:t>
            </w:r>
          </w:p>
        </w:tc>
        <w:tc>
          <w:tcPr>
            <w:tcW w:type="dxa" w:w="46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指挥部专用网络线路租金</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r>
              <w:rPr>
                <w:sz w:val="21"/>
              </w:rPr>
              <w:t>/日</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活动准备和举行期间指挥部现场网络</w:t>
            </w:r>
            <w:r>
              <w:rPr>
                <w:sz w:val="21"/>
                <w:color w:val="000000"/>
              </w:rPr>
              <w:t>(公安网1条、视频网3条(场馆视频接入、人脸数据接入、指挥部专用))电路租用，上下行不低于500M传输，含安装设备调试施工。</w:t>
            </w:r>
          </w:p>
        </w:tc>
        <w:tc>
          <w:tcPr>
            <w:tcW w:type="dxa" w:w="46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租赁</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24"/>
            <w:vMerge/>
            <w:tcBorders>
              <w:top w:val="none" w:color="000000" w:sz="4"/>
              <w:left w:val="none" w:color="000000" w:sz="4"/>
              <w:bottom w:val="single" w:color="000000" w:sz="4"/>
              <w:right w:val="single" w:color="000000" w:sz="4"/>
            </w:tcBorders>
          </w:tcP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r>
              <w:rPr>
                <w:sz w:val="21"/>
              </w:rPr>
              <w:t>/日</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活动准备和举行期间用于指挥部互联网接入</w:t>
            </w:r>
            <w:r>
              <w:rPr>
                <w:sz w:val="21"/>
                <w:color w:val="000000"/>
              </w:rPr>
              <w:t>(专线)、验票区数据对接,上下行不低于500M传输，含安装设备调试施工。</w:t>
            </w:r>
          </w:p>
        </w:tc>
        <w:tc>
          <w:tcPr>
            <w:tcW w:type="dxa" w:w="46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租赁</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高清人脸摄像机</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支持多种智能模式：全结构化（默认）、人脸抓拍、人脸比对、道路监控、</w:t>
            </w:r>
            <w:r>
              <w:rPr>
                <w:sz w:val="21"/>
                <w:color w:val="000000"/>
              </w:rPr>
              <w:t>Smart事件、人数统计、热度图、智慧城管，多种智能模式可按需切换</w:t>
            </w:r>
            <w:r>
              <w:br/>
            </w:r>
            <w:r>
              <w:rPr>
                <w:sz w:val="21"/>
                <w:color w:val="000000"/>
              </w:rPr>
              <w:t>全结构化模式：</w:t>
            </w:r>
            <w:r>
              <w:rPr>
                <w:sz w:val="21"/>
                <w:color w:val="000000"/>
              </w:rPr>
              <w:t>a)抓拍人体：支持运动方向、上衣颜色、下装颜色、性别、年龄段、戴眼镜、背包、拎东西、戴帽子、戴口罩、发型、上衣类型、下装类型等属性识别，b)抓拍人脸：支持性别、年龄、年龄段、戴眼镜、戴口罩、表情、戴帽子等属性识别，c)抓拍非机动车：支持上衣颜色、下衣颜色、性别、戴眼镜、年龄段、背包、拎东西、戴帽子、戴口罩、上衣类型、下装类型、戴口罩、发型、非机动车类型，d)抓拍机动车：支持车身颜色、车型识别、车辆行驶方向、车牌颜色、车牌类型等属性识别</w:t>
            </w:r>
            <w:r>
              <w:br/>
            </w:r>
            <w:r>
              <w:rPr>
                <w:sz w:val="21"/>
                <w:color w:val="000000"/>
              </w:rPr>
              <w:t>人脸抓拍模式：</w:t>
            </w:r>
            <w:r>
              <w:rPr>
                <w:sz w:val="21"/>
                <w:color w:val="000000"/>
              </w:rPr>
              <w:t>a)支持对运动人脸进行检测、跟进查看、抓拍、评分、筛选，输出优选人脸，b)支持人脸去误报、快速抓拍人脸，c)支持快速抓拍和最佳抓拍两种模式，d)最多同时检测60张人脸，e)支持人脸去重</w:t>
            </w:r>
            <w:r>
              <w:br/>
            </w:r>
            <w:r>
              <w:rPr>
                <w:sz w:val="21"/>
                <w:color w:val="000000"/>
              </w:rPr>
              <w:t>人脸比对模式：可支持</w:t>
            </w:r>
            <w:r>
              <w:rPr>
                <w:sz w:val="21"/>
                <w:color w:val="000000"/>
              </w:rPr>
              <w:t>15万张图片库导入，比对结果支持报警输出</w:t>
            </w:r>
            <w:r>
              <w:br/>
            </w:r>
            <w:r>
              <w:rPr>
                <w:sz w:val="21"/>
                <w:color w:val="000000"/>
              </w:rPr>
              <w:t>道路监控模式：</w:t>
            </w:r>
            <w:r>
              <w:rPr>
                <w:sz w:val="21"/>
                <w:color w:val="000000"/>
              </w:rPr>
              <w:t>a)车辆检测：支持车牌识别并抓拍，车牌号码/车身颜色/车辆类型/车辆品牌，b)混行检测：检测正向或逆向行驶的车辆以及行人和非机动车，自动对车辆牌照进行识别，可以抓拍无车牌的车辆图片</w:t>
            </w:r>
            <w:r>
              <w:br/>
            </w:r>
            <w:r>
              <w:rPr>
                <w:sz w:val="21"/>
                <w:color w:val="000000"/>
              </w:rPr>
              <w:t>Smart事件模式：越界侦测，区域入侵侦测，离开区域侦测，离开区域侦测，徘徊侦测，人员聚集侦测，快速运动侦测，停车侦测，物品拿取侦测，物品拿取侦测，场景变更侦测，音频陡升侦测，音频陡降侦测，音频有无侦测，虚焦侦测。其中越界侦测，区域入侵侦测，进入区域侦测，离开区域侦测为深度学习算法，支持联动声光预警</w:t>
            </w:r>
            <w:r>
              <w:br/>
            </w:r>
            <w:r>
              <w:rPr>
                <w:sz w:val="21"/>
                <w:color w:val="000000"/>
              </w:rPr>
              <w:t>人数统计模式：</w:t>
            </w:r>
            <w:r>
              <w:rPr>
                <w:sz w:val="21"/>
                <w:color w:val="000000"/>
              </w:rPr>
              <w:t>a)人员统计：支持实时报警，人数变化报警和拥堵等级变化报警，并支持人数异常和停留时间异常报警，b)异常行为分析：支持离岗检测，以及在离岗检测报警，c)区域关注度：支持区域人数检测、停留时长检测、实时数据上传，并支持区域人数分析和队列状态分析展示</w:t>
            </w:r>
            <w:r>
              <w:br/>
            </w:r>
            <w:r>
              <w:rPr>
                <w:sz w:val="21"/>
                <w:color w:val="000000"/>
              </w:rPr>
              <w:t>热度图：支持设备上报和平台查询方式获取信息，并支持上报伪彩图背景大图</w:t>
            </w:r>
            <w:r>
              <w:br/>
            </w:r>
            <w:r>
              <w:rPr>
                <w:sz w:val="21"/>
                <w:color w:val="000000"/>
              </w:rPr>
              <w:t>店外经营、占道经营、非法摆摊、乱堆物堆料、违规撑伞、违规户外广告、沿街晾晒、暴露垃圾、打包垃圾、垃圾箱满溢、非机动车乱停放、道路积水等</w:t>
            </w:r>
            <w:r>
              <w:rPr>
                <w:sz w:val="21"/>
                <w:color w:val="000000"/>
              </w:rPr>
              <w:t>12种不规范现象并联动报警抓拍；</w:t>
            </w:r>
            <w:r>
              <w:br/>
            </w:r>
            <w:r>
              <w:rPr>
                <w:sz w:val="21"/>
                <w:color w:val="000000"/>
              </w:rPr>
              <w:t>鳞镜补光：采用隐藏式灯珠设计，通过鳞甲密布排列形成的镜面反射出光，见光不见灯。增加发光面积，降低聚光效果，补光柔和均匀</w:t>
            </w:r>
            <w:r>
              <w:br/>
            </w:r>
            <w:r>
              <w:rPr>
                <w:sz w:val="21"/>
                <w:color w:val="000000"/>
              </w:rPr>
              <w:t>支持电量检测：支持设备功耗检测，支持设备功耗报表展示，报表类型支持日报表和周报表（默认日报表，单位瓦时（</w:t>
            </w:r>
            <w:r>
              <w:rPr>
                <w:sz w:val="21"/>
                <w:color w:val="000000"/>
              </w:rPr>
              <w:t>W·h））</w:t>
            </w:r>
            <w:r>
              <w:br/>
            </w:r>
            <w:r>
              <w:rPr>
                <w:sz w:val="21"/>
                <w:color w:val="000000"/>
              </w:rPr>
              <w:t>Smart录像：支持断网续传功能保证录像不丢失，配合Smart NVR/SD卡实现事件录像的智能后检索、分析和浓缩播放，Smart编码：支持低码率、低延时、ROI感兴趣区域增强编码、SVC自适应编码技术，支持Smart265编码</w:t>
            </w:r>
            <w:r>
              <w:br/>
            </w:r>
            <w:r>
              <w:rPr>
                <w:sz w:val="21"/>
                <w:color w:val="000000"/>
              </w:rPr>
              <w:t>设备内置电动变焦镜头，操作便易，变焦过程平稳</w:t>
            </w:r>
            <w:r>
              <w:br/>
            </w:r>
            <w:r>
              <w:rPr>
                <w:sz w:val="21"/>
                <w:color w:val="000000"/>
              </w:rPr>
              <w:t>设备内置</w:t>
            </w:r>
            <w:r>
              <w:rPr>
                <w:sz w:val="21"/>
                <w:color w:val="000000"/>
              </w:rPr>
              <w:t>≥2个麦克风，内置≥1个扬声器，支持语音对讲</w:t>
            </w:r>
            <w:r>
              <w:br/>
            </w:r>
            <w:r>
              <w:rPr>
                <w:sz w:val="21"/>
              </w:rPr>
              <w:t>视频流和图片分辨率不低于</w:t>
            </w:r>
            <w:r>
              <w:rPr>
                <w:sz w:val="21"/>
              </w:rPr>
              <w:t>400万像素</w:t>
            </w:r>
            <w:r>
              <w:rPr>
                <w:sz w:val="21"/>
                <w:color w:val="000000"/>
              </w:rPr>
              <w:t>，并在此分辨率下可输出</w:t>
            </w:r>
            <w:r>
              <w:rPr>
                <w:sz w:val="21"/>
                <w:color w:val="000000"/>
              </w:rPr>
              <w:t>30 fps实时图像，图像更流畅，支持透雾、电子防抖，支持宽动态≥120 dB</w:t>
            </w:r>
            <w:r>
              <w:br/>
            </w:r>
            <w:r>
              <w:rPr>
                <w:sz w:val="21"/>
                <w:color w:val="000000"/>
              </w:rPr>
              <w:t>支持开放型网络视频接口，</w:t>
            </w:r>
            <w:r>
              <w:rPr>
                <w:sz w:val="21"/>
                <w:color w:val="000000"/>
              </w:rPr>
              <w:t>ISAPI，GB/T28181-2022，ISUP5.0，视图库</w:t>
            </w:r>
            <w:r>
              <w:br/>
            </w:r>
            <w:r>
              <w:rPr>
                <w:sz w:val="21"/>
                <w:color w:val="000000"/>
              </w:rPr>
              <w:t>支持标准的</w:t>
            </w:r>
            <w:r>
              <w:rPr>
                <w:sz w:val="21"/>
                <w:color w:val="000000"/>
              </w:rPr>
              <w:t>512 GB MicroSD/MicroSDHC/MicroSDXC卡存储，支持10 M/100 M/1000 M自适应网口</w:t>
            </w:r>
            <w:r>
              <w:br/>
            </w:r>
            <w:r>
              <w:rPr>
                <w:sz w:val="21"/>
                <w:color w:val="000000"/>
              </w:rPr>
              <w:t>支持三级用户权限管理，支持授权的用户和密码，支持</w:t>
            </w:r>
            <w:r>
              <w:rPr>
                <w:sz w:val="21"/>
                <w:color w:val="000000"/>
              </w:rPr>
              <w:t>IP地址过滤</w:t>
            </w:r>
            <w:r>
              <w:br/>
            </w:r>
            <w:r>
              <w:rPr>
                <w:sz w:val="21"/>
                <w:color w:val="000000"/>
              </w:rPr>
              <w:t>音频：</w:t>
            </w:r>
            <w:r>
              <w:rPr>
                <w:sz w:val="21"/>
                <w:color w:val="000000"/>
              </w:rPr>
              <w:t>≥2路输入，≥1路输出，报警：≥3路输入，≥2路输出</w:t>
            </w:r>
            <w:r>
              <w:br/>
            </w:r>
            <w:r>
              <w:rPr>
                <w:sz w:val="21"/>
                <w:color w:val="000000"/>
              </w:rPr>
              <w:t>宽动态：</w:t>
            </w:r>
            <w:r>
              <w:rPr>
                <w:sz w:val="21"/>
                <w:color w:val="000000"/>
              </w:rPr>
              <w:t>≥120 dB</w:t>
            </w:r>
            <w:r>
              <w:br/>
            </w:r>
            <w:r>
              <w:rPr>
                <w:sz w:val="21"/>
                <w:color w:val="000000"/>
              </w:rPr>
              <w:t>最低照度：彩色：</w:t>
            </w:r>
            <w:r>
              <w:rPr>
                <w:sz w:val="21"/>
                <w:color w:val="000000"/>
              </w:rPr>
              <w:t>0.0005 Lux @（F1.2，AGC ON），0 Lux with Light</w:t>
            </w:r>
            <w:r>
              <w:br/>
            </w:r>
            <w:r>
              <w:rPr>
                <w:sz w:val="21"/>
                <w:color w:val="000000"/>
              </w:rPr>
              <w:t>黑白：</w:t>
            </w:r>
            <w:r>
              <w:rPr>
                <w:sz w:val="21"/>
                <w:color w:val="000000"/>
              </w:rPr>
              <w:t>0.0001 Lux @（F1.2，AGC ON），0 Lux with IR</w:t>
            </w:r>
            <w:r>
              <w:br/>
            </w:r>
            <w:r>
              <w:rPr>
                <w:sz w:val="21"/>
                <w:color w:val="000000"/>
              </w:rPr>
              <w:t>传感器类型：</w:t>
            </w:r>
            <w:r>
              <w:rPr>
                <w:sz w:val="21"/>
                <w:color w:val="000000"/>
              </w:rPr>
              <w:t xml:space="preserve">≥1/1.8" Progressive Scan CMOS </w:t>
            </w:r>
            <w:r>
              <w:br/>
            </w:r>
            <w:r>
              <w:rPr>
                <w:sz w:val="21"/>
                <w:color w:val="000000"/>
              </w:rPr>
              <w:t>焦距</w:t>
            </w:r>
            <w:r>
              <w:rPr>
                <w:sz w:val="21"/>
                <w:color w:val="000000"/>
              </w:rPr>
              <w:t xml:space="preserve">&amp;视场角：2.7~13.5 mm：水平视场角：106°~41.8°，垂直视场角：55.4°~23.6°，对角视场角：128.7°~48.1° </w:t>
            </w:r>
            <w:r>
              <w:br/>
            </w:r>
            <w:r>
              <w:rPr>
                <w:sz w:val="21"/>
                <w:color w:val="000000"/>
              </w:rPr>
              <w:t>补光距离：混光普通监控：</w:t>
            </w:r>
            <w:r>
              <w:rPr>
                <w:sz w:val="21"/>
                <w:color w:val="000000"/>
              </w:rPr>
              <w:t>≥50 m，人脸抓拍/识别：≥7 m；白光普通监控：≥30 m，人脸抓拍/识别：≥5 m</w:t>
            </w:r>
            <w:r>
              <w:br/>
            </w:r>
            <w:r>
              <w:rPr>
                <w:sz w:val="21"/>
                <w:color w:val="000000"/>
              </w:rPr>
              <w:t>防补光过曝：支持防补光过曝开启和关闭，开启下支持自动和手动，手动支持根据距离等级控制补光灯亮度</w:t>
            </w:r>
            <w:r>
              <w:br/>
            </w:r>
            <w:r>
              <w:rPr>
                <w:sz w:val="21"/>
                <w:color w:val="000000"/>
              </w:rPr>
              <w:t>补光灯类型：鳞镜补光，混光（</w:t>
            </w:r>
            <w:r>
              <w:rPr>
                <w:sz w:val="21"/>
                <w:color w:val="000000"/>
              </w:rPr>
              <w:t xml:space="preserve">850 nm+暖白），≥4颗灯珠 </w:t>
            </w:r>
            <w:r>
              <w:br/>
            </w:r>
            <w:r>
              <w:rPr>
                <w:sz w:val="21"/>
                <w:color w:val="000000"/>
              </w:rPr>
              <w:t>最大图像尺寸：</w:t>
            </w:r>
            <w:r>
              <w:rPr>
                <w:sz w:val="21"/>
                <w:color w:val="000000"/>
              </w:rPr>
              <w:t>2688 × 1520</w:t>
            </w:r>
            <w:r>
              <w:br/>
            </w:r>
            <w:r>
              <w:rPr>
                <w:sz w:val="21"/>
                <w:color w:val="000000"/>
              </w:rPr>
              <w:t>视频压缩标准：</w:t>
            </w:r>
            <w:r>
              <w:rPr>
                <w:sz w:val="21"/>
                <w:color w:val="000000"/>
              </w:rPr>
              <w:t xml:space="preserve">H.265/H.264/MJPEG </w:t>
            </w:r>
            <w:r>
              <w:br/>
            </w:r>
            <w:r>
              <w:rPr>
                <w:sz w:val="21"/>
                <w:color w:val="000000"/>
              </w:rPr>
              <w:t>网络：</w:t>
            </w:r>
            <w:r>
              <w:rPr>
                <w:sz w:val="21"/>
                <w:color w:val="000000"/>
              </w:rPr>
              <w:t>≥1个RJ45 10 M/100 M/1000 M自适应以太网口</w:t>
            </w:r>
            <w:r>
              <w:br/>
            </w:r>
            <w:r>
              <w:rPr>
                <w:sz w:val="21"/>
                <w:color w:val="000000"/>
              </w:rPr>
              <w:t>SD卡扩展：内置MicroSD/MicroSDHC/MicroSDXC插槽，最大支持512 GB</w:t>
            </w:r>
            <w:r>
              <w:br/>
            </w:r>
            <w:r>
              <w:rPr>
                <w:sz w:val="21"/>
                <w:color w:val="000000"/>
              </w:rPr>
              <w:t>复位：支持</w:t>
            </w:r>
            <w:r>
              <w:br/>
            </w:r>
            <w:r>
              <w:rPr>
                <w:sz w:val="21"/>
                <w:color w:val="000000"/>
              </w:rPr>
              <w:t>音频：</w:t>
            </w:r>
            <w:r>
              <w:rPr>
                <w:sz w:val="21"/>
                <w:color w:val="000000"/>
              </w:rPr>
              <w:t>≥2路输入（Line in），≥1路输出（Line out），≥2个内置麦克风，≥1个内置扬声器</w:t>
            </w:r>
            <w:r>
              <w:br/>
            </w:r>
            <w:r>
              <w:rPr>
                <w:sz w:val="21"/>
                <w:color w:val="000000"/>
              </w:rPr>
              <w:t>报警：</w:t>
            </w:r>
            <w:r>
              <w:rPr>
                <w:sz w:val="21"/>
                <w:color w:val="000000"/>
              </w:rPr>
              <w:t>≥3路输入，≥2路输出（报警输入支持开关量，报警输出最大支持DC12 V，30 mA）</w:t>
            </w:r>
            <w:r>
              <w:br/>
            </w:r>
            <w:r>
              <w:rPr>
                <w:sz w:val="21"/>
                <w:color w:val="000000"/>
              </w:rPr>
              <w:t>RS-485：≥1路RS-485接口，采用半双工模式，支持自适应HIKVISION，PELCO-P和PELCO-D协议</w:t>
            </w:r>
            <w:r>
              <w:br/>
            </w:r>
            <w:r>
              <w:rPr>
                <w:sz w:val="21"/>
                <w:color w:val="000000"/>
              </w:rPr>
              <w:t>接口类型：外甩线</w:t>
            </w:r>
            <w:r>
              <w:br/>
            </w:r>
            <w:r>
              <w:rPr>
                <w:sz w:val="21"/>
                <w:color w:val="000000"/>
              </w:rPr>
              <w:t>电源输出：</w:t>
            </w:r>
            <w:r>
              <w:rPr>
                <w:sz w:val="21"/>
                <w:color w:val="000000"/>
              </w:rPr>
              <w:t>DC12 V，100 mA ,外接延长线建议长度不超10米</w:t>
            </w:r>
            <w:r>
              <w:br/>
            </w:r>
            <w:r>
              <w:rPr>
                <w:sz w:val="21"/>
                <w:color w:val="000000"/>
              </w:rPr>
              <w:t>视频输出：</w:t>
            </w:r>
            <w:r>
              <w:rPr>
                <w:sz w:val="21"/>
                <w:color w:val="000000"/>
              </w:rPr>
              <w:t xml:space="preserve">≥1 Vp-p Composite Output（75 Ω/CVBS） </w:t>
            </w:r>
            <w:r>
              <w:br/>
            </w:r>
            <w:r>
              <w:rPr>
                <w:sz w:val="21"/>
                <w:color w:val="000000"/>
              </w:rPr>
              <w:t>在线升级：支持</w:t>
            </w:r>
            <w:r>
              <w:br/>
            </w:r>
            <w:r>
              <w:rPr>
                <w:sz w:val="21"/>
                <w:color w:val="000000"/>
              </w:rPr>
              <w:t>恢复出厂设置：支持</w:t>
            </w:r>
            <w:r>
              <w:rPr>
                <w:sz w:val="21"/>
                <w:color w:val="000000"/>
              </w:rPr>
              <w:t>RESET按键，客户端或浏览器恢复</w:t>
            </w:r>
            <w:r>
              <w:br/>
            </w:r>
            <w:r>
              <w:rPr>
                <w:sz w:val="21"/>
                <w:color w:val="000000"/>
              </w:rPr>
              <w:t>电流及功耗：</w:t>
            </w:r>
            <w:r>
              <w:rPr>
                <w:sz w:val="21"/>
                <w:color w:val="000000"/>
              </w:rPr>
              <w:t>DC：12 V，1.55 A，最大功耗：18.6 W</w:t>
            </w:r>
            <w:r>
              <w:br/>
            </w:r>
            <w:r>
              <w:rPr>
                <w:sz w:val="21"/>
                <w:color w:val="000000"/>
              </w:rPr>
              <w:t>PoE：IEEE 802.3at，Class 4，最大功耗：22 W</w:t>
            </w:r>
            <w:r>
              <w:br/>
            </w:r>
            <w:r>
              <w:rPr>
                <w:sz w:val="21"/>
                <w:color w:val="000000"/>
              </w:rPr>
              <w:t>供电方式：</w:t>
            </w:r>
            <w:r>
              <w:rPr>
                <w:sz w:val="21"/>
                <w:color w:val="000000"/>
              </w:rPr>
              <w:t>DC：12 V ± 20%，支持防反接保护</w:t>
            </w:r>
            <w:r>
              <w:br/>
            </w:r>
            <w:r>
              <w:rPr>
                <w:sz w:val="21"/>
                <w:color w:val="000000"/>
              </w:rPr>
              <w:t>PoE：IEEE 802.3at，Type 2，Class 4</w:t>
            </w:r>
            <w:r>
              <w:br/>
            </w:r>
            <w:r>
              <w:rPr>
                <w:sz w:val="21"/>
                <w:color w:val="000000"/>
              </w:rPr>
              <w:t>电源接口类型：</w:t>
            </w:r>
            <w:r>
              <w:rPr>
                <w:sz w:val="21"/>
                <w:color w:val="000000"/>
              </w:rPr>
              <w:t>3芯接口</w:t>
            </w:r>
            <w:r>
              <w:br/>
            </w:r>
            <w:r>
              <w:rPr>
                <w:sz w:val="21"/>
                <w:color w:val="000000"/>
              </w:rPr>
              <w:t>启动和工作温湿度：</w:t>
            </w:r>
            <w:r>
              <w:rPr>
                <w:sz w:val="21"/>
                <w:color w:val="000000"/>
              </w:rPr>
              <w:t>-30°C~60°C，湿度小于95%（无凝结）</w:t>
            </w:r>
            <w:r>
              <w:br/>
            </w:r>
            <w:r>
              <w:rPr>
                <w:sz w:val="21"/>
                <w:color w:val="000000"/>
              </w:rPr>
              <w:t>存储温湿度：</w:t>
            </w:r>
            <w:r>
              <w:rPr>
                <w:sz w:val="21"/>
                <w:color w:val="000000"/>
              </w:rPr>
              <w:t>-30°C~60°C，湿度小于95%（无凝结）</w:t>
            </w:r>
            <w:r>
              <w:br/>
            </w:r>
            <w:r>
              <w:rPr>
                <w:sz w:val="21"/>
                <w:color w:val="000000"/>
              </w:rPr>
              <w:t>设备重量：</w:t>
            </w:r>
            <w:r>
              <w:rPr>
                <w:sz w:val="21"/>
                <w:color w:val="000000"/>
              </w:rPr>
              <w:t>≤1200 g</w:t>
            </w:r>
            <w:r>
              <w:br/>
            </w:r>
            <w:r>
              <w:rPr>
                <w:sz w:val="21"/>
                <w:color w:val="000000"/>
              </w:rPr>
              <w:t>带包装重量：</w:t>
            </w:r>
            <w:r>
              <w:rPr>
                <w:sz w:val="21"/>
                <w:color w:val="000000"/>
              </w:rPr>
              <w:t xml:space="preserve">≤1800 g </w:t>
            </w:r>
            <w:r>
              <w:br/>
            </w:r>
            <w:r>
              <w:rPr>
                <w:sz w:val="21"/>
                <w:color w:val="000000"/>
              </w:rPr>
              <w:t>防护：</w:t>
            </w:r>
            <w:r>
              <w:rPr>
                <w:sz w:val="21"/>
                <w:color w:val="000000"/>
              </w:rPr>
              <w:t xml:space="preserve">≥IP67 </w:t>
            </w:r>
            <w:r>
              <w:br/>
            </w:r>
            <w:r>
              <w:rPr>
                <w:sz w:val="21"/>
              </w:rPr>
              <w:t>具备同一场景需同时检测不少于</w:t>
            </w:r>
            <w:r>
              <w:rPr>
                <w:sz w:val="21"/>
              </w:rPr>
              <w:t>30张人脸能力</w:t>
            </w:r>
          </w:p>
        </w:tc>
        <w:tc>
          <w:tcPr>
            <w:tcW w:type="dxa" w:w="46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租赁</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监控数据存储服务器</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color w:val="000000"/>
              </w:rPr>
              <w:t>满足高清摄像头存</w:t>
            </w:r>
            <w:r>
              <w:rPr>
                <w:sz w:val="21"/>
                <w:color w:val="000000"/>
              </w:rPr>
              <w:t>≥</w:t>
            </w:r>
            <w:r>
              <w:rPr>
                <w:sz w:val="21"/>
                <w:color w:val="000000"/>
              </w:rPr>
              <w:t>15天。</w:t>
            </w:r>
            <w:r>
              <w:br/>
            </w:r>
            <w:r>
              <w:rPr>
                <w:sz w:val="21"/>
                <w:color w:val="000000"/>
              </w:rPr>
              <w:t>活动完成后，硬盘归公安所有。</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租赁</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摄像机接入层交换机</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color w:val="000000"/>
              </w:rPr>
              <w:t>交换容量</w:t>
            </w:r>
            <w:r>
              <w:rPr>
                <w:sz w:val="21"/>
                <w:color w:val="000000"/>
              </w:rPr>
              <w:t>≥</w:t>
            </w:r>
            <w:r>
              <w:rPr>
                <w:sz w:val="21"/>
                <w:color w:val="000000"/>
              </w:rPr>
              <w:t>336Gbps，包转发率</w:t>
            </w:r>
            <w:r>
              <w:rPr>
                <w:sz w:val="21"/>
                <w:color w:val="000000"/>
              </w:rPr>
              <w:t>≥</w:t>
            </w:r>
            <w:r>
              <w:rPr>
                <w:sz w:val="21"/>
                <w:color w:val="000000"/>
              </w:rPr>
              <w:t>108Mpps，</w:t>
            </w:r>
            <w:r>
              <w:rPr>
                <w:sz w:val="21"/>
                <w:color w:val="000000"/>
              </w:rPr>
              <w:t>≥</w:t>
            </w:r>
            <w:r>
              <w:rPr>
                <w:sz w:val="21"/>
                <w:color w:val="000000"/>
              </w:rPr>
              <w:t>24个10/100/1000Mbps自适应电口交换机(支持POE/POE+POE功率370W)，固化</w:t>
            </w:r>
            <w:r>
              <w:rPr>
                <w:sz w:val="21"/>
                <w:color w:val="000000"/>
              </w:rPr>
              <w:t>≥</w:t>
            </w:r>
            <w:r>
              <w:rPr>
                <w:sz w:val="21"/>
                <w:color w:val="000000"/>
              </w:rPr>
              <w:t>4个SFP+万兆光口</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租赁</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 二 )</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其它费用（每次费用）</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帐篷</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color w:val="000000"/>
              </w:rPr>
              <w:t>规格：</w:t>
            </w:r>
            <w:r>
              <w:rPr>
                <w:sz w:val="21"/>
                <w:color w:val="000000"/>
              </w:rPr>
              <w:t>5*5*2.5米，三个。含灯光照明</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辅材</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color w:val="000000"/>
              </w:rPr>
              <w:t>线管、线槽、直通、扎带、水晶头、支架、</w:t>
            </w:r>
            <w:r>
              <w:rPr>
                <w:sz w:val="21"/>
                <w:color w:val="000000"/>
              </w:rPr>
              <w:t>6类网线、电源线、光纤条线、过车线槽、传输光纤、熔纤盘、设备箱等</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7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人工费用</w:t>
            </w:r>
          </w:p>
        </w:tc>
        <w:tc>
          <w:tcPr>
            <w:tcW w:type="dxa" w:w="23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次</w:t>
            </w:r>
          </w:p>
        </w:tc>
        <w:tc>
          <w:tcPr>
            <w:tcW w:type="dxa" w:w="31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color w:val="000000"/>
              </w:rPr>
              <w:t>提前</w:t>
            </w:r>
            <w:r>
              <w:rPr>
                <w:sz w:val="21"/>
                <w:color w:val="000000"/>
              </w:rPr>
              <w:t>3天完场指挥部搭建及相关视频补点工作,及活动结束后设备拆除费用，施工人员数量不少于20人/日。</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 三 )</w:t>
            </w:r>
          </w:p>
        </w:tc>
        <w:tc>
          <w:tcPr>
            <w:tcW w:type="dxa" w:w="7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按实际工程量结算部分</w:t>
            </w:r>
          </w:p>
        </w:tc>
        <w:tc>
          <w:tcPr>
            <w:tcW w:type="dxa" w:w="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23"/>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驻场保障人员</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w:t>
            </w:r>
            <w:r>
              <w:rPr>
                <w:sz w:val="21"/>
              </w:rPr>
              <w:t>/</w:t>
            </w:r>
            <w:r>
              <w:rPr>
                <w:sz w:val="21"/>
              </w:rPr>
              <w:t>天</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驻场保障人员费用（一天）</w:t>
            </w: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合计费用</w:t>
            </w:r>
          </w:p>
        </w:tc>
        <w:tc>
          <w:tcPr>
            <w:tcW w:type="dxa" w:w="135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（一）</w:t>
            </w:r>
            <w:r>
              <w:rPr>
                <w:sz w:val="21"/>
                <w:b/>
              </w:rPr>
              <w:t>+（二）+（三）</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2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2，篮球馆：</w:t>
      </w:r>
    </w:p>
    <w:tbl>
      <w:tblPr>
        <w:tblW w:w="0" w:type="auto"/>
        <w:tblBorders>
          <w:top w:val="none" w:color="000000" w:sz="4"/>
          <w:left w:val="none" w:color="000000" w:sz="4"/>
          <w:bottom w:val="none" w:color="000000" w:sz="4"/>
          <w:right w:val="none" w:color="000000" w:sz="4"/>
          <w:insideH w:val="none"/>
          <w:insideV w:val="none"/>
        </w:tblBorders>
      </w:tblPr>
      <w:tblGrid>
        <w:gridCol w:w="279"/>
        <w:gridCol w:w="715"/>
        <w:gridCol w:w="231"/>
        <w:gridCol w:w="309"/>
        <w:gridCol w:w="339"/>
        <w:gridCol w:w="454"/>
        <w:gridCol w:w="454"/>
        <w:gridCol w:w="5065"/>
        <w:gridCol w:w="455"/>
      </w:tblGrid>
      <w:tr>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7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项目名称</w:t>
            </w:r>
          </w:p>
        </w:tc>
        <w:tc>
          <w:tcPr>
            <w:tcW w:type="dxa" w:w="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计算</w:t>
            </w:r>
            <w:r>
              <w:br/>
            </w:r>
            <w:r>
              <w:rPr>
                <w:sz w:val="21"/>
              </w:rPr>
              <w:t>单位</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计算数量</w:t>
            </w:r>
          </w:p>
        </w:tc>
        <w:tc>
          <w:tcPr>
            <w:tcW w:type="dxa" w:w="3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r>
              <w:br/>
            </w:r>
            <w:r>
              <w:rPr>
                <w:sz w:val="21"/>
              </w:rPr>
              <w:t>(元/日)</w:t>
            </w:r>
          </w:p>
        </w:tc>
        <w:tc>
          <w:tcPr>
            <w:tcW w:type="dxa" w:w="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r>
              <w:br/>
            </w:r>
            <w:r>
              <w:rPr>
                <w:sz w:val="21"/>
              </w:rPr>
              <w:t>(元/日)</w:t>
            </w:r>
          </w:p>
        </w:tc>
        <w:tc>
          <w:tcPr>
            <w:tcW w:type="dxa" w:w="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每次活动概算</w:t>
            </w:r>
            <w:r>
              <w:br/>
            </w:r>
            <w:r>
              <w:rPr>
                <w:sz w:val="21"/>
              </w:rPr>
              <w:t>（按</w:t>
            </w:r>
            <w:r>
              <w:rPr>
                <w:sz w:val="21"/>
              </w:rPr>
              <w:t>4天算）</w:t>
            </w:r>
          </w:p>
        </w:tc>
        <w:tc>
          <w:tcPr>
            <w:tcW w:type="dxa" w:w="5065"/>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说明</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设备获取方</w:t>
            </w:r>
            <w:r>
              <w:br/>
            </w:r>
            <w:r>
              <w:rPr>
                <w:sz w:val="21"/>
              </w:rPr>
              <w:t>式</w:t>
            </w:r>
            <w:r>
              <w:br/>
            </w:r>
            <w:r>
              <w:rPr>
                <w:sz w:val="21"/>
              </w:rPr>
              <w:t>(购置/租</w:t>
            </w:r>
            <w:r>
              <w:br/>
            </w:r>
            <w:r>
              <w:rPr>
                <w:sz w:val="21"/>
              </w:rPr>
              <w:t>赁</w:t>
            </w:r>
            <w:r>
              <w:rPr>
                <w:sz w:val="21"/>
              </w:rPr>
              <w:t>)</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 一 )</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设备租赁及线路费用（每日）</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6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东莞市体育中心举行大型活动期间，提前</w:t>
            </w:r>
            <w:r>
              <w:rPr>
                <w:sz w:val="21"/>
              </w:rPr>
              <w:t>3天完场指挥部搭建及相关视频补点工作。设备租赁费用期限涵盖每次活动准备和举行期间</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交换机</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6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color w:val="000000"/>
              </w:rPr>
              <w:t>活动准备和举行期间用于指挥部组建公安网、视频网、互联网。</w:t>
            </w:r>
            <w:r>
              <w:br/>
            </w:r>
            <w:r>
              <w:rPr>
                <w:sz w:val="21"/>
                <w:color w:val="000000"/>
              </w:rPr>
              <w:t>≥</w:t>
            </w:r>
            <w:r>
              <w:rPr>
                <w:sz w:val="21"/>
                <w:color w:val="000000"/>
              </w:rPr>
              <w:t>24个10/100/1000Mbps自适应电口+2个1000Mbps上联SFP光口，交换容量</w:t>
            </w:r>
            <w:r>
              <w:rPr>
                <w:sz w:val="21"/>
                <w:color w:val="000000"/>
              </w:rPr>
              <w:t>≥</w:t>
            </w:r>
            <w:r>
              <w:rPr>
                <w:sz w:val="21"/>
                <w:color w:val="000000"/>
              </w:rPr>
              <w:t>336Gbps包转发率</w:t>
            </w:r>
            <w:r>
              <w:rPr>
                <w:sz w:val="21"/>
                <w:color w:val="000000"/>
              </w:rPr>
              <w:t>≥</w:t>
            </w:r>
            <w:r>
              <w:rPr>
                <w:sz w:val="21"/>
                <w:color w:val="000000"/>
              </w:rPr>
              <w:t>92Mpps，金属外壳，6kV防雷，机架式交换机。</w:t>
            </w:r>
            <w:r>
              <w:br/>
            </w:r>
            <w:r>
              <w:rPr>
                <w:sz w:val="21"/>
                <w:color w:val="000000"/>
              </w:rPr>
              <w:t>根据需求提供对等数量的光模块</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租赁</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机柜</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6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color w:val="000000"/>
              </w:rPr>
              <w:t>活动准备和举行期间用于指挥部交换机及其他设备摆放。</w:t>
            </w:r>
            <w:r>
              <w:br/>
            </w:r>
            <w:r>
              <w:rPr>
                <w:sz w:val="21"/>
                <w:color w:val="000000"/>
              </w:rPr>
              <w:t>27U机柜。</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租赁</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指挥部专用网络线路租金</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r>
              <w:rPr>
                <w:sz w:val="21"/>
              </w:rPr>
              <w:t>/日</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6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color w:val="000000"/>
              </w:rPr>
              <w:t>活动准备和举行期间指挥部现场网络</w:t>
            </w:r>
            <w:r>
              <w:rPr>
                <w:sz w:val="21"/>
                <w:color w:val="000000"/>
              </w:rPr>
              <w:t>(公安网1条、视频网3条(场馆视频接入、人脸数据接入、指挥部专用))电路租用，上下行不低于500M传输，含安装设备调试施工。</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租赁</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15"/>
            <w:vMerge/>
            <w:tcBorders>
              <w:top w:val="none" w:color="000000" w:sz="4"/>
              <w:left w:val="none" w:color="000000" w:sz="4"/>
              <w:bottom w:val="single" w:color="000000" w:sz="4"/>
              <w:right w:val="single" w:color="000000" w:sz="4"/>
            </w:tcBorders>
          </w:tcP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r>
              <w:rPr>
                <w:sz w:val="21"/>
              </w:rPr>
              <w:t>/日</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6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color w:val="000000"/>
              </w:rPr>
              <w:t>活动准备和举行期间用于指挥部互联网接入</w:t>
            </w:r>
            <w:r>
              <w:rPr>
                <w:sz w:val="21"/>
                <w:color w:val="000000"/>
              </w:rPr>
              <w:t>(专线), 上下行不低于500M传输，含安装设备调试施工。</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租赁</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高清人脸摄像机</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6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color w:val="000000"/>
              </w:rPr>
              <w:t>支持多种智能模式：全结构化（默认）、人脸抓拍、人脸比对、道路监控、</w:t>
            </w:r>
            <w:r>
              <w:rPr>
                <w:sz w:val="21"/>
                <w:color w:val="000000"/>
              </w:rPr>
              <w:t>Smart事件、人数统计、热度图、智慧城管，多种智能模式可按需切换</w:t>
            </w:r>
            <w:r>
              <w:br/>
            </w:r>
            <w:r>
              <w:rPr>
                <w:sz w:val="21"/>
                <w:color w:val="000000"/>
              </w:rPr>
              <w:t>全结构化模式：</w:t>
            </w:r>
            <w:r>
              <w:rPr>
                <w:sz w:val="21"/>
                <w:color w:val="000000"/>
              </w:rPr>
              <w:t>a)抓拍人体：支持运动方向、上衣颜色、下装颜色、性别、年龄段、戴眼镜、背包、拎东西、戴帽子、戴口罩、发型、上衣类型、下装类型等属性识别，b)抓拍人脸：支持性别、年龄、年龄段、戴眼镜、戴口罩、表情、戴帽子等属性识别，c)抓拍非机动车：支持上衣颜色、下衣颜色、性别、戴眼镜、年龄段、背包、拎东西、戴帽子、戴口罩、上衣类型、下装类型、戴口罩、发型、非机动车类型，d)抓拍机动车：支持车身颜色、车型识别、车辆行驶方向、车牌颜色、车牌类型等属性识别</w:t>
            </w:r>
            <w:r>
              <w:br/>
            </w:r>
            <w:r>
              <w:rPr>
                <w:sz w:val="21"/>
                <w:color w:val="000000"/>
              </w:rPr>
              <w:t>人脸抓拍模式：</w:t>
            </w:r>
            <w:r>
              <w:rPr>
                <w:sz w:val="21"/>
                <w:color w:val="000000"/>
              </w:rPr>
              <w:t>a)支持对运动人脸进行检测、跟进查看、抓拍、评分、筛选，输出优选人脸，b)支持人脸去误报、快速抓拍人脸，c)支持快速抓拍和最佳抓拍两种模式，d)最多同时检测≥60张人脸，e)支持人脸去重人脸比对模式：可支持≥15万张图片库导入，比对结果支持报警输出道路监控模式：a)车辆检测：支持车牌识别并抓拍，车牌号码/车身颜色/车辆类型/车辆品牌，b)混行检测：检测正向或逆向行驶的车辆以及行人和非机动车，自动对车辆牌照进行识别，可以抓拍无车牌的车辆图片</w:t>
            </w:r>
            <w:r>
              <w:br/>
            </w:r>
            <w:r>
              <w:rPr>
                <w:sz w:val="21"/>
                <w:color w:val="000000"/>
              </w:rPr>
              <w:t>Smart事件模式：越界侦测，区域入侵侦测，离开区域侦测，离开区域侦测，徘徊侦测，人员聚集侦测，快速运动侦测，停车侦测，物品拿取侦测，物品拿取侦测，场景变更侦测，音频陡升侦测，音频陡降侦测，音频有无侦测，虚焦侦测。其中越界侦测，区域入侵侦测，进入区域侦测，离开区域侦测为深度学习算法，支持联动声光预警</w:t>
            </w:r>
            <w:r>
              <w:br/>
            </w:r>
            <w:r>
              <w:rPr>
                <w:sz w:val="21"/>
                <w:color w:val="000000"/>
              </w:rPr>
              <w:t>人数统计模式：</w:t>
            </w:r>
            <w:r>
              <w:rPr>
                <w:sz w:val="21"/>
                <w:color w:val="000000"/>
              </w:rPr>
              <w:t>a)人员统计：支持实时报警，人数变化报警和拥堵等级变化报警，并支持人数异常和停留时间异常报警，b)异常行为分析：支持离岗检测，以及在离岗检测报警，c)区域关注度：支持区域人数检测、停留时长检测、实时数据上传，并支持区域人数分析和队列状态分析展示</w:t>
            </w:r>
            <w:r>
              <w:br/>
            </w:r>
            <w:r>
              <w:rPr>
                <w:sz w:val="21"/>
                <w:color w:val="000000"/>
              </w:rPr>
              <w:t>热度图：支持设备上报和平台查询方式获取信息，并支持上报伪彩图背景大图</w:t>
            </w:r>
            <w:r>
              <w:br/>
            </w:r>
            <w:r>
              <w:rPr>
                <w:sz w:val="21"/>
                <w:color w:val="000000"/>
              </w:rPr>
              <w:t>店外经营、占道经营、非法摆摊、乱堆物堆料、违规撑伞、违规户外广告、沿街晾晒、暴露垃圾、打包垃圾、垃圾箱满溢、非机动车乱停放、道路积水</w:t>
            </w:r>
            <w:r>
              <w:rPr>
                <w:sz w:val="21"/>
                <w:color w:val="000000"/>
              </w:rPr>
              <w:t>12种不规范现象并联动报警抓拍；</w:t>
            </w:r>
            <w:r>
              <w:br/>
            </w:r>
            <w:r>
              <w:rPr>
                <w:sz w:val="21"/>
                <w:color w:val="000000"/>
              </w:rPr>
              <w:t>鳞镜补光：采用隐藏式灯珠设计，通过鳞甲密布排列形成的镜面反射出光，见光不见灯。增加发光面积，降低聚光效果，补光柔和均匀</w:t>
            </w:r>
            <w:r>
              <w:br/>
            </w:r>
            <w:r>
              <w:rPr>
                <w:sz w:val="21"/>
                <w:color w:val="000000"/>
              </w:rPr>
              <w:t>支持电量检测：支持设备功耗检测，支持设备功耗报表展示，报表类型支持日报表和周报表（默认日报表，单位瓦时（</w:t>
            </w:r>
            <w:r>
              <w:rPr>
                <w:sz w:val="21"/>
                <w:color w:val="000000"/>
              </w:rPr>
              <w:t>W·h））</w:t>
            </w:r>
            <w:r>
              <w:br/>
            </w:r>
            <w:r>
              <w:rPr>
                <w:sz w:val="21"/>
                <w:color w:val="000000"/>
              </w:rPr>
              <w:t>Smart录像：支持断网续传功能保证录像不丢失，配合Smart NVR/SD卡实现事件录像的智能后检索、分析和浓缩播放，Smart编码：支持低码率、低延时、ROI感兴趣区域增强编码、SVC自适应编码技术，支持Smart265编码</w:t>
            </w:r>
            <w:r>
              <w:br/>
            </w:r>
            <w:r>
              <w:rPr>
                <w:sz w:val="21"/>
                <w:color w:val="000000"/>
              </w:rPr>
              <w:t>设备内置电动变焦镜头，操作便易，变焦过程平稳</w:t>
            </w:r>
            <w:r>
              <w:br/>
            </w:r>
            <w:r>
              <w:rPr>
                <w:sz w:val="21"/>
                <w:color w:val="000000"/>
              </w:rPr>
              <w:t>设备内置</w:t>
            </w:r>
            <w:r>
              <w:rPr>
                <w:sz w:val="21"/>
                <w:color w:val="000000"/>
              </w:rPr>
              <w:t>≥2个麦克风，内置≥1个扬声器，支持语音对讲</w:t>
            </w:r>
            <w:r>
              <w:br/>
            </w:r>
            <w:r>
              <w:rPr>
                <w:sz w:val="21"/>
              </w:rPr>
              <w:t>视频流和图片分辨率不低于</w:t>
            </w:r>
            <w:r>
              <w:rPr>
                <w:sz w:val="21"/>
              </w:rPr>
              <w:t>400万像素</w:t>
            </w:r>
            <w:r>
              <w:rPr>
                <w:sz w:val="21"/>
                <w:color w:val="FF0000"/>
              </w:rPr>
              <w:t>，</w:t>
            </w:r>
            <w:r>
              <w:rPr>
                <w:sz w:val="21"/>
                <w:color w:val="000000"/>
              </w:rPr>
              <w:t>并在此分辨率下可输出</w:t>
            </w:r>
            <w:r>
              <w:rPr>
                <w:sz w:val="21"/>
                <w:color w:val="000000"/>
              </w:rPr>
              <w:t>30 fps实时图像，图像更流畅，支持透雾、电子防抖，支持宽动态≥120 dB</w:t>
            </w:r>
            <w:r>
              <w:br/>
            </w:r>
            <w:r>
              <w:rPr>
                <w:sz w:val="21"/>
                <w:color w:val="000000"/>
              </w:rPr>
              <w:t>支持开放型网络视频接口，</w:t>
            </w:r>
            <w:r>
              <w:rPr>
                <w:sz w:val="21"/>
                <w:color w:val="000000"/>
              </w:rPr>
              <w:t>ISAPI，GB/T28181-2022，ISUP5.0，视图库</w:t>
            </w:r>
            <w:r>
              <w:br/>
            </w:r>
            <w:r>
              <w:rPr>
                <w:sz w:val="21"/>
                <w:color w:val="000000"/>
              </w:rPr>
              <w:t>支持标准的</w:t>
            </w:r>
            <w:r>
              <w:rPr>
                <w:sz w:val="21"/>
                <w:color w:val="000000"/>
              </w:rPr>
              <w:t>512 GB MicroSD/MicroSDHC/MicroSDXC卡存储，支持10 M/100 M/1000 M自适应网口</w:t>
            </w:r>
            <w:r>
              <w:br/>
            </w:r>
            <w:r>
              <w:rPr>
                <w:sz w:val="21"/>
                <w:color w:val="000000"/>
              </w:rPr>
              <w:t>支持三级用户权限管理，支持授权的用户和密码，支持</w:t>
            </w:r>
            <w:r>
              <w:rPr>
                <w:sz w:val="21"/>
                <w:color w:val="000000"/>
              </w:rPr>
              <w:t>IP地址过滤</w:t>
            </w:r>
            <w:r>
              <w:br/>
            </w:r>
            <w:r>
              <w:rPr>
                <w:sz w:val="21"/>
                <w:color w:val="000000"/>
              </w:rPr>
              <w:t>音频：</w:t>
            </w:r>
            <w:r>
              <w:rPr>
                <w:sz w:val="21"/>
                <w:color w:val="000000"/>
              </w:rPr>
              <w:t>≥2路输入，≥1路输出，报警：≥3路输入，≥2路输出</w:t>
            </w:r>
            <w:r>
              <w:br/>
            </w:r>
            <w:r>
              <w:rPr>
                <w:sz w:val="21"/>
                <w:color w:val="000000"/>
              </w:rPr>
              <w:t>宽动态：</w:t>
            </w:r>
            <w:r>
              <w:rPr>
                <w:sz w:val="21"/>
                <w:color w:val="000000"/>
              </w:rPr>
              <w:t>≥120 dB</w:t>
            </w:r>
            <w:r>
              <w:br/>
            </w:r>
            <w:r>
              <w:rPr>
                <w:sz w:val="21"/>
                <w:color w:val="000000"/>
              </w:rPr>
              <w:t>最低照度：彩色：</w:t>
            </w:r>
            <w:r>
              <w:rPr>
                <w:sz w:val="21"/>
                <w:color w:val="000000"/>
              </w:rPr>
              <w:t>0.0005 Lux @（F1.2，AGC ON），0 Lux with Light</w:t>
            </w:r>
            <w:r>
              <w:br/>
            </w:r>
            <w:r>
              <w:rPr>
                <w:sz w:val="21"/>
                <w:color w:val="000000"/>
              </w:rPr>
              <w:t>黑白：</w:t>
            </w:r>
            <w:r>
              <w:rPr>
                <w:sz w:val="21"/>
                <w:color w:val="000000"/>
              </w:rPr>
              <w:t>0.0001 Lux @（F1.2，AGC ON），0 Lux with IR</w:t>
            </w:r>
            <w:r>
              <w:br/>
            </w:r>
            <w:r>
              <w:rPr>
                <w:sz w:val="21"/>
                <w:color w:val="000000"/>
              </w:rPr>
              <w:t>传感器类型：</w:t>
            </w:r>
            <w:r>
              <w:rPr>
                <w:sz w:val="21"/>
                <w:color w:val="000000"/>
              </w:rPr>
              <w:t xml:space="preserve">1/1.8" Progressive Scan CMOS </w:t>
            </w:r>
            <w:r>
              <w:br/>
            </w:r>
            <w:r>
              <w:rPr>
                <w:sz w:val="21"/>
                <w:color w:val="000000"/>
              </w:rPr>
              <w:t>焦距</w:t>
            </w:r>
            <w:r>
              <w:rPr>
                <w:sz w:val="21"/>
                <w:color w:val="000000"/>
              </w:rPr>
              <w:t xml:space="preserve">&amp;视场角：2.7~13.5 mm：水平视场角：106°~41.8°，垂直视场角：55.4°~23.6°，对角视场角：128.7°~48.1° </w:t>
            </w:r>
            <w:r>
              <w:br/>
            </w:r>
            <w:r>
              <w:rPr>
                <w:sz w:val="21"/>
                <w:color w:val="000000"/>
              </w:rPr>
              <w:t>补光距离：混光普通监控：</w:t>
            </w:r>
            <w:r>
              <w:rPr>
                <w:sz w:val="21"/>
                <w:color w:val="000000"/>
              </w:rPr>
              <w:t>≥50 m，人脸抓拍/识别：≥7 m；白光普通监控：≥30 m，人脸抓拍/识别：≥5 m</w:t>
            </w:r>
            <w:r>
              <w:br/>
            </w:r>
            <w:r>
              <w:rPr>
                <w:sz w:val="21"/>
                <w:color w:val="000000"/>
              </w:rPr>
              <w:t>防补光过曝：支持防补光过曝开启和关闭，开启下支持自动和手动，手动支持根据距离等级控制补光灯亮度</w:t>
            </w:r>
            <w:r>
              <w:br/>
            </w:r>
            <w:r>
              <w:rPr>
                <w:sz w:val="21"/>
                <w:color w:val="000000"/>
              </w:rPr>
              <w:t>补光灯类型：鳞镜补光，混光（</w:t>
            </w:r>
            <w:r>
              <w:rPr>
                <w:sz w:val="21"/>
                <w:color w:val="000000"/>
              </w:rPr>
              <w:t xml:space="preserve">850 nm+暖白），≥4颗灯珠 </w:t>
            </w:r>
            <w:r>
              <w:br/>
            </w:r>
            <w:r>
              <w:rPr>
                <w:sz w:val="21"/>
                <w:color w:val="000000"/>
              </w:rPr>
              <w:t>最大图像尺寸：</w:t>
            </w:r>
            <w:r>
              <w:rPr>
                <w:sz w:val="21"/>
                <w:color w:val="000000"/>
              </w:rPr>
              <w:t>2688 × 1520</w:t>
            </w:r>
            <w:r>
              <w:br/>
            </w:r>
            <w:r>
              <w:rPr>
                <w:sz w:val="21"/>
                <w:color w:val="000000"/>
              </w:rPr>
              <w:t>视频压缩标准：</w:t>
            </w:r>
            <w:r>
              <w:rPr>
                <w:sz w:val="21"/>
                <w:color w:val="000000"/>
              </w:rPr>
              <w:t xml:space="preserve">H.265/H.264/MJPEG </w:t>
            </w:r>
            <w:r>
              <w:br/>
            </w:r>
            <w:r>
              <w:rPr>
                <w:sz w:val="21"/>
                <w:color w:val="000000"/>
              </w:rPr>
              <w:t>网络：</w:t>
            </w:r>
            <w:r>
              <w:rPr>
                <w:sz w:val="21"/>
                <w:color w:val="000000"/>
              </w:rPr>
              <w:t>≥1个RJ45 10 M/100 M/1000 M自适应以太网口</w:t>
            </w:r>
            <w:r>
              <w:br/>
            </w:r>
            <w:r>
              <w:rPr>
                <w:sz w:val="21"/>
                <w:color w:val="000000"/>
              </w:rPr>
              <w:t>SD卡扩展：内置MicroSD/MicroSDHC/MicroSDXC插槽，最大支持512 GB</w:t>
            </w:r>
            <w:r>
              <w:br/>
            </w:r>
            <w:r>
              <w:rPr>
                <w:sz w:val="21"/>
                <w:color w:val="000000"/>
              </w:rPr>
              <w:t>复位：支持</w:t>
            </w:r>
            <w:r>
              <w:br/>
            </w:r>
            <w:r>
              <w:rPr>
                <w:sz w:val="21"/>
                <w:color w:val="000000"/>
              </w:rPr>
              <w:t>音频：</w:t>
            </w:r>
            <w:r>
              <w:rPr>
                <w:sz w:val="21"/>
                <w:color w:val="000000"/>
              </w:rPr>
              <w:t>≥2路输入（Line in），≥1路输出（Line out），≥2个内置麦克风，≥1个内置扬声器</w:t>
            </w:r>
            <w:r>
              <w:br/>
            </w:r>
            <w:r>
              <w:rPr>
                <w:sz w:val="21"/>
                <w:color w:val="000000"/>
              </w:rPr>
              <w:t>报警：</w:t>
            </w:r>
            <w:r>
              <w:rPr>
                <w:sz w:val="21"/>
                <w:color w:val="000000"/>
              </w:rPr>
              <w:t>≥3路输入，≥2路输出（报警输入支持开关量，报警输出最大支持DC12 V，30 mA）</w:t>
            </w:r>
            <w:r>
              <w:br/>
            </w:r>
            <w:r>
              <w:rPr>
                <w:sz w:val="21"/>
                <w:color w:val="000000"/>
              </w:rPr>
              <w:t>RS-485：≥1路RS-485接口，采用半双工模式，支持自适应HIKVISION，PELCO-P和PELCO-D协议</w:t>
            </w:r>
            <w:r>
              <w:br/>
            </w:r>
            <w:r>
              <w:rPr>
                <w:sz w:val="21"/>
                <w:color w:val="000000"/>
              </w:rPr>
              <w:t>接口类型：外甩线</w:t>
            </w:r>
            <w:r>
              <w:br/>
            </w:r>
            <w:r>
              <w:rPr>
                <w:sz w:val="21"/>
                <w:color w:val="000000"/>
              </w:rPr>
              <w:t>电源输出：</w:t>
            </w:r>
            <w:r>
              <w:rPr>
                <w:sz w:val="21"/>
                <w:color w:val="000000"/>
              </w:rPr>
              <w:t>DC12 V，100 mA ,外接延长线建议长度不超10米</w:t>
            </w:r>
            <w:r>
              <w:br/>
            </w:r>
            <w:r>
              <w:rPr>
                <w:sz w:val="21"/>
                <w:color w:val="000000"/>
              </w:rPr>
              <w:t>视频输出：</w:t>
            </w:r>
            <w:r>
              <w:rPr>
                <w:sz w:val="21"/>
                <w:color w:val="000000"/>
              </w:rPr>
              <w:t xml:space="preserve">1 Vp-p Composite Output（75 Ω/CVBS） </w:t>
            </w:r>
            <w:r>
              <w:br/>
            </w:r>
            <w:r>
              <w:rPr>
                <w:sz w:val="21"/>
                <w:color w:val="000000"/>
              </w:rPr>
              <w:t>在线升级：支持</w:t>
            </w:r>
            <w:r>
              <w:br/>
            </w:r>
            <w:r>
              <w:rPr>
                <w:sz w:val="21"/>
                <w:color w:val="000000"/>
              </w:rPr>
              <w:t>恢复出厂设置：支持</w:t>
            </w:r>
            <w:r>
              <w:rPr>
                <w:sz w:val="21"/>
                <w:color w:val="000000"/>
              </w:rPr>
              <w:t>RESET按键，客户端或浏览器恢复</w:t>
            </w:r>
            <w:r>
              <w:br/>
            </w:r>
            <w:r>
              <w:rPr>
                <w:sz w:val="21"/>
                <w:color w:val="000000"/>
              </w:rPr>
              <w:t>电流及功耗：</w:t>
            </w:r>
            <w:r>
              <w:rPr>
                <w:sz w:val="21"/>
                <w:color w:val="000000"/>
              </w:rPr>
              <w:t>DC：12 V，1.55 A，最大功耗：18.6 W</w:t>
            </w:r>
            <w:r>
              <w:br/>
            </w:r>
            <w:r>
              <w:rPr>
                <w:sz w:val="21"/>
                <w:color w:val="000000"/>
              </w:rPr>
              <w:t>PoE：IEEE 802.3at，Class 4，最大功耗：22 W</w:t>
            </w:r>
            <w:r>
              <w:br/>
            </w:r>
            <w:r>
              <w:rPr>
                <w:sz w:val="21"/>
                <w:color w:val="000000"/>
              </w:rPr>
              <w:t>供电方式：</w:t>
            </w:r>
            <w:r>
              <w:rPr>
                <w:sz w:val="21"/>
                <w:color w:val="000000"/>
              </w:rPr>
              <w:t>DC：12 V ± 20%，支持防反接保护</w:t>
            </w:r>
            <w:r>
              <w:br/>
            </w:r>
            <w:r>
              <w:rPr>
                <w:sz w:val="21"/>
                <w:color w:val="000000"/>
              </w:rPr>
              <w:t>PoE：IEEE 802.3at，Type 2，Class 4</w:t>
            </w:r>
            <w:r>
              <w:br/>
            </w:r>
            <w:r>
              <w:rPr>
                <w:sz w:val="21"/>
                <w:color w:val="000000"/>
              </w:rPr>
              <w:t>电源接口类型：</w:t>
            </w:r>
            <w:r>
              <w:rPr>
                <w:sz w:val="21"/>
                <w:color w:val="000000"/>
              </w:rPr>
              <w:t>3芯接口</w:t>
            </w:r>
            <w:r>
              <w:br/>
            </w:r>
            <w:r>
              <w:rPr>
                <w:sz w:val="21"/>
                <w:color w:val="000000"/>
              </w:rPr>
              <w:t>启动和工作温湿度：</w:t>
            </w:r>
            <w:r>
              <w:rPr>
                <w:sz w:val="21"/>
                <w:color w:val="000000"/>
              </w:rPr>
              <w:t>-30 °C~60 °C，湿度小于95%（无凝结）</w:t>
            </w:r>
            <w:r>
              <w:br/>
            </w:r>
            <w:r>
              <w:rPr>
                <w:sz w:val="21"/>
                <w:color w:val="000000"/>
              </w:rPr>
              <w:t>存储温湿度：</w:t>
            </w:r>
            <w:r>
              <w:rPr>
                <w:sz w:val="21"/>
                <w:color w:val="000000"/>
              </w:rPr>
              <w:t>-30 °C~60 °C，湿度小于95%（无凝结）</w:t>
            </w:r>
            <w:r>
              <w:br/>
            </w:r>
            <w:r>
              <w:rPr>
                <w:sz w:val="21"/>
                <w:color w:val="000000"/>
              </w:rPr>
              <w:t>设备重量：</w:t>
            </w:r>
            <w:r>
              <w:rPr>
                <w:sz w:val="21"/>
                <w:color w:val="000000"/>
              </w:rPr>
              <w:t>≤1200 g</w:t>
            </w:r>
            <w:r>
              <w:br/>
            </w:r>
            <w:r>
              <w:rPr>
                <w:sz w:val="21"/>
                <w:color w:val="000000"/>
              </w:rPr>
              <w:t>带包装重量：</w:t>
            </w:r>
            <w:r>
              <w:rPr>
                <w:sz w:val="21"/>
                <w:color w:val="000000"/>
              </w:rPr>
              <w:t>≤1800 g</w:t>
            </w:r>
            <w:r>
              <w:br/>
            </w:r>
            <w:r>
              <w:rPr>
                <w:sz w:val="21"/>
                <w:color w:val="000000"/>
              </w:rPr>
              <w:t>防护：</w:t>
            </w:r>
            <w:r>
              <w:rPr>
                <w:sz w:val="21"/>
                <w:color w:val="000000"/>
              </w:rPr>
              <w:t xml:space="preserve">≥IP67 </w:t>
            </w:r>
            <w:r>
              <w:br/>
            </w:r>
            <w:r>
              <w:rPr>
                <w:sz w:val="21"/>
              </w:rPr>
              <w:t>具备同一场景需同时检测不少于</w:t>
            </w:r>
            <w:r>
              <w:rPr>
                <w:sz w:val="21"/>
              </w:rPr>
              <w:t>30张人脸能力</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租赁</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监控数据存储服务器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6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color w:val="000000"/>
              </w:rPr>
              <w:t>满足高清摄像头存</w:t>
            </w:r>
            <w:r>
              <w:rPr>
                <w:sz w:val="21"/>
                <w:color w:val="000000"/>
              </w:rPr>
              <w:t>≥</w:t>
            </w:r>
            <w:r>
              <w:rPr>
                <w:sz w:val="21"/>
                <w:color w:val="000000"/>
              </w:rPr>
              <w:t>15天。</w:t>
            </w:r>
            <w:r>
              <w:br/>
            </w:r>
            <w:r>
              <w:rPr>
                <w:sz w:val="21"/>
                <w:color w:val="000000"/>
              </w:rPr>
              <w:t>活动完成后，硬盘归公安所有。</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租赁</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摄像机接入层交换机</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6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color w:val="000000"/>
              </w:rPr>
              <w:t>交换容量</w:t>
            </w:r>
            <w:r>
              <w:rPr>
                <w:sz w:val="21"/>
                <w:color w:val="000000"/>
              </w:rPr>
              <w:t>≥336Gbps，包转发率≥108Mpps，≥24个10/100/1000Mbps自适应电口交换机(支持POE/POE+POE功率370W)，固化≥4个SFP+万兆光口</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租赁</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 二 )</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其它费用（每次费用）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6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辅材</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6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线管、线槽、直通、扎带、水晶头、</w:t>
            </w:r>
            <w:r>
              <w:rPr>
                <w:sz w:val="21"/>
              </w:rPr>
              <w:t>6类网线、电源线、光纤条线、过车线槽、传输光纤、熔纤盘等</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9"/>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71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人工费用</w:t>
            </w:r>
          </w:p>
        </w:tc>
        <w:tc>
          <w:tcPr>
            <w:tcW w:type="dxa" w:w="23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次</w:t>
            </w:r>
          </w:p>
        </w:tc>
        <w:tc>
          <w:tcPr>
            <w:tcW w:type="dxa" w:w="30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提前</w:t>
            </w:r>
            <w:r>
              <w:rPr>
                <w:sz w:val="21"/>
              </w:rPr>
              <w:t>3天完场指挥部搭建及相关视频补点工作,及活动结束后设备拆除费用，施工人员数量约10人/日。</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 三 )</w:t>
            </w:r>
          </w:p>
        </w:tc>
        <w:tc>
          <w:tcPr>
            <w:tcW w:type="dxa" w:w="7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按实际工程量结算部分</w:t>
            </w:r>
          </w:p>
        </w:tc>
        <w:tc>
          <w:tcPr>
            <w:tcW w:type="dxa" w:w="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65"/>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驻场保障人员</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w:t>
            </w:r>
            <w:r>
              <w:rPr>
                <w:sz w:val="21"/>
              </w:rPr>
              <w:t>/天</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6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驻场保障人员费用（一天）</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合计费用</w:t>
            </w:r>
          </w:p>
        </w:tc>
        <w:tc>
          <w:tcPr>
            <w:tcW w:type="dxa" w:w="133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（一）</w:t>
            </w:r>
            <w:r>
              <w:rPr>
                <w:sz w:val="21"/>
                <w:b/>
              </w:rPr>
              <w:t>+（二）+（三）</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6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t>采购包1（2026年广东省城市篮球联赛、城市足球超级联赛（南城赛区）科技信息化服务项目）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合同签订之日起3天完成供货、安装、调试及验收并交付采购人使用。</w:t>
            </w:r>
          </w:p>
        </w:tc>
      </w:tr>
      <w:tr>
        <w:tc>
          <w:tcPr>
            <w:tcW w:type="dxa" w:w="4153"/>
          </w:tcPr>
          <w:p>
            <w:pPr>
              <w:pStyle w:val="null3"/>
            </w:pPr>
            <w:r>
              <w:rPr/>
              <w:t>标的提供的地点</w:t>
            </w:r>
          </w:p>
        </w:tc>
        <w:tc>
          <w:tcPr>
            <w:tcW w:type="dxa" w:w="4153"/>
          </w:tcPr>
          <w:p>
            <w:pPr>
              <w:pStyle w:val="null3"/>
            </w:pPr>
            <w:r>
              <w:rPr/>
              <w:t>采购人指定地点（如有变化另行确定）</w:t>
            </w:r>
          </w:p>
        </w:tc>
      </w:tr>
      <w:tr>
        <w:tc>
          <w:tcPr>
            <w:tcW w:type="dxa" w:w="4153"/>
          </w:tcPr>
          <w:p>
            <w:pPr>
              <w:pStyle w:val="null3"/>
            </w:pPr>
            <w:r>
              <w:rPr/>
              <w:t>付款方式</w:t>
            </w:r>
          </w:p>
        </w:tc>
        <w:tc>
          <w:tcPr>
            <w:tcW w:type="dxa" w:w="4153"/>
          </w:tcPr>
          <w:p>
            <w:pPr>
              <w:pStyle w:val="null3"/>
            </w:pPr>
            <w:r>
              <w:rPr/>
              <w:t>1期：支付比例100%,1、“粤超”赛事（8场）、"粤BA"赛事（3场），项目的结算以“粤超”赛事、"粤BA"赛事实际执行场次总和作为结算。 2、单场赛事结束后，中 标人提交该场次的验收申请；经采 购人最终验收合格，财政请款资金到位后，15个工作日内支付相关费用。 3 、本项目的款项由政府财政拔款，如因政策或请付款流程的影响，拔款未能及 时到位，中标人不得以此为由而不履行合同规定的义务或者追究采购人的违约 责任。 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1期：①符合中华人民共和国国家、广东省、东莞市安全质量标准、环保标准或行业标准；②符合招标文件和响应承诺中采购人认可的合理最佳配置、参数及各项要求。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其他，1、报价要求，①投标人报价采取总价的报价方式。 ②投标人报价应包括招标文件所确定的招标范围内的全部内容及完成招标必须的各种材料费、劳务费、采取措施等所需的全部费用。 ③投标人报价包括材料、工具、人工、管理费、利润、税金、风险、招标代理费用等一切因素所有应该和可能发生的费用因素。 2、合同条款，投标人实质响应合同各项条款。 3、其他要求，投标人应充分结合本招标文件上下文了解项目招标需求、采购文件未尽事宜，将在合同签订或项目执行过程中双方协商确定，供应商须无条件满足采购单位的合理要求。 ★4、中标人在签订合同前，需根据投标报价向采购人提供分项报价清单。（需提供承诺函并加盖投标人公章，承诺函格式自拟）</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其他信息技术服务</w:t>
            </w:r>
          </w:p>
        </w:tc>
        <w:tc>
          <w:tcPr>
            <w:tcW w:type="dxa" w:w="933"/>
          </w:tcPr>
          <w:p>
            <w:pPr>
              <w:pStyle w:val="null3"/>
              <w:jc w:val="left"/>
            </w:pPr>
            <w:r>
              <w:rPr/>
              <w:t>2026年广东省城市篮球联赛、城市足球超级联赛（南城赛区）科技信息化服务项目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1,002,000.00</w:t>
            </w:r>
          </w:p>
        </w:tc>
        <w:tc>
          <w:tcPr>
            <w:tcW w:type="dxa" w:w="933"/>
          </w:tcPr>
          <w:p>
            <w:pPr>
              <w:pStyle w:val="null3"/>
              <w:jc w:val="right"/>
            </w:pPr>
            <w:r>
              <w:rPr/>
              <w:t>1,002,000.00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2026年广东省城市篮球联赛、城市足球超级联赛（南城赛区）科技信息化服务项目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一、项目概况及背景</w:t>
            </w:r>
          </w:p>
          <w:p>
            <w:pPr>
              <w:pStyle w:val="null3"/>
            </w:pPr>
            <w:r>
              <w:rPr>
                <w:sz w:val="21"/>
              </w:rPr>
              <w:t xml:space="preserve">       </w:t>
            </w:r>
            <w:r>
              <w:rPr>
                <w:sz w:val="21"/>
              </w:rPr>
              <w:t>根据</w:t>
            </w:r>
            <w:r>
              <w:rPr>
                <w:sz w:val="21"/>
              </w:rPr>
              <w:t>2026</w:t>
            </w:r>
            <w:r>
              <w:rPr>
                <w:sz w:val="21"/>
              </w:rPr>
              <w:t>年广东省城市篮球联赛、城市足球超级联赛场馆信息化建设要求，本项目体育中心体育馆进行信息化建设。按照党中央、国务院有关规定，结合当地经济社会发展实际，坚持</w:t>
            </w:r>
            <w:r>
              <w:rPr>
                <w:sz w:val="21"/>
              </w:rPr>
              <w:t>“</w:t>
            </w:r>
            <w:r>
              <w:rPr>
                <w:sz w:val="21"/>
              </w:rPr>
              <w:t>简约、安全、精彩</w:t>
            </w:r>
            <w:r>
              <w:rPr>
                <w:sz w:val="21"/>
              </w:rPr>
              <w:t>”</w:t>
            </w:r>
            <w:r>
              <w:rPr>
                <w:sz w:val="21"/>
              </w:rPr>
              <w:t>的办赛要求，充分利用现有场馆设施，严格预算管理，节约班赛成本，严格控制规模和规格，东莞市作为其中重要赛区之一，充分利用现有场馆改造，达到办赛标准，在场馆建设、服务保障等关键领域和环节，尤其是信息化方面，防范化解各类风险隐患，以高水平安全保障高质量筹办工作，为以中国式现代化全面推进强国建设、民族复兴伟业作出新的更大贡献。</w:t>
            </w:r>
          </w:p>
        </w:tc>
      </w:tr>
      <w:tr>
        <w:tc>
          <w:tcPr>
            <w:tcW w:type="dxa" w:w="2076"/>
          </w:tcPr>
          <w:p/>
        </w:tc>
        <w:tc>
          <w:tcPr>
            <w:tcW w:type="dxa" w:w="415"/>
          </w:tcPr>
          <w:p>
            <w:pPr>
              <w:pStyle w:val="null3"/>
            </w:pPr>
            <w:r>
              <w:rPr/>
              <w:t>2</w:t>
            </w:r>
          </w:p>
        </w:tc>
        <w:tc>
          <w:tcPr>
            <w:tcW w:type="dxa" w:w="5814"/>
          </w:tcPr>
          <w:p>
            <w:pPr>
              <w:pStyle w:val="null3"/>
            </w:pPr>
            <w:r>
              <w:rPr>
                <w:sz w:val="21"/>
              </w:rPr>
              <w:t>二、项目设计依据</w:t>
            </w:r>
          </w:p>
          <w:p>
            <w:pPr>
              <w:pStyle w:val="null3"/>
            </w:pPr>
            <w:r>
              <w:rPr>
                <w:sz w:val="21"/>
              </w:rPr>
              <w:t>（</w:t>
            </w:r>
            <w:r>
              <w:rPr>
                <w:sz w:val="21"/>
              </w:rPr>
              <w:t>1</w:t>
            </w:r>
            <w:r>
              <w:rPr>
                <w:sz w:val="21"/>
              </w:rPr>
              <w:t>）广东省东莞市人民政府有关建筑工程管理、市政管理、环境保护等地方性法规及规定。</w:t>
            </w:r>
          </w:p>
          <w:p>
            <w:pPr>
              <w:pStyle w:val="null3"/>
            </w:pPr>
            <w:r>
              <w:rPr>
                <w:sz w:val="21"/>
              </w:rPr>
              <w:t>（</w:t>
            </w:r>
            <w:r>
              <w:rPr>
                <w:sz w:val="21"/>
              </w:rPr>
              <w:t>2</w:t>
            </w:r>
            <w:r>
              <w:rPr>
                <w:sz w:val="21"/>
              </w:rPr>
              <w:t>）工程现场及周围环境的实际情况。</w:t>
            </w:r>
          </w:p>
          <w:p>
            <w:pPr>
              <w:pStyle w:val="null3"/>
            </w:pPr>
            <w:r>
              <w:rPr>
                <w:sz w:val="21"/>
              </w:rPr>
              <w:t>（</w:t>
            </w:r>
            <w:r>
              <w:rPr>
                <w:sz w:val="21"/>
              </w:rPr>
              <w:t>3</w:t>
            </w:r>
            <w:r>
              <w:rPr>
                <w:sz w:val="21"/>
              </w:rPr>
              <w:t>）国家有关现行设计施工验收规范、规程和标准：</w:t>
            </w:r>
          </w:p>
          <w:p>
            <w:pPr>
              <w:pStyle w:val="null3"/>
            </w:pPr>
            <w:r>
              <w:rPr>
                <w:sz w:val="21"/>
              </w:rPr>
              <w:t>《智能建筑设计标准》</w:t>
            </w:r>
            <w:r>
              <w:rPr>
                <w:sz w:val="21"/>
              </w:rPr>
              <w:t>GB50314-2015</w:t>
            </w:r>
          </w:p>
          <w:p>
            <w:pPr>
              <w:pStyle w:val="null3"/>
            </w:pPr>
            <w:r>
              <w:rPr>
                <w:sz w:val="21"/>
              </w:rPr>
              <w:t>《民用建筑电气设计标准》</w:t>
            </w:r>
            <w:r>
              <w:rPr>
                <w:sz w:val="21"/>
              </w:rPr>
              <w:t>GB51348-2019</w:t>
            </w:r>
          </w:p>
          <w:p>
            <w:pPr>
              <w:pStyle w:val="null3"/>
            </w:pPr>
            <w:r>
              <w:rPr>
                <w:sz w:val="21"/>
              </w:rPr>
              <w:t>《综合布线系统工程合计规范》</w:t>
            </w:r>
            <w:r>
              <w:rPr>
                <w:sz w:val="21"/>
              </w:rPr>
              <w:t>GB50311-2016</w:t>
            </w:r>
          </w:p>
          <w:p>
            <w:pPr>
              <w:pStyle w:val="null3"/>
            </w:pPr>
            <w:r>
              <w:rPr>
                <w:sz w:val="21"/>
              </w:rPr>
              <w:t>《安全防范工程技术标准》</w:t>
            </w:r>
            <w:r>
              <w:rPr>
                <w:sz w:val="21"/>
              </w:rPr>
              <w:t>GB50348-2018</w:t>
            </w:r>
          </w:p>
          <w:p>
            <w:pPr>
              <w:pStyle w:val="null3"/>
            </w:pPr>
            <w:r>
              <w:rPr>
                <w:sz w:val="21"/>
              </w:rPr>
              <w:t>《视频安防监控系统工程设计规范》</w:t>
            </w:r>
            <w:r>
              <w:rPr>
                <w:sz w:val="21"/>
              </w:rPr>
              <w:t>GB50395-2007</w:t>
            </w:r>
          </w:p>
          <w:p>
            <w:pPr>
              <w:pStyle w:val="null3"/>
            </w:pPr>
            <w:r>
              <w:rPr>
                <w:sz w:val="21"/>
              </w:rPr>
              <w:t>若国家、省市有新标准，则按最新标准执行。</w:t>
            </w:r>
          </w:p>
        </w:tc>
      </w:tr>
      <w:tr>
        <w:tc>
          <w:tcPr>
            <w:tcW w:type="dxa" w:w="2076"/>
          </w:tcPr>
          <w:p/>
        </w:tc>
        <w:tc>
          <w:tcPr>
            <w:tcW w:type="dxa" w:w="415"/>
          </w:tcPr>
          <w:p>
            <w:pPr>
              <w:pStyle w:val="null3"/>
            </w:pPr>
            <w:r>
              <w:rPr/>
              <w:t>3</w:t>
            </w:r>
          </w:p>
        </w:tc>
        <w:tc>
          <w:tcPr>
            <w:tcW w:type="dxa" w:w="5814"/>
          </w:tcPr>
          <w:p>
            <w:pPr>
              <w:pStyle w:val="null3"/>
            </w:pPr>
            <w:r>
              <w:rPr>
                <w:sz w:val="21"/>
              </w:rPr>
              <w:t>三、项目清单及技术参数</w:t>
            </w:r>
          </w:p>
          <w:p>
            <w:pPr>
              <w:pStyle w:val="null3"/>
            </w:pPr>
            <w:r>
              <w:rPr>
                <w:sz w:val="21"/>
              </w:rPr>
              <w:t>1</w:t>
            </w:r>
            <w:r>
              <w:rPr>
                <w:sz w:val="21"/>
              </w:rPr>
              <w:t>、具体清单及技术参数详见附件：采购清单。</w:t>
            </w:r>
          </w:p>
          <w:p>
            <w:pPr>
              <w:pStyle w:val="null3"/>
            </w:pPr>
            <w:r>
              <w:rPr>
                <w:sz w:val="21"/>
              </w:rPr>
              <w:t>2</w:t>
            </w:r>
            <w:r>
              <w:rPr>
                <w:sz w:val="21"/>
              </w:rPr>
              <w:t>、本需求书中的材料、技术参数及其性能（配置）仅起参考作用，投标人可选用实质上相当于或优于参考技术参数性能（配置）要求。</w:t>
            </w:r>
          </w:p>
          <w:p>
            <w:pPr>
              <w:pStyle w:val="null3"/>
            </w:pPr>
            <w:r>
              <w:rPr>
                <w:sz w:val="21"/>
              </w:rPr>
              <w:t>3</w:t>
            </w:r>
            <w:r>
              <w:rPr>
                <w:sz w:val="21"/>
              </w:rPr>
              <w:t>、本需求书中涉及所有产品的尺寸、重量允许出现合理范围内的偏差，若不能满足采购人的使用要求，应根据采购人的实际需求进行调整。</w:t>
            </w:r>
          </w:p>
        </w:tc>
      </w:tr>
      <w:tr>
        <w:tc>
          <w:tcPr>
            <w:tcW w:type="dxa" w:w="2076"/>
          </w:tcPr>
          <w:p/>
        </w:tc>
        <w:tc>
          <w:tcPr>
            <w:tcW w:type="dxa" w:w="415"/>
          </w:tcPr>
          <w:p>
            <w:pPr>
              <w:pStyle w:val="null3"/>
            </w:pPr>
            <w:r>
              <w:rPr/>
              <w:t>4</w:t>
            </w:r>
          </w:p>
        </w:tc>
        <w:tc>
          <w:tcPr>
            <w:tcW w:type="dxa" w:w="5814"/>
          </w:tcPr>
          <w:p>
            <w:pPr>
              <w:pStyle w:val="null3"/>
            </w:pPr>
            <w:r>
              <w:rPr>
                <w:sz w:val="21"/>
              </w:rPr>
              <w:t>四、交货运输要求</w:t>
            </w:r>
          </w:p>
          <w:p>
            <w:pPr>
              <w:pStyle w:val="null3"/>
            </w:pPr>
            <w:r>
              <w:rPr>
                <w:sz w:val="21"/>
              </w:rPr>
              <w:t>1</w:t>
            </w:r>
            <w:r>
              <w:rPr>
                <w:sz w:val="21"/>
              </w:rPr>
              <w:t>、负责招标文件中对中标人要求的一切事宜及责任。包括货物采购、运输、保管、安装、调试、验收、培训、相关部门验收及保修期内的维护保养、相关服务及全部税费等。</w:t>
            </w:r>
          </w:p>
          <w:p>
            <w:pPr>
              <w:pStyle w:val="null3"/>
            </w:pPr>
            <w:r>
              <w:rPr>
                <w:sz w:val="21"/>
              </w:rPr>
              <w:t>2</w:t>
            </w:r>
            <w:r>
              <w:rPr>
                <w:sz w:val="21"/>
              </w:rPr>
              <w:t>、中标人保证所提供的货物必须是国标产品，且是未使用过的、质量可靠的成熟的全新产品，中标人需随货物装箱提供制造厂的货物检验、测试报告、货物检验合格证书、质量保证书和保修卡等证明文件。</w:t>
            </w:r>
          </w:p>
          <w:p>
            <w:pPr>
              <w:pStyle w:val="null3"/>
            </w:pPr>
            <w:r>
              <w:rPr>
                <w:sz w:val="21"/>
              </w:rPr>
              <w:t>3</w:t>
            </w:r>
            <w:r>
              <w:rPr>
                <w:sz w:val="21"/>
              </w:rPr>
              <w:t>、中标人必须确保货物及所有配套件的完整性和可靠性。对于文件没有列出，而对该货物的正常使用和维护必不可少的部件、配件等，中标人有责任给予补充，且总报价已包含此部分内容。</w:t>
            </w:r>
          </w:p>
          <w:p>
            <w:pPr>
              <w:pStyle w:val="null3"/>
            </w:pPr>
            <w:r>
              <w:rPr>
                <w:sz w:val="21"/>
              </w:rPr>
              <w:t>4</w:t>
            </w:r>
            <w:r>
              <w:rPr>
                <w:sz w:val="21"/>
              </w:rPr>
              <w:t>、中标人须保证其提供的货物的任何一部分都达到国家相关安全标准要求，如因货物的质量问题造成事故的，中标人须对此承担责任。</w:t>
            </w:r>
          </w:p>
          <w:p>
            <w:pPr>
              <w:pStyle w:val="null3"/>
            </w:pPr>
            <w:r>
              <w:rPr>
                <w:sz w:val="21"/>
              </w:rPr>
              <w:t>5</w:t>
            </w:r>
            <w:r>
              <w:rPr>
                <w:sz w:val="21"/>
              </w:rPr>
              <w:t>、中标人须将所有货物须按采购人的要求搬运至指定位置，货物及安装设备的运输、装卸、现场保管的费用全部由中标人负责。</w:t>
            </w:r>
          </w:p>
        </w:tc>
      </w:tr>
      <w:tr>
        <w:tc>
          <w:tcPr>
            <w:tcW w:type="dxa" w:w="2076"/>
          </w:tcPr>
          <w:p/>
        </w:tc>
        <w:tc>
          <w:tcPr>
            <w:tcW w:type="dxa" w:w="415"/>
          </w:tcPr>
          <w:p>
            <w:pPr>
              <w:pStyle w:val="null3"/>
            </w:pPr>
            <w:r>
              <w:rPr/>
              <w:t>5</w:t>
            </w:r>
          </w:p>
        </w:tc>
        <w:tc>
          <w:tcPr>
            <w:tcW w:type="dxa" w:w="5814"/>
          </w:tcPr>
          <w:p>
            <w:pPr>
              <w:pStyle w:val="null3"/>
            </w:pPr>
            <w:r>
              <w:rPr>
                <w:sz w:val="21"/>
              </w:rPr>
              <w:t>五、质量保证及现场服务要求</w:t>
            </w:r>
          </w:p>
          <w:p>
            <w:pPr>
              <w:pStyle w:val="null3"/>
            </w:pPr>
            <w:r>
              <w:rPr>
                <w:sz w:val="21"/>
              </w:rPr>
              <w:t>1</w:t>
            </w:r>
            <w:r>
              <w:rPr>
                <w:sz w:val="21"/>
              </w:rPr>
              <w:t>、货物免费质保期：现场保障服务期内免费提供维护、保修、技术支持等服务。</w:t>
            </w:r>
          </w:p>
          <w:p>
            <w:pPr>
              <w:pStyle w:val="null3"/>
            </w:pPr>
            <w:r>
              <w:rPr>
                <w:sz w:val="21"/>
              </w:rPr>
              <w:t>2</w:t>
            </w:r>
            <w:r>
              <w:rPr>
                <w:sz w:val="21"/>
              </w:rPr>
              <w:t>、服务期内，货物质量出现问题所产生的费用均不再收取。</w:t>
            </w:r>
          </w:p>
          <w:p>
            <w:pPr>
              <w:pStyle w:val="null3"/>
            </w:pPr>
            <w:r>
              <w:rPr>
                <w:sz w:val="21"/>
              </w:rPr>
              <w:t>3</w:t>
            </w:r>
            <w:r>
              <w:rPr>
                <w:sz w:val="21"/>
              </w:rPr>
              <w:t>、投标人须具有相应的现场保障服务能力，包括拥有相应的替代产品和人员。</w:t>
            </w:r>
          </w:p>
          <w:p>
            <w:pPr>
              <w:pStyle w:val="null3"/>
            </w:pPr>
            <w:r>
              <w:rPr>
                <w:sz w:val="21"/>
              </w:rPr>
              <w:t>4</w:t>
            </w:r>
            <w:r>
              <w:rPr>
                <w:sz w:val="21"/>
              </w:rPr>
              <w:t>、服务期内货物各部件发生非人为故障的，中标人应免费上门更换同种品牌规格型号的新部件；货物发生人为故障的，中标人应更换同种品牌规格型号的新部件，只收零配件成本，不得加收其它任何费用，提供软件的免费维护和升级服务。</w:t>
            </w:r>
          </w:p>
          <w:p>
            <w:pPr>
              <w:pStyle w:val="null3"/>
            </w:pPr>
            <w:r>
              <w:rPr>
                <w:sz w:val="21"/>
              </w:rPr>
              <w:t xml:space="preserve"> 5</w:t>
            </w:r>
            <w:r>
              <w:rPr>
                <w:sz w:val="21"/>
              </w:rPr>
              <w:t>、免费提供货物安装、调试、使用培训；免费提供</w:t>
            </w:r>
            <w:r>
              <w:rPr>
                <w:sz w:val="21"/>
              </w:rPr>
              <w:t>24</w:t>
            </w:r>
            <w:r>
              <w:rPr>
                <w:sz w:val="21"/>
              </w:rPr>
              <w:t>小时技术支持；永久性免费提供电话技术指导和咨询服务；</w:t>
            </w:r>
          </w:p>
          <w:p>
            <w:pPr>
              <w:pStyle w:val="null3"/>
            </w:pPr>
            <w:r>
              <w:rPr>
                <w:sz w:val="21"/>
              </w:rPr>
              <w:t>7</w:t>
            </w:r>
            <w:r>
              <w:rPr>
                <w:sz w:val="21"/>
              </w:rPr>
              <w:t>、由中标人负责上门安装及拆除。</w:t>
            </w:r>
          </w:p>
        </w:tc>
      </w:tr>
      <w:tr>
        <w:tc>
          <w:tcPr>
            <w:tcW w:type="dxa" w:w="2076"/>
          </w:tcPr>
          <w:p/>
        </w:tc>
        <w:tc>
          <w:tcPr>
            <w:tcW w:type="dxa" w:w="415"/>
          </w:tcPr>
          <w:p>
            <w:pPr>
              <w:pStyle w:val="null3"/>
            </w:pPr>
            <w:r>
              <w:rPr/>
              <w:t>6</w:t>
            </w:r>
          </w:p>
        </w:tc>
        <w:tc>
          <w:tcPr>
            <w:tcW w:type="dxa" w:w="5814"/>
          </w:tcPr>
          <w:p>
            <w:pPr>
              <w:pStyle w:val="null3"/>
            </w:pPr>
            <w:r>
              <w:rPr>
                <w:sz w:val="21"/>
              </w:rPr>
              <w:t>六、培训要求</w:t>
            </w:r>
          </w:p>
          <w:p>
            <w:pPr>
              <w:pStyle w:val="null3"/>
            </w:pPr>
            <w:r>
              <w:rPr>
                <w:sz w:val="21"/>
              </w:rPr>
              <w:t>中标人在项目实施过程中，结合项目实施进度安排，合理地分期、分批对采购人的相关人员及单位进行培训。负责制定本项目培训方案，编制相关培训教材，组织以下培训工作：</w:t>
            </w:r>
          </w:p>
          <w:p>
            <w:pPr>
              <w:pStyle w:val="null3"/>
            </w:pPr>
            <w:r>
              <w:rPr>
                <w:sz w:val="21"/>
              </w:rPr>
              <w:t>1</w:t>
            </w:r>
            <w:r>
              <w:rPr>
                <w:sz w:val="21"/>
              </w:rPr>
              <w:t>、系统管理培训。在质保期内，负责对本项目内所有系统软件和硬件设施进行系统管理培训。</w:t>
            </w:r>
          </w:p>
          <w:p>
            <w:pPr>
              <w:pStyle w:val="null3"/>
            </w:pPr>
            <w:r>
              <w:rPr>
                <w:sz w:val="21"/>
              </w:rPr>
              <w:t>2</w:t>
            </w:r>
            <w:r>
              <w:rPr>
                <w:sz w:val="21"/>
              </w:rPr>
              <w:t>、系统应用培训。在质保期内，负责对本项目内应用软件进行业务培训。</w:t>
            </w:r>
          </w:p>
          <w:p>
            <w:pPr>
              <w:pStyle w:val="null3"/>
            </w:pPr>
            <w:r>
              <w:rPr>
                <w:sz w:val="21"/>
              </w:rPr>
              <w:t>3</w:t>
            </w:r>
            <w:r>
              <w:rPr>
                <w:sz w:val="21"/>
              </w:rPr>
              <w:t>、培训人员包括各相关业务使用用户，中标人承担培训相关费用，包括但不限于资料、场地租用、食宿、师资、交通等费用。</w:t>
            </w:r>
          </w:p>
        </w:tc>
      </w:tr>
      <w:tr>
        <w:tc>
          <w:tcPr>
            <w:tcW w:type="dxa" w:w="2076"/>
          </w:tcPr>
          <w:p/>
        </w:tc>
        <w:tc>
          <w:tcPr>
            <w:tcW w:type="dxa" w:w="415"/>
          </w:tcPr>
          <w:p>
            <w:pPr>
              <w:pStyle w:val="null3"/>
            </w:pPr>
            <w:r>
              <w:rPr/>
              <w:t>7</w:t>
            </w:r>
          </w:p>
        </w:tc>
        <w:tc>
          <w:tcPr>
            <w:tcW w:type="dxa" w:w="5814"/>
          </w:tcPr>
          <w:p>
            <w:pPr>
              <w:pStyle w:val="null3"/>
            </w:pPr>
            <w:r>
              <w:rPr>
                <w:sz w:val="21"/>
              </w:rPr>
              <w:t>七、现场保障服务要求</w:t>
            </w:r>
          </w:p>
          <w:p>
            <w:pPr>
              <w:pStyle w:val="null3"/>
            </w:pPr>
            <w:r>
              <w:rPr>
                <w:sz w:val="21"/>
              </w:rPr>
              <w:t>1</w:t>
            </w:r>
            <w:r>
              <w:rPr>
                <w:sz w:val="21"/>
              </w:rPr>
              <w:t>、大型赛事准备及举办期间中标人需派驻技术人员提供技术支持，保障设备和和信息化系统顺利运行。</w:t>
            </w:r>
          </w:p>
          <w:p>
            <w:pPr>
              <w:pStyle w:val="null3"/>
            </w:pPr>
            <w:r>
              <w:rPr>
                <w:sz w:val="21"/>
              </w:rPr>
              <w:t>2</w:t>
            </w:r>
            <w:r>
              <w:rPr>
                <w:sz w:val="21"/>
              </w:rPr>
              <w:t>、质保期后如果采购人要求，投标人应长期负责有偿优惠维修。</w:t>
            </w:r>
          </w:p>
        </w:tc>
      </w:tr>
      <w:tr>
        <w:tc>
          <w:tcPr>
            <w:tcW w:type="dxa" w:w="2076"/>
          </w:tcPr>
          <w:p/>
        </w:tc>
        <w:tc>
          <w:tcPr>
            <w:tcW w:type="dxa" w:w="415"/>
          </w:tcPr>
          <w:p>
            <w:pPr>
              <w:pStyle w:val="null3"/>
            </w:pPr>
            <w:r>
              <w:rPr/>
              <w:t>8</w:t>
            </w:r>
          </w:p>
        </w:tc>
        <w:tc>
          <w:tcPr>
            <w:tcW w:type="dxa" w:w="5814"/>
          </w:tcPr>
          <w:p>
            <w:pPr>
              <w:pStyle w:val="null3"/>
            </w:pPr>
            <w:r>
              <w:rPr>
                <w:sz w:val="21"/>
              </w:rPr>
              <w:t>八、其他要求</w:t>
            </w:r>
          </w:p>
          <w:p>
            <w:pPr>
              <w:pStyle w:val="null3"/>
            </w:pPr>
            <w:r>
              <w:rPr>
                <w:sz w:val="21"/>
              </w:rPr>
              <w:t>1</w:t>
            </w:r>
            <w:r>
              <w:rPr>
                <w:sz w:val="21"/>
              </w:rPr>
              <w:t>、投标人需针对标书要求提供相应的项目技术方案，包括但不限于对项目理解、技术方案及通信服务响应方案等。</w:t>
            </w:r>
          </w:p>
          <w:p>
            <w:pPr>
              <w:pStyle w:val="null3"/>
            </w:pPr>
            <w:r>
              <w:rPr>
                <w:sz w:val="21"/>
              </w:rPr>
              <w:t>2</w:t>
            </w:r>
            <w:r>
              <w:rPr>
                <w:sz w:val="21"/>
              </w:rPr>
              <w:t>、投标人需针对标书要求提供相应的项目实施方案，包括但不限于组织架构、项目管理、质量保证体系及措施、风险管控等。</w:t>
            </w:r>
          </w:p>
          <w:p>
            <w:pPr>
              <w:pStyle w:val="null3"/>
            </w:pPr>
            <w:r>
              <w:rPr>
                <w:sz w:val="21"/>
              </w:rPr>
              <w:t>3</w:t>
            </w:r>
            <w:r>
              <w:rPr>
                <w:sz w:val="21"/>
              </w:rPr>
              <w:t>、投标人需针对标书要求提供相应的现场保障服务方案 ，包括但不限于现场服务、应急响应、故障处置、服务承诺等。</w:t>
            </w:r>
          </w:p>
          <w:p>
            <w:pPr>
              <w:pStyle w:val="null3"/>
            </w:pPr>
            <w:r>
              <w:rPr>
                <w:sz w:val="21"/>
              </w:rPr>
              <w:t>4</w:t>
            </w:r>
            <w:r>
              <w:rPr>
                <w:sz w:val="21"/>
              </w:rPr>
              <w:t>、投标人需针对本项目提供项目经理进行整体协调，项目经理需具备通讯网络和计算机软件相关证书，以便对项目网络、信息安全方便提供全面的管理协助工作。</w:t>
            </w:r>
          </w:p>
          <w:p>
            <w:pPr>
              <w:pStyle w:val="null3"/>
            </w:pPr>
            <w:r>
              <w:rPr>
                <w:sz w:val="21"/>
              </w:rPr>
              <w:t>5</w:t>
            </w:r>
            <w:r>
              <w:rPr>
                <w:sz w:val="21"/>
              </w:rPr>
              <w:t>、投标人还需针对本项目提供相应的技术负责人进行设备的安装和系统调试，相关人员须具备</w:t>
            </w:r>
            <w:r>
              <w:rPr>
                <w:sz w:val="21"/>
              </w:rPr>
              <w:t>通讯</w:t>
            </w:r>
            <w:r>
              <w:rPr>
                <w:sz w:val="21"/>
              </w:rPr>
              <w:t>网络和计算机软件相关证书</w:t>
            </w:r>
            <w:r>
              <w:rPr>
                <w:sz w:val="21"/>
              </w:rPr>
              <w:t>。</w:t>
            </w:r>
          </w:p>
          <w:p>
            <w:pPr>
              <w:pStyle w:val="null3"/>
            </w:pPr>
            <w:r>
              <w:rPr/>
              <w:t>6、</w:t>
            </w:r>
            <w:r>
              <w:rPr>
                <w:sz w:val="21"/>
              </w:rPr>
              <w:t>投标人还需针对本项目提</w:t>
            </w:r>
            <w:r>
              <w:rPr>
                <w:sz w:val="21"/>
              </w:rPr>
              <w:t>供其他技术人员需具备网络通讯或计算机软件相关证书。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1.采购代理机构：本项目是指广东政通招标有限公司，负责整个采购活动的组织，依法负责编制和发布招标文件，对招标文件拥有最终的解释权，不以任何身份出任评标委员会成员。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东莞市公安局南城分局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服务费参考国家计委[计价格[2002]1980号]文和国家发改委[发改价格[2011]534号]文及相关规定向中标单位收取，按差额定率累进法计算，以中标通知书中确定的中标总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广东政通招标有限公司</w:t>
      </w:r>
      <w:r>
        <w:rPr/>
        <w:t>代收。具体操作要求详见</w:t>
      </w:r>
      <w:r>
        <w:rPr/>
        <w:t>广东政通招标有限公司</w:t>
      </w:r>
      <w:r>
        <w:rPr/>
        <w:t>有关指引，递交事宜请自行咨询</w:t>
      </w:r>
      <w:r>
        <w:rPr/>
        <w:t>广东政通招标有限公司</w:t>
      </w:r>
      <w:r>
        <w:rPr/>
        <w:t>；请各投标人在投标文件递交截止时间前按须知前附表规定的金额递交至</w:t>
      </w:r>
      <w:r>
        <w:rPr/>
        <w:t>广东政通招标有限公司</w:t>
      </w:r>
      <w:r>
        <w:rPr/>
        <w:t>，到账情况以开标时</w:t>
      </w:r>
      <w:r>
        <w:rPr/>
        <w:t>广东政通招标有限公司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徐柳莉</w:t>
      </w:r>
    </w:p>
    <w:p>
      <w:pPr>
        <w:pStyle w:val="null3"/>
        <w:ind w:firstLine="480"/>
      </w:pPr>
      <w:r>
        <w:rPr/>
        <w:t>电话：</w:t>
      </w:r>
      <w:r>
        <w:rPr/>
        <w:t>0769-22881803</w:t>
      </w:r>
    </w:p>
    <w:p>
      <w:pPr>
        <w:pStyle w:val="null3"/>
        <w:ind w:firstLine="480"/>
      </w:pPr>
      <w:r>
        <w:rPr/>
        <w:t>传真：</w:t>
      </w:r>
      <w:r>
        <w:rPr/>
        <w:t>0769-22881803</w:t>
      </w:r>
    </w:p>
    <w:p>
      <w:pPr>
        <w:pStyle w:val="null3"/>
        <w:ind w:firstLine="480"/>
      </w:pPr>
      <w:r>
        <w:rPr/>
        <w:t>邮箱：</w:t>
      </w:r>
      <w:r>
        <w:rPr/>
        <w:t>1045424928@qq.com</w:t>
      </w:r>
    </w:p>
    <w:p>
      <w:pPr>
        <w:pStyle w:val="null3"/>
        <w:ind w:firstLine="480"/>
      </w:pPr>
      <w:r>
        <w:rPr/>
        <w:t>地址：</w:t>
      </w:r>
      <w:r>
        <w:rPr/>
        <w:t>东莞市南城街道鸿福路199号（市民服务中心）411室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年广东省城市篮球联赛、城市足球超级联赛（南城赛区）科技信息化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广东政通招标有限公司</w:t>
      </w:r>
      <w:r>
        <w:rPr/>
        <w:t>统一对外发布。</w:t>
      </w:r>
    </w:p>
    <w:p>
      <w:pPr>
        <w:pStyle w:val="null3"/>
        <w:ind w:firstLine="480"/>
      </w:pPr>
      <w:r>
        <w:rPr/>
        <w:t>（2）对</w:t>
      </w:r>
      <w:r>
        <w:rPr/>
        <w:t>广东政通招标有限公司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采购包1（2026年广东省城市篮球联赛、城市足球超级联赛（南城赛区）科技信息化服务项目）：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采购包1（2026年广东省城市篮球联赛、城市足球超级联赛（南城赛区）科技信息化服务项目）：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投标（响应）文件中提供《资格条件承诺函》，可参考公告附件格式。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投标（响应）文件中提供《资格条件承诺函》，可参考公告附件格式。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投标（响应）文件中提供《资格条件承诺函》，可参考公告附件格式。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投标（响应）文件中提供《资格条件承诺函》，可参考公告附件格式。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本项目不属于专门面向中小企业采购。</w:t>
            </w:r>
          </w:p>
        </w:tc>
      </w:tr>
    </w:tbl>
    <w:p>
      <w:pPr>
        <w:pStyle w:val="null3"/>
        <w:ind w:firstLine="480"/>
      </w:pPr>
      <w:r>
        <w:rPr/>
        <w:t>表二符合性审查表：</w:t>
      </w:r>
    </w:p>
    <w:p>
      <w:pPr>
        <w:pStyle w:val="null3"/>
      </w:pPr>
      <w:r>
        <w:rPr/>
        <w:t>采购包1（2026年广东省城市篮球联赛、城市足球超级联赛（南城赛区）科技信息化服务项目）：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投标函和投标文件内容、签署、盖章</w:t>
            </w:r>
          </w:p>
        </w:tc>
        <w:tc>
          <w:tcPr>
            <w:tcW w:type="dxa" w:w="4238"/>
          </w:tcPr>
          <w:p>
            <w:pPr>
              <w:pStyle w:val="null3"/>
            </w:pPr>
            <w:r>
              <w:rPr/>
              <w:t>投标函和投标文件内容完整，已按规定格式编制，无重大错漏，并已按招标文件要求盖章、签署，投标有效期满足招标文件要求。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已盖章、签署，授权有效期符合招标文件要求。</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投标报价未超过招标文件中规定的预算金额（或最高限价）且按照招标文件要求进行报价。</w:t>
            </w:r>
          </w:p>
        </w:tc>
      </w:tr>
      <w:tr>
        <w:tc>
          <w:tcPr>
            <w:tcW w:type="dxa" w:w="890"/>
          </w:tcPr>
          <w:p>
            <w:pPr>
              <w:pStyle w:val="null3"/>
            </w:pPr>
            <w:r>
              <w:rPr/>
              <w:t>4</w:t>
            </w:r>
          </w:p>
        </w:tc>
        <w:tc>
          <w:tcPr>
            <w:tcW w:type="dxa" w:w="3178"/>
          </w:tcPr>
          <w:p>
            <w:pPr>
              <w:pStyle w:val="null3"/>
            </w:pPr>
            <w:r>
              <w:rPr/>
              <w:t>商务审查、技术审查</w:t>
            </w:r>
          </w:p>
        </w:tc>
        <w:tc>
          <w:tcPr>
            <w:tcW w:type="dxa" w:w="4238"/>
          </w:tcPr>
          <w:p>
            <w:pPr>
              <w:pStyle w:val="null3"/>
            </w:pPr>
            <w:r>
              <w:rPr/>
              <w:t>《商务条件响应表》和《技术和服务要求响应表》满足招标文件实质性要求，“★”条款满足招标文件要求。</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6</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异常低价审查，在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的次低报价供应商投标（响应）报价50%的，即投标（响应）报价&lt;通过符合性审查的次低报价供应商投标（响应）报价×50%；（三）投标（响应）报价低于采购项目最高限价45%的，即投标（响应）报价&lt;采购项目最高限价×45%；（四）评审委员会基于专业判断，认为供应商报价过低，有可能影响产品质量或者不能诚信履约的其他情形。评审委员会启动异常低价投标（响应）审查后，应当要求相关供应商在评审现场合理的时间内（30分钟内）提供书面说明及必要的证明材料，对投标（响应）价格作出解释。提供项目具体成本测算等与报价合理性相关的书面说明及必要的证明材料，包括但不限于原材料成本、人工成本、制造费用等。投标（响应）供应商不能提供书面说明、证明材料，或者提供的书面说明、证明材料不能证明其报价合理性的，评审委员会应当将其作为无效投标（响应）处理。如果投标（响应）供应商提供的书面说明、证明材料能证明其报价合理性的，评审结果为通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采购包1(2026年广东省城市篮球联赛、城市足球超级联赛（南城赛区）科技信息化服务项目):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商务部分44.0分</w:t>
            </w:r>
          </w:p>
          <w:p>
            <w:pPr>
              <w:pStyle w:val="null3"/>
            </w:pPr>
            <w:r>
              <w:rPr/>
              <w:t>技术部分46.0分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项目技术方案 (15.0分)</w:t>
            </w:r>
          </w:p>
        </w:tc>
        <w:tc>
          <w:tcPr>
            <w:tcW w:type="dxa" w:w="5076"/>
          </w:tcPr>
          <w:p>
            <w:pPr>
              <w:pStyle w:val="null3"/>
              <w:jc w:val="left"/>
            </w:pPr>
            <w:r>
              <w:rPr/>
              <w:t>根据供应商提供的项目技术方案（对项目理解、技术方案及通信服务响应方案）进行评分： （1）对项目有深入理解、技术方案完整具体，通信服务响应详细，符合实际情况，满足用户需求的，得15分； （2）对项目有基本理解、技术方案基本完整但仍存不足，通信服务响应基本完整但内容简略，符合实际情况，基本满足用户需求的，得10分； （3）对项目理解不全面、技术方案不完整，内容有明显欠缺，通信服务响应不完整，不能满足用户需求的，得5分； （4）无提供不得分。</w:t>
            </w:r>
          </w:p>
        </w:tc>
      </w:tr>
      <w:tr>
        <w:tc>
          <w:tcPr>
            <w:tcW w:type="dxa" w:w="922"/>
            <w:gridSpan w:val="2"/>
            <w:vMerge/>
          </w:tcPr>
          <w:p/>
        </w:tc>
        <w:tc>
          <w:tcPr>
            <w:tcW w:type="dxa" w:w="2307"/>
          </w:tcPr>
          <w:p>
            <w:pPr>
              <w:pStyle w:val="null3"/>
              <w:jc w:val="left"/>
            </w:pPr>
            <w:r>
              <w:rPr/>
              <w:t>项目实施方案 (15.0分)</w:t>
            </w:r>
          </w:p>
        </w:tc>
        <w:tc>
          <w:tcPr>
            <w:tcW w:type="dxa" w:w="5076"/>
          </w:tcPr>
          <w:p>
            <w:pPr>
              <w:pStyle w:val="null3"/>
              <w:jc w:val="left"/>
            </w:pPr>
            <w:r>
              <w:rPr/>
              <w:t>根据供应商提供的项目实施方案（方案包应含但不限于组织架构、项目管理、质量保证体系及措施、风险管控等）进行评分： （1）供应商根据采购人实际情况，提供的实施方案详细具体，保障能力强，有具体项目管理、质量保证措施、风险管控措施，可行性强的，得15分； （2）供应商根据采购人实际情况，提供的实施方案完整但内容简略，保障能力良好，有具体的项目管理、质量保证措施、风险管控措施但需完善，可行性良好的，得10分； （3）供应商根据采购人实际情况，提供的实施方案不完整，方案不清晰，保障能力差，没有具体的应急处理方案的，得5分； （4）无提供不得分。</w:t>
            </w:r>
          </w:p>
        </w:tc>
      </w:tr>
      <w:tr>
        <w:tc>
          <w:tcPr>
            <w:tcW w:type="dxa" w:w="922"/>
            <w:gridSpan w:val="2"/>
            <w:vMerge/>
          </w:tcPr>
          <w:p/>
        </w:tc>
        <w:tc>
          <w:tcPr>
            <w:tcW w:type="dxa" w:w="2307"/>
          </w:tcPr>
          <w:p>
            <w:pPr>
              <w:pStyle w:val="null3"/>
              <w:jc w:val="left"/>
            </w:pPr>
            <w:r>
              <w:rPr/>
              <w:t>现场保障服务方案 (10.0分)</w:t>
            </w:r>
          </w:p>
        </w:tc>
        <w:tc>
          <w:tcPr>
            <w:tcW w:type="dxa" w:w="5076"/>
          </w:tcPr>
          <w:p>
            <w:pPr>
              <w:pStyle w:val="null3"/>
              <w:jc w:val="left"/>
            </w:pPr>
            <w:r>
              <w:rPr/>
              <w:t>根据供应商提供的现场服务保障方案（现场服务、应急响应、故障处置、服务承诺）等进行评分。 （1）现场服务保障完整科学、详细合理，可行性强，对现场服务、应急响应、故障处置、服务承诺等有具体详细的实施方案，完全满足并优于招标文件要求，得10分； （2）现场服务响应较完整、可行性一般，对现场服务、应急响应、故障处置、服务承诺等有较详细的实施方案，基本符合招标文件要求，得6分； （3）现场服务响应基本完整、可行性一般，对现场服务、应急响应、故障处置、服务承诺等有简单的实施方案，基本符合招标文件要求，得2分； 无提供不得分。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根据投标人提供的培训方案(包括但不限于:培训计划、培训目标、培训方式方法等)进行评审: 1、培训方案内容详细、体系完善，全面覆盖采购人各项要求，可操作性、针对性极强，完全满足采购人需求，得6分。 2、培训方案内容比较详细，体系较完善，大部分覆盖采购人要求，可操作性、针对性较强，基本满足采购人核心需求，得2分。 3、培训方案内容基本完整，有一定针对性，能够基本满足采购人基础需求，方案细节不够完善，得1分。 4、培训方案内容简单，针对性不足，仅能部分满足采购人基础需求，方案存在明显漏洞、可操作性差，得1分。5、未提供培训方案的，不得分。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供应商实力 (9.0分)</w:t>
            </w:r>
          </w:p>
        </w:tc>
        <w:tc>
          <w:tcPr>
            <w:tcW w:type="dxa" w:w="5076"/>
          </w:tcPr>
          <w:p>
            <w:pPr>
              <w:pStyle w:val="null3"/>
              <w:jc w:val="left"/>
            </w:pPr>
            <w:r>
              <w:rPr/>
              <w:t>供应商具有由国家认证认可监督管理部门批准设立的认证机构颁发并在有效期内的以下证书: 1质量管理体系认证证书 2环境管理体系认证证书 3职业健康安全管理体系认证证书 以上证书每具有一个得3分，最高得9分。 注:须提供有效证书复印件并加盖供应商公章，提供范围包含其总公司或总公司的分支机构。</w:t>
            </w:r>
          </w:p>
        </w:tc>
      </w:tr>
      <w:tr>
        <w:tc>
          <w:tcPr>
            <w:tcW w:type="dxa" w:w="922"/>
            <w:gridSpan w:val="2"/>
            <w:vMerge/>
          </w:tcPr>
          <w:p/>
        </w:tc>
        <w:tc>
          <w:tcPr>
            <w:tcW w:type="dxa" w:w="2307"/>
          </w:tcPr>
          <w:p>
            <w:pPr>
              <w:pStyle w:val="null3"/>
              <w:jc w:val="left"/>
            </w:pPr>
            <w:r>
              <w:rPr/>
              <w:t>项目经理 (6.0分)</w:t>
            </w:r>
          </w:p>
        </w:tc>
        <w:tc>
          <w:tcPr>
            <w:tcW w:type="dxa" w:w="5076"/>
          </w:tcPr>
          <w:p>
            <w:pPr>
              <w:pStyle w:val="null3"/>
              <w:jc w:val="left"/>
            </w:pPr>
            <w:r>
              <w:rPr/>
              <w:t>拟投入本项目的项目经理（仅一人）具有： 1.人力资源和社会保障部门（含原人事部）或工业和信息化部门颁发的通信专业技术人员职业资格中级（或以上）证书的，得3分； 2.人力资源和社会保障部门（含原人事部）或工业和信息化部门颁发的计算机技术与软件专业技术资格中级（或以上）证书的，得3分； 注：须提供有效证书复印件加盖供应商公章，并提供投标截止时间前6个月（不含开标当月）任意一个月供应商为其缴纳的社保证明材料复印件加盖供应商公章。</w:t>
            </w:r>
          </w:p>
        </w:tc>
      </w:tr>
      <w:tr>
        <w:tc>
          <w:tcPr>
            <w:tcW w:type="dxa" w:w="922"/>
            <w:gridSpan w:val="2"/>
            <w:vMerge/>
          </w:tcPr>
          <w:p/>
        </w:tc>
        <w:tc>
          <w:tcPr>
            <w:tcW w:type="dxa" w:w="2307"/>
          </w:tcPr>
          <w:p>
            <w:pPr>
              <w:pStyle w:val="null3"/>
              <w:jc w:val="left"/>
            </w:pPr>
            <w:r>
              <w:rPr/>
              <w:t>技术负责人 (6.0分)</w:t>
            </w:r>
          </w:p>
        </w:tc>
        <w:tc>
          <w:tcPr>
            <w:tcW w:type="dxa" w:w="5076"/>
          </w:tcPr>
          <w:p>
            <w:pPr>
              <w:pStyle w:val="null3"/>
              <w:jc w:val="left"/>
            </w:pPr>
            <w:r>
              <w:rPr/>
              <w:t>供应商拟投入本项目服务团队负责人（仅一人，项目经理除外）具有： 1.人力资源和社会保障部门（含原人事部）或工业和信息化部门颁发的通信专业技术人员职业资格中级（或以上）证书的，得3分； 2.人力资源和社会保障部门（含原人事部）或工业和信息化部门颁发的计算机技术与软件专业技术资格中级（或以上）证书的，得3分； 注：须提供有效证书复印件加盖供应商公章，并提供投标截止时间前6个月（不含开标当月）任意一个月供应商为其缴纳的社保证明材料复印件加盖供应商公章。</w:t>
            </w:r>
          </w:p>
        </w:tc>
      </w:tr>
      <w:tr>
        <w:tc>
          <w:tcPr>
            <w:tcW w:type="dxa" w:w="922"/>
            <w:gridSpan w:val="2"/>
            <w:vMerge/>
          </w:tcPr>
          <w:p/>
        </w:tc>
        <w:tc>
          <w:tcPr>
            <w:tcW w:type="dxa" w:w="2307"/>
          </w:tcPr>
          <w:p>
            <w:pPr>
              <w:pStyle w:val="null3"/>
              <w:jc w:val="left"/>
            </w:pPr>
            <w:r>
              <w:rPr/>
              <w:t>服务人员 (8.0分)</w:t>
            </w:r>
          </w:p>
        </w:tc>
        <w:tc>
          <w:tcPr>
            <w:tcW w:type="dxa" w:w="5076"/>
          </w:tcPr>
          <w:p>
            <w:pPr>
              <w:pStyle w:val="null3"/>
              <w:jc w:val="left"/>
            </w:pPr>
            <w:r>
              <w:rPr/>
              <w:t>供应商拟投入本项目的技术人员（项目经理和技术负责人除外）具有： 人力资源和社会保障部门（含原人事部门）或工业和信息化部门颁发的通信专业技术人员职业资格中级（或以上）或计算机技术与软件专业技术资格中级（或以上）证书的，每1人得2分，满分8分。 注：须提供有效证书复印件加盖供应商公章，并提供投标截止时间前6个月（不含开标当月）任意一个月供应商为其缴纳的社保证明材料复印件加盖供应商公章。</w:t>
            </w:r>
          </w:p>
        </w:tc>
      </w:tr>
      <w:tr>
        <w:tc>
          <w:tcPr>
            <w:tcW w:type="dxa" w:w="922"/>
            <w:gridSpan w:val="2"/>
            <w:vMerge/>
          </w:tcPr>
          <w:p/>
        </w:tc>
        <w:tc>
          <w:tcPr>
            <w:tcW w:type="dxa" w:w="2307"/>
          </w:tcPr>
          <w:p>
            <w:pPr>
              <w:pStyle w:val="null3"/>
              <w:jc w:val="left"/>
            </w:pPr>
            <w:r>
              <w:rPr/>
              <w:t>业绩 (15.0分)</w:t>
            </w:r>
          </w:p>
        </w:tc>
        <w:tc>
          <w:tcPr>
            <w:tcW w:type="dxa" w:w="5076"/>
          </w:tcPr>
          <w:p>
            <w:pPr>
              <w:pStyle w:val="null3"/>
              <w:jc w:val="left"/>
            </w:pPr>
            <w:r>
              <w:rPr/>
              <w:t>投标人承接的通信或网络保障服务业绩，每个得3分，最高15分。 注：须提供合同复印件加盖投标人公章，提供范围包含其总公司或总公司的分支机构。</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441900003-2026-00387</w:t>
      </w:r>
    </w:p>
    <w:p>
      <w:pPr>
        <w:pStyle w:val="null3"/>
        <w:jc w:val="center"/>
        <w:outlineLvl w:val="3"/>
      </w:pPr>
      <w:r>
        <w:rPr>
          <w:sz w:val="24"/>
          <w:b/>
        </w:rPr>
        <w:t>采购项目编号：</w:t>
      </w:r>
      <w:r>
        <w:rPr>
          <w:sz w:val="24"/>
          <w:b/>
        </w:rPr>
        <w:t>441900003-2026-00387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广东政通招标有限公司</w:t>
      </w:r>
    </w:p>
    <w:p>
      <w:pPr>
        <w:pStyle w:val="null3"/>
        <w:ind w:firstLine="480"/>
      </w:pPr>
      <w:r>
        <w:rPr/>
        <w:t xml:space="preserve"> 你方组织的</w:t>
      </w:r>
      <w:r>
        <w:rPr>
          <w:u w:val="single"/>
        </w:rPr>
        <w:t>“</w:t>
      </w:r>
      <w:r>
        <w:rPr>
          <w:u w:val="single"/>
        </w:rPr>
        <w:t>2026年广东省城市篮球联赛、城市足球超级联赛（南城赛区）科技信息化服务项目</w:t>
      </w:r>
      <w:r>
        <w:rPr>
          <w:u w:val="single"/>
        </w:rPr>
        <w:t>”</w:t>
      </w:r>
      <w:r>
        <w:rPr/>
        <w:t>项目的招标[采购项目编号为：</w:t>
      </w:r>
      <w:r>
        <w:rPr>
          <w:u w:val="single"/>
        </w:rPr>
        <w:t>441900003-2026-00387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2026年广东省城市篮球联赛、城市足球超级联赛（南城赛区）科技信息化服务项目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广东政通招标有限公司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2026年广东省城市篮球联赛、城市足球超级联赛（南城赛区）科技信息化服务项目</w:t>
      </w:r>
      <w:r>
        <w:rPr/>
        <w:t>”项目采购[采购项目编号为</w:t>
      </w:r>
      <w:r>
        <w:rPr/>
        <w:t>441900003-2026-00387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东莞市公安局南城分局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广东政通招标有限公司</w:t>
      </w:r>
    </w:p>
    <w:p>
      <w:pPr>
        <w:pStyle w:val="null3"/>
        <w:ind w:firstLine="480"/>
      </w:pPr>
      <w:r>
        <w:rPr/>
        <w:t xml:space="preserve"> 如果我方在贵采购代理机构组织的</w:t>
      </w:r>
      <w:r>
        <w:rPr/>
        <w:t>2026年广东省城市篮球联赛、城市足球超级联赛（南城赛区）科技信息化服务项目</w:t>
      </w:r>
      <w:r>
        <w:rPr/>
        <w:t>招标中获中标（采购项目编号：</w:t>
      </w:r>
      <w:r>
        <w:rPr/>
        <w:t>441900003-2026-00387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广东政通招标有限公司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广东政通招标有限公司</w:t>
      </w:r>
    </w:p>
    <w:p>
      <w:pPr>
        <w:pStyle w:val="null3"/>
        <w:ind w:firstLine="480"/>
      </w:pPr>
      <w:r>
        <w:rPr/>
        <w:t>我单位已登记并准备参与“</w:t>
      </w:r>
      <w:r>
        <w:rPr/>
        <w:t>2026年广东省城市篮球联赛、城市足球超级联赛（南城赛区）科技信息化服务项目</w:t>
      </w:r>
      <w:r>
        <w:rPr/>
        <w:t>”项目（采购项目编号：</w:t>
      </w:r>
      <w:r>
        <w:rPr/>
        <w:t>441900003-2026-00387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