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E70C">
      <w:pPr>
        <w:jc w:val="right"/>
        <w:rPr>
          <w:rFonts w:ascii="黑体" w:eastAsia="黑体"/>
          <w:color w:val="auto"/>
          <w:szCs w:val="21"/>
          <w:highlight w:val="none"/>
        </w:rPr>
      </w:pPr>
    </w:p>
    <w:p w14:paraId="5A02B320">
      <w:pPr>
        <w:pStyle w:val="37"/>
        <w:ind w:firstLine="400"/>
        <w:rPr>
          <w:color w:val="auto"/>
          <w:highlight w:val="none"/>
        </w:rPr>
      </w:pPr>
    </w:p>
    <w:p w14:paraId="300D85DE">
      <w:pPr>
        <w:rPr>
          <w:color w:val="auto"/>
          <w:highlight w:val="none"/>
        </w:rPr>
      </w:pPr>
    </w:p>
    <w:p w14:paraId="3625BB24">
      <w:pPr>
        <w:rPr>
          <w:color w:val="auto"/>
          <w:highlight w:val="none"/>
        </w:rPr>
      </w:pPr>
    </w:p>
    <w:p w14:paraId="0524B72C">
      <w:pPr>
        <w:rPr>
          <w:color w:val="auto"/>
          <w:highlight w:val="none"/>
        </w:rPr>
      </w:pPr>
    </w:p>
    <w:p w14:paraId="4D030E49">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5C9C7B39">
      <w:pPr>
        <w:rPr>
          <w:color w:val="auto"/>
          <w:highlight w:val="none"/>
        </w:rPr>
      </w:pPr>
    </w:p>
    <w:p w14:paraId="2BB5C180">
      <w:pPr>
        <w:pStyle w:val="3"/>
        <w:rPr>
          <w:color w:val="auto"/>
          <w:highlight w:val="none"/>
        </w:rPr>
      </w:pPr>
    </w:p>
    <w:p w14:paraId="074C3F96">
      <w:pPr>
        <w:pStyle w:val="2"/>
        <w:rPr>
          <w:color w:val="auto"/>
          <w:highlight w:val="none"/>
        </w:rPr>
      </w:pPr>
    </w:p>
    <w:tbl>
      <w:tblPr>
        <w:tblStyle w:val="2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55F0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2F592ABD">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noWrap/>
            <w:vAlign w:val="center"/>
          </w:tcPr>
          <w:p w14:paraId="30581BAA">
            <w:pP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东莞市能源投资集团有限公司食堂副食品采购项目</w:t>
            </w:r>
          </w:p>
        </w:tc>
      </w:tr>
      <w:tr w14:paraId="0E9F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06F49730">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noWrap/>
            <w:vAlign w:val="center"/>
          </w:tcPr>
          <w:p w14:paraId="2357492D">
            <w:pP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DGNY-CC-05-001-001 (2026)</w:t>
            </w:r>
          </w:p>
        </w:tc>
      </w:tr>
      <w:tr w14:paraId="4DE2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2D9F32D8">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noWrap/>
            <w:vAlign w:val="center"/>
          </w:tcPr>
          <w:p w14:paraId="033E879B">
            <w:pP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东莞市能源投资集团有限公司</w:t>
            </w:r>
          </w:p>
        </w:tc>
      </w:tr>
      <w:tr w14:paraId="3E2A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00C57E0">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noWrap/>
            <w:vAlign w:val="center"/>
          </w:tcPr>
          <w:p w14:paraId="1DCAF5A8">
            <w:pP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val="en-US" w:eastAsia="zh-CN"/>
              </w:rPr>
              <w:t>广东政通招标有限公司</w:t>
            </w:r>
          </w:p>
        </w:tc>
      </w:tr>
    </w:tbl>
    <w:p w14:paraId="14BE1824">
      <w:pPr>
        <w:jc w:val="center"/>
        <w:rPr>
          <w:rFonts w:ascii="黑体" w:eastAsia="黑体"/>
          <w:color w:val="auto"/>
          <w:szCs w:val="21"/>
          <w:highlight w:val="none"/>
        </w:rPr>
      </w:pPr>
    </w:p>
    <w:p w14:paraId="2AB99094">
      <w:pPr>
        <w:jc w:val="center"/>
        <w:rPr>
          <w:rFonts w:ascii="黑体" w:eastAsia="黑体"/>
          <w:color w:val="auto"/>
          <w:szCs w:val="21"/>
          <w:highlight w:val="none"/>
        </w:rPr>
      </w:pPr>
    </w:p>
    <w:p w14:paraId="1A999665">
      <w:pPr>
        <w:jc w:val="center"/>
        <w:rPr>
          <w:rFonts w:ascii="黑体" w:eastAsia="黑体"/>
          <w:color w:val="auto"/>
          <w:szCs w:val="21"/>
          <w:highlight w:val="none"/>
        </w:rPr>
      </w:pPr>
    </w:p>
    <w:p w14:paraId="6CE2BDD3">
      <w:pPr>
        <w:pStyle w:val="37"/>
        <w:ind w:firstLine="400"/>
        <w:rPr>
          <w:color w:val="auto"/>
          <w:highlight w:val="none"/>
        </w:rPr>
      </w:pPr>
    </w:p>
    <w:p w14:paraId="412BB95B">
      <w:pPr>
        <w:jc w:val="center"/>
        <w:rPr>
          <w:rFonts w:ascii="黑体" w:eastAsia="黑体"/>
          <w:color w:val="auto"/>
          <w:szCs w:val="21"/>
          <w:highlight w:val="none"/>
        </w:rPr>
      </w:pPr>
    </w:p>
    <w:p w14:paraId="025CCC58">
      <w:pPr>
        <w:jc w:val="center"/>
        <w:rPr>
          <w:rFonts w:ascii="黑体" w:eastAsia="黑体"/>
          <w:color w:val="auto"/>
          <w:szCs w:val="21"/>
          <w:highlight w:val="none"/>
        </w:rPr>
      </w:pPr>
    </w:p>
    <w:p w14:paraId="2EAC5139">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2026年</w:t>
      </w:r>
      <w:r>
        <w:rPr>
          <w:rFonts w:hint="eastAsia" w:ascii="黑体" w:hAnsi="黑体" w:eastAsia="黑体" w:cs="黑体"/>
          <w:bCs/>
          <w:color w:val="auto"/>
          <w:sz w:val="32"/>
          <w:szCs w:val="24"/>
          <w:highlight w:val="none"/>
          <w:lang w:val="en-US" w:eastAsia="zh-CN"/>
        </w:rPr>
        <w:t>02</w:t>
      </w:r>
      <w:r>
        <w:rPr>
          <w:rFonts w:hint="eastAsia" w:ascii="黑体" w:hAnsi="黑体" w:eastAsia="黑体" w:cs="黑体"/>
          <w:bCs/>
          <w:color w:val="auto"/>
          <w:sz w:val="32"/>
          <w:szCs w:val="24"/>
          <w:highlight w:val="none"/>
        </w:rPr>
        <w:t>月</w:t>
      </w:r>
    </w:p>
    <w:p w14:paraId="0293F2F7">
      <w:pPr>
        <w:rPr>
          <w:rFonts w:hint="eastAsia"/>
          <w:color w:val="auto"/>
          <w:sz w:val="40"/>
          <w:szCs w:val="40"/>
          <w:highlight w:val="none"/>
        </w:rPr>
      </w:pPr>
      <w:r>
        <w:rPr>
          <w:rFonts w:hint="eastAsia"/>
          <w:color w:val="auto"/>
          <w:sz w:val="40"/>
          <w:szCs w:val="40"/>
          <w:highlight w:val="none"/>
        </w:rPr>
        <w:br w:type="page"/>
      </w:r>
    </w:p>
    <w:p w14:paraId="12C4B22E">
      <w:pPr>
        <w:pStyle w:val="23"/>
        <w:ind w:left="0" w:leftChars="0"/>
        <w:rPr>
          <w:color w:val="auto"/>
          <w:sz w:val="40"/>
          <w:szCs w:val="40"/>
          <w:highlight w:val="none"/>
        </w:rPr>
      </w:pPr>
      <w:r>
        <w:rPr>
          <w:rFonts w:hint="eastAsia"/>
          <w:color w:val="auto"/>
          <w:sz w:val="40"/>
          <w:szCs w:val="40"/>
          <w:highlight w:val="none"/>
        </w:rPr>
        <w:t>目录</w:t>
      </w:r>
    </w:p>
    <w:p w14:paraId="2E33612E">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TOC \o "1-4" \h \z \u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_Toc11696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第一部分投标邀请</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_Toc11696 \h </w:instrText>
      </w:r>
      <w:r>
        <w:rPr>
          <w:rFonts w:ascii="宋体" w:hAnsi="宋体" w:eastAsia="宋体"/>
          <w:color w:val="auto"/>
          <w:sz w:val="21"/>
          <w:szCs w:val="21"/>
        </w:rPr>
        <w:fldChar w:fldCharType="separate"/>
      </w:r>
      <w:r>
        <w:rPr>
          <w:rFonts w:ascii="宋体" w:hAnsi="宋体" w:eastAsia="宋体"/>
          <w:color w:val="auto"/>
          <w:sz w:val="21"/>
          <w:szCs w:val="21"/>
        </w:rPr>
        <w:t>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D874AFB">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_Toc21077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投标邀请书</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_Toc21077 \h </w:instrText>
      </w:r>
      <w:r>
        <w:rPr>
          <w:rFonts w:ascii="宋体" w:hAnsi="宋体" w:eastAsia="宋体"/>
          <w:color w:val="auto"/>
          <w:sz w:val="21"/>
          <w:szCs w:val="21"/>
        </w:rPr>
        <w:fldChar w:fldCharType="separate"/>
      </w:r>
      <w:r>
        <w:rPr>
          <w:rFonts w:ascii="宋体" w:hAnsi="宋体" w:eastAsia="宋体"/>
          <w:color w:val="auto"/>
          <w:sz w:val="21"/>
          <w:szCs w:val="21"/>
        </w:rPr>
        <w:t>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936D4E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_Toc2907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第二部分相关资料表格</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_Toc2907 \h </w:instrText>
      </w:r>
      <w:r>
        <w:rPr>
          <w:rFonts w:ascii="宋体" w:hAnsi="宋体" w:eastAsia="宋体"/>
          <w:color w:val="auto"/>
          <w:sz w:val="21"/>
          <w:szCs w:val="21"/>
        </w:rPr>
        <w:fldChar w:fldCharType="separate"/>
      </w:r>
      <w:r>
        <w:rPr>
          <w:rFonts w:ascii="宋体" w:hAnsi="宋体" w:eastAsia="宋体"/>
          <w:color w:val="auto"/>
          <w:sz w:val="21"/>
          <w:szCs w:val="21"/>
        </w:rPr>
        <w:t>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AED5D2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_Toc32660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附表一：投标资料表</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_Toc32660 \h </w:instrText>
      </w:r>
      <w:r>
        <w:rPr>
          <w:rFonts w:ascii="宋体" w:hAnsi="宋体" w:eastAsia="宋体"/>
          <w:color w:val="auto"/>
          <w:sz w:val="21"/>
          <w:szCs w:val="21"/>
        </w:rPr>
        <w:fldChar w:fldCharType="separate"/>
      </w:r>
      <w:r>
        <w:rPr>
          <w:rFonts w:ascii="宋体" w:hAnsi="宋体" w:eastAsia="宋体"/>
          <w:color w:val="auto"/>
          <w:sz w:val="21"/>
          <w:szCs w:val="21"/>
        </w:rPr>
        <w:t>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374F3386">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_Toc18555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附表二：商务技术评分及价格权重表（满分100分）</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_Toc18555 \h </w:instrText>
      </w:r>
      <w:r>
        <w:rPr>
          <w:rFonts w:ascii="宋体" w:hAnsi="宋体" w:eastAsia="宋体"/>
          <w:color w:val="auto"/>
          <w:sz w:val="21"/>
          <w:szCs w:val="21"/>
        </w:rPr>
        <w:fldChar w:fldCharType="separate"/>
      </w:r>
      <w:r>
        <w:rPr>
          <w:rFonts w:ascii="宋体" w:hAnsi="宋体" w:eastAsia="宋体"/>
          <w:color w:val="auto"/>
          <w:sz w:val="21"/>
          <w:szCs w:val="21"/>
        </w:rPr>
        <w:t>12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E0004B0">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_Toc12994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第三部分用户需求书</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_Toc12994 \h </w:instrText>
      </w:r>
      <w:r>
        <w:rPr>
          <w:rFonts w:ascii="宋体" w:hAnsi="宋体" w:eastAsia="宋体"/>
          <w:color w:val="auto"/>
          <w:sz w:val="21"/>
          <w:szCs w:val="21"/>
        </w:rPr>
        <w:fldChar w:fldCharType="separate"/>
      </w:r>
      <w:r>
        <w:rPr>
          <w:rFonts w:ascii="宋体" w:hAnsi="宋体" w:eastAsia="宋体"/>
          <w:color w:val="auto"/>
          <w:sz w:val="21"/>
          <w:szCs w:val="21"/>
        </w:rPr>
        <w:t>16</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B9C3E62">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_Toc17388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第一章 商务需求书</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_Toc17388 \h </w:instrText>
      </w:r>
      <w:r>
        <w:rPr>
          <w:rFonts w:ascii="宋体" w:hAnsi="宋体" w:eastAsia="宋体"/>
          <w:color w:val="auto"/>
          <w:sz w:val="21"/>
          <w:szCs w:val="21"/>
        </w:rPr>
        <w:fldChar w:fldCharType="separate"/>
      </w:r>
      <w:r>
        <w:rPr>
          <w:rFonts w:ascii="宋体" w:hAnsi="宋体" w:eastAsia="宋体"/>
          <w:color w:val="auto"/>
          <w:sz w:val="21"/>
          <w:szCs w:val="21"/>
        </w:rPr>
        <w:t>16</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F51933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_Toc928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第二章 技术需求书</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_Toc928 \h </w:instrText>
      </w:r>
      <w:r>
        <w:rPr>
          <w:rFonts w:ascii="宋体" w:hAnsi="宋体" w:eastAsia="宋体"/>
          <w:color w:val="auto"/>
          <w:sz w:val="21"/>
          <w:szCs w:val="21"/>
        </w:rPr>
        <w:fldChar w:fldCharType="separate"/>
      </w:r>
      <w:r>
        <w:rPr>
          <w:rFonts w:ascii="宋体" w:hAnsi="宋体" w:eastAsia="宋体"/>
          <w:color w:val="auto"/>
          <w:sz w:val="21"/>
          <w:szCs w:val="21"/>
        </w:rPr>
        <w:t>17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7172032">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_Toc346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第四部分投标人须知</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_Toc346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B1D80D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_Toc20055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一、 </w:t>
      </w:r>
      <w:r>
        <w:rPr>
          <w:rFonts w:hint="eastAsia" w:ascii="宋体" w:hAnsi="宋体" w:eastAsia="宋体"/>
          <w:color w:val="auto"/>
          <w:sz w:val="21"/>
          <w:szCs w:val="21"/>
        </w:rPr>
        <w:t>说明</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_Toc20055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ED8535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_Toc24275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 </w:t>
      </w:r>
      <w:r>
        <w:rPr>
          <w:rFonts w:hint="eastAsia" w:ascii="宋体" w:hAnsi="宋体" w:eastAsia="宋体"/>
          <w:color w:val="auto"/>
          <w:sz w:val="21"/>
          <w:szCs w:val="21"/>
        </w:rPr>
        <w:t>适用范围</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_Toc24275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9DCF9E4">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_Toc10550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 </w:t>
      </w:r>
      <w:r>
        <w:rPr>
          <w:rFonts w:hint="eastAsia" w:ascii="宋体" w:hAnsi="宋体" w:eastAsia="宋体"/>
          <w:color w:val="auto"/>
          <w:sz w:val="21"/>
          <w:szCs w:val="21"/>
        </w:rPr>
        <w:t>定义</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_Toc10550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0B7A61C">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_Toc28664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 </w:t>
      </w:r>
      <w:r>
        <w:rPr>
          <w:rFonts w:hint="eastAsia" w:ascii="宋体" w:hAnsi="宋体" w:eastAsia="宋体"/>
          <w:color w:val="auto"/>
          <w:sz w:val="21"/>
          <w:szCs w:val="21"/>
        </w:rPr>
        <w:t>货物和服务</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_Toc28664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18FC58B">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_Toc7589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4. </w:t>
      </w:r>
      <w:r>
        <w:rPr>
          <w:rFonts w:hint="eastAsia" w:ascii="宋体" w:hAnsi="宋体" w:eastAsia="宋体"/>
          <w:color w:val="auto"/>
          <w:sz w:val="21"/>
          <w:szCs w:val="21"/>
        </w:rPr>
        <w:t>投标费用</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_Toc7589 \h </w:instrText>
      </w:r>
      <w:r>
        <w:rPr>
          <w:rFonts w:ascii="宋体" w:hAnsi="宋体" w:eastAsia="宋体"/>
          <w:color w:val="auto"/>
          <w:sz w:val="21"/>
          <w:szCs w:val="21"/>
        </w:rPr>
        <w:fldChar w:fldCharType="separate"/>
      </w:r>
      <w:r>
        <w:rPr>
          <w:rFonts w:ascii="宋体" w:hAnsi="宋体" w:eastAsia="宋体"/>
          <w:color w:val="auto"/>
          <w:sz w:val="21"/>
          <w:szCs w:val="21"/>
        </w:rPr>
        <w:t>30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3F7052A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_Toc29617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5. </w:t>
      </w:r>
      <w:r>
        <w:rPr>
          <w:rFonts w:hint="eastAsia" w:ascii="宋体" w:hAnsi="宋体" w:eastAsia="宋体"/>
          <w:color w:val="auto"/>
          <w:sz w:val="21"/>
          <w:szCs w:val="21"/>
        </w:rPr>
        <w:t>知识产权</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_Toc29617 \h </w:instrText>
      </w:r>
      <w:r>
        <w:rPr>
          <w:rFonts w:ascii="宋体" w:hAnsi="宋体" w:eastAsia="宋体"/>
          <w:color w:val="auto"/>
          <w:sz w:val="21"/>
          <w:szCs w:val="21"/>
        </w:rPr>
        <w:fldChar w:fldCharType="separate"/>
      </w:r>
      <w:r>
        <w:rPr>
          <w:rFonts w:ascii="宋体" w:hAnsi="宋体" w:eastAsia="宋体"/>
          <w:color w:val="auto"/>
          <w:sz w:val="21"/>
          <w:szCs w:val="21"/>
        </w:rPr>
        <w:t>31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9C1541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_Toc25988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6. </w:t>
      </w:r>
      <w:r>
        <w:rPr>
          <w:rFonts w:hint="eastAsia" w:ascii="宋体" w:hAnsi="宋体" w:eastAsia="宋体"/>
          <w:color w:val="auto"/>
          <w:sz w:val="21"/>
          <w:szCs w:val="21"/>
        </w:rPr>
        <w:t>关于联合体投标</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_Toc25988 \h </w:instrText>
      </w:r>
      <w:r>
        <w:rPr>
          <w:rFonts w:ascii="宋体" w:hAnsi="宋体" w:eastAsia="宋体"/>
          <w:color w:val="auto"/>
          <w:sz w:val="21"/>
          <w:szCs w:val="21"/>
        </w:rPr>
        <w:fldChar w:fldCharType="separate"/>
      </w:r>
      <w:r>
        <w:rPr>
          <w:rFonts w:ascii="宋体" w:hAnsi="宋体" w:eastAsia="宋体"/>
          <w:color w:val="auto"/>
          <w:sz w:val="21"/>
          <w:szCs w:val="21"/>
        </w:rPr>
        <w:t>31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301BD25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_Toc16531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7. </w:t>
      </w:r>
      <w:r>
        <w:rPr>
          <w:rFonts w:hint="eastAsia" w:ascii="宋体" w:hAnsi="宋体" w:eastAsia="宋体"/>
          <w:color w:val="auto"/>
          <w:sz w:val="21"/>
          <w:szCs w:val="21"/>
        </w:rPr>
        <w:t>关于分支机构投标</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_Toc16531 \h </w:instrText>
      </w:r>
      <w:r>
        <w:rPr>
          <w:rFonts w:ascii="宋体" w:hAnsi="宋体" w:eastAsia="宋体"/>
          <w:color w:val="auto"/>
          <w:sz w:val="21"/>
          <w:szCs w:val="21"/>
        </w:rPr>
        <w:fldChar w:fldCharType="separate"/>
      </w:r>
      <w:r>
        <w:rPr>
          <w:rFonts w:ascii="宋体" w:hAnsi="宋体" w:eastAsia="宋体"/>
          <w:color w:val="auto"/>
          <w:sz w:val="21"/>
          <w:szCs w:val="21"/>
        </w:rPr>
        <w:t>32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21B20C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_Toc14466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8. </w:t>
      </w:r>
      <w:r>
        <w:rPr>
          <w:rFonts w:hint="eastAsia" w:ascii="宋体" w:hAnsi="宋体" w:eastAsia="宋体"/>
          <w:color w:val="auto"/>
          <w:sz w:val="21"/>
          <w:szCs w:val="21"/>
        </w:rPr>
        <w:t>踏勘现场</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_Toc14466 \h </w:instrText>
      </w:r>
      <w:r>
        <w:rPr>
          <w:rFonts w:ascii="宋体" w:hAnsi="宋体" w:eastAsia="宋体"/>
          <w:color w:val="auto"/>
          <w:sz w:val="21"/>
          <w:szCs w:val="21"/>
        </w:rPr>
        <w:fldChar w:fldCharType="separate"/>
      </w:r>
      <w:r>
        <w:rPr>
          <w:rFonts w:ascii="宋体" w:hAnsi="宋体" w:eastAsia="宋体"/>
          <w:color w:val="auto"/>
          <w:sz w:val="21"/>
          <w:szCs w:val="21"/>
        </w:rPr>
        <w:t>32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A877F8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_Toc9555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二、 </w:t>
      </w:r>
      <w:r>
        <w:rPr>
          <w:rFonts w:hint="eastAsia" w:ascii="宋体" w:hAnsi="宋体" w:eastAsia="宋体"/>
          <w:color w:val="auto"/>
          <w:sz w:val="21"/>
          <w:szCs w:val="21"/>
        </w:rPr>
        <w:t>采购文件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_Toc9555 \h </w:instrText>
      </w:r>
      <w:r>
        <w:rPr>
          <w:rFonts w:ascii="宋体" w:hAnsi="宋体" w:eastAsia="宋体"/>
          <w:color w:val="auto"/>
          <w:sz w:val="21"/>
          <w:szCs w:val="21"/>
        </w:rPr>
        <w:fldChar w:fldCharType="separate"/>
      </w:r>
      <w:r>
        <w:rPr>
          <w:rFonts w:ascii="宋体" w:hAnsi="宋体" w:eastAsia="宋体"/>
          <w:color w:val="auto"/>
          <w:sz w:val="21"/>
          <w:szCs w:val="21"/>
        </w:rPr>
        <w:t>32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7BEF668">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_Toc20789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9. </w:t>
      </w:r>
      <w:r>
        <w:rPr>
          <w:rFonts w:hint="eastAsia" w:ascii="宋体" w:hAnsi="宋体" w:eastAsia="宋体"/>
          <w:color w:val="auto"/>
          <w:sz w:val="21"/>
          <w:szCs w:val="21"/>
        </w:rPr>
        <w:t>采购文件的组成</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_Toc20789 \h </w:instrText>
      </w:r>
      <w:r>
        <w:rPr>
          <w:rFonts w:ascii="宋体" w:hAnsi="宋体" w:eastAsia="宋体"/>
          <w:color w:val="auto"/>
          <w:sz w:val="21"/>
          <w:szCs w:val="21"/>
        </w:rPr>
        <w:fldChar w:fldCharType="separate"/>
      </w:r>
      <w:r>
        <w:rPr>
          <w:rFonts w:ascii="宋体" w:hAnsi="宋体" w:eastAsia="宋体"/>
          <w:color w:val="auto"/>
          <w:sz w:val="21"/>
          <w:szCs w:val="21"/>
        </w:rPr>
        <w:t>32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9C0A48C">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_Toc26111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10. </w:t>
      </w:r>
      <w:r>
        <w:rPr>
          <w:rFonts w:hint="eastAsia" w:ascii="宋体" w:hAnsi="宋体" w:eastAsia="宋体"/>
          <w:color w:val="auto"/>
          <w:sz w:val="21"/>
          <w:szCs w:val="21"/>
        </w:rPr>
        <w:t>采购文件的澄清或修改</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_Toc26111 \h </w:instrText>
      </w:r>
      <w:r>
        <w:rPr>
          <w:rFonts w:ascii="宋体" w:hAnsi="宋体" w:eastAsia="宋体"/>
          <w:color w:val="auto"/>
          <w:sz w:val="21"/>
          <w:szCs w:val="21"/>
        </w:rPr>
        <w:fldChar w:fldCharType="separate"/>
      </w:r>
      <w:r>
        <w:rPr>
          <w:rFonts w:ascii="宋体" w:hAnsi="宋体" w:eastAsia="宋体"/>
          <w:color w:val="auto"/>
          <w:sz w:val="21"/>
          <w:szCs w:val="21"/>
        </w:rPr>
        <w:t>32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FB6B49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_Toc20479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三、 </w:t>
      </w:r>
      <w:r>
        <w:rPr>
          <w:rFonts w:hint="eastAsia" w:ascii="宋体" w:hAnsi="宋体" w:eastAsia="宋体"/>
          <w:color w:val="auto"/>
          <w:sz w:val="21"/>
          <w:szCs w:val="21"/>
        </w:rPr>
        <w:t>投标文件的编制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_Toc20479 \h </w:instrText>
      </w:r>
      <w:r>
        <w:rPr>
          <w:rFonts w:ascii="宋体" w:hAnsi="宋体" w:eastAsia="宋体"/>
          <w:color w:val="auto"/>
          <w:sz w:val="21"/>
          <w:szCs w:val="21"/>
        </w:rPr>
        <w:fldChar w:fldCharType="separate"/>
      </w:r>
      <w:r>
        <w:rPr>
          <w:rFonts w:ascii="宋体" w:hAnsi="宋体" w:eastAsia="宋体"/>
          <w:color w:val="auto"/>
          <w:sz w:val="21"/>
          <w:szCs w:val="21"/>
        </w:rPr>
        <w:t>33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258C564">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_Toc982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11. </w:t>
      </w:r>
      <w:r>
        <w:rPr>
          <w:rFonts w:hint="eastAsia" w:ascii="宋体" w:hAnsi="宋体" w:eastAsia="宋体"/>
          <w:color w:val="auto"/>
          <w:sz w:val="21"/>
          <w:szCs w:val="21"/>
        </w:rPr>
        <w:t>投标文件的语言及度量衡单位</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_Toc982 \h </w:instrText>
      </w:r>
      <w:r>
        <w:rPr>
          <w:rFonts w:ascii="宋体" w:hAnsi="宋体" w:eastAsia="宋体"/>
          <w:color w:val="auto"/>
          <w:sz w:val="21"/>
          <w:szCs w:val="21"/>
        </w:rPr>
        <w:fldChar w:fldCharType="separate"/>
      </w:r>
      <w:r>
        <w:rPr>
          <w:rFonts w:ascii="宋体" w:hAnsi="宋体" w:eastAsia="宋体"/>
          <w:color w:val="auto"/>
          <w:sz w:val="21"/>
          <w:szCs w:val="21"/>
        </w:rPr>
        <w:t>33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2B9F882">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_Toc4606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12. </w:t>
      </w:r>
      <w:r>
        <w:rPr>
          <w:rFonts w:hint="eastAsia" w:ascii="宋体" w:hAnsi="宋体" w:eastAsia="宋体"/>
          <w:color w:val="auto"/>
          <w:sz w:val="21"/>
          <w:szCs w:val="21"/>
        </w:rPr>
        <w:t>投标文件的组成</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_Toc4606 \h </w:instrText>
      </w:r>
      <w:r>
        <w:rPr>
          <w:rFonts w:ascii="宋体" w:hAnsi="宋体" w:eastAsia="宋体"/>
          <w:color w:val="auto"/>
          <w:sz w:val="21"/>
          <w:szCs w:val="21"/>
        </w:rPr>
        <w:fldChar w:fldCharType="separate"/>
      </w:r>
      <w:r>
        <w:rPr>
          <w:rFonts w:ascii="宋体" w:hAnsi="宋体" w:eastAsia="宋体"/>
          <w:color w:val="auto"/>
          <w:sz w:val="21"/>
          <w:szCs w:val="21"/>
        </w:rPr>
        <w:t>33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F4183BB">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_Toc11502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13. </w:t>
      </w:r>
      <w:r>
        <w:rPr>
          <w:rFonts w:hint="eastAsia" w:ascii="宋体" w:hAnsi="宋体" w:eastAsia="宋体"/>
          <w:color w:val="auto"/>
          <w:sz w:val="21"/>
          <w:szCs w:val="21"/>
        </w:rPr>
        <w:t>投标文件编制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_Toc11502 \h </w:instrText>
      </w:r>
      <w:r>
        <w:rPr>
          <w:rFonts w:ascii="宋体" w:hAnsi="宋体" w:eastAsia="宋体"/>
          <w:color w:val="auto"/>
          <w:sz w:val="21"/>
          <w:szCs w:val="21"/>
        </w:rPr>
        <w:fldChar w:fldCharType="separate"/>
      </w:r>
      <w:r>
        <w:rPr>
          <w:rFonts w:ascii="宋体" w:hAnsi="宋体" w:eastAsia="宋体"/>
          <w:color w:val="auto"/>
          <w:sz w:val="21"/>
          <w:szCs w:val="21"/>
        </w:rPr>
        <w:t>33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74F10B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_Toc1178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14. </w:t>
      </w:r>
      <w:r>
        <w:rPr>
          <w:rFonts w:hint="eastAsia" w:ascii="宋体" w:hAnsi="宋体" w:eastAsia="宋体"/>
          <w:color w:val="auto"/>
          <w:sz w:val="21"/>
          <w:szCs w:val="21"/>
        </w:rPr>
        <w:t>投标报价说明</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_Toc1178 \h </w:instrText>
      </w:r>
      <w:r>
        <w:rPr>
          <w:rFonts w:ascii="宋体" w:hAnsi="宋体" w:eastAsia="宋体"/>
          <w:color w:val="auto"/>
          <w:sz w:val="21"/>
          <w:szCs w:val="21"/>
        </w:rPr>
        <w:fldChar w:fldCharType="separate"/>
      </w:r>
      <w:r>
        <w:rPr>
          <w:rFonts w:ascii="宋体" w:hAnsi="宋体" w:eastAsia="宋体"/>
          <w:color w:val="auto"/>
          <w:sz w:val="21"/>
          <w:szCs w:val="21"/>
        </w:rPr>
        <w:t>34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6BCF787">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_Toc23055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15. </w:t>
      </w:r>
      <w:r>
        <w:rPr>
          <w:rFonts w:hint="eastAsia" w:ascii="宋体" w:hAnsi="宋体" w:eastAsia="宋体"/>
          <w:color w:val="auto"/>
          <w:sz w:val="21"/>
          <w:szCs w:val="21"/>
        </w:rPr>
        <w:t>投标人所提供的服务或货物的证明文件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_Toc23055 \h </w:instrText>
      </w:r>
      <w:r>
        <w:rPr>
          <w:rFonts w:ascii="宋体" w:hAnsi="宋体" w:eastAsia="宋体"/>
          <w:color w:val="auto"/>
          <w:sz w:val="21"/>
          <w:szCs w:val="21"/>
        </w:rPr>
        <w:fldChar w:fldCharType="separate"/>
      </w:r>
      <w:r>
        <w:rPr>
          <w:rFonts w:ascii="宋体" w:hAnsi="宋体" w:eastAsia="宋体"/>
          <w:color w:val="auto"/>
          <w:sz w:val="21"/>
          <w:szCs w:val="21"/>
        </w:rPr>
        <w:t>34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0C7421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_Toc627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16. </w:t>
      </w:r>
      <w:r>
        <w:rPr>
          <w:rFonts w:hint="eastAsia" w:ascii="宋体" w:hAnsi="宋体" w:eastAsia="宋体"/>
          <w:color w:val="auto"/>
          <w:sz w:val="21"/>
          <w:szCs w:val="21"/>
        </w:rPr>
        <w:t>投标有效期</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_Toc627 \h </w:instrText>
      </w:r>
      <w:r>
        <w:rPr>
          <w:rFonts w:ascii="宋体" w:hAnsi="宋体" w:eastAsia="宋体"/>
          <w:color w:val="auto"/>
          <w:sz w:val="21"/>
          <w:szCs w:val="21"/>
        </w:rPr>
        <w:fldChar w:fldCharType="separate"/>
      </w:r>
      <w:r>
        <w:rPr>
          <w:rFonts w:ascii="宋体" w:hAnsi="宋体" w:eastAsia="宋体"/>
          <w:color w:val="auto"/>
          <w:sz w:val="21"/>
          <w:szCs w:val="21"/>
        </w:rPr>
        <w:t>34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D8EB007">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_Toc5230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17. </w:t>
      </w:r>
      <w:r>
        <w:rPr>
          <w:rFonts w:hint="eastAsia" w:ascii="宋体" w:hAnsi="宋体" w:eastAsia="宋体"/>
          <w:color w:val="auto"/>
          <w:sz w:val="21"/>
          <w:szCs w:val="21"/>
        </w:rPr>
        <w:t>投标保证金</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_Toc5230 \h </w:instrText>
      </w:r>
      <w:r>
        <w:rPr>
          <w:rFonts w:ascii="宋体" w:hAnsi="宋体" w:eastAsia="宋体"/>
          <w:color w:val="auto"/>
          <w:sz w:val="21"/>
          <w:szCs w:val="21"/>
        </w:rPr>
        <w:fldChar w:fldCharType="separate"/>
      </w:r>
      <w:r>
        <w:rPr>
          <w:rFonts w:ascii="宋体" w:hAnsi="宋体" w:eastAsia="宋体"/>
          <w:color w:val="auto"/>
          <w:sz w:val="21"/>
          <w:szCs w:val="21"/>
        </w:rPr>
        <w:t>34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3784E1B6">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_Toc27829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四、 </w:t>
      </w:r>
      <w:r>
        <w:rPr>
          <w:rFonts w:hint="eastAsia" w:ascii="宋体" w:hAnsi="宋体" w:eastAsia="宋体"/>
          <w:color w:val="auto"/>
          <w:sz w:val="21"/>
          <w:szCs w:val="21"/>
        </w:rPr>
        <w:t>投标文件的递交</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_Toc27829 \h </w:instrText>
      </w:r>
      <w:r>
        <w:rPr>
          <w:rFonts w:ascii="宋体" w:hAnsi="宋体" w:eastAsia="宋体"/>
          <w:color w:val="auto"/>
          <w:sz w:val="21"/>
          <w:szCs w:val="21"/>
        </w:rPr>
        <w:fldChar w:fldCharType="separate"/>
      </w:r>
      <w:r>
        <w:rPr>
          <w:rFonts w:ascii="宋体" w:hAnsi="宋体" w:eastAsia="宋体"/>
          <w:color w:val="auto"/>
          <w:sz w:val="21"/>
          <w:szCs w:val="21"/>
        </w:rPr>
        <w:t>35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E4C3CF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_Toc27178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18. </w:t>
      </w:r>
      <w:r>
        <w:rPr>
          <w:rFonts w:hint="eastAsia" w:ascii="宋体" w:hAnsi="宋体" w:eastAsia="宋体"/>
          <w:color w:val="auto"/>
          <w:sz w:val="21"/>
          <w:szCs w:val="21"/>
        </w:rPr>
        <w:t>投标文件的装订，签署，密封和标记</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_Toc27178 \h </w:instrText>
      </w:r>
      <w:r>
        <w:rPr>
          <w:rFonts w:ascii="宋体" w:hAnsi="宋体" w:eastAsia="宋体"/>
          <w:color w:val="auto"/>
          <w:sz w:val="21"/>
          <w:szCs w:val="21"/>
        </w:rPr>
        <w:fldChar w:fldCharType="separate"/>
      </w:r>
      <w:r>
        <w:rPr>
          <w:rFonts w:ascii="宋体" w:hAnsi="宋体" w:eastAsia="宋体"/>
          <w:color w:val="auto"/>
          <w:sz w:val="21"/>
          <w:szCs w:val="21"/>
        </w:rPr>
        <w:t>35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455202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_Toc3104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19. </w:t>
      </w:r>
      <w:r>
        <w:rPr>
          <w:rFonts w:hint="eastAsia" w:ascii="宋体" w:hAnsi="宋体" w:eastAsia="宋体"/>
          <w:color w:val="auto"/>
          <w:sz w:val="21"/>
          <w:szCs w:val="21"/>
        </w:rPr>
        <w:t>迟交的投标文件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_Toc3104 \h </w:instrText>
      </w:r>
      <w:r>
        <w:rPr>
          <w:rFonts w:ascii="宋体" w:hAnsi="宋体" w:eastAsia="宋体"/>
          <w:color w:val="auto"/>
          <w:sz w:val="21"/>
          <w:szCs w:val="21"/>
        </w:rPr>
        <w:fldChar w:fldCharType="separate"/>
      </w:r>
      <w:r>
        <w:rPr>
          <w:rFonts w:ascii="宋体" w:hAnsi="宋体" w:eastAsia="宋体"/>
          <w:color w:val="auto"/>
          <w:sz w:val="21"/>
          <w:szCs w:val="21"/>
        </w:rPr>
        <w:t>37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944342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_Toc4019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20. </w:t>
      </w:r>
      <w:r>
        <w:rPr>
          <w:rFonts w:hint="eastAsia" w:ascii="宋体" w:hAnsi="宋体" w:eastAsia="宋体"/>
          <w:color w:val="auto"/>
          <w:sz w:val="21"/>
          <w:szCs w:val="21"/>
        </w:rPr>
        <w:t>投标样品（如需提交）</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_Toc4019 \h </w:instrText>
      </w:r>
      <w:r>
        <w:rPr>
          <w:rFonts w:ascii="宋体" w:hAnsi="宋体" w:eastAsia="宋体"/>
          <w:color w:val="auto"/>
          <w:sz w:val="21"/>
          <w:szCs w:val="21"/>
        </w:rPr>
        <w:fldChar w:fldCharType="separate"/>
      </w:r>
      <w:r>
        <w:rPr>
          <w:rFonts w:ascii="宋体" w:hAnsi="宋体" w:eastAsia="宋体"/>
          <w:color w:val="auto"/>
          <w:sz w:val="21"/>
          <w:szCs w:val="21"/>
        </w:rPr>
        <w:t>37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02BB970">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_Toc24391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21. </w:t>
      </w:r>
      <w:r>
        <w:rPr>
          <w:rFonts w:hint="eastAsia" w:ascii="宋体" w:hAnsi="宋体" w:eastAsia="宋体"/>
          <w:color w:val="auto"/>
          <w:sz w:val="21"/>
          <w:szCs w:val="21"/>
        </w:rPr>
        <w:t>投标截止期</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_Toc24391 \h </w:instrText>
      </w:r>
      <w:r>
        <w:rPr>
          <w:rFonts w:ascii="宋体" w:hAnsi="宋体" w:eastAsia="宋体"/>
          <w:color w:val="auto"/>
          <w:sz w:val="21"/>
          <w:szCs w:val="21"/>
        </w:rPr>
        <w:fldChar w:fldCharType="separate"/>
      </w:r>
      <w:r>
        <w:rPr>
          <w:rFonts w:ascii="宋体" w:hAnsi="宋体" w:eastAsia="宋体"/>
          <w:color w:val="auto"/>
          <w:sz w:val="21"/>
          <w:szCs w:val="21"/>
        </w:rPr>
        <w:t>37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5EC1D1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_Toc23952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22. </w:t>
      </w:r>
      <w:r>
        <w:rPr>
          <w:rFonts w:hint="eastAsia" w:ascii="宋体" w:hAnsi="宋体" w:eastAsia="宋体"/>
          <w:color w:val="auto"/>
          <w:sz w:val="21"/>
          <w:szCs w:val="21"/>
        </w:rPr>
        <w:t>投标文件的补充、修改与撤回</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_Toc23952 \h </w:instrText>
      </w:r>
      <w:r>
        <w:rPr>
          <w:rFonts w:ascii="宋体" w:hAnsi="宋体" w:eastAsia="宋体"/>
          <w:color w:val="auto"/>
          <w:sz w:val="21"/>
          <w:szCs w:val="21"/>
        </w:rPr>
        <w:fldChar w:fldCharType="separate"/>
      </w:r>
      <w:r>
        <w:rPr>
          <w:rFonts w:ascii="宋体" w:hAnsi="宋体" w:eastAsia="宋体"/>
          <w:color w:val="auto"/>
          <w:sz w:val="21"/>
          <w:szCs w:val="21"/>
        </w:rPr>
        <w:t>37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3F7230C">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_Toc26581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五、 </w:t>
      </w:r>
      <w:r>
        <w:rPr>
          <w:rFonts w:hint="eastAsia" w:ascii="宋体" w:hAnsi="宋体" w:eastAsia="宋体"/>
          <w:color w:val="auto"/>
          <w:sz w:val="21"/>
          <w:szCs w:val="21"/>
        </w:rPr>
        <w:t>开标与评标</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_Toc26581 \h </w:instrText>
      </w:r>
      <w:r>
        <w:rPr>
          <w:rFonts w:ascii="宋体" w:hAnsi="宋体" w:eastAsia="宋体"/>
          <w:color w:val="auto"/>
          <w:sz w:val="21"/>
          <w:szCs w:val="21"/>
        </w:rPr>
        <w:fldChar w:fldCharType="separate"/>
      </w:r>
      <w:r>
        <w:rPr>
          <w:rFonts w:ascii="宋体" w:hAnsi="宋体" w:eastAsia="宋体"/>
          <w:color w:val="auto"/>
          <w:sz w:val="21"/>
          <w:szCs w:val="21"/>
        </w:rPr>
        <w:t>38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627B81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_Toc5399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23. </w:t>
      </w:r>
      <w:r>
        <w:rPr>
          <w:rFonts w:hint="eastAsia" w:ascii="宋体" w:hAnsi="宋体" w:eastAsia="宋体"/>
          <w:color w:val="auto"/>
          <w:sz w:val="21"/>
          <w:szCs w:val="21"/>
        </w:rPr>
        <w:t>开标</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_Toc5399 \h </w:instrText>
      </w:r>
      <w:r>
        <w:rPr>
          <w:rFonts w:ascii="宋体" w:hAnsi="宋体" w:eastAsia="宋体"/>
          <w:color w:val="auto"/>
          <w:sz w:val="21"/>
          <w:szCs w:val="21"/>
        </w:rPr>
        <w:fldChar w:fldCharType="separate"/>
      </w:r>
      <w:r>
        <w:rPr>
          <w:rFonts w:ascii="宋体" w:hAnsi="宋体" w:eastAsia="宋体"/>
          <w:color w:val="auto"/>
          <w:sz w:val="21"/>
          <w:szCs w:val="21"/>
        </w:rPr>
        <w:t>38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C3F2F1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_Toc22226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24. </w:t>
      </w:r>
      <w:r>
        <w:rPr>
          <w:rFonts w:hint="eastAsia" w:ascii="宋体" w:hAnsi="宋体" w:eastAsia="宋体"/>
          <w:color w:val="auto"/>
          <w:sz w:val="21"/>
          <w:szCs w:val="21"/>
        </w:rPr>
        <w:t>评标委员会及评标方法</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_Toc22226 \h </w:instrText>
      </w:r>
      <w:r>
        <w:rPr>
          <w:rFonts w:ascii="宋体" w:hAnsi="宋体" w:eastAsia="宋体"/>
          <w:color w:val="auto"/>
          <w:sz w:val="21"/>
          <w:szCs w:val="21"/>
        </w:rPr>
        <w:fldChar w:fldCharType="separate"/>
      </w:r>
      <w:r>
        <w:rPr>
          <w:rFonts w:ascii="宋体" w:hAnsi="宋体" w:eastAsia="宋体"/>
          <w:color w:val="auto"/>
          <w:sz w:val="21"/>
          <w:szCs w:val="21"/>
        </w:rPr>
        <w:t>38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C7C5EB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_Toc27663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25. </w:t>
      </w:r>
      <w:r>
        <w:rPr>
          <w:rFonts w:hint="eastAsia" w:ascii="宋体" w:hAnsi="宋体" w:eastAsia="宋体"/>
          <w:color w:val="auto"/>
          <w:sz w:val="21"/>
          <w:szCs w:val="21"/>
        </w:rPr>
        <w:t>评审原则及评标过程的保密</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_Toc27663 \h </w:instrText>
      </w:r>
      <w:r>
        <w:rPr>
          <w:rFonts w:ascii="宋体" w:hAnsi="宋体" w:eastAsia="宋体"/>
          <w:color w:val="auto"/>
          <w:sz w:val="21"/>
          <w:szCs w:val="21"/>
        </w:rPr>
        <w:fldChar w:fldCharType="separate"/>
      </w:r>
      <w:r>
        <w:rPr>
          <w:rFonts w:ascii="宋体" w:hAnsi="宋体" w:eastAsia="宋体"/>
          <w:color w:val="auto"/>
          <w:sz w:val="21"/>
          <w:szCs w:val="21"/>
        </w:rPr>
        <w:t>39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49CB0B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_Toc14401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26. </w:t>
      </w:r>
      <w:r>
        <w:rPr>
          <w:rFonts w:hint="eastAsia" w:ascii="宋体" w:hAnsi="宋体" w:eastAsia="宋体"/>
          <w:color w:val="auto"/>
          <w:sz w:val="21"/>
          <w:szCs w:val="21"/>
        </w:rPr>
        <w:t>评标程序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_Toc14401 \h </w:instrText>
      </w:r>
      <w:r>
        <w:rPr>
          <w:rFonts w:ascii="宋体" w:hAnsi="宋体" w:eastAsia="宋体"/>
          <w:color w:val="auto"/>
          <w:sz w:val="21"/>
          <w:szCs w:val="21"/>
        </w:rPr>
        <w:fldChar w:fldCharType="separate"/>
      </w:r>
      <w:r>
        <w:rPr>
          <w:rFonts w:ascii="宋体" w:hAnsi="宋体" w:eastAsia="宋体"/>
          <w:color w:val="auto"/>
          <w:sz w:val="21"/>
          <w:szCs w:val="21"/>
        </w:rPr>
        <w:t>39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F41550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_Toc7775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27. </w:t>
      </w:r>
      <w:r>
        <w:rPr>
          <w:rFonts w:hint="eastAsia" w:ascii="宋体" w:hAnsi="宋体" w:eastAsia="宋体"/>
          <w:color w:val="auto"/>
          <w:sz w:val="21"/>
          <w:szCs w:val="21"/>
        </w:rPr>
        <w:t>商务、技术、价格评审（具体评审项目详见投标资料表）</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_Toc7775 \h </w:instrText>
      </w:r>
      <w:r>
        <w:rPr>
          <w:rFonts w:ascii="宋体" w:hAnsi="宋体" w:eastAsia="宋体"/>
          <w:color w:val="auto"/>
          <w:sz w:val="21"/>
          <w:szCs w:val="21"/>
        </w:rPr>
        <w:fldChar w:fldCharType="separate"/>
      </w:r>
      <w:r>
        <w:rPr>
          <w:rFonts w:ascii="宋体" w:hAnsi="宋体" w:eastAsia="宋体"/>
          <w:color w:val="auto"/>
          <w:sz w:val="21"/>
          <w:szCs w:val="21"/>
        </w:rPr>
        <w:t>40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7CBDAC8">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_Toc149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28. </w:t>
      </w:r>
      <w:r>
        <w:rPr>
          <w:rFonts w:hint="eastAsia" w:ascii="宋体" w:hAnsi="宋体" w:eastAsia="宋体"/>
          <w:color w:val="auto"/>
          <w:sz w:val="21"/>
          <w:szCs w:val="21"/>
        </w:rPr>
        <w:t>纪律和保密事项</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_Toc149 \h </w:instrText>
      </w:r>
      <w:r>
        <w:rPr>
          <w:rFonts w:ascii="宋体" w:hAnsi="宋体" w:eastAsia="宋体"/>
          <w:color w:val="auto"/>
          <w:sz w:val="21"/>
          <w:szCs w:val="21"/>
        </w:rPr>
        <w:fldChar w:fldCharType="separate"/>
      </w:r>
      <w:r>
        <w:rPr>
          <w:rFonts w:ascii="宋体" w:hAnsi="宋体" w:eastAsia="宋体"/>
          <w:color w:val="auto"/>
          <w:sz w:val="21"/>
          <w:szCs w:val="21"/>
        </w:rPr>
        <w:t>41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3FE946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_Toc32309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六、 </w:t>
      </w:r>
      <w:r>
        <w:rPr>
          <w:rFonts w:hint="eastAsia" w:ascii="宋体" w:hAnsi="宋体" w:eastAsia="宋体"/>
          <w:color w:val="auto"/>
          <w:sz w:val="21"/>
          <w:szCs w:val="21"/>
        </w:rPr>
        <w:t>授予合同</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_Toc32309 \h </w:instrText>
      </w:r>
      <w:r>
        <w:rPr>
          <w:rFonts w:ascii="宋体" w:hAnsi="宋体" w:eastAsia="宋体"/>
          <w:color w:val="auto"/>
          <w:sz w:val="21"/>
          <w:szCs w:val="21"/>
        </w:rPr>
        <w:fldChar w:fldCharType="separate"/>
      </w:r>
      <w:r>
        <w:rPr>
          <w:rFonts w:ascii="宋体" w:hAnsi="宋体" w:eastAsia="宋体"/>
          <w:color w:val="auto"/>
          <w:sz w:val="21"/>
          <w:szCs w:val="21"/>
        </w:rPr>
        <w:t>41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3DA2D8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_Toc32320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29. </w:t>
      </w:r>
      <w:r>
        <w:rPr>
          <w:rFonts w:hint="eastAsia" w:ascii="宋体" w:hAnsi="宋体" w:eastAsia="宋体"/>
          <w:color w:val="auto"/>
          <w:sz w:val="21"/>
          <w:szCs w:val="21"/>
        </w:rPr>
        <w:t>合同授予标准</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_Toc32320 \h </w:instrText>
      </w:r>
      <w:r>
        <w:rPr>
          <w:rFonts w:ascii="宋体" w:hAnsi="宋体" w:eastAsia="宋体"/>
          <w:color w:val="auto"/>
          <w:sz w:val="21"/>
          <w:szCs w:val="21"/>
        </w:rPr>
        <w:fldChar w:fldCharType="separate"/>
      </w:r>
      <w:r>
        <w:rPr>
          <w:rFonts w:ascii="宋体" w:hAnsi="宋体" w:eastAsia="宋体"/>
          <w:color w:val="auto"/>
          <w:sz w:val="21"/>
          <w:szCs w:val="21"/>
        </w:rPr>
        <w:t>41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E99165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_Toc19458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30. </w:t>
      </w:r>
      <w:r>
        <w:rPr>
          <w:rFonts w:hint="eastAsia" w:ascii="宋体" w:hAnsi="宋体" w:eastAsia="宋体"/>
          <w:color w:val="auto"/>
          <w:sz w:val="21"/>
          <w:szCs w:val="21"/>
        </w:rPr>
        <w:t>发布中标结果</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_Toc19458 \h </w:instrText>
      </w:r>
      <w:r>
        <w:rPr>
          <w:rFonts w:ascii="宋体" w:hAnsi="宋体" w:eastAsia="宋体"/>
          <w:color w:val="auto"/>
          <w:sz w:val="21"/>
          <w:szCs w:val="21"/>
        </w:rPr>
        <w:fldChar w:fldCharType="separate"/>
      </w:r>
      <w:r>
        <w:rPr>
          <w:rFonts w:ascii="宋体" w:hAnsi="宋体" w:eastAsia="宋体"/>
          <w:color w:val="auto"/>
          <w:sz w:val="21"/>
          <w:szCs w:val="21"/>
        </w:rPr>
        <w:t>41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AF619E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_Toc20220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31. </w:t>
      </w:r>
      <w:r>
        <w:rPr>
          <w:rFonts w:hint="eastAsia" w:ascii="宋体" w:hAnsi="宋体" w:eastAsia="宋体"/>
          <w:color w:val="auto"/>
          <w:sz w:val="21"/>
          <w:szCs w:val="21"/>
        </w:rPr>
        <w:t>资格后审</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_Toc20220 \h </w:instrText>
      </w:r>
      <w:r>
        <w:rPr>
          <w:rFonts w:ascii="宋体" w:hAnsi="宋体" w:eastAsia="宋体"/>
          <w:color w:val="auto"/>
          <w:sz w:val="21"/>
          <w:szCs w:val="21"/>
        </w:rPr>
        <w:fldChar w:fldCharType="separate"/>
      </w:r>
      <w:r>
        <w:rPr>
          <w:rFonts w:ascii="宋体" w:hAnsi="宋体" w:eastAsia="宋体"/>
          <w:color w:val="auto"/>
          <w:sz w:val="21"/>
          <w:szCs w:val="21"/>
        </w:rPr>
        <w:t>41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CC85D9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_Toc19068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32. </w:t>
      </w:r>
      <w:r>
        <w:rPr>
          <w:rFonts w:hint="eastAsia" w:ascii="宋体" w:hAnsi="宋体" w:eastAsia="宋体"/>
          <w:color w:val="auto"/>
          <w:sz w:val="21"/>
          <w:szCs w:val="21"/>
        </w:rPr>
        <w:t>合同的签订与履行</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_Toc19068 \h </w:instrText>
      </w:r>
      <w:r>
        <w:rPr>
          <w:rFonts w:ascii="宋体" w:hAnsi="宋体" w:eastAsia="宋体"/>
          <w:color w:val="auto"/>
          <w:sz w:val="21"/>
          <w:szCs w:val="21"/>
        </w:rPr>
        <w:fldChar w:fldCharType="separate"/>
      </w:r>
      <w:r>
        <w:rPr>
          <w:rFonts w:ascii="宋体" w:hAnsi="宋体" w:eastAsia="宋体"/>
          <w:color w:val="auto"/>
          <w:sz w:val="21"/>
          <w:szCs w:val="21"/>
        </w:rPr>
        <w:t>42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310D56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_Toc12066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33. </w:t>
      </w:r>
      <w:r>
        <w:rPr>
          <w:rFonts w:hint="eastAsia" w:ascii="宋体" w:hAnsi="宋体" w:eastAsia="宋体"/>
          <w:color w:val="auto"/>
          <w:sz w:val="21"/>
          <w:szCs w:val="21"/>
        </w:rPr>
        <w:t>履约担保</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_Toc12066 \h </w:instrText>
      </w:r>
      <w:r>
        <w:rPr>
          <w:rFonts w:ascii="宋体" w:hAnsi="宋体" w:eastAsia="宋体"/>
          <w:color w:val="auto"/>
          <w:sz w:val="21"/>
          <w:szCs w:val="21"/>
        </w:rPr>
        <w:fldChar w:fldCharType="separate"/>
      </w:r>
      <w:r>
        <w:rPr>
          <w:rFonts w:ascii="宋体" w:hAnsi="宋体" w:eastAsia="宋体"/>
          <w:color w:val="auto"/>
          <w:sz w:val="21"/>
          <w:szCs w:val="21"/>
        </w:rPr>
        <w:t>42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EAF6EF7">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_Toc3698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34. </w:t>
      </w:r>
      <w:r>
        <w:rPr>
          <w:rFonts w:hint="eastAsia" w:ascii="宋体" w:hAnsi="宋体" w:eastAsia="宋体"/>
          <w:color w:val="auto"/>
          <w:sz w:val="21"/>
          <w:szCs w:val="21"/>
        </w:rPr>
        <w:t>预付款保函（适用于预付款支付）</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_Toc3698 \h </w:instrText>
      </w:r>
      <w:r>
        <w:rPr>
          <w:rFonts w:ascii="宋体" w:hAnsi="宋体" w:eastAsia="宋体"/>
          <w:color w:val="auto"/>
          <w:sz w:val="21"/>
          <w:szCs w:val="21"/>
        </w:rPr>
        <w:fldChar w:fldCharType="separate"/>
      </w:r>
      <w:r>
        <w:rPr>
          <w:rFonts w:ascii="宋体" w:hAnsi="宋体" w:eastAsia="宋体"/>
          <w:color w:val="auto"/>
          <w:sz w:val="21"/>
          <w:szCs w:val="21"/>
        </w:rPr>
        <w:t>43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FF3426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_Toc20653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七、 </w:t>
      </w:r>
      <w:r>
        <w:rPr>
          <w:rFonts w:hint="eastAsia" w:ascii="宋体" w:hAnsi="宋体" w:eastAsia="宋体"/>
          <w:color w:val="auto"/>
          <w:sz w:val="21"/>
          <w:szCs w:val="21"/>
        </w:rPr>
        <w:t>异议</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_Toc20653 \h </w:instrText>
      </w:r>
      <w:r>
        <w:rPr>
          <w:rFonts w:ascii="宋体" w:hAnsi="宋体" w:eastAsia="宋体"/>
          <w:color w:val="auto"/>
          <w:sz w:val="21"/>
          <w:szCs w:val="21"/>
        </w:rPr>
        <w:fldChar w:fldCharType="separate"/>
      </w:r>
      <w:r>
        <w:rPr>
          <w:rFonts w:ascii="宋体" w:hAnsi="宋体" w:eastAsia="宋体"/>
          <w:color w:val="auto"/>
          <w:sz w:val="21"/>
          <w:szCs w:val="21"/>
        </w:rPr>
        <w:t>44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4C98417">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_Toc4521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35. </w:t>
      </w:r>
      <w:r>
        <w:rPr>
          <w:rFonts w:hint="eastAsia" w:ascii="宋体" w:hAnsi="宋体" w:eastAsia="宋体"/>
          <w:color w:val="auto"/>
          <w:sz w:val="21"/>
          <w:szCs w:val="21"/>
        </w:rPr>
        <w:t>异议</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_Toc4521 \h </w:instrText>
      </w:r>
      <w:r>
        <w:rPr>
          <w:rFonts w:ascii="宋体" w:hAnsi="宋体" w:eastAsia="宋体"/>
          <w:color w:val="auto"/>
          <w:sz w:val="21"/>
          <w:szCs w:val="21"/>
        </w:rPr>
        <w:fldChar w:fldCharType="separate"/>
      </w:r>
      <w:r>
        <w:rPr>
          <w:rFonts w:ascii="宋体" w:hAnsi="宋体" w:eastAsia="宋体"/>
          <w:color w:val="auto"/>
          <w:sz w:val="21"/>
          <w:szCs w:val="21"/>
        </w:rPr>
        <w:t>44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6F465B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_Toc32547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八、 </w:t>
      </w:r>
      <w:r>
        <w:rPr>
          <w:rFonts w:hint="eastAsia" w:ascii="宋体" w:hAnsi="宋体" w:eastAsia="宋体"/>
          <w:color w:val="auto"/>
          <w:sz w:val="21"/>
          <w:szCs w:val="21"/>
        </w:rPr>
        <w:t>其他</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_Toc32547 \h </w:instrText>
      </w:r>
      <w:r>
        <w:rPr>
          <w:rFonts w:ascii="宋体" w:hAnsi="宋体" w:eastAsia="宋体"/>
          <w:color w:val="auto"/>
          <w:sz w:val="21"/>
          <w:szCs w:val="21"/>
        </w:rPr>
        <w:fldChar w:fldCharType="separate"/>
      </w:r>
      <w:r>
        <w:rPr>
          <w:rFonts w:ascii="宋体" w:hAnsi="宋体" w:eastAsia="宋体"/>
          <w:color w:val="auto"/>
          <w:sz w:val="21"/>
          <w:szCs w:val="21"/>
        </w:rPr>
        <w:t>44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F262BFB">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_Toc3864 </w:instrText>
      </w:r>
      <w:r>
        <w:rPr>
          <w:rFonts w:hint="eastAsia" w:ascii="宋体" w:hAnsi="宋体" w:eastAsia="宋体"/>
          <w:color w:val="auto"/>
          <w:sz w:val="21"/>
          <w:szCs w:val="21"/>
        </w:rPr>
        <w:fldChar w:fldCharType="separate"/>
      </w:r>
      <w:r>
        <w:rPr>
          <w:rFonts w:hint="default" w:ascii="宋体" w:hAnsi="宋体" w:eastAsia="宋体"/>
          <w:color w:val="auto"/>
          <w:sz w:val="21"/>
          <w:szCs w:val="21"/>
        </w:rPr>
        <w:t xml:space="preserve">36. </w:t>
      </w:r>
      <w:r>
        <w:rPr>
          <w:rFonts w:hint="eastAsia" w:ascii="宋体" w:hAnsi="宋体" w:eastAsia="宋体"/>
          <w:color w:val="auto"/>
          <w:sz w:val="21"/>
          <w:szCs w:val="21"/>
        </w:rPr>
        <w:t>采购文件的解释权</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_Toc3864 \h </w:instrText>
      </w:r>
      <w:r>
        <w:rPr>
          <w:rFonts w:ascii="宋体" w:hAnsi="宋体" w:eastAsia="宋体"/>
          <w:color w:val="auto"/>
          <w:sz w:val="21"/>
          <w:szCs w:val="21"/>
        </w:rPr>
        <w:fldChar w:fldCharType="separate"/>
      </w:r>
      <w:r>
        <w:rPr>
          <w:rFonts w:ascii="宋体" w:hAnsi="宋体" w:eastAsia="宋体"/>
          <w:color w:val="auto"/>
          <w:sz w:val="21"/>
          <w:szCs w:val="21"/>
        </w:rPr>
        <w:t>44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D0DDA3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_Toc22782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第五部分  合同条款格式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_Toc22782 \h </w:instrText>
      </w:r>
      <w:r>
        <w:rPr>
          <w:rFonts w:ascii="宋体" w:hAnsi="宋体" w:eastAsia="宋体"/>
          <w:color w:val="auto"/>
          <w:sz w:val="21"/>
          <w:szCs w:val="21"/>
        </w:rPr>
        <w:fldChar w:fldCharType="separate"/>
      </w:r>
      <w:r>
        <w:rPr>
          <w:rFonts w:ascii="宋体" w:hAnsi="宋体" w:eastAsia="宋体"/>
          <w:color w:val="auto"/>
          <w:sz w:val="21"/>
          <w:szCs w:val="21"/>
        </w:rPr>
        <w:t>45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05C239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_Toc17711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第六部分附件－投标文件格式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_Toc17711 \h </w:instrText>
      </w:r>
      <w:r>
        <w:rPr>
          <w:rFonts w:ascii="宋体" w:hAnsi="宋体" w:eastAsia="宋体"/>
          <w:color w:val="auto"/>
          <w:sz w:val="21"/>
          <w:szCs w:val="21"/>
        </w:rPr>
        <w:fldChar w:fldCharType="separate"/>
      </w:r>
      <w:r>
        <w:rPr>
          <w:rFonts w:ascii="宋体" w:hAnsi="宋体" w:eastAsia="宋体"/>
          <w:color w:val="auto"/>
          <w:sz w:val="21"/>
          <w:szCs w:val="21"/>
        </w:rPr>
        <w:t>69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8B9E06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_Toc15711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投标文件目录</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_Toc15711 \h </w:instrText>
      </w:r>
      <w:r>
        <w:rPr>
          <w:rFonts w:ascii="宋体" w:hAnsi="宋体" w:eastAsia="宋体"/>
          <w:color w:val="auto"/>
          <w:sz w:val="21"/>
          <w:szCs w:val="21"/>
        </w:rPr>
        <w:fldChar w:fldCharType="separate"/>
      </w:r>
      <w:r>
        <w:rPr>
          <w:rFonts w:ascii="宋体" w:hAnsi="宋体" w:eastAsia="宋体"/>
          <w:color w:val="auto"/>
          <w:sz w:val="21"/>
          <w:szCs w:val="21"/>
        </w:rPr>
        <w:t>69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013D8F3">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_Toc3891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附件1.评分标准索引表</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_Toc3891 \h </w:instrText>
      </w:r>
      <w:r>
        <w:rPr>
          <w:rFonts w:ascii="宋体" w:hAnsi="宋体" w:eastAsia="宋体"/>
          <w:color w:val="auto"/>
          <w:sz w:val="21"/>
          <w:szCs w:val="21"/>
        </w:rPr>
        <w:fldChar w:fldCharType="separate"/>
      </w:r>
      <w:r>
        <w:rPr>
          <w:rFonts w:ascii="宋体" w:hAnsi="宋体" w:eastAsia="宋体"/>
          <w:color w:val="auto"/>
          <w:sz w:val="21"/>
          <w:szCs w:val="21"/>
        </w:rPr>
        <w:t>70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F4CDAE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_Toc22653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价格文件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_Toc22653 \h </w:instrText>
      </w:r>
      <w:r>
        <w:rPr>
          <w:rFonts w:ascii="宋体" w:hAnsi="宋体" w:eastAsia="宋体"/>
          <w:color w:val="auto"/>
          <w:sz w:val="21"/>
          <w:szCs w:val="21"/>
        </w:rPr>
        <w:fldChar w:fldCharType="separate"/>
      </w:r>
      <w:r>
        <w:rPr>
          <w:rFonts w:ascii="宋体" w:hAnsi="宋体" w:eastAsia="宋体"/>
          <w:color w:val="auto"/>
          <w:sz w:val="21"/>
          <w:szCs w:val="21"/>
        </w:rPr>
        <w:t>71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4B456D5">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_Toc13944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附件2.开标一览表格式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_Toc13944 \h </w:instrText>
      </w:r>
      <w:r>
        <w:rPr>
          <w:rFonts w:ascii="宋体" w:hAnsi="宋体" w:eastAsia="宋体"/>
          <w:color w:val="auto"/>
          <w:sz w:val="21"/>
          <w:szCs w:val="21"/>
        </w:rPr>
        <w:fldChar w:fldCharType="separate"/>
      </w:r>
      <w:r>
        <w:rPr>
          <w:rFonts w:ascii="宋体" w:hAnsi="宋体" w:eastAsia="宋体"/>
          <w:color w:val="auto"/>
          <w:sz w:val="21"/>
          <w:szCs w:val="21"/>
        </w:rPr>
        <w:t>72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ABF1E9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_Toc19567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商务文件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_Toc19567 \h </w:instrText>
      </w:r>
      <w:r>
        <w:rPr>
          <w:rFonts w:ascii="宋体" w:hAnsi="宋体" w:eastAsia="宋体"/>
          <w:color w:val="auto"/>
          <w:sz w:val="21"/>
          <w:szCs w:val="21"/>
        </w:rPr>
        <w:fldChar w:fldCharType="separate"/>
      </w:r>
      <w:r>
        <w:rPr>
          <w:rFonts w:ascii="宋体" w:hAnsi="宋体" w:eastAsia="宋体"/>
          <w:color w:val="auto"/>
          <w:sz w:val="21"/>
          <w:szCs w:val="21"/>
        </w:rPr>
        <w:t>73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5AF2280">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_Toc8840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.投标书格式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_Toc8840 \h </w:instrText>
      </w:r>
      <w:r>
        <w:rPr>
          <w:rFonts w:ascii="宋体" w:hAnsi="宋体" w:eastAsia="宋体"/>
          <w:color w:val="auto"/>
          <w:sz w:val="21"/>
          <w:szCs w:val="21"/>
        </w:rPr>
        <w:fldChar w:fldCharType="separate"/>
      </w:r>
      <w:r>
        <w:rPr>
          <w:rFonts w:ascii="宋体" w:hAnsi="宋体" w:eastAsia="宋体"/>
          <w:color w:val="auto"/>
          <w:sz w:val="21"/>
          <w:szCs w:val="21"/>
        </w:rPr>
        <w:t>74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504C3D6">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_Toc8498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 法定代表人证明书格式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_Toc8498 \h </w:instrText>
      </w:r>
      <w:r>
        <w:rPr>
          <w:rFonts w:ascii="宋体" w:hAnsi="宋体" w:eastAsia="宋体"/>
          <w:color w:val="auto"/>
          <w:sz w:val="21"/>
          <w:szCs w:val="21"/>
        </w:rPr>
        <w:fldChar w:fldCharType="separate"/>
      </w:r>
      <w:r>
        <w:rPr>
          <w:rFonts w:ascii="宋体" w:hAnsi="宋体" w:eastAsia="宋体"/>
          <w:color w:val="auto"/>
          <w:sz w:val="21"/>
          <w:szCs w:val="21"/>
        </w:rPr>
        <w:t>75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F90CA3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_Toc1918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.法定代表人授权书格式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_Toc1918 \h </w:instrText>
      </w:r>
      <w:r>
        <w:rPr>
          <w:rFonts w:ascii="宋体" w:hAnsi="宋体" w:eastAsia="宋体"/>
          <w:color w:val="auto"/>
          <w:sz w:val="21"/>
          <w:szCs w:val="21"/>
        </w:rPr>
        <w:fldChar w:fldCharType="separate"/>
      </w:r>
      <w:r>
        <w:rPr>
          <w:rFonts w:ascii="宋体" w:hAnsi="宋体" w:eastAsia="宋体"/>
          <w:color w:val="auto"/>
          <w:sz w:val="21"/>
          <w:szCs w:val="21"/>
        </w:rPr>
        <w:t>76</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4AC021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_Toc15919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.资格申明</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_Toc15919 \h </w:instrText>
      </w:r>
      <w:r>
        <w:rPr>
          <w:rFonts w:ascii="宋体" w:hAnsi="宋体" w:eastAsia="宋体"/>
          <w:color w:val="auto"/>
          <w:sz w:val="21"/>
          <w:szCs w:val="21"/>
        </w:rPr>
        <w:fldChar w:fldCharType="separate"/>
      </w:r>
      <w:r>
        <w:rPr>
          <w:rFonts w:ascii="宋体" w:hAnsi="宋体" w:eastAsia="宋体"/>
          <w:color w:val="auto"/>
          <w:sz w:val="21"/>
          <w:szCs w:val="21"/>
        </w:rPr>
        <w:t>77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3A34BE3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_Toc27664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.营业执照</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_Toc27664 \h </w:instrText>
      </w:r>
      <w:r>
        <w:rPr>
          <w:rFonts w:ascii="宋体" w:hAnsi="宋体" w:eastAsia="宋体"/>
          <w:color w:val="auto"/>
          <w:sz w:val="21"/>
          <w:szCs w:val="21"/>
        </w:rPr>
        <w:fldChar w:fldCharType="separate"/>
      </w:r>
      <w:r>
        <w:rPr>
          <w:rFonts w:ascii="宋体" w:hAnsi="宋体" w:eastAsia="宋体"/>
          <w:color w:val="auto"/>
          <w:sz w:val="21"/>
          <w:szCs w:val="21"/>
        </w:rPr>
        <w:t>78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42886F6">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_Toc128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.相关资质证明文件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_Toc128 \h </w:instrText>
      </w:r>
      <w:r>
        <w:rPr>
          <w:rFonts w:ascii="宋体" w:hAnsi="宋体" w:eastAsia="宋体"/>
          <w:color w:val="auto"/>
          <w:sz w:val="21"/>
          <w:szCs w:val="21"/>
        </w:rPr>
        <w:fldChar w:fldCharType="separate"/>
      </w:r>
      <w:r>
        <w:rPr>
          <w:rFonts w:ascii="宋体" w:hAnsi="宋体" w:eastAsia="宋体"/>
          <w:color w:val="auto"/>
          <w:sz w:val="21"/>
          <w:szCs w:val="21"/>
        </w:rPr>
        <w:t>79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897B871">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_Toc27941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.在经营活动中没有重大违法记录的书面声明格式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_Toc27941 \h </w:instrText>
      </w:r>
      <w:r>
        <w:rPr>
          <w:rFonts w:ascii="宋体" w:hAnsi="宋体" w:eastAsia="宋体"/>
          <w:color w:val="auto"/>
          <w:sz w:val="21"/>
          <w:szCs w:val="21"/>
        </w:rPr>
        <w:fldChar w:fldCharType="separate"/>
      </w:r>
      <w:r>
        <w:rPr>
          <w:rFonts w:ascii="宋体" w:hAnsi="宋体" w:eastAsia="宋体"/>
          <w:color w:val="auto"/>
          <w:sz w:val="21"/>
          <w:szCs w:val="21"/>
        </w:rPr>
        <w:t>80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4904B43">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_Toc23748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.承诺书格式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_Toc23748 \h </w:instrText>
      </w:r>
      <w:r>
        <w:rPr>
          <w:rFonts w:ascii="宋体" w:hAnsi="宋体" w:eastAsia="宋体"/>
          <w:color w:val="auto"/>
          <w:sz w:val="21"/>
          <w:szCs w:val="21"/>
        </w:rPr>
        <w:fldChar w:fldCharType="separate"/>
      </w:r>
      <w:r>
        <w:rPr>
          <w:rFonts w:ascii="宋体" w:hAnsi="宋体" w:eastAsia="宋体"/>
          <w:color w:val="auto"/>
          <w:sz w:val="21"/>
          <w:szCs w:val="21"/>
        </w:rPr>
        <w:t>81</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BE995C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_Toc4846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.商务需求条款偏离表格式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_Toc4846 \h </w:instrText>
      </w:r>
      <w:r>
        <w:rPr>
          <w:rFonts w:ascii="宋体" w:hAnsi="宋体" w:eastAsia="宋体"/>
          <w:color w:val="auto"/>
          <w:sz w:val="21"/>
          <w:szCs w:val="21"/>
        </w:rPr>
        <w:fldChar w:fldCharType="separate"/>
      </w:r>
      <w:r>
        <w:rPr>
          <w:rFonts w:ascii="宋体" w:hAnsi="宋体" w:eastAsia="宋体"/>
          <w:color w:val="auto"/>
          <w:sz w:val="21"/>
          <w:szCs w:val="21"/>
        </w:rPr>
        <w:t>82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2B9A6A39">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_Toc12365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.业绩表</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_Toc12365 \h </w:instrText>
      </w:r>
      <w:r>
        <w:rPr>
          <w:rFonts w:ascii="宋体" w:hAnsi="宋体" w:eastAsia="宋体"/>
          <w:color w:val="auto"/>
          <w:sz w:val="21"/>
          <w:szCs w:val="21"/>
        </w:rPr>
        <w:fldChar w:fldCharType="separate"/>
      </w:r>
      <w:r>
        <w:rPr>
          <w:rFonts w:ascii="宋体" w:hAnsi="宋体" w:eastAsia="宋体"/>
          <w:color w:val="auto"/>
          <w:sz w:val="21"/>
          <w:szCs w:val="21"/>
        </w:rPr>
        <w:t>83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F4819EC">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_Toc27598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13</w:t>
      </w:r>
      <w:r>
        <w:rPr>
          <w:rFonts w:hint="eastAsia" w:ascii="宋体" w:hAnsi="宋体" w:eastAsia="宋体"/>
          <w:color w:val="auto"/>
          <w:sz w:val="21"/>
          <w:szCs w:val="21"/>
        </w:rPr>
        <w:t>.联合体协议书（如有）</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_Toc27598 \h </w:instrText>
      </w:r>
      <w:r>
        <w:rPr>
          <w:rFonts w:ascii="宋体" w:hAnsi="宋体" w:eastAsia="宋体"/>
          <w:color w:val="auto"/>
          <w:sz w:val="21"/>
          <w:szCs w:val="21"/>
        </w:rPr>
        <w:fldChar w:fldCharType="separate"/>
      </w:r>
      <w:r>
        <w:rPr>
          <w:rFonts w:ascii="宋体" w:hAnsi="宋体" w:eastAsia="宋体"/>
          <w:color w:val="auto"/>
          <w:sz w:val="21"/>
          <w:szCs w:val="21"/>
        </w:rPr>
        <w:t>84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48EEBD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_Toc17630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技术文件</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_Toc17630 \h </w:instrText>
      </w:r>
      <w:r>
        <w:rPr>
          <w:rFonts w:ascii="宋体" w:hAnsi="宋体" w:eastAsia="宋体"/>
          <w:color w:val="auto"/>
          <w:sz w:val="21"/>
          <w:szCs w:val="21"/>
        </w:rPr>
        <w:fldChar w:fldCharType="separate"/>
      </w:r>
      <w:r>
        <w:rPr>
          <w:rFonts w:ascii="宋体" w:hAnsi="宋体" w:eastAsia="宋体"/>
          <w:color w:val="auto"/>
          <w:sz w:val="21"/>
          <w:szCs w:val="21"/>
        </w:rPr>
        <w:t>86</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6BF6E2A">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_Toc931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14</w:t>
      </w:r>
      <w:r>
        <w:rPr>
          <w:rFonts w:hint="eastAsia" w:ascii="宋体" w:hAnsi="宋体" w:eastAsia="宋体"/>
          <w:color w:val="auto"/>
          <w:sz w:val="21"/>
          <w:szCs w:val="21"/>
        </w:rPr>
        <w:t>. 技术规格偏离表格式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_Toc931 \h </w:instrText>
      </w:r>
      <w:r>
        <w:rPr>
          <w:rFonts w:ascii="宋体" w:hAnsi="宋体" w:eastAsia="宋体"/>
          <w:color w:val="auto"/>
          <w:sz w:val="21"/>
          <w:szCs w:val="21"/>
        </w:rPr>
        <w:fldChar w:fldCharType="separate"/>
      </w:r>
      <w:r>
        <w:rPr>
          <w:rFonts w:ascii="宋体" w:hAnsi="宋体" w:eastAsia="宋体"/>
          <w:color w:val="auto"/>
          <w:sz w:val="21"/>
          <w:szCs w:val="21"/>
        </w:rPr>
        <w:t>87</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879F504">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_Toc25443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.项目实施方案格式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_Toc25443 \h </w:instrText>
      </w:r>
      <w:r>
        <w:rPr>
          <w:rFonts w:ascii="宋体" w:hAnsi="宋体" w:eastAsia="宋体"/>
          <w:color w:val="auto"/>
          <w:sz w:val="21"/>
          <w:szCs w:val="21"/>
        </w:rPr>
        <w:fldChar w:fldCharType="separate"/>
      </w:r>
      <w:r>
        <w:rPr>
          <w:rFonts w:ascii="宋体" w:hAnsi="宋体" w:eastAsia="宋体"/>
          <w:color w:val="auto"/>
          <w:sz w:val="21"/>
          <w:szCs w:val="21"/>
        </w:rPr>
        <w:t>88</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4ADD58E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_Toc16937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16</w:t>
      </w:r>
      <w:r>
        <w:rPr>
          <w:rFonts w:hint="eastAsia" w:ascii="宋体" w:hAnsi="宋体" w:eastAsia="宋体"/>
          <w:color w:val="auto"/>
          <w:sz w:val="21"/>
          <w:szCs w:val="21"/>
        </w:rPr>
        <w:t>.实施本项目的有关人员资料表格式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_Toc16937 \h </w:instrText>
      </w:r>
      <w:r>
        <w:rPr>
          <w:rFonts w:ascii="宋体" w:hAnsi="宋体" w:eastAsia="宋体"/>
          <w:color w:val="auto"/>
          <w:sz w:val="21"/>
          <w:szCs w:val="21"/>
        </w:rPr>
        <w:fldChar w:fldCharType="separate"/>
      </w:r>
      <w:r>
        <w:rPr>
          <w:rFonts w:ascii="宋体" w:hAnsi="宋体" w:eastAsia="宋体"/>
          <w:color w:val="auto"/>
          <w:sz w:val="21"/>
          <w:szCs w:val="21"/>
        </w:rPr>
        <w:t>89</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2B40AA3">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_Toc30011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17</w:t>
      </w:r>
      <w:r>
        <w:rPr>
          <w:rFonts w:hint="eastAsia" w:ascii="宋体" w:hAnsi="宋体" w:eastAsia="宋体"/>
          <w:color w:val="auto"/>
          <w:sz w:val="21"/>
          <w:szCs w:val="21"/>
        </w:rPr>
        <w:t>.投标保证金汇入情况说明格式</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_Toc30011 \h </w:instrText>
      </w:r>
      <w:r>
        <w:rPr>
          <w:rFonts w:ascii="宋体" w:hAnsi="宋体" w:eastAsia="宋体"/>
          <w:color w:val="auto"/>
          <w:sz w:val="21"/>
          <w:szCs w:val="21"/>
        </w:rPr>
        <w:fldChar w:fldCharType="separate"/>
      </w:r>
      <w:r>
        <w:rPr>
          <w:rFonts w:ascii="宋体" w:hAnsi="宋体" w:eastAsia="宋体"/>
          <w:color w:val="auto"/>
          <w:sz w:val="21"/>
          <w:szCs w:val="21"/>
        </w:rPr>
        <w:t>90</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622FC34F">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_Toc20869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18</w:t>
      </w:r>
      <w:r>
        <w:rPr>
          <w:rFonts w:hint="eastAsia" w:ascii="宋体" w:hAnsi="宋体" w:eastAsia="宋体"/>
          <w:color w:val="auto"/>
          <w:sz w:val="21"/>
          <w:szCs w:val="21"/>
        </w:rPr>
        <w:t>.不可撤销履约保函</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_Toc20869 \h </w:instrText>
      </w:r>
      <w:r>
        <w:rPr>
          <w:rFonts w:ascii="宋体" w:hAnsi="宋体" w:eastAsia="宋体"/>
          <w:color w:val="auto"/>
          <w:sz w:val="21"/>
          <w:szCs w:val="21"/>
        </w:rPr>
        <w:fldChar w:fldCharType="separate"/>
      </w:r>
      <w:r>
        <w:rPr>
          <w:rFonts w:ascii="宋体" w:hAnsi="宋体" w:eastAsia="宋体"/>
          <w:color w:val="auto"/>
          <w:sz w:val="21"/>
          <w:szCs w:val="21"/>
        </w:rPr>
        <w:t>92</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7FEDB6FD">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_Toc28949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19.</w:t>
      </w:r>
      <w:r>
        <w:rPr>
          <w:rFonts w:hint="eastAsia" w:ascii="宋体" w:hAnsi="宋体" w:eastAsia="宋体"/>
          <w:color w:val="auto"/>
          <w:sz w:val="21"/>
          <w:szCs w:val="21"/>
        </w:rPr>
        <w:t>预付款保函（适用于预付款支付）</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_Toc28949 \h </w:instrText>
      </w:r>
      <w:r>
        <w:rPr>
          <w:rFonts w:ascii="宋体" w:hAnsi="宋体" w:eastAsia="宋体"/>
          <w:color w:val="auto"/>
          <w:sz w:val="21"/>
          <w:szCs w:val="21"/>
        </w:rPr>
        <w:fldChar w:fldCharType="separate"/>
      </w:r>
      <w:r>
        <w:rPr>
          <w:rFonts w:ascii="宋体" w:hAnsi="宋体" w:eastAsia="宋体"/>
          <w:color w:val="auto"/>
          <w:sz w:val="21"/>
          <w:szCs w:val="21"/>
        </w:rPr>
        <w:t>93</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1258AA9B">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_Toc30282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唱标信封</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_Toc30282 \h </w:instrText>
      </w:r>
      <w:r>
        <w:rPr>
          <w:rFonts w:ascii="宋体" w:hAnsi="宋体" w:eastAsia="宋体"/>
          <w:color w:val="auto"/>
          <w:sz w:val="21"/>
          <w:szCs w:val="21"/>
        </w:rPr>
        <w:fldChar w:fldCharType="separate"/>
      </w:r>
      <w:r>
        <w:rPr>
          <w:rFonts w:ascii="宋体" w:hAnsi="宋体" w:eastAsia="宋体"/>
          <w:color w:val="auto"/>
          <w:sz w:val="21"/>
          <w:szCs w:val="21"/>
        </w:rPr>
        <w:t>94</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028FADB3">
      <w:pPr>
        <w:pStyle w:val="23"/>
        <w:tabs>
          <w:tab w:val="right" w:leader="dot" w:pos="8306"/>
          <w:tab w:val="clear" w:pos="8296"/>
        </w:tabs>
        <w:ind w:left="0" w:leftChars="0"/>
        <w:rPr>
          <w:rFonts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\l _Toc30573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.唱标信封内装（内容务必与投标文件正本一致）</w:t>
      </w:r>
      <w:r>
        <w:rPr>
          <w:rFonts w:ascii="宋体" w:hAnsi="宋体" w:eastAsia="宋体"/>
          <w:color w:val="auto"/>
          <w:sz w:val="21"/>
          <w:szCs w:val="21"/>
        </w:rPr>
        <w:tab/>
      </w:r>
      <w:r>
        <w:rPr>
          <w:rFonts w:ascii="宋体" w:hAnsi="宋体" w:eastAsia="宋体"/>
          <w:color w:val="auto"/>
          <w:sz w:val="21"/>
          <w:szCs w:val="21"/>
        </w:rPr>
        <w:fldChar w:fldCharType="begin"/>
      </w:r>
      <w:r>
        <w:rPr>
          <w:rFonts w:ascii="宋体" w:hAnsi="宋体" w:eastAsia="宋体"/>
          <w:color w:val="auto"/>
          <w:sz w:val="21"/>
          <w:szCs w:val="21"/>
        </w:rPr>
        <w:instrText xml:space="preserve"> PAGEREF _Toc30573 \h </w:instrText>
      </w:r>
      <w:r>
        <w:rPr>
          <w:rFonts w:ascii="宋体" w:hAnsi="宋体" w:eastAsia="宋体"/>
          <w:color w:val="auto"/>
          <w:sz w:val="21"/>
          <w:szCs w:val="21"/>
        </w:rPr>
        <w:fldChar w:fldCharType="separate"/>
      </w:r>
      <w:r>
        <w:rPr>
          <w:rFonts w:ascii="宋体" w:hAnsi="宋体" w:eastAsia="宋体"/>
          <w:color w:val="auto"/>
          <w:sz w:val="21"/>
          <w:szCs w:val="21"/>
        </w:rPr>
        <w:t>95</w:t>
      </w:r>
      <w:r>
        <w:rPr>
          <w:rFonts w:ascii="宋体" w:hAnsi="宋体" w:eastAsia="宋体"/>
          <w:color w:val="auto"/>
          <w:sz w:val="21"/>
          <w:szCs w:val="21"/>
        </w:rPr>
        <w:fldChar w:fldCharType="end"/>
      </w:r>
      <w:r>
        <w:rPr>
          <w:rFonts w:hint="eastAsia" w:ascii="宋体" w:hAnsi="宋体" w:eastAsia="宋体"/>
          <w:color w:val="auto"/>
          <w:sz w:val="21"/>
          <w:szCs w:val="21"/>
        </w:rPr>
        <w:fldChar w:fldCharType="end"/>
      </w:r>
    </w:p>
    <w:p w14:paraId="53532A69">
      <w:pPr>
        <w:pStyle w:val="23"/>
        <w:tabs>
          <w:tab w:val="right" w:leader="dot" w:pos="8306"/>
          <w:tab w:val="clear" w:pos="8296"/>
        </w:tabs>
        <w:ind w:left="0" w:leftChars="0"/>
        <w:rPr>
          <w:rFonts w:cs="宋体"/>
          <w:color w:val="auto"/>
          <w:sz w:val="21"/>
          <w:szCs w:val="21"/>
          <w:highlight w:val="none"/>
        </w:rPr>
      </w:pPr>
      <w:r>
        <w:rPr>
          <w:rFonts w:hint="eastAsia" w:ascii="宋体" w:hAnsi="宋体" w:eastAsia="宋体"/>
          <w:color w:val="auto"/>
          <w:sz w:val="21"/>
          <w:szCs w:val="21"/>
        </w:rPr>
        <w:fldChar w:fldCharType="end"/>
      </w:r>
    </w:p>
    <w:p w14:paraId="24F319E9">
      <w:pPr>
        <w:rPr>
          <w:rFonts w:ascii="宋体" w:hAnsi="宋体" w:cs="宋体"/>
          <w:color w:val="auto"/>
          <w:szCs w:val="21"/>
          <w:highlight w:val="none"/>
        </w:rPr>
      </w:pPr>
      <w:r>
        <w:rPr>
          <w:rFonts w:hint="eastAsia" w:ascii="宋体" w:hAnsi="宋体" w:cs="宋体"/>
          <w:color w:val="auto"/>
          <w:szCs w:val="21"/>
          <w:highlight w:val="none"/>
        </w:rPr>
        <w:br w:type="page"/>
      </w:r>
    </w:p>
    <w:p w14:paraId="55F83726">
      <w:pPr>
        <w:pStyle w:val="5"/>
        <w:spacing w:before="0" w:after="0" w:line="240" w:lineRule="auto"/>
        <w:rPr>
          <w:color w:val="auto"/>
          <w:sz w:val="28"/>
          <w:szCs w:val="28"/>
          <w:highlight w:val="none"/>
        </w:rPr>
      </w:pPr>
      <w:bookmarkStart w:id="0" w:name="_Toc11696"/>
      <w:r>
        <w:rPr>
          <w:rFonts w:hint="eastAsia"/>
          <w:color w:val="auto"/>
          <w:sz w:val="28"/>
          <w:szCs w:val="28"/>
          <w:highlight w:val="none"/>
        </w:rPr>
        <w:t>第一部分投标邀请</w:t>
      </w:r>
      <w:bookmarkEnd w:id="0"/>
    </w:p>
    <w:p w14:paraId="63BCAA76">
      <w:pPr>
        <w:pStyle w:val="6"/>
        <w:spacing w:before="0" w:after="0" w:line="360" w:lineRule="auto"/>
        <w:jc w:val="center"/>
        <w:rPr>
          <w:rFonts w:ascii="宋体" w:hAnsi="宋体" w:cs="宋体"/>
          <w:color w:val="auto"/>
          <w:highlight w:val="none"/>
        </w:rPr>
      </w:pPr>
      <w:bookmarkStart w:id="1" w:name="_Toc21077"/>
      <w:r>
        <w:rPr>
          <w:rFonts w:hint="eastAsia" w:ascii="宋体" w:hAnsi="宋体" w:cs="宋体"/>
          <w:color w:val="auto"/>
          <w:highlight w:val="none"/>
        </w:rPr>
        <w:t>投标邀请书</w:t>
      </w:r>
      <w:bookmarkEnd w:id="1"/>
    </w:p>
    <w:p w14:paraId="6D8B4DDC">
      <w:pPr>
        <w:ind w:firstLine="428" w:firstLineChars="200"/>
        <w:rPr>
          <w:rFonts w:ascii="宋体" w:hAnsi="宋体"/>
          <w:color w:val="auto"/>
          <w:szCs w:val="21"/>
          <w:highlight w:val="none"/>
        </w:rPr>
      </w:pPr>
      <w:r>
        <w:rPr>
          <w:rFonts w:hint="eastAsia" w:ascii="宋体" w:hAnsi="宋体"/>
          <w:b/>
          <w:bCs/>
          <w:color w:val="auto"/>
          <w:szCs w:val="21"/>
          <w:highlight w:val="none"/>
          <w:u w:val="single"/>
          <w:lang w:eastAsia="zh-CN"/>
        </w:rPr>
        <w:t>广东政通招标有限公司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东莞市能源投资集团有限公司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东莞市能源投资集团有限公司食堂副食品采购项目</w:t>
      </w:r>
      <w:r>
        <w:rPr>
          <w:rFonts w:hint="eastAsia" w:ascii="宋体" w:hAnsi="宋体"/>
          <w:color w:val="auto"/>
          <w:szCs w:val="21"/>
          <w:highlight w:val="none"/>
        </w:rPr>
        <w:t>（项目编号：</w:t>
      </w:r>
      <w:r>
        <w:rPr>
          <w:rFonts w:hint="eastAsia" w:ascii="宋体" w:hAnsi="宋体"/>
          <w:b/>
          <w:bCs/>
          <w:color w:val="auto"/>
          <w:szCs w:val="21"/>
          <w:highlight w:val="none"/>
          <w:lang w:eastAsia="zh-CN"/>
        </w:rPr>
        <w:t>DGNY-CC-05-001-001 (2026)</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3E31BD1C">
      <w:pPr>
        <w:ind w:firstLine="418" w:firstLineChars="196"/>
        <w:rPr>
          <w:rFonts w:ascii="宋体" w:hAnsi="宋体"/>
          <w:b/>
          <w:color w:val="auto"/>
          <w:szCs w:val="21"/>
          <w:highlight w:val="none"/>
        </w:rPr>
      </w:pPr>
    </w:p>
    <w:p w14:paraId="26D7C308">
      <w:pPr>
        <w:rPr>
          <w:rFonts w:ascii="宋体" w:hAnsi="宋体"/>
          <w:b/>
          <w:color w:val="auto"/>
          <w:szCs w:val="21"/>
          <w:highlight w:val="none"/>
        </w:rPr>
      </w:pPr>
      <w:r>
        <w:rPr>
          <w:rFonts w:hint="eastAsia" w:ascii="宋体" w:hAnsi="宋体"/>
          <w:b/>
          <w:color w:val="auto"/>
          <w:szCs w:val="21"/>
          <w:highlight w:val="none"/>
        </w:rPr>
        <w:t>一、采购项目概况</w:t>
      </w:r>
    </w:p>
    <w:p w14:paraId="41D80125">
      <w:pPr>
        <w:ind w:firstLine="428" w:firstLineChars="200"/>
        <w:rPr>
          <w:rFonts w:hint="default" w:ascii="宋体" w:hAnsi="宋体" w:eastAsia="宋体"/>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color w:val="auto"/>
          <w:szCs w:val="21"/>
          <w:highlight w:val="none"/>
          <w:u w:val="single"/>
          <w:lang w:eastAsia="zh-CN"/>
        </w:rPr>
        <w:t>东莞市能源投资集团有限公司食堂副食品采购项目</w:t>
      </w:r>
    </w:p>
    <w:p w14:paraId="3DC593B1">
      <w:pPr>
        <w:ind w:firstLine="428" w:firstLineChars="200"/>
        <w:rPr>
          <w:rFonts w:hint="default" w:ascii="宋体" w:hAnsi="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eastAsia="zh-CN"/>
        </w:rPr>
        <w:t>1,6</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000元</w:t>
      </w:r>
      <w:r>
        <w:rPr>
          <w:rFonts w:hint="eastAsia" w:ascii="宋体" w:hAnsi="宋体"/>
          <w:color w:val="auto"/>
          <w:szCs w:val="21"/>
          <w:highlight w:val="none"/>
        </w:rPr>
        <w:t>（采购预算仅给</w:t>
      </w:r>
      <w:r>
        <w:rPr>
          <w:rFonts w:hint="eastAsia" w:ascii="宋体" w:hAnsi="宋体"/>
          <w:color w:val="auto"/>
          <w:szCs w:val="21"/>
          <w:highlight w:val="none"/>
          <w:lang w:val="en-US" w:eastAsia="zh-CN"/>
        </w:rPr>
        <w:t>投标人</w:t>
      </w:r>
      <w:r>
        <w:rPr>
          <w:rFonts w:hint="eastAsia" w:ascii="宋体" w:hAnsi="宋体"/>
          <w:color w:val="auto"/>
          <w:szCs w:val="21"/>
          <w:highlight w:val="none"/>
        </w:rPr>
        <w:t>投标参考用，本项目据实结算。）</w:t>
      </w:r>
    </w:p>
    <w:p w14:paraId="5FB47BB3">
      <w:pPr>
        <w:ind w:firstLine="428" w:firstLineChars="200"/>
        <w:rPr>
          <w:rFonts w:hint="eastAsia" w:ascii="宋体" w:hAnsi="宋体"/>
          <w:color w:val="auto"/>
          <w:szCs w:val="21"/>
          <w:highlight w:val="none"/>
          <w:lang w:eastAsia="zh-CN"/>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eastAsia="zh-CN"/>
        </w:rPr>
        <w:t>1,6</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000元</w:t>
      </w:r>
      <w:r>
        <w:rPr>
          <w:rFonts w:hint="eastAsia" w:ascii="宋体" w:hAnsi="宋体"/>
          <w:color w:val="auto"/>
          <w:szCs w:val="21"/>
          <w:highlight w:val="none"/>
        </w:rPr>
        <w:t>（采购预算仅给</w:t>
      </w:r>
      <w:r>
        <w:rPr>
          <w:rFonts w:hint="eastAsia" w:ascii="宋体" w:hAnsi="宋体"/>
          <w:color w:val="auto"/>
          <w:szCs w:val="21"/>
          <w:highlight w:val="none"/>
          <w:lang w:val="en-US" w:eastAsia="zh-CN"/>
        </w:rPr>
        <w:t>投标人</w:t>
      </w:r>
      <w:r>
        <w:rPr>
          <w:rFonts w:hint="eastAsia" w:ascii="宋体" w:hAnsi="宋体"/>
          <w:color w:val="auto"/>
          <w:szCs w:val="21"/>
          <w:highlight w:val="none"/>
        </w:rPr>
        <w:t>投标参考用，本项目据实结算。）</w:t>
      </w:r>
    </w:p>
    <w:p w14:paraId="7EECFC8C">
      <w:pPr>
        <w:ind w:firstLine="428"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4、本项目</w:t>
      </w:r>
      <w:r>
        <w:rPr>
          <w:rFonts w:hint="eastAsia" w:ascii="宋体" w:hAnsi="宋体"/>
          <w:b/>
          <w:bCs/>
          <w:color w:val="auto"/>
          <w:szCs w:val="21"/>
          <w:highlight w:val="none"/>
          <w:lang w:val="en-US" w:eastAsia="zh-CN"/>
        </w:rPr>
        <w:t>不</w:t>
      </w:r>
      <w:r>
        <w:rPr>
          <w:rFonts w:hint="eastAsia" w:ascii="宋体" w:hAnsi="宋体" w:eastAsia="宋体"/>
          <w:b/>
          <w:bCs/>
          <w:color w:val="auto"/>
          <w:szCs w:val="21"/>
          <w:highlight w:val="none"/>
          <w:lang w:val="en-US" w:eastAsia="zh-CN"/>
        </w:rPr>
        <w:t>接受</w:t>
      </w:r>
      <w:r>
        <w:rPr>
          <w:rFonts w:hint="eastAsia" w:ascii="宋体" w:hAnsi="宋体" w:eastAsia="宋体"/>
          <w:color w:val="auto"/>
          <w:szCs w:val="21"/>
          <w:highlight w:val="none"/>
          <w:lang w:val="en-US" w:eastAsia="zh-CN"/>
        </w:rPr>
        <w:t>联合体投标。</w:t>
      </w:r>
    </w:p>
    <w:p w14:paraId="5CD95D62">
      <w:pPr>
        <w:ind w:firstLine="428"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、项目内容</w:t>
      </w:r>
    </w:p>
    <w:tbl>
      <w:tblPr>
        <w:tblStyle w:val="27"/>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4732"/>
        <w:gridCol w:w="1823"/>
      </w:tblGrid>
      <w:tr w14:paraId="720F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4" w:type="dxa"/>
            <w:vAlign w:val="center"/>
          </w:tcPr>
          <w:p w14:paraId="34E8D6A0">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4732" w:type="dxa"/>
            <w:vAlign w:val="center"/>
          </w:tcPr>
          <w:p w14:paraId="4FD79334">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823" w:type="dxa"/>
            <w:vAlign w:val="center"/>
          </w:tcPr>
          <w:p w14:paraId="4E765379">
            <w:pPr>
              <w:spacing w:line="240" w:lineRule="auto"/>
              <w:jc w:val="center"/>
              <w:rPr>
                <w:rFonts w:hint="eastAsia" w:ascii="宋体" w:hAnsi="宋体" w:eastAsia="宋体" w:cs="宋体"/>
                <w:color w:val="auto"/>
                <w:kern w:val="28"/>
                <w:szCs w:val="21"/>
                <w:highlight w:val="none"/>
                <w:lang w:eastAsia="zh-CN"/>
              </w:rPr>
            </w:pPr>
            <w:r>
              <w:rPr>
                <w:rFonts w:hint="eastAsia" w:ascii="宋体" w:hAnsi="宋体" w:cs="宋体"/>
                <w:color w:val="auto"/>
                <w:kern w:val="28"/>
                <w:szCs w:val="21"/>
                <w:highlight w:val="none"/>
                <w:lang w:val="en-US" w:eastAsia="zh-CN"/>
              </w:rPr>
              <w:t>服务</w:t>
            </w:r>
            <w:r>
              <w:rPr>
                <w:rFonts w:hint="eastAsia" w:ascii="宋体" w:hAnsi="宋体" w:cs="宋体"/>
                <w:color w:val="auto"/>
                <w:kern w:val="28"/>
                <w:szCs w:val="21"/>
                <w:highlight w:val="none"/>
                <w:lang w:eastAsia="zh-CN"/>
              </w:rPr>
              <w:t>期</w:t>
            </w:r>
          </w:p>
        </w:tc>
      </w:tr>
      <w:tr w14:paraId="7DA7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64" w:type="dxa"/>
            <w:vAlign w:val="center"/>
          </w:tcPr>
          <w:p w14:paraId="4687DC7F">
            <w:pPr>
              <w:ind w:firstLine="428"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A</w:t>
            </w:r>
          </w:p>
        </w:tc>
        <w:tc>
          <w:tcPr>
            <w:tcW w:w="4732" w:type="dxa"/>
            <w:vAlign w:val="center"/>
          </w:tcPr>
          <w:p w14:paraId="37BD498F">
            <w:pPr>
              <w:ind w:firstLine="428"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详见本采购文件第三部分《用户需求书》</w:t>
            </w:r>
          </w:p>
        </w:tc>
        <w:tc>
          <w:tcPr>
            <w:tcW w:w="1823" w:type="dxa"/>
            <w:vAlign w:val="center"/>
          </w:tcPr>
          <w:p w14:paraId="146DD86B">
            <w:pPr>
              <w:ind w:firstLine="428"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一年</w:t>
            </w:r>
          </w:p>
        </w:tc>
      </w:tr>
    </w:tbl>
    <w:p w14:paraId="1FE6DE24">
      <w:pPr>
        <w:ind w:firstLine="428"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、项目需求</w:t>
      </w:r>
      <w:r>
        <w:rPr>
          <w:rFonts w:hint="eastAsia" w:ascii="宋体" w:hAnsi="宋体"/>
          <w:color w:val="auto"/>
          <w:szCs w:val="21"/>
          <w:highlight w:val="none"/>
          <w:lang w:eastAsia="zh-CN"/>
        </w:rPr>
        <w:t>：</w:t>
      </w:r>
      <w:r>
        <w:rPr>
          <w:rFonts w:hint="eastAsia" w:ascii="宋体" w:hAnsi="宋体"/>
          <w:color w:val="auto"/>
          <w:szCs w:val="21"/>
          <w:highlight w:val="none"/>
        </w:rPr>
        <w:t>详细内容请参阅采购文件第三部分《用户需求书》。</w:t>
      </w:r>
    </w:p>
    <w:p w14:paraId="16C82EB1">
      <w:pPr>
        <w:rPr>
          <w:rFonts w:ascii="宋体" w:hAnsi="宋体"/>
          <w:b/>
          <w:color w:val="auto"/>
          <w:szCs w:val="21"/>
          <w:highlight w:val="none"/>
        </w:rPr>
      </w:pPr>
      <w:r>
        <w:rPr>
          <w:rFonts w:hint="eastAsia" w:ascii="宋体" w:hAnsi="宋体"/>
          <w:b/>
          <w:color w:val="auto"/>
          <w:szCs w:val="21"/>
          <w:highlight w:val="none"/>
        </w:rPr>
        <w:t>二、投标人资格要求</w:t>
      </w:r>
    </w:p>
    <w:p w14:paraId="4FDE1485">
      <w:pPr>
        <w:ind w:firstLine="418" w:firstLineChars="196"/>
        <w:rPr>
          <w:rFonts w:ascii="宋体" w:hAnsi="宋体"/>
          <w:color w:val="auto"/>
          <w:sz w:val="21"/>
          <w:szCs w:val="21"/>
          <w:highlight w:val="none"/>
        </w:rPr>
      </w:pPr>
      <w:r>
        <w:rPr>
          <w:rFonts w:hint="eastAsia" w:ascii="宋体" w:hAnsi="宋体"/>
          <w:color w:val="auto"/>
          <w:sz w:val="21"/>
          <w:szCs w:val="21"/>
          <w:highlight w:val="none"/>
        </w:rPr>
        <w:t>1、一般要求：</w:t>
      </w:r>
    </w:p>
    <w:p w14:paraId="19CC421B">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(1)</w:t>
      </w:r>
      <w:r>
        <w:rPr>
          <w:rFonts w:hint="eastAsia" w:ascii="宋体" w:hAnsi="宋体" w:eastAsia="宋体"/>
          <w:color w:val="auto"/>
          <w:szCs w:val="21"/>
          <w:highlight w:val="none"/>
          <w:lang w:val="en-US" w:eastAsia="zh-CN"/>
        </w:rPr>
        <w:t>投标人须为在中华人民共和国境内登记注册的具有独立承担民事责任能力的法人或其他组织。</w:t>
      </w:r>
    </w:p>
    <w:p w14:paraId="002236A8">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(2)</w:t>
      </w:r>
      <w:r>
        <w:rPr>
          <w:rFonts w:hint="eastAsia" w:ascii="宋体" w:hAnsi="宋体" w:eastAsia="宋体"/>
          <w:color w:val="auto"/>
          <w:szCs w:val="21"/>
          <w:highlight w:val="none"/>
          <w:lang w:val="en-US" w:eastAsia="zh-CN"/>
        </w:rPr>
        <w:t>投标人的单位负责人为同一人或者存在直接控股、管理关系的不同投标人，不得参加同一合同项下的采购活动。</w:t>
      </w:r>
    </w:p>
    <w:p w14:paraId="491E5959">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(3)</w:t>
      </w:r>
      <w:r>
        <w:rPr>
          <w:rFonts w:hint="eastAsia" w:ascii="宋体" w:hAnsi="宋体" w:eastAsia="宋体"/>
          <w:color w:val="auto"/>
          <w:szCs w:val="21"/>
          <w:highlight w:val="none"/>
          <w:lang w:val="en-US" w:eastAsia="zh-CN"/>
        </w:rPr>
        <w:t>投标人参加本项目采购活动前三年内，在经营活动中没有重大违法记录。（须提供书面声明，详见附件格式）</w:t>
      </w:r>
    </w:p>
    <w:p w14:paraId="7891114A">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(4)</w:t>
      </w:r>
      <w:r>
        <w:rPr>
          <w:rFonts w:hint="eastAsia" w:ascii="宋体" w:hAnsi="宋体" w:eastAsia="宋体"/>
          <w:color w:val="auto"/>
          <w:szCs w:val="21"/>
          <w:highlight w:val="none"/>
          <w:lang w:val="en-US" w:eastAsia="zh-CN"/>
        </w:rPr>
        <w:t>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7F50E86A">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(5)</w:t>
      </w:r>
      <w:r>
        <w:rPr>
          <w:rFonts w:hint="eastAsia" w:ascii="宋体" w:hAnsi="宋体" w:eastAsia="宋体"/>
          <w:color w:val="auto"/>
          <w:szCs w:val="21"/>
          <w:highlight w:val="none"/>
          <w:lang w:val="en-US" w:eastAsia="zh-CN"/>
        </w:rPr>
        <w:t>未被列入东实集团及下属企业工程建设领域黑名单。【以东莞实业投资控股集团有限公司发文（东实通〔2021〕44号）、（东实通〔2021〕98号）、（东实通〔2022〕75号）、（东实通〔2023〕37号）为准，如有最新发文通知，按最新文件执行。】</w:t>
      </w:r>
    </w:p>
    <w:p w14:paraId="727F2136">
      <w:pPr>
        <w:numPr>
          <w:ilvl w:val="0"/>
          <w:numId w:val="0"/>
        </w:numPr>
        <w:ind w:left="425" w:leftChars="0" w:hanging="425" w:firstLineChars="0"/>
        <w:rPr>
          <w:rFonts w:hint="eastAsia" w:ascii="宋体" w:hAnsi="宋体" w:eastAsia="宋体"/>
          <w:color w:val="auto"/>
          <w:szCs w:val="21"/>
          <w:highlight w:val="none"/>
          <w:lang w:val="en-US" w:eastAsia="zh-CN"/>
        </w:rPr>
      </w:pPr>
      <w:r>
        <w:rPr>
          <w:rFonts w:hint="default" w:ascii="宋体" w:hAnsi="宋体" w:eastAsia="宋体" w:cstheme="minorBidi"/>
          <w:color w:val="auto"/>
          <w:sz w:val="21"/>
          <w:szCs w:val="21"/>
          <w:lang w:val="en-US" w:eastAsia="zh-CN" w:bidi="ar-SA"/>
        </w:rPr>
        <w:t>(6)</w:t>
      </w:r>
      <w:r>
        <w:rPr>
          <w:rFonts w:hint="eastAsia" w:ascii="宋体" w:hAnsi="宋体" w:eastAsia="宋体"/>
          <w:color w:val="auto"/>
          <w:szCs w:val="21"/>
          <w:highlight w:val="none"/>
          <w:lang w:val="en-US" w:eastAsia="zh-CN"/>
        </w:rPr>
        <w:t>本项目不接受联合体。</w:t>
      </w:r>
    </w:p>
    <w:p w14:paraId="1792F2A1">
      <w:pPr>
        <w:numPr>
          <w:ilvl w:val="0"/>
          <w:numId w:val="1"/>
        </w:numPr>
        <w:spacing w:line="360" w:lineRule="auto"/>
        <w:ind w:firstLine="428" w:firstLineChars="200"/>
        <w:rPr>
          <w:rFonts w:hint="eastAsia" w:ascii="宋体" w:hAnsi="宋体" w:eastAsia="宋体"/>
          <w:color w:val="auto"/>
          <w:szCs w:val="21"/>
          <w:highlight w:val="none"/>
          <w:lang w:val="en-US" w:eastAsia="zh-CN"/>
        </w:rPr>
      </w:pPr>
      <w:r>
        <w:rPr>
          <w:rFonts w:hint="eastAsia" w:ascii="宋体" w:hAnsi="宋体"/>
          <w:color w:val="auto"/>
          <w:sz w:val="21"/>
          <w:szCs w:val="21"/>
          <w:highlight w:val="none"/>
        </w:rPr>
        <w:t>其他要求</w:t>
      </w:r>
      <w:r>
        <w:rPr>
          <w:rFonts w:hint="eastAsia" w:ascii="宋体" w:hAnsi="宋体"/>
          <w:color w:val="auto"/>
          <w:sz w:val="21"/>
          <w:szCs w:val="21"/>
          <w:highlight w:val="none"/>
          <w:lang w:eastAsia="zh-CN"/>
        </w:rPr>
        <w:t>：</w:t>
      </w:r>
      <w:r>
        <w:rPr>
          <w:rFonts w:hint="eastAsia" w:ascii="宋体" w:hAnsi="宋体" w:eastAsia="宋体"/>
          <w:color w:val="auto"/>
          <w:szCs w:val="21"/>
          <w:highlight w:val="none"/>
          <w:lang w:val="en-US" w:eastAsia="zh-CN"/>
        </w:rPr>
        <w:t>投标人须具备市场监督管理部门颁发的有效的《食品经营许可证》</w:t>
      </w:r>
      <w:r>
        <w:rPr>
          <w:rFonts w:hint="eastAsia" w:ascii="宋体" w:hAnsi="宋体"/>
          <w:color w:val="auto"/>
          <w:szCs w:val="21"/>
          <w:highlight w:val="none"/>
          <w:lang w:val="en-US" w:eastAsia="zh-CN"/>
        </w:rPr>
        <w:t>（投标时须提供证书复印件并加盖投标人公章）。</w:t>
      </w:r>
    </w:p>
    <w:p w14:paraId="5CAA3D74">
      <w:pPr>
        <w:pStyle w:val="37"/>
        <w:numPr>
          <w:ilvl w:val="0"/>
          <w:numId w:val="0"/>
        </w:numPr>
        <w:rPr>
          <w:rFonts w:hint="eastAsia"/>
          <w:color w:val="auto"/>
          <w:lang w:val="en-US" w:eastAsia="zh-CN"/>
        </w:rPr>
      </w:pPr>
    </w:p>
    <w:p w14:paraId="2F640389">
      <w:pPr>
        <w:ind w:firstLine="418" w:firstLineChars="196"/>
        <w:rPr>
          <w:rFonts w:ascii="宋体" w:hAnsi="宋体"/>
          <w:b/>
          <w:color w:val="auto"/>
          <w:szCs w:val="21"/>
          <w:highlight w:val="none"/>
        </w:rPr>
      </w:pPr>
      <w:r>
        <w:rPr>
          <w:rFonts w:hint="eastAsia" w:ascii="宋体" w:hAnsi="宋体"/>
          <w:b/>
          <w:color w:val="auto"/>
          <w:szCs w:val="21"/>
          <w:highlight w:val="none"/>
        </w:rPr>
        <w:t>三、获取采购文件方式及要求：</w:t>
      </w:r>
    </w:p>
    <w:p w14:paraId="582115CB">
      <w:pPr>
        <w:wordWrap w:val="0"/>
        <w:ind w:firstLine="428" w:firstLineChars="200"/>
        <w:rPr>
          <w:rFonts w:ascii="宋体" w:hAnsi="宋体" w:cs="宋体"/>
          <w:color w:val="auto"/>
          <w:szCs w:val="21"/>
        </w:rPr>
      </w:pPr>
      <w:r>
        <w:rPr>
          <w:rFonts w:hint="eastAsia" w:ascii="宋体" w:hAnsi="宋体" w:eastAsia="宋体" w:cs="宋体"/>
          <w:color w:val="auto"/>
          <w:szCs w:val="21"/>
          <w:highlight w:val="none"/>
          <w:lang w:val="en-US" w:eastAsia="zh-CN"/>
        </w:rPr>
        <w:t>本项目无须报名，由</w:t>
      </w:r>
      <w:r>
        <w:rPr>
          <w:rFonts w:hint="eastAsia" w:ascii="宋体" w:hAnsi="宋体" w:eastAsia="宋体"/>
          <w:color w:val="auto"/>
          <w:szCs w:val="21"/>
          <w:highlight w:val="none"/>
          <w:lang w:val="en-US" w:eastAsia="zh-CN"/>
        </w:rPr>
        <w:t>投标人</w:t>
      </w:r>
      <w:r>
        <w:rPr>
          <w:rFonts w:hint="eastAsia" w:ascii="宋体" w:hAnsi="宋体" w:eastAsia="宋体" w:cs="宋体"/>
          <w:color w:val="auto"/>
          <w:szCs w:val="21"/>
          <w:highlight w:val="none"/>
          <w:lang w:val="en-US" w:eastAsia="zh-CN"/>
        </w:rPr>
        <w:t>自行网上下载。下载地址：</w:t>
      </w:r>
      <w:r>
        <w:rPr>
          <w:rFonts w:hint="eastAsia" w:ascii="宋体" w:hAnsi="宋体" w:cs="宋体"/>
          <w:color w:val="auto"/>
          <w:szCs w:val="21"/>
          <w:highlight w:val="none"/>
          <w:u w:val="single"/>
        </w:rPr>
        <w:t>东莞实业投资控股集团有限公司-招标采购栏目（http://www.dgsy.com.cn/）、东莞市能源投资集团网（http://www.dg-energy.com/）</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广东政通招标有限公司</w:t>
      </w:r>
      <w:r>
        <w:rPr>
          <w:rFonts w:hint="eastAsia" w:ascii="宋体" w:hAnsi="宋体" w:cs="宋体"/>
          <w:color w:val="auto"/>
          <w:szCs w:val="21"/>
          <w:highlight w:val="none"/>
          <w:u w:val="single"/>
          <w:lang w:val="en-US" w:eastAsia="zh-CN"/>
        </w:rPr>
        <w:t>官网</w:t>
      </w:r>
      <w:r>
        <w:rPr>
          <w:rFonts w:hint="eastAsia" w:ascii="宋体" w:hAnsi="宋体" w:cs="宋体"/>
          <w:color w:val="auto"/>
          <w:szCs w:val="21"/>
          <w:highlight w:val="none"/>
          <w:u w:val="single"/>
        </w:rPr>
        <w:t>（http://www.zttendering.com/）。</w:t>
      </w:r>
    </w:p>
    <w:p w14:paraId="1BA46BB1">
      <w:pPr>
        <w:rPr>
          <w:color w:val="auto"/>
          <w:highlight w:val="none"/>
        </w:rPr>
      </w:pPr>
    </w:p>
    <w:p w14:paraId="1FB8BC2B">
      <w:pPr>
        <w:ind w:firstLine="418" w:firstLineChars="196"/>
        <w:rPr>
          <w:rFonts w:ascii="宋体" w:hAnsi="宋体"/>
          <w:b/>
          <w:color w:val="auto"/>
          <w:szCs w:val="21"/>
        </w:rPr>
      </w:pPr>
      <w:r>
        <w:rPr>
          <w:rFonts w:hint="eastAsia" w:ascii="宋体" w:hAnsi="宋体"/>
          <w:b/>
          <w:color w:val="auto"/>
          <w:szCs w:val="21"/>
        </w:rPr>
        <w:t>四、投标文件的递交</w:t>
      </w:r>
    </w:p>
    <w:p w14:paraId="09D061C4">
      <w:pPr>
        <w:ind w:firstLine="428" w:firstLineChars="200"/>
        <w:rPr>
          <w:rFonts w:ascii="宋体" w:hAnsi="宋体"/>
          <w:color w:val="auto"/>
          <w:szCs w:val="21"/>
        </w:rPr>
      </w:pPr>
      <w:r>
        <w:rPr>
          <w:rFonts w:hint="eastAsia" w:ascii="宋体" w:hAnsi="宋体"/>
          <w:color w:val="auto"/>
          <w:szCs w:val="21"/>
        </w:rPr>
        <w:t>1、递交投标文件时间：</w:t>
      </w:r>
      <w:r>
        <w:rPr>
          <w:rFonts w:hint="eastAsia" w:ascii="宋体" w:hAnsi="宋体" w:cs="宋体"/>
          <w:color w:val="auto"/>
          <w:szCs w:val="21"/>
          <w:lang w:eastAsia="zh-CN"/>
        </w:rPr>
        <w:t>2026年</w:t>
      </w:r>
      <w:r>
        <w:rPr>
          <w:rFonts w:hint="eastAsia" w:ascii="宋体" w:hAnsi="宋体" w:cs="宋体"/>
          <w:color w:val="auto"/>
          <w:szCs w:val="21"/>
          <w:u w:val="single"/>
          <w:lang w:val="en-US" w:eastAsia="zh-CN"/>
        </w:rPr>
        <w:t>3</w:t>
      </w:r>
      <w:r>
        <w:rPr>
          <w:rFonts w:hint="eastAsia" w:ascii="宋体" w:hAnsi="宋体" w:cs="宋体"/>
          <w:color w:val="auto"/>
          <w:szCs w:val="21"/>
        </w:rPr>
        <w:t>月</w:t>
      </w:r>
      <w:r>
        <w:rPr>
          <w:rFonts w:hint="eastAsia" w:ascii="宋体" w:hAnsi="宋体" w:cs="宋体"/>
          <w:color w:val="auto"/>
          <w:szCs w:val="21"/>
          <w:u w:val="single"/>
          <w:lang w:val="en-US" w:eastAsia="zh-CN"/>
        </w:rPr>
        <w:t>26</w:t>
      </w:r>
      <w:r>
        <w:rPr>
          <w:rFonts w:hint="eastAsia" w:ascii="宋体" w:hAnsi="宋体" w:cs="宋体"/>
          <w:color w:val="auto"/>
          <w:szCs w:val="21"/>
        </w:rPr>
        <w:t>日（</w:t>
      </w:r>
      <w:r>
        <w:rPr>
          <w:rFonts w:hint="eastAsia" w:ascii="宋体" w:hAnsi="宋体"/>
          <w:color w:val="auto"/>
          <w:szCs w:val="21"/>
        </w:rPr>
        <w:t>北京时间）</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00</w:t>
      </w:r>
      <w:r>
        <w:rPr>
          <w:rFonts w:ascii="宋体" w:hAnsi="宋体"/>
          <w:color w:val="auto"/>
          <w:szCs w:val="21"/>
        </w:rPr>
        <w:t>-</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30</w:t>
      </w:r>
      <w:r>
        <w:rPr>
          <w:rFonts w:hint="eastAsia" w:ascii="宋体" w:hAnsi="宋体"/>
          <w:color w:val="auto"/>
          <w:szCs w:val="21"/>
        </w:rPr>
        <w:t>。</w:t>
      </w:r>
    </w:p>
    <w:p w14:paraId="1A85B01A">
      <w:pPr>
        <w:ind w:firstLine="428" w:firstLineChars="200"/>
        <w:rPr>
          <w:rFonts w:ascii="宋体" w:hAnsi="宋体"/>
          <w:b/>
          <w:color w:val="auto"/>
          <w:szCs w:val="21"/>
        </w:rPr>
      </w:pPr>
      <w:r>
        <w:rPr>
          <w:rFonts w:hint="eastAsia" w:ascii="宋体" w:hAnsi="宋体"/>
          <w:color w:val="auto"/>
          <w:szCs w:val="21"/>
        </w:rPr>
        <w:t>2、递交投标文件</w:t>
      </w:r>
      <w:r>
        <w:rPr>
          <w:rFonts w:ascii="宋体" w:hAnsi="宋体"/>
          <w:color w:val="auto"/>
          <w:szCs w:val="21"/>
        </w:rPr>
        <w:t>截止</w:t>
      </w:r>
      <w:r>
        <w:rPr>
          <w:rFonts w:hint="eastAsia" w:ascii="宋体" w:hAnsi="宋体"/>
          <w:color w:val="auto"/>
          <w:szCs w:val="21"/>
        </w:rPr>
        <w:t>及开标时间：</w:t>
      </w:r>
      <w:r>
        <w:rPr>
          <w:rFonts w:hint="eastAsia" w:ascii="宋体" w:hAnsi="宋体" w:cs="宋体"/>
          <w:color w:val="auto"/>
          <w:szCs w:val="21"/>
          <w:lang w:eastAsia="zh-CN"/>
        </w:rPr>
        <w:t>2026年</w:t>
      </w:r>
      <w:r>
        <w:rPr>
          <w:rFonts w:hint="eastAsia" w:ascii="宋体" w:hAnsi="宋体" w:cs="宋体"/>
          <w:color w:val="auto"/>
          <w:szCs w:val="21"/>
          <w:u w:val="single"/>
          <w:lang w:val="en-US" w:eastAsia="zh-CN"/>
        </w:rPr>
        <w:t>3</w:t>
      </w:r>
      <w:r>
        <w:rPr>
          <w:rFonts w:hint="eastAsia" w:ascii="宋体" w:hAnsi="宋体" w:cs="宋体"/>
          <w:color w:val="auto"/>
          <w:szCs w:val="21"/>
        </w:rPr>
        <w:t>月</w:t>
      </w:r>
      <w:r>
        <w:rPr>
          <w:rFonts w:hint="eastAsia" w:ascii="宋体" w:hAnsi="宋体" w:cs="宋体"/>
          <w:color w:val="auto"/>
          <w:szCs w:val="21"/>
          <w:u w:val="single"/>
          <w:lang w:val="en-US" w:eastAsia="zh-CN"/>
        </w:rPr>
        <w:t>26</w:t>
      </w:r>
      <w:r>
        <w:rPr>
          <w:rFonts w:hint="eastAsia" w:ascii="宋体" w:hAnsi="宋体" w:cs="宋体"/>
          <w:color w:val="auto"/>
          <w:szCs w:val="21"/>
        </w:rPr>
        <w:t>日</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30</w:t>
      </w:r>
      <w:r>
        <w:rPr>
          <w:rFonts w:hint="eastAsia" w:ascii="宋体" w:hAnsi="宋体"/>
          <w:color w:val="auto"/>
          <w:szCs w:val="21"/>
        </w:rPr>
        <w:t>（北京时间），所有投标文件应于截止时间之前递交，迟交或以电报、传真形式的投标文件将拒绝接收。</w:t>
      </w:r>
    </w:p>
    <w:p w14:paraId="25AC22A9">
      <w:pPr>
        <w:ind w:firstLine="428" w:firstLineChars="200"/>
        <w:rPr>
          <w:rFonts w:hint="eastAsia" w:ascii="宋体" w:hAnsi="宋体" w:eastAsia="宋体"/>
          <w:color w:val="auto"/>
          <w:szCs w:val="21"/>
          <w:lang w:eastAsia="zh-CN"/>
        </w:rPr>
      </w:pPr>
      <w:r>
        <w:rPr>
          <w:rFonts w:hint="eastAsia" w:ascii="宋体" w:hAnsi="宋体"/>
          <w:color w:val="auto"/>
          <w:szCs w:val="21"/>
        </w:rPr>
        <w:t>3、</w:t>
      </w:r>
      <w:r>
        <w:rPr>
          <w:rFonts w:ascii="宋体" w:hAnsi="宋体"/>
          <w:color w:val="auto"/>
          <w:szCs w:val="21"/>
        </w:rPr>
        <w:t>开标地点</w:t>
      </w:r>
      <w:r>
        <w:rPr>
          <w:rFonts w:hint="eastAsia" w:ascii="宋体" w:hAnsi="宋体"/>
          <w:color w:val="auto"/>
          <w:szCs w:val="21"/>
        </w:rPr>
        <w:t>：</w:t>
      </w:r>
      <w:r>
        <w:rPr>
          <w:rFonts w:hint="eastAsia" w:ascii="宋体" w:hAnsi="宋体"/>
          <w:color w:val="auto"/>
          <w:szCs w:val="21"/>
          <w:u w:val="single"/>
          <w:lang w:eastAsia="zh-CN"/>
        </w:rPr>
        <w:t>东莞市南城街道鸿福路199号（市民服务中心）411室。</w:t>
      </w:r>
    </w:p>
    <w:p w14:paraId="61C4E157">
      <w:pPr>
        <w:ind w:firstLine="418" w:firstLineChars="196"/>
        <w:rPr>
          <w:rFonts w:ascii="宋体" w:hAnsi="宋体"/>
          <w:bCs/>
          <w:color w:val="auto"/>
          <w:szCs w:val="21"/>
        </w:rPr>
      </w:pPr>
      <w:r>
        <w:rPr>
          <w:rFonts w:hint="eastAsia" w:ascii="宋体" w:hAnsi="宋体"/>
          <w:bCs/>
          <w:color w:val="auto"/>
          <w:szCs w:val="21"/>
        </w:rPr>
        <w:t>4、开标事宜：</w:t>
      </w:r>
      <w:r>
        <w:rPr>
          <w:rFonts w:hint="eastAsia" w:ascii="宋体" w:hAnsi="宋体"/>
          <w:b/>
          <w:bCs/>
          <w:color w:val="auto"/>
          <w:szCs w:val="21"/>
        </w:rPr>
        <w:t>届时请投标人的法定代表人或其授权代表务必携带有效身份证明出席开标会</w:t>
      </w:r>
      <w:r>
        <w:rPr>
          <w:rFonts w:hint="eastAsia" w:ascii="宋体" w:hAnsi="宋体"/>
          <w:bCs/>
          <w:color w:val="auto"/>
          <w:szCs w:val="21"/>
        </w:rPr>
        <w:t>。</w:t>
      </w:r>
    </w:p>
    <w:p w14:paraId="1B03AFB8">
      <w:pPr>
        <w:pStyle w:val="37"/>
        <w:spacing w:line="360" w:lineRule="auto"/>
        <w:rPr>
          <w:color w:val="auto"/>
          <w:sz w:val="21"/>
          <w:szCs w:val="21"/>
        </w:rPr>
      </w:pPr>
      <w:r>
        <w:rPr>
          <w:rFonts w:hint="eastAsia"/>
          <w:color w:val="auto"/>
          <w:sz w:val="21"/>
          <w:szCs w:val="21"/>
        </w:rPr>
        <w:t>5、出现以下情形时，采购代理机构不予接收投标（响应）文件：</w:t>
      </w:r>
    </w:p>
    <w:p w14:paraId="2B2059CC">
      <w:pPr>
        <w:pStyle w:val="37"/>
        <w:spacing w:line="360" w:lineRule="auto"/>
        <w:rPr>
          <w:color w:val="auto"/>
          <w:sz w:val="21"/>
          <w:szCs w:val="21"/>
        </w:rPr>
      </w:pPr>
      <w:r>
        <w:rPr>
          <w:color w:val="auto"/>
          <w:sz w:val="21"/>
          <w:szCs w:val="21"/>
        </w:rPr>
        <w:tab/>
      </w:r>
      <w:r>
        <w:rPr>
          <w:rFonts w:hint="eastAsia"/>
          <w:color w:val="auto"/>
          <w:sz w:val="21"/>
          <w:szCs w:val="21"/>
        </w:rPr>
        <w:t>（1）逾期送达或者未送达指定地点的；</w:t>
      </w:r>
    </w:p>
    <w:p w14:paraId="7CA3D9EC">
      <w:pPr>
        <w:pStyle w:val="37"/>
        <w:spacing w:line="360" w:lineRule="auto"/>
        <w:rPr>
          <w:color w:val="auto"/>
          <w:sz w:val="21"/>
          <w:szCs w:val="21"/>
        </w:rPr>
      </w:pPr>
      <w:r>
        <w:rPr>
          <w:color w:val="auto"/>
          <w:sz w:val="21"/>
          <w:szCs w:val="21"/>
        </w:rPr>
        <w:tab/>
      </w:r>
      <w:r>
        <w:rPr>
          <w:rFonts w:hint="eastAsia"/>
          <w:color w:val="auto"/>
          <w:sz w:val="21"/>
          <w:szCs w:val="21"/>
        </w:rPr>
        <w:t>（2）未按采购文件要求密封的。</w:t>
      </w:r>
    </w:p>
    <w:p w14:paraId="23B29A74">
      <w:pPr>
        <w:pStyle w:val="37"/>
        <w:ind w:firstLine="400"/>
        <w:rPr>
          <w:color w:val="auto"/>
        </w:rPr>
      </w:pPr>
    </w:p>
    <w:p w14:paraId="6D2F91A3">
      <w:pPr>
        <w:pStyle w:val="37"/>
        <w:ind w:firstLine="422"/>
        <w:rPr>
          <w:rFonts w:ascii="宋体" w:hAnsi="宋体" w:eastAsia="宋体" w:cstheme="minorBidi"/>
          <w:b/>
          <w:color w:val="auto"/>
          <w:sz w:val="21"/>
          <w:szCs w:val="21"/>
        </w:rPr>
      </w:pPr>
      <w:r>
        <w:rPr>
          <w:rFonts w:hint="eastAsia" w:ascii="宋体" w:hAnsi="宋体" w:eastAsia="宋体" w:cstheme="minorBidi"/>
          <w:b/>
          <w:color w:val="auto"/>
          <w:sz w:val="21"/>
          <w:szCs w:val="21"/>
        </w:rPr>
        <w:t>五</w:t>
      </w:r>
      <w:r>
        <w:rPr>
          <w:rFonts w:ascii="宋体" w:hAnsi="宋体" w:eastAsia="宋体" w:cstheme="minorBidi"/>
          <w:b/>
          <w:color w:val="auto"/>
          <w:sz w:val="21"/>
          <w:szCs w:val="21"/>
        </w:rPr>
        <w:t>、发布公告的媒介</w:t>
      </w:r>
    </w:p>
    <w:p w14:paraId="3F140C28">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采购公告</w:t>
      </w:r>
      <w:r>
        <w:rPr>
          <w:rFonts w:hint="eastAsia" w:ascii="宋体" w:hAnsi="宋体" w:eastAsia="宋体" w:cs="宋体"/>
          <w:color w:val="auto"/>
          <w:sz w:val="21"/>
          <w:szCs w:val="21"/>
          <w:highlight w:val="none"/>
          <w:lang w:val="en-US" w:eastAsia="zh-CN"/>
        </w:rPr>
        <w:t>及结果公告</w:t>
      </w:r>
      <w:r>
        <w:rPr>
          <w:rFonts w:hint="eastAsia" w:ascii="宋体" w:hAnsi="宋体" w:eastAsia="宋体" w:cs="宋体"/>
          <w:color w:val="auto"/>
          <w:sz w:val="21"/>
          <w:szCs w:val="21"/>
          <w:highlight w:val="none"/>
        </w:rPr>
        <w:t>发布媒介：</w:t>
      </w:r>
    </w:p>
    <w:p w14:paraId="5420C8D8">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中国招标投标公共服务平台（http://www.cebpubservice.com/）、东莞实业投资控股集团有限公司-招标采购栏目（http://www.dgsy.com.cn/）、东莞市能源投资集团网（http://www.dg-energy.com/）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广东政通招标有限公司</w:t>
      </w:r>
      <w:r>
        <w:rPr>
          <w:rFonts w:hint="eastAsia" w:ascii="宋体" w:hAnsi="宋体" w:eastAsia="宋体" w:cs="宋体"/>
          <w:color w:val="auto"/>
          <w:sz w:val="21"/>
          <w:szCs w:val="21"/>
          <w:highlight w:val="none"/>
          <w:lang w:val="en-US" w:eastAsia="zh-CN"/>
        </w:rPr>
        <w:t>官网</w:t>
      </w:r>
      <w:r>
        <w:rPr>
          <w:rFonts w:hint="eastAsia" w:ascii="宋体" w:hAnsi="宋体" w:eastAsia="宋体" w:cs="宋体"/>
          <w:color w:val="auto"/>
          <w:sz w:val="21"/>
          <w:szCs w:val="21"/>
          <w:highlight w:val="none"/>
        </w:rPr>
        <w:t>（http://www.zttendering.com/）。</w:t>
      </w:r>
    </w:p>
    <w:p w14:paraId="681A0B92">
      <w:pPr>
        <w:ind w:firstLine="418" w:firstLineChars="196"/>
        <w:rPr>
          <w:rFonts w:hint="eastAsia" w:ascii="宋体" w:hAnsi="宋体"/>
          <w:b/>
          <w:color w:val="auto"/>
          <w:szCs w:val="21"/>
        </w:rPr>
      </w:pPr>
    </w:p>
    <w:p w14:paraId="263F6F36">
      <w:pPr>
        <w:ind w:firstLine="418" w:firstLineChars="196"/>
        <w:rPr>
          <w:rFonts w:ascii="宋体" w:hAnsi="宋体"/>
          <w:bCs/>
          <w:color w:val="auto"/>
          <w:szCs w:val="21"/>
        </w:rPr>
      </w:pPr>
      <w:r>
        <w:rPr>
          <w:rFonts w:hint="eastAsia" w:ascii="宋体" w:hAnsi="宋体"/>
          <w:b/>
          <w:color w:val="auto"/>
          <w:szCs w:val="21"/>
        </w:rPr>
        <w:t>六、采购人及采购代理机构的名称、地址和联系方法：</w:t>
      </w:r>
    </w:p>
    <w:p w14:paraId="5A85F7DC">
      <w:pPr>
        <w:ind w:firstLine="428" w:firstLineChars="200"/>
        <w:rPr>
          <w:rFonts w:ascii="宋体" w:hAnsi="宋体"/>
          <w:bCs/>
          <w:color w:val="auto"/>
          <w:szCs w:val="21"/>
          <w:u w:val="none"/>
        </w:rPr>
      </w:pPr>
      <w:r>
        <w:rPr>
          <w:rFonts w:hint="eastAsia" w:ascii="宋体" w:hAnsi="宋体"/>
          <w:bCs/>
          <w:color w:val="auto"/>
          <w:szCs w:val="21"/>
          <w:u w:val="none"/>
        </w:rPr>
        <w:t>采购</w:t>
      </w:r>
      <w:r>
        <w:rPr>
          <w:rFonts w:hint="eastAsia" w:ascii="宋体" w:hAnsi="宋体" w:eastAsia="宋体"/>
          <w:bCs/>
          <w:color w:val="auto"/>
          <w:szCs w:val="21"/>
          <w:u w:val="none"/>
        </w:rPr>
        <w:t>人名称：东莞市能源投资集团有限公司</w:t>
      </w:r>
    </w:p>
    <w:p w14:paraId="699BE258">
      <w:pPr>
        <w:ind w:firstLine="428" w:firstLineChars="200"/>
        <w:rPr>
          <w:rFonts w:hint="default" w:ascii="宋体" w:hAnsi="宋体" w:eastAsia="宋体"/>
          <w:bCs/>
          <w:color w:val="auto"/>
          <w:szCs w:val="21"/>
          <w:u w:val="none"/>
          <w:lang w:val="en-US" w:eastAsia="zh-CN"/>
        </w:rPr>
      </w:pPr>
      <w:r>
        <w:rPr>
          <w:rFonts w:hint="eastAsia" w:ascii="宋体" w:hAnsi="宋体"/>
          <w:bCs/>
          <w:color w:val="auto"/>
          <w:szCs w:val="21"/>
          <w:u w:val="none"/>
        </w:rPr>
        <w:t>采购人联系人：袁先生</w:t>
      </w:r>
    </w:p>
    <w:p w14:paraId="7EA40454">
      <w:pPr>
        <w:ind w:firstLine="428" w:firstLineChars="200"/>
        <w:rPr>
          <w:rFonts w:hint="eastAsia" w:ascii="宋体" w:hAnsi="宋体"/>
          <w:bCs/>
          <w:color w:val="auto"/>
          <w:szCs w:val="21"/>
          <w:u w:val="none"/>
        </w:rPr>
      </w:pPr>
      <w:r>
        <w:rPr>
          <w:rFonts w:hint="eastAsia" w:ascii="宋体" w:hAnsi="宋体"/>
          <w:bCs/>
          <w:color w:val="auto"/>
          <w:szCs w:val="21"/>
          <w:u w:val="none"/>
        </w:rPr>
        <w:t>采购人地址：广东省东莞市松山湖园区新城路5号4栋</w:t>
      </w:r>
    </w:p>
    <w:p w14:paraId="2429D57C">
      <w:pPr>
        <w:ind w:firstLine="428" w:firstLineChars="200"/>
        <w:rPr>
          <w:rFonts w:hint="default" w:ascii="宋体" w:hAnsi="宋体" w:eastAsia="宋体"/>
          <w:bCs/>
          <w:color w:val="auto"/>
          <w:szCs w:val="21"/>
          <w:highlight w:val="none"/>
          <w:u w:val="none"/>
          <w:lang w:val="en-US" w:eastAsia="zh-CN"/>
        </w:rPr>
      </w:pPr>
      <w:r>
        <w:rPr>
          <w:rFonts w:hint="eastAsia" w:ascii="宋体" w:hAnsi="宋体"/>
          <w:bCs/>
          <w:color w:val="auto"/>
          <w:szCs w:val="21"/>
          <w:highlight w:val="none"/>
          <w:u w:val="none"/>
        </w:rPr>
        <w:t>采购人联系电话：0769-23328000</w:t>
      </w:r>
    </w:p>
    <w:p w14:paraId="1C86DAF7">
      <w:pPr>
        <w:ind w:firstLine="428" w:firstLineChars="200"/>
        <w:rPr>
          <w:rFonts w:ascii="宋体" w:hAnsi="宋体"/>
          <w:color w:val="auto"/>
          <w:szCs w:val="21"/>
        </w:rPr>
      </w:pPr>
    </w:p>
    <w:p w14:paraId="0343AA17">
      <w:pPr>
        <w:ind w:firstLine="428" w:firstLineChars="200"/>
        <w:rPr>
          <w:rFonts w:hint="eastAsia" w:ascii="宋体" w:hAnsi="宋体" w:eastAsia="宋体"/>
          <w:color w:val="auto"/>
          <w:szCs w:val="21"/>
          <w:lang w:eastAsia="zh-CN"/>
        </w:rPr>
      </w:pPr>
      <w:r>
        <w:rPr>
          <w:rFonts w:hint="eastAsia" w:ascii="宋体" w:hAnsi="宋体"/>
          <w:color w:val="auto"/>
          <w:szCs w:val="21"/>
        </w:rPr>
        <w:t>采购代理机构名称：</w:t>
      </w:r>
      <w:r>
        <w:rPr>
          <w:rFonts w:hint="eastAsia" w:ascii="宋体" w:hAnsi="宋体"/>
          <w:color w:val="auto"/>
          <w:szCs w:val="21"/>
          <w:lang w:eastAsia="zh-CN"/>
        </w:rPr>
        <w:t>广东政通招标有限公司</w:t>
      </w:r>
    </w:p>
    <w:p w14:paraId="72335B5C">
      <w:pPr>
        <w:ind w:firstLine="428" w:firstLineChars="200"/>
        <w:rPr>
          <w:rFonts w:hint="eastAsia" w:ascii="宋体" w:hAnsi="宋体" w:eastAsia="宋体"/>
          <w:color w:val="auto"/>
          <w:szCs w:val="21"/>
          <w:lang w:eastAsia="zh-CN"/>
        </w:rPr>
      </w:pPr>
      <w:r>
        <w:rPr>
          <w:rFonts w:hint="eastAsia" w:ascii="宋体" w:hAnsi="宋体"/>
          <w:color w:val="auto"/>
          <w:szCs w:val="21"/>
        </w:rPr>
        <w:t xml:space="preserve">采购代理机构地址： </w:t>
      </w:r>
      <w:r>
        <w:rPr>
          <w:rFonts w:hint="eastAsia" w:ascii="宋体" w:hAnsi="宋体"/>
          <w:color w:val="auto"/>
          <w:szCs w:val="21"/>
          <w:lang w:eastAsia="zh-CN"/>
        </w:rPr>
        <w:t>东莞市南城街道鸿福路199号（市民服务中心）411室</w:t>
      </w:r>
    </w:p>
    <w:p w14:paraId="1F519EF6">
      <w:pPr>
        <w:ind w:firstLine="428" w:firstLineChars="200"/>
        <w:rPr>
          <w:rFonts w:hint="default" w:ascii="宋体" w:hAnsi="宋体" w:eastAsia="宋体"/>
          <w:color w:val="auto"/>
          <w:szCs w:val="21"/>
          <w:lang w:val="en-US" w:eastAsia="zh-CN"/>
        </w:rPr>
      </w:pPr>
      <w:r>
        <w:rPr>
          <w:rFonts w:hint="eastAsia" w:ascii="宋体" w:hAnsi="宋体"/>
          <w:color w:val="auto"/>
          <w:szCs w:val="21"/>
        </w:rPr>
        <w:t>采购代理机构联系人：</w:t>
      </w:r>
      <w:r>
        <w:rPr>
          <w:rFonts w:hint="eastAsia" w:ascii="宋体" w:hAnsi="宋体"/>
          <w:color w:val="auto"/>
          <w:szCs w:val="21"/>
          <w:lang w:val="en-US" w:eastAsia="zh-CN"/>
        </w:rPr>
        <w:t>杨先生</w:t>
      </w:r>
    </w:p>
    <w:p w14:paraId="494EE95C">
      <w:pPr>
        <w:ind w:firstLine="428" w:firstLineChars="200"/>
        <w:rPr>
          <w:rFonts w:hint="eastAsia" w:ascii="宋体" w:hAnsi="宋体" w:eastAsia="宋体"/>
          <w:color w:val="auto"/>
          <w:szCs w:val="21"/>
          <w:lang w:eastAsia="zh-CN"/>
        </w:rPr>
      </w:pPr>
      <w:r>
        <w:rPr>
          <w:rFonts w:hint="eastAsia" w:ascii="宋体" w:hAnsi="宋体"/>
          <w:color w:val="auto"/>
          <w:szCs w:val="21"/>
        </w:rPr>
        <w:t>采购代理机构联系电话：</w:t>
      </w:r>
      <w:r>
        <w:rPr>
          <w:rFonts w:hint="eastAsia" w:ascii="宋体" w:hAnsi="宋体" w:eastAsia="宋体" w:cs="宋体"/>
          <w:color w:val="auto"/>
          <w:szCs w:val="21"/>
          <w:highlight w:val="none"/>
          <w:lang w:eastAsia="zh-CN"/>
        </w:rPr>
        <w:t>0769-22881803</w:t>
      </w:r>
    </w:p>
    <w:p w14:paraId="31A95D22">
      <w:pPr>
        <w:ind w:firstLine="428" w:firstLineChars="200"/>
        <w:rPr>
          <w:color w:val="auto"/>
        </w:rPr>
      </w:pPr>
      <w:r>
        <w:rPr>
          <w:rFonts w:hint="eastAsia" w:ascii="宋体" w:hAnsi="宋体"/>
          <w:color w:val="auto"/>
          <w:szCs w:val="21"/>
        </w:rPr>
        <w:t>采购代理机构邮箱：</w:t>
      </w:r>
      <w:r>
        <w:rPr>
          <w:rFonts w:hint="eastAsia" w:ascii="宋体" w:hAnsi="宋体"/>
          <w:color w:val="auto"/>
          <w:szCs w:val="21"/>
          <w:lang w:eastAsia="zh-CN"/>
        </w:rPr>
        <w:t>471539976@qq.com</w:t>
      </w:r>
      <w:r>
        <w:rPr>
          <w:rFonts w:hint="eastAsia" w:ascii="宋体" w:hAnsi="宋体"/>
          <w:color w:val="auto"/>
          <w:szCs w:val="21"/>
        </w:rPr>
        <w:t xml:space="preserve"> </w:t>
      </w:r>
    </w:p>
    <w:p w14:paraId="20E83EF5">
      <w:pPr>
        <w:ind w:firstLine="428" w:firstLineChars="200"/>
        <w:rPr>
          <w:color w:val="auto"/>
        </w:rPr>
      </w:pPr>
    </w:p>
    <w:p w14:paraId="5FA3E8A5">
      <w:pPr>
        <w:ind w:right="766" w:rightChars="358"/>
        <w:jc w:val="right"/>
        <w:rPr>
          <w:rFonts w:hint="eastAsia" w:ascii="宋体" w:hAnsi="宋体" w:cs="宋体"/>
          <w:color w:val="auto"/>
          <w:szCs w:val="21"/>
        </w:rPr>
      </w:pPr>
      <w:r>
        <w:rPr>
          <w:rFonts w:hint="eastAsia" w:ascii="宋体" w:hAnsi="宋体" w:cs="宋体"/>
          <w:color w:val="auto"/>
          <w:szCs w:val="21"/>
        </w:rPr>
        <w:t>东莞市能源投资集团有限公司</w:t>
      </w:r>
    </w:p>
    <w:p w14:paraId="6198E81D">
      <w:pPr>
        <w:ind w:right="766" w:rightChars="358"/>
        <w:jc w:val="right"/>
        <w:rPr>
          <w:rFonts w:hint="eastAsia" w:ascii="宋体" w:hAnsi="宋体" w:eastAsia="宋体" w:cs="宋体"/>
          <w:color w:val="auto"/>
          <w:szCs w:val="21"/>
          <w:lang w:eastAsia="zh-CN"/>
        </w:rPr>
      </w:pPr>
      <w:r>
        <w:rPr>
          <w:rFonts w:hint="eastAsia" w:ascii="宋体" w:hAnsi="宋体" w:cs="宋体"/>
          <w:color w:val="auto"/>
          <w:szCs w:val="21"/>
          <w:lang w:eastAsia="zh-CN"/>
        </w:rPr>
        <w:t>广东政通招标有限公司</w:t>
      </w:r>
    </w:p>
    <w:p w14:paraId="4F7E2D62">
      <w:pPr>
        <w:ind w:right="766" w:rightChars="358" w:firstLine="0" w:firstLineChars="0"/>
        <w:jc w:val="right"/>
        <w:rPr>
          <w:rFonts w:ascii="黑体" w:hAnsi="宋体" w:eastAsia="黑体"/>
          <w:color w:val="auto"/>
          <w:highlight w:val="none"/>
        </w:rPr>
      </w:pPr>
      <w:r>
        <w:rPr>
          <w:rFonts w:hint="eastAsia" w:ascii="宋体" w:hAnsi="宋体" w:cs="宋体"/>
          <w:color w:val="auto"/>
          <w:szCs w:val="21"/>
          <w:lang w:eastAsia="zh-CN"/>
        </w:rPr>
        <w:t>2026年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5日</w:t>
      </w:r>
      <w:r>
        <w:rPr>
          <w:rFonts w:hint="eastAsia" w:ascii="宋体" w:hAnsi="宋体" w:cs="宋体"/>
          <w:color w:val="auto"/>
          <w:szCs w:val="21"/>
          <w:highlight w:val="none"/>
        </w:rPr>
        <w:br w:type="page"/>
      </w:r>
    </w:p>
    <w:p w14:paraId="39DC1D28">
      <w:pPr>
        <w:pStyle w:val="5"/>
        <w:spacing w:before="0" w:after="0" w:line="240" w:lineRule="auto"/>
        <w:rPr>
          <w:color w:val="auto"/>
          <w:sz w:val="28"/>
          <w:szCs w:val="28"/>
          <w:highlight w:val="none"/>
        </w:rPr>
      </w:pPr>
      <w:bookmarkStart w:id="2" w:name="_Toc2907"/>
      <w:r>
        <w:rPr>
          <w:rFonts w:hint="eastAsia"/>
          <w:color w:val="auto"/>
          <w:sz w:val="28"/>
          <w:szCs w:val="28"/>
          <w:highlight w:val="none"/>
        </w:rPr>
        <w:t>第二部分相关资料表格</w:t>
      </w:r>
      <w:bookmarkEnd w:id="2"/>
    </w:p>
    <w:p w14:paraId="7C24D956">
      <w:pPr>
        <w:pStyle w:val="6"/>
        <w:spacing w:before="0" w:after="0" w:line="240" w:lineRule="auto"/>
        <w:jc w:val="center"/>
        <w:rPr>
          <w:rFonts w:ascii="宋体" w:hAnsi="宋体" w:cs="宋体"/>
          <w:color w:val="auto"/>
          <w:sz w:val="24"/>
          <w:szCs w:val="24"/>
          <w:highlight w:val="none"/>
        </w:rPr>
      </w:pPr>
      <w:bookmarkStart w:id="3" w:name="_Toc31770"/>
      <w:bookmarkStart w:id="4" w:name="_Toc32660"/>
      <w:r>
        <w:rPr>
          <w:rFonts w:hint="eastAsia" w:ascii="宋体" w:hAnsi="宋体" w:cs="宋体"/>
          <w:color w:val="auto"/>
          <w:sz w:val="24"/>
          <w:szCs w:val="24"/>
          <w:highlight w:val="none"/>
        </w:rPr>
        <w:t>附表一：投标资料表</w:t>
      </w:r>
      <w:bookmarkEnd w:id="3"/>
      <w:bookmarkEnd w:id="4"/>
    </w:p>
    <w:tbl>
      <w:tblPr>
        <w:tblStyle w:val="27"/>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14DC8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3F8451C3">
            <w:pPr>
              <w:jc w:val="center"/>
              <w:rPr>
                <w:rFonts w:ascii="宋体" w:hAnsi="宋体"/>
                <w:color w:val="auto"/>
                <w:szCs w:val="21"/>
                <w:highlight w:val="none"/>
              </w:rPr>
            </w:pPr>
            <w:r>
              <w:rPr>
                <w:rFonts w:hint="eastAsia" w:ascii="宋体" w:hAnsi="宋体"/>
                <w:color w:val="auto"/>
                <w:szCs w:val="21"/>
                <w:highlight w:val="none"/>
              </w:rPr>
              <w:t>序号</w:t>
            </w:r>
          </w:p>
        </w:tc>
        <w:tc>
          <w:tcPr>
            <w:tcW w:w="7609" w:type="dxa"/>
            <w:gridSpan w:val="2"/>
            <w:tcBorders>
              <w:tl2br w:val="nil"/>
              <w:tr2bl w:val="nil"/>
            </w:tcBorders>
            <w:vAlign w:val="center"/>
          </w:tcPr>
          <w:p w14:paraId="10CA2C76">
            <w:pPr>
              <w:jc w:val="center"/>
              <w:rPr>
                <w:rFonts w:ascii="宋体" w:hAnsi="宋体"/>
                <w:b/>
                <w:color w:val="auto"/>
                <w:szCs w:val="21"/>
                <w:highlight w:val="none"/>
              </w:rPr>
            </w:pPr>
            <w:r>
              <w:rPr>
                <w:rFonts w:hint="eastAsia" w:ascii="宋体" w:hAnsi="宋体"/>
                <w:b/>
                <w:color w:val="auto"/>
                <w:szCs w:val="21"/>
                <w:highlight w:val="none"/>
              </w:rPr>
              <w:t>内容</w:t>
            </w:r>
          </w:p>
        </w:tc>
      </w:tr>
      <w:tr w14:paraId="52110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196E2F4D">
            <w:pPr>
              <w:jc w:val="center"/>
              <w:rPr>
                <w:rFonts w:ascii="宋体" w:hAnsi="宋体"/>
                <w:b/>
                <w:color w:val="auto"/>
                <w:szCs w:val="21"/>
                <w:highlight w:val="none"/>
              </w:rPr>
            </w:pPr>
            <w:r>
              <w:rPr>
                <w:rFonts w:hint="eastAsia" w:ascii="宋体" w:hAnsi="宋体"/>
                <w:b/>
                <w:color w:val="auto"/>
                <w:szCs w:val="21"/>
                <w:highlight w:val="none"/>
              </w:rPr>
              <w:t>一、说明</w:t>
            </w:r>
          </w:p>
        </w:tc>
      </w:tr>
      <w:tr w14:paraId="387F15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06F9F55">
            <w:pPr>
              <w:jc w:val="center"/>
              <w:rPr>
                <w:rFonts w:ascii="宋体" w:hAnsi="宋体"/>
                <w:color w:val="auto"/>
                <w:szCs w:val="21"/>
                <w:highlight w:val="none"/>
              </w:rPr>
            </w:pPr>
            <w:r>
              <w:rPr>
                <w:rFonts w:hint="eastAsia" w:ascii="宋体" w:hAnsi="宋体"/>
                <w:color w:val="auto"/>
                <w:szCs w:val="21"/>
                <w:highlight w:val="none"/>
              </w:rPr>
              <w:t>1</w:t>
            </w:r>
          </w:p>
        </w:tc>
        <w:tc>
          <w:tcPr>
            <w:tcW w:w="7609" w:type="dxa"/>
            <w:gridSpan w:val="2"/>
            <w:tcBorders>
              <w:tl2br w:val="nil"/>
              <w:tr2bl w:val="nil"/>
            </w:tcBorders>
            <w:vAlign w:val="center"/>
          </w:tcPr>
          <w:p w14:paraId="12130237">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68AA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28C2B604">
            <w:pPr>
              <w:jc w:val="center"/>
              <w:rPr>
                <w:rFonts w:ascii="宋体" w:hAnsi="宋体"/>
                <w:color w:val="auto"/>
                <w:szCs w:val="21"/>
                <w:highlight w:val="none"/>
              </w:rPr>
            </w:pPr>
          </w:p>
        </w:tc>
        <w:tc>
          <w:tcPr>
            <w:tcW w:w="7609" w:type="dxa"/>
            <w:gridSpan w:val="2"/>
            <w:tcBorders>
              <w:tl2br w:val="nil"/>
              <w:tr2bl w:val="nil"/>
            </w:tcBorders>
            <w:vAlign w:val="center"/>
          </w:tcPr>
          <w:p w14:paraId="149564AB">
            <w:pPr>
              <w:rPr>
                <w:rFonts w:hint="eastAsia" w:ascii="宋体" w:hAnsi="宋体" w:eastAsia="宋体"/>
                <w:b/>
                <w:bCs/>
                <w:color w:val="auto"/>
                <w:szCs w:val="21"/>
                <w:highlight w:val="none"/>
                <w:lang w:eastAsia="zh-CN"/>
              </w:rPr>
            </w:pPr>
            <w:r>
              <w:rPr>
                <w:rFonts w:hint="eastAsia" w:ascii="宋体" w:hAnsi="宋体"/>
                <w:b w:val="0"/>
                <w:bCs w:val="0"/>
                <w:color w:val="auto"/>
                <w:szCs w:val="21"/>
                <w:highlight w:val="none"/>
              </w:rPr>
              <w:t>与项目预算一致</w:t>
            </w:r>
            <w:r>
              <w:rPr>
                <w:rFonts w:hint="eastAsia" w:ascii="宋体" w:hAnsi="宋体"/>
                <w:b w:val="0"/>
                <w:bCs w:val="0"/>
                <w:color w:val="auto"/>
                <w:szCs w:val="21"/>
                <w:highlight w:val="none"/>
                <w:lang w:eastAsia="zh-CN"/>
              </w:rPr>
              <w:t>。</w:t>
            </w:r>
          </w:p>
        </w:tc>
      </w:tr>
      <w:tr w14:paraId="3FF23D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77713841">
            <w:pPr>
              <w:jc w:val="center"/>
              <w:rPr>
                <w:rFonts w:ascii="宋体" w:hAnsi="宋体"/>
                <w:color w:val="auto"/>
                <w:szCs w:val="21"/>
                <w:highlight w:val="none"/>
              </w:rPr>
            </w:pPr>
            <w:r>
              <w:rPr>
                <w:rFonts w:hint="eastAsia" w:ascii="宋体" w:hAnsi="宋体"/>
                <w:color w:val="auto"/>
                <w:szCs w:val="21"/>
                <w:highlight w:val="none"/>
              </w:rPr>
              <w:t>2</w:t>
            </w:r>
          </w:p>
        </w:tc>
        <w:tc>
          <w:tcPr>
            <w:tcW w:w="7609" w:type="dxa"/>
            <w:gridSpan w:val="2"/>
            <w:tcBorders>
              <w:tl2br w:val="nil"/>
              <w:tr2bl w:val="nil"/>
            </w:tcBorders>
            <w:vAlign w:val="center"/>
          </w:tcPr>
          <w:p w14:paraId="50A3DE72">
            <w:pPr>
              <w:rPr>
                <w:rFonts w:ascii="宋体" w:hAnsi="宋体"/>
                <w:b/>
                <w:bCs/>
                <w:color w:val="auto"/>
                <w:szCs w:val="21"/>
                <w:highlight w:val="none"/>
              </w:rPr>
            </w:pPr>
            <w:r>
              <w:rPr>
                <w:rFonts w:hint="eastAsia" w:ascii="宋体" w:hAnsi="宋体"/>
                <w:b/>
                <w:bCs/>
                <w:color w:val="auto"/>
                <w:szCs w:val="21"/>
                <w:highlight w:val="none"/>
              </w:rPr>
              <w:t>发包方式</w:t>
            </w:r>
          </w:p>
        </w:tc>
      </w:tr>
      <w:tr w14:paraId="32206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472DED5">
            <w:pPr>
              <w:jc w:val="center"/>
              <w:rPr>
                <w:rFonts w:ascii="宋体" w:hAnsi="宋体"/>
                <w:color w:val="auto"/>
                <w:szCs w:val="21"/>
                <w:highlight w:val="none"/>
              </w:rPr>
            </w:pPr>
          </w:p>
        </w:tc>
        <w:tc>
          <w:tcPr>
            <w:tcW w:w="7609" w:type="dxa"/>
            <w:gridSpan w:val="2"/>
            <w:tcBorders>
              <w:tl2br w:val="nil"/>
              <w:tr2bl w:val="nil"/>
            </w:tcBorders>
            <w:vAlign w:val="center"/>
          </w:tcPr>
          <w:p w14:paraId="6B090C94">
            <w:pPr>
              <w:rPr>
                <w:rFonts w:ascii="宋体" w:hAnsi="宋体"/>
                <w:b/>
                <w:bCs/>
                <w:color w:val="auto"/>
                <w:szCs w:val="21"/>
                <w:highlight w:val="none"/>
              </w:rPr>
            </w:pPr>
            <w:r>
              <w:rPr>
                <w:rFonts w:hint="eastAsia" w:ascii="宋体" w:hAnsi="宋体"/>
                <w:bCs/>
                <w:color w:val="auto"/>
                <w:szCs w:val="21"/>
                <w:highlight w:val="none"/>
                <w:lang w:eastAsia="zh-CN"/>
              </w:rPr>
              <w:t>□</w:t>
            </w:r>
            <w:r>
              <w:rPr>
                <w:rFonts w:hint="eastAsia" w:ascii="宋体" w:hAnsi="宋体"/>
                <w:b/>
                <w:bCs/>
                <w:color w:val="auto"/>
                <w:szCs w:val="21"/>
                <w:highlight w:val="none"/>
              </w:rPr>
              <w:t>固定总价包干；</w:t>
            </w:r>
          </w:p>
          <w:p w14:paraId="18874C15">
            <w:pPr>
              <w:rPr>
                <w:rFonts w:ascii="宋体" w:hAnsi="宋体"/>
                <w:b/>
                <w:bCs/>
                <w:color w:val="auto"/>
                <w:szCs w:val="21"/>
                <w:highlight w:val="none"/>
              </w:rPr>
            </w:pPr>
            <w:r>
              <w:rPr>
                <w:rFonts w:hint="eastAsia" w:ascii="宋体" w:hAnsi="宋体"/>
                <w:bCs/>
                <w:color w:val="auto"/>
                <w:szCs w:val="21"/>
                <w:highlight w:val="none"/>
                <w:lang w:eastAsia="zh-CN"/>
              </w:rPr>
              <w:t>□</w:t>
            </w:r>
            <w:r>
              <w:rPr>
                <w:rFonts w:hint="eastAsia" w:ascii="宋体" w:hAnsi="宋体"/>
                <w:b/>
                <w:bCs/>
                <w:color w:val="auto"/>
                <w:szCs w:val="21"/>
                <w:highlight w:val="none"/>
              </w:rPr>
              <w:t>固定单价暂定总价包干；</w:t>
            </w:r>
          </w:p>
          <w:p w14:paraId="61E559D2">
            <w:pPr>
              <w:rPr>
                <w:rFonts w:ascii="宋体" w:hAnsi="宋体"/>
                <w:b/>
                <w:bCs/>
                <w:color w:val="auto"/>
                <w:szCs w:val="21"/>
                <w:highlight w:val="none"/>
                <w:u w:val="single"/>
              </w:rPr>
            </w:pPr>
            <w:r>
              <w:rPr>
                <w:rFonts w:hint="eastAsia" w:ascii="宋体" w:hAnsi="宋体"/>
                <w:bCs/>
                <w:color w:val="auto"/>
                <w:szCs w:val="21"/>
                <w:highlight w:val="none"/>
              </w:rPr>
              <w:t>□</w:t>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14:paraId="1851E55D">
            <w:pPr>
              <w:rPr>
                <w:rFonts w:ascii="宋体" w:hAnsi="宋体"/>
                <w:b/>
                <w:bCs/>
                <w:color w:val="auto"/>
                <w:szCs w:val="21"/>
                <w:highlight w:val="none"/>
              </w:rPr>
            </w:pPr>
            <w:r>
              <w:rPr>
                <w:rFonts w:hint="eastAsia" w:ascii="宋体" w:hAnsi="宋体"/>
                <w:bCs/>
                <w:color w:val="auto"/>
                <w:szCs w:val="21"/>
                <w:highlight w:val="none"/>
                <w:lang w:eastAsia="zh-CN"/>
              </w:rPr>
              <w:t>☑</w:t>
            </w:r>
            <w:r>
              <w:rPr>
                <w:rFonts w:hint="eastAsia" w:ascii="宋体" w:hAnsi="宋体"/>
                <w:b/>
                <w:bCs/>
                <w:color w:val="auto"/>
                <w:szCs w:val="21"/>
                <w:highlight w:val="none"/>
              </w:rPr>
              <w:t>其他</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u w:val="single"/>
                <w:lang w:val="en-US" w:eastAsia="zh-CN"/>
              </w:rPr>
              <w:t>下浮率</w:t>
            </w:r>
            <w:r>
              <w:rPr>
                <w:rFonts w:hint="eastAsia" w:ascii="宋体" w:hAnsi="宋体"/>
                <w:b/>
                <w:bCs/>
                <w:color w:val="auto"/>
                <w:szCs w:val="21"/>
                <w:u w:val="single"/>
              </w:rPr>
              <w:t xml:space="preserve"> </w:t>
            </w:r>
            <w:r>
              <w:rPr>
                <w:rFonts w:hint="eastAsia" w:ascii="宋体" w:hAnsi="宋体"/>
                <w:b/>
                <w:bCs/>
                <w:color w:val="auto"/>
                <w:szCs w:val="21"/>
                <w:highlight w:val="none"/>
              </w:rPr>
              <w:t>；</w:t>
            </w:r>
          </w:p>
        </w:tc>
      </w:tr>
      <w:tr w14:paraId="1C1BD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071AEB46">
            <w:pPr>
              <w:jc w:val="center"/>
              <w:rPr>
                <w:rFonts w:ascii="宋体" w:hAnsi="宋体"/>
                <w:color w:val="auto"/>
                <w:szCs w:val="21"/>
                <w:highlight w:val="none"/>
              </w:rPr>
            </w:pPr>
            <w:r>
              <w:rPr>
                <w:rFonts w:hint="eastAsia" w:ascii="宋体" w:hAnsi="宋体"/>
                <w:color w:val="auto"/>
                <w:szCs w:val="21"/>
              </w:rPr>
              <w:t>3</w:t>
            </w:r>
          </w:p>
        </w:tc>
        <w:tc>
          <w:tcPr>
            <w:tcW w:w="7609" w:type="dxa"/>
            <w:gridSpan w:val="2"/>
            <w:tcBorders>
              <w:tl2br w:val="nil"/>
              <w:tr2bl w:val="nil"/>
            </w:tcBorders>
            <w:vAlign w:val="center"/>
          </w:tcPr>
          <w:p w14:paraId="661A002D">
            <w:pPr>
              <w:rPr>
                <w:rFonts w:hint="eastAsia" w:ascii="宋体" w:hAnsi="宋体"/>
                <w:bCs/>
                <w:color w:val="auto"/>
                <w:szCs w:val="21"/>
                <w:highlight w:val="none"/>
                <w:lang w:eastAsia="zh-CN"/>
              </w:rPr>
            </w:pPr>
            <w:r>
              <w:rPr>
                <w:rFonts w:hint="eastAsia" w:ascii="宋体" w:hAnsi="宋体"/>
                <w:b/>
                <w:bCs/>
                <w:color w:val="auto"/>
                <w:szCs w:val="21"/>
              </w:rPr>
              <w:t>是否接受联合体投标</w:t>
            </w:r>
          </w:p>
        </w:tc>
      </w:tr>
      <w:tr w14:paraId="47F17A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4EC3021A">
            <w:pPr>
              <w:jc w:val="center"/>
              <w:rPr>
                <w:rFonts w:hint="eastAsia" w:ascii="宋体" w:hAnsi="宋体"/>
                <w:color w:val="auto"/>
                <w:szCs w:val="21"/>
              </w:rPr>
            </w:pPr>
          </w:p>
        </w:tc>
        <w:tc>
          <w:tcPr>
            <w:tcW w:w="7609" w:type="dxa"/>
            <w:gridSpan w:val="2"/>
            <w:tcBorders>
              <w:tl2br w:val="nil"/>
              <w:tr2bl w:val="nil"/>
            </w:tcBorders>
            <w:vAlign w:val="center"/>
          </w:tcPr>
          <w:p w14:paraId="5188C754">
            <w:pPr>
              <w:pStyle w:val="40"/>
              <w:ind w:firstLine="0" w:firstLineChars="0"/>
              <w:rPr>
                <w:rFonts w:ascii="宋体" w:hAnsi="宋体" w:cs="宋体"/>
                <w:color w:val="auto"/>
                <w:szCs w:val="21"/>
              </w:rPr>
            </w:pPr>
            <w:r>
              <w:rPr>
                <w:rFonts w:hint="eastAsia" w:ascii="宋体" w:hAnsi="宋体"/>
                <w:bCs/>
                <w:color w:val="auto"/>
                <w:szCs w:val="21"/>
                <w:highlight w:val="none"/>
              </w:rPr>
              <w:t>□</w:t>
            </w:r>
            <w:r>
              <w:rPr>
                <w:rFonts w:hint="eastAsia" w:ascii="宋体" w:hAnsi="宋体" w:cs="宋体"/>
                <w:color w:val="auto"/>
                <w:szCs w:val="21"/>
              </w:rPr>
              <w:t>是，</w:t>
            </w:r>
            <w:r>
              <w:rPr>
                <w:rFonts w:hint="eastAsia" w:ascii="宋体" w:hAnsi="宋体"/>
                <w:color w:val="auto"/>
                <w:szCs w:val="21"/>
              </w:rPr>
              <w:t>联合体投标的，应满足下列要求：</w:t>
            </w:r>
            <w:r>
              <w:rPr>
                <w:rFonts w:ascii="宋体" w:hAnsi="宋体"/>
                <w:color w:val="auto"/>
                <w:szCs w:val="21"/>
                <w:u w:val="single"/>
              </w:rPr>
              <w:t xml:space="preserve">         </w:t>
            </w:r>
            <w:r>
              <w:rPr>
                <w:rFonts w:hint="eastAsia" w:ascii="宋体" w:hAnsi="宋体" w:cs="宋体"/>
                <w:color w:val="auto"/>
                <w:szCs w:val="21"/>
              </w:rPr>
              <w:t>；</w:t>
            </w:r>
          </w:p>
          <w:p w14:paraId="78FD26E6">
            <w:pPr>
              <w:rPr>
                <w:rFonts w:hint="eastAsia" w:ascii="宋体" w:hAnsi="宋体"/>
                <w:b/>
                <w:bCs/>
                <w:color w:val="auto"/>
                <w:szCs w:val="21"/>
              </w:rPr>
            </w:pPr>
            <w:r>
              <w:rPr>
                <w:rFonts w:hint="eastAsia" w:ascii="宋体" w:hAnsi="宋体"/>
                <w:bCs/>
                <w:color w:val="auto"/>
                <w:szCs w:val="21"/>
                <w:highlight w:val="none"/>
                <w:lang w:eastAsia="zh-CN"/>
              </w:rPr>
              <w:t>☑</w:t>
            </w:r>
            <w:r>
              <w:rPr>
                <w:rFonts w:hint="eastAsia" w:ascii="宋体" w:hAnsi="宋体" w:cs="宋体"/>
                <w:color w:val="auto"/>
                <w:szCs w:val="21"/>
              </w:rPr>
              <w:t>否；</w:t>
            </w:r>
          </w:p>
        </w:tc>
      </w:tr>
      <w:tr w14:paraId="532304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53A3074">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7609" w:type="dxa"/>
            <w:gridSpan w:val="2"/>
            <w:tcBorders>
              <w:tl2br w:val="nil"/>
              <w:tr2bl w:val="nil"/>
            </w:tcBorders>
            <w:vAlign w:val="center"/>
          </w:tcPr>
          <w:p w14:paraId="69CDEFEB">
            <w:pPr>
              <w:rPr>
                <w:rFonts w:ascii="宋体" w:hAnsi="宋体"/>
                <w:b/>
                <w:bCs/>
                <w:color w:val="auto"/>
                <w:szCs w:val="21"/>
                <w:highlight w:val="none"/>
              </w:rPr>
            </w:pPr>
            <w:r>
              <w:rPr>
                <w:rFonts w:hint="eastAsia" w:ascii="宋体" w:hAnsi="宋体"/>
                <w:b/>
                <w:bCs/>
                <w:color w:val="auto"/>
                <w:szCs w:val="21"/>
                <w:highlight w:val="none"/>
              </w:rPr>
              <w:t>资金来源</w:t>
            </w:r>
          </w:p>
        </w:tc>
      </w:tr>
      <w:tr w14:paraId="5E20C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1A634CF">
            <w:pPr>
              <w:jc w:val="center"/>
              <w:rPr>
                <w:rFonts w:ascii="宋体" w:hAnsi="宋体"/>
                <w:color w:val="auto"/>
                <w:szCs w:val="21"/>
                <w:highlight w:val="none"/>
              </w:rPr>
            </w:pPr>
          </w:p>
        </w:tc>
        <w:tc>
          <w:tcPr>
            <w:tcW w:w="7609" w:type="dxa"/>
            <w:gridSpan w:val="2"/>
            <w:tcBorders>
              <w:tl2br w:val="nil"/>
              <w:tr2bl w:val="nil"/>
            </w:tcBorders>
            <w:vAlign w:val="center"/>
          </w:tcPr>
          <w:p w14:paraId="0353AEF0">
            <w:pPr>
              <w:rPr>
                <w:rFonts w:ascii="宋体" w:hAnsi="宋体"/>
                <w:b/>
                <w:bCs/>
                <w:color w:val="auto"/>
                <w:szCs w:val="21"/>
                <w:highlight w:val="none"/>
              </w:rPr>
            </w:pPr>
            <w:r>
              <w:rPr>
                <w:rFonts w:hint="eastAsia" w:ascii="宋体" w:hAnsi="宋体"/>
                <w:color w:val="auto"/>
                <w:szCs w:val="21"/>
                <w:highlight w:val="none"/>
                <w:u w:val="single"/>
              </w:rPr>
              <w:t>自筹资金。</w:t>
            </w:r>
          </w:p>
        </w:tc>
      </w:tr>
      <w:tr w14:paraId="3B2E6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2A651F7">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7609" w:type="dxa"/>
            <w:gridSpan w:val="2"/>
            <w:tcBorders>
              <w:tl2br w:val="nil"/>
              <w:tr2bl w:val="nil"/>
            </w:tcBorders>
            <w:vAlign w:val="center"/>
          </w:tcPr>
          <w:p w14:paraId="4459C325">
            <w:pPr>
              <w:rPr>
                <w:rFonts w:ascii="宋体" w:hAnsi="宋体"/>
                <w:b/>
                <w:color w:val="auto"/>
                <w:szCs w:val="21"/>
                <w:highlight w:val="none"/>
              </w:rPr>
            </w:pPr>
            <w:r>
              <w:rPr>
                <w:rFonts w:hint="eastAsia" w:ascii="宋体" w:hAnsi="宋体"/>
                <w:b/>
                <w:color w:val="auto"/>
                <w:szCs w:val="21"/>
                <w:highlight w:val="none"/>
              </w:rPr>
              <w:t>踏勘现场</w:t>
            </w:r>
          </w:p>
        </w:tc>
      </w:tr>
      <w:tr w14:paraId="10C8F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E262DB4">
            <w:pPr>
              <w:jc w:val="center"/>
              <w:rPr>
                <w:rFonts w:ascii="宋体" w:hAnsi="宋体"/>
                <w:color w:val="auto"/>
                <w:szCs w:val="21"/>
                <w:highlight w:val="none"/>
              </w:rPr>
            </w:pPr>
          </w:p>
        </w:tc>
        <w:tc>
          <w:tcPr>
            <w:tcW w:w="7609" w:type="dxa"/>
            <w:gridSpan w:val="2"/>
            <w:tcBorders>
              <w:tl2br w:val="nil"/>
              <w:tr2bl w:val="nil"/>
            </w:tcBorders>
            <w:vAlign w:val="center"/>
          </w:tcPr>
          <w:p w14:paraId="67AA87D0">
            <w:pPr>
              <w:rPr>
                <w:rFonts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rPr>
              <w:t>不组织 。</w:t>
            </w:r>
          </w:p>
          <w:p w14:paraId="6EEA9758">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6E958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B84ECF0">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55922B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E8CEB47">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7609" w:type="dxa"/>
            <w:gridSpan w:val="2"/>
            <w:tcBorders>
              <w:tl2br w:val="nil"/>
              <w:tr2bl w:val="nil"/>
            </w:tcBorders>
            <w:vAlign w:val="center"/>
          </w:tcPr>
          <w:p w14:paraId="3F332E5E">
            <w:pPr>
              <w:rPr>
                <w:rFonts w:ascii="宋体" w:hAnsi="宋体"/>
                <w:b/>
                <w:color w:val="auto"/>
                <w:szCs w:val="21"/>
                <w:highlight w:val="none"/>
              </w:rPr>
            </w:pPr>
            <w:r>
              <w:rPr>
                <w:rFonts w:hint="eastAsia" w:ascii="宋体" w:hAnsi="宋体"/>
                <w:b/>
                <w:color w:val="auto"/>
                <w:szCs w:val="21"/>
                <w:highlight w:val="none"/>
              </w:rPr>
              <w:t>投标语言</w:t>
            </w:r>
          </w:p>
        </w:tc>
      </w:tr>
      <w:tr w14:paraId="0DF59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F71C75E">
            <w:pPr>
              <w:jc w:val="center"/>
              <w:rPr>
                <w:rFonts w:ascii="宋体" w:hAnsi="宋体"/>
                <w:color w:val="auto"/>
                <w:szCs w:val="21"/>
                <w:highlight w:val="none"/>
              </w:rPr>
            </w:pPr>
          </w:p>
        </w:tc>
        <w:tc>
          <w:tcPr>
            <w:tcW w:w="7609" w:type="dxa"/>
            <w:gridSpan w:val="2"/>
            <w:tcBorders>
              <w:tl2br w:val="nil"/>
              <w:tr2bl w:val="nil"/>
            </w:tcBorders>
            <w:vAlign w:val="center"/>
          </w:tcPr>
          <w:p w14:paraId="23F4CA9D">
            <w:pPr>
              <w:rPr>
                <w:rFonts w:ascii="宋体" w:hAnsi="宋体"/>
                <w:b/>
                <w:color w:val="auto"/>
                <w:szCs w:val="21"/>
                <w:highlight w:val="none"/>
              </w:rPr>
            </w:pPr>
            <w:r>
              <w:rPr>
                <w:rFonts w:hint="eastAsia" w:ascii="宋体" w:hAnsi="宋体"/>
                <w:color w:val="auto"/>
                <w:szCs w:val="21"/>
                <w:highlight w:val="none"/>
              </w:rPr>
              <w:t>中文。</w:t>
            </w:r>
          </w:p>
        </w:tc>
      </w:tr>
      <w:tr w14:paraId="5D189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2F1CE4E7">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7609" w:type="dxa"/>
            <w:gridSpan w:val="2"/>
            <w:tcBorders>
              <w:tl2br w:val="nil"/>
              <w:tr2bl w:val="nil"/>
            </w:tcBorders>
            <w:vAlign w:val="center"/>
          </w:tcPr>
          <w:p w14:paraId="25DB7A98">
            <w:pPr>
              <w:jc w:val="both"/>
              <w:rPr>
                <w:rFonts w:ascii="宋体" w:hAnsi="宋体"/>
                <w:b/>
                <w:color w:val="auto"/>
                <w:szCs w:val="21"/>
                <w:highlight w:val="none"/>
              </w:rPr>
            </w:pPr>
            <w:r>
              <w:rPr>
                <w:rFonts w:hint="eastAsia" w:ascii="宋体" w:hAnsi="宋体"/>
                <w:b/>
                <w:color w:val="auto"/>
                <w:szCs w:val="21"/>
                <w:highlight w:val="none"/>
              </w:rPr>
              <w:t>投标报价</w:t>
            </w:r>
          </w:p>
        </w:tc>
      </w:tr>
      <w:tr w14:paraId="73E0F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28B0420">
            <w:pPr>
              <w:jc w:val="center"/>
              <w:rPr>
                <w:rFonts w:ascii="宋体" w:hAnsi="宋体"/>
                <w:color w:val="auto"/>
                <w:szCs w:val="21"/>
                <w:highlight w:val="none"/>
              </w:rPr>
            </w:pPr>
          </w:p>
        </w:tc>
        <w:tc>
          <w:tcPr>
            <w:tcW w:w="7609" w:type="dxa"/>
            <w:gridSpan w:val="2"/>
            <w:tcBorders>
              <w:tl2br w:val="nil"/>
              <w:tr2bl w:val="nil"/>
            </w:tcBorders>
            <w:vAlign w:val="center"/>
          </w:tcPr>
          <w:p w14:paraId="3447A7F5">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695C9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25C001AB">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7609" w:type="dxa"/>
            <w:gridSpan w:val="2"/>
            <w:tcBorders>
              <w:tl2br w:val="nil"/>
              <w:tr2bl w:val="nil"/>
            </w:tcBorders>
            <w:vAlign w:val="center"/>
          </w:tcPr>
          <w:p w14:paraId="3A302386">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5A6C4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039D8243">
            <w:pPr>
              <w:jc w:val="center"/>
              <w:rPr>
                <w:rFonts w:ascii="宋体" w:hAnsi="宋体"/>
                <w:color w:val="auto"/>
                <w:szCs w:val="21"/>
                <w:highlight w:val="none"/>
              </w:rPr>
            </w:pPr>
          </w:p>
        </w:tc>
        <w:tc>
          <w:tcPr>
            <w:tcW w:w="7609" w:type="dxa"/>
            <w:gridSpan w:val="2"/>
            <w:tcBorders>
              <w:tl2br w:val="nil"/>
              <w:tr2bl w:val="nil"/>
            </w:tcBorders>
            <w:vAlign w:val="center"/>
          </w:tcPr>
          <w:p w14:paraId="77E76313">
            <w:pPr>
              <w:jc w:val="both"/>
              <w:rPr>
                <w:rFonts w:ascii="宋体" w:hAnsi="宋体"/>
                <w:color w:val="auto"/>
                <w:szCs w:val="21"/>
                <w:highlight w:val="none"/>
              </w:rPr>
            </w:pPr>
            <w:r>
              <w:rPr>
                <w:rFonts w:hint="eastAsia" w:ascii="宋体" w:hAnsi="宋体"/>
                <w:color w:val="auto"/>
                <w:szCs w:val="21"/>
                <w:highlight w:val="none"/>
              </w:rPr>
              <w:t>（1）投标保证金金额：</w:t>
            </w:r>
            <w:r>
              <w:rPr>
                <w:rFonts w:hint="eastAsia" w:ascii="宋体" w:hAnsi="宋体" w:eastAsia="宋体"/>
                <w:b/>
                <w:bCs/>
                <w:color w:val="auto"/>
                <w:sz w:val="21"/>
                <w:szCs w:val="21"/>
                <w:highlight w:val="none"/>
                <w:lang w:val="en-US" w:eastAsia="zh-CN"/>
              </w:rPr>
              <w:t>人民币</w:t>
            </w:r>
            <w:r>
              <w:rPr>
                <w:rFonts w:hint="eastAsia" w:ascii="宋体" w:hAnsi="宋体"/>
                <w:b/>
                <w:bCs/>
                <w:color w:val="auto"/>
                <w:sz w:val="21"/>
                <w:szCs w:val="21"/>
                <w:highlight w:val="none"/>
                <w:lang w:val="en-US" w:eastAsia="zh-CN"/>
              </w:rPr>
              <w:t>贰万元</w:t>
            </w:r>
            <w:r>
              <w:rPr>
                <w:rFonts w:hint="eastAsia" w:ascii="宋体" w:hAnsi="宋体" w:eastAsia="宋体"/>
                <w:b/>
                <w:bCs/>
                <w:color w:val="auto"/>
                <w:sz w:val="21"/>
                <w:szCs w:val="21"/>
                <w:highlight w:val="none"/>
                <w:lang w:val="en-US" w:eastAsia="zh-CN"/>
              </w:rPr>
              <w:t>整（</w:t>
            </w:r>
            <w:r>
              <w:rPr>
                <w:rFonts w:hint="eastAsia" w:ascii="宋体" w:hAnsi="宋体"/>
                <w:b/>
                <w:bCs/>
                <w:color w:val="auto"/>
                <w:sz w:val="21"/>
                <w:szCs w:val="21"/>
                <w:highlight w:val="none"/>
                <w:lang w:val="en-US" w:eastAsia="zh-CN"/>
              </w:rPr>
              <w:t>¥20</w:t>
            </w:r>
            <w:r>
              <w:rPr>
                <w:rFonts w:hint="eastAsia" w:ascii="宋体" w:hAnsi="宋体" w:eastAsia="宋体"/>
                <w:b/>
                <w:bCs/>
                <w:color w:val="auto"/>
                <w:sz w:val="21"/>
                <w:szCs w:val="21"/>
                <w:highlight w:val="none"/>
                <w:lang w:val="en-US" w:eastAsia="zh-CN"/>
              </w:rPr>
              <w:t>,000.00</w:t>
            </w:r>
            <w:r>
              <w:rPr>
                <w:rFonts w:hint="eastAsia" w:ascii="宋体" w:hAnsi="宋体" w:eastAsia="宋体"/>
                <w:color w:val="auto"/>
                <w:sz w:val="21"/>
                <w:szCs w:val="21"/>
                <w:highlight w:val="none"/>
              </w:rPr>
              <w:t>）</w:t>
            </w:r>
            <w:r>
              <w:rPr>
                <w:rFonts w:hint="eastAsia" w:ascii="宋体" w:hAnsi="宋体"/>
                <w:color w:val="auto"/>
                <w:szCs w:val="21"/>
                <w:highlight w:val="none"/>
              </w:rPr>
              <w:t>。</w:t>
            </w:r>
          </w:p>
        </w:tc>
      </w:tr>
      <w:tr w14:paraId="66C975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72BC82FA">
            <w:pPr>
              <w:jc w:val="center"/>
              <w:rPr>
                <w:rFonts w:ascii="宋体" w:hAnsi="宋体"/>
                <w:color w:val="auto"/>
                <w:szCs w:val="21"/>
                <w:highlight w:val="none"/>
              </w:rPr>
            </w:pPr>
          </w:p>
        </w:tc>
        <w:tc>
          <w:tcPr>
            <w:tcW w:w="7609" w:type="dxa"/>
            <w:gridSpan w:val="2"/>
            <w:tcBorders>
              <w:tl2br w:val="nil"/>
              <w:tr2bl w:val="nil"/>
            </w:tcBorders>
            <w:vAlign w:val="center"/>
          </w:tcPr>
          <w:p w14:paraId="10162E2C">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5D115755">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1B6BDCA1">
            <w:pPr>
              <w:tabs>
                <w:tab w:val="left" w:pos="567"/>
              </w:tabs>
              <w:ind w:firstLine="428"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帐户名称： </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u w:val="single"/>
                <w:lang w:eastAsia="zh-CN"/>
              </w:rPr>
              <w:t>广东政通招标有限公司</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25B6D814">
            <w:pPr>
              <w:tabs>
                <w:tab w:val="left" w:pos="567"/>
              </w:tabs>
              <w:ind w:firstLine="428"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开户银行： </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u w:val="single"/>
                <w:lang w:eastAsia="zh-CN"/>
              </w:rPr>
              <w:t>广发银行股份有限公司东莞众利路支行</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7E93F918">
            <w:pPr>
              <w:tabs>
                <w:tab w:val="left" w:pos="567"/>
              </w:tabs>
              <w:ind w:firstLine="428" w:firstLineChars="200"/>
              <w:jc w:val="both"/>
              <w:rPr>
                <w:rFonts w:hint="eastAsia" w:hAnsi="宋体" w:cs="宋体"/>
                <w:color w:val="auto"/>
                <w:kern w:val="2"/>
                <w:szCs w:val="21"/>
                <w:highlight w:val="none"/>
                <w:u w:val="single"/>
                <w:lang w:val="zh-CN"/>
              </w:rPr>
            </w:pPr>
            <w:r>
              <w:rPr>
                <w:rFonts w:hint="eastAsia" w:hAnsi="宋体" w:cs="宋体"/>
                <w:color w:val="auto"/>
                <w:kern w:val="2"/>
                <w:szCs w:val="21"/>
                <w:highlight w:val="none"/>
                <w:u w:val="single"/>
                <w:lang w:val="zh-CN"/>
              </w:rPr>
              <w:t>银行帐号：6232</w:t>
            </w:r>
            <w:bookmarkStart w:id="179" w:name="_GoBack"/>
            <w:bookmarkEnd w:id="179"/>
            <w:r>
              <w:rPr>
                <w:rFonts w:hint="eastAsia" w:hAnsi="宋体" w:cs="宋体"/>
                <w:color w:val="auto"/>
                <w:kern w:val="2"/>
                <w:szCs w:val="21"/>
                <w:highlight w:val="none"/>
                <w:u w:val="single"/>
                <w:lang w:val="zh-CN"/>
              </w:rPr>
              <w:t>590699051523619</w:t>
            </w:r>
            <w:r>
              <w:rPr>
                <w:rFonts w:hint="eastAsia" w:hAnsi="宋体" w:cs="宋体"/>
                <w:color w:val="auto"/>
                <w:kern w:val="2"/>
                <w:szCs w:val="21"/>
                <w:highlight w:val="none"/>
                <w:u w:val="single"/>
                <w:lang w:val="en-US" w:eastAsia="zh-CN"/>
              </w:rPr>
              <w:t xml:space="preserve"> </w:t>
            </w:r>
            <w:r>
              <w:rPr>
                <w:rFonts w:hint="eastAsia" w:hAnsi="宋体" w:cs="宋体"/>
                <w:color w:val="auto"/>
                <w:kern w:val="2"/>
                <w:szCs w:val="21"/>
                <w:highlight w:val="none"/>
                <w:u w:val="single"/>
                <w:lang w:val="zh-CN"/>
              </w:rPr>
              <w:t>；</w:t>
            </w:r>
          </w:p>
          <w:p w14:paraId="7E1B8F8F">
            <w:pPr>
              <w:tabs>
                <w:tab w:val="left" w:pos="567"/>
              </w:tabs>
              <w:ind w:firstLine="428" w:firstLineChars="200"/>
              <w:jc w:val="both"/>
              <w:rPr>
                <w:rFonts w:hint="eastAsia" w:hAnsi="宋体" w:eastAsia="宋体" w:cs="宋体"/>
                <w:color w:val="auto"/>
                <w:kern w:val="2"/>
                <w:szCs w:val="21"/>
                <w:highlight w:val="none"/>
                <w:lang w:val="zh-CN" w:eastAsia="zh-CN"/>
              </w:rPr>
            </w:pPr>
            <w:r>
              <w:rPr>
                <w:rFonts w:hint="eastAsia" w:hAnsi="宋体" w:cs="宋体"/>
                <w:color w:val="auto"/>
                <w:kern w:val="2"/>
                <w:szCs w:val="21"/>
                <w:highlight w:val="none"/>
                <w:u w:val="single"/>
              </w:rPr>
              <w:t>保证金相关事宜联系人：</w:t>
            </w:r>
            <w:r>
              <w:rPr>
                <w:rFonts w:hint="eastAsia" w:hAnsi="宋体" w:cs="宋体"/>
                <w:color w:val="auto"/>
                <w:kern w:val="2"/>
                <w:szCs w:val="21"/>
                <w:highlight w:val="none"/>
                <w:u w:val="single"/>
                <w:lang w:eastAsia="zh-CN"/>
              </w:rPr>
              <w:t>梁先生</w:t>
            </w:r>
            <w:r>
              <w:rPr>
                <w:rFonts w:hint="eastAsia" w:hAnsi="宋体" w:eastAsia="宋体" w:cs="宋体"/>
                <w:color w:val="auto"/>
                <w:kern w:val="2"/>
                <w:szCs w:val="21"/>
                <w:highlight w:val="none"/>
                <w:u w:val="single"/>
              </w:rPr>
              <w:t xml:space="preserve"> </w:t>
            </w:r>
            <w:r>
              <w:rPr>
                <w:rFonts w:hint="eastAsia" w:hAnsi="宋体" w:cs="宋体"/>
                <w:color w:val="auto"/>
                <w:kern w:val="2"/>
                <w:szCs w:val="21"/>
                <w:highlight w:val="none"/>
                <w:u w:val="single"/>
              </w:rPr>
              <w:t xml:space="preserve">    联系电话：</w:t>
            </w:r>
            <w:r>
              <w:rPr>
                <w:rFonts w:hint="eastAsia" w:hAnsi="宋体" w:cs="宋体"/>
                <w:color w:val="auto"/>
                <w:kern w:val="2"/>
                <w:szCs w:val="21"/>
                <w:highlight w:val="none"/>
                <w:u w:val="single"/>
                <w:lang w:eastAsia="zh-CN"/>
              </w:rPr>
              <w:t>0769-22881803</w:t>
            </w:r>
          </w:p>
          <w:p w14:paraId="362488ED">
            <w:pPr>
              <w:tabs>
                <w:tab w:val="left" w:pos="567"/>
              </w:tabs>
              <w:ind w:firstLine="428"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1F0A3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0FBDA1DA">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7609" w:type="dxa"/>
            <w:gridSpan w:val="2"/>
            <w:tcBorders>
              <w:tl2br w:val="nil"/>
              <w:tr2bl w:val="nil"/>
            </w:tcBorders>
            <w:vAlign w:val="center"/>
          </w:tcPr>
          <w:p w14:paraId="5AF68D89">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36F07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23BE1EF6">
            <w:pPr>
              <w:jc w:val="center"/>
              <w:rPr>
                <w:rFonts w:ascii="宋体" w:hAnsi="宋体"/>
                <w:color w:val="auto"/>
                <w:szCs w:val="21"/>
                <w:highlight w:val="none"/>
              </w:rPr>
            </w:pPr>
          </w:p>
        </w:tc>
        <w:tc>
          <w:tcPr>
            <w:tcW w:w="7609" w:type="dxa"/>
            <w:gridSpan w:val="2"/>
            <w:tcBorders>
              <w:tl2br w:val="nil"/>
              <w:tr2bl w:val="nil"/>
            </w:tcBorders>
            <w:vAlign w:val="center"/>
          </w:tcPr>
          <w:p w14:paraId="663F4DFA">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60B6D3DD">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0E03A0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B521057">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7609" w:type="dxa"/>
            <w:gridSpan w:val="2"/>
            <w:tcBorders>
              <w:tl2br w:val="nil"/>
              <w:tr2bl w:val="nil"/>
            </w:tcBorders>
            <w:vAlign w:val="center"/>
          </w:tcPr>
          <w:p w14:paraId="49E8D633">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5F6E4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3D91FC3">
            <w:pPr>
              <w:jc w:val="center"/>
              <w:rPr>
                <w:rFonts w:ascii="宋体" w:hAnsi="宋体"/>
                <w:color w:val="auto"/>
                <w:szCs w:val="21"/>
                <w:highlight w:val="none"/>
              </w:rPr>
            </w:pPr>
          </w:p>
        </w:tc>
        <w:tc>
          <w:tcPr>
            <w:tcW w:w="7609" w:type="dxa"/>
            <w:gridSpan w:val="2"/>
            <w:tcBorders>
              <w:tl2br w:val="nil"/>
              <w:tr2bl w:val="nil"/>
            </w:tcBorders>
            <w:vAlign w:val="center"/>
          </w:tcPr>
          <w:p w14:paraId="6F6C00E2">
            <w:pPr>
              <w:jc w:val="both"/>
              <w:rPr>
                <w:rFonts w:ascii="宋体" w:hAnsi="宋体"/>
                <w:b/>
                <w:color w:val="auto"/>
                <w:szCs w:val="21"/>
                <w:highlight w:val="none"/>
              </w:rPr>
            </w:pPr>
            <w:r>
              <w:rPr>
                <w:rFonts w:hint="eastAsia" w:ascii="宋体" w:hAnsi="宋体"/>
                <w:color w:val="auto"/>
                <w:szCs w:val="21"/>
                <w:highlight w:val="none"/>
              </w:rPr>
              <w:t>九十天。</w:t>
            </w:r>
          </w:p>
        </w:tc>
      </w:tr>
      <w:tr w14:paraId="1352C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29A0B7EF">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7609" w:type="dxa"/>
            <w:gridSpan w:val="2"/>
            <w:tcBorders>
              <w:tl2br w:val="nil"/>
              <w:tr2bl w:val="nil"/>
            </w:tcBorders>
            <w:vAlign w:val="center"/>
          </w:tcPr>
          <w:p w14:paraId="193051BB">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65013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2F3619F">
            <w:pPr>
              <w:jc w:val="center"/>
              <w:rPr>
                <w:rFonts w:ascii="宋体" w:hAnsi="宋体"/>
                <w:color w:val="auto"/>
                <w:szCs w:val="21"/>
                <w:highlight w:val="none"/>
              </w:rPr>
            </w:pPr>
          </w:p>
        </w:tc>
        <w:tc>
          <w:tcPr>
            <w:tcW w:w="2250" w:type="dxa"/>
            <w:tcBorders>
              <w:tl2br w:val="nil"/>
              <w:tr2bl w:val="nil"/>
            </w:tcBorders>
            <w:vAlign w:val="center"/>
          </w:tcPr>
          <w:p w14:paraId="2B576011">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5359" w:type="dxa"/>
            <w:tcBorders>
              <w:tl2br w:val="nil"/>
              <w:tr2bl w:val="nil"/>
            </w:tcBorders>
            <w:vAlign w:val="center"/>
          </w:tcPr>
          <w:p w14:paraId="6762DEAB">
            <w:pPr>
              <w:jc w:val="center"/>
              <w:rPr>
                <w:rFonts w:ascii="宋体" w:hAnsi="宋体"/>
                <w:b/>
                <w:color w:val="auto"/>
                <w:szCs w:val="21"/>
                <w:highlight w:val="none"/>
              </w:rPr>
            </w:pPr>
            <w:r>
              <w:rPr>
                <w:rFonts w:hint="eastAsia" w:ascii="宋体" w:hAnsi="宋体"/>
                <w:b/>
                <w:color w:val="auto"/>
                <w:szCs w:val="21"/>
                <w:highlight w:val="none"/>
              </w:rPr>
              <w:t>份数</w:t>
            </w:r>
          </w:p>
        </w:tc>
      </w:tr>
      <w:tr w14:paraId="52D9D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6BF05069">
            <w:pPr>
              <w:jc w:val="center"/>
              <w:rPr>
                <w:rFonts w:ascii="宋体" w:hAnsi="宋体"/>
                <w:color w:val="auto"/>
                <w:szCs w:val="21"/>
                <w:highlight w:val="none"/>
              </w:rPr>
            </w:pPr>
          </w:p>
        </w:tc>
        <w:tc>
          <w:tcPr>
            <w:tcW w:w="2250" w:type="dxa"/>
            <w:tcBorders>
              <w:tl2br w:val="nil"/>
              <w:tr2bl w:val="nil"/>
            </w:tcBorders>
            <w:vAlign w:val="center"/>
          </w:tcPr>
          <w:p w14:paraId="36964982">
            <w:pPr>
              <w:jc w:val="center"/>
              <w:rPr>
                <w:rFonts w:ascii="宋体" w:hAnsi="宋体"/>
                <w:b/>
                <w:color w:val="auto"/>
                <w:szCs w:val="21"/>
                <w:highlight w:val="none"/>
              </w:rPr>
            </w:pPr>
            <w:r>
              <w:rPr>
                <w:rFonts w:hint="eastAsia" w:ascii="宋体" w:hAnsi="宋体"/>
                <w:b/>
                <w:color w:val="auto"/>
                <w:szCs w:val="21"/>
                <w:highlight w:val="none"/>
              </w:rPr>
              <w:t>唱标信封</w:t>
            </w:r>
          </w:p>
        </w:tc>
        <w:tc>
          <w:tcPr>
            <w:tcW w:w="5359" w:type="dxa"/>
            <w:tcBorders>
              <w:tl2br w:val="nil"/>
              <w:tr2bl w:val="nil"/>
            </w:tcBorders>
            <w:vAlign w:val="center"/>
          </w:tcPr>
          <w:p w14:paraId="63BE7C06">
            <w:pPr>
              <w:jc w:val="center"/>
              <w:rPr>
                <w:rFonts w:ascii="宋体" w:hAnsi="宋体"/>
                <w:b/>
                <w:color w:val="auto"/>
                <w:szCs w:val="21"/>
                <w:highlight w:val="none"/>
              </w:rPr>
            </w:pPr>
            <w:r>
              <w:rPr>
                <w:rFonts w:hint="eastAsia" w:ascii="宋体" w:hAnsi="宋体"/>
                <w:b/>
                <w:color w:val="auto"/>
                <w:szCs w:val="21"/>
                <w:highlight w:val="none"/>
              </w:rPr>
              <w:t>1</w:t>
            </w:r>
          </w:p>
        </w:tc>
      </w:tr>
      <w:tr w14:paraId="31D111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53D4DB01">
            <w:pPr>
              <w:jc w:val="center"/>
              <w:rPr>
                <w:rFonts w:ascii="宋体" w:hAnsi="宋体"/>
                <w:color w:val="auto"/>
                <w:szCs w:val="21"/>
                <w:highlight w:val="none"/>
              </w:rPr>
            </w:pPr>
          </w:p>
        </w:tc>
        <w:tc>
          <w:tcPr>
            <w:tcW w:w="2250" w:type="dxa"/>
            <w:tcBorders>
              <w:tl2br w:val="nil"/>
              <w:tr2bl w:val="nil"/>
            </w:tcBorders>
            <w:vAlign w:val="center"/>
          </w:tcPr>
          <w:p w14:paraId="2A787655">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5359" w:type="dxa"/>
            <w:tcBorders>
              <w:tl2br w:val="nil"/>
              <w:tr2bl w:val="nil"/>
            </w:tcBorders>
            <w:vAlign w:val="center"/>
          </w:tcPr>
          <w:p w14:paraId="24C0AF0D">
            <w:pPr>
              <w:jc w:val="center"/>
              <w:rPr>
                <w:rFonts w:ascii="宋体" w:hAnsi="宋体"/>
                <w:b/>
                <w:color w:val="auto"/>
                <w:szCs w:val="21"/>
                <w:highlight w:val="none"/>
              </w:rPr>
            </w:pPr>
            <w:r>
              <w:rPr>
                <w:rFonts w:hint="eastAsia" w:ascii="宋体" w:hAnsi="宋体"/>
                <w:b/>
                <w:color w:val="auto"/>
                <w:szCs w:val="21"/>
                <w:highlight w:val="none"/>
              </w:rPr>
              <w:t>1</w:t>
            </w:r>
          </w:p>
        </w:tc>
      </w:tr>
      <w:tr w14:paraId="7DBC9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25CE962F">
            <w:pPr>
              <w:jc w:val="center"/>
              <w:rPr>
                <w:rFonts w:ascii="宋体" w:hAnsi="宋体"/>
                <w:color w:val="auto"/>
                <w:szCs w:val="21"/>
                <w:highlight w:val="none"/>
              </w:rPr>
            </w:pPr>
          </w:p>
        </w:tc>
        <w:tc>
          <w:tcPr>
            <w:tcW w:w="2250" w:type="dxa"/>
            <w:tcBorders>
              <w:tl2br w:val="nil"/>
              <w:tr2bl w:val="nil"/>
            </w:tcBorders>
            <w:vAlign w:val="center"/>
          </w:tcPr>
          <w:p w14:paraId="7DF77E9D">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5359" w:type="dxa"/>
            <w:tcBorders>
              <w:tl2br w:val="nil"/>
              <w:tr2bl w:val="nil"/>
            </w:tcBorders>
            <w:vAlign w:val="center"/>
          </w:tcPr>
          <w:p w14:paraId="4A2C79D3">
            <w:pPr>
              <w:jc w:val="center"/>
              <w:rPr>
                <w:rFonts w:ascii="宋体" w:hAnsi="宋体"/>
                <w:b/>
                <w:color w:val="auto"/>
                <w:szCs w:val="21"/>
                <w:highlight w:val="none"/>
              </w:rPr>
            </w:pPr>
            <w:r>
              <w:rPr>
                <w:rFonts w:hint="eastAsia" w:ascii="宋体" w:hAnsi="宋体"/>
                <w:bCs/>
                <w:color w:val="auto"/>
                <w:szCs w:val="21"/>
                <w:highlight w:val="none"/>
                <w:lang w:eastAsia="zh-CN"/>
              </w:rPr>
              <w:t>☑</w:t>
            </w:r>
            <w:r>
              <w:rPr>
                <w:rFonts w:hint="eastAsia" w:ascii="宋体" w:hAnsi="宋体"/>
                <w:b/>
                <w:color w:val="auto"/>
                <w:szCs w:val="21"/>
                <w:highlight w:val="none"/>
              </w:rPr>
              <w:t xml:space="preserve">5 </w:t>
            </w:r>
            <w:r>
              <w:rPr>
                <w:rFonts w:hint="eastAsia" w:ascii="宋体" w:hAnsi="宋体"/>
                <w:bCs/>
                <w:color w:val="auto"/>
                <w:szCs w:val="21"/>
                <w:highlight w:val="none"/>
              </w:rPr>
              <w:t>□</w:t>
            </w:r>
            <w:r>
              <w:rPr>
                <w:rFonts w:hint="eastAsia" w:ascii="宋体" w:hAnsi="宋体"/>
                <w:b/>
                <w:color w:val="auto"/>
                <w:szCs w:val="21"/>
                <w:highlight w:val="none"/>
              </w:rPr>
              <w:t>7</w:t>
            </w:r>
          </w:p>
        </w:tc>
      </w:tr>
      <w:tr w14:paraId="524CAE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021BB6B4">
            <w:pPr>
              <w:jc w:val="center"/>
              <w:rPr>
                <w:rFonts w:ascii="宋体" w:hAnsi="宋体"/>
                <w:color w:val="auto"/>
                <w:szCs w:val="21"/>
                <w:highlight w:val="none"/>
              </w:rPr>
            </w:pPr>
          </w:p>
        </w:tc>
        <w:tc>
          <w:tcPr>
            <w:tcW w:w="2250" w:type="dxa"/>
            <w:vMerge w:val="restart"/>
            <w:tcBorders>
              <w:tl2br w:val="nil"/>
              <w:tr2bl w:val="nil"/>
            </w:tcBorders>
            <w:vAlign w:val="center"/>
          </w:tcPr>
          <w:p w14:paraId="7ADA0F6C">
            <w:pPr>
              <w:jc w:val="center"/>
              <w:rPr>
                <w:rFonts w:ascii="宋体" w:hAnsi="宋体"/>
                <w:b/>
                <w:color w:val="auto"/>
                <w:szCs w:val="21"/>
                <w:highlight w:val="none"/>
              </w:rPr>
            </w:pPr>
            <w:r>
              <w:rPr>
                <w:rFonts w:hint="eastAsia" w:ascii="宋体" w:hAnsi="宋体"/>
                <w:b/>
                <w:color w:val="auto"/>
                <w:szCs w:val="21"/>
                <w:highlight w:val="none"/>
              </w:rPr>
              <w:t>电子文档</w:t>
            </w:r>
          </w:p>
        </w:tc>
        <w:tc>
          <w:tcPr>
            <w:tcW w:w="5359" w:type="dxa"/>
            <w:tcBorders>
              <w:tl2br w:val="nil"/>
              <w:tr2bl w:val="nil"/>
            </w:tcBorders>
            <w:vAlign w:val="center"/>
          </w:tcPr>
          <w:p w14:paraId="117616B5">
            <w:pPr>
              <w:jc w:val="center"/>
              <w:rPr>
                <w:rFonts w:ascii="宋体" w:hAnsi="宋体"/>
                <w:b/>
                <w:color w:val="auto"/>
                <w:szCs w:val="21"/>
                <w:highlight w:val="none"/>
              </w:rPr>
            </w:pPr>
            <w:r>
              <w:rPr>
                <w:rFonts w:hint="eastAsia" w:ascii="宋体" w:hAnsi="宋体"/>
                <w:b/>
                <w:color w:val="auto"/>
                <w:szCs w:val="21"/>
                <w:highlight w:val="none"/>
              </w:rPr>
              <w:t>1</w:t>
            </w:r>
          </w:p>
        </w:tc>
      </w:tr>
      <w:tr w14:paraId="7B0B27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0607BF23">
            <w:pPr>
              <w:jc w:val="center"/>
              <w:rPr>
                <w:rFonts w:ascii="宋体" w:hAnsi="宋体"/>
                <w:color w:val="auto"/>
                <w:szCs w:val="21"/>
                <w:highlight w:val="none"/>
              </w:rPr>
            </w:pPr>
          </w:p>
        </w:tc>
        <w:tc>
          <w:tcPr>
            <w:tcW w:w="2250" w:type="dxa"/>
            <w:vMerge w:val="continue"/>
            <w:tcBorders>
              <w:tl2br w:val="nil"/>
              <w:tr2bl w:val="nil"/>
            </w:tcBorders>
            <w:vAlign w:val="center"/>
          </w:tcPr>
          <w:p w14:paraId="243BAFBE">
            <w:pPr>
              <w:jc w:val="center"/>
              <w:rPr>
                <w:rFonts w:ascii="宋体" w:hAnsi="宋体"/>
                <w:b/>
                <w:color w:val="auto"/>
                <w:szCs w:val="21"/>
                <w:highlight w:val="none"/>
              </w:rPr>
            </w:pPr>
          </w:p>
        </w:tc>
        <w:tc>
          <w:tcPr>
            <w:tcW w:w="5359" w:type="dxa"/>
            <w:tcBorders>
              <w:tl2br w:val="nil"/>
              <w:tr2bl w:val="nil"/>
            </w:tcBorders>
            <w:vAlign w:val="center"/>
          </w:tcPr>
          <w:p w14:paraId="4BCEC791">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25751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5E369BD8">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3B141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10D6AEC">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7609" w:type="dxa"/>
            <w:gridSpan w:val="2"/>
            <w:tcBorders>
              <w:tl2br w:val="nil"/>
              <w:tr2bl w:val="nil"/>
            </w:tcBorders>
            <w:vAlign w:val="center"/>
          </w:tcPr>
          <w:p w14:paraId="6AEDD724">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6E242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1BD5BF4">
            <w:pPr>
              <w:jc w:val="center"/>
              <w:rPr>
                <w:rFonts w:ascii="宋体" w:hAnsi="宋体"/>
                <w:color w:val="auto"/>
                <w:szCs w:val="21"/>
                <w:highlight w:val="none"/>
              </w:rPr>
            </w:pPr>
          </w:p>
        </w:tc>
        <w:tc>
          <w:tcPr>
            <w:tcW w:w="7609" w:type="dxa"/>
            <w:gridSpan w:val="2"/>
            <w:tcBorders>
              <w:tl2br w:val="nil"/>
              <w:tr2bl w:val="nil"/>
            </w:tcBorders>
            <w:vAlign w:val="center"/>
          </w:tcPr>
          <w:p w14:paraId="5FDDD898">
            <w:pPr>
              <w:jc w:val="both"/>
              <w:rPr>
                <w:rFonts w:ascii="宋体" w:hAnsi="宋体"/>
                <w:b/>
                <w:color w:val="auto"/>
                <w:szCs w:val="21"/>
                <w:highlight w:val="none"/>
              </w:rPr>
            </w:pPr>
            <w:r>
              <w:rPr>
                <w:rFonts w:hint="eastAsia" w:ascii="宋体" w:hAnsi="宋体"/>
                <w:color w:val="auto"/>
                <w:szCs w:val="21"/>
                <w:highlight w:val="none"/>
              </w:rPr>
              <w:t>综合评分法。</w:t>
            </w:r>
          </w:p>
        </w:tc>
      </w:tr>
      <w:tr w14:paraId="3894F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26956AA">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7609" w:type="dxa"/>
            <w:gridSpan w:val="2"/>
            <w:tcBorders>
              <w:tl2br w:val="nil"/>
              <w:tr2bl w:val="nil"/>
            </w:tcBorders>
            <w:vAlign w:val="center"/>
          </w:tcPr>
          <w:p w14:paraId="4BA0DB85">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104180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29858D6">
            <w:pPr>
              <w:jc w:val="center"/>
              <w:rPr>
                <w:rFonts w:ascii="宋体" w:hAnsi="宋体"/>
                <w:color w:val="auto"/>
                <w:szCs w:val="21"/>
                <w:highlight w:val="none"/>
              </w:rPr>
            </w:pPr>
          </w:p>
        </w:tc>
        <w:tc>
          <w:tcPr>
            <w:tcW w:w="7609" w:type="dxa"/>
            <w:gridSpan w:val="2"/>
            <w:tcBorders>
              <w:tl2br w:val="nil"/>
              <w:tr2bl w:val="nil"/>
            </w:tcBorders>
            <w:vAlign w:val="center"/>
          </w:tcPr>
          <w:p w14:paraId="65EF0E66">
            <w:pPr>
              <w:jc w:val="both"/>
              <w:rPr>
                <w:rFonts w:ascii="宋体" w:hAnsi="宋体"/>
                <w:b/>
                <w:color w:val="auto"/>
                <w:szCs w:val="21"/>
                <w:highlight w:val="none"/>
              </w:rPr>
            </w:pPr>
            <w:r>
              <w:rPr>
                <w:rFonts w:hint="eastAsia" w:ascii="宋体" w:hAnsi="宋体"/>
                <w:color w:val="auto"/>
                <w:szCs w:val="21"/>
                <w:highlight w:val="none"/>
              </w:rPr>
              <w:t>见附表二。</w:t>
            </w:r>
          </w:p>
        </w:tc>
      </w:tr>
      <w:tr w14:paraId="0A007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2B3FDD6E">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7609" w:type="dxa"/>
            <w:gridSpan w:val="2"/>
            <w:tcBorders>
              <w:tl2br w:val="nil"/>
              <w:tr2bl w:val="nil"/>
            </w:tcBorders>
            <w:vAlign w:val="center"/>
          </w:tcPr>
          <w:p w14:paraId="238EB96D">
            <w:pPr>
              <w:jc w:val="both"/>
              <w:rPr>
                <w:rFonts w:ascii="宋体" w:hAnsi="宋体"/>
                <w:color w:val="auto"/>
                <w:szCs w:val="21"/>
                <w:highlight w:val="none"/>
              </w:rPr>
            </w:pPr>
            <w:r>
              <w:rPr>
                <w:rFonts w:hint="eastAsia" w:ascii="宋体" w:hAnsi="宋体"/>
                <w:b/>
                <w:color w:val="auto"/>
                <w:szCs w:val="21"/>
                <w:highlight w:val="none"/>
              </w:rPr>
              <w:t>评标委员会</w:t>
            </w:r>
          </w:p>
        </w:tc>
      </w:tr>
      <w:tr w14:paraId="098F6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13436B5">
            <w:pPr>
              <w:jc w:val="center"/>
              <w:rPr>
                <w:rFonts w:ascii="宋体" w:hAnsi="宋体"/>
                <w:color w:val="auto"/>
                <w:szCs w:val="21"/>
                <w:highlight w:val="none"/>
              </w:rPr>
            </w:pPr>
          </w:p>
        </w:tc>
        <w:tc>
          <w:tcPr>
            <w:tcW w:w="7609" w:type="dxa"/>
            <w:gridSpan w:val="2"/>
            <w:tcBorders>
              <w:tl2br w:val="nil"/>
              <w:tr2bl w:val="nil"/>
            </w:tcBorders>
            <w:vAlign w:val="center"/>
          </w:tcPr>
          <w:p w14:paraId="158DFEA0">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674EB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723E0D5C">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16FCB6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3355429A">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7609" w:type="dxa"/>
            <w:gridSpan w:val="2"/>
            <w:tcBorders>
              <w:tl2br w:val="nil"/>
              <w:tr2bl w:val="nil"/>
            </w:tcBorders>
            <w:shd w:val="clear" w:color="auto" w:fill="auto"/>
            <w:vAlign w:val="center"/>
          </w:tcPr>
          <w:p w14:paraId="3E50F84A">
            <w:pPr>
              <w:jc w:val="both"/>
              <w:rPr>
                <w:rFonts w:ascii="宋体" w:hAnsi="宋体"/>
                <w:b/>
                <w:color w:val="auto"/>
                <w:szCs w:val="21"/>
                <w:highlight w:val="none"/>
              </w:rPr>
            </w:pPr>
            <w:r>
              <w:rPr>
                <w:rFonts w:hint="eastAsia" w:ascii="宋体" w:hAnsi="宋体"/>
                <w:b/>
                <w:color w:val="auto"/>
                <w:szCs w:val="21"/>
                <w:highlight w:val="none"/>
              </w:rPr>
              <w:t>履约担保</w:t>
            </w:r>
          </w:p>
        </w:tc>
      </w:tr>
      <w:tr w14:paraId="36E3F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59206CB4">
            <w:pPr>
              <w:jc w:val="center"/>
              <w:rPr>
                <w:rFonts w:ascii="宋体" w:hAnsi="宋体"/>
                <w:color w:val="auto"/>
                <w:szCs w:val="21"/>
                <w:highlight w:val="none"/>
              </w:rPr>
            </w:pPr>
          </w:p>
        </w:tc>
        <w:tc>
          <w:tcPr>
            <w:tcW w:w="7609" w:type="dxa"/>
            <w:gridSpan w:val="2"/>
            <w:tcBorders>
              <w:tl2br w:val="nil"/>
              <w:tr2bl w:val="nil"/>
            </w:tcBorders>
            <w:shd w:val="clear" w:color="auto" w:fill="auto"/>
            <w:vAlign w:val="center"/>
          </w:tcPr>
          <w:p w14:paraId="25D7A146">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w:t>
            </w:r>
            <w:r>
              <w:rPr>
                <w:rFonts w:hint="eastAsia" w:ascii="宋体" w:hAnsi="宋体"/>
                <w:snapToGrid w:val="0"/>
                <w:color w:val="auto"/>
                <w:kern w:val="0"/>
                <w:szCs w:val="21"/>
                <w:highlight w:val="none"/>
                <w:u w:val="single"/>
              </w:rPr>
              <w:t>1</w:t>
            </w:r>
            <w:r>
              <w:rPr>
                <w:rFonts w:hint="eastAsia" w:ascii="宋体" w:hAnsi="宋体" w:eastAsia="宋体"/>
                <w:snapToGrid w:val="0"/>
                <w:color w:val="auto"/>
                <w:kern w:val="0"/>
                <w:szCs w:val="21"/>
                <w:highlight w:val="none"/>
                <w:u w:val="single"/>
              </w:rPr>
              <w:t>00000.00元 。</w:t>
            </w:r>
          </w:p>
          <w:p w14:paraId="0EA87785">
            <w:pPr>
              <w:jc w:val="both"/>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r>
              <w:rPr>
                <w:rFonts w:hint="eastAsia" w:ascii="宋体" w:hAnsi="宋体"/>
                <w:color w:val="auto"/>
                <w:szCs w:val="21"/>
                <w:highlight w:val="none"/>
                <w:lang w:eastAsia="zh-CN"/>
              </w:rPr>
              <w:t>（中标结果公示后待中标单位与采购人协商确认）</w:t>
            </w:r>
          </w:p>
          <w:p w14:paraId="520505FB">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47BDD105">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7 </w:t>
            </w:r>
            <w:r>
              <w:rPr>
                <w:rFonts w:hint="eastAsia" w:ascii="宋体" w:hAnsi="宋体"/>
                <w:color w:val="auto"/>
                <w:szCs w:val="21"/>
                <w:highlight w:val="none"/>
              </w:rPr>
              <w:t>天内保持有效。</w:t>
            </w:r>
          </w:p>
          <w:p w14:paraId="183FF445">
            <w:pPr>
              <w:jc w:val="both"/>
              <w:rPr>
                <w:rFonts w:ascii="宋体" w:hAnsi="宋体"/>
                <w:color w:val="auto"/>
                <w:szCs w:val="21"/>
                <w:highlight w:val="none"/>
              </w:rPr>
            </w:pPr>
            <w:r>
              <w:rPr>
                <w:rFonts w:hint="eastAsia" w:ascii="宋体" w:hAnsi="宋体"/>
                <w:color w:val="auto"/>
                <w:szCs w:val="21"/>
                <w:highlight w:val="none"/>
              </w:rPr>
              <w:t>5、履约担保要求：</w:t>
            </w:r>
          </w:p>
          <w:p w14:paraId="6B5B3F29">
            <w:pPr>
              <w:jc w:val="both"/>
              <w:rPr>
                <w:rFonts w:ascii="宋体" w:hAnsi="宋体"/>
                <w:color w:val="auto"/>
                <w:szCs w:val="21"/>
                <w:highlight w:val="none"/>
              </w:rPr>
            </w:pPr>
            <w:r>
              <w:rPr>
                <w:rFonts w:hint="eastAsia" w:ascii="宋体" w:hAnsi="宋体"/>
                <w:color w:val="auto"/>
                <w:szCs w:val="21"/>
                <w:highlight w:val="none"/>
              </w:rPr>
              <w:t>（1）履约保函。如果中标人的履约担保是以银行保函形式提供的，则该银行保函应：</w:t>
            </w:r>
          </w:p>
          <w:p w14:paraId="12BAC1DD">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①保函应由银行支行或以上银行机构开具，非东莞市行政区内的银行开具的保函要由银行所在地公证部门出具的公证书。</w:t>
            </w:r>
          </w:p>
          <w:p w14:paraId="00BA53B2">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9859CD1">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6E1F9552">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5A935D90">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1220E2E9">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3DE29A21">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3E0F00F1">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5A17AAF4">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75BDD717">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6CC7C68D">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73501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3D4C57AF">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7609" w:type="dxa"/>
            <w:gridSpan w:val="2"/>
            <w:tcBorders>
              <w:tl2br w:val="nil"/>
              <w:tr2bl w:val="nil"/>
            </w:tcBorders>
            <w:vAlign w:val="center"/>
          </w:tcPr>
          <w:p w14:paraId="00F14A95">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5C5A47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06" w:hRule="atLeast"/>
        </w:trPr>
        <w:tc>
          <w:tcPr>
            <w:tcW w:w="801" w:type="dxa"/>
            <w:vMerge w:val="continue"/>
            <w:tcBorders>
              <w:tl2br w:val="nil"/>
              <w:tr2bl w:val="nil"/>
            </w:tcBorders>
            <w:vAlign w:val="center"/>
          </w:tcPr>
          <w:p w14:paraId="1741DAF9">
            <w:pPr>
              <w:jc w:val="center"/>
              <w:rPr>
                <w:rFonts w:ascii="宋体" w:hAnsi="宋体"/>
                <w:color w:val="auto"/>
                <w:szCs w:val="21"/>
                <w:highlight w:val="none"/>
              </w:rPr>
            </w:pPr>
          </w:p>
        </w:tc>
        <w:tc>
          <w:tcPr>
            <w:tcW w:w="7609" w:type="dxa"/>
            <w:gridSpan w:val="2"/>
            <w:tcBorders>
              <w:tl2br w:val="nil"/>
              <w:tr2bl w:val="nil"/>
            </w:tcBorders>
            <w:vAlign w:val="center"/>
          </w:tcPr>
          <w:p w14:paraId="422EC1D3">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hint="eastAsia" w:ascii="宋体" w:hAnsi="宋体" w:eastAsia="宋体" w:cstheme="minorBidi"/>
                <w:color w:val="auto"/>
                <w:sz w:val="21"/>
                <w:szCs w:val="21"/>
                <w:highlight w:val="none"/>
                <w:lang w:val="en-US" w:eastAsia="zh-CN" w:bidi="ar-SA"/>
              </w:rPr>
            </w:pPr>
            <w:r>
              <w:rPr>
                <w:rFonts w:hint="eastAsia" w:ascii="宋体" w:hAnsi="宋体" w:eastAsia="宋体" w:cs="宋体"/>
                <w:color w:val="auto"/>
                <w:szCs w:val="21"/>
                <w:highlight w:val="none"/>
              </w:rPr>
              <w:t>（1）中标服务费</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国家计委[计价格[2002]1980号]文和国家发改委[发改价格[2011]534号]文及相关规定</w:t>
            </w:r>
            <w:r>
              <w:rPr>
                <w:rFonts w:hint="eastAsia" w:ascii="宋体" w:hAnsi="宋体" w:eastAsia="宋体" w:cs="宋体"/>
                <w:color w:val="auto"/>
                <w:szCs w:val="21"/>
                <w:highlight w:val="none"/>
                <w:lang w:eastAsia="zh-CN"/>
              </w:rPr>
              <w:t>并下浮</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向中标单位收取，按差额定率累进法计算，以中标通知书中确定的中标总金额作为收费的计算</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w:t>
            </w:r>
            <w:r>
              <w:rPr>
                <w:rFonts w:hint="eastAsia" w:ascii="宋体" w:hAnsi="宋体" w:eastAsia="宋体"/>
                <w:color w:val="auto"/>
                <w:szCs w:val="21"/>
                <w:highlight w:val="none"/>
              </w:rPr>
              <w:t>中标服务费最低收费标准为</w:t>
            </w:r>
            <w:r>
              <w:rPr>
                <w:rFonts w:hint="eastAsia" w:ascii="宋体" w:hAnsi="宋体" w:eastAsia="宋体"/>
                <w:color w:val="auto"/>
                <w:szCs w:val="21"/>
                <w:highlight w:val="none"/>
                <w:lang w:eastAsia="zh-CN"/>
              </w:rPr>
              <w:t>陆</w:t>
            </w:r>
            <w:r>
              <w:rPr>
                <w:rFonts w:hint="eastAsia" w:ascii="宋体" w:hAnsi="宋体" w:eastAsia="宋体"/>
                <w:color w:val="auto"/>
                <w:szCs w:val="21"/>
                <w:highlight w:val="none"/>
              </w:rPr>
              <w:t>仟元整。</w:t>
            </w:r>
          </w:p>
        </w:tc>
      </w:tr>
      <w:tr w14:paraId="5DF72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88" w:hRule="atLeast"/>
        </w:trPr>
        <w:tc>
          <w:tcPr>
            <w:tcW w:w="801" w:type="dxa"/>
            <w:vMerge w:val="continue"/>
            <w:tcBorders>
              <w:tl2br w:val="nil"/>
              <w:tr2bl w:val="nil"/>
            </w:tcBorders>
            <w:vAlign w:val="center"/>
          </w:tcPr>
          <w:p w14:paraId="79AEB2C9">
            <w:pPr>
              <w:jc w:val="center"/>
              <w:rPr>
                <w:rFonts w:hint="default" w:ascii="宋体" w:hAnsi="宋体" w:eastAsia="宋体"/>
                <w:color w:val="auto"/>
                <w:szCs w:val="21"/>
                <w:highlight w:val="none"/>
                <w:lang w:val="en-US" w:eastAsia="zh-CN"/>
              </w:rPr>
            </w:pPr>
          </w:p>
        </w:tc>
        <w:tc>
          <w:tcPr>
            <w:tcW w:w="7609" w:type="dxa"/>
            <w:gridSpan w:val="2"/>
            <w:tcBorders>
              <w:tl2br w:val="nil"/>
              <w:tr2bl w:val="nil"/>
            </w:tcBorders>
            <w:vAlign w:val="center"/>
          </w:tcPr>
          <w:p w14:paraId="289898A7">
            <w:pPr>
              <w:jc w:val="both"/>
              <w:rPr>
                <w:rFonts w:hint="default" w:ascii="宋体" w:hAnsi="宋体" w:eastAsia="宋体" w:cstheme="minorBidi"/>
                <w:color w:val="auto"/>
                <w:sz w:val="21"/>
                <w:szCs w:val="21"/>
                <w:highlight w:val="none"/>
                <w:lang w:val="en-US" w:eastAsia="zh-CN" w:bidi="ar-SA"/>
              </w:rPr>
            </w:pPr>
            <w:r>
              <w:rPr>
                <w:rFonts w:hint="eastAsia" w:ascii="宋体" w:hAnsi="宋体" w:eastAsia="宋体" w:cs="宋体"/>
                <w:color w:val="auto"/>
                <w:szCs w:val="21"/>
                <w:highlight w:val="none"/>
              </w:rPr>
              <w:t>（2）本项目</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服务费由</w:t>
            </w:r>
            <w:r>
              <w:rPr>
                <w:rFonts w:hint="eastAsia" w:ascii="宋体" w:hAnsi="宋体" w:eastAsia="宋体" w:cs="宋体"/>
                <w:color w:val="auto"/>
                <w:szCs w:val="21"/>
                <w:highlight w:val="none"/>
                <w:lang w:val="en-US" w:eastAsia="zh-CN"/>
              </w:rPr>
              <w:t>中标单位</w:t>
            </w:r>
            <w:r>
              <w:rPr>
                <w:rFonts w:hint="eastAsia" w:ascii="宋体" w:hAnsi="宋体" w:eastAsia="宋体" w:cs="宋体"/>
                <w:color w:val="auto"/>
                <w:szCs w:val="21"/>
                <w:highlight w:val="none"/>
              </w:rPr>
              <w:t>支付。</w:t>
            </w:r>
          </w:p>
        </w:tc>
      </w:tr>
      <w:tr w14:paraId="72D0A5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0063BC18">
            <w:pPr>
              <w:widowControl w:val="0"/>
              <w:tabs>
                <w:tab w:val="left" w:pos="907"/>
              </w:tabs>
              <w:adjustRightInd/>
              <w:snapToGrid/>
              <w:ind w:firstLine="428"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47141EE7">
      <w:pPr>
        <w:jc w:val="center"/>
        <w:rPr>
          <w:color w:val="auto"/>
          <w:highlight w:val="none"/>
        </w:rPr>
      </w:pPr>
      <w:r>
        <w:rPr>
          <w:rFonts w:hint="eastAsia"/>
          <w:color w:val="auto"/>
          <w:highlight w:val="none"/>
        </w:rPr>
        <w:br w:type="page"/>
      </w:r>
    </w:p>
    <w:p w14:paraId="43B2158E">
      <w:pPr>
        <w:pStyle w:val="6"/>
        <w:spacing w:before="0" w:after="0" w:line="240" w:lineRule="auto"/>
        <w:jc w:val="center"/>
        <w:rPr>
          <w:rFonts w:hAnsi="宋体" w:cs="宋体"/>
          <w:color w:val="auto"/>
          <w:sz w:val="21"/>
          <w:szCs w:val="21"/>
          <w:highlight w:val="none"/>
        </w:rPr>
      </w:pPr>
      <w:bookmarkStart w:id="5" w:name="_Toc31223"/>
      <w:bookmarkStart w:id="6" w:name="_Toc18555"/>
      <w:bookmarkStart w:id="7" w:name="_Toc1470"/>
      <w:r>
        <w:rPr>
          <w:rFonts w:hint="eastAsia" w:ascii="宋体" w:hAnsi="宋体" w:cs="宋体"/>
          <w:color w:val="auto"/>
          <w:sz w:val="24"/>
          <w:szCs w:val="24"/>
          <w:highlight w:val="none"/>
        </w:rPr>
        <w:t>附表二：商务技术评分及价格权重表（满分100分）</w:t>
      </w:r>
      <w:bookmarkEnd w:id="5"/>
      <w:bookmarkEnd w:id="6"/>
      <w:bookmarkEnd w:id="7"/>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91"/>
        <w:gridCol w:w="704"/>
        <w:gridCol w:w="5846"/>
      </w:tblGrid>
      <w:tr w14:paraId="3A7C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12533AAE">
            <w:pPr>
              <w:pStyle w:val="43"/>
              <w:spacing w:line="360" w:lineRule="auto"/>
              <w:ind w:firstLine="0" w:firstLineChars="0"/>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391" w:type="dxa"/>
            <w:tcBorders>
              <w:top w:val="single" w:color="auto" w:sz="4" w:space="0"/>
              <w:left w:val="nil"/>
              <w:bottom w:val="single" w:color="auto" w:sz="4" w:space="0"/>
              <w:right w:val="single" w:color="auto" w:sz="4" w:space="0"/>
            </w:tcBorders>
            <w:noWrap w:val="0"/>
            <w:vAlign w:val="center"/>
          </w:tcPr>
          <w:p w14:paraId="4EAFBBCB">
            <w:pPr>
              <w:pStyle w:val="43"/>
              <w:spacing w:line="360" w:lineRule="auto"/>
              <w:ind w:firstLine="0" w:firstLineChars="0"/>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评分内容</w:t>
            </w:r>
          </w:p>
        </w:tc>
        <w:tc>
          <w:tcPr>
            <w:tcW w:w="704" w:type="dxa"/>
            <w:tcBorders>
              <w:top w:val="single" w:color="auto" w:sz="4" w:space="0"/>
              <w:left w:val="nil"/>
              <w:bottom w:val="single" w:color="auto" w:sz="4" w:space="0"/>
              <w:right w:val="single" w:color="auto" w:sz="4" w:space="0"/>
            </w:tcBorders>
            <w:noWrap w:val="0"/>
            <w:vAlign w:val="center"/>
          </w:tcPr>
          <w:p w14:paraId="58C935D8">
            <w:pPr>
              <w:pStyle w:val="43"/>
              <w:spacing w:line="360" w:lineRule="auto"/>
              <w:ind w:firstLine="0" w:firstLineChars="0"/>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846" w:type="dxa"/>
            <w:tcBorders>
              <w:top w:val="single" w:color="auto" w:sz="4" w:space="0"/>
              <w:left w:val="nil"/>
              <w:bottom w:val="single" w:color="auto" w:sz="4" w:space="0"/>
              <w:right w:val="single" w:color="auto" w:sz="4" w:space="0"/>
            </w:tcBorders>
            <w:noWrap w:val="0"/>
            <w:vAlign w:val="center"/>
          </w:tcPr>
          <w:p w14:paraId="02A779D7">
            <w:pPr>
              <w:pStyle w:val="43"/>
              <w:spacing w:line="360" w:lineRule="auto"/>
              <w:ind w:firstLine="0" w:firstLineChars="0"/>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评分标准</w:t>
            </w:r>
          </w:p>
        </w:tc>
      </w:tr>
      <w:tr w14:paraId="5935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630" w:type="dxa"/>
            <w:gridSpan w:val="4"/>
            <w:tcBorders>
              <w:top w:val="single" w:color="auto" w:sz="4" w:space="0"/>
              <w:left w:val="single" w:color="auto" w:sz="4" w:space="0"/>
              <w:bottom w:val="single" w:color="auto" w:sz="4" w:space="0"/>
              <w:right w:val="single" w:color="auto" w:sz="4" w:space="0"/>
            </w:tcBorders>
            <w:noWrap w:val="0"/>
            <w:vAlign w:val="center"/>
          </w:tcPr>
          <w:p w14:paraId="50218618">
            <w:pPr>
              <w:pStyle w:val="43"/>
              <w:spacing w:line="360" w:lineRule="auto"/>
              <w:ind w:firstLine="0" w:firstLineChars="0"/>
              <w:jc w:val="center"/>
              <w:rPr>
                <w:rFonts w:hint="eastAsia" w:ascii="宋体" w:eastAsia="宋体" w:cs="宋体"/>
                <w:b/>
                <w:bCs/>
                <w:color w:val="auto"/>
                <w:sz w:val="21"/>
                <w:szCs w:val="21"/>
                <w:highlight w:val="none"/>
              </w:rPr>
            </w:pPr>
            <w:r>
              <w:rPr>
                <w:rFonts w:hint="eastAsia" w:ascii="宋体" w:eastAsia="宋体" w:cs="宋体"/>
                <w:b/>
                <w:color w:val="auto"/>
                <w:sz w:val="22"/>
                <w:szCs w:val="22"/>
                <w:highlight w:val="none"/>
              </w:rPr>
              <w:t>商务评分（</w:t>
            </w:r>
            <w:r>
              <w:rPr>
                <w:rFonts w:hint="eastAsia" w:ascii="宋体" w:eastAsia="宋体" w:cs="宋体"/>
                <w:b/>
                <w:color w:val="auto"/>
                <w:sz w:val="22"/>
                <w:szCs w:val="22"/>
                <w:highlight w:val="none"/>
                <w:lang w:val="en-US" w:eastAsia="zh-CN"/>
              </w:rPr>
              <w:t>40</w:t>
            </w:r>
            <w:r>
              <w:rPr>
                <w:rFonts w:hint="eastAsia" w:ascii="宋体" w:eastAsia="宋体" w:cs="宋体"/>
                <w:b/>
                <w:color w:val="auto"/>
                <w:sz w:val="22"/>
                <w:szCs w:val="22"/>
                <w:highlight w:val="none"/>
              </w:rPr>
              <w:t>分）</w:t>
            </w:r>
          </w:p>
        </w:tc>
      </w:tr>
      <w:tr w14:paraId="5DDF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46B4CC2C">
            <w:pPr>
              <w:pStyle w:val="43"/>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1</w:t>
            </w:r>
          </w:p>
        </w:tc>
        <w:tc>
          <w:tcPr>
            <w:tcW w:w="1391" w:type="dxa"/>
            <w:tcBorders>
              <w:top w:val="single" w:color="auto" w:sz="4" w:space="0"/>
              <w:left w:val="nil"/>
              <w:bottom w:val="single" w:color="auto" w:sz="4" w:space="0"/>
              <w:right w:val="single" w:color="auto" w:sz="4" w:space="0"/>
            </w:tcBorders>
            <w:noWrap w:val="0"/>
            <w:vAlign w:val="center"/>
          </w:tcPr>
          <w:p w14:paraId="070AC0D2">
            <w:pPr>
              <w:pStyle w:val="43"/>
              <w:wordWrap w:val="0"/>
              <w:spacing w:line="360" w:lineRule="exact"/>
              <w:ind w:firstLine="0" w:firstLineChars="0"/>
              <w:jc w:val="center"/>
              <w:rPr>
                <w:rFonts w:hint="eastAsia" w:ascii="宋体" w:eastAsia="宋体" w:cs="宋体"/>
                <w:bCs/>
                <w:color w:val="auto"/>
                <w:sz w:val="21"/>
                <w:szCs w:val="21"/>
                <w:highlight w:val="none"/>
                <w:lang w:val="en-US" w:eastAsia="zh-CN"/>
              </w:rPr>
            </w:pPr>
            <w:r>
              <w:rPr>
                <w:rFonts w:hint="eastAsia" w:ascii="宋体" w:eastAsia="宋体" w:cs="宋体"/>
                <w:bCs/>
                <w:color w:val="auto"/>
                <w:sz w:val="21"/>
                <w:szCs w:val="21"/>
                <w:highlight w:val="none"/>
                <w:lang w:val="en-US" w:eastAsia="zh-CN"/>
              </w:rPr>
              <w:t>企业实力</w:t>
            </w:r>
          </w:p>
        </w:tc>
        <w:tc>
          <w:tcPr>
            <w:tcW w:w="704" w:type="dxa"/>
            <w:tcBorders>
              <w:top w:val="single" w:color="auto" w:sz="4" w:space="0"/>
              <w:left w:val="nil"/>
              <w:bottom w:val="single" w:color="auto" w:sz="4" w:space="0"/>
              <w:right w:val="single" w:color="auto" w:sz="4" w:space="0"/>
            </w:tcBorders>
            <w:noWrap w:val="0"/>
            <w:vAlign w:val="center"/>
          </w:tcPr>
          <w:p w14:paraId="14016BCC">
            <w:pPr>
              <w:pStyle w:val="43"/>
              <w:wordWrap w:val="0"/>
              <w:spacing w:line="360" w:lineRule="exact"/>
              <w:ind w:firstLine="0" w:firstLineChars="0"/>
              <w:jc w:val="center"/>
              <w:rPr>
                <w:rFonts w:hint="eastAsia" w:ascii="宋体" w:eastAsia="宋体" w:cs="宋体"/>
                <w:bCs/>
                <w:color w:val="auto"/>
                <w:sz w:val="21"/>
                <w:szCs w:val="21"/>
                <w:highlight w:val="none"/>
              </w:rPr>
            </w:pPr>
            <w:r>
              <w:rPr>
                <w:rFonts w:hint="eastAsia" w:ascii="宋体" w:eastAsia="宋体" w:cs="宋体"/>
                <w:color w:val="auto"/>
                <w:sz w:val="21"/>
                <w:szCs w:val="21"/>
                <w:highlight w:val="none"/>
                <w:lang w:val="en-US" w:eastAsia="zh-CN"/>
              </w:rPr>
              <w:t>8</w:t>
            </w:r>
            <w:r>
              <w:rPr>
                <w:rFonts w:hint="eastAsia" w:ascii="宋体" w:eastAsia="宋体" w:cs="宋体"/>
                <w:color w:val="auto"/>
                <w:sz w:val="21"/>
                <w:szCs w:val="21"/>
                <w:highlight w:val="none"/>
              </w:rPr>
              <w:t>分</w:t>
            </w:r>
          </w:p>
        </w:tc>
        <w:tc>
          <w:tcPr>
            <w:tcW w:w="5846" w:type="dxa"/>
            <w:tcBorders>
              <w:top w:val="single" w:color="auto" w:sz="4" w:space="0"/>
              <w:left w:val="nil"/>
              <w:bottom w:val="single" w:color="auto" w:sz="4" w:space="0"/>
              <w:right w:val="single" w:color="auto" w:sz="4" w:space="0"/>
            </w:tcBorders>
            <w:noWrap w:val="0"/>
            <w:vAlign w:val="center"/>
          </w:tcPr>
          <w:p w14:paraId="3A9D6A15">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根据投标人具有由国家认证认可监督管理部门批准设立的认证机构颁发并在有效期内的以下证书进行评审： </w:t>
            </w:r>
          </w:p>
          <w:p w14:paraId="1F70B586">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（1）质量管理体系认证证书； </w:t>
            </w:r>
          </w:p>
          <w:p w14:paraId="1B1BD82D">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（2）职业健康安全管理体系认证证书； </w:t>
            </w:r>
          </w:p>
          <w:p w14:paraId="182090A2">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（3）环境管理体系认证证书； </w:t>
            </w:r>
          </w:p>
          <w:p w14:paraId="1544D6CC">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（4）食品安全管理体系认证证书； </w:t>
            </w:r>
          </w:p>
          <w:p w14:paraId="06FFEAF2">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以上证书每具有一个得</w:t>
            </w:r>
            <w:r>
              <w:rPr>
                <w:rFonts w:hint="eastAsia" w:ascii="宋体" w:eastAsia="宋体" w:cs="宋体"/>
                <w:bCs/>
                <w:color w:val="auto"/>
                <w:sz w:val="21"/>
                <w:szCs w:val="21"/>
                <w:highlight w:val="none"/>
                <w:lang w:val="en-US" w:eastAsia="zh-CN"/>
              </w:rPr>
              <w:t>2</w:t>
            </w:r>
            <w:r>
              <w:rPr>
                <w:rFonts w:hint="eastAsia" w:ascii="宋体" w:eastAsia="宋体" w:cs="宋体"/>
                <w:bCs/>
                <w:color w:val="auto"/>
                <w:sz w:val="21"/>
                <w:szCs w:val="21"/>
                <w:highlight w:val="none"/>
              </w:rPr>
              <w:t>分，本项最高得</w:t>
            </w:r>
            <w:r>
              <w:rPr>
                <w:rFonts w:hint="eastAsia" w:ascii="宋体" w:eastAsia="宋体" w:cs="宋体"/>
                <w:bCs/>
                <w:color w:val="auto"/>
                <w:sz w:val="21"/>
                <w:szCs w:val="21"/>
                <w:highlight w:val="none"/>
                <w:lang w:val="en-US" w:eastAsia="zh-CN"/>
              </w:rPr>
              <w:t>8</w:t>
            </w:r>
            <w:r>
              <w:rPr>
                <w:rFonts w:hint="eastAsia" w:ascii="宋体" w:eastAsia="宋体" w:cs="宋体"/>
                <w:bCs/>
                <w:color w:val="auto"/>
                <w:sz w:val="21"/>
                <w:szCs w:val="21"/>
                <w:highlight w:val="none"/>
              </w:rPr>
              <w:t xml:space="preserve">分。 </w:t>
            </w:r>
          </w:p>
          <w:p w14:paraId="3A18123A">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cs="宋体"/>
                <w:b/>
                <w:bCs/>
                <w:color w:val="auto"/>
                <w:szCs w:val="21"/>
                <w:highlight w:val="none"/>
                <w:u w:val="single"/>
              </w:rPr>
            </w:pPr>
            <w:r>
              <w:rPr>
                <w:rFonts w:hint="eastAsia" w:ascii="宋体" w:eastAsia="宋体" w:cs="宋体"/>
                <w:bCs/>
                <w:color w:val="auto"/>
                <w:sz w:val="21"/>
                <w:szCs w:val="21"/>
                <w:highlight w:val="none"/>
              </w:rPr>
              <w:t>注：须提供有效期内证书复印件并加盖投标人公章，否则不得分。</w:t>
            </w:r>
          </w:p>
        </w:tc>
      </w:tr>
      <w:tr w14:paraId="5076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10B082F8">
            <w:pPr>
              <w:pStyle w:val="43"/>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2</w:t>
            </w:r>
          </w:p>
        </w:tc>
        <w:tc>
          <w:tcPr>
            <w:tcW w:w="1391" w:type="dxa"/>
            <w:tcBorders>
              <w:top w:val="single" w:color="auto" w:sz="4" w:space="0"/>
              <w:left w:val="nil"/>
              <w:bottom w:val="single" w:color="auto" w:sz="4" w:space="0"/>
              <w:right w:val="single" w:color="auto" w:sz="4" w:space="0"/>
            </w:tcBorders>
            <w:noWrap w:val="0"/>
            <w:vAlign w:val="center"/>
          </w:tcPr>
          <w:p w14:paraId="1281A92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项目业绩</w:t>
            </w:r>
          </w:p>
        </w:tc>
        <w:tc>
          <w:tcPr>
            <w:tcW w:w="704" w:type="dxa"/>
            <w:tcBorders>
              <w:top w:val="single" w:color="auto" w:sz="4" w:space="0"/>
              <w:left w:val="nil"/>
              <w:bottom w:val="single" w:color="auto" w:sz="4" w:space="0"/>
              <w:right w:val="single" w:color="auto" w:sz="4" w:space="0"/>
            </w:tcBorders>
            <w:noWrap w:val="0"/>
            <w:vAlign w:val="center"/>
          </w:tcPr>
          <w:p w14:paraId="2CF43450">
            <w:pPr>
              <w:pStyle w:val="43"/>
              <w:wordWrap w:val="0"/>
              <w:spacing w:line="36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10</w:t>
            </w:r>
            <w:r>
              <w:rPr>
                <w:rFonts w:hint="eastAsia" w:ascii="宋体" w:eastAsia="宋体" w:cs="宋体"/>
                <w:color w:val="auto"/>
                <w:sz w:val="21"/>
                <w:szCs w:val="21"/>
                <w:highlight w:val="none"/>
              </w:rPr>
              <w:t>分</w:t>
            </w:r>
          </w:p>
        </w:tc>
        <w:tc>
          <w:tcPr>
            <w:tcW w:w="5846" w:type="dxa"/>
            <w:tcBorders>
              <w:top w:val="single" w:color="auto" w:sz="4" w:space="0"/>
              <w:left w:val="nil"/>
              <w:bottom w:val="single" w:color="auto" w:sz="4" w:space="0"/>
              <w:right w:val="single" w:color="auto" w:sz="4" w:space="0"/>
            </w:tcBorders>
            <w:noWrap w:val="0"/>
            <w:vAlign w:val="center"/>
          </w:tcPr>
          <w:p w14:paraId="7377041C">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投标人具有食堂（饭堂）食材配送项目业绩的，每提供一个有效业绩得</w:t>
            </w:r>
            <w:r>
              <w:rPr>
                <w:rFonts w:hint="eastAsia" w:ascii="宋体" w:eastAsia="宋体" w:cs="宋体"/>
                <w:bCs/>
                <w:color w:val="auto"/>
                <w:sz w:val="21"/>
                <w:szCs w:val="21"/>
                <w:highlight w:val="none"/>
                <w:lang w:val="en-US" w:eastAsia="zh-CN"/>
              </w:rPr>
              <w:t>2</w:t>
            </w:r>
            <w:r>
              <w:rPr>
                <w:rFonts w:hint="eastAsia" w:ascii="宋体" w:eastAsia="宋体" w:cs="宋体"/>
                <w:bCs/>
                <w:color w:val="auto"/>
                <w:sz w:val="21"/>
                <w:szCs w:val="21"/>
                <w:highlight w:val="none"/>
              </w:rPr>
              <w:t xml:space="preserve">分，本项最高得10分。 </w:t>
            </w:r>
          </w:p>
          <w:p w14:paraId="50E5D646">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
                <w:color w:val="auto"/>
                <w:sz w:val="21"/>
                <w:szCs w:val="21"/>
                <w:highlight w:val="none"/>
                <w:u w:val="single"/>
              </w:rPr>
            </w:pPr>
            <w:r>
              <w:rPr>
                <w:rFonts w:hint="eastAsia" w:ascii="宋体" w:eastAsia="宋体" w:cs="宋体"/>
                <w:bCs/>
                <w:color w:val="auto"/>
                <w:sz w:val="21"/>
                <w:szCs w:val="21"/>
                <w:highlight w:val="none"/>
              </w:rPr>
              <w:t>注：须提供合同复印件及合同期内任意一个月发票复印件或税控系统截图的复印件加盖投标人公章，否则不得分。</w:t>
            </w:r>
          </w:p>
        </w:tc>
      </w:tr>
      <w:tr w14:paraId="7BF3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29E274DC">
            <w:pPr>
              <w:pStyle w:val="43"/>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391" w:type="dxa"/>
            <w:tcBorders>
              <w:top w:val="single" w:color="auto" w:sz="4" w:space="0"/>
              <w:left w:val="nil"/>
              <w:bottom w:val="single" w:color="auto" w:sz="4" w:space="0"/>
              <w:right w:val="single" w:color="auto" w:sz="4" w:space="0"/>
            </w:tcBorders>
            <w:noWrap w:val="0"/>
            <w:vAlign w:val="center"/>
          </w:tcPr>
          <w:p w14:paraId="4505C6C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食品安全保障</w:t>
            </w:r>
          </w:p>
        </w:tc>
        <w:tc>
          <w:tcPr>
            <w:tcW w:w="704" w:type="dxa"/>
            <w:tcBorders>
              <w:top w:val="single" w:color="auto" w:sz="4" w:space="0"/>
              <w:left w:val="nil"/>
              <w:bottom w:val="single" w:color="auto" w:sz="4" w:space="0"/>
              <w:right w:val="single" w:color="auto" w:sz="4" w:space="0"/>
            </w:tcBorders>
            <w:noWrap w:val="0"/>
            <w:vAlign w:val="center"/>
          </w:tcPr>
          <w:p w14:paraId="527CE8F7">
            <w:pPr>
              <w:pStyle w:val="43"/>
              <w:wordWrap w:val="0"/>
              <w:spacing w:line="36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rPr>
              <w:t>分</w:t>
            </w:r>
          </w:p>
        </w:tc>
        <w:tc>
          <w:tcPr>
            <w:tcW w:w="5846" w:type="dxa"/>
            <w:tcBorders>
              <w:top w:val="single" w:color="auto" w:sz="4" w:space="0"/>
              <w:left w:val="nil"/>
              <w:bottom w:val="single" w:color="auto" w:sz="4" w:space="0"/>
              <w:right w:val="single" w:color="auto" w:sz="4" w:space="0"/>
            </w:tcBorders>
            <w:noWrap w:val="0"/>
            <w:vAlign w:val="center"/>
          </w:tcPr>
          <w:p w14:paraId="4B29C767">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投标人需提供2025年1月1日（以报告出具时间为准）以来，由</w:t>
            </w:r>
            <w:r>
              <w:rPr>
                <w:rFonts w:hint="eastAsia" w:ascii="宋体" w:hAnsi="宋体" w:eastAsia="宋体" w:cs="宋体"/>
                <w:bCs/>
                <w:color w:val="auto"/>
                <w:sz w:val="21"/>
                <w:szCs w:val="21"/>
                <w:highlight w:val="none"/>
              </w:rPr>
              <w:t>第三方检测机构</w:t>
            </w:r>
            <w:r>
              <w:rPr>
                <w:rFonts w:hint="eastAsia" w:ascii="宋体" w:hAnsi="宋体" w:eastAsia="宋体" w:cs="宋体"/>
                <w:color w:val="auto"/>
                <w:sz w:val="21"/>
                <w:szCs w:val="21"/>
                <w:highlight w:val="none"/>
              </w:rPr>
              <w:t>出具的任意1个月检测结果为合格的检测报告进行评审</w:t>
            </w:r>
            <w:r>
              <w:rPr>
                <w:rFonts w:hint="eastAsia" w:ascii="宋体" w:eastAsia="宋体" w:cs="宋体"/>
                <w:bCs/>
                <w:color w:val="auto"/>
                <w:sz w:val="21"/>
                <w:szCs w:val="21"/>
                <w:highlight w:val="none"/>
              </w:rPr>
              <w:t>：</w:t>
            </w:r>
          </w:p>
          <w:p w14:paraId="73ED5DFA">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1.蔬菜类（检测项目须包含但不限于：氧乐果、六六六、滴滴涕)； </w:t>
            </w:r>
          </w:p>
          <w:p w14:paraId="0724223D">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2.水果类（检测项目须包含但不限于：敌敌畏、喹硫磷、久效磷）； </w:t>
            </w:r>
          </w:p>
          <w:p w14:paraId="4DD3DED2">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3</w:t>
            </w:r>
            <w:r>
              <w:rPr>
                <w:rFonts w:hint="eastAsia" w:ascii="宋体" w:eastAsia="宋体" w:cs="宋体"/>
                <w:bCs/>
                <w:color w:val="auto"/>
                <w:sz w:val="21"/>
                <w:szCs w:val="21"/>
                <w:highlight w:val="none"/>
              </w:rPr>
              <w:t xml:space="preserve">.鱼类（检测项目须包含但不限于：孔雀石绿、土霉素、敌敌畏)； </w:t>
            </w:r>
          </w:p>
          <w:p w14:paraId="498CA3C1">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4</w:t>
            </w:r>
            <w:r>
              <w:rPr>
                <w:rFonts w:hint="eastAsia" w:ascii="宋体" w:eastAsia="宋体" w:cs="宋体"/>
                <w:bCs/>
                <w:color w:val="auto"/>
                <w:sz w:val="21"/>
                <w:szCs w:val="21"/>
                <w:highlight w:val="none"/>
              </w:rPr>
              <w:t>.肉类（检测项目须包含但不限于：达氟沙星、克伦特罗、莱克多巴胺）；</w:t>
            </w:r>
          </w:p>
          <w:p w14:paraId="49E7DACB">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5</w:t>
            </w:r>
            <w:r>
              <w:rPr>
                <w:rFonts w:hint="eastAsia" w:ascii="宋体" w:eastAsia="宋体" w:cs="宋体"/>
                <w:bCs/>
                <w:color w:val="auto"/>
                <w:sz w:val="21"/>
                <w:szCs w:val="21"/>
                <w:highlight w:val="none"/>
              </w:rPr>
              <w:t xml:space="preserve">.禽类（检测项目须包含但不限于：Hg、Pb、土霉素、氯霉素）；  </w:t>
            </w:r>
          </w:p>
          <w:p w14:paraId="372051BC">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6</w:t>
            </w:r>
            <w:r>
              <w:rPr>
                <w:rFonts w:hint="eastAsia" w:ascii="宋体" w:eastAsia="宋体" w:cs="宋体"/>
                <w:bCs/>
                <w:color w:val="auto"/>
                <w:sz w:val="21"/>
                <w:szCs w:val="21"/>
                <w:highlight w:val="none"/>
              </w:rPr>
              <w:t>.调味品类（检测项目须包含但不限于：As、苯甲酸及其钠盐、苯甲酸及其钾盐）；</w:t>
            </w:r>
          </w:p>
          <w:p w14:paraId="76C97CA6">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7</w:t>
            </w:r>
            <w:r>
              <w:rPr>
                <w:rFonts w:hint="eastAsia" w:ascii="宋体" w:eastAsia="宋体" w:cs="宋体"/>
                <w:bCs/>
                <w:color w:val="auto"/>
                <w:sz w:val="21"/>
                <w:szCs w:val="21"/>
                <w:highlight w:val="none"/>
              </w:rPr>
              <w:t>.干货类（检测项目须包含但不限于：Pb、黄曲霉毒素 B1、苯甲酸及其钠盐）；</w:t>
            </w:r>
          </w:p>
          <w:p w14:paraId="7BF53514">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上述 </w:t>
            </w:r>
            <w:r>
              <w:rPr>
                <w:rFonts w:hint="eastAsia" w:ascii="宋体" w:eastAsia="宋体" w:cs="宋体"/>
                <w:bCs/>
                <w:color w:val="auto"/>
                <w:sz w:val="21"/>
                <w:szCs w:val="21"/>
                <w:highlight w:val="none"/>
                <w:lang w:val="en-US" w:eastAsia="zh-CN"/>
              </w:rPr>
              <w:t>7</w:t>
            </w:r>
            <w:r>
              <w:rPr>
                <w:rFonts w:hint="eastAsia" w:ascii="宋体" w:eastAsia="宋体" w:cs="宋体"/>
                <w:bCs/>
                <w:color w:val="auto"/>
                <w:sz w:val="21"/>
                <w:szCs w:val="21"/>
                <w:highlight w:val="none"/>
              </w:rPr>
              <w:t>类产品，每提供一类产品的检测合格的检测报告复印件的得</w:t>
            </w:r>
            <w:r>
              <w:rPr>
                <w:rFonts w:hint="eastAsia" w:ascii="宋体" w:eastAsia="宋体" w:cs="宋体"/>
                <w:bCs/>
                <w:color w:val="auto"/>
                <w:sz w:val="21"/>
                <w:szCs w:val="21"/>
                <w:highlight w:val="none"/>
                <w:lang w:val="en-US" w:eastAsia="zh-CN"/>
              </w:rPr>
              <w:t>1</w:t>
            </w:r>
            <w:r>
              <w:rPr>
                <w:rFonts w:hint="eastAsia" w:ascii="宋体" w:eastAsia="宋体" w:cs="宋体"/>
                <w:bCs/>
                <w:color w:val="auto"/>
                <w:sz w:val="21"/>
                <w:szCs w:val="21"/>
                <w:highlight w:val="none"/>
              </w:rPr>
              <w:t xml:space="preserve">分，最高得 </w:t>
            </w:r>
            <w:r>
              <w:rPr>
                <w:rFonts w:hint="eastAsia" w:ascii="宋体" w:eastAsia="宋体" w:cs="宋体"/>
                <w:bCs/>
                <w:color w:val="auto"/>
                <w:sz w:val="21"/>
                <w:szCs w:val="21"/>
                <w:highlight w:val="none"/>
                <w:lang w:val="en-US" w:eastAsia="zh-CN"/>
              </w:rPr>
              <w:t>7</w:t>
            </w:r>
            <w:r>
              <w:rPr>
                <w:rFonts w:hint="eastAsia" w:ascii="宋体" w:eastAsia="宋体" w:cs="宋体"/>
                <w:bCs/>
                <w:color w:val="auto"/>
                <w:sz w:val="21"/>
                <w:szCs w:val="21"/>
                <w:highlight w:val="none"/>
              </w:rPr>
              <w:t>分。</w:t>
            </w:r>
          </w:p>
          <w:p w14:paraId="31B350F4">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lang w:val="en-US" w:eastAsia="zh-CN"/>
              </w:rPr>
              <w:t>注：1、</w:t>
            </w:r>
            <w:r>
              <w:rPr>
                <w:rFonts w:hint="eastAsia" w:ascii="宋体" w:eastAsia="宋体" w:cs="宋体"/>
                <w:bCs/>
                <w:color w:val="auto"/>
                <w:sz w:val="21"/>
                <w:szCs w:val="21"/>
                <w:highlight w:val="none"/>
              </w:rPr>
              <w:t>检测报告应覆盖以上检测项，检测项目不齐全或检测结果不合格的，对应项不得分。同一类食材提供多份检测报告的，检测项可以合并统计，但只计取一次分值。如属外文译音的检测项目，译音字不同但发音相同或相似的，为同一检测项目。同一检测项目，因使用别名导致与上述检测项目名称对应不上的，供应商应提供书面说明。</w:t>
            </w:r>
          </w:p>
          <w:p w14:paraId="00528070">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
                <w:color w:val="auto"/>
                <w:sz w:val="21"/>
                <w:szCs w:val="21"/>
                <w:highlight w:val="none"/>
                <w:u w:val="single"/>
                <w:lang w:eastAsia="zh-CN"/>
              </w:rPr>
            </w:pPr>
            <w:r>
              <w:rPr>
                <w:rFonts w:hint="eastAsia" w:ascii="宋体" w:eastAsia="宋体" w:cs="宋体"/>
                <w:bCs/>
                <w:color w:val="auto"/>
                <w:sz w:val="21"/>
                <w:szCs w:val="21"/>
                <w:highlight w:val="none"/>
                <w:lang w:val="en-US" w:eastAsia="zh-CN"/>
              </w:rPr>
              <w:t>2、</w:t>
            </w:r>
            <w:r>
              <w:rPr>
                <w:rFonts w:hint="eastAsia" w:ascii="宋体" w:eastAsia="宋体" w:cs="宋体"/>
                <w:bCs/>
                <w:color w:val="auto"/>
                <w:sz w:val="21"/>
                <w:szCs w:val="21"/>
                <w:highlight w:val="none"/>
              </w:rPr>
              <w:t>需同时提供：</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lang w:val="en-US" w:eastAsia="zh-CN"/>
              </w:rPr>
              <w:t>1</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rPr>
              <w:t>提供出具检测报告的第三方检测机构合作协议</w:t>
            </w:r>
            <w:r>
              <w:rPr>
                <w:rFonts w:hint="eastAsia" w:ascii="宋体" w:eastAsia="宋体" w:cs="宋体"/>
                <w:bCs/>
                <w:color w:val="auto"/>
                <w:sz w:val="21"/>
                <w:szCs w:val="21"/>
                <w:highlight w:val="none"/>
                <w:lang w:val="en-US" w:eastAsia="zh-CN"/>
              </w:rPr>
              <w:t>复印件加盖投标人公章</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lang w:val="en-US" w:eastAsia="zh-CN"/>
              </w:rPr>
              <w:t>2</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rPr>
              <w:t>提供带有CMA 或CNAS标志的检测报告</w:t>
            </w:r>
            <w:r>
              <w:rPr>
                <w:rFonts w:hint="eastAsia" w:ascii="宋体" w:eastAsia="宋体" w:cs="宋体"/>
                <w:bCs/>
                <w:color w:val="auto"/>
                <w:sz w:val="21"/>
                <w:szCs w:val="21"/>
                <w:highlight w:val="none"/>
                <w:lang w:val="en-US" w:eastAsia="zh-CN"/>
              </w:rPr>
              <w:t>复印件加盖投标人公章</w:t>
            </w:r>
            <w:r>
              <w:rPr>
                <w:rFonts w:hint="eastAsia" w:ascii="宋体" w:eastAsia="宋体" w:cs="宋体"/>
                <w:bCs/>
                <w:color w:val="auto"/>
                <w:sz w:val="21"/>
                <w:szCs w:val="21"/>
                <w:highlight w:val="none"/>
              </w:rPr>
              <w:t>（同一类别的检测报告，仅限提供一份检测报告</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rPr>
              <w:t>检测报告委托单位或送检单位须为投标人</w:t>
            </w:r>
            <w:r>
              <w:rPr>
                <w:rFonts w:hint="eastAsia" w:ascii="宋体" w:eastAsia="宋体" w:cs="宋体"/>
                <w:bCs/>
                <w:color w:val="auto"/>
                <w:sz w:val="21"/>
                <w:szCs w:val="21"/>
                <w:highlight w:val="none"/>
                <w:lang w:eastAsia="zh-CN"/>
              </w:rPr>
              <w:t>）。【</w:t>
            </w:r>
            <w:r>
              <w:rPr>
                <w:rFonts w:hint="eastAsia" w:ascii="宋体" w:eastAsia="宋体" w:cs="宋体"/>
                <w:bCs/>
                <w:color w:val="auto"/>
                <w:sz w:val="21"/>
                <w:szCs w:val="21"/>
                <w:highlight w:val="none"/>
              </w:rPr>
              <w:t>未按要求提供相关证明材料（或相关证明材料无法判断是否符合评分要求）的不计得分。</w:t>
            </w:r>
            <w:r>
              <w:rPr>
                <w:rFonts w:hint="eastAsia" w:ascii="宋体" w:eastAsia="宋体" w:cs="宋体"/>
                <w:bCs/>
                <w:color w:val="auto"/>
                <w:sz w:val="21"/>
                <w:szCs w:val="21"/>
                <w:highlight w:val="none"/>
                <w:lang w:eastAsia="zh-CN"/>
              </w:rPr>
              <w:t>】</w:t>
            </w:r>
          </w:p>
        </w:tc>
      </w:tr>
      <w:tr w14:paraId="014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1DEB44D4">
            <w:pPr>
              <w:pStyle w:val="43"/>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391" w:type="dxa"/>
            <w:tcBorders>
              <w:top w:val="single" w:color="auto" w:sz="4" w:space="0"/>
              <w:left w:val="nil"/>
              <w:bottom w:val="single" w:color="auto" w:sz="4" w:space="0"/>
              <w:right w:val="single" w:color="auto" w:sz="4" w:space="0"/>
            </w:tcBorders>
            <w:shd w:val="clear" w:color="auto" w:fill="auto"/>
            <w:noWrap w:val="0"/>
            <w:vAlign w:val="center"/>
          </w:tcPr>
          <w:p w14:paraId="34A325AE">
            <w:pPr>
              <w:spacing w:line="400" w:lineRule="exact"/>
              <w:jc w:val="center"/>
              <w:rPr>
                <w:rFonts w:hint="eastAsia" w:ascii="Tahoma" w:hAnsi="Tahoma" w:eastAsia="宋体" w:cstheme="minorBidi"/>
                <w:color w:val="auto"/>
                <w:sz w:val="21"/>
                <w:szCs w:val="22"/>
                <w:highlight w:val="none"/>
                <w:lang w:val="en-US" w:eastAsia="zh-CN" w:bidi="ar-SA"/>
              </w:rPr>
            </w:pPr>
            <w:r>
              <w:rPr>
                <w:color w:val="auto"/>
              </w:rPr>
              <w:t>食品安全责任险</w:t>
            </w:r>
          </w:p>
        </w:tc>
        <w:tc>
          <w:tcPr>
            <w:tcW w:w="704" w:type="dxa"/>
            <w:tcBorders>
              <w:top w:val="single" w:color="auto" w:sz="4" w:space="0"/>
              <w:left w:val="nil"/>
              <w:bottom w:val="single" w:color="auto" w:sz="4" w:space="0"/>
              <w:right w:val="single" w:color="auto" w:sz="4" w:space="0"/>
            </w:tcBorders>
            <w:shd w:val="clear" w:color="auto" w:fill="auto"/>
            <w:noWrap w:val="0"/>
            <w:vAlign w:val="center"/>
          </w:tcPr>
          <w:p w14:paraId="1BB06144">
            <w:pPr>
              <w:wordWrap w:val="0"/>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5A317FF2">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投标人投保非针对特定项目的“食品安全责任险”保额情况评分： ①食品安全（责任）保险保额</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 xml:space="preserve">5000万元的，得4分； ②3000万元≤食品安全（责任）保险保额＜5000万元的，得3分； ③1000万元≤食品安全（责任）保险保额＜3000万元的，得2分； ④500万元≤食品安全（责任）保险保额＜1000万元的，得1分； ⑤食品安全（责任）保险保额＜500万元或不提供的，得0分。 </w:t>
            </w:r>
          </w:p>
          <w:p w14:paraId="46B2B097">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注：须同时提供</w:t>
            </w:r>
            <w:r>
              <w:rPr>
                <w:rFonts w:hint="eastAsia" w:ascii="宋体" w:hAnsi="宋体" w:eastAsia="宋体" w:cs="宋体"/>
                <w:bCs/>
                <w:color w:val="auto"/>
                <w:sz w:val="21"/>
                <w:szCs w:val="21"/>
                <w:highlight w:val="none"/>
                <w:lang w:val="en-US" w:eastAsia="zh-CN"/>
              </w:rPr>
              <w:t>投标时还在生效的</w:t>
            </w:r>
            <w:r>
              <w:rPr>
                <w:rFonts w:hint="eastAsia" w:ascii="宋体" w:hAnsi="宋体" w:eastAsia="宋体" w:cs="宋体"/>
                <w:bCs/>
                <w:color w:val="auto"/>
                <w:sz w:val="21"/>
                <w:szCs w:val="21"/>
                <w:highlight w:val="none"/>
              </w:rPr>
              <w:t>保（险）单及</w:t>
            </w:r>
            <w:r>
              <w:rPr>
                <w:rFonts w:hint="eastAsia" w:ascii="宋体" w:hAnsi="宋体" w:eastAsia="宋体" w:cs="宋体"/>
                <w:bCs/>
                <w:color w:val="auto"/>
                <w:sz w:val="21"/>
                <w:szCs w:val="21"/>
                <w:highlight w:val="none"/>
                <w:lang w:val="en-US" w:eastAsia="zh-CN"/>
              </w:rPr>
              <w:t>对应</w:t>
            </w:r>
            <w:r>
              <w:rPr>
                <w:rFonts w:hint="eastAsia" w:ascii="宋体" w:hAnsi="宋体" w:eastAsia="宋体" w:cs="宋体"/>
                <w:bCs/>
                <w:color w:val="auto"/>
                <w:sz w:val="21"/>
                <w:szCs w:val="21"/>
                <w:highlight w:val="none"/>
              </w:rPr>
              <w:t>发票复印件加盖投标人公章。</w:t>
            </w:r>
            <w:r>
              <w:rPr>
                <w:rFonts w:hint="eastAsia" w:ascii="宋体" w:hAnsi="宋体" w:eastAsia="宋体" w:cs="宋体"/>
                <w:bCs/>
                <w:color w:val="auto"/>
                <w:sz w:val="21"/>
                <w:szCs w:val="21"/>
                <w:highlight w:val="none"/>
                <w:lang w:val="en-US" w:eastAsia="zh-CN"/>
              </w:rPr>
              <w:t>保险期要覆盖至本项目服务期,如没覆盖至本项目服务需同时提供承诺函，承诺到期后自行续期至本项目服务期止，格式自拟。</w:t>
            </w:r>
          </w:p>
        </w:tc>
      </w:tr>
      <w:tr w14:paraId="4603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6F645C0B">
            <w:pPr>
              <w:pStyle w:val="43"/>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391" w:type="dxa"/>
            <w:tcBorders>
              <w:top w:val="single" w:color="auto" w:sz="4" w:space="0"/>
              <w:left w:val="nil"/>
              <w:bottom w:val="single" w:color="auto" w:sz="4" w:space="0"/>
              <w:right w:val="single" w:color="auto" w:sz="4" w:space="0"/>
            </w:tcBorders>
            <w:shd w:val="clear" w:color="auto" w:fill="auto"/>
            <w:noWrap w:val="0"/>
            <w:vAlign w:val="center"/>
          </w:tcPr>
          <w:p w14:paraId="04A1741E">
            <w:pPr>
              <w:spacing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车辆情况</w:t>
            </w:r>
          </w:p>
        </w:tc>
        <w:tc>
          <w:tcPr>
            <w:tcW w:w="704" w:type="dxa"/>
            <w:tcBorders>
              <w:top w:val="single" w:color="auto" w:sz="4" w:space="0"/>
              <w:left w:val="nil"/>
              <w:bottom w:val="single" w:color="auto" w:sz="4" w:space="0"/>
              <w:right w:val="single" w:color="auto" w:sz="4" w:space="0"/>
            </w:tcBorders>
            <w:shd w:val="clear" w:color="auto" w:fill="auto"/>
            <w:noWrap w:val="0"/>
            <w:vAlign w:val="center"/>
          </w:tcPr>
          <w:p w14:paraId="3C742761">
            <w:pPr>
              <w:pStyle w:val="43"/>
              <w:wordWrap w:val="0"/>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4</w:t>
            </w:r>
            <w:r>
              <w:rPr>
                <w:rFonts w:hint="eastAsia" w:ascii="宋体" w:eastAsia="宋体" w:cs="宋体"/>
                <w:color w:val="auto"/>
                <w:sz w:val="21"/>
                <w:szCs w:val="21"/>
                <w:highlight w:val="none"/>
              </w:rPr>
              <w:t>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42E24C99">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根据投标人投入本项目的冷链配送运输车辆(自有或租赁)数量情况：每台车计1分，本项最高得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分。 </w:t>
            </w:r>
          </w:p>
          <w:p w14:paraId="1CB3059E">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注：自有车辆须提供车辆行驶证复印件（有效期内）、购车发票【租赁配送车辆须提供车辆租赁合同、车辆行驶证复印件（有效期内）】及对应车辆照片（冷链车照片须清晰显示制冷设备）复印件加盖投标人公章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否则为不得分。</w:t>
            </w:r>
          </w:p>
        </w:tc>
      </w:tr>
      <w:tr w14:paraId="340B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7418506D">
            <w:pPr>
              <w:pStyle w:val="43"/>
              <w:spacing w:line="36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6</w:t>
            </w:r>
          </w:p>
        </w:tc>
        <w:tc>
          <w:tcPr>
            <w:tcW w:w="1391" w:type="dxa"/>
            <w:tcBorders>
              <w:top w:val="single" w:color="auto" w:sz="4" w:space="0"/>
              <w:left w:val="nil"/>
              <w:bottom w:val="single" w:color="auto" w:sz="4" w:space="0"/>
              <w:right w:val="single" w:color="auto" w:sz="4" w:space="0"/>
            </w:tcBorders>
            <w:noWrap w:val="0"/>
            <w:vAlign w:val="center"/>
          </w:tcPr>
          <w:p w14:paraId="663C54C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拟投入配套冷藏库情况</w:t>
            </w:r>
          </w:p>
        </w:tc>
        <w:tc>
          <w:tcPr>
            <w:tcW w:w="704" w:type="dxa"/>
            <w:tcBorders>
              <w:top w:val="single" w:color="auto" w:sz="4" w:space="0"/>
              <w:left w:val="nil"/>
              <w:bottom w:val="single" w:color="auto" w:sz="4" w:space="0"/>
              <w:right w:val="single" w:color="auto" w:sz="4" w:space="0"/>
            </w:tcBorders>
            <w:noWrap w:val="0"/>
            <w:vAlign w:val="center"/>
          </w:tcPr>
          <w:p w14:paraId="074629F8">
            <w:pPr>
              <w:wordWrap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3分</w:t>
            </w:r>
          </w:p>
        </w:tc>
        <w:tc>
          <w:tcPr>
            <w:tcW w:w="5846" w:type="dxa"/>
            <w:tcBorders>
              <w:top w:val="single" w:color="auto" w:sz="4" w:space="0"/>
              <w:left w:val="nil"/>
              <w:bottom w:val="single" w:color="auto" w:sz="4" w:space="0"/>
              <w:right w:val="single" w:color="auto" w:sz="4" w:space="0"/>
            </w:tcBorders>
            <w:noWrap w:val="0"/>
            <w:vAlign w:val="center"/>
          </w:tcPr>
          <w:p w14:paraId="0FB24788">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投标人具有自有或租赁的配套冷藏库的，得</w:t>
            </w:r>
            <w:r>
              <w:rPr>
                <w:rFonts w:hint="eastAsia" w:ascii="宋体" w:eastAsia="宋体" w:cs="宋体"/>
                <w:bCs/>
                <w:color w:val="auto"/>
                <w:sz w:val="21"/>
                <w:szCs w:val="21"/>
                <w:highlight w:val="none"/>
                <w:lang w:val="en-US" w:eastAsia="zh-CN"/>
              </w:rPr>
              <w:t>3</w:t>
            </w:r>
            <w:r>
              <w:rPr>
                <w:rFonts w:hint="eastAsia" w:ascii="宋体" w:eastAsia="宋体" w:cs="宋体"/>
                <w:bCs/>
                <w:color w:val="auto"/>
                <w:sz w:val="21"/>
                <w:szCs w:val="21"/>
                <w:highlight w:val="none"/>
              </w:rPr>
              <w:t>分，本项最高得</w:t>
            </w:r>
            <w:r>
              <w:rPr>
                <w:rFonts w:hint="eastAsia" w:ascii="宋体" w:eastAsia="宋体" w:cs="宋体"/>
                <w:bCs/>
                <w:color w:val="auto"/>
                <w:sz w:val="21"/>
                <w:szCs w:val="21"/>
                <w:highlight w:val="none"/>
                <w:lang w:val="en-US" w:eastAsia="zh-CN"/>
              </w:rPr>
              <w:t>3</w:t>
            </w:r>
            <w:r>
              <w:rPr>
                <w:rFonts w:hint="eastAsia" w:ascii="宋体" w:eastAsia="宋体" w:cs="宋体"/>
                <w:bCs/>
                <w:color w:val="auto"/>
                <w:sz w:val="21"/>
                <w:szCs w:val="21"/>
                <w:highlight w:val="none"/>
              </w:rPr>
              <w:t xml:space="preserve">分。 </w:t>
            </w:r>
          </w:p>
          <w:p w14:paraId="0EB7C872">
            <w:pPr>
              <w:pStyle w:val="43"/>
              <w:keepNext w:val="0"/>
              <w:keepLines w:val="0"/>
              <w:pageBreakBefore w:val="0"/>
              <w:kinsoku/>
              <w:overflowPunct/>
              <w:topLinePunct w:val="0"/>
              <w:autoSpaceDE/>
              <w:autoSpaceDN/>
              <w:bidi w:val="0"/>
              <w:spacing w:line="400" w:lineRule="exact"/>
              <w:ind w:firstLine="428" w:firstLineChars="200"/>
              <w:jc w:val="left"/>
              <w:textAlignment w:val="auto"/>
              <w:rPr>
                <w:rFonts w:hint="eastAsia" w:ascii="宋体" w:hAnsi="宋体" w:cs="宋体"/>
                <w:b/>
                <w:color w:val="auto"/>
                <w:szCs w:val="21"/>
                <w:highlight w:val="none"/>
                <w:u w:val="single"/>
              </w:rPr>
            </w:pPr>
            <w:r>
              <w:rPr>
                <w:rFonts w:hint="eastAsia" w:ascii="宋体" w:eastAsia="宋体" w:cs="宋体"/>
                <w:bCs/>
                <w:color w:val="auto"/>
                <w:sz w:val="21"/>
                <w:szCs w:val="21"/>
                <w:highlight w:val="none"/>
              </w:rPr>
              <w:t>注：（1）投标人自有冷藏库的须提供其建设冷藏库的合同复印件加盖投标人公章。（2）投标人租赁冷藏库的须提供租赁合同复印件及出租方建设冷藏库的合同复印件加盖投标人公章。</w:t>
            </w:r>
          </w:p>
        </w:tc>
      </w:tr>
      <w:tr w14:paraId="760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470E1D6D">
            <w:pPr>
              <w:pStyle w:val="43"/>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1391" w:type="dxa"/>
            <w:tcBorders>
              <w:top w:val="single" w:color="auto" w:sz="4" w:space="0"/>
              <w:left w:val="nil"/>
              <w:bottom w:val="single" w:color="auto" w:sz="4" w:space="0"/>
              <w:right w:val="single" w:color="auto" w:sz="4" w:space="0"/>
            </w:tcBorders>
            <w:noWrap w:val="0"/>
            <w:vAlign w:val="center"/>
          </w:tcPr>
          <w:p w14:paraId="2C4D1FFD">
            <w:pPr>
              <w:spacing w:line="400" w:lineRule="exact"/>
              <w:jc w:val="center"/>
              <w:rPr>
                <w:rFonts w:hint="eastAsia" w:ascii="宋体" w:hAnsi="宋体" w:cs="宋体"/>
                <w:color w:val="auto"/>
                <w:szCs w:val="21"/>
                <w:highlight w:val="none"/>
              </w:rPr>
            </w:pPr>
            <w:r>
              <w:rPr>
                <w:color w:val="auto"/>
              </w:rPr>
              <w:t xml:space="preserve">拟投入人员 </w:t>
            </w:r>
          </w:p>
        </w:tc>
        <w:tc>
          <w:tcPr>
            <w:tcW w:w="704" w:type="dxa"/>
            <w:tcBorders>
              <w:top w:val="single" w:color="auto" w:sz="4" w:space="0"/>
              <w:left w:val="nil"/>
              <w:bottom w:val="single" w:color="auto" w:sz="4" w:space="0"/>
              <w:right w:val="single" w:color="auto" w:sz="4" w:space="0"/>
            </w:tcBorders>
            <w:noWrap w:val="0"/>
            <w:vAlign w:val="center"/>
          </w:tcPr>
          <w:p w14:paraId="0FD32BBC">
            <w:pPr>
              <w:jc w:val="center"/>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tc>
        <w:tc>
          <w:tcPr>
            <w:tcW w:w="5846" w:type="dxa"/>
            <w:tcBorders>
              <w:top w:val="single" w:color="auto" w:sz="4" w:space="0"/>
              <w:left w:val="nil"/>
              <w:bottom w:val="single" w:color="auto" w:sz="4" w:space="0"/>
              <w:right w:val="single" w:color="auto" w:sz="4" w:space="0"/>
            </w:tcBorders>
            <w:noWrap w:val="0"/>
            <w:vAlign w:val="center"/>
          </w:tcPr>
          <w:p w14:paraId="498DC41E">
            <w:pPr>
              <w:keepNext w:val="0"/>
              <w:keepLines w:val="0"/>
              <w:pageBreakBefore w:val="0"/>
              <w:kinsoku/>
              <w:wordWrap/>
              <w:overflowPunct/>
              <w:topLinePunct w:val="0"/>
              <w:autoSpaceDE/>
              <w:autoSpaceDN/>
              <w:bidi w:val="0"/>
              <w:spacing w:line="400" w:lineRule="exact"/>
              <w:ind w:firstLine="428"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根据投标人拟投入服务人员情况进行审： （1）具有食品安全管理员证的，得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 （2）具有食品检验工（员）证的，得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分； </w:t>
            </w:r>
          </w:p>
          <w:p w14:paraId="230DD968">
            <w:pPr>
              <w:keepNext w:val="0"/>
              <w:keepLines w:val="0"/>
              <w:pageBreakBefore w:val="0"/>
              <w:kinsoku/>
              <w:wordWrap/>
              <w:overflowPunct/>
              <w:topLinePunct w:val="0"/>
              <w:autoSpaceDE/>
              <w:autoSpaceDN/>
              <w:bidi w:val="0"/>
              <w:spacing w:line="400" w:lineRule="exact"/>
              <w:ind w:firstLine="428" w:firstLineChars="200"/>
              <w:textAlignment w:val="auto"/>
              <w:rPr>
                <w:rFonts w:hint="eastAsia" w:ascii="宋体" w:eastAsia="宋体" w:cs="宋体"/>
                <w:bCs/>
                <w:color w:val="auto"/>
                <w:sz w:val="21"/>
                <w:szCs w:val="21"/>
                <w:highlight w:val="none"/>
              </w:rPr>
            </w:pPr>
            <w:r>
              <w:rPr>
                <w:rFonts w:hint="eastAsia" w:ascii="宋体" w:hAnsi="宋体" w:cs="宋体"/>
                <w:color w:val="auto"/>
                <w:szCs w:val="21"/>
                <w:highlight w:val="none"/>
              </w:rPr>
              <w:t>注:须提供人员证书复印件及投标人为其缴纳的距开标前六个月内（不含开标当月）任意一个月的社保证明复印件并加盖投标人公章。</w:t>
            </w:r>
          </w:p>
        </w:tc>
      </w:tr>
      <w:tr w14:paraId="696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30" w:type="dxa"/>
            <w:gridSpan w:val="4"/>
            <w:tcBorders>
              <w:top w:val="single" w:color="auto" w:sz="4" w:space="0"/>
              <w:left w:val="single" w:color="auto" w:sz="4" w:space="0"/>
              <w:bottom w:val="single" w:color="auto" w:sz="4" w:space="0"/>
              <w:right w:val="single" w:color="auto" w:sz="4" w:space="0"/>
            </w:tcBorders>
            <w:noWrap w:val="0"/>
            <w:vAlign w:val="center"/>
          </w:tcPr>
          <w:p w14:paraId="5AE64AA8">
            <w:pPr>
              <w:pStyle w:val="43"/>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b/>
                <w:color w:val="auto"/>
                <w:sz w:val="22"/>
                <w:szCs w:val="22"/>
                <w:highlight w:val="none"/>
              </w:rPr>
              <w:t>技术评分（</w:t>
            </w:r>
            <w:r>
              <w:rPr>
                <w:rFonts w:hint="eastAsia" w:ascii="宋体" w:eastAsia="宋体" w:cs="宋体"/>
                <w:b/>
                <w:color w:val="auto"/>
                <w:sz w:val="22"/>
                <w:szCs w:val="22"/>
                <w:highlight w:val="none"/>
                <w:lang w:val="en-US" w:eastAsia="zh-CN"/>
              </w:rPr>
              <w:t>40</w:t>
            </w:r>
            <w:r>
              <w:rPr>
                <w:rFonts w:hint="eastAsia" w:ascii="宋体" w:eastAsia="宋体" w:cs="宋体"/>
                <w:b/>
                <w:color w:val="auto"/>
                <w:sz w:val="22"/>
                <w:szCs w:val="22"/>
                <w:highlight w:val="none"/>
              </w:rPr>
              <w:t>分）</w:t>
            </w:r>
          </w:p>
        </w:tc>
      </w:tr>
      <w:tr w14:paraId="233B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134C8D3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391" w:type="dxa"/>
            <w:tcBorders>
              <w:top w:val="single" w:color="auto" w:sz="4" w:space="0"/>
              <w:left w:val="nil"/>
              <w:bottom w:val="single" w:color="auto" w:sz="4" w:space="0"/>
              <w:right w:val="single" w:color="auto" w:sz="4" w:space="0"/>
            </w:tcBorders>
            <w:noWrap w:val="0"/>
            <w:vAlign w:val="center"/>
          </w:tcPr>
          <w:p w14:paraId="38EB8FAC">
            <w:pPr>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项目实施方案</w:t>
            </w:r>
          </w:p>
        </w:tc>
        <w:tc>
          <w:tcPr>
            <w:tcW w:w="704" w:type="dxa"/>
            <w:tcBorders>
              <w:top w:val="single" w:color="auto" w:sz="4" w:space="0"/>
              <w:left w:val="nil"/>
              <w:bottom w:val="single" w:color="auto" w:sz="4" w:space="0"/>
              <w:right w:val="single" w:color="auto" w:sz="4" w:space="0"/>
            </w:tcBorders>
            <w:noWrap w:val="0"/>
            <w:vAlign w:val="center"/>
          </w:tcPr>
          <w:p w14:paraId="4388B38E">
            <w:pPr>
              <w:pStyle w:val="43"/>
              <w:spacing w:line="24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212E55B8">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 xml:space="preserve">对本项目所有涉及本项目配送服务的各方面方案，包括货源、采购渠道、供货保障、品质监控、日常管理组织、物流配送方案及各种规章制度等，进行综合评分：  </w:t>
            </w:r>
          </w:p>
          <w:p w14:paraId="0CE2F094">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配送服务的各方面方案完整齐全，科学合理，可行性强的，得1</w:t>
            </w:r>
            <w:r>
              <w:rPr>
                <w:rFonts w:hint="eastAsia" w:asci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 xml:space="preserve">分；  </w:t>
            </w:r>
          </w:p>
          <w:p w14:paraId="7699CC4F">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配送服务的各方面方案完整，</w:t>
            </w:r>
            <w:r>
              <w:rPr>
                <w:rFonts w:hint="eastAsia" w:ascii="宋体" w:hAnsi="宋体" w:eastAsia="宋体" w:cs="宋体"/>
                <w:color w:val="auto"/>
                <w:sz w:val="21"/>
                <w:szCs w:val="21"/>
                <w:highlight w:val="none"/>
              </w:rPr>
              <w:t>较</w:t>
            </w:r>
            <w:r>
              <w:rPr>
                <w:rFonts w:hint="eastAsia" w:ascii="宋体" w:hAnsi="宋体" w:eastAsia="宋体" w:cs="宋体"/>
                <w:color w:val="auto"/>
                <w:sz w:val="21"/>
                <w:szCs w:val="21"/>
                <w:highlight w:val="none"/>
                <w:lang w:val="zh-CN"/>
              </w:rPr>
              <w:t>合理，可行性较强的，得</w:t>
            </w:r>
            <w:r>
              <w:rPr>
                <w:rFonts w:hint="eastAsia" w:asci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 xml:space="preserve">分；  </w:t>
            </w:r>
          </w:p>
          <w:p w14:paraId="30E31199">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配送服务的各方面方案基本完整，</w:t>
            </w:r>
            <w:r>
              <w:rPr>
                <w:rFonts w:hint="eastAsia" w:ascii="宋体" w:hAnsi="宋体" w:eastAsia="宋体" w:cs="宋体"/>
                <w:color w:val="auto"/>
                <w:sz w:val="21"/>
                <w:szCs w:val="21"/>
                <w:highlight w:val="none"/>
              </w:rPr>
              <w:t>基本</w:t>
            </w:r>
            <w:r>
              <w:rPr>
                <w:rFonts w:hint="eastAsia" w:ascii="宋体" w:hAnsi="宋体" w:eastAsia="宋体" w:cs="宋体"/>
                <w:color w:val="auto"/>
                <w:sz w:val="21"/>
                <w:szCs w:val="21"/>
                <w:highlight w:val="none"/>
                <w:lang w:val="zh-CN"/>
              </w:rPr>
              <w:t>合理，可行性一般的，得</w:t>
            </w: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 xml:space="preserve">分；  </w:t>
            </w:r>
          </w:p>
          <w:p w14:paraId="78BDF64D">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配送服务的各方面方案不完整，不合理，可行性差的，得1分；  </w:t>
            </w:r>
          </w:p>
          <w:p w14:paraId="03BEAAFD">
            <w:pPr>
              <w:pStyle w:val="43"/>
              <w:spacing w:line="240" w:lineRule="auto"/>
              <w:ind w:firstLine="428" w:firstLineChars="200"/>
              <w:rPr>
                <w:rFonts w:hint="eastAsia" w:ascii="宋体" w:hAnsi="宋体" w:cs="宋体"/>
                <w:color w:val="auto"/>
                <w:szCs w:val="21"/>
                <w:highlight w:val="none"/>
                <w:lang w:val="zh-CN" w:eastAsia="zh-CN"/>
              </w:rPr>
            </w:pPr>
            <w:r>
              <w:rPr>
                <w:rFonts w:hint="eastAsia" w:ascii="宋体" w:hAnsi="宋体" w:eastAsia="宋体" w:cs="宋体"/>
                <w:color w:val="auto"/>
                <w:sz w:val="21"/>
                <w:szCs w:val="21"/>
                <w:highlight w:val="none"/>
                <w:lang w:val="zh-CN"/>
              </w:rPr>
              <w:t>未提供的不得分。</w:t>
            </w:r>
          </w:p>
        </w:tc>
      </w:tr>
      <w:tr w14:paraId="1E90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46745B2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391" w:type="dxa"/>
            <w:tcBorders>
              <w:top w:val="single" w:color="auto" w:sz="4" w:space="0"/>
              <w:left w:val="nil"/>
              <w:bottom w:val="single" w:color="auto" w:sz="4" w:space="0"/>
              <w:right w:val="single" w:color="auto" w:sz="4" w:space="0"/>
            </w:tcBorders>
            <w:shd w:val="clear" w:color="auto" w:fill="auto"/>
            <w:noWrap w:val="0"/>
            <w:vAlign w:val="center"/>
          </w:tcPr>
          <w:p w14:paraId="12854545">
            <w:pPr>
              <w:pStyle w:val="43"/>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项目管理组织架构</w:t>
            </w:r>
          </w:p>
        </w:tc>
        <w:tc>
          <w:tcPr>
            <w:tcW w:w="704" w:type="dxa"/>
            <w:tcBorders>
              <w:top w:val="single" w:color="auto" w:sz="4" w:space="0"/>
              <w:left w:val="nil"/>
              <w:bottom w:val="single" w:color="auto" w:sz="4" w:space="0"/>
              <w:right w:val="single" w:color="auto" w:sz="4" w:space="0"/>
            </w:tcBorders>
            <w:noWrap w:val="0"/>
            <w:vAlign w:val="center"/>
          </w:tcPr>
          <w:p w14:paraId="5AD01B2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54F82AB8">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w:t>
            </w:r>
            <w:r>
              <w:rPr>
                <w:rFonts w:hint="eastAsia" w:ascii="宋体" w:hAnsi="宋体" w:eastAsia="宋体" w:cs="宋体"/>
                <w:color w:val="auto"/>
                <w:sz w:val="21"/>
                <w:szCs w:val="21"/>
                <w:highlight w:val="none"/>
              </w:rPr>
              <w:t>提供的</w:t>
            </w:r>
            <w:r>
              <w:rPr>
                <w:rFonts w:hint="eastAsia" w:ascii="宋体" w:hAnsi="宋体" w:eastAsia="宋体" w:cs="宋体"/>
                <w:color w:val="auto"/>
                <w:sz w:val="21"/>
                <w:szCs w:val="21"/>
                <w:highlight w:val="none"/>
                <w:lang w:val="zh-CN"/>
              </w:rPr>
              <w:t>项目管理组织架构、项目负责人的情况进行综合评分：</w:t>
            </w:r>
          </w:p>
          <w:p w14:paraId="61E3ED48">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项目管理架构十分完善，分工明确，岗位责任制强，负责人管理经验十分丰富，能全面高效地完成本项目的，得</w:t>
            </w:r>
            <w:r>
              <w:rPr>
                <w:rFonts w:hint="eastAsia" w:ascii="宋体" w:hAnsi="宋体" w:eastAsia="宋体" w:cs="宋体"/>
                <w:color w:val="auto"/>
                <w:sz w:val="21"/>
                <w:szCs w:val="21"/>
                <w:highlight w:val="none"/>
              </w:rPr>
              <w:t>1</w:t>
            </w:r>
            <w:r>
              <w:rPr>
                <w:rFonts w:hint="eastAsia" w:asci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p w14:paraId="2FA60A7C">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项目管理架构较为完善，分工较为明确，岗位责任制较强，负责人管理经验较丰富，能较好的完成本项目的，得</w:t>
            </w:r>
            <w:r>
              <w:rPr>
                <w:rFonts w:hint="eastAsia" w:asci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p w14:paraId="2AC101C7">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项目管理架构基本完善，分工一般明确，岗位责任制一般，负责人管理经验一般，基本能完成本项目的，得</w:t>
            </w: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49076D1D">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项目管理架构不够完善，分工不够明确，负责人的管理经验较少的，得1分。</w:t>
            </w:r>
          </w:p>
          <w:p w14:paraId="282767FB">
            <w:pPr>
              <w:pStyle w:val="43"/>
              <w:spacing w:line="240" w:lineRule="auto"/>
              <w:ind w:firstLine="428" w:firstLineChars="200"/>
              <w:rPr>
                <w:rFonts w:hint="eastAsia" w:ascii="宋体" w:hAnsi="宋体" w:cs="宋体"/>
                <w:color w:val="auto"/>
                <w:szCs w:val="21"/>
                <w:highlight w:val="none"/>
                <w:lang w:val="zh-CN" w:eastAsia="zh-CN"/>
              </w:rPr>
            </w:pPr>
            <w:r>
              <w:rPr>
                <w:rFonts w:hint="eastAsia" w:ascii="宋体" w:hAnsi="宋体" w:eastAsia="宋体" w:cs="宋体"/>
                <w:color w:val="auto"/>
                <w:sz w:val="21"/>
                <w:szCs w:val="21"/>
                <w:highlight w:val="none"/>
                <w:lang w:val="zh-CN"/>
              </w:rPr>
              <w:t>未提供的不得分。</w:t>
            </w:r>
          </w:p>
        </w:tc>
      </w:tr>
      <w:tr w14:paraId="419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35CD96B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391" w:type="dxa"/>
            <w:tcBorders>
              <w:top w:val="single" w:color="auto" w:sz="4" w:space="0"/>
              <w:left w:val="nil"/>
              <w:bottom w:val="single" w:color="auto" w:sz="4" w:space="0"/>
              <w:right w:val="single" w:color="auto" w:sz="4" w:space="0"/>
            </w:tcBorders>
            <w:shd w:val="clear" w:color="auto" w:fill="auto"/>
            <w:noWrap w:val="0"/>
            <w:vAlign w:val="center"/>
          </w:tcPr>
          <w:p w14:paraId="4EA0258F">
            <w:pPr>
              <w:pStyle w:val="43"/>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产品的质量及安全保证措施</w:t>
            </w:r>
          </w:p>
        </w:tc>
        <w:tc>
          <w:tcPr>
            <w:tcW w:w="704" w:type="dxa"/>
            <w:tcBorders>
              <w:top w:val="single" w:color="auto" w:sz="4" w:space="0"/>
              <w:left w:val="nil"/>
              <w:bottom w:val="single" w:color="auto" w:sz="4" w:space="0"/>
              <w:right w:val="single" w:color="auto" w:sz="4" w:space="0"/>
            </w:tcBorders>
            <w:noWrap w:val="0"/>
            <w:vAlign w:val="center"/>
          </w:tcPr>
          <w:p w14:paraId="6733ED6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4FD61DE9">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根据投标人提供产品的质量及安全保证措施（包含但不限于：①产品的来源追溯；②企业内部监管机制；③食品生长环境、包装、保存、运输等各环节的质量安全保证措施）进行综合评分：  </w:t>
            </w:r>
          </w:p>
          <w:p w14:paraId="194D14F5">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产品的质量及安全保证措施完整齐全，科学合理，可行性强的，得1</w:t>
            </w:r>
            <w:r>
              <w:rPr>
                <w:rFonts w:hint="eastAsia" w:asci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 xml:space="preserve">分；  </w:t>
            </w:r>
          </w:p>
          <w:p w14:paraId="4C8499E6">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产品的质量及安全保证措施完整，</w:t>
            </w:r>
            <w:r>
              <w:rPr>
                <w:rFonts w:hint="eastAsia" w:ascii="宋体" w:hAnsi="宋体" w:eastAsia="宋体" w:cs="宋体"/>
                <w:color w:val="auto"/>
                <w:sz w:val="21"/>
                <w:szCs w:val="21"/>
                <w:highlight w:val="none"/>
              </w:rPr>
              <w:t>较</w:t>
            </w:r>
            <w:r>
              <w:rPr>
                <w:rFonts w:hint="eastAsia" w:ascii="宋体" w:hAnsi="宋体" w:eastAsia="宋体" w:cs="宋体"/>
                <w:color w:val="auto"/>
                <w:sz w:val="21"/>
                <w:szCs w:val="21"/>
                <w:highlight w:val="none"/>
                <w:lang w:val="zh-CN"/>
              </w:rPr>
              <w:t>合理，可行性较强的，得</w:t>
            </w:r>
            <w:r>
              <w:rPr>
                <w:rFonts w:hint="eastAsia" w:asci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 xml:space="preserve">分；  </w:t>
            </w:r>
          </w:p>
          <w:p w14:paraId="378B74CE">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产品的质量及安全保证措施基本完整，</w:t>
            </w:r>
            <w:r>
              <w:rPr>
                <w:rFonts w:hint="eastAsia" w:ascii="宋体" w:hAnsi="宋体" w:eastAsia="宋体" w:cs="宋体"/>
                <w:color w:val="auto"/>
                <w:sz w:val="21"/>
                <w:szCs w:val="21"/>
                <w:highlight w:val="none"/>
              </w:rPr>
              <w:t>基本</w:t>
            </w:r>
            <w:r>
              <w:rPr>
                <w:rFonts w:hint="eastAsia" w:ascii="宋体" w:hAnsi="宋体" w:eastAsia="宋体" w:cs="宋体"/>
                <w:color w:val="auto"/>
                <w:sz w:val="21"/>
                <w:szCs w:val="21"/>
                <w:highlight w:val="none"/>
                <w:lang w:val="zh-CN"/>
              </w:rPr>
              <w:t>合理，可行性一般的，得</w:t>
            </w: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 xml:space="preserve">分；  </w:t>
            </w:r>
          </w:p>
          <w:p w14:paraId="621441C4">
            <w:pPr>
              <w:pStyle w:val="43"/>
              <w:spacing w:line="240" w:lineRule="auto"/>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产品的质量及安全保证措施不完整，不合理，可行性差的，得1分；  </w:t>
            </w:r>
          </w:p>
          <w:p w14:paraId="30FB44BC">
            <w:pPr>
              <w:pStyle w:val="43"/>
              <w:spacing w:line="240" w:lineRule="auto"/>
              <w:ind w:firstLine="428" w:firstLineChars="200"/>
              <w:rPr>
                <w:rFonts w:hint="eastAsia" w:ascii="宋体" w:hAnsi="宋体" w:cs="宋体"/>
                <w:color w:val="auto"/>
                <w:szCs w:val="21"/>
                <w:highlight w:val="none"/>
                <w:lang w:val="zh-CN" w:eastAsia="zh-CN"/>
              </w:rPr>
            </w:pPr>
            <w:r>
              <w:rPr>
                <w:rFonts w:hint="eastAsia" w:ascii="宋体" w:hAnsi="宋体" w:eastAsia="宋体" w:cs="宋体"/>
                <w:color w:val="auto"/>
                <w:sz w:val="21"/>
                <w:szCs w:val="21"/>
                <w:highlight w:val="none"/>
                <w:lang w:val="zh-CN"/>
              </w:rPr>
              <w:t>未提供的不得分。</w:t>
            </w:r>
          </w:p>
        </w:tc>
      </w:tr>
      <w:tr w14:paraId="5122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760EEEA9">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391" w:type="dxa"/>
            <w:tcBorders>
              <w:top w:val="single" w:color="auto" w:sz="4" w:space="0"/>
              <w:left w:val="nil"/>
              <w:bottom w:val="single" w:color="auto" w:sz="4" w:space="0"/>
              <w:right w:val="single" w:color="auto" w:sz="4" w:space="0"/>
            </w:tcBorders>
            <w:shd w:val="clear" w:color="auto" w:fill="auto"/>
            <w:noWrap w:val="0"/>
            <w:vAlign w:val="center"/>
          </w:tcPr>
          <w:p w14:paraId="20D06391">
            <w:pPr>
              <w:pStyle w:val="43"/>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售后服务承诺</w:t>
            </w:r>
          </w:p>
        </w:tc>
        <w:tc>
          <w:tcPr>
            <w:tcW w:w="704" w:type="dxa"/>
            <w:tcBorders>
              <w:top w:val="single" w:color="auto" w:sz="4" w:space="0"/>
              <w:left w:val="nil"/>
              <w:bottom w:val="single" w:color="auto" w:sz="4" w:space="0"/>
              <w:right w:val="single" w:color="auto" w:sz="4" w:space="0"/>
            </w:tcBorders>
            <w:noWrap w:val="0"/>
            <w:vAlign w:val="center"/>
          </w:tcPr>
          <w:p w14:paraId="6EB6DA2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846" w:type="dxa"/>
            <w:tcBorders>
              <w:top w:val="single" w:color="auto" w:sz="4" w:space="0"/>
              <w:left w:val="nil"/>
              <w:bottom w:val="single" w:color="auto" w:sz="4" w:space="0"/>
              <w:right w:val="single" w:color="auto" w:sz="4" w:space="0"/>
            </w:tcBorders>
            <w:shd w:val="clear" w:color="auto" w:fill="auto"/>
            <w:noWrap w:val="0"/>
            <w:vAlign w:val="center"/>
          </w:tcPr>
          <w:p w14:paraId="37FBF690">
            <w:pPr>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根据投标人提供的售后服务承诺方案（包括但不限于：售后服务方案、服务承诺、保质期、服务响应时限、售后服务点技术力量等）进行</w:t>
            </w:r>
            <w:r>
              <w:rPr>
                <w:rFonts w:hint="eastAsia" w:ascii="宋体" w:hAnsi="宋体" w:eastAsia="宋体" w:cs="宋体"/>
                <w:color w:val="auto"/>
                <w:sz w:val="21"/>
                <w:szCs w:val="21"/>
                <w:highlight w:val="none"/>
              </w:rPr>
              <w:t>综合评分</w:t>
            </w:r>
            <w:r>
              <w:rPr>
                <w:rFonts w:hint="eastAsia" w:ascii="宋体" w:hAnsi="宋体" w:eastAsia="宋体" w:cs="宋体"/>
                <w:color w:val="auto"/>
                <w:sz w:val="21"/>
                <w:szCs w:val="21"/>
                <w:highlight w:val="none"/>
                <w:lang w:val="zh-CN"/>
              </w:rPr>
              <w:t>：</w:t>
            </w:r>
          </w:p>
          <w:p w14:paraId="7E71B9E1">
            <w:pPr>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售后服务方案科学完整、</w:t>
            </w:r>
            <w:r>
              <w:rPr>
                <w:rFonts w:hint="eastAsia" w:ascii="宋体" w:hAnsi="宋体" w:eastAsia="宋体" w:cs="宋体"/>
                <w:color w:val="auto"/>
                <w:sz w:val="21"/>
                <w:szCs w:val="21"/>
                <w:highlight w:val="none"/>
              </w:rPr>
              <w:t>可行性强</w:t>
            </w:r>
            <w:r>
              <w:rPr>
                <w:rFonts w:hint="eastAsia" w:ascii="宋体" w:hAnsi="宋体" w:eastAsia="宋体" w:cs="宋体"/>
                <w:color w:val="auto"/>
                <w:sz w:val="21"/>
                <w:szCs w:val="21"/>
                <w:highlight w:val="none"/>
                <w:lang w:val="zh-CN"/>
              </w:rPr>
              <w:t>，服务承诺优于磋商文件要求，售后服务点技术力量十分雄厚的，得</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p>
          <w:p w14:paraId="688612DC">
            <w:pPr>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售后服务方案比较完整、</w:t>
            </w:r>
            <w:r>
              <w:rPr>
                <w:rFonts w:hint="eastAsia" w:ascii="宋体" w:hAnsi="宋体" w:eastAsia="宋体" w:cs="宋体"/>
                <w:color w:val="auto"/>
                <w:sz w:val="21"/>
                <w:szCs w:val="21"/>
                <w:highlight w:val="none"/>
              </w:rPr>
              <w:t>可行性较强</w:t>
            </w:r>
            <w:r>
              <w:rPr>
                <w:rFonts w:hint="eastAsia" w:ascii="宋体" w:hAnsi="宋体" w:eastAsia="宋体" w:cs="宋体"/>
                <w:color w:val="auto"/>
                <w:sz w:val="21"/>
                <w:szCs w:val="21"/>
                <w:highlight w:val="none"/>
                <w:lang w:val="zh-CN"/>
              </w:rPr>
              <w:t>，服务承诺满足磋商文件要求的，售后服务点技术力量比较雄厚的，得</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分；</w:t>
            </w:r>
          </w:p>
          <w:p w14:paraId="6D107589">
            <w:pPr>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售后服务方案基本完整、</w:t>
            </w:r>
            <w:r>
              <w:rPr>
                <w:rFonts w:hint="eastAsia" w:ascii="宋体" w:hAnsi="宋体" w:eastAsia="宋体" w:cs="宋体"/>
                <w:color w:val="auto"/>
                <w:sz w:val="21"/>
                <w:szCs w:val="21"/>
                <w:highlight w:val="none"/>
              </w:rPr>
              <w:t>可行性一般</w:t>
            </w:r>
            <w:r>
              <w:rPr>
                <w:rFonts w:hint="eastAsia" w:ascii="宋体" w:hAnsi="宋体" w:eastAsia="宋体" w:cs="宋体"/>
                <w:color w:val="auto"/>
                <w:sz w:val="21"/>
                <w:szCs w:val="21"/>
                <w:highlight w:val="none"/>
                <w:lang w:val="zh-CN"/>
              </w:rPr>
              <w:t>，服务承诺基本满足磋商文件要求的，售后服务点技术力量一般的，得</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14:paraId="4B67B3E5">
            <w:pPr>
              <w:ind w:firstLine="428"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售后服务方案</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zh-CN"/>
              </w:rPr>
              <w:t>完整、</w:t>
            </w:r>
            <w:r>
              <w:rPr>
                <w:rFonts w:hint="eastAsia" w:ascii="宋体" w:hAnsi="宋体" w:eastAsia="宋体" w:cs="宋体"/>
                <w:color w:val="auto"/>
                <w:sz w:val="21"/>
                <w:szCs w:val="21"/>
                <w:highlight w:val="none"/>
              </w:rPr>
              <w:t>可行性差</w:t>
            </w:r>
            <w:r>
              <w:rPr>
                <w:rFonts w:hint="eastAsia" w:ascii="宋体" w:hAnsi="宋体" w:eastAsia="宋体" w:cs="宋体"/>
                <w:color w:val="auto"/>
                <w:sz w:val="21"/>
                <w:szCs w:val="21"/>
                <w:highlight w:val="none"/>
                <w:lang w:val="zh-CN"/>
              </w:rPr>
              <w:t>，服务承诺基本满足磋商文件要求的，售后服务点技术力量</w:t>
            </w: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30C9572A">
            <w:pPr>
              <w:pStyle w:val="43"/>
              <w:spacing w:line="240" w:lineRule="auto"/>
              <w:ind w:firstLine="428" w:firstLineChars="200"/>
              <w:rPr>
                <w:rFonts w:hint="eastAsia" w:ascii="宋体" w:hAnsi="宋体" w:cs="宋体"/>
                <w:color w:val="auto"/>
                <w:szCs w:val="21"/>
                <w:highlight w:val="none"/>
                <w:lang w:val="zh-CN" w:eastAsia="zh-CN"/>
              </w:rPr>
            </w:pPr>
            <w:r>
              <w:rPr>
                <w:rFonts w:hint="eastAsia" w:ascii="宋体" w:hAnsi="宋体" w:eastAsia="宋体" w:cs="宋体"/>
                <w:color w:val="auto"/>
                <w:sz w:val="21"/>
                <w:szCs w:val="21"/>
                <w:highlight w:val="none"/>
                <w:lang w:val="zh-CN"/>
              </w:rPr>
              <w:t>未提供的不得分。</w:t>
            </w:r>
          </w:p>
        </w:tc>
      </w:tr>
      <w:tr w14:paraId="0852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30" w:type="dxa"/>
            <w:gridSpan w:val="4"/>
            <w:tcBorders>
              <w:top w:val="single" w:color="auto" w:sz="4" w:space="0"/>
              <w:left w:val="single" w:color="auto" w:sz="4" w:space="0"/>
              <w:bottom w:val="single" w:color="auto" w:sz="4" w:space="0"/>
              <w:right w:val="single" w:color="auto" w:sz="4" w:space="0"/>
            </w:tcBorders>
            <w:noWrap w:val="0"/>
            <w:vAlign w:val="center"/>
          </w:tcPr>
          <w:p w14:paraId="67E540BC">
            <w:pPr>
              <w:pStyle w:val="43"/>
              <w:spacing w:line="400" w:lineRule="exact"/>
              <w:ind w:firstLine="0" w:firstLineChars="0"/>
              <w:jc w:val="center"/>
              <w:rPr>
                <w:rFonts w:hint="eastAsia" w:ascii="宋体" w:eastAsia="宋体" w:cs="宋体"/>
                <w:color w:val="auto"/>
                <w:kern w:val="0"/>
                <w:sz w:val="21"/>
                <w:szCs w:val="21"/>
                <w:highlight w:val="none"/>
              </w:rPr>
            </w:pPr>
            <w:r>
              <w:rPr>
                <w:rFonts w:hint="eastAsia" w:ascii="宋体" w:eastAsia="宋体" w:cs="宋体"/>
                <w:b/>
                <w:color w:val="auto"/>
                <w:sz w:val="21"/>
                <w:szCs w:val="21"/>
                <w:highlight w:val="none"/>
              </w:rPr>
              <w:t>价格评分（</w:t>
            </w:r>
            <w:r>
              <w:rPr>
                <w:rFonts w:hint="eastAsia" w:ascii="宋体" w:eastAsia="宋体" w:cs="宋体"/>
                <w:b/>
                <w:color w:val="auto"/>
                <w:sz w:val="21"/>
                <w:szCs w:val="21"/>
                <w:highlight w:val="none"/>
                <w:lang w:val="en-US" w:eastAsia="zh-CN"/>
              </w:rPr>
              <w:t>20</w:t>
            </w:r>
            <w:r>
              <w:rPr>
                <w:rFonts w:hint="eastAsia" w:ascii="宋体" w:eastAsia="宋体" w:cs="宋体"/>
                <w:b/>
                <w:color w:val="auto"/>
                <w:sz w:val="21"/>
                <w:szCs w:val="21"/>
                <w:highlight w:val="none"/>
              </w:rPr>
              <w:t>分）</w:t>
            </w:r>
          </w:p>
        </w:tc>
      </w:tr>
      <w:tr w14:paraId="23D5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1822B31C">
            <w:pPr>
              <w:pStyle w:val="43"/>
              <w:wordWrap w:val="0"/>
              <w:spacing w:line="360" w:lineRule="exact"/>
              <w:ind w:firstLine="0" w:firstLineChars="0"/>
              <w:jc w:val="center"/>
              <w:rPr>
                <w:rFonts w:hint="eastAsia" w:ascii="宋体" w:hAnsi="宋体" w:cs="宋体"/>
                <w:color w:val="auto"/>
                <w:szCs w:val="21"/>
                <w:highlight w:val="none"/>
              </w:rPr>
            </w:pPr>
            <w:r>
              <w:rPr>
                <w:rFonts w:hint="eastAsia" w:ascii="宋体" w:eastAsia="宋体" w:cs="宋体"/>
                <w:color w:val="auto"/>
                <w:sz w:val="21"/>
                <w:szCs w:val="21"/>
                <w:highlight w:val="none"/>
              </w:rPr>
              <w:t>1</w:t>
            </w:r>
          </w:p>
        </w:tc>
        <w:tc>
          <w:tcPr>
            <w:tcW w:w="1391" w:type="dxa"/>
            <w:tcBorders>
              <w:top w:val="single" w:color="auto" w:sz="4" w:space="0"/>
              <w:left w:val="nil"/>
              <w:bottom w:val="single" w:color="auto" w:sz="4" w:space="0"/>
              <w:right w:val="single" w:color="auto" w:sz="4" w:space="0"/>
            </w:tcBorders>
            <w:noWrap w:val="0"/>
            <w:vAlign w:val="center"/>
          </w:tcPr>
          <w:p w14:paraId="43DAF911">
            <w:pPr>
              <w:pStyle w:val="43"/>
              <w:wordWrap w:val="0"/>
              <w:spacing w:line="36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价格</w:t>
            </w:r>
          </w:p>
        </w:tc>
        <w:tc>
          <w:tcPr>
            <w:tcW w:w="704" w:type="dxa"/>
            <w:tcBorders>
              <w:top w:val="single" w:color="auto" w:sz="4" w:space="0"/>
              <w:left w:val="nil"/>
              <w:bottom w:val="single" w:color="auto" w:sz="4" w:space="0"/>
              <w:right w:val="single" w:color="auto" w:sz="4" w:space="0"/>
            </w:tcBorders>
            <w:noWrap w:val="0"/>
            <w:vAlign w:val="center"/>
          </w:tcPr>
          <w:p w14:paraId="7A386960">
            <w:pPr>
              <w:pStyle w:val="43"/>
              <w:wordWrap w:val="0"/>
              <w:spacing w:line="360" w:lineRule="exact"/>
              <w:ind w:firstLine="0" w:firstLineChars="0"/>
              <w:jc w:val="center"/>
              <w:rPr>
                <w:rFonts w:hint="eastAsia" w:ascii="宋体" w:hAnsi="宋体" w:cs="宋体"/>
                <w:color w:val="auto"/>
                <w:szCs w:val="21"/>
                <w:highlight w:val="none"/>
              </w:rPr>
            </w:pPr>
            <w:r>
              <w:rPr>
                <w:rFonts w:hint="eastAsia" w:ascii="宋体" w:eastAsia="宋体" w:cs="宋体"/>
                <w:color w:val="auto"/>
                <w:sz w:val="21"/>
                <w:szCs w:val="21"/>
                <w:highlight w:val="none"/>
                <w:lang w:val="en-US" w:eastAsia="zh-CN"/>
              </w:rPr>
              <w:t>20</w:t>
            </w:r>
            <w:r>
              <w:rPr>
                <w:rFonts w:hint="eastAsia" w:ascii="宋体" w:eastAsia="宋体" w:cs="宋体"/>
                <w:color w:val="auto"/>
                <w:sz w:val="21"/>
                <w:szCs w:val="21"/>
                <w:highlight w:val="none"/>
              </w:rPr>
              <w:t>分</w:t>
            </w:r>
          </w:p>
        </w:tc>
        <w:tc>
          <w:tcPr>
            <w:tcW w:w="5846" w:type="dxa"/>
            <w:tcBorders>
              <w:top w:val="single" w:color="auto" w:sz="4" w:space="0"/>
              <w:left w:val="nil"/>
              <w:bottom w:val="single" w:color="auto" w:sz="4" w:space="0"/>
              <w:right w:val="single" w:color="auto" w:sz="4" w:space="0"/>
            </w:tcBorders>
            <w:noWrap w:val="0"/>
            <w:vAlign w:val="center"/>
          </w:tcPr>
          <w:p w14:paraId="7C05BA52">
            <w:pPr>
              <w:keepNext w:val="0"/>
              <w:keepLines w:val="0"/>
              <w:pageBreakBefore w:val="0"/>
              <w:widowControl w:val="0"/>
              <w:kinsoku/>
              <w:wordWrap/>
              <w:overflowPunct/>
              <w:topLinePunct w:val="0"/>
              <w:autoSpaceDE/>
              <w:autoSpaceDN/>
              <w:bidi w:val="0"/>
              <w:adjustRightInd/>
              <w:snapToGrid/>
              <w:spacing w:after="0" w:line="240" w:lineRule="auto"/>
              <w:ind w:firstLine="428"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 xml:space="preserve">文件要求且投标报价最低（即最大下浮率）的投标报价为评标基准价，其价格分为满分。其他供应商的价格分统一按照下列公式计算：   </w:t>
            </w:r>
          </w:p>
          <w:p w14:paraId="7FC056C8">
            <w:pPr>
              <w:pStyle w:val="43"/>
              <w:keepNext w:val="0"/>
              <w:keepLines w:val="0"/>
              <w:pageBreakBefore w:val="0"/>
              <w:widowControl w:val="0"/>
              <w:tabs>
                <w:tab w:val="left" w:pos="3150"/>
              </w:tabs>
              <w:kinsoku/>
              <w:wordWrap w:val="0"/>
              <w:overflowPunct/>
              <w:topLinePunct w:val="0"/>
              <w:autoSpaceDE/>
              <w:autoSpaceDN/>
              <w:bidi w:val="0"/>
              <w:adjustRightInd/>
              <w:snapToGrid/>
              <w:spacing w:line="360" w:lineRule="exact"/>
              <w:ind w:left="0" w:leftChars="0" w:firstLine="428" w:firstLineChars="200"/>
              <w:jc w:val="left"/>
              <w:textAlignment w:val="auto"/>
              <w:rPr>
                <w:rFonts w:hint="eastAsia" w:asci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投标报价得分=[(1-最大下浮率)／(1-投标下浮率)] ×价格权重</w:t>
            </w:r>
          </w:p>
        </w:tc>
      </w:tr>
    </w:tbl>
    <w:p w14:paraId="19C012DA">
      <w:pPr>
        <w:ind w:firstLine="428" w:firstLineChars="200"/>
        <w:rPr>
          <w:color w:val="auto"/>
          <w:highlight w:val="none"/>
        </w:rPr>
      </w:pPr>
      <w:r>
        <w:rPr>
          <w:rFonts w:hint="eastAsia"/>
          <w:color w:val="auto"/>
          <w:highlight w:val="none"/>
        </w:rPr>
        <w:br w:type="page"/>
      </w:r>
    </w:p>
    <w:p w14:paraId="488504D7">
      <w:pPr>
        <w:pStyle w:val="5"/>
        <w:spacing w:before="0" w:after="0" w:line="240" w:lineRule="auto"/>
        <w:rPr>
          <w:color w:val="auto"/>
          <w:sz w:val="36"/>
          <w:szCs w:val="36"/>
          <w:highlight w:val="none"/>
        </w:rPr>
      </w:pPr>
      <w:bookmarkStart w:id="8" w:name="_Toc12994"/>
      <w:r>
        <w:rPr>
          <w:rFonts w:hint="eastAsia"/>
          <w:color w:val="auto"/>
          <w:sz w:val="28"/>
          <w:szCs w:val="28"/>
          <w:highlight w:val="none"/>
        </w:rPr>
        <w:t>第三部分用户需求书</w:t>
      </w:r>
      <w:bookmarkEnd w:id="8"/>
    </w:p>
    <w:p w14:paraId="5D992FBF">
      <w:pPr>
        <w:pStyle w:val="6"/>
        <w:spacing w:before="0" w:after="0" w:line="360" w:lineRule="auto"/>
        <w:jc w:val="center"/>
        <w:rPr>
          <w:rFonts w:ascii="宋体" w:hAnsi="宋体"/>
          <w:color w:val="auto"/>
          <w:highlight w:val="none"/>
        </w:rPr>
      </w:pPr>
      <w:bookmarkStart w:id="9" w:name="_Toc1593"/>
      <w:bookmarkStart w:id="10" w:name="_Toc17388"/>
      <w:bookmarkStart w:id="11" w:name="_Toc308786492"/>
      <w:bookmarkStart w:id="12" w:name="_Toc24679"/>
      <w:bookmarkStart w:id="13" w:name="_Toc14462"/>
      <w:bookmarkStart w:id="14" w:name="_Toc31278"/>
      <w:bookmarkStart w:id="15" w:name="_Toc13112"/>
      <w:r>
        <w:rPr>
          <w:rFonts w:hint="eastAsia" w:ascii="宋体" w:hAnsi="宋体"/>
          <w:color w:val="auto"/>
          <w:highlight w:val="none"/>
        </w:rPr>
        <w:t>第一章 商务需求书</w:t>
      </w:r>
      <w:bookmarkEnd w:id="9"/>
      <w:bookmarkEnd w:id="10"/>
    </w:p>
    <w:tbl>
      <w:tblPr>
        <w:tblStyle w:val="27"/>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725"/>
        <w:gridCol w:w="6638"/>
      </w:tblGrid>
      <w:tr w14:paraId="55E96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59" w:type="dxa"/>
            <w:noWrap w:val="0"/>
            <w:vAlign w:val="center"/>
          </w:tcPr>
          <w:p w14:paraId="1C3F1590">
            <w:pPr>
              <w:wordWrap w:val="0"/>
              <w:spacing w:line="360" w:lineRule="exact"/>
              <w:jc w:val="center"/>
              <w:rPr>
                <w:rFonts w:hint="eastAsia" w:ascii="宋体" w:hAnsi="宋体"/>
                <w:color w:val="auto"/>
                <w:sz w:val="21"/>
                <w:szCs w:val="21"/>
                <w:highlight w:val="none"/>
              </w:rPr>
            </w:pPr>
            <w:bookmarkStart w:id="16" w:name="_Toc19316"/>
            <w:r>
              <w:rPr>
                <w:rFonts w:hint="eastAsia" w:ascii="宋体" w:hAnsi="宋体"/>
                <w:color w:val="auto"/>
                <w:sz w:val="21"/>
                <w:szCs w:val="21"/>
                <w:highlight w:val="none"/>
              </w:rPr>
              <w:t>序号</w:t>
            </w:r>
          </w:p>
        </w:tc>
        <w:tc>
          <w:tcPr>
            <w:tcW w:w="1725" w:type="dxa"/>
            <w:noWrap w:val="0"/>
            <w:vAlign w:val="center"/>
          </w:tcPr>
          <w:p w14:paraId="3B0196F4">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条款名称</w:t>
            </w:r>
          </w:p>
        </w:tc>
        <w:tc>
          <w:tcPr>
            <w:tcW w:w="6638" w:type="dxa"/>
            <w:noWrap w:val="0"/>
            <w:vAlign w:val="center"/>
          </w:tcPr>
          <w:p w14:paraId="1EAE5457">
            <w:pPr>
              <w:wordWrap w:val="0"/>
              <w:spacing w:line="360" w:lineRule="exact"/>
              <w:jc w:val="center"/>
              <w:rPr>
                <w:rFonts w:ascii="宋体" w:hAnsi="宋体"/>
                <w:color w:val="auto"/>
                <w:sz w:val="21"/>
                <w:szCs w:val="21"/>
                <w:highlight w:val="none"/>
              </w:rPr>
            </w:pPr>
            <w:r>
              <w:rPr>
                <w:rFonts w:ascii="宋体" w:hAnsi="宋体"/>
                <w:color w:val="auto"/>
                <w:sz w:val="21"/>
                <w:szCs w:val="21"/>
                <w:highlight w:val="none"/>
              </w:rPr>
              <w:t>说</w:t>
            </w:r>
            <w:r>
              <w:rPr>
                <w:rFonts w:hint="eastAsia" w:ascii="宋体" w:hAnsi="宋体"/>
                <w:color w:val="auto"/>
                <w:sz w:val="21"/>
                <w:szCs w:val="21"/>
                <w:highlight w:val="none"/>
              </w:rPr>
              <w:t xml:space="preserve">  </w:t>
            </w:r>
            <w:r>
              <w:rPr>
                <w:rFonts w:ascii="宋体" w:hAnsi="宋体"/>
                <w:color w:val="auto"/>
                <w:sz w:val="21"/>
                <w:szCs w:val="21"/>
                <w:highlight w:val="none"/>
              </w:rPr>
              <w:t>明</w:t>
            </w:r>
          </w:p>
        </w:tc>
      </w:tr>
      <w:tr w14:paraId="26923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9" w:type="dxa"/>
            <w:noWrap w:val="0"/>
            <w:vAlign w:val="center"/>
          </w:tcPr>
          <w:p w14:paraId="52A93D5A">
            <w:pPr>
              <w:wordWrap w:val="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1</w:t>
            </w:r>
          </w:p>
        </w:tc>
        <w:tc>
          <w:tcPr>
            <w:tcW w:w="1725" w:type="dxa"/>
            <w:noWrap w:val="0"/>
            <w:vAlign w:val="center"/>
          </w:tcPr>
          <w:p w14:paraId="06CF8E4A">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合格投标人</w:t>
            </w:r>
          </w:p>
        </w:tc>
        <w:tc>
          <w:tcPr>
            <w:tcW w:w="6638" w:type="dxa"/>
            <w:noWrap w:val="0"/>
            <w:vAlign w:val="center"/>
          </w:tcPr>
          <w:p w14:paraId="782F3910">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详见“第一部分 投标邀请”中“二、投标人资格要求”</w:t>
            </w:r>
          </w:p>
        </w:tc>
      </w:tr>
      <w:tr w14:paraId="16B1F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9" w:type="dxa"/>
            <w:noWrap w:val="0"/>
            <w:vAlign w:val="center"/>
          </w:tcPr>
          <w:p w14:paraId="7A3C3EB8">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725" w:type="dxa"/>
            <w:noWrap w:val="0"/>
            <w:vAlign w:val="center"/>
          </w:tcPr>
          <w:p w14:paraId="62ABCD27">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服务期</w:t>
            </w:r>
          </w:p>
        </w:tc>
        <w:tc>
          <w:tcPr>
            <w:tcW w:w="6638" w:type="dxa"/>
            <w:noWrap w:val="0"/>
            <w:vAlign w:val="center"/>
          </w:tcPr>
          <w:p w14:paraId="2A46963D">
            <w:pPr>
              <w:keepNext w:val="0"/>
              <w:keepLines w:val="0"/>
              <w:pageBreakBefore w:val="0"/>
              <w:kinsoku/>
              <w:wordWrap w:val="0"/>
              <w:overflowPunct/>
              <w:topLinePunct w:val="0"/>
              <w:autoSpaceDE/>
              <w:autoSpaceDN/>
              <w:bidi w:val="0"/>
              <w:spacing w:line="360" w:lineRule="exact"/>
              <w:ind w:firstLine="428" w:firstLineChars="200"/>
              <w:textAlignment w:val="auto"/>
              <w:rPr>
                <w:rFonts w:ascii="宋体" w:hAnsi="宋体"/>
                <w:color w:val="auto"/>
                <w:sz w:val="21"/>
                <w:szCs w:val="21"/>
                <w:highlight w:val="none"/>
              </w:rPr>
            </w:pPr>
            <w:r>
              <w:rPr>
                <w:rFonts w:hint="eastAsia" w:ascii="宋体" w:hAnsi="宋体"/>
                <w:color w:val="auto"/>
                <w:sz w:val="21"/>
                <w:szCs w:val="21"/>
                <w:highlight w:val="none"/>
              </w:rPr>
              <w:t>自合同签订之日起算一年。（注：如因采购人上级规定等不可抗力因素导致服务提前终止，则以实际服务时间为准，且采购人不承担任何违约及经济责任。）</w:t>
            </w:r>
          </w:p>
        </w:tc>
      </w:tr>
      <w:tr w14:paraId="24C13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9" w:type="dxa"/>
            <w:noWrap w:val="0"/>
            <w:vAlign w:val="center"/>
          </w:tcPr>
          <w:p w14:paraId="57F1A06A">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725" w:type="dxa"/>
            <w:noWrap w:val="0"/>
            <w:vAlign w:val="center"/>
          </w:tcPr>
          <w:p w14:paraId="6D817FE6">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服务地点</w:t>
            </w:r>
          </w:p>
        </w:tc>
        <w:tc>
          <w:tcPr>
            <w:tcW w:w="6638" w:type="dxa"/>
            <w:noWrap w:val="0"/>
            <w:vAlign w:val="center"/>
          </w:tcPr>
          <w:p w14:paraId="20A70F63">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采购人指定地点。</w:t>
            </w:r>
          </w:p>
        </w:tc>
      </w:tr>
      <w:tr w14:paraId="5C64F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9" w:type="dxa"/>
            <w:noWrap w:val="0"/>
            <w:vAlign w:val="center"/>
          </w:tcPr>
          <w:p w14:paraId="168AB5C2">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725" w:type="dxa"/>
            <w:noWrap w:val="0"/>
            <w:vAlign w:val="center"/>
          </w:tcPr>
          <w:p w14:paraId="6E344989">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付款方式</w:t>
            </w:r>
          </w:p>
        </w:tc>
        <w:tc>
          <w:tcPr>
            <w:tcW w:w="6638" w:type="dxa"/>
            <w:noWrap w:val="0"/>
            <w:vAlign w:val="center"/>
          </w:tcPr>
          <w:p w14:paraId="637AC290">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中标人</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的每次订单提交货物，由</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收货验收并签字确认。每月15日前</w:t>
            </w:r>
            <w:r>
              <w:rPr>
                <w:rFonts w:hint="eastAsia" w:ascii="宋体" w:hAnsi="宋体"/>
                <w:color w:val="auto"/>
                <w:sz w:val="21"/>
                <w:szCs w:val="21"/>
                <w:highlight w:val="none"/>
                <w:lang w:eastAsia="zh-CN"/>
              </w:rPr>
              <w:t>中标人</w:t>
            </w:r>
            <w:r>
              <w:rPr>
                <w:rFonts w:hint="eastAsia" w:ascii="宋体" w:hAnsi="宋体"/>
                <w:color w:val="auto"/>
                <w:sz w:val="21"/>
                <w:szCs w:val="21"/>
                <w:highlight w:val="none"/>
              </w:rPr>
              <w:t>提供上月费用的对账单并经</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核对无误后，</w:t>
            </w:r>
            <w:r>
              <w:rPr>
                <w:rFonts w:hint="eastAsia" w:ascii="宋体" w:hAnsi="宋体"/>
                <w:color w:val="auto"/>
                <w:sz w:val="21"/>
                <w:szCs w:val="21"/>
                <w:highlight w:val="none"/>
                <w:lang w:eastAsia="zh-CN"/>
              </w:rPr>
              <w:t>中标人</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财务规定开具同额有效发票给</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在收到发票后15个工作日内一次性向</w:t>
            </w:r>
            <w:r>
              <w:rPr>
                <w:rFonts w:hint="eastAsia" w:ascii="宋体" w:hAnsi="宋体"/>
                <w:color w:val="auto"/>
                <w:sz w:val="21"/>
                <w:szCs w:val="21"/>
                <w:highlight w:val="none"/>
                <w:lang w:eastAsia="zh-CN"/>
              </w:rPr>
              <w:t>中标人</w:t>
            </w:r>
            <w:r>
              <w:rPr>
                <w:rFonts w:hint="eastAsia" w:ascii="宋体" w:hAnsi="宋体"/>
                <w:color w:val="auto"/>
                <w:sz w:val="21"/>
                <w:szCs w:val="21"/>
                <w:highlight w:val="none"/>
              </w:rPr>
              <w:t>支付相关费用</w:t>
            </w:r>
            <w:r>
              <w:rPr>
                <w:rFonts w:hint="eastAsia" w:ascii="宋体" w:hAnsi="宋体"/>
                <w:color w:val="auto"/>
                <w:sz w:val="21"/>
                <w:szCs w:val="21"/>
                <w:highlight w:val="none"/>
                <w:lang w:eastAsia="zh-CN"/>
              </w:rPr>
              <w:t>。</w:t>
            </w:r>
          </w:p>
        </w:tc>
      </w:tr>
      <w:tr w14:paraId="61FD2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59" w:type="dxa"/>
            <w:noWrap w:val="0"/>
            <w:vAlign w:val="center"/>
          </w:tcPr>
          <w:p w14:paraId="1BACBEA4">
            <w:pPr>
              <w:wordWrap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25" w:type="dxa"/>
            <w:noWrap w:val="0"/>
            <w:vAlign w:val="center"/>
          </w:tcPr>
          <w:p w14:paraId="5D2FD0B3">
            <w:pPr>
              <w:wordWrap w:val="0"/>
              <w:spacing w:line="360" w:lineRule="exact"/>
              <w:jc w:val="center"/>
              <w:rPr>
                <w:rFonts w:hint="eastAsia" w:ascii="宋体" w:hAnsi="宋体"/>
                <w:b/>
                <w:color w:val="auto"/>
                <w:sz w:val="21"/>
                <w:szCs w:val="21"/>
                <w:highlight w:val="none"/>
              </w:rPr>
            </w:pPr>
            <w:r>
              <w:rPr>
                <w:rFonts w:hint="eastAsia" w:ascii="宋体" w:hAnsi="宋体"/>
                <w:b/>
                <w:color w:val="auto"/>
                <w:sz w:val="21"/>
                <w:szCs w:val="21"/>
                <w:highlight w:val="none"/>
              </w:rPr>
              <w:t>★</w:t>
            </w:r>
            <w:r>
              <w:rPr>
                <w:rFonts w:hint="eastAsia" w:ascii="宋体" w:hAnsi="宋体"/>
                <w:color w:val="auto"/>
                <w:sz w:val="21"/>
                <w:szCs w:val="21"/>
                <w:highlight w:val="none"/>
              </w:rPr>
              <w:t>报价方式</w:t>
            </w:r>
          </w:p>
        </w:tc>
        <w:tc>
          <w:tcPr>
            <w:tcW w:w="6638" w:type="dxa"/>
            <w:noWrap w:val="0"/>
            <w:vAlign w:val="center"/>
          </w:tcPr>
          <w:p w14:paraId="60C70E08">
            <w:pPr>
              <w:pStyle w:val="36"/>
              <w:keepNext w:val="0"/>
              <w:keepLines w:val="0"/>
              <w:pageBreakBefore w:val="0"/>
              <w:kinsoku/>
              <w:overflowPunct/>
              <w:topLinePunct w:val="0"/>
              <w:autoSpaceDE/>
              <w:autoSpaceDN/>
              <w:bidi w:val="0"/>
              <w:ind w:firstLine="448" w:firstLineChars="200"/>
              <w:textAlignment w:val="auto"/>
              <w:rPr>
                <w:rFonts w:hint="eastAsia"/>
                <w:color w:val="auto"/>
                <w:lang w:eastAsia="zh-CN"/>
              </w:rPr>
            </w:pPr>
            <w:r>
              <w:rPr>
                <w:rFonts w:hint="eastAsia" w:ascii="宋体" w:hAnsi="宋体" w:eastAsia="宋体"/>
                <w:color w:val="auto"/>
                <w:sz w:val="22"/>
                <w:szCs w:val="22"/>
                <w:highlight w:val="none"/>
                <w:lang w:eastAsia="zh-CN"/>
              </w:rPr>
              <w:t>投标人</w:t>
            </w:r>
            <w:r>
              <w:rPr>
                <w:rFonts w:hint="eastAsia" w:ascii="宋体" w:hAnsi="宋体"/>
                <w:color w:val="auto"/>
                <w:sz w:val="22"/>
                <w:szCs w:val="22"/>
                <w:highlight w:val="none"/>
                <w:lang w:val="en-US" w:eastAsia="zh-CN"/>
              </w:rPr>
              <w:t>须</w:t>
            </w:r>
            <w:r>
              <w:rPr>
                <w:rFonts w:hint="eastAsia" w:ascii="宋体" w:hAnsi="宋体" w:eastAsia="宋体"/>
                <w:color w:val="auto"/>
                <w:sz w:val="22"/>
                <w:szCs w:val="22"/>
                <w:highlight w:val="none"/>
                <w:lang w:eastAsia="zh-CN"/>
              </w:rPr>
              <w:t>按照基准价执行下浮率大于</w:t>
            </w:r>
            <w:r>
              <w:rPr>
                <w:rFonts w:hint="eastAsia" w:ascii="宋体" w:hAnsi="宋体" w:eastAsia="宋体"/>
                <w:color w:val="auto"/>
                <w:sz w:val="22"/>
                <w:szCs w:val="22"/>
                <w:highlight w:val="none"/>
                <w:u w:val="none"/>
                <w:lang w:val="en-US" w:eastAsia="zh-CN"/>
              </w:rPr>
              <w:t>10</w:t>
            </w: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rPr>
              <w:t>（含</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0%）</w:t>
            </w:r>
            <w:r>
              <w:rPr>
                <w:rFonts w:hint="eastAsia" w:ascii="宋体" w:hAnsi="宋体"/>
                <w:color w:val="auto"/>
                <w:sz w:val="22"/>
                <w:szCs w:val="22"/>
                <w:highlight w:val="none"/>
                <w:lang w:val="en-US" w:eastAsia="zh-CN"/>
              </w:rPr>
              <w:t>进行报价</w:t>
            </w:r>
            <w:r>
              <w:rPr>
                <w:rFonts w:hint="eastAsia" w:ascii="宋体" w:hAnsi="宋体" w:eastAsia="宋体"/>
                <w:color w:val="auto"/>
                <w:sz w:val="22"/>
                <w:szCs w:val="22"/>
                <w:highlight w:val="none"/>
                <w:lang w:eastAsia="zh-CN"/>
              </w:rPr>
              <w:t>。</w:t>
            </w:r>
          </w:p>
        </w:tc>
      </w:tr>
      <w:tr w14:paraId="1D3D9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0" w:hRule="atLeast"/>
          <w:jc w:val="center"/>
        </w:trPr>
        <w:tc>
          <w:tcPr>
            <w:tcW w:w="659" w:type="dxa"/>
            <w:noWrap w:val="0"/>
            <w:vAlign w:val="center"/>
          </w:tcPr>
          <w:p w14:paraId="619FE732">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1725" w:type="dxa"/>
            <w:noWrap w:val="0"/>
            <w:vAlign w:val="center"/>
          </w:tcPr>
          <w:p w14:paraId="10CA44E6">
            <w:pPr>
              <w:wordWrap w:val="0"/>
              <w:spacing w:line="360" w:lineRule="exact"/>
              <w:jc w:val="center"/>
              <w:rPr>
                <w:rFonts w:hint="eastAsia" w:ascii="宋体" w:hAnsi="宋体"/>
                <w:color w:val="auto"/>
                <w:sz w:val="21"/>
                <w:szCs w:val="21"/>
                <w:highlight w:val="none"/>
              </w:rPr>
            </w:pPr>
            <w:r>
              <w:rPr>
                <w:rFonts w:hint="eastAsia" w:ascii="宋体" w:hAnsi="宋体"/>
                <w:b w:val="0"/>
                <w:color w:val="auto"/>
                <w:sz w:val="21"/>
                <w:szCs w:val="21"/>
                <w:highlight w:val="none"/>
              </w:rPr>
              <w:t>★</w:t>
            </w:r>
            <w:r>
              <w:rPr>
                <w:rFonts w:hint="eastAsia" w:ascii="宋体" w:hAnsi="宋体"/>
                <w:color w:val="auto"/>
                <w:sz w:val="21"/>
                <w:szCs w:val="21"/>
                <w:highlight w:val="none"/>
              </w:rPr>
              <w:t>报价内容</w:t>
            </w:r>
          </w:p>
        </w:tc>
        <w:tc>
          <w:tcPr>
            <w:tcW w:w="6638" w:type="dxa"/>
            <w:noWrap w:val="0"/>
            <w:vAlign w:val="center"/>
          </w:tcPr>
          <w:p w14:paraId="75D69B6E">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的</w:t>
            </w:r>
            <w:r>
              <w:rPr>
                <w:rFonts w:hint="eastAsia" w:ascii="宋体" w:hAnsi="宋体"/>
                <w:color w:val="auto"/>
                <w:sz w:val="21"/>
                <w:szCs w:val="21"/>
                <w:highlight w:val="none"/>
                <w:lang w:val="zh-CN"/>
              </w:rPr>
              <w:t>报价应包含完成全部用户需求书内容的含税人民币价格。包括但不限于食堂餐料采购、人工、运输、保险、现场仓储、税费（含进口关税、增值税等）等一切与本项目相关的全部费用</w:t>
            </w:r>
            <w:r>
              <w:rPr>
                <w:rFonts w:hint="eastAsia" w:ascii="宋体" w:hAnsi="宋体"/>
                <w:color w:val="auto"/>
                <w:sz w:val="21"/>
                <w:szCs w:val="21"/>
                <w:highlight w:val="none"/>
              </w:rPr>
              <w:t>，并承担送货途中的一切风险。</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在投标时必须将以上费用全面考虑。采购人不支付其他任何费用，不改变中标</w:t>
            </w:r>
            <w:r>
              <w:rPr>
                <w:rFonts w:hint="eastAsia" w:ascii="宋体" w:hAnsi="宋体"/>
                <w:color w:val="auto"/>
                <w:sz w:val="21"/>
                <w:szCs w:val="21"/>
                <w:highlight w:val="none"/>
                <w:lang w:eastAsia="zh-CN"/>
              </w:rPr>
              <w:t>下浮率</w:t>
            </w:r>
            <w:r>
              <w:rPr>
                <w:rFonts w:hint="eastAsia" w:ascii="宋体" w:hAnsi="宋体"/>
                <w:color w:val="auto"/>
                <w:sz w:val="21"/>
                <w:szCs w:val="21"/>
                <w:highlight w:val="none"/>
              </w:rPr>
              <w:t>。（</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针对本项内容提承诺函并加盖</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公章，承诺函格式自拟。）</w:t>
            </w:r>
          </w:p>
        </w:tc>
      </w:tr>
      <w:tr w14:paraId="349C2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0" w:hRule="atLeast"/>
          <w:jc w:val="center"/>
        </w:trPr>
        <w:tc>
          <w:tcPr>
            <w:tcW w:w="659" w:type="dxa"/>
            <w:noWrap w:val="0"/>
            <w:vAlign w:val="center"/>
          </w:tcPr>
          <w:p w14:paraId="0AFD771F">
            <w:pPr>
              <w:wordWrap w:val="0"/>
              <w:spacing w:line="36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1725" w:type="dxa"/>
            <w:noWrap w:val="0"/>
            <w:vAlign w:val="center"/>
          </w:tcPr>
          <w:p w14:paraId="5215C361">
            <w:pPr>
              <w:wordWrap w:val="0"/>
              <w:spacing w:line="360" w:lineRule="exact"/>
              <w:jc w:val="center"/>
              <w:rPr>
                <w:rFonts w:hint="eastAsia" w:ascii="宋体" w:hAnsi="宋体" w:eastAsia="宋体"/>
                <w:b w:val="0"/>
                <w:color w:val="auto"/>
                <w:sz w:val="21"/>
                <w:szCs w:val="21"/>
                <w:highlight w:val="none"/>
                <w:lang w:val="en-US" w:eastAsia="zh-CN"/>
              </w:rPr>
            </w:pPr>
            <w:r>
              <w:rPr>
                <w:rFonts w:hint="eastAsia" w:ascii="宋体" w:hAnsi="宋体"/>
                <w:b w:val="0"/>
                <w:color w:val="auto"/>
                <w:sz w:val="21"/>
                <w:szCs w:val="21"/>
                <w:highlight w:val="none"/>
              </w:rPr>
              <w:t>★</w:t>
            </w:r>
            <w:r>
              <w:rPr>
                <w:rFonts w:hint="eastAsia" w:ascii="宋体" w:hAnsi="宋体"/>
                <w:b w:val="0"/>
                <w:color w:val="auto"/>
                <w:sz w:val="21"/>
                <w:szCs w:val="21"/>
                <w:highlight w:val="none"/>
                <w:lang w:val="en-US" w:eastAsia="zh-CN"/>
              </w:rPr>
              <w:t>其它要求</w:t>
            </w:r>
          </w:p>
        </w:tc>
        <w:tc>
          <w:tcPr>
            <w:tcW w:w="6638" w:type="dxa"/>
            <w:noWrap w:val="0"/>
            <w:vAlign w:val="center"/>
          </w:tcPr>
          <w:p w14:paraId="5223553A">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投标时投标人必须承诺中标后</w:t>
            </w:r>
            <w:r>
              <w:rPr>
                <w:rFonts w:hint="eastAsia" w:ascii="宋体" w:hAnsi="宋体"/>
                <w:color w:val="auto"/>
                <w:sz w:val="21"/>
                <w:szCs w:val="21"/>
                <w:highlight w:val="none"/>
                <w:lang w:eastAsia="zh-CN"/>
              </w:rPr>
              <w:t>为</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购买一份以</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为受益人、额度不低于人民币500万元/年的保险(食品安全责任险)，保险承保期限须覆盖本项目服务期</w:t>
            </w:r>
            <w:r>
              <w:rPr>
                <w:rFonts w:hint="eastAsia" w:ascii="宋体" w:hAnsi="宋体"/>
                <w:color w:val="auto"/>
                <w:sz w:val="21"/>
                <w:szCs w:val="21"/>
                <w:highlight w:val="none"/>
              </w:rPr>
              <w:t>。（</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针对本项内容提承诺函并加盖</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公章，承诺函格式自拟。）</w:t>
            </w:r>
          </w:p>
        </w:tc>
      </w:tr>
      <w:tr w14:paraId="3CCA8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9" w:type="dxa"/>
            <w:noWrap w:val="0"/>
            <w:vAlign w:val="center"/>
          </w:tcPr>
          <w:p w14:paraId="050BABFD">
            <w:pPr>
              <w:wordWrap w:val="0"/>
              <w:spacing w:line="36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1725" w:type="dxa"/>
            <w:noWrap w:val="0"/>
            <w:vAlign w:val="center"/>
          </w:tcPr>
          <w:p w14:paraId="477B1397">
            <w:pPr>
              <w:wordWrap w:val="0"/>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合同条款</w:t>
            </w:r>
          </w:p>
        </w:tc>
        <w:tc>
          <w:tcPr>
            <w:tcW w:w="6638" w:type="dxa"/>
            <w:noWrap w:val="0"/>
            <w:vAlign w:val="center"/>
          </w:tcPr>
          <w:p w14:paraId="05182005">
            <w:pPr>
              <w:keepNext w:val="0"/>
              <w:keepLines w:val="0"/>
              <w:pageBreakBefore w:val="0"/>
              <w:kinsoku/>
              <w:wordWrap w:val="0"/>
              <w:overflowPunct/>
              <w:topLinePunct w:val="0"/>
              <w:autoSpaceDE/>
              <w:autoSpaceDN/>
              <w:bidi w:val="0"/>
              <w:spacing w:line="360" w:lineRule="exact"/>
              <w:ind w:firstLine="428" w:firstLineChars="200"/>
              <w:textAlignment w:val="auto"/>
              <w:rPr>
                <w:rFonts w:hint="eastAsia" w:ascii="宋体" w:hAnsi="宋体"/>
                <w:b/>
                <w:color w:val="auto"/>
                <w:sz w:val="21"/>
                <w:szCs w:val="21"/>
                <w:highlight w:val="none"/>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实质响应合同各条款。</w:t>
            </w:r>
          </w:p>
        </w:tc>
      </w:tr>
    </w:tbl>
    <w:p w14:paraId="0256FAB8">
      <w:pPr>
        <w:wordWrap w:val="0"/>
        <w:spacing w:line="360" w:lineRule="exact"/>
        <w:rPr>
          <w:rFonts w:hint="eastAsia" w:ascii="宋体" w:hAnsi="宋体"/>
          <w:b/>
          <w:color w:val="auto"/>
          <w:sz w:val="24"/>
          <w:highlight w:val="none"/>
        </w:rPr>
      </w:pPr>
    </w:p>
    <w:p w14:paraId="27A0104F">
      <w:pPr>
        <w:wordWrap w:val="0"/>
        <w:spacing w:line="360" w:lineRule="exact"/>
        <w:rPr>
          <w:rFonts w:hint="eastAsia" w:ascii="宋体" w:hAnsi="宋体" w:cs="宋体"/>
          <w:b/>
          <w:color w:val="auto"/>
          <w:szCs w:val="21"/>
          <w:highlight w:val="none"/>
        </w:rPr>
      </w:pPr>
      <w:r>
        <w:rPr>
          <w:rFonts w:hint="eastAsia" w:ascii="宋体" w:hAnsi="宋体"/>
          <w:b/>
          <w:color w:val="auto"/>
          <w:sz w:val="24"/>
          <w:highlight w:val="none"/>
        </w:rPr>
        <w:t>注：本项目用户需求书提及的“★”条款为实质性响应条款，</w:t>
      </w:r>
      <w:r>
        <w:rPr>
          <w:rFonts w:hint="eastAsia" w:ascii="宋体" w:hAnsi="宋体"/>
          <w:b/>
          <w:color w:val="auto"/>
          <w:sz w:val="24"/>
          <w:highlight w:val="none"/>
          <w:lang w:eastAsia="zh-CN"/>
        </w:rPr>
        <w:t>投标人</w:t>
      </w:r>
      <w:r>
        <w:rPr>
          <w:rFonts w:hint="eastAsia" w:ascii="宋体" w:hAnsi="宋体"/>
          <w:b/>
          <w:color w:val="auto"/>
          <w:sz w:val="24"/>
          <w:highlight w:val="none"/>
        </w:rPr>
        <w:t>须在商务差异表以及技术参数差异表中按实际情况进行响应，否则将被认定为投标无效处理。</w:t>
      </w:r>
    </w:p>
    <w:p w14:paraId="3BB89F89">
      <w:pPr>
        <w:rPr>
          <w:rFonts w:ascii="宋体" w:hAnsi="宋体"/>
          <w:color w:val="auto"/>
          <w:highlight w:val="none"/>
        </w:rPr>
      </w:pPr>
      <w:r>
        <w:rPr>
          <w:rFonts w:hint="eastAsia" w:ascii="宋体" w:hAnsi="宋体"/>
          <w:color w:val="auto"/>
          <w:highlight w:val="none"/>
        </w:rPr>
        <w:br w:type="page"/>
      </w:r>
    </w:p>
    <w:p w14:paraId="63B914A2">
      <w:pPr>
        <w:pStyle w:val="6"/>
        <w:spacing w:before="0" w:after="0" w:line="360" w:lineRule="auto"/>
        <w:jc w:val="center"/>
        <w:rPr>
          <w:color w:val="auto"/>
          <w:highlight w:val="none"/>
        </w:rPr>
      </w:pPr>
      <w:bookmarkStart w:id="17" w:name="_Toc928"/>
      <w:r>
        <w:rPr>
          <w:rFonts w:hint="eastAsia" w:ascii="宋体" w:hAnsi="宋体"/>
          <w:color w:val="auto"/>
          <w:highlight w:val="none"/>
        </w:rPr>
        <w:t>第二章 技术需求书</w:t>
      </w:r>
      <w:bookmarkEnd w:id="16"/>
      <w:bookmarkEnd w:id="17"/>
    </w:p>
    <w:bookmarkEnd w:id="11"/>
    <w:p w14:paraId="2BF66114">
      <w:pPr>
        <w:wordWrap w:val="0"/>
        <w:spacing w:before="161" w:beforeLines="50" w:after="161" w:afterLines="50" w:line="360" w:lineRule="exact"/>
        <w:rPr>
          <w:rFonts w:hint="eastAsia"/>
          <w:color w:val="auto"/>
          <w:sz w:val="21"/>
          <w:szCs w:val="21"/>
          <w:highlight w:val="none"/>
        </w:rPr>
      </w:pPr>
      <w:bookmarkStart w:id="18" w:name="_Toc1207"/>
      <w:bookmarkStart w:id="19" w:name="_Toc16275"/>
      <w:bookmarkStart w:id="20" w:name="_Toc14501"/>
      <w:r>
        <w:rPr>
          <w:rFonts w:hint="eastAsia"/>
          <w:b/>
          <w:color w:val="auto"/>
          <w:sz w:val="21"/>
          <w:szCs w:val="21"/>
          <w:highlight w:val="none"/>
        </w:rPr>
        <w:t>一、项目基本情况</w:t>
      </w:r>
      <w:bookmarkEnd w:id="18"/>
      <w:bookmarkEnd w:id="19"/>
      <w:bookmarkEnd w:id="20"/>
    </w:p>
    <w:p w14:paraId="16C230F0">
      <w:pPr>
        <w:wordWrap w:val="0"/>
        <w:spacing w:before="161" w:beforeLines="50" w:after="161" w:afterLines="50" w:line="400" w:lineRule="exact"/>
        <w:ind w:firstLine="406" w:firstLineChars="19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本项目是对</w:t>
      </w:r>
      <w:r>
        <w:rPr>
          <w:rFonts w:hint="eastAsia" w:ascii="宋体" w:hAnsi="宋体" w:cs="宋体"/>
          <w:bCs/>
          <w:color w:val="auto"/>
          <w:sz w:val="21"/>
          <w:szCs w:val="21"/>
          <w:highlight w:val="none"/>
          <w:u w:val="single"/>
          <w:lang w:eastAsia="zh-CN"/>
        </w:rPr>
        <w:t>东莞市能源投资集团有限公司食堂副食品采购项目</w:t>
      </w:r>
      <w:r>
        <w:rPr>
          <w:rFonts w:hint="eastAsia" w:ascii="宋体" w:hAnsi="宋体" w:cs="宋体"/>
          <w:bCs/>
          <w:color w:val="auto"/>
          <w:sz w:val="21"/>
          <w:szCs w:val="21"/>
          <w:highlight w:val="none"/>
        </w:rPr>
        <w:t>进行公开招标，确定一名</w:t>
      </w:r>
      <w:r>
        <w:rPr>
          <w:rFonts w:hint="eastAsia" w:ascii="宋体" w:hAnsi="宋体" w:cs="宋体"/>
          <w:bCs/>
          <w:color w:val="auto"/>
          <w:sz w:val="21"/>
          <w:szCs w:val="21"/>
          <w:highlight w:val="none"/>
          <w:lang w:eastAsia="zh-CN"/>
        </w:rPr>
        <w:t>中标人</w:t>
      </w:r>
      <w:r>
        <w:rPr>
          <w:rFonts w:hint="eastAsia" w:ascii="宋体" w:hAnsi="宋体" w:cs="宋体"/>
          <w:bCs/>
          <w:color w:val="auto"/>
          <w:sz w:val="21"/>
          <w:szCs w:val="21"/>
          <w:highlight w:val="none"/>
        </w:rPr>
        <w:t>，服务期为自合同签订生效之日起1年。项目总预算约为</w:t>
      </w:r>
      <w:r>
        <w:rPr>
          <w:rFonts w:hint="eastAsia" w:ascii="宋体" w:hAnsi="宋体"/>
          <w:color w:val="auto"/>
          <w:sz w:val="21"/>
          <w:szCs w:val="21"/>
          <w:highlight w:val="none"/>
        </w:rPr>
        <w:t>：</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1,6</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000元</w:t>
      </w:r>
      <w:r>
        <w:rPr>
          <w:rFonts w:hint="eastAsia" w:ascii="宋体" w:hAnsi="宋体" w:cs="宋体"/>
          <w:bCs/>
          <w:color w:val="auto"/>
          <w:sz w:val="21"/>
          <w:szCs w:val="21"/>
          <w:highlight w:val="none"/>
        </w:rPr>
        <w:t>，中标资格的取得并不意味货物的售出，采购人无法预计也无法保证向</w:t>
      </w:r>
      <w:r>
        <w:rPr>
          <w:rFonts w:hint="eastAsia" w:ascii="宋体" w:hAnsi="宋体" w:cs="宋体"/>
          <w:bCs/>
          <w:color w:val="auto"/>
          <w:sz w:val="21"/>
          <w:szCs w:val="21"/>
          <w:highlight w:val="none"/>
          <w:lang w:eastAsia="zh-CN"/>
        </w:rPr>
        <w:t>中标人</w:t>
      </w:r>
      <w:r>
        <w:rPr>
          <w:rFonts w:hint="eastAsia" w:ascii="宋体" w:hAnsi="宋体" w:cs="宋体"/>
          <w:bCs/>
          <w:color w:val="auto"/>
          <w:sz w:val="21"/>
          <w:szCs w:val="21"/>
          <w:highlight w:val="none"/>
        </w:rPr>
        <w:t>确定采购数量。</w:t>
      </w:r>
    </w:p>
    <w:p w14:paraId="020B0AE9">
      <w:pPr>
        <w:wordWrap w:val="0"/>
        <w:spacing w:before="161" w:beforeLines="50" w:after="161" w:afterLines="50" w:line="360" w:lineRule="exact"/>
        <w:rPr>
          <w:rFonts w:hint="eastAsia"/>
          <w:b/>
          <w:color w:val="auto"/>
          <w:sz w:val="21"/>
          <w:szCs w:val="21"/>
          <w:highlight w:val="none"/>
        </w:rPr>
      </w:pPr>
    </w:p>
    <w:p w14:paraId="2548778C">
      <w:pPr>
        <w:wordWrap w:val="0"/>
        <w:spacing w:before="161" w:beforeLines="50" w:after="161" w:afterLines="50" w:line="360" w:lineRule="exact"/>
        <w:rPr>
          <w:rFonts w:hint="eastAsia"/>
          <w:color w:val="auto"/>
          <w:sz w:val="21"/>
          <w:szCs w:val="21"/>
          <w:highlight w:val="none"/>
        </w:rPr>
      </w:pPr>
      <w:r>
        <w:rPr>
          <w:rFonts w:hint="eastAsia"/>
          <w:b/>
          <w:color w:val="auto"/>
          <w:sz w:val="21"/>
          <w:szCs w:val="21"/>
          <w:highlight w:val="none"/>
        </w:rPr>
        <w:t>二、总体要求</w:t>
      </w:r>
    </w:p>
    <w:p w14:paraId="1AD34E31">
      <w:pPr>
        <w:pStyle w:val="3"/>
        <w:wordWrap w:val="0"/>
        <w:spacing w:line="400" w:lineRule="exact"/>
        <w:ind w:firstLine="406" w:firstLineChars="190"/>
        <w:rPr>
          <w:rFonts w:hint="eastAsia" w:ascii="宋体" w:hAnsi="宋体" w:cs="宋体"/>
          <w:bCs/>
          <w:color w:val="auto"/>
          <w:sz w:val="21"/>
          <w:szCs w:val="21"/>
          <w:highlight w:val="none"/>
        </w:rPr>
      </w:pPr>
      <w:r>
        <w:rPr>
          <w:rFonts w:hint="eastAsia" w:ascii="宋体" w:hAnsi="宋体" w:cs="宋体"/>
          <w:bCs/>
          <w:color w:val="auto"/>
          <w:sz w:val="21"/>
          <w:szCs w:val="21"/>
          <w:highlight w:val="none"/>
        </w:rPr>
        <w:t>2.1</w:t>
      </w:r>
      <w:r>
        <w:rPr>
          <w:rFonts w:hint="eastAsia" w:ascii="宋体" w:hAnsi="宋体" w:cs="宋体"/>
          <w:bCs/>
          <w:color w:val="auto"/>
          <w:sz w:val="21"/>
          <w:szCs w:val="21"/>
          <w:highlight w:val="none"/>
          <w:lang w:eastAsia="zh-CN"/>
        </w:rPr>
        <w:t>投标人</w:t>
      </w:r>
      <w:r>
        <w:rPr>
          <w:rFonts w:hint="eastAsia" w:ascii="宋体" w:hAnsi="宋体" w:cs="宋体"/>
          <w:bCs/>
          <w:color w:val="auto"/>
          <w:sz w:val="21"/>
          <w:szCs w:val="21"/>
          <w:highlight w:val="none"/>
        </w:rPr>
        <w:t>负责项目采购人需求书中列出的所有工作内容，以及其他隐含的配套工作。</w:t>
      </w:r>
      <w:r>
        <w:rPr>
          <w:rFonts w:hint="eastAsia" w:ascii="宋体" w:hAnsi="宋体" w:cs="宋体"/>
          <w:bCs/>
          <w:color w:val="auto"/>
          <w:sz w:val="21"/>
          <w:szCs w:val="21"/>
          <w:highlight w:val="none"/>
          <w:lang w:eastAsia="zh-CN"/>
        </w:rPr>
        <w:t>投标人</w:t>
      </w:r>
      <w:r>
        <w:rPr>
          <w:rFonts w:hint="eastAsia" w:ascii="宋体" w:hAnsi="宋体" w:cs="宋体"/>
          <w:bCs/>
          <w:color w:val="auto"/>
          <w:sz w:val="21"/>
          <w:szCs w:val="21"/>
          <w:highlight w:val="none"/>
        </w:rPr>
        <w:t>应充分考虑影响报价的各种因素和风险。</w:t>
      </w:r>
    </w:p>
    <w:p w14:paraId="4B78537B">
      <w:pPr>
        <w:pStyle w:val="3"/>
        <w:wordWrap w:val="0"/>
        <w:spacing w:line="400" w:lineRule="exact"/>
        <w:ind w:firstLine="406" w:firstLineChars="190"/>
        <w:rPr>
          <w:rFonts w:hint="eastAsia" w:ascii="宋体" w:hAnsi="宋体" w:cs="宋体"/>
          <w:bCs/>
          <w:color w:val="auto"/>
          <w:sz w:val="21"/>
          <w:szCs w:val="21"/>
          <w:highlight w:val="none"/>
        </w:rPr>
      </w:pPr>
      <w:r>
        <w:rPr>
          <w:rFonts w:hint="eastAsia" w:ascii="宋体" w:hAnsi="宋体" w:cs="宋体"/>
          <w:bCs/>
          <w:color w:val="auto"/>
          <w:sz w:val="21"/>
          <w:szCs w:val="21"/>
          <w:highlight w:val="none"/>
        </w:rPr>
        <w:t>2.2</w:t>
      </w:r>
      <w:r>
        <w:rPr>
          <w:rFonts w:hint="eastAsia" w:ascii="宋体" w:hAnsi="宋体" w:cs="宋体"/>
          <w:bCs/>
          <w:color w:val="auto"/>
          <w:sz w:val="21"/>
          <w:szCs w:val="21"/>
          <w:highlight w:val="none"/>
          <w:lang w:eastAsia="zh-CN"/>
        </w:rPr>
        <w:t>投标人</w:t>
      </w:r>
      <w:r>
        <w:rPr>
          <w:rFonts w:hint="eastAsia" w:ascii="宋体" w:hAnsi="宋体" w:cs="宋体"/>
          <w:bCs/>
          <w:color w:val="auto"/>
          <w:sz w:val="21"/>
          <w:szCs w:val="21"/>
          <w:highlight w:val="none"/>
        </w:rPr>
        <w:t>必须对全部的内容投标，不允许只对其中部分内容投标。</w:t>
      </w:r>
    </w:p>
    <w:p w14:paraId="666E205C">
      <w:pPr>
        <w:pStyle w:val="3"/>
        <w:wordWrap w:val="0"/>
        <w:spacing w:line="400" w:lineRule="exact"/>
        <w:ind w:firstLine="406" w:firstLineChars="190"/>
        <w:rPr>
          <w:rFonts w:hint="eastAsia" w:ascii="宋体" w:hAnsi="宋体" w:cs="宋体"/>
          <w:bCs/>
          <w:color w:val="auto"/>
          <w:sz w:val="21"/>
          <w:szCs w:val="21"/>
          <w:highlight w:val="none"/>
        </w:rPr>
      </w:pPr>
      <w:r>
        <w:rPr>
          <w:rFonts w:hint="eastAsia" w:ascii="宋体" w:hAnsi="宋体" w:cs="宋体"/>
          <w:bCs/>
          <w:color w:val="auto"/>
          <w:sz w:val="21"/>
          <w:szCs w:val="21"/>
          <w:highlight w:val="none"/>
        </w:rPr>
        <w:t>2.3对于影响项目正常工作的必要组成部分，无论在服务要求规范中指出与否，</w:t>
      </w:r>
      <w:r>
        <w:rPr>
          <w:rFonts w:hint="eastAsia" w:ascii="宋体" w:hAnsi="宋体" w:cs="宋体"/>
          <w:bCs/>
          <w:color w:val="auto"/>
          <w:sz w:val="21"/>
          <w:szCs w:val="21"/>
          <w:highlight w:val="none"/>
          <w:lang w:eastAsia="zh-CN"/>
        </w:rPr>
        <w:t>投标人</w:t>
      </w:r>
      <w:r>
        <w:rPr>
          <w:rFonts w:hint="eastAsia" w:ascii="宋体" w:hAnsi="宋体" w:cs="宋体"/>
          <w:bCs/>
          <w:color w:val="auto"/>
          <w:sz w:val="21"/>
          <w:szCs w:val="21"/>
          <w:highlight w:val="none"/>
        </w:rPr>
        <w:t>都应提供在响应文件中明确列出。</w:t>
      </w:r>
    </w:p>
    <w:p w14:paraId="4FBF296A">
      <w:pPr>
        <w:pStyle w:val="3"/>
        <w:wordWrap w:val="0"/>
        <w:spacing w:line="400" w:lineRule="exact"/>
        <w:ind w:firstLine="406" w:firstLineChars="190"/>
        <w:rPr>
          <w:rFonts w:hint="eastAsia" w:ascii="宋体" w:hAnsi="宋体" w:cs="宋体"/>
          <w:bCs/>
          <w:color w:val="auto"/>
          <w:sz w:val="21"/>
          <w:szCs w:val="21"/>
          <w:highlight w:val="none"/>
        </w:rPr>
      </w:pPr>
    </w:p>
    <w:p w14:paraId="103EB045">
      <w:pPr>
        <w:wordWrap w:val="0"/>
        <w:spacing w:before="161" w:beforeLines="50" w:after="161" w:afterLines="50" w:line="360" w:lineRule="exact"/>
        <w:rPr>
          <w:rFonts w:hAnsi="宋体"/>
          <w:color w:val="auto"/>
          <w:sz w:val="21"/>
          <w:szCs w:val="21"/>
          <w:highlight w:val="none"/>
        </w:rPr>
      </w:pPr>
      <w:r>
        <w:rPr>
          <w:rFonts w:hint="eastAsia"/>
          <w:b/>
          <w:color w:val="auto"/>
          <w:sz w:val="21"/>
          <w:szCs w:val="21"/>
          <w:highlight w:val="none"/>
        </w:rPr>
        <w:t>三、供货要求</w:t>
      </w:r>
    </w:p>
    <w:p w14:paraId="5A6CCD4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1.1采购清单</w:t>
      </w:r>
    </w:p>
    <w:p w14:paraId="65AF6FF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采购清单无具体明细，</w:t>
      </w:r>
      <w:r>
        <w:rPr>
          <w:rFonts w:hint="eastAsia" w:ascii="宋体" w:hAnsi="宋体"/>
          <w:color w:val="000000"/>
          <w:sz w:val="22"/>
          <w:szCs w:val="22"/>
          <w:lang w:eastAsia="zh-CN"/>
        </w:rPr>
        <w:t>中标</w:t>
      </w:r>
      <w:r>
        <w:rPr>
          <w:rFonts w:hint="eastAsia" w:ascii="宋体" w:hAnsi="宋体"/>
          <w:color w:val="000000"/>
          <w:sz w:val="22"/>
          <w:szCs w:val="22"/>
        </w:rPr>
        <w:t>供应商有义务书面向采购人进行报价，报价必须按照本项目定价原则进行（即满足用户需求书的定价原则），待采购人同意后进行供货。</w:t>
      </w:r>
    </w:p>
    <w:p w14:paraId="18BCDD6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1.2技术服务要求</w:t>
      </w:r>
    </w:p>
    <w:p w14:paraId="7D2607B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w:t>
      </w:r>
      <w:r>
        <w:rPr>
          <w:rFonts w:hint="eastAsia" w:ascii="宋体" w:hAnsi="宋体"/>
          <w:color w:val="000000"/>
          <w:sz w:val="22"/>
          <w:szCs w:val="22"/>
          <w:lang w:eastAsia="zh-CN"/>
        </w:rPr>
        <w:t>中标</w:t>
      </w:r>
      <w:r>
        <w:rPr>
          <w:rFonts w:hint="eastAsia" w:ascii="宋体" w:hAnsi="宋体"/>
          <w:color w:val="000000"/>
          <w:sz w:val="22"/>
          <w:szCs w:val="22"/>
        </w:rPr>
        <w:t>供应商不得将中标项目转让或分包给他人，否则采购人有权单方终止合同,由此产生的一切经济损失由</w:t>
      </w:r>
      <w:r>
        <w:rPr>
          <w:rFonts w:hint="eastAsia" w:ascii="宋体" w:hAnsi="宋体"/>
          <w:color w:val="000000"/>
          <w:sz w:val="22"/>
          <w:szCs w:val="22"/>
          <w:lang w:eastAsia="zh-CN"/>
        </w:rPr>
        <w:t>中标</w:t>
      </w:r>
      <w:r>
        <w:rPr>
          <w:rFonts w:hint="eastAsia" w:ascii="宋体" w:hAnsi="宋体"/>
          <w:color w:val="000000"/>
          <w:sz w:val="22"/>
          <w:szCs w:val="22"/>
        </w:rPr>
        <w:t>供应商自行承担。</w:t>
      </w:r>
    </w:p>
    <w:p w14:paraId="52E67B72">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1.2.2、</w:t>
      </w:r>
      <w:r>
        <w:rPr>
          <w:rFonts w:hint="eastAsia" w:ascii="宋体" w:hAnsi="宋体"/>
          <w:color w:val="000000"/>
          <w:sz w:val="22"/>
          <w:szCs w:val="22"/>
          <w:lang w:eastAsia="zh-CN"/>
        </w:rPr>
        <w:t>中标</w:t>
      </w:r>
      <w:r>
        <w:rPr>
          <w:rFonts w:hint="eastAsia" w:ascii="宋体" w:hAnsi="宋体"/>
          <w:color w:val="000000"/>
          <w:sz w:val="22"/>
          <w:szCs w:val="22"/>
        </w:rPr>
        <w:t>供应商在合同履行期间内保证对采购人的货物供应，中标后不得拒绝采购人分配的任务。</w:t>
      </w:r>
      <w:r>
        <w:rPr>
          <w:rFonts w:hint="eastAsia" w:ascii="宋体" w:hAnsi="宋体"/>
          <w:color w:val="000000"/>
          <w:sz w:val="22"/>
          <w:szCs w:val="22"/>
          <w:lang w:eastAsia="zh-CN"/>
        </w:rPr>
        <w:t>中标</w:t>
      </w:r>
      <w:r>
        <w:rPr>
          <w:rFonts w:hint="eastAsia" w:ascii="宋体" w:hAnsi="宋体"/>
          <w:color w:val="000000"/>
          <w:sz w:val="22"/>
          <w:szCs w:val="22"/>
        </w:rPr>
        <w:t>供应商在服务期内没能达到响应文件承诺的服务要求的，或</w:t>
      </w:r>
      <w:r>
        <w:rPr>
          <w:rFonts w:hint="eastAsia" w:ascii="宋体" w:hAnsi="宋体"/>
          <w:color w:val="000000"/>
          <w:sz w:val="22"/>
          <w:szCs w:val="22"/>
          <w:lang w:eastAsia="zh-CN"/>
        </w:rPr>
        <w:t>中标</w:t>
      </w:r>
      <w:r>
        <w:rPr>
          <w:rFonts w:hint="eastAsia" w:ascii="宋体" w:hAnsi="宋体"/>
          <w:color w:val="000000"/>
          <w:sz w:val="22"/>
          <w:szCs w:val="22"/>
        </w:rPr>
        <w:t>供应商未按要求履行合同义务时，或</w:t>
      </w:r>
      <w:r>
        <w:rPr>
          <w:rFonts w:hint="eastAsia" w:ascii="宋体" w:hAnsi="宋体"/>
          <w:color w:val="000000"/>
          <w:sz w:val="22"/>
          <w:szCs w:val="22"/>
          <w:lang w:eastAsia="zh-CN"/>
        </w:rPr>
        <w:t>中标</w:t>
      </w:r>
      <w:r>
        <w:rPr>
          <w:rFonts w:hint="eastAsia" w:ascii="宋体" w:hAnsi="宋体"/>
          <w:color w:val="000000"/>
          <w:sz w:val="22"/>
          <w:szCs w:val="22"/>
        </w:rPr>
        <w:t>供应商的资质在服务期内发生变化不再符合要求的，采购人均有权单方面终止合同,由此产生的一切经济损失由</w:t>
      </w:r>
      <w:r>
        <w:rPr>
          <w:rFonts w:hint="eastAsia" w:ascii="宋体" w:hAnsi="宋体"/>
          <w:color w:val="000000"/>
          <w:sz w:val="22"/>
          <w:szCs w:val="22"/>
          <w:lang w:eastAsia="zh-CN"/>
        </w:rPr>
        <w:t>中标</w:t>
      </w:r>
      <w:r>
        <w:rPr>
          <w:rFonts w:hint="eastAsia" w:ascii="宋体" w:hAnsi="宋体"/>
          <w:color w:val="000000"/>
          <w:sz w:val="22"/>
          <w:szCs w:val="22"/>
        </w:rPr>
        <w:t>供应商自行承担。</w:t>
      </w:r>
    </w:p>
    <w:p w14:paraId="087C7FD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1.2.3、</w:t>
      </w:r>
      <w:r>
        <w:rPr>
          <w:rFonts w:hint="eastAsia" w:ascii="宋体" w:hAnsi="宋体"/>
          <w:color w:val="000000"/>
          <w:sz w:val="22"/>
          <w:szCs w:val="22"/>
          <w:lang w:eastAsia="zh-CN"/>
        </w:rPr>
        <w:t>中标</w:t>
      </w:r>
      <w:r>
        <w:rPr>
          <w:rFonts w:hint="eastAsia" w:ascii="宋体" w:hAnsi="宋体"/>
          <w:color w:val="000000"/>
          <w:sz w:val="22"/>
          <w:szCs w:val="22"/>
        </w:rPr>
        <w:t>供应商提供的货物须服从采购人的监督、管理。</w:t>
      </w:r>
    </w:p>
    <w:p w14:paraId="23F2C8D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1.2.4、</w:t>
      </w:r>
      <w:r>
        <w:rPr>
          <w:rFonts w:hint="eastAsia" w:ascii="宋体" w:hAnsi="宋体"/>
          <w:color w:val="000000"/>
          <w:sz w:val="22"/>
          <w:szCs w:val="22"/>
          <w:lang w:eastAsia="zh-CN"/>
        </w:rPr>
        <w:t>中标</w:t>
      </w:r>
      <w:r>
        <w:rPr>
          <w:rFonts w:hint="eastAsia" w:ascii="宋体" w:hAnsi="宋体"/>
          <w:color w:val="000000"/>
          <w:sz w:val="22"/>
          <w:szCs w:val="22"/>
        </w:rPr>
        <w:t>供应商应能够配合采购人及时更新所提供的符合卫监部门的有效证明材料。如有效的营业执照、食品生产许可证或食品流通许可证、产品合格证等。</w:t>
      </w:r>
    </w:p>
    <w:p w14:paraId="11D6217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（1）其中肉类产品合格证包括但不限于：</w:t>
      </w:r>
    </w:p>
    <w:p w14:paraId="085B95C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1）鲜猪肉等—分割肉销售凭据、动物防疫合格证；</w:t>
      </w:r>
    </w:p>
    <w:p w14:paraId="2AABB8E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2）鲜牛肉等—畜产品检验合格证；</w:t>
      </w:r>
    </w:p>
    <w:p w14:paraId="3F0C9C12">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3）冻肉—动物防疫合格证；</w:t>
      </w:r>
    </w:p>
    <w:p w14:paraId="65569DD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4）三鸟—动物防疫合格证。</w:t>
      </w:r>
    </w:p>
    <w:p w14:paraId="66641AC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1.2.5、</w:t>
      </w:r>
      <w:r>
        <w:rPr>
          <w:rFonts w:hint="eastAsia" w:ascii="宋体" w:hAnsi="宋体"/>
          <w:color w:val="000000"/>
          <w:sz w:val="22"/>
          <w:szCs w:val="22"/>
          <w:lang w:eastAsia="zh-CN"/>
        </w:rPr>
        <w:t>中标</w:t>
      </w:r>
      <w:r>
        <w:rPr>
          <w:rFonts w:hint="eastAsia" w:ascii="宋体" w:hAnsi="宋体"/>
          <w:color w:val="000000"/>
          <w:sz w:val="22"/>
          <w:szCs w:val="22"/>
        </w:rPr>
        <w:t>供应商获得本项目的供货资格并不意味拥有业务保障，</w:t>
      </w:r>
      <w:r>
        <w:rPr>
          <w:rFonts w:hint="eastAsia" w:ascii="宋体" w:hAnsi="宋体"/>
          <w:color w:val="000000"/>
          <w:sz w:val="22"/>
          <w:szCs w:val="22"/>
          <w:lang w:eastAsia="zh-CN"/>
        </w:rPr>
        <w:t>中标</w:t>
      </w:r>
      <w:r>
        <w:rPr>
          <w:rFonts w:hint="eastAsia" w:ascii="宋体" w:hAnsi="宋体"/>
          <w:color w:val="000000"/>
          <w:sz w:val="22"/>
          <w:szCs w:val="22"/>
        </w:rPr>
        <w:t>供应商在合同履行期间，采购人可根据采购及业务发展需要，可通过招标适当增补其他专业类别的供货商，采购人无需通知</w:t>
      </w:r>
      <w:r>
        <w:rPr>
          <w:rFonts w:hint="eastAsia" w:ascii="宋体" w:hAnsi="宋体"/>
          <w:color w:val="000000"/>
          <w:sz w:val="22"/>
          <w:szCs w:val="22"/>
          <w:lang w:eastAsia="zh-CN"/>
        </w:rPr>
        <w:t>中标</w:t>
      </w:r>
      <w:r>
        <w:rPr>
          <w:rFonts w:hint="eastAsia" w:ascii="宋体" w:hAnsi="宋体"/>
          <w:color w:val="000000"/>
          <w:sz w:val="22"/>
          <w:szCs w:val="22"/>
        </w:rPr>
        <w:t>供应商且不予任何补偿。</w:t>
      </w:r>
    </w:p>
    <w:p w14:paraId="52DF224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1.2.6、</w:t>
      </w:r>
      <w:r>
        <w:rPr>
          <w:rFonts w:hint="eastAsia" w:ascii="宋体" w:hAnsi="宋体"/>
          <w:color w:val="000000"/>
          <w:sz w:val="22"/>
          <w:szCs w:val="22"/>
          <w:lang w:eastAsia="zh-CN"/>
        </w:rPr>
        <w:t>中标</w:t>
      </w:r>
      <w:r>
        <w:rPr>
          <w:rFonts w:hint="eastAsia" w:ascii="宋体" w:hAnsi="宋体"/>
          <w:color w:val="000000"/>
          <w:sz w:val="22"/>
          <w:szCs w:val="22"/>
        </w:rPr>
        <w:t>供应商应当制定因食材中毒或者其他食源性疾患，以及因交通、天气等原因不能按时送达食材等突发事件的应急预案，确保采购人及时得到食材供应。</w:t>
      </w:r>
    </w:p>
    <w:p w14:paraId="79BD4A8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1.2.7、</w:t>
      </w:r>
      <w:r>
        <w:rPr>
          <w:rFonts w:hint="eastAsia" w:ascii="宋体" w:hAnsi="宋体"/>
          <w:color w:val="000000"/>
          <w:sz w:val="22"/>
          <w:szCs w:val="22"/>
          <w:lang w:eastAsia="zh-CN"/>
        </w:rPr>
        <w:t>中标</w:t>
      </w:r>
      <w:r>
        <w:rPr>
          <w:rFonts w:hint="eastAsia" w:ascii="宋体" w:hAnsi="宋体"/>
          <w:color w:val="000000"/>
          <w:sz w:val="22"/>
          <w:szCs w:val="22"/>
        </w:rPr>
        <w:t>供应商须严格按照采购人的指令配送食材的数量，不得随意增减数量，否则采购人有权拒收。如因市场流通问题确实需要变更的，应事先书面申请，并经采购人同意后方可改变。</w:t>
      </w:r>
    </w:p>
    <w:p w14:paraId="0B6C7DB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1.2.8、除客观不可抗力外，</w:t>
      </w:r>
      <w:r>
        <w:rPr>
          <w:rFonts w:hint="eastAsia" w:ascii="宋体" w:hAnsi="宋体"/>
          <w:color w:val="000000"/>
          <w:sz w:val="22"/>
          <w:szCs w:val="22"/>
          <w:lang w:eastAsia="zh-CN"/>
        </w:rPr>
        <w:t>中标</w:t>
      </w:r>
      <w:r>
        <w:rPr>
          <w:rFonts w:hint="eastAsia" w:ascii="宋体" w:hAnsi="宋体"/>
          <w:color w:val="000000"/>
          <w:sz w:val="22"/>
          <w:szCs w:val="22"/>
        </w:rPr>
        <w:t>供应商不得更改配送货物内容。如确需变更供货内容的，</w:t>
      </w:r>
      <w:r>
        <w:rPr>
          <w:rFonts w:hint="eastAsia" w:ascii="宋体" w:hAnsi="宋体"/>
          <w:color w:val="000000"/>
          <w:sz w:val="22"/>
          <w:szCs w:val="22"/>
          <w:lang w:eastAsia="zh-CN"/>
        </w:rPr>
        <w:t>中标</w:t>
      </w:r>
      <w:r>
        <w:rPr>
          <w:rFonts w:hint="eastAsia" w:ascii="宋体" w:hAnsi="宋体"/>
          <w:color w:val="000000"/>
          <w:sz w:val="22"/>
          <w:szCs w:val="22"/>
        </w:rPr>
        <w:t>供应商应在得知情况的同时告知采购人并征得采购人的同意，经发现</w:t>
      </w:r>
      <w:r>
        <w:rPr>
          <w:rFonts w:hint="eastAsia" w:ascii="宋体" w:hAnsi="宋体"/>
          <w:color w:val="000000"/>
          <w:sz w:val="22"/>
          <w:szCs w:val="22"/>
          <w:lang w:eastAsia="zh-CN"/>
        </w:rPr>
        <w:t>中标</w:t>
      </w:r>
      <w:r>
        <w:rPr>
          <w:rFonts w:hint="eastAsia" w:ascii="宋体" w:hAnsi="宋体"/>
          <w:color w:val="000000"/>
          <w:sz w:val="22"/>
          <w:szCs w:val="22"/>
        </w:rPr>
        <w:t>供应商有私自更改供货内容时以违约论处，由此产生的一切损失和费用由</w:t>
      </w:r>
      <w:r>
        <w:rPr>
          <w:rFonts w:hint="eastAsia" w:ascii="宋体" w:hAnsi="宋体"/>
          <w:color w:val="000000"/>
          <w:sz w:val="22"/>
          <w:szCs w:val="22"/>
          <w:lang w:eastAsia="zh-CN"/>
        </w:rPr>
        <w:t>中标</w:t>
      </w:r>
      <w:r>
        <w:rPr>
          <w:rFonts w:hint="eastAsia" w:ascii="宋体" w:hAnsi="宋体"/>
          <w:color w:val="000000"/>
          <w:sz w:val="22"/>
          <w:szCs w:val="22"/>
        </w:rPr>
        <w:t>供应商承担。</w:t>
      </w:r>
    </w:p>
    <w:p w14:paraId="1DA0D53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★1.2.9、</w:t>
      </w:r>
      <w:r>
        <w:rPr>
          <w:rFonts w:hint="eastAsia" w:ascii="宋体" w:hAnsi="宋体"/>
          <w:color w:val="000000"/>
          <w:sz w:val="22"/>
          <w:szCs w:val="22"/>
          <w:lang w:eastAsia="zh-CN"/>
        </w:rPr>
        <w:t>中标</w:t>
      </w:r>
      <w:r>
        <w:rPr>
          <w:rFonts w:hint="eastAsia" w:ascii="宋体" w:hAnsi="宋体"/>
          <w:color w:val="000000"/>
          <w:sz w:val="22"/>
          <w:szCs w:val="22"/>
        </w:rPr>
        <w:t>供应商必须在当天早上6点30分前将采购的食品送至采购人指定地点，否则此项月度考评将会被扣分，且每次采购人在其当月货款扣除1000元。</w:t>
      </w:r>
    </w:p>
    <w:p w14:paraId="77D936B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1.2.10、</w:t>
      </w:r>
      <w:r>
        <w:rPr>
          <w:rFonts w:hint="eastAsia" w:ascii="宋体" w:hAnsi="宋体"/>
          <w:color w:val="000000"/>
          <w:sz w:val="22"/>
          <w:szCs w:val="22"/>
          <w:lang w:eastAsia="zh-CN"/>
        </w:rPr>
        <w:t>中标</w:t>
      </w:r>
      <w:r>
        <w:rPr>
          <w:rFonts w:hint="eastAsia" w:ascii="宋体" w:hAnsi="宋体"/>
          <w:color w:val="000000"/>
          <w:sz w:val="22"/>
          <w:szCs w:val="22"/>
        </w:rPr>
        <w:t>供应商不能提供与其承诺相符的服务或</w:t>
      </w:r>
      <w:r>
        <w:rPr>
          <w:rFonts w:hint="eastAsia" w:ascii="宋体" w:hAnsi="宋体"/>
          <w:color w:val="000000"/>
          <w:sz w:val="22"/>
          <w:szCs w:val="22"/>
          <w:lang w:eastAsia="zh-CN"/>
        </w:rPr>
        <w:t>中标</w:t>
      </w:r>
      <w:r>
        <w:rPr>
          <w:rFonts w:hint="eastAsia" w:ascii="宋体" w:hAnsi="宋体"/>
          <w:color w:val="000000"/>
          <w:sz w:val="22"/>
          <w:szCs w:val="22"/>
        </w:rPr>
        <w:t>供应商存在违反采购文件和合同的行为，并且不予纠正的或纠正后仍无法达到相应要求的，采购人有权解除合同。此项下违约责任包括但不限于下列各项：</w:t>
      </w:r>
    </w:p>
    <w:p w14:paraId="21CA89F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w:t>
      </w:r>
      <w:r>
        <w:rPr>
          <w:rFonts w:hint="eastAsia" w:ascii="宋体" w:hAnsi="宋体"/>
          <w:color w:val="000000"/>
          <w:sz w:val="22"/>
          <w:szCs w:val="22"/>
          <w:lang w:eastAsia="zh-CN"/>
        </w:rPr>
        <w:t>中标</w:t>
      </w:r>
      <w:r>
        <w:rPr>
          <w:rFonts w:hint="eastAsia" w:ascii="宋体" w:hAnsi="宋体"/>
          <w:color w:val="000000"/>
          <w:sz w:val="22"/>
          <w:szCs w:val="22"/>
        </w:rPr>
        <w:t>供应商在收到采购人订货要求后，在承诺的供货时间内不能供货的；</w:t>
      </w:r>
    </w:p>
    <w:p w14:paraId="6A563DD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w:t>
      </w:r>
      <w:r>
        <w:rPr>
          <w:rFonts w:hint="eastAsia" w:ascii="宋体" w:hAnsi="宋体"/>
          <w:color w:val="000000"/>
          <w:sz w:val="22"/>
          <w:szCs w:val="22"/>
          <w:lang w:eastAsia="zh-CN"/>
        </w:rPr>
        <w:t>中标</w:t>
      </w:r>
      <w:r>
        <w:rPr>
          <w:rFonts w:hint="eastAsia" w:ascii="宋体" w:hAnsi="宋体"/>
          <w:color w:val="000000"/>
          <w:sz w:val="22"/>
          <w:szCs w:val="22"/>
        </w:rPr>
        <w:t>供应商未能提供承诺的服务的。</w:t>
      </w:r>
    </w:p>
    <w:p w14:paraId="3DB5C11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1.2.11、</w:t>
      </w:r>
      <w:r>
        <w:rPr>
          <w:rFonts w:hint="eastAsia" w:ascii="宋体" w:hAnsi="宋体"/>
          <w:color w:val="000000"/>
          <w:sz w:val="22"/>
          <w:szCs w:val="22"/>
          <w:lang w:eastAsia="zh-CN"/>
        </w:rPr>
        <w:t>中标</w:t>
      </w:r>
      <w:r>
        <w:rPr>
          <w:rFonts w:hint="eastAsia" w:ascii="宋体" w:hAnsi="宋体"/>
          <w:color w:val="000000"/>
          <w:sz w:val="22"/>
          <w:szCs w:val="22"/>
        </w:rPr>
        <w:t>供应商所提供的货物在保质期出现损坏或变质的，</w:t>
      </w:r>
      <w:r>
        <w:rPr>
          <w:rFonts w:hint="eastAsia" w:ascii="宋体" w:hAnsi="宋体"/>
          <w:color w:val="000000"/>
          <w:sz w:val="22"/>
          <w:szCs w:val="22"/>
          <w:lang w:eastAsia="zh-CN"/>
        </w:rPr>
        <w:t>中标</w:t>
      </w:r>
      <w:r>
        <w:rPr>
          <w:rFonts w:hint="eastAsia" w:ascii="宋体" w:hAnsi="宋体"/>
          <w:color w:val="000000"/>
          <w:sz w:val="22"/>
          <w:szCs w:val="22"/>
        </w:rPr>
        <w:t>供应商应承诺提供替换服务，因替换货物产生的费用由</w:t>
      </w:r>
      <w:r>
        <w:rPr>
          <w:rFonts w:hint="eastAsia" w:ascii="宋体" w:hAnsi="宋体"/>
          <w:color w:val="000000"/>
          <w:sz w:val="22"/>
          <w:szCs w:val="22"/>
          <w:lang w:eastAsia="zh-CN"/>
        </w:rPr>
        <w:t>中标</w:t>
      </w:r>
      <w:r>
        <w:rPr>
          <w:rFonts w:hint="eastAsia" w:ascii="宋体" w:hAnsi="宋体"/>
          <w:color w:val="000000"/>
          <w:sz w:val="22"/>
          <w:szCs w:val="22"/>
        </w:rPr>
        <w:t>供应商负责。</w:t>
      </w:r>
    </w:p>
    <w:p w14:paraId="3517BAA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1.2.12、</w:t>
      </w:r>
      <w:r>
        <w:rPr>
          <w:rFonts w:hint="eastAsia" w:ascii="宋体" w:hAnsi="宋体"/>
          <w:color w:val="000000"/>
          <w:sz w:val="22"/>
          <w:szCs w:val="22"/>
          <w:lang w:eastAsia="zh-CN"/>
        </w:rPr>
        <w:t>中标</w:t>
      </w:r>
      <w:r>
        <w:rPr>
          <w:rFonts w:hint="eastAsia" w:ascii="宋体" w:hAnsi="宋体"/>
          <w:color w:val="000000"/>
          <w:sz w:val="22"/>
          <w:szCs w:val="22"/>
        </w:rPr>
        <w:t>供应商指定的送货人员必须穿着便于辨认的工衣和配戴胸卡，送货人员行为必须严格遵守采购人各项规章制度，不得做出有损采购人形象和利益的事情。</w:t>
      </w:r>
    </w:p>
    <w:p w14:paraId="15C067C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1.2.13、</w:t>
      </w:r>
      <w:r>
        <w:rPr>
          <w:rFonts w:hint="eastAsia" w:ascii="宋体" w:hAnsi="宋体"/>
          <w:color w:val="000000"/>
          <w:sz w:val="22"/>
          <w:szCs w:val="22"/>
          <w:lang w:eastAsia="zh-CN"/>
        </w:rPr>
        <w:t>中标</w:t>
      </w:r>
      <w:r>
        <w:rPr>
          <w:rFonts w:hint="eastAsia" w:ascii="宋体" w:hAnsi="宋体"/>
          <w:color w:val="000000"/>
          <w:sz w:val="22"/>
          <w:szCs w:val="22"/>
        </w:rPr>
        <w:t>供应商在供应过程中，如果发生出现质量问题或造成食物中毒,如变质等情况，经查实后确属</w:t>
      </w:r>
      <w:r>
        <w:rPr>
          <w:rFonts w:hint="eastAsia" w:ascii="宋体" w:hAnsi="宋体"/>
          <w:color w:val="000000"/>
          <w:sz w:val="22"/>
          <w:szCs w:val="22"/>
          <w:lang w:eastAsia="zh-CN"/>
        </w:rPr>
        <w:t>中标</w:t>
      </w:r>
      <w:r>
        <w:rPr>
          <w:rFonts w:hint="eastAsia" w:ascii="宋体" w:hAnsi="宋体"/>
          <w:color w:val="000000"/>
          <w:sz w:val="22"/>
          <w:szCs w:val="22"/>
        </w:rPr>
        <w:t>供应商责任的，</w:t>
      </w:r>
      <w:r>
        <w:rPr>
          <w:rFonts w:hint="eastAsia" w:ascii="宋体" w:hAnsi="宋体"/>
          <w:color w:val="000000"/>
          <w:sz w:val="22"/>
          <w:szCs w:val="22"/>
          <w:lang w:eastAsia="zh-CN"/>
        </w:rPr>
        <w:t>中标</w:t>
      </w:r>
      <w:r>
        <w:rPr>
          <w:rFonts w:hint="eastAsia" w:ascii="宋体" w:hAnsi="宋体"/>
          <w:color w:val="000000"/>
          <w:sz w:val="22"/>
          <w:szCs w:val="22"/>
        </w:rPr>
        <w:t>供应商应承担全部责任，主要包括食物中 毒人员医疗费、误工费、事故处理费等。采购人将不退还履约保证金并终止合同，</w:t>
      </w:r>
      <w:r>
        <w:rPr>
          <w:rFonts w:hint="eastAsia" w:ascii="宋体" w:hAnsi="宋体"/>
          <w:color w:val="000000"/>
          <w:sz w:val="22"/>
          <w:szCs w:val="22"/>
          <w:lang w:eastAsia="zh-CN"/>
        </w:rPr>
        <w:t>中标</w:t>
      </w:r>
      <w:r>
        <w:rPr>
          <w:rFonts w:hint="eastAsia" w:ascii="宋体" w:hAnsi="宋体"/>
          <w:color w:val="000000"/>
          <w:sz w:val="22"/>
          <w:szCs w:val="22"/>
        </w:rPr>
        <w:t>供应商同时需承担相应的民事或刑事法律责任。</w:t>
      </w:r>
    </w:p>
    <w:p w14:paraId="2303BAE0">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1.2.14、因</w:t>
      </w:r>
      <w:r>
        <w:rPr>
          <w:rFonts w:hint="eastAsia" w:ascii="宋体" w:hAnsi="宋体"/>
          <w:color w:val="000000"/>
          <w:sz w:val="22"/>
          <w:szCs w:val="22"/>
          <w:lang w:eastAsia="zh-CN"/>
        </w:rPr>
        <w:t>中标</w:t>
      </w:r>
      <w:r>
        <w:rPr>
          <w:rFonts w:hint="eastAsia" w:ascii="宋体" w:hAnsi="宋体"/>
          <w:color w:val="000000"/>
          <w:sz w:val="22"/>
          <w:szCs w:val="22"/>
        </w:rPr>
        <w:t>供应商违法经营被行政主管部门处以停业整顿或取缔、或因经营不善造成不能正常提供食材的，采购人不退还全部履约保证金，并终止其合同关系。</w:t>
      </w:r>
    </w:p>
    <w:p w14:paraId="47E31A3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1.2.15、食材加工要求：</w:t>
      </w:r>
    </w:p>
    <w:p w14:paraId="6F8E6B1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（1）食材加工范围：包含但不限于切骨加工、鱼类去鳞加工、禽畜去头尾加工、大型瓜果（如：冬瓜等）去表皮等，具体按照采购人要求。</w:t>
      </w:r>
    </w:p>
    <w:p w14:paraId="59A5100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（2）食材加工形式：</w:t>
      </w:r>
      <w:r>
        <w:rPr>
          <w:rFonts w:hint="eastAsia" w:ascii="宋体" w:hAnsi="宋体"/>
          <w:color w:val="000000"/>
          <w:sz w:val="22"/>
          <w:szCs w:val="22"/>
          <w:lang w:eastAsia="zh-CN"/>
        </w:rPr>
        <w:t>中标</w:t>
      </w:r>
      <w:r>
        <w:rPr>
          <w:rFonts w:hint="eastAsia" w:ascii="宋体" w:hAnsi="宋体"/>
          <w:color w:val="000000"/>
          <w:sz w:val="22"/>
          <w:szCs w:val="22"/>
        </w:rPr>
        <w:t>供应商派遣足够加工人员到采购人现场进行食材加工，加工人员应随食材同时到达采购人指定收货地点。所有加工刀具设备由</w:t>
      </w:r>
      <w:r>
        <w:rPr>
          <w:rFonts w:hint="eastAsia" w:ascii="宋体" w:hAnsi="宋体"/>
          <w:color w:val="000000"/>
          <w:sz w:val="22"/>
          <w:szCs w:val="22"/>
          <w:lang w:eastAsia="zh-CN"/>
        </w:rPr>
        <w:t>中标</w:t>
      </w:r>
      <w:r>
        <w:rPr>
          <w:rFonts w:hint="eastAsia" w:ascii="宋体" w:hAnsi="宋体"/>
          <w:color w:val="000000"/>
          <w:sz w:val="22"/>
          <w:szCs w:val="22"/>
        </w:rPr>
        <w:t>供应商自行准备，采购人只提供有限水源、电源等基本设施。</w:t>
      </w:r>
    </w:p>
    <w:p w14:paraId="3FB9D27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（3）食材加工时间：每次食材加工时间（完成当次送达的食材加工）不超过2小时。</w:t>
      </w:r>
    </w:p>
    <w:p w14:paraId="208C5C7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1.2.16、供应商为食品公共安全购买食品公共安全责任保险。</w:t>
      </w:r>
    </w:p>
    <w:p w14:paraId="7B5FD7B8">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1.3货物质量及运输要求</w:t>
      </w:r>
    </w:p>
    <w:p w14:paraId="6EE7C41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1.3.1、肉类（含生鲜肉、冻肉）、水产类、水果及油米质量要求</w:t>
      </w:r>
    </w:p>
    <w:p w14:paraId="5991E4D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供应产品质量要求:</w:t>
      </w:r>
    </w:p>
    <w:p w14:paraId="7AF2902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1.3.1.1、所供货物应保持较好的外观和质量等级，符合国家食品部门的有关标准，保证无异味、无霉烂变质；</w:t>
      </w:r>
    </w:p>
    <w:p w14:paraId="36D0083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1.3.1.2、所有货物必须各项质量技术指标完全符合国家有关质量检测、环保标准及产品出厂标准。</w:t>
      </w:r>
    </w:p>
    <w:p w14:paraId="4F754308">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1.3.1.3、每批鲜猪肉、猪骨、牛肉等肉类必须是来源于正规肉屠宰场，每次交货时提供本批次产品的出厂（库）检验合格证明（随车同行）：《产品合格证》、《卫生检疫报告》。新鲜肉确保每日新鲜，为当天正规屠宰场宰杀的新鲜肉。每批鲜肉也可以是政府指定的肉联厂发出的鲜肉并提供动物检疫合格证复印件（验收货物时</w:t>
      </w:r>
      <w:r>
        <w:rPr>
          <w:rFonts w:hint="eastAsia" w:ascii="宋体" w:hAnsi="宋体"/>
          <w:color w:val="000000"/>
          <w:sz w:val="22"/>
          <w:szCs w:val="22"/>
          <w:lang w:eastAsia="zh-CN"/>
        </w:rPr>
        <w:t>中标</w:t>
      </w:r>
      <w:r>
        <w:rPr>
          <w:rFonts w:hint="eastAsia" w:ascii="宋体" w:hAnsi="宋体"/>
          <w:color w:val="000000"/>
          <w:sz w:val="22"/>
          <w:szCs w:val="22"/>
        </w:rPr>
        <w:t>供应商需应采购人要求提供原件以备检查），并注明保鲜期。</w:t>
      </w:r>
    </w:p>
    <w:p w14:paraId="03724ECD">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★1.3.1.4、</w:t>
      </w:r>
      <w:r>
        <w:rPr>
          <w:rFonts w:hint="eastAsia" w:ascii="宋体" w:hAnsi="宋体"/>
          <w:color w:val="000000"/>
          <w:sz w:val="22"/>
          <w:szCs w:val="22"/>
          <w:lang w:eastAsia="zh-CN"/>
        </w:rPr>
        <w:t>中标</w:t>
      </w:r>
      <w:r>
        <w:rPr>
          <w:rFonts w:hint="eastAsia" w:ascii="宋体" w:hAnsi="宋体"/>
          <w:color w:val="000000"/>
          <w:sz w:val="22"/>
          <w:szCs w:val="22"/>
        </w:rPr>
        <w:t>供应商提供的新鲜鱼类必须以活鱼交由采购人验收。如采购人有要求，</w:t>
      </w:r>
      <w:r>
        <w:rPr>
          <w:rFonts w:hint="eastAsia" w:ascii="宋体" w:hAnsi="宋体"/>
          <w:color w:val="000000"/>
          <w:sz w:val="22"/>
          <w:szCs w:val="22"/>
          <w:lang w:eastAsia="zh-CN"/>
        </w:rPr>
        <w:t>中标</w:t>
      </w:r>
      <w:r>
        <w:rPr>
          <w:rFonts w:hint="eastAsia" w:ascii="宋体" w:hAnsi="宋体"/>
          <w:color w:val="000000"/>
          <w:sz w:val="22"/>
          <w:szCs w:val="22"/>
        </w:rPr>
        <w:t>供应商须指派人员在验收现场进行屠宰。（供应商需针对本项内容提承诺函并加盖供应商公章，承诺函格式自拟。）</w:t>
      </w:r>
    </w:p>
    <w:p w14:paraId="1E1F1E2D">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1.3.1.5、冷冻禽类食品解冻后净重量不少于90％（含），冷冻肉类食品解冻后净重量不少于 92%（含），冷冻水产类食品解冻后净重量不少于82%（含），解冻时间为 4 小时以内（室温20℃）。所有冷冻食品要求清晰列出产品品牌、规格、类型、包装方式、包装净重、含冰量、生产日期、保质期等相关参数，有使用有效期的货品，其剩余有效期不得少于标注有效期的60%。</w:t>
      </w:r>
    </w:p>
    <w:p w14:paraId="7F0A0CA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1.3.1.6、生猪（毛猪）具体要求</w:t>
      </w:r>
    </w:p>
    <w:p w14:paraId="32C360D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（1）必须符合国家有关动物检验、检疫标准，不含瘦肉精，无哮喘、无烂猪蹄、无外伤等伤病的健康生猪；</w:t>
      </w:r>
    </w:p>
    <w:p w14:paraId="270CB4E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（2）每只体重介于180-220斤之间；</w:t>
      </w:r>
    </w:p>
    <w:p w14:paraId="47A573F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（3）若为母猪，必须为未产崽的；</w:t>
      </w:r>
    </w:p>
    <w:p w14:paraId="1B0441EE">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（4）每批次产品必须具有有效的《出县境动物产品检疫合格证》/《动物产品检疫合格证》。</w:t>
      </w:r>
    </w:p>
    <w:p w14:paraId="0E12A24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1.3.1.7、水产类的品质要求:</w:t>
      </w:r>
    </w:p>
    <w:p w14:paraId="1F07791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（1）鲜鱼鳞片完整，有光泽无脱落，鳃口紧闭，眼球光亮透明，鱼鳃鲜红，鳍尾完 整，确保皮肤天然色泽明显。</w:t>
      </w:r>
    </w:p>
    <w:p w14:paraId="6CF40C2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（2）鱼体饱满结实、新鲜，无腐异味，肉质紧密有弹性，无离骨脱刺现象。</w:t>
      </w:r>
    </w:p>
    <w:p w14:paraId="6B83755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（3）鲜鱼类来源可靠放心，无毒、无害、无污染。</w:t>
      </w:r>
    </w:p>
    <w:p w14:paraId="0BE4387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（4）鲜活类要求游动活泼，鱼体健康，体态匀称，体色鲜明，体表光滑，眼睛亮丽， 鳞片鳍条完好。</w:t>
      </w:r>
    </w:p>
    <w:p w14:paraId="329766A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1.3.1.8、所有的肉类为非转基因食品。</w:t>
      </w:r>
    </w:p>
    <w:p w14:paraId="1DF0A85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1.3.1.9、食品供应链要求：所有提供的货物必须具有可溯源的合法票证。</w:t>
      </w:r>
    </w:p>
    <w:p w14:paraId="0522B85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1.3.1.10、供应商或其长期合作方须具有肉菜加工车间，车间设计与设施的卫生符合《食品安全国家标准 畜禽屠宰加工卫生规范》GB 12694-2016</w:t>
      </w:r>
    </w:p>
    <w:p w14:paraId="0AF2330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1.3.2、蔬菜质量要求</w:t>
      </w:r>
    </w:p>
    <w:p w14:paraId="489A4E6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1.3.2.1、</w:t>
      </w:r>
      <w:r>
        <w:rPr>
          <w:rFonts w:hint="eastAsia" w:ascii="宋体" w:hAnsi="宋体"/>
          <w:color w:val="000000"/>
          <w:sz w:val="22"/>
          <w:szCs w:val="22"/>
          <w:lang w:eastAsia="zh-CN"/>
        </w:rPr>
        <w:t>中标</w:t>
      </w:r>
      <w:r>
        <w:rPr>
          <w:rFonts w:hint="eastAsia" w:ascii="宋体" w:hAnsi="宋体"/>
          <w:color w:val="000000"/>
          <w:sz w:val="22"/>
          <w:szCs w:val="22"/>
        </w:rPr>
        <w:t>供应商每天的供应按采购人提出的品种要求和计划数量进行供应。属季节问题，若出现品种不能满足采购人需求的情况，可与采购人协商调换相应类别的品种（按叶菜、瓜菜等进行分类）。</w:t>
      </w:r>
    </w:p>
    <w:p w14:paraId="09481BC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1.3.2.2、货物质量要求</w:t>
      </w:r>
    </w:p>
    <w:p w14:paraId="11181BA2">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（1)所有蔬菜在交付采购人前必须经过前期处理，使用率达到95%（含）以上。</w:t>
      </w:r>
    </w:p>
    <w:p w14:paraId="10ECD47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（2）所有的蔬菜为非转基因。所有蔬菜必须保证每日新鲜，且取得无公害认证优先选择，符合食品卫生安全法要求并出具有效的《农产品检验报告》，如含量超标要求</w:t>
      </w:r>
      <w:r>
        <w:rPr>
          <w:rFonts w:hint="eastAsia" w:ascii="宋体" w:hAnsi="宋体"/>
          <w:color w:val="000000"/>
          <w:sz w:val="22"/>
          <w:szCs w:val="22"/>
          <w:lang w:eastAsia="zh-CN"/>
        </w:rPr>
        <w:t>中标</w:t>
      </w:r>
      <w:r>
        <w:rPr>
          <w:rFonts w:hint="eastAsia" w:ascii="宋体" w:hAnsi="宋体"/>
          <w:color w:val="000000"/>
          <w:sz w:val="22"/>
          <w:szCs w:val="22"/>
        </w:rPr>
        <w:t>供应商无条件退货或换货。</w:t>
      </w:r>
    </w:p>
    <w:p w14:paraId="79FE7200">
      <w:pPr>
        <w:wordWrap w:val="0"/>
        <w:spacing w:before="162" w:beforeLines="50" w:after="162" w:afterLines="50" w:line="360" w:lineRule="exact"/>
        <w:ind w:firstLine="425" w:firstLineChars="190"/>
        <w:rPr>
          <w:b/>
          <w:color w:val="000000"/>
          <w:sz w:val="22"/>
          <w:szCs w:val="22"/>
        </w:rPr>
      </w:pPr>
      <w:r>
        <w:rPr>
          <w:rFonts w:hint="eastAsia" w:ascii="宋体" w:hAnsi="宋体"/>
          <w:color w:val="000000"/>
          <w:sz w:val="22"/>
          <w:szCs w:val="22"/>
        </w:rPr>
        <w:t>（3）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51BCD61E">
      <w:pPr>
        <w:spacing w:line="440" w:lineRule="exact"/>
        <w:ind w:firstLine="488" w:firstLineChars="200"/>
        <w:jc w:val="center"/>
        <w:rPr>
          <w:rFonts w:ascii="宋体" w:hAnsi="宋体" w:cs="宋体"/>
          <w:b/>
          <w:bCs/>
          <w:color w:val="000000"/>
          <w:sz w:val="24"/>
        </w:rPr>
      </w:pPr>
      <w:r>
        <w:rPr>
          <w:rFonts w:hint="eastAsia" w:ascii="宋体" w:hAnsi="宋体" w:cs="宋体"/>
          <w:b/>
          <w:bCs/>
          <w:color w:val="000000"/>
          <w:sz w:val="24"/>
        </w:rPr>
        <w:t>蔬菜新鲜度的标准</w:t>
      </w:r>
    </w:p>
    <w:tbl>
      <w:tblPr>
        <w:tblStyle w:val="27"/>
        <w:tblW w:w="8736" w:type="dxa"/>
        <w:jc w:val="center"/>
        <w:tblLayout w:type="fixed"/>
        <w:tblCellMar>
          <w:top w:w="0" w:type="dxa"/>
          <w:left w:w="108" w:type="dxa"/>
          <w:bottom w:w="0" w:type="dxa"/>
          <w:right w:w="108" w:type="dxa"/>
        </w:tblCellMar>
      </w:tblPr>
      <w:tblGrid>
        <w:gridCol w:w="1455"/>
        <w:gridCol w:w="7281"/>
      </w:tblGrid>
      <w:tr w14:paraId="5197B3A5">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A4DFD64">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b/>
                <w:color w:val="000000"/>
                <w:sz w:val="22"/>
              </w:rPr>
              <w:t>项目</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33B0ED93">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b/>
                <w:color w:val="000000"/>
                <w:sz w:val="22"/>
              </w:rPr>
              <w:t>标准</w:t>
            </w:r>
          </w:p>
        </w:tc>
      </w:tr>
      <w:tr w14:paraId="4DB822A2">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3192832">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水量</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065282F7">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充足、但无过份萎蔫、皱皮。</w:t>
            </w:r>
          </w:p>
        </w:tc>
      </w:tr>
      <w:tr w14:paraId="4CB9BB4E">
        <w:tblPrEx>
          <w:tblCellMar>
            <w:top w:w="0" w:type="dxa"/>
            <w:left w:w="108" w:type="dxa"/>
            <w:bottom w:w="0" w:type="dxa"/>
            <w:right w:w="108" w:type="dxa"/>
          </w:tblCellMar>
        </w:tblPrEx>
        <w:trPr>
          <w:trHeight w:val="57" w:hRule="atLeast"/>
          <w:jc w:val="center"/>
        </w:trPr>
        <w:tc>
          <w:tcPr>
            <w:tcW w:w="1455" w:type="dxa"/>
            <w:tcBorders>
              <w:top w:val="single" w:color="000000" w:sz="8" w:space="0"/>
              <w:left w:val="single" w:color="000000" w:sz="4" w:space="0"/>
              <w:bottom w:val="single" w:color="000000" w:sz="4" w:space="0"/>
              <w:right w:val="single" w:color="000000" w:sz="4" w:space="0"/>
            </w:tcBorders>
            <w:noWrap w:val="0"/>
            <w:vAlign w:val="top"/>
          </w:tcPr>
          <w:p w14:paraId="2D4C8E13">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色泽</w:t>
            </w:r>
          </w:p>
        </w:tc>
        <w:tc>
          <w:tcPr>
            <w:tcW w:w="7281" w:type="dxa"/>
            <w:tcBorders>
              <w:top w:val="single" w:color="000000" w:sz="8" w:space="0"/>
              <w:left w:val="single" w:color="000000" w:sz="4" w:space="0"/>
              <w:bottom w:val="single" w:color="000000" w:sz="4" w:space="0"/>
              <w:right w:val="single" w:color="000000" w:sz="4" w:space="0"/>
            </w:tcBorders>
            <w:noWrap w:val="0"/>
            <w:vAlign w:val="top"/>
          </w:tcPr>
          <w:p w14:paraId="381900CB">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正常、无变色、光泽、学亮鲜艳。</w:t>
            </w:r>
          </w:p>
        </w:tc>
      </w:tr>
      <w:tr w14:paraId="31B8BF29">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79EC72F2">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硬度</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6E57E2F5">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叶菜挺立、瓜菜饱满、结实、无空心、根菜略硬。</w:t>
            </w:r>
          </w:p>
        </w:tc>
      </w:tr>
      <w:tr w14:paraId="77050504">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76A4FF2C">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机械伤</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14C1B33D">
            <w:pPr>
              <w:pStyle w:val="79"/>
              <w:kinsoku w:val="0"/>
              <w:overflowPunct w:val="0"/>
              <w:spacing w:line="440" w:lineRule="exact"/>
              <w:jc w:val="center"/>
              <w:rPr>
                <w:rFonts w:ascii="宋体" w:hAnsi="宋体" w:eastAsia="宋体" w:cs="宋体"/>
                <w:color w:val="000000"/>
                <w:spacing w:val="2"/>
                <w:sz w:val="22"/>
                <w:lang w:eastAsia="zh-CN"/>
              </w:rPr>
            </w:pPr>
            <w:r>
              <w:rPr>
                <w:rFonts w:hint="eastAsia" w:ascii="宋体" w:hAnsi="宋体" w:eastAsia="宋体" w:cs="宋体"/>
                <w:color w:val="000000"/>
                <w:spacing w:val="2"/>
                <w:sz w:val="22"/>
                <w:lang w:eastAsia="zh-CN"/>
              </w:rPr>
              <w:t>相同新鲜条件下无外力造成伤害：挤伤、压伤、碰伤切口、</w:t>
            </w:r>
            <w:r>
              <w:rPr>
                <w:rFonts w:hint="eastAsia" w:ascii="宋体" w:hAnsi="宋体" w:eastAsia="宋体" w:cs="宋体"/>
                <w:color w:val="000000"/>
                <w:sz w:val="22"/>
                <w:lang w:eastAsia="zh-CN"/>
              </w:rPr>
              <w:t>裂伤等。</w:t>
            </w:r>
          </w:p>
        </w:tc>
      </w:tr>
      <w:tr w14:paraId="26C82AF5">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024E35C3">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病虫害</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60237907">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无虫害、虫嗑、无残虫卵。</w:t>
            </w:r>
          </w:p>
        </w:tc>
      </w:tr>
      <w:tr w14:paraId="57BB31E7">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79DAD684">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形状</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50E6E2DD">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枝叶丰满、大小适中、曲线谐调。</w:t>
            </w:r>
          </w:p>
        </w:tc>
      </w:tr>
      <w:tr w14:paraId="2B653E0B">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CD94FF0">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成熟度</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3B1E27C4">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适中、无未熟过识、腐烂。</w:t>
            </w:r>
          </w:p>
        </w:tc>
      </w:tr>
      <w:tr w14:paraId="33BE79F1">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5FFD742A">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污染</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2E75A430">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无污染、残留农药、运输造成的污染。</w:t>
            </w:r>
          </w:p>
        </w:tc>
      </w:tr>
      <w:tr w14:paraId="75B4A74D">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7979DF21">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有包装的菜</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12E87BB5">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应完整、干净。</w:t>
            </w:r>
          </w:p>
        </w:tc>
      </w:tr>
      <w:tr w14:paraId="1F59C3C2">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7836E1B">
            <w:pPr>
              <w:pStyle w:val="79"/>
              <w:kinsoku w:val="0"/>
              <w:overflowPunct w:val="0"/>
              <w:spacing w:line="440" w:lineRule="exact"/>
              <w:jc w:val="center"/>
              <w:rPr>
                <w:rFonts w:ascii="宋体" w:hAnsi="宋体" w:eastAsia="宋体" w:cs="宋体"/>
                <w:color w:val="000000"/>
                <w:sz w:val="22"/>
              </w:rPr>
            </w:pPr>
            <w:r>
              <w:rPr>
                <w:rFonts w:hint="eastAsia" w:ascii="宋体" w:hAnsi="宋体" w:eastAsia="宋体" w:cs="宋体"/>
                <w:color w:val="000000"/>
                <w:sz w:val="22"/>
              </w:rPr>
              <w:t>重量</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3E1DADB4">
            <w:pPr>
              <w:pStyle w:val="79"/>
              <w:kinsoku w:val="0"/>
              <w:overflowPunct w:val="0"/>
              <w:spacing w:line="440" w:lineRule="exact"/>
              <w:jc w:val="center"/>
              <w:rPr>
                <w:rFonts w:ascii="宋体" w:hAnsi="宋体" w:eastAsia="宋体" w:cs="宋体"/>
                <w:color w:val="000000"/>
                <w:sz w:val="22"/>
                <w:lang w:eastAsia="zh-CN"/>
              </w:rPr>
            </w:pPr>
            <w:r>
              <w:rPr>
                <w:rFonts w:hint="eastAsia" w:ascii="宋体" w:hAnsi="宋体" w:eastAsia="宋体" w:cs="宋体"/>
                <w:color w:val="000000"/>
                <w:sz w:val="22"/>
                <w:lang w:eastAsia="zh-CN"/>
              </w:rPr>
              <w:t>供菜重量须达到采购人的供货需求重量。</w:t>
            </w:r>
          </w:p>
        </w:tc>
      </w:tr>
    </w:tbl>
    <w:p w14:paraId="23303D3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1.3.2.3、供应和管理要求</w:t>
      </w:r>
    </w:p>
    <w:p w14:paraId="261D189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（1)蔬菜供应的品种安排（分主菜和配菜）</w:t>
      </w:r>
    </w:p>
    <w:p w14:paraId="3EA394A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①配菜品种按采购人计划和要求的品种供应；</w:t>
      </w:r>
    </w:p>
    <w:p w14:paraId="795A41D2">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②主菜品种由采购人和</w:t>
      </w:r>
      <w:r>
        <w:rPr>
          <w:rFonts w:hint="eastAsia" w:ascii="宋体" w:hAnsi="宋体"/>
          <w:color w:val="000000"/>
          <w:sz w:val="22"/>
          <w:szCs w:val="22"/>
          <w:lang w:eastAsia="zh-CN"/>
        </w:rPr>
        <w:t>中标</w:t>
      </w:r>
      <w:r>
        <w:rPr>
          <w:rFonts w:hint="eastAsia" w:ascii="宋体" w:hAnsi="宋体"/>
          <w:color w:val="000000"/>
          <w:sz w:val="22"/>
          <w:szCs w:val="22"/>
        </w:rPr>
        <w:t>供应商根据季节安排，但要确保每周有3个品种或以上，每个品种不多于2次（含），6-9月叶菜类≥30％（含），其余时间叶菜类≥50％（含）。</w:t>
      </w:r>
    </w:p>
    <w:p w14:paraId="28FF9883">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（2)蔬菜包装与标志要求：包装。容器(框、箱、袋)要求清洁、干燥、牢固、透气， 无污染、无异味、无霉变现象、标志。每件包装必须按《农产品包装和标识管理办法》贴标签，并标明产地、品种、净含量、生产单位及地址和采收日期，有使用有效期的货品，其剩余有效期≥标注有效期的60%。</w:t>
      </w:r>
    </w:p>
    <w:p w14:paraId="2FA13F23">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（3)食品供应链要求：所有提供的货物必须具有可溯源的合法票证。</w:t>
      </w:r>
    </w:p>
    <w:p w14:paraId="697EE7ED">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（4)蔬菜卫生质量要求符合GB-2763食品中农药最大残留限量。</w:t>
      </w:r>
    </w:p>
    <w:p w14:paraId="1970455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（5)抽查发现食品安全质量问题的处理：</w:t>
      </w:r>
    </w:p>
    <w:p w14:paraId="6DE5505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①对危及人身安全的食品质量问题采取零容忍措施，一经发现，当日所送同批次产品全部退货，如产品中发现农药残留超标，腐败变质等。</w:t>
      </w:r>
    </w:p>
    <w:p w14:paraId="0811CE0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②若抽查未发现问题，而在加工食用前发现部分产品质量问题，应立即通知各单位伙食物资验收小组及</w:t>
      </w:r>
      <w:r>
        <w:rPr>
          <w:rFonts w:hint="eastAsia" w:ascii="宋体" w:hAnsi="宋体"/>
          <w:color w:val="000000"/>
          <w:sz w:val="22"/>
          <w:szCs w:val="22"/>
          <w:lang w:eastAsia="zh-CN"/>
        </w:rPr>
        <w:t>中标</w:t>
      </w:r>
      <w:r>
        <w:rPr>
          <w:rFonts w:hint="eastAsia" w:ascii="宋体" w:hAnsi="宋体"/>
          <w:color w:val="000000"/>
          <w:sz w:val="22"/>
          <w:szCs w:val="22"/>
        </w:rPr>
        <w:t>供应商，将问题产品退货处理。</w:t>
      </w:r>
    </w:p>
    <w:p w14:paraId="4D865F2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（6)不得提供其他违反食品安全法要求的货物。</w:t>
      </w:r>
    </w:p>
    <w:p w14:paraId="3B25A49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（7）供应商自有农药、抗生素和激素等外源物质检测设备，能对拟配送的菜品进行外源物质残留含量检测，检测方法与检测数据应符合食品安全国家标准。</w:t>
      </w:r>
    </w:p>
    <w:p w14:paraId="077D4B3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（8）供应商或其长期合作方须具有肉菜加工车间，车间设计与设施的卫生符合《食品安全国家标准畜禽屠宰加工卫生规范》GB 12694-2016。</w:t>
      </w:r>
    </w:p>
    <w:p w14:paraId="2629EAB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1.3.3、水果质量要求</w:t>
      </w:r>
    </w:p>
    <w:p w14:paraId="39F98C9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1.3.3.1符合国家食品药品管理法规或标准，不得腐烂和泥沙等现象。</w:t>
      </w:r>
    </w:p>
    <w:p w14:paraId="14411900">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1.3.3.2应保持较好的色泽和新鲜度。</w:t>
      </w:r>
    </w:p>
    <w:p w14:paraId="163581E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1.3.3.3无公害、农药残留不得超标，提供农药残留检测证明。</w:t>
      </w:r>
    </w:p>
    <w:p w14:paraId="3CBD901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1.3.3.4新鲜水份充足，无公害，无空壳，皱皮，干涩现象；色泽：新艳，光亮，无变色；硬度：饱满，充实，软硬适中；相同新鲜条件下无外力造成的伤害，如：挤伤、压伤、碰伤、切口，裂伤等；病虫害：无不良病虫害，表面，中间无虫卵遗留，无虫眼；形状：曲线谐调，外形优美，果实硕大，无不良图案及异状；成熟度：适中，无过熟，未熟现象；污染：无污染残留农药，未被有害物质污染，对人体健康有害的，保证供应的货品能溯源、易溯源的。</w:t>
      </w:r>
    </w:p>
    <w:p w14:paraId="29A6544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1.3.4、粮油及调味品质量要求</w:t>
      </w:r>
    </w:p>
    <w:p w14:paraId="73E0013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1.3.4.1</w:t>
      </w:r>
      <w:r>
        <w:rPr>
          <w:rFonts w:hint="eastAsia" w:ascii="宋体" w:hAnsi="宋体"/>
          <w:color w:val="000000"/>
          <w:sz w:val="22"/>
          <w:szCs w:val="22"/>
          <w:lang w:eastAsia="zh-CN"/>
        </w:rPr>
        <w:t>中标</w:t>
      </w:r>
      <w:r>
        <w:rPr>
          <w:rFonts w:hint="eastAsia" w:ascii="宋体" w:hAnsi="宋体"/>
          <w:color w:val="000000"/>
          <w:sz w:val="22"/>
          <w:szCs w:val="22"/>
        </w:rPr>
        <w:t>供应商必须保证供应的货品符合卫生，无腐烂、变质、油脂酸败、霉变、生虫、污秽不洁、混有异物或者其他感官性状异常，并可能对人体健康有害的物质，且均为非转基因，无霉变，无重金属超标现象的调味品、粮油类产品，食品添加剂应符合GB2760的规定，并附具供货当天有效的品质检验合格标志以及标明产品品名、产地、生产者、生产日期、保质期等内容的产品标识；特殊情况下，经采购人同意，可供应合格的调味品、粮油批发市场提供的调味品、粮油类产品，但须附有批发市场名称、销售档口、联系电话等追溯标识；</w:t>
      </w:r>
    </w:p>
    <w:p w14:paraId="6619464E">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1.3.4.2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w:t>
      </w:r>
      <w:r>
        <w:rPr>
          <w:rFonts w:hint="eastAsia" w:ascii="宋体" w:hAnsi="宋体"/>
          <w:color w:val="000000"/>
          <w:sz w:val="22"/>
          <w:szCs w:val="22"/>
          <w:lang w:eastAsia="zh-CN"/>
        </w:rPr>
        <w:t>中标</w:t>
      </w:r>
      <w:r>
        <w:rPr>
          <w:rFonts w:hint="eastAsia" w:ascii="宋体" w:hAnsi="宋体"/>
          <w:color w:val="000000"/>
          <w:sz w:val="22"/>
          <w:szCs w:val="22"/>
        </w:rPr>
        <w:t>供应商所提供产品质量必须要符合行业标准要求，不得有掺假、变质、变味、过期等现象出现，严禁伪劣、假冒、无证不合格物品进入仓库。</w:t>
      </w:r>
    </w:p>
    <w:p w14:paraId="6864FD6D">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1.3.4.3</w:t>
      </w:r>
      <w:r>
        <w:rPr>
          <w:rFonts w:hint="eastAsia" w:ascii="宋体" w:hAnsi="宋体"/>
          <w:color w:val="000000"/>
          <w:sz w:val="22"/>
          <w:szCs w:val="22"/>
          <w:lang w:eastAsia="zh-CN"/>
        </w:rPr>
        <w:t>中标</w:t>
      </w:r>
      <w:r>
        <w:rPr>
          <w:rFonts w:hint="eastAsia" w:ascii="宋体" w:hAnsi="宋体"/>
          <w:color w:val="000000"/>
          <w:sz w:val="22"/>
          <w:szCs w:val="22"/>
        </w:rPr>
        <w:t>供应商在供应过程中，如果发生出现质量问题或造成食物中毒，如变质等情况，经查实后确属</w:t>
      </w:r>
      <w:r>
        <w:rPr>
          <w:rFonts w:hint="eastAsia" w:ascii="宋体" w:hAnsi="宋体"/>
          <w:color w:val="000000"/>
          <w:sz w:val="22"/>
          <w:szCs w:val="22"/>
          <w:lang w:eastAsia="zh-CN"/>
        </w:rPr>
        <w:t>中标</w:t>
      </w:r>
      <w:r>
        <w:rPr>
          <w:rFonts w:hint="eastAsia" w:ascii="宋体" w:hAnsi="宋体"/>
          <w:color w:val="000000"/>
          <w:sz w:val="22"/>
          <w:szCs w:val="22"/>
        </w:rPr>
        <w:t>供应商责任，</w:t>
      </w:r>
      <w:r>
        <w:rPr>
          <w:rFonts w:hint="eastAsia" w:ascii="宋体" w:hAnsi="宋体"/>
          <w:color w:val="000000"/>
          <w:sz w:val="22"/>
          <w:szCs w:val="22"/>
          <w:lang w:eastAsia="zh-CN"/>
        </w:rPr>
        <w:t>中标</w:t>
      </w:r>
      <w:r>
        <w:rPr>
          <w:rFonts w:hint="eastAsia" w:ascii="宋体" w:hAnsi="宋体"/>
          <w:color w:val="000000"/>
          <w:sz w:val="22"/>
          <w:szCs w:val="22"/>
        </w:rPr>
        <w:t>供应商应承担全部责任，主要包括食物中毒人员医疗费、误工费、事故处理费等，直至追究刑事责任。</w:t>
      </w:r>
    </w:p>
    <w:p w14:paraId="197AA64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1.3.4.4执行标准：</w:t>
      </w:r>
    </w:p>
    <w:p w14:paraId="63497B0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1.3.4.4.1米类执行标准：</w:t>
      </w:r>
    </w:p>
    <w:p w14:paraId="33D91A02">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（1）GB/T 1354-2018　 标准一等米 不含添加剂</w:t>
      </w:r>
    </w:p>
    <w:p w14:paraId="1B6614A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（2）大米的质量标准：除符合标准一等米外，要求：</w:t>
      </w:r>
    </w:p>
    <w:p w14:paraId="3589DDE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碎米总量≤17%   （国家标准：≤35%）</w:t>
      </w:r>
    </w:p>
    <w:p w14:paraId="4F92932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小碎米总量≤2%  （国家标准：≤2.5%）</w:t>
      </w:r>
    </w:p>
    <w:p w14:paraId="62BF3C36">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不完善粒≤3.5%   （国家标准：≤4.0%）</w:t>
      </w:r>
    </w:p>
    <w:p w14:paraId="2CB4F2A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黄米粒按国家标准执行 。</w:t>
      </w:r>
    </w:p>
    <w:p w14:paraId="3B837DE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（3）油类执行标准：ＳＢ｜T 10292-1998</w:t>
      </w:r>
    </w:p>
    <w:p w14:paraId="0D36A9E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1.3.4.5油类质量要求：</w:t>
      </w:r>
    </w:p>
    <w:p w14:paraId="213B3403">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 真菌毒素：黄曲霉毒素B1（5μg/kg～20μg/kg）、脱氧雪腐镰刀菌烯醇（≤1000μg/kg）、玉米赤霉烯酮（≤60μg/kg）、赭曲霉毒素A（5μg/kg）。重金属污染物：铅（≤0.2mg/kg）、镉(0.1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w:t>
      </w:r>
    </w:p>
    <w:p w14:paraId="6864D53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1.4、配送及配套服务</w:t>
      </w:r>
    </w:p>
    <w:p w14:paraId="72A23E2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1.4.1、</w:t>
      </w:r>
      <w:r>
        <w:rPr>
          <w:rFonts w:hint="eastAsia" w:ascii="宋体" w:hAnsi="宋体"/>
          <w:color w:val="000000"/>
          <w:sz w:val="22"/>
          <w:szCs w:val="22"/>
          <w:lang w:eastAsia="zh-CN"/>
        </w:rPr>
        <w:t>中标</w:t>
      </w:r>
      <w:r>
        <w:rPr>
          <w:rFonts w:hint="eastAsia" w:ascii="宋体" w:hAnsi="宋体"/>
          <w:color w:val="000000"/>
          <w:sz w:val="22"/>
          <w:szCs w:val="22"/>
        </w:rPr>
        <w:t>供应商根据采购人实际要求运送货物，按采购人要求进行加工。</w:t>
      </w:r>
    </w:p>
    <w:p w14:paraId="37373E34">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1.4.2、采购人提前一天向</w:t>
      </w:r>
      <w:r>
        <w:rPr>
          <w:rFonts w:hint="eastAsia" w:ascii="宋体" w:hAnsi="宋体"/>
          <w:color w:val="000000"/>
          <w:sz w:val="22"/>
          <w:szCs w:val="22"/>
          <w:lang w:eastAsia="zh-CN"/>
        </w:rPr>
        <w:t>中标</w:t>
      </w:r>
      <w:r>
        <w:rPr>
          <w:rFonts w:hint="eastAsia" w:ascii="宋体" w:hAnsi="宋体"/>
          <w:color w:val="000000"/>
          <w:sz w:val="22"/>
          <w:szCs w:val="22"/>
        </w:rPr>
        <w:t>供应商发出订货通知单，</w:t>
      </w:r>
      <w:r>
        <w:rPr>
          <w:rFonts w:hint="eastAsia" w:ascii="宋体" w:hAnsi="宋体"/>
          <w:color w:val="000000"/>
          <w:sz w:val="22"/>
          <w:szCs w:val="22"/>
          <w:lang w:eastAsia="zh-CN"/>
        </w:rPr>
        <w:t>中标</w:t>
      </w:r>
      <w:r>
        <w:rPr>
          <w:rFonts w:hint="eastAsia" w:ascii="宋体" w:hAnsi="宋体"/>
          <w:color w:val="000000"/>
          <w:sz w:val="22"/>
          <w:szCs w:val="22"/>
        </w:rPr>
        <w:t>供应商按照采购人规定的时间要求提前送到指定地点。特殊情况需要提前送到的，采购人另行通知。</w:t>
      </w:r>
    </w:p>
    <w:p w14:paraId="572CECA8">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1.5、人员及车辆要求</w:t>
      </w:r>
    </w:p>
    <w:p w14:paraId="11FB1521">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1.5.1</w:t>
      </w:r>
      <w:r>
        <w:rPr>
          <w:rFonts w:hint="eastAsia" w:ascii="宋体" w:hAnsi="宋体"/>
          <w:color w:val="000000"/>
          <w:sz w:val="22"/>
          <w:szCs w:val="22"/>
          <w:lang w:eastAsia="zh-CN"/>
        </w:rPr>
        <w:t>中标</w:t>
      </w:r>
      <w:r>
        <w:rPr>
          <w:rFonts w:hint="eastAsia" w:ascii="宋体" w:hAnsi="宋体"/>
          <w:color w:val="000000"/>
          <w:sz w:val="22"/>
          <w:szCs w:val="22"/>
        </w:rPr>
        <w:t>供应商需为本项目配备一名项目负责人，负责与采购人沟通协调工作及食材供应的全面日常管理工作。</w:t>
      </w:r>
    </w:p>
    <w:p w14:paraId="1F8A2BBD">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1.5.2</w:t>
      </w:r>
      <w:r>
        <w:rPr>
          <w:rFonts w:hint="eastAsia" w:ascii="宋体" w:hAnsi="宋体"/>
          <w:color w:val="000000"/>
          <w:sz w:val="22"/>
          <w:szCs w:val="22"/>
          <w:lang w:eastAsia="zh-CN"/>
        </w:rPr>
        <w:t>中标</w:t>
      </w:r>
      <w:r>
        <w:rPr>
          <w:rFonts w:hint="eastAsia" w:ascii="宋体" w:hAnsi="宋体"/>
          <w:color w:val="000000"/>
          <w:sz w:val="22"/>
          <w:szCs w:val="22"/>
        </w:rPr>
        <w:t>供应商应免费提供将货物运送至采购人指定的地点及现场卸货服务。每次送货，</w:t>
      </w:r>
      <w:r>
        <w:rPr>
          <w:rFonts w:hint="eastAsia" w:ascii="宋体" w:hAnsi="宋体"/>
          <w:color w:val="000000"/>
          <w:sz w:val="22"/>
          <w:szCs w:val="22"/>
          <w:lang w:eastAsia="zh-CN"/>
        </w:rPr>
        <w:t>中标</w:t>
      </w:r>
      <w:r>
        <w:rPr>
          <w:rFonts w:hint="eastAsia" w:ascii="宋体" w:hAnsi="宋体"/>
          <w:color w:val="000000"/>
          <w:sz w:val="22"/>
          <w:szCs w:val="22"/>
        </w:rPr>
        <w:t>供应商必须安排足够的送货员（含司机）分别负责送货，负责货物的运输、过秤、加工，并协助采购人验收货物，货物的品种和重量以采购人验收的结果为准。</w:t>
      </w:r>
      <w:r>
        <w:rPr>
          <w:rFonts w:hint="eastAsia" w:ascii="宋体" w:hAnsi="宋体"/>
          <w:color w:val="000000"/>
          <w:sz w:val="22"/>
          <w:szCs w:val="22"/>
          <w:lang w:eastAsia="zh-CN"/>
        </w:rPr>
        <w:t>中标</w:t>
      </w:r>
      <w:r>
        <w:rPr>
          <w:rFonts w:hint="eastAsia" w:ascii="宋体" w:hAnsi="宋体"/>
          <w:color w:val="000000"/>
          <w:sz w:val="22"/>
          <w:szCs w:val="22"/>
        </w:rPr>
        <w:t>供应商在与采购人签定合同后，须将配送团队成员健康证及相关资料复印件交采购人备案，提交复印件时须同时提供原件以供核对。如</w:t>
      </w:r>
      <w:r>
        <w:rPr>
          <w:rFonts w:hint="eastAsia" w:ascii="宋体" w:hAnsi="宋体"/>
          <w:color w:val="000000"/>
          <w:sz w:val="22"/>
          <w:szCs w:val="22"/>
          <w:lang w:eastAsia="zh-CN"/>
        </w:rPr>
        <w:t>中标</w:t>
      </w:r>
      <w:r>
        <w:rPr>
          <w:rFonts w:hint="eastAsia" w:ascii="宋体" w:hAnsi="宋体"/>
          <w:color w:val="000000"/>
          <w:sz w:val="22"/>
          <w:szCs w:val="22"/>
        </w:rPr>
        <w:t>供应商更换配送人员，须提供更换的人员的上述资料，经采购人书面同意后方可更换，否则作考核扣分处理。</w:t>
      </w:r>
    </w:p>
    <w:p w14:paraId="6384FB2A">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1.5.3车辆要求：</w:t>
      </w:r>
      <w:r>
        <w:rPr>
          <w:rFonts w:hint="eastAsia" w:ascii="宋体" w:hAnsi="宋体"/>
          <w:color w:val="000000"/>
          <w:sz w:val="22"/>
          <w:szCs w:val="22"/>
          <w:lang w:eastAsia="zh-CN"/>
        </w:rPr>
        <w:t>中标</w:t>
      </w:r>
      <w:r>
        <w:rPr>
          <w:rFonts w:hint="eastAsia" w:ascii="宋体" w:hAnsi="宋体"/>
          <w:color w:val="000000"/>
          <w:sz w:val="22"/>
          <w:szCs w:val="22"/>
        </w:rPr>
        <w:t>供应商应根据产品特性采用科学合理的运输工具、保存方式以及搬运方法进行运输，每次送货≥2辆送货车（其中一台必须为冷链配送车，保证肉类中心温度控制在-2-7℃的范围之内，保证运输过程冷链不中断）。食品运输必须采用符合卫生要求的外包装和运载工具，车辆保持性能稳定。要保持清洁和定期消毒。运输车厢的内仓，包括地面、墙面 和顶，应为抗腐蚀、防潮、易清洁消毒的材料，有防虫、防鼠设施。对温度有要求的产品应按产品温度控制标准进行控温，建立物流全程温度记录制度，相关记录保存时间要超过产品保质期6个月以上。避免日晒、雨淋、 机械损伤、食品的交叉污染等影响食物质量情况发生。商品到达目的地时外包装箱干爽，无软化现象。</w:t>
      </w:r>
    </w:p>
    <w:p w14:paraId="2C3EA6A4">
      <w:pPr>
        <w:wordWrap w:val="0"/>
        <w:spacing w:before="162" w:beforeLines="50" w:after="162" w:afterLines="50" w:line="360" w:lineRule="exact"/>
        <w:ind w:firstLine="425" w:firstLineChars="190"/>
        <w:rPr>
          <w:rFonts w:hint="eastAsia" w:ascii="宋体" w:hAnsi="宋体"/>
          <w:color w:val="000000"/>
          <w:sz w:val="22"/>
          <w:szCs w:val="22"/>
        </w:rPr>
      </w:pPr>
      <w:r>
        <w:rPr>
          <w:rFonts w:hint="eastAsia" w:ascii="宋体" w:hAnsi="宋体"/>
          <w:color w:val="000000"/>
          <w:sz w:val="22"/>
          <w:szCs w:val="22"/>
        </w:rPr>
        <w:t>★1.5.4、为确保食材的新鲜和对采购人供应的及时性，对采购人日常下达的订单，</w:t>
      </w:r>
      <w:r>
        <w:rPr>
          <w:rFonts w:hint="eastAsia" w:ascii="宋体" w:hAnsi="宋体"/>
          <w:color w:val="000000"/>
          <w:sz w:val="22"/>
          <w:szCs w:val="22"/>
          <w:lang w:eastAsia="zh-CN"/>
        </w:rPr>
        <w:t>中标</w:t>
      </w:r>
      <w:r>
        <w:rPr>
          <w:rFonts w:hint="eastAsia" w:ascii="宋体" w:hAnsi="宋体"/>
          <w:color w:val="000000"/>
          <w:sz w:val="22"/>
          <w:szCs w:val="22"/>
        </w:rPr>
        <w:t>供应商应在采购人指定的时间内如数送达。因特殊情况需要</w:t>
      </w:r>
      <w:r>
        <w:rPr>
          <w:rFonts w:hint="eastAsia" w:ascii="宋体" w:hAnsi="宋体"/>
          <w:color w:val="000000"/>
          <w:sz w:val="22"/>
          <w:szCs w:val="22"/>
          <w:lang w:eastAsia="zh-CN"/>
        </w:rPr>
        <w:t>中标</w:t>
      </w:r>
      <w:r>
        <w:rPr>
          <w:rFonts w:hint="eastAsia" w:ascii="宋体" w:hAnsi="宋体"/>
          <w:color w:val="000000"/>
          <w:sz w:val="22"/>
          <w:szCs w:val="22"/>
        </w:rPr>
        <w:t>供应商临时供应零星食材的，</w:t>
      </w:r>
      <w:r>
        <w:rPr>
          <w:rFonts w:hint="eastAsia" w:ascii="宋体" w:hAnsi="宋体"/>
          <w:color w:val="000000"/>
          <w:sz w:val="22"/>
          <w:szCs w:val="22"/>
          <w:lang w:eastAsia="zh-CN"/>
        </w:rPr>
        <w:t>中标</w:t>
      </w:r>
      <w:r>
        <w:rPr>
          <w:rFonts w:hint="eastAsia" w:ascii="宋体" w:hAnsi="宋体"/>
          <w:color w:val="000000"/>
          <w:sz w:val="22"/>
          <w:szCs w:val="22"/>
        </w:rPr>
        <w:t>供应商须在接到采购人下达订单后40分钟内将采购人指定的食材送到采购人指定的地点；因特殊情况需要</w:t>
      </w:r>
      <w:r>
        <w:rPr>
          <w:rFonts w:hint="eastAsia" w:ascii="宋体" w:hAnsi="宋体"/>
          <w:color w:val="000000"/>
          <w:sz w:val="22"/>
          <w:szCs w:val="22"/>
          <w:lang w:eastAsia="zh-CN"/>
        </w:rPr>
        <w:t>中标</w:t>
      </w:r>
      <w:r>
        <w:rPr>
          <w:rFonts w:hint="eastAsia" w:ascii="宋体" w:hAnsi="宋体"/>
          <w:color w:val="000000"/>
          <w:sz w:val="22"/>
          <w:szCs w:val="22"/>
        </w:rPr>
        <w:t>供应商临时供应大宗食材的，</w:t>
      </w:r>
      <w:r>
        <w:rPr>
          <w:rFonts w:hint="eastAsia" w:ascii="宋体" w:hAnsi="宋体"/>
          <w:color w:val="000000"/>
          <w:sz w:val="22"/>
          <w:szCs w:val="22"/>
          <w:lang w:eastAsia="zh-CN"/>
        </w:rPr>
        <w:t>中标</w:t>
      </w:r>
      <w:r>
        <w:rPr>
          <w:rFonts w:hint="eastAsia" w:ascii="宋体" w:hAnsi="宋体"/>
          <w:color w:val="000000"/>
          <w:sz w:val="22"/>
          <w:szCs w:val="22"/>
        </w:rPr>
        <w:t>供应商须在接到采购人下达订单后优先响应，原则上12小时内将采购人指定的食材送到采购人指定的地点。除不可抗力的情况外，</w:t>
      </w:r>
      <w:r>
        <w:rPr>
          <w:rFonts w:hint="eastAsia" w:ascii="宋体" w:hAnsi="宋体"/>
          <w:color w:val="000000"/>
          <w:sz w:val="22"/>
          <w:szCs w:val="22"/>
          <w:lang w:eastAsia="zh-CN"/>
        </w:rPr>
        <w:t>中标</w:t>
      </w:r>
      <w:r>
        <w:rPr>
          <w:rFonts w:hint="eastAsia" w:ascii="宋体" w:hAnsi="宋体"/>
          <w:color w:val="000000"/>
          <w:sz w:val="22"/>
          <w:szCs w:val="22"/>
        </w:rPr>
        <w:t>供应商不得推迟送货。如未能及时配送，采购人有权自主购买相关食材，非严重情节造成采购人损失的，第一次发生扣除该</w:t>
      </w:r>
      <w:r>
        <w:rPr>
          <w:rFonts w:hint="eastAsia" w:ascii="宋体" w:hAnsi="宋体"/>
          <w:color w:val="000000"/>
          <w:sz w:val="22"/>
          <w:szCs w:val="22"/>
          <w:lang w:eastAsia="zh-CN"/>
        </w:rPr>
        <w:t>中标</w:t>
      </w:r>
      <w:r>
        <w:rPr>
          <w:rFonts w:hint="eastAsia" w:ascii="宋体" w:hAnsi="宋体"/>
          <w:color w:val="000000"/>
          <w:sz w:val="22"/>
          <w:szCs w:val="22"/>
        </w:rPr>
        <w:t>供应商当月货款的3%，第二次发生扣除该</w:t>
      </w:r>
      <w:r>
        <w:rPr>
          <w:rFonts w:hint="eastAsia" w:ascii="宋体" w:hAnsi="宋体"/>
          <w:color w:val="000000"/>
          <w:sz w:val="22"/>
          <w:szCs w:val="22"/>
          <w:lang w:eastAsia="zh-CN"/>
        </w:rPr>
        <w:t>中标</w:t>
      </w:r>
      <w:r>
        <w:rPr>
          <w:rFonts w:hint="eastAsia" w:ascii="宋体" w:hAnsi="宋体"/>
          <w:color w:val="000000"/>
          <w:sz w:val="22"/>
          <w:szCs w:val="22"/>
        </w:rPr>
        <w:t>供应商当月货款的6%，第三次发生扣除该</w:t>
      </w:r>
      <w:r>
        <w:rPr>
          <w:rFonts w:hint="eastAsia" w:ascii="宋体" w:hAnsi="宋体"/>
          <w:color w:val="000000"/>
          <w:sz w:val="22"/>
          <w:szCs w:val="22"/>
          <w:lang w:eastAsia="zh-CN"/>
        </w:rPr>
        <w:t>中标</w:t>
      </w:r>
      <w:r>
        <w:rPr>
          <w:rFonts w:hint="eastAsia" w:ascii="宋体" w:hAnsi="宋体"/>
          <w:color w:val="000000"/>
          <w:sz w:val="22"/>
          <w:szCs w:val="22"/>
        </w:rPr>
        <w:t>供应商当月货款的10%。（注：由于</w:t>
      </w:r>
      <w:r>
        <w:rPr>
          <w:rFonts w:hint="eastAsia" w:ascii="宋体" w:hAnsi="宋体"/>
          <w:color w:val="000000"/>
          <w:sz w:val="22"/>
          <w:szCs w:val="22"/>
          <w:lang w:eastAsia="zh-CN"/>
        </w:rPr>
        <w:t>中标</w:t>
      </w:r>
      <w:r>
        <w:rPr>
          <w:rFonts w:hint="eastAsia" w:ascii="宋体" w:hAnsi="宋体"/>
          <w:color w:val="000000"/>
          <w:sz w:val="22"/>
          <w:szCs w:val="22"/>
        </w:rPr>
        <w:t>供应商拖沓等严重情节造成货物未能及时配送的，采购人有权单方面解除合同，由此产生的责任和经济损失由</w:t>
      </w:r>
      <w:r>
        <w:rPr>
          <w:rFonts w:hint="eastAsia" w:ascii="宋体" w:hAnsi="宋体"/>
          <w:color w:val="000000"/>
          <w:sz w:val="22"/>
          <w:szCs w:val="22"/>
          <w:lang w:eastAsia="zh-CN"/>
        </w:rPr>
        <w:t>中标</w:t>
      </w:r>
      <w:r>
        <w:rPr>
          <w:rFonts w:hint="eastAsia" w:ascii="宋体" w:hAnsi="宋体"/>
          <w:color w:val="000000"/>
          <w:sz w:val="22"/>
          <w:szCs w:val="22"/>
        </w:rPr>
        <w:t>供应商承担。）（供应商需针对本项内容提承诺函并加盖供应商公章，承诺函格式自拟。）</w:t>
      </w:r>
    </w:p>
    <w:p w14:paraId="1801C927">
      <w:pPr>
        <w:pStyle w:val="3"/>
      </w:pPr>
    </w:p>
    <w:p w14:paraId="2D694599">
      <w:pPr>
        <w:wordWrap w:val="0"/>
        <w:spacing w:before="162" w:beforeLines="50" w:after="162" w:afterLines="50" w:line="360" w:lineRule="exact"/>
        <w:rPr>
          <w:b/>
          <w:color w:val="000000"/>
          <w:sz w:val="22"/>
          <w:szCs w:val="22"/>
        </w:rPr>
      </w:pPr>
      <w:r>
        <w:rPr>
          <w:rFonts w:hint="eastAsia"/>
          <w:b/>
          <w:color w:val="000000"/>
          <w:sz w:val="22"/>
          <w:szCs w:val="22"/>
          <w:lang w:val="en-US" w:eastAsia="zh-CN"/>
        </w:rPr>
        <w:t>四</w:t>
      </w:r>
      <w:r>
        <w:rPr>
          <w:rFonts w:hint="eastAsia"/>
          <w:b/>
          <w:color w:val="000000"/>
          <w:sz w:val="22"/>
          <w:szCs w:val="22"/>
        </w:rPr>
        <w:t>、考核管理</w:t>
      </w:r>
    </w:p>
    <w:p w14:paraId="707283A0">
      <w:pPr>
        <w:spacing w:line="360" w:lineRule="auto"/>
        <w:ind w:firstLine="448" w:firstLineChars="200"/>
        <w:rPr>
          <w:rFonts w:ascii="宋体" w:hAnsi="宋体"/>
          <w:color w:val="000000"/>
          <w:sz w:val="22"/>
        </w:rPr>
      </w:pPr>
      <w:r>
        <w:rPr>
          <w:rFonts w:hint="eastAsia" w:ascii="宋体" w:hAnsi="宋体"/>
          <w:color w:val="000000"/>
          <w:sz w:val="22"/>
        </w:rPr>
        <w:t>采购人每月根据 “食材采购供应商评估标准表”（简称评估表，详见附件2）对</w:t>
      </w:r>
      <w:r>
        <w:rPr>
          <w:rFonts w:hint="eastAsia" w:ascii="宋体" w:hAnsi="宋体"/>
          <w:color w:val="000000"/>
          <w:sz w:val="22"/>
          <w:lang w:eastAsia="zh-CN"/>
        </w:rPr>
        <w:t>中标</w:t>
      </w:r>
      <w:r>
        <w:rPr>
          <w:rFonts w:hint="eastAsia" w:ascii="宋体" w:hAnsi="宋体"/>
          <w:color w:val="000000"/>
          <w:sz w:val="22"/>
        </w:rPr>
        <w:t>供应商进行服务质量调查和考核评分，一个月为一个考核期，评分等级和管理办法如下：</w:t>
      </w:r>
      <w:r>
        <w:rPr>
          <w:rFonts w:ascii="宋体" w:hAnsi="宋体"/>
          <w:color w:val="000000"/>
          <w:sz w:val="22"/>
        </w:rPr>
        <w:t xml:space="preserve"> </w:t>
      </w:r>
    </w:p>
    <w:p w14:paraId="34FFF56B">
      <w:pPr>
        <w:spacing w:line="360" w:lineRule="auto"/>
        <w:ind w:firstLine="448" w:firstLineChars="200"/>
        <w:rPr>
          <w:rFonts w:ascii="宋体" w:hAnsi="宋体"/>
          <w:color w:val="000000"/>
          <w:sz w:val="22"/>
        </w:rPr>
      </w:pPr>
      <w:r>
        <w:rPr>
          <w:rFonts w:hint="eastAsia" w:ascii="宋体" w:hAnsi="宋体"/>
          <w:color w:val="000000"/>
          <w:sz w:val="22"/>
        </w:rPr>
        <w:t>1、总分得分【90-100】分者为优秀，继续维持良好服务水平。</w:t>
      </w:r>
    </w:p>
    <w:p w14:paraId="4C5F4B54">
      <w:pPr>
        <w:spacing w:line="360" w:lineRule="auto"/>
        <w:ind w:firstLine="448" w:firstLineChars="200"/>
        <w:rPr>
          <w:rFonts w:ascii="宋体" w:hAnsi="宋体"/>
          <w:color w:val="000000"/>
          <w:sz w:val="22"/>
        </w:rPr>
      </w:pPr>
      <w:r>
        <w:rPr>
          <w:rFonts w:hint="eastAsia" w:ascii="宋体" w:hAnsi="宋体"/>
          <w:color w:val="000000"/>
          <w:sz w:val="22"/>
        </w:rPr>
        <w:t>2、总分得分【80-90】分者为良好，配送管理工作小组提出改进意见。</w:t>
      </w:r>
    </w:p>
    <w:p w14:paraId="1A1E37BC">
      <w:pPr>
        <w:spacing w:line="360" w:lineRule="auto"/>
        <w:ind w:firstLine="448" w:firstLineChars="200"/>
        <w:rPr>
          <w:rFonts w:ascii="宋体" w:hAnsi="宋体"/>
          <w:color w:val="000000"/>
          <w:sz w:val="22"/>
        </w:rPr>
      </w:pPr>
      <w:r>
        <w:rPr>
          <w:rFonts w:hint="eastAsia" w:ascii="宋体" w:hAnsi="宋体"/>
          <w:color w:val="000000"/>
          <w:sz w:val="22"/>
        </w:rPr>
        <w:t>3、总分得分【70-80】分者为合格，配送管理工作小组</w:t>
      </w:r>
      <w:r>
        <w:rPr>
          <w:rFonts w:ascii="宋体" w:hAnsi="宋体"/>
          <w:color w:val="000000"/>
          <w:sz w:val="22"/>
        </w:rPr>
        <w:t>发整改通知</w:t>
      </w:r>
      <w:r>
        <w:rPr>
          <w:rFonts w:hint="eastAsia" w:ascii="宋体" w:hAnsi="宋体"/>
          <w:color w:val="000000"/>
          <w:sz w:val="22"/>
        </w:rPr>
        <w:t>，若下个月评估仍未达到良好及以上，配送管理工作小组发警告函，限期整改，并</w:t>
      </w:r>
      <w:r>
        <w:rPr>
          <w:rFonts w:ascii="宋体" w:hAnsi="宋体"/>
          <w:color w:val="000000"/>
          <w:sz w:val="22"/>
        </w:rPr>
        <w:t>扣除</w:t>
      </w:r>
      <w:r>
        <w:rPr>
          <w:rFonts w:hint="eastAsia" w:ascii="宋体" w:hAnsi="宋体"/>
          <w:color w:val="000000"/>
          <w:sz w:val="22"/>
        </w:rPr>
        <w:t>当月食材配送</w:t>
      </w:r>
      <w:r>
        <w:rPr>
          <w:rFonts w:ascii="宋体" w:hAnsi="宋体"/>
          <w:color w:val="000000"/>
          <w:sz w:val="22"/>
        </w:rPr>
        <w:t>总额</w:t>
      </w:r>
      <w:r>
        <w:rPr>
          <w:rFonts w:hint="eastAsia" w:ascii="宋体" w:hAnsi="宋体"/>
          <w:color w:val="000000"/>
          <w:sz w:val="22"/>
        </w:rPr>
        <w:t>的5</w:t>
      </w:r>
      <w:r>
        <w:rPr>
          <w:rFonts w:ascii="宋体" w:hAnsi="宋体"/>
          <w:color w:val="000000"/>
          <w:sz w:val="22"/>
        </w:rPr>
        <w:t>%</w:t>
      </w:r>
      <w:r>
        <w:rPr>
          <w:rFonts w:hint="eastAsia" w:ascii="宋体" w:hAnsi="宋体"/>
          <w:color w:val="000000"/>
          <w:sz w:val="22"/>
        </w:rPr>
        <w:t>。</w:t>
      </w:r>
    </w:p>
    <w:p w14:paraId="716EBDBB">
      <w:pPr>
        <w:spacing w:line="360" w:lineRule="auto"/>
        <w:ind w:firstLine="448" w:firstLineChars="200"/>
        <w:rPr>
          <w:rFonts w:ascii="宋体" w:hAnsi="宋体"/>
          <w:color w:val="000000"/>
          <w:sz w:val="22"/>
        </w:rPr>
      </w:pPr>
      <w:r>
        <w:rPr>
          <w:rFonts w:hint="eastAsia" w:ascii="宋体" w:hAnsi="宋体"/>
          <w:color w:val="000000"/>
          <w:sz w:val="22"/>
        </w:rPr>
        <w:t>4、总分得分【60-70】分者为基本合格，配送管理工作小组发警告函，限期整改，并</w:t>
      </w:r>
      <w:r>
        <w:rPr>
          <w:rFonts w:ascii="宋体" w:hAnsi="宋体"/>
          <w:color w:val="000000"/>
          <w:sz w:val="22"/>
        </w:rPr>
        <w:t>扣</w:t>
      </w:r>
      <w:r>
        <w:rPr>
          <w:rFonts w:hint="eastAsia" w:ascii="宋体" w:hAnsi="宋体"/>
          <w:color w:val="000000"/>
          <w:sz w:val="22"/>
        </w:rPr>
        <w:t>当月食材配送</w:t>
      </w:r>
      <w:r>
        <w:rPr>
          <w:rFonts w:ascii="宋体" w:hAnsi="宋体"/>
          <w:color w:val="000000"/>
          <w:sz w:val="22"/>
        </w:rPr>
        <w:t>总额金总额</w:t>
      </w:r>
      <w:r>
        <w:rPr>
          <w:rFonts w:hint="eastAsia" w:ascii="宋体" w:hAnsi="宋体"/>
          <w:color w:val="000000"/>
          <w:sz w:val="22"/>
        </w:rPr>
        <w:t>的5</w:t>
      </w:r>
      <w:r>
        <w:rPr>
          <w:rFonts w:ascii="宋体" w:hAnsi="宋体"/>
          <w:color w:val="000000"/>
          <w:sz w:val="22"/>
        </w:rPr>
        <w:t>%</w:t>
      </w:r>
      <w:r>
        <w:rPr>
          <w:rFonts w:hint="eastAsia" w:ascii="宋体" w:hAnsi="宋体"/>
          <w:color w:val="000000"/>
          <w:sz w:val="22"/>
        </w:rPr>
        <w:t>。连续两次或累计三次评估为基本合格，</w:t>
      </w:r>
      <w:r>
        <w:rPr>
          <w:rFonts w:ascii="宋体" w:hAnsi="宋体"/>
          <w:color w:val="000000"/>
          <w:sz w:val="22"/>
        </w:rPr>
        <w:t>甲方有权提出终止</w:t>
      </w:r>
      <w:r>
        <w:rPr>
          <w:rFonts w:hint="eastAsia" w:ascii="宋体" w:hAnsi="宋体"/>
          <w:color w:val="000000"/>
          <w:sz w:val="22"/>
          <w:lang w:eastAsia="zh-CN"/>
        </w:rPr>
        <w:t>合同</w:t>
      </w:r>
      <w:r>
        <w:rPr>
          <w:rFonts w:ascii="宋体" w:hAnsi="宋体"/>
          <w:color w:val="000000"/>
          <w:sz w:val="22"/>
        </w:rPr>
        <w:t>和使用其它备选供应商</w:t>
      </w:r>
      <w:r>
        <w:rPr>
          <w:rFonts w:hint="eastAsia" w:ascii="宋体" w:hAnsi="宋体"/>
          <w:color w:val="000000"/>
          <w:sz w:val="22"/>
        </w:rPr>
        <w:t>，按合同违约处理。</w:t>
      </w:r>
    </w:p>
    <w:p w14:paraId="50E6171A">
      <w:pPr>
        <w:spacing w:line="360" w:lineRule="auto"/>
        <w:ind w:firstLine="448" w:firstLineChars="200"/>
        <w:rPr>
          <w:rFonts w:hint="eastAsia" w:ascii="宋体" w:hAnsi="宋体"/>
          <w:color w:val="000000"/>
          <w:sz w:val="22"/>
        </w:rPr>
      </w:pPr>
      <w:r>
        <w:rPr>
          <w:rFonts w:hint="eastAsia" w:ascii="宋体" w:hAnsi="宋体"/>
          <w:color w:val="000000"/>
          <w:sz w:val="22"/>
        </w:rPr>
        <w:t>5、连续三次总分得60分以下者为不合格，</w:t>
      </w:r>
      <w:r>
        <w:rPr>
          <w:rFonts w:ascii="宋体" w:hAnsi="宋体"/>
          <w:color w:val="000000"/>
          <w:sz w:val="22"/>
        </w:rPr>
        <w:t>甲方有权提出终止</w:t>
      </w:r>
      <w:r>
        <w:rPr>
          <w:rFonts w:hint="eastAsia" w:ascii="宋体" w:hAnsi="宋体"/>
          <w:color w:val="000000"/>
          <w:sz w:val="22"/>
          <w:lang w:eastAsia="zh-CN"/>
        </w:rPr>
        <w:t>合同</w:t>
      </w:r>
      <w:r>
        <w:rPr>
          <w:rFonts w:ascii="宋体" w:hAnsi="宋体"/>
          <w:color w:val="000000"/>
          <w:sz w:val="22"/>
        </w:rPr>
        <w:t>和使用其它备选供应商</w:t>
      </w:r>
      <w:r>
        <w:rPr>
          <w:rFonts w:hint="eastAsia" w:ascii="宋体" w:hAnsi="宋体"/>
          <w:color w:val="000000"/>
          <w:sz w:val="22"/>
        </w:rPr>
        <w:t>，按合同违约处理。</w:t>
      </w:r>
    </w:p>
    <w:p w14:paraId="079A6630">
      <w:pPr>
        <w:pStyle w:val="3"/>
      </w:pPr>
    </w:p>
    <w:p w14:paraId="71E38E68">
      <w:pPr>
        <w:wordWrap w:val="0"/>
        <w:spacing w:before="162" w:beforeLines="50" w:after="162" w:afterLines="50" w:line="360" w:lineRule="exact"/>
        <w:rPr>
          <w:rFonts w:hAnsi="宋体"/>
          <w:color w:val="000000"/>
        </w:rPr>
      </w:pPr>
      <w:r>
        <w:rPr>
          <w:rFonts w:hint="eastAsia"/>
          <w:b/>
          <w:color w:val="000000"/>
          <w:sz w:val="22"/>
          <w:szCs w:val="22"/>
          <w:lang w:val="en-US" w:eastAsia="zh-CN"/>
        </w:rPr>
        <w:t>五</w:t>
      </w:r>
      <w:r>
        <w:rPr>
          <w:rFonts w:hint="eastAsia"/>
          <w:b/>
          <w:color w:val="000000"/>
          <w:sz w:val="22"/>
          <w:szCs w:val="22"/>
        </w:rPr>
        <w:t>、报价方式</w:t>
      </w:r>
    </w:p>
    <w:p w14:paraId="28C7826C">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w:t>
      </w:r>
      <w:r>
        <w:rPr>
          <w:rFonts w:hint="eastAsia" w:ascii="宋体" w:hAnsi="宋体"/>
          <w:color w:val="auto"/>
          <w:sz w:val="22"/>
          <w:szCs w:val="22"/>
          <w:highlight w:val="none"/>
        </w:rPr>
        <w:t>供应商需按照基准价执行</w:t>
      </w:r>
      <w:r>
        <w:rPr>
          <w:rFonts w:hint="eastAsia" w:ascii="宋体" w:hAnsi="宋体" w:eastAsia="宋体"/>
          <w:color w:val="auto"/>
          <w:sz w:val="22"/>
          <w:szCs w:val="22"/>
          <w:highlight w:val="none"/>
          <w:lang w:eastAsia="zh-CN"/>
        </w:rPr>
        <w:t>下浮率大于</w:t>
      </w:r>
      <w:r>
        <w:rPr>
          <w:rFonts w:hint="eastAsia" w:ascii="宋体" w:hAnsi="宋体" w:eastAsia="宋体"/>
          <w:color w:val="auto"/>
          <w:sz w:val="22"/>
          <w:szCs w:val="22"/>
          <w:highlight w:val="none"/>
          <w:u w:val="none"/>
          <w:lang w:val="en-US" w:eastAsia="zh-CN"/>
        </w:rPr>
        <w:t>10</w:t>
      </w: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rPr>
        <w:t>（含</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0%）</w:t>
      </w:r>
      <w:r>
        <w:rPr>
          <w:rFonts w:hint="eastAsia" w:ascii="宋体" w:hAnsi="宋体"/>
          <w:color w:val="auto"/>
          <w:sz w:val="22"/>
          <w:szCs w:val="22"/>
          <w:highlight w:val="none"/>
          <w:lang w:val="en-US" w:eastAsia="zh-CN"/>
        </w:rPr>
        <w:t>进行报价</w:t>
      </w:r>
      <w:r>
        <w:rPr>
          <w:rFonts w:hint="eastAsia" w:ascii="宋体" w:hAnsi="宋体" w:eastAsia="宋体"/>
          <w:color w:val="auto"/>
          <w:sz w:val="22"/>
          <w:szCs w:val="22"/>
          <w:highlight w:val="none"/>
          <w:lang w:eastAsia="zh-CN"/>
        </w:rPr>
        <w:t>。</w:t>
      </w:r>
    </w:p>
    <w:p w14:paraId="3802C44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★2、基准价确定方式：</w:t>
      </w:r>
    </w:p>
    <w:p w14:paraId="131524B3">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基准价调查范围：以东莞市发改委官网公布的菜篮子价格监测表作为市场参考价。若东莞物价专栏(http://dgdp.dg.gov.cn/jggl/index.html)中《广东省城市居民食品零售价格监测表》（东莞市菜篮子价格监测日报表）最新公布价格表中无甲方所需的相同品种，以甲方驻地范围内选择2-3家农贸市场同期调研价为参考价，由甲方每半月指定专人与供应商进行至少一次市场调研确定。</w:t>
      </w:r>
    </w:p>
    <w:p w14:paraId="567381EF">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（2）基准价计算：基准价调查范围的零售价格算术平均值作为该期的货物的基准价。</w:t>
      </w:r>
    </w:p>
    <w:p w14:paraId="04036FD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w:t>
      </w:r>
      <w:r>
        <w:rPr>
          <w:rFonts w:hint="eastAsia" w:ascii="宋体" w:hAnsi="宋体"/>
          <w:color w:val="000000"/>
          <w:sz w:val="22"/>
          <w:szCs w:val="22"/>
          <w:lang w:eastAsia="zh-CN"/>
        </w:rPr>
        <w:t>中标</w:t>
      </w:r>
      <w:r>
        <w:rPr>
          <w:rFonts w:hint="eastAsia" w:ascii="宋体" w:hAnsi="宋体"/>
          <w:color w:val="000000"/>
          <w:sz w:val="22"/>
          <w:szCs w:val="22"/>
        </w:rPr>
        <w:t>供应商必须按照采购人的基准价计算方式，协助并参与进行价格调查和计算货物基准价，否则视为</w:t>
      </w:r>
      <w:r>
        <w:rPr>
          <w:rFonts w:hint="eastAsia" w:ascii="宋体" w:hAnsi="宋体"/>
          <w:color w:val="000000"/>
          <w:sz w:val="22"/>
          <w:szCs w:val="22"/>
          <w:lang w:eastAsia="zh-CN"/>
        </w:rPr>
        <w:t>中标</w:t>
      </w:r>
      <w:r>
        <w:rPr>
          <w:rFonts w:hint="eastAsia" w:ascii="宋体" w:hAnsi="宋体"/>
          <w:color w:val="000000"/>
          <w:sz w:val="22"/>
          <w:szCs w:val="22"/>
        </w:rPr>
        <w:t>供应商认同采购人的基准价。</w:t>
      </w:r>
    </w:p>
    <w:p w14:paraId="5BC52895">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（4）首次基准价确定：签订合同并生效后3个工作日内按照上述要求调查计算。</w:t>
      </w:r>
    </w:p>
    <w:p w14:paraId="2E246A3E">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（5）基准价有效期：15天，在基准价失效前1-3天确定下期的基准价。</w:t>
      </w:r>
    </w:p>
    <w:p w14:paraId="1305F638">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（6）</w:t>
      </w:r>
      <w:r>
        <w:rPr>
          <w:rFonts w:hint="eastAsia" w:ascii="宋体" w:hAnsi="宋体"/>
          <w:color w:val="000000"/>
          <w:sz w:val="22"/>
          <w:szCs w:val="22"/>
          <w:lang w:eastAsia="zh-CN"/>
        </w:rPr>
        <w:t>中标</w:t>
      </w:r>
      <w:r>
        <w:rPr>
          <w:rFonts w:hint="eastAsia" w:ascii="宋体" w:hAnsi="宋体"/>
          <w:color w:val="000000"/>
          <w:sz w:val="22"/>
          <w:szCs w:val="22"/>
        </w:rPr>
        <w:t>供应商必须按照采购人的定价方式参与市场调查和确定货物基准价，否则视为</w:t>
      </w:r>
      <w:r>
        <w:rPr>
          <w:rFonts w:hint="eastAsia" w:ascii="宋体" w:hAnsi="宋体"/>
          <w:color w:val="000000"/>
          <w:sz w:val="22"/>
          <w:szCs w:val="22"/>
          <w:lang w:eastAsia="zh-CN"/>
        </w:rPr>
        <w:t>中标</w:t>
      </w:r>
      <w:r>
        <w:rPr>
          <w:rFonts w:hint="eastAsia" w:ascii="宋体" w:hAnsi="宋体"/>
          <w:color w:val="000000"/>
          <w:sz w:val="22"/>
          <w:szCs w:val="22"/>
        </w:rPr>
        <w:t>供应商认同采购人的基准价。</w:t>
      </w:r>
    </w:p>
    <w:p w14:paraId="2AC38157">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3、结算费用</w:t>
      </w:r>
    </w:p>
    <w:p w14:paraId="2266D1D7">
      <w:pPr>
        <w:wordWrap w:val="0"/>
        <w:spacing w:before="162" w:beforeLines="50" w:after="162" w:afterLines="50" w:line="360" w:lineRule="exact"/>
        <w:ind w:firstLine="425" w:firstLineChars="190"/>
        <w:rPr>
          <w:rFonts w:hint="eastAsia" w:ascii="宋体" w:hAnsi="宋体" w:eastAsia="宋体"/>
          <w:color w:val="000000"/>
          <w:sz w:val="22"/>
          <w:szCs w:val="22"/>
          <w:lang w:eastAsia="zh-CN"/>
        </w:rPr>
      </w:pPr>
      <w:r>
        <w:rPr>
          <w:rFonts w:hint="eastAsia" w:ascii="宋体" w:hAnsi="宋体"/>
          <w:color w:val="000000"/>
          <w:sz w:val="22"/>
          <w:szCs w:val="22"/>
        </w:rPr>
        <w:t>结算价=∑货品基准价×</w:t>
      </w:r>
      <w:r>
        <w:rPr>
          <w:rFonts w:hint="eastAsia" w:ascii="宋体" w:hAnsi="宋体"/>
          <w:color w:val="000000"/>
          <w:sz w:val="22"/>
          <w:szCs w:val="22"/>
          <w:lang w:eastAsia="zh-CN"/>
        </w:rPr>
        <w:t>（</w:t>
      </w:r>
      <w:r>
        <w:rPr>
          <w:rFonts w:hint="eastAsia" w:ascii="宋体" w:hAnsi="宋体"/>
          <w:color w:val="000000"/>
          <w:sz w:val="22"/>
          <w:szCs w:val="22"/>
          <w:lang w:val="en-US" w:eastAsia="zh-CN"/>
        </w:rPr>
        <w:t>1-</w:t>
      </w:r>
      <w:r>
        <w:rPr>
          <w:rFonts w:hint="eastAsia" w:ascii="宋体" w:hAnsi="宋体"/>
          <w:color w:val="000000"/>
          <w:sz w:val="22"/>
          <w:szCs w:val="22"/>
        </w:rPr>
        <w:t>中标综合</w:t>
      </w:r>
      <w:r>
        <w:rPr>
          <w:rFonts w:hint="eastAsia" w:ascii="宋体" w:hAnsi="宋体"/>
          <w:color w:val="000000"/>
          <w:sz w:val="22"/>
          <w:szCs w:val="22"/>
          <w:lang w:val="en-US" w:eastAsia="zh-CN"/>
        </w:rPr>
        <w:t>下浮</w:t>
      </w:r>
      <w:r>
        <w:rPr>
          <w:rFonts w:hint="eastAsia" w:ascii="宋体" w:hAnsi="宋体"/>
          <w:color w:val="000000"/>
          <w:sz w:val="22"/>
          <w:szCs w:val="22"/>
        </w:rPr>
        <w:t>率</w:t>
      </w:r>
      <w:r>
        <w:rPr>
          <w:rFonts w:hint="eastAsia" w:ascii="宋体" w:hAnsi="宋体"/>
          <w:color w:val="000000"/>
          <w:sz w:val="22"/>
          <w:szCs w:val="22"/>
          <w:lang w:eastAsia="zh-CN"/>
        </w:rPr>
        <w:t>）</w:t>
      </w:r>
    </w:p>
    <w:p w14:paraId="0121968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4、基准价调整</w:t>
      </w:r>
    </w:p>
    <w:p w14:paraId="29A4C17B">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（1）在基准价有效期内，每15天</w:t>
      </w:r>
      <w:r>
        <w:rPr>
          <w:rFonts w:hint="eastAsia" w:ascii="宋体" w:hAnsi="宋体"/>
          <w:color w:val="000000"/>
          <w:sz w:val="22"/>
          <w:szCs w:val="22"/>
          <w:lang w:eastAsia="zh-CN"/>
        </w:rPr>
        <w:t>中标</w:t>
      </w:r>
      <w:r>
        <w:rPr>
          <w:rFonts w:hint="eastAsia" w:ascii="宋体" w:hAnsi="宋体"/>
          <w:color w:val="000000"/>
          <w:sz w:val="22"/>
          <w:szCs w:val="22"/>
        </w:rPr>
        <w:t>供应商可根据市场实际价格的调整，以书面报价单形式向采购人重新报价。</w:t>
      </w:r>
    </w:p>
    <w:p w14:paraId="6FAECB49">
      <w:pPr>
        <w:wordWrap w:val="0"/>
        <w:spacing w:before="162" w:beforeLines="50" w:after="162" w:afterLines="50" w:line="360" w:lineRule="exact"/>
        <w:ind w:firstLine="425" w:firstLineChars="190"/>
        <w:rPr>
          <w:rFonts w:ascii="宋体" w:hAnsi="宋体"/>
          <w:color w:val="000000"/>
          <w:sz w:val="22"/>
          <w:szCs w:val="22"/>
        </w:rPr>
      </w:pPr>
      <w:r>
        <w:rPr>
          <w:rFonts w:hint="eastAsia" w:ascii="宋体" w:hAnsi="宋体"/>
          <w:color w:val="000000"/>
          <w:sz w:val="22"/>
          <w:szCs w:val="22"/>
        </w:rPr>
        <w:t>（2）如</w:t>
      </w:r>
      <w:r>
        <w:rPr>
          <w:rFonts w:hint="eastAsia" w:ascii="宋体" w:hAnsi="宋体"/>
          <w:color w:val="000000"/>
          <w:sz w:val="22"/>
          <w:szCs w:val="22"/>
          <w:lang w:eastAsia="zh-CN"/>
        </w:rPr>
        <w:t>中标</w:t>
      </w:r>
      <w:r>
        <w:rPr>
          <w:rFonts w:hint="eastAsia" w:ascii="宋体" w:hAnsi="宋体"/>
          <w:color w:val="000000"/>
          <w:sz w:val="22"/>
          <w:szCs w:val="22"/>
        </w:rPr>
        <w:t>供应商递交的报价单与货品基准价偏离过大，导致采购人不能接受的，</w:t>
      </w:r>
      <w:r>
        <w:rPr>
          <w:rFonts w:hint="eastAsia" w:ascii="宋体" w:hAnsi="宋体"/>
          <w:color w:val="000000"/>
          <w:sz w:val="22"/>
          <w:szCs w:val="22"/>
          <w:lang w:eastAsia="zh-CN"/>
        </w:rPr>
        <w:t>中标</w:t>
      </w:r>
      <w:r>
        <w:rPr>
          <w:rFonts w:hint="eastAsia" w:ascii="宋体" w:hAnsi="宋体"/>
          <w:color w:val="000000"/>
          <w:sz w:val="22"/>
          <w:szCs w:val="22"/>
        </w:rPr>
        <w:t>供应商可重新调整报价单，直至双方达成为止；如双方不能达成</w:t>
      </w:r>
      <w:r>
        <w:rPr>
          <w:rFonts w:hint="eastAsia" w:ascii="宋体" w:hAnsi="宋体"/>
          <w:color w:val="000000"/>
          <w:sz w:val="22"/>
          <w:szCs w:val="22"/>
          <w:lang w:eastAsia="zh-CN"/>
        </w:rPr>
        <w:t>合同</w:t>
      </w:r>
      <w:r>
        <w:rPr>
          <w:rFonts w:hint="eastAsia" w:ascii="宋体" w:hAnsi="宋体"/>
          <w:color w:val="000000"/>
          <w:sz w:val="22"/>
          <w:szCs w:val="22"/>
        </w:rPr>
        <w:t>，且</w:t>
      </w:r>
      <w:r>
        <w:rPr>
          <w:rFonts w:hint="eastAsia" w:ascii="宋体" w:hAnsi="宋体"/>
          <w:color w:val="000000"/>
          <w:sz w:val="22"/>
          <w:szCs w:val="22"/>
          <w:lang w:eastAsia="zh-CN"/>
        </w:rPr>
        <w:t>中标</w:t>
      </w:r>
      <w:r>
        <w:rPr>
          <w:rFonts w:hint="eastAsia" w:ascii="宋体" w:hAnsi="宋体"/>
          <w:color w:val="000000"/>
          <w:sz w:val="22"/>
          <w:szCs w:val="22"/>
        </w:rPr>
        <w:t>供应商不再对报价单进行调整的，采购人有权向第三方采购，由此造成的费用，由</w:t>
      </w:r>
      <w:r>
        <w:rPr>
          <w:rFonts w:hint="eastAsia" w:ascii="宋体" w:hAnsi="宋体"/>
          <w:color w:val="000000"/>
          <w:sz w:val="22"/>
          <w:szCs w:val="22"/>
          <w:lang w:eastAsia="zh-CN"/>
        </w:rPr>
        <w:t>中标</w:t>
      </w:r>
      <w:r>
        <w:rPr>
          <w:rFonts w:hint="eastAsia" w:ascii="宋体" w:hAnsi="宋体"/>
          <w:color w:val="000000"/>
          <w:sz w:val="22"/>
          <w:szCs w:val="22"/>
        </w:rPr>
        <w:t>供应商承担。</w:t>
      </w:r>
    </w:p>
    <w:p w14:paraId="48499049">
      <w:pPr>
        <w:wordWrap w:val="0"/>
        <w:spacing w:before="162" w:beforeLines="50" w:after="162" w:afterLines="50" w:line="360" w:lineRule="exact"/>
        <w:rPr>
          <w:b/>
          <w:color w:val="000000"/>
          <w:sz w:val="22"/>
          <w:szCs w:val="22"/>
        </w:rPr>
      </w:pPr>
    </w:p>
    <w:p w14:paraId="0C7DCC69">
      <w:pPr>
        <w:adjustRightInd w:val="0"/>
        <w:spacing w:line="360" w:lineRule="auto"/>
        <w:jc w:val="left"/>
        <w:rPr>
          <w:rFonts w:ascii="宋体" w:hAnsi="宋体"/>
          <w:b/>
          <w:color w:val="000000"/>
          <w:sz w:val="22"/>
          <w:szCs w:val="22"/>
        </w:rPr>
      </w:pPr>
      <w:r>
        <w:rPr>
          <w:rFonts w:hint="eastAsia" w:ascii="宋体" w:hAnsi="宋体"/>
          <w:b/>
          <w:color w:val="000000"/>
          <w:sz w:val="22"/>
          <w:szCs w:val="22"/>
          <w:lang w:val="en-US" w:eastAsia="zh-CN"/>
        </w:rPr>
        <w:t>六</w:t>
      </w:r>
      <w:r>
        <w:rPr>
          <w:rFonts w:hint="eastAsia" w:ascii="宋体" w:hAnsi="宋体"/>
          <w:b/>
          <w:color w:val="000000"/>
          <w:sz w:val="22"/>
          <w:szCs w:val="22"/>
        </w:rPr>
        <w:t>、验收标准</w:t>
      </w:r>
    </w:p>
    <w:p w14:paraId="1D70948A">
      <w:pPr>
        <w:adjustRightInd w:val="0"/>
        <w:spacing w:line="360" w:lineRule="auto"/>
        <w:ind w:firstLine="448" w:firstLineChars="200"/>
        <w:jc w:val="left"/>
        <w:rPr>
          <w:rFonts w:ascii="宋体" w:hAnsi="宋体"/>
          <w:b/>
          <w:bCs/>
          <w:color w:val="000000"/>
          <w:sz w:val="22"/>
          <w:szCs w:val="22"/>
        </w:rPr>
      </w:pPr>
      <w:r>
        <w:rPr>
          <w:rFonts w:hint="eastAsia" w:ascii="宋体" w:hAnsi="宋体"/>
          <w:b/>
          <w:bCs/>
          <w:color w:val="000000"/>
          <w:sz w:val="22"/>
          <w:szCs w:val="22"/>
        </w:rPr>
        <w:t>（一）（干货、杂货类）</w:t>
      </w:r>
    </w:p>
    <w:p w14:paraId="50D2995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1、调味品类</w:t>
      </w:r>
    </w:p>
    <w:p w14:paraId="29D83D82">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1.1 由正规厂家生产、颜色品质纯正。</w:t>
      </w:r>
    </w:p>
    <w:p w14:paraId="1E859C1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2、干货、杂货、副食品类</w:t>
      </w:r>
    </w:p>
    <w:p w14:paraId="67F41AFD">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2.1 必须选用符合国家食品卫生法规相关标准的商品，选用无毒、无害、无污染、可朔源的食品。掺假、掺杂食品坚决不能使用。</w:t>
      </w:r>
    </w:p>
    <w:p w14:paraId="75AFB106">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2.2 副食品等级标准要相符，其包装盒或标签上须注明食品名称、生产厂家、厂址、生产日期、食品的主要原料成份和食品保质期等信息，注明不详或没有注明的商品不予验收。</w:t>
      </w:r>
    </w:p>
    <w:p w14:paraId="3252C68C">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2.3 副食品表面外观新鲜、完整，无霉变异味，无砂粒杂质，无虫尸鼠粪等不洁卫生问题。</w:t>
      </w:r>
    </w:p>
    <w:p w14:paraId="03606C37">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3、米粉面粉类</w:t>
      </w:r>
    </w:p>
    <w:p w14:paraId="03255B8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3.1 米粉面粉类及其制品颜色品质要纯正，不掺假、掺杂。</w:t>
      </w:r>
    </w:p>
    <w:p w14:paraId="3562BEBE">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3.2 符合食品卫生标准，粉质细腻干爽无异物、无毒、无污染。</w:t>
      </w:r>
    </w:p>
    <w:p w14:paraId="5292B16A">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3.3 制成品不能出现异味、霉变结块、虫尸鼠粪等不洁的卫生问题。</w:t>
      </w:r>
    </w:p>
    <w:p w14:paraId="3B81763A">
      <w:pPr>
        <w:adjustRightInd w:val="0"/>
        <w:spacing w:line="360" w:lineRule="auto"/>
        <w:ind w:firstLine="448" w:firstLineChars="200"/>
        <w:jc w:val="left"/>
        <w:rPr>
          <w:rFonts w:ascii="宋体" w:hAnsi="宋体"/>
          <w:b/>
          <w:color w:val="000000"/>
          <w:sz w:val="22"/>
          <w:szCs w:val="22"/>
        </w:rPr>
      </w:pPr>
      <w:r>
        <w:rPr>
          <w:rFonts w:hint="eastAsia" w:ascii="宋体" w:hAnsi="宋体"/>
          <w:b/>
          <w:color w:val="000000"/>
          <w:sz w:val="22"/>
          <w:szCs w:val="22"/>
        </w:rPr>
        <w:t>上述货品必须符合国家食品卫生法规相关标准，符合采购人使用要求，货品必须保证有三分之二以上保质期（如货品有保质期）。</w:t>
      </w:r>
    </w:p>
    <w:p w14:paraId="785BAE01">
      <w:pPr>
        <w:adjustRightInd w:val="0"/>
        <w:spacing w:line="360" w:lineRule="auto"/>
        <w:ind w:firstLine="448" w:firstLineChars="200"/>
        <w:jc w:val="left"/>
        <w:rPr>
          <w:rFonts w:ascii="宋体" w:hAnsi="宋体"/>
          <w:b/>
          <w:bCs/>
          <w:color w:val="000000"/>
          <w:sz w:val="22"/>
          <w:szCs w:val="22"/>
        </w:rPr>
      </w:pPr>
      <w:r>
        <w:rPr>
          <w:rFonts w:hint="eastAsia" w:ascii="宋体" w:hAnsi="宋体"/>
          <w:b/>
          <w:bCs/>
          <w:color w:val="000000"/>
          <w:sz w:val="22"/>
          <w:szCs w:val="22"/>
        </w:rPr>
        <w:t>（二）（肉类）</w:t>
      </w:r>
    </w:p>
    <w:p w14:paraId="5A73F600">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1、猪肉类</w:t>
      </w:r>
    </w:p>
    <w:p w14:paraId="69E2A90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1.1 具有当天卫生监督部门发放的“动物检疫合格证明”，肉体印有检疫章。</w:t>
      </w:r>
    </w:p>
    <w:p w14:paraId="4D6D6221">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1.2 表皮干爽、肌体结实、肉质紧密、肉色淡红新鲜，肥肉洁白而细腻。</w:t>
      </w:r>
    </w:p>
    <w:p w14:paraId="1F8673F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1.3 外观检测无异味、无寄生虫、无粘液、无渗出液体、指压反弹迅速、具有猪肉自然气味。</w:t>
      </w:r>
    </w:p>
    <w:p w14:paraId="27389A22">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1.4 运输设备具备恒温保鲜（5度），存放容器保持清洁卫生，包装合理且材料无污染。</w:t>
      </w:r>
    </w:p>
    <w:p w14:paraId="622C239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2、牛肉类</w:t>
      </w:r>
    </w:p>
    <w:p w14:paraId="1881E480">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2.1 具有当天卫生监督部门发放的“动物检疫合格证明”，外观检测新鲜肉质柔软有光泽、无腐臭变质异味、无寄生虫、无粘液、无渗出液体。</w:t>
      </w:r>
    </w:p>
    <w:p w14:paraId="3692F216">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2.2 牛肉色泽棕红，脂肪呈淡黄色或深黄色，肉质坚硬，弹性足。</w:t>
      </w:r>
    </w:p>
    <w:p w14:paraId="483D5CDC">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2.3运输设备具备恒温保鲜（5度），存放容器保持清洁卫生，包装合理且材料无污染。</w:t>
      </w:r>
    </w:p>
    <w:p w14:paraId="407F5026">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3、羊肉类</w:t>
      </w:r>
    </w:p>
    <w:p w14:paraId="1DBD92F2">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3.1 具有当天卫生监督部门发放的“动物检疫合格证明”。</w:t>
      </w:r>
    </w:p>
    <w:p w14:paraId="44664EE6">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3.2 羊肉色泽暗红，纤维细而软，肌间少脂肪。</w:t>
      </w:r>
    </w:p>
    <w:p w14:paraId="65CF55AC">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3.3运输设备具备恒温保鲜（5度），存放容器保持清洁卫生，包装合理且材料无污染。</w:t>
      </w:r>
    </w:p>
    <w:p w14:paraId="206C8D4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4、水产品类</w:t>
      </w:r>
    </w:p>
    <w:p w14:paraId="5D81992C">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4.1 必须鲜活。</w:t>
      </w:r>
    </w:p>
    <w:p w14:paraId="11DFFC1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4.2 鲜鱼鳞片完整，有光泽无脱落，鳃口紧闭，眼球光亮透明，鱼鳃鲜红，鳍尾完整，确保新鲜。</w:t>
      </w:r>
    </w:p>
    <w:p w14:paraId="1892C15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4.3 身体饱满结实，无腐烂异味，肉质紧密有弹性，无离骨脱刺现象。</w:t>
      </w:r>
    </w:p>
    <w:p w14:paraId="328B4F3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4.4 来源可靠放心，无毒、无害、无污染。</w:t>
      </w:r>
    </w:p>
    <w:p w14:paraId="32C4E98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5、三鸟类（采购人以实际需求确定</w:t>
      </w:r>
      <w:r>
        <w:rPr>
          <w:rFonts w:hint="eastAsia" w:ascii="宋体" w:hAnsi="宋体"/>
          <w:color w:val="000000"/>
          <w:sz w:val="22"/>
          <w:szCs w:val="22"/>
          <w:lang w:eastAsia="zh-CN"/>
        </w:rPr>
        <w:t>中标</w:t>
      </w:r>
      <w:r>
        <w:rPr>
          <w:rFonts w:hint="eastAsia" w:ascii="宋体" w:hAnsi="宋体"/>
          <w:color w:val="000000"/>
          <w:sz w:val="22"/>
          <w:szCs w:val="22"/>
        </w:rPr>
        <w:t>供应商是否需要屠杀好供货）</w:t>
      </w:r>
    </w:p>
    <w:p w14:paraId="742073B0">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5.1 活禽类：</w:t>
      </w:r>
    </w:p>
    <w:p w14:paraId="375ACF6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①具有当天卫生监督部门发放的“动物检疫合格证明”。</w:t>
      </w:r>
    </w:p>
    <w:p w14:paraId="07F3B51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 xml:space="preserve">②必须鲜活；羽毛完整、有光泽无不正常脱落。 </w:t>
      </w:r>
    </w:p>
    <w:p w14:paraId="73D459CD">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③身体饱满结实，来源可靠放心，无毒、无害、无污染。</w:t>
      </w:r>
    </w:p>
    <w:p w14:paraId="7F23F1B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5.2 屠杀好的：</w:t>
      </w:r>
    </w:p>
    <w:p w14:paraId="13543350">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①具有当天卫生监督部门发放的“动物检疫合格证明”。</w:t>
      </w:r>
    </w:p>
    <w:p w14:paraId="715978E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②肉质新鲜柔软有光泽，质地紧密，脂肪呈白色或淡黄色，肉质细腻、无腐烂异味， 肉体结实，内脏清掏干净，肉质弹性足无明显渗出液体，总体无粘液。</w:t>
      </w:r>
    </w:p>
    <w:p w14:paraId="7F80C30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③运输设备具备恒温保鲜（5度），存放容器保持清洁卫生，包装合理，来源可靠放心，无毒、无害、无污染。</w:t>
      </w:r>
    </w:p>
    <w:p w14:paraId="69635824">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6、零星冻品副食品类</w:t>
      </w:r>
    </w:p>
    <w:p w14:paraId="10B16402">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6.1 必须选用符合国家食品卫生法规相关标准的商品，选用无毒、无害、无污染、可朔源的副食品。掺假、掺杂副食品坚决不能使用。</w:t>
      </w:r>
    </w:p>
    <w:p w14:paraId="5F36CA0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6.2 食品等级标准要相符，其包装盒或标签上须注明食品名称，生产厂家、厂址、生产日期、食品的主要原料成份和食品保质期等信息，注明不详或没有注明的商品不予验收。</w:t>
      </w:r>
    </w:p>
    <w:p w14:paraId="754E836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6.3 冻肉类产品中间不能有过多冰块，重量必须和包装箱上标明的重量一致。</w:t>
      </w:r>
    </w:p>
    <w:p w14:paraId="7432B03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6.4 奶制品色泽乳白，口味鲜香，包装完整，无破损，验收每批在保质期二分之一以上，符合国家规定的质量卫生标准。</w:t>
      </w:r>
    </w:p>
    <w:p w14:paraId="33C695D9">
      <w:pPr>
        <w:adjustRightInd w:val="0"/>
        <w:spacing w:line="360" w:lineRule="auto"/>
        <w:ind w:firstLine="448" w:firstLineChars="200"/>
        <w:jc w:val="left"/>
        <w:rPr>
          <w:rFonts w:ascii="宋体" w:hAnsi="宋体"/>
          <w:b/>
          <w:bCs/>
          <w:color w:val="000000"/>
          <w:sz w:val="22"/>
          <w:szCs w:val="22"/>
        </w:rPr>
      </w:pPr>
      <w:r>
        <w:rPr>
          <w:rFonts w:hint="eastAsia" w:ascii="宋体" w:hAnsi="宋体"/>
          <w:b/>
          <w:bCs/>
          <w:color w:val="000000"/>
          <w:sz w:val="22"/>
          <w:szCs w:val="22"/>
        </w:rPr>
        <w:t>（三）（蔬菜类）</w:t>
      </w:r>
    </w:p>
    <w:p w14:paraId="7469F81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1、应保持较好的色泽和新鲜度。</w:t>
      </w:r>
    </w:p>
    <w:p w14:paraId="684DCE85">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2、符合国家食品卫生标准，蔬菜不得有黄叶；不得腐烂和泥沙等现象。</w:t>
      </w:r>
    </w:p>
    <w:p w14:paraId="0FA05162">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3、无公害、农药残留不得超标，提供农药残留检测证明。</w:t>
      </w:r>
    </w:p>
    <w:p w14:paraId="39A44150">
      <w:pPr>
        <w:adjustRightInd w:val="0"/>
        <w:spacing w:line="360" w:lineRule="auto"/>
        <w:ind w:firstLine="448" w:firstLineChars="200"/>
        <w:jc w:val="left"/>
        <w:rPr>
          <w:rFonts w:ascii="宋体" w:hAnsi="宋体"/>
          <w:b/>
          <w:bCs/>
          <w:color w:val="000000"/>
          <w:sz w:val="22"/>
          <w:szCs w:val="22"/>
        </w:rPr>
      </w:pPr>
      <w:r>
        <w:rPr>
          <w:rFonts w:hint="eastAsia" w:ascii="宋体" w:hAnsi="宋体"/>
          <w:b/>
          <w:bCs/>
          <w:color w:val="000000"/>
          <w:sz w:val="22"/>
          <w:szCs w:val="22"/>
        </w:rPr>
        <w:t>（四）（水果类）</w:t>
      </w:r>
    </w:p>
    <w:p w14:paraId="3B893FCF">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符合国家食品卫生标准，具有品种应有的外形，大小均匀，果面光滑有光泽，无畸形果，无病虫害；具有品种应有的自然色泽，无斑点或极少果锈，不起皱，无裂口，无压痕及其他机械损伤和冻伤黑斑，无腐臭变质异味、无寄生虫、无粘液、无渗出液体。</w:t>
      </w:r>
    </w:p>
    <w:p w14:paraId="0FA8767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2、无公害、农药残留不得超标，提供农药残留检测证明。</w:t>
      </w:r>
    </w:p>
    <w:p w14:paraId="2420EEE5">
      <w:pPr>
        <w:adjustRightInd w:val="0"/>
        <w:spacing w:line="360" w:lineRule="auto"/>
        <w:ind w:firstLine="448" w:firstLineChars="200"/>
        <w:jc w:val="left"/>
        <w:rPr>
          <w:rFonts w:ascii="宋体" w:hAnsi="宋体"/>
          <w:b/>
          <w:bCs/>
          <w:color w:val="000000"/>
          <w:sz w:val="22"/>
          <w:szCs w:val="22"/>
        </w:rPr>
      </w:pPr>
      <w:r>
        <w:rPr>
          <w:rFonts w:hint="eastAsia" w:ascii="宋体" w:hAnsi="宋体"/>
          <w:b/>
          <w:bCs/>
          <w:color w:val="000000"/>
          <w:sz w:val="22"/>
          <w:szCs w:val="22"/>
        </w:rPr>
        <w:t>（五）（粮油及调味产品）</w:t>
      </w:r>
    </w:p>
    <w:p w14:paraId="388BA32A">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w:t>
      </w:r>
      <w:r>
        <w:rPr>
          <w:rFonts w:hint="eastAsia" w:ascii="宋体" w:hAnsi="宋体"/>
          <w:color w:val="000000"/>
          <w:sz w:val="22"/>
          <w:szCs w:val="22"/>
          <w:lang w:eastAsia="zh-CN"/>
        </w:rPr>
        <w:t>中标</w:t>
      </w:r>
      <w:r>
        <w:rPr>
          <w:rFonts w:hint="eastAsia" w:ascii="宋体" w:hAnsi="宋体"/>
          <w:color w:val="000000"/>
          <w:sz w:val="22"/>
          <w:szCs w:val="22"/>
        </w:rPr>
        <w:t>供应商对供应的调味品、粮油类产品的储存、运输、分装等操作必须符合广东省调味品、粮油类产品加工经营卫生规范以及国家最新防控风险要求。确保调味品、粮油类产品在配送前储存在符合相关规定的场所环境。</w:t>
      </w:r>
    </w:p>
    <w:p w14:paraId="643218F9">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2、</w:t>
      </w:r>
      <w:r>
        <w:rPr>
          <w:rFonts w:hint="eastAsia" w:ascii="宋体" w:hAnsi="宋体"/>
          <w:color w:val="000000"/>
          <w:sz w:val="22"/>
          <w:szCs w:val="22"/>
          <w:lang w:eastAsia="zh-CN"/>
        </w:rPr>
        <w:t>中标</w:t>
      </w:r>
      <w:r>
        <w:rPr>
          <w:rFonts w:hint="eastAsia" w:ascii="宋体" w:hAnsi="宋体"/>
          <w:color w:val="000000"/>
          <w:sz w:val="22"/>
          <w:szCs w:val="22"/>
        </w:rPr>
        <w:t>供应商须对采购人购买的食品分类用器具装载，不得混装，运输过程应采取相应的保鲜防护措施。必须采用符合卫生要求的运载工具，运输车辆内外必须清洁干净，无污渍，无异味，要保持清洁和定期消毒。容器要求清洁、干燥、牢固、透气，无污染、无异味、无霉变现象。</w:t>
      </w:r>
    </w:p>
    <w:p w14:paraId="4399D221">
      <w:pPr>
        <w:adjustRightInd w:val="0"/>
        <w:spacing w:line="360" w:lineRule="auto"/>
        <w:jc w:val="left"/>
        <w:rPr>
          <w:rFonts w:ascii="宋体" w:hAnsi="宋体"/>
          <w:color w:val="000000"/>
          <w:sz w:val="22"/>
          <w:szCs w:val="22"/>
        </w:rPr>
      </w:pPr>
    </w:p>
    <w:p w14:paraId="67F15158">
      <w:pPr>
        <w:adjustRightInd w:val="0"/>
        <w:spacing w:line="360" w:lineRule="auto"/>
        <w:jc w:val="left"/>
        <w:rPr>
          <w:rFonts w:ascii="宋体" w:hAnsi="宋体"/>
          <w:b/>
          <w:color w:val="000000"/>
          <w:sz w:val="22"/>
          <w:szCs w:val="22"/>
        </w:rPr>
      </w:pPr>
      <w:r>
        <w:rPr>
          <w:rFonts w:hint="eastAsia" w:ascii="宋体" w:hAnsi="宋体"/>
          <w:b/>
          <w:color w:val="000000"/>
          <w:sz w:val="22"/>
          <w:szCs w:val="22"/>
          <w:lang w:val="en-US" w:eastAsia="zh-CN"/>
        </w:rPr>
        <w:t>七</w:t>
      </w:r>
      <w:r>
        <w:rPr>
          <w:rFonts w:hint="eastAsia" w:ascii="宋体" w:hAnsi="宋体"/>
          <w:b/>
          <w:color w:val="000000"/>
          <w:sz w:val="22"/>
          <w:szCs w:val="22"/>
        </w:rPr>
        <w:t>、定价周期</w:t>
      </w:r>
    </w:p>
    <w:p w14:paraId="3B4D1A68">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1、餐料物资供货价格为浮动价格</w:t>
      </w:r>
    </w:p>
    <w:p w14:paraId="62B091DB">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1.1 （干货、杂货类）价格每月更新一次，</w:t>
      </w:r>
      <w:r>
        <w:rPr>
          <w:rFonts w:hint="eastAsia" w:ascii="宋体" w:hAnsi="宋体"/>
          <w:color w:val="000000"/>
          <w:sz w:val="22"/>
          <w:szCs w:val="22"/>
          <w:lang w:eastAsia="zh-CN"/>
        </w:rPr>
        <w:t>中标</w:t>
      </w:r>
      <w:r>
        <w:rPr>
          <w:rFonts w:hint="eastAsia" w:ascii="宋体" w:hAnsi="宋体"/>
          <w:color w:val="000000"/>
          <w:sz w:val="22"/>
          <w:szCs w:val="22"/>
        </w:rPr>
        <w:t>供应商每月28日前提交下个月报价给采购人审核。</w:t>
      </w:r>
    </w:p>
    <w:p w14:paraId="7B198FB3">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1.2 （肉类）价格每半月更新一次，</w:t>
      </w:r>
      <w:r>
        <w:rPr>
          <w:rFonts w:hint="eastAsia" w:ascii="宋体" w:hAnsi="宋体"/>
          <w:color w:val="000000"/>
          <w:sz w:val="22"/>
          <w:szCs w:val="22"/>
          <w:lang w:eastAsia="zh-CN"/>
        </w:rPr>
        <w:t>中标</w:t>
      </w:r>
      <w:r>
        <w:rPr>
          <w:rFonts w:hint="eastAsia" w:ascii="宋体" w:hAnsi="宋体"/>
          <w:color w:val="000000"/>
          <w:sz w:val="22"/>
          <w:szCs w:val="22"/>
        </w:rPr>
        <w:t>供应商每月13日前提交下半月报价给采购人审核，每月28日前提交下个月上半月报价给采购人审核。</w:t>
      </w:r>
    </w:p>
    <w:p w14:paraId="24B1861E">
      <w:pPr>
        <w:adjustRightInd w:val="0"/>
        <w:spacing w:line="360" w:lineRule="auto"/>
        <w:ind w:firstLine="448" w:firstLineChars="200"/>
        <w:jc w:val="left"/>
        <w:rPr>
          <w:rFonts w:ascii="宋体" w:hAnsi="宋体"/>
          <w:color w:val="000000"/>
          <w:sz w:val="22"/>
          <w:szCs w:val="22"/>
        </w:rPr>
      </w:pPr>
      <w:r>
        <w:rPr>
          <w:rFonts w:hint="eastAsia" w:ascii="宋体" w:hAnsi="宋体"/>
          <w:color w:val="000000"/>
          <w:sz w:val="22"/>
          <w:szCs w:val="22"/>
        </w:rPr>
        <w:t>1.3 （蔬菜类）价格每半月更新一次，</w:t>
      </w:r>
      <w:r>
        <w:rPr>
          <w:rFonts w:hint="eastAsia" w:ascii="宋体" w:hAnsi="宋体"/>
          <w:color w:val="000000"/>
          <w:sz w:val="22"/>
          <w:szCs w:val="22"/>
          <w:lang w:eastAsia="zh-CN"/>
        </w:rPr>
        <w:t>中标</w:t>
      </w:r>
      <w:r>
        <w:rPr>
          <w:rFonts w:hint="eastAsia" w:ascii="宋体" w:hAnsi="宋体"/>
          <w:color w:val="000000"/>
          <w:sz w:val="22"/>
          <w:szCs w:val="22"/>
        </w:rPr>
        <w:t>供应商每月13日前提交下半月报价给采购人审核，每月28日前提交下个月上半月报价给采购人审核。</w:t>
      </w:r>
    </w:p>
    <w:p w14:paraId="695A839D">
      <w:pPr>
        <w:adjustRightInd w:val="0"/>
        <w:spacing w:line="360" w:lineRule="auto"/>
        <w:ind w:firstLine="448" w:firstLineChars="200"/>
        <w:jc w:val="left"/>
        <w:rPr>
          <w:rFonts w:hint="eastAsia" w:ascii="宋体" w:hAnsi="宋体" w:eastAsia="宋体" w:cs="宋体"/>
          <w:b/>
          <w:bCs/>
          <w:color w:val="auto"/>
          <w:sz w:val="21"/>
          <w:szCs w:val="21"/>
          <w:lang w:val="en-US" w:eastAsia="zh-CN"/>
        </w:rPr>
      </w:pPr>
      <w:r>
        <w:rPr>
          <w:rFonts w:hint="eastAsia" w:ascii="宋体" w:hAnsi="宋体"/>
          <w:color w:val="000000"/>
          <w:sz w:val="22"/>
          <w:szCs w:val="22"/>
        </w:rPr>
        <w:t>2、临时委托采购：</w:t>
      </w:r>
      <w:r>
        <w:rPr>
          <w:rFonts w:hint="eastAsia" w:ascii="宋体" w:hAnsi="宋体"/>
          <w:color w:val="000000"/>
          <w:sz w:val="22"/>
          <w:szCs w:val="22"/>
          <w:lang w:eastAsia="zh-CN"/>
        </w:rPr>
        <w:t>中标</w:t>
      </w:r>
      <w:r>
        <w:rPr>
          <w:rFonts w:hint="eastAsia" w:ascii="宋体" w:hAnsi="宋体"/>
          <w:color w:val="000000"/>
          <w:sz w:val="22"/>
          <w:szCs w:val="22"/>
        </w:rPr>
        <w:t>供应商必须按照采购人急需餐料物资品种、数量、送货时间、地点等在4小时内进行供货，若急需餐料物资不在供货物资清单表上，其供货价格采购人在3个工作日内给予复核。</w:t>
      </w:r>
    </w:p>
    <w:bookmarkEnd w:id="12"/>
    <w:bookmarkEnd w:id="13"/>
    <w:bookmarkEnd w:id="14"/>
    <w:bookmarkEnd w:id="15"/>
    <w:p w14:paraId="1911832E">
      <w:pPr>
        <w:rPr>
          <w:rFonts w:hint="eastAsia"/>
          <w:color w:val="auto"/>
          <w:sz w:val="21"/>
          <w:szCs w:val="21"/>
          <w:highlight w:val="none"/>
        </w:rPr>
      </w:pPr>
      <w:r>
        <w:rPr>
          <w:rFonts w:hint="eastAsia"/>
          <w:color w:val="auto"/>
          <w:sz w:val="21"/>
          <w:szCs w:val="21"/>
          <w:highlight w:val="none"/>
        </w:rPr>
        <w:br w:type="page"/>
      </w:r>
    </w:p>
    <w:p w14:paraId="08E4105B">
      <w:pPr>
        <w:pStyle w:val="5"/>
        <w:spacing w:before="0" w:after="0" w:line="240" w:lineRule="auto"/>
        <w:rPr>
          <w:color w:val="auto"/>
          <w:sz w:val="24"/>
          <w:szCs w:val="24"/>
          <w:highlight w:val="none"/>
        </w:rPr>
      </w:pPr>
      <w:bookmarkStart w:id="21" w:name="_Toc346"/>
      <w:r>
        <w:rPr>
          <w:rFonts w:hint="eastAsia"/>
          <w:color w:val="auto"/>
          <w:sz w:val="28"/>
          <w:szCs w:val="28"/>
          <w:highlight w:val="none"/>
        </w:rPr>
        <w:t>第四部分投标人须知</w:t>
      </w:r>
      <w:bookmarkEnd w:id="21"/>
    </w:p>
    <w:p w14:paraId="16CD68F8">
      <w:pPr>
        <w:pStyle w:val="6"/>
        <w:numPr>
          <w:ilvl w:val="0"/>
          <w:numId w:val="2"/>
        </w:numPr>
        <w:spacing w:before="0" w:after="0" w:line="480" w:lineRule="auto"/>
        <w:jc w:val="center"/>
        <w:rPr>
          <w:rFonts w:ascii="宋体" w:hAnsi="宋体"/>
          <w:color w:val="auto"/>
          <w:highlight w:val="none"/>
        </w:rPr>
      </w:pPr>
      <w:bookmarkStart w:id="22" w:name="_Toc20055"/>
      <w:r>
        <w:rPr>
          <w:rFonts w:hint="eastAsia" w:ascii="宋体" w:hAnsi="宋体"/>
          <w:color w:val="auto"/>
          <w:highlight w:val="none"/>
        </w:rPr>
        <w:t>说明</w:t>
      </w:r>
      <w:bookmarkEnd w:id="22"/>
    </w:p>
    <w:p w14:paraId="17F9F2EB">
      <w:pPr>
        <w:pStyle w:val="7"/>
        <w:widowControl w:val="0"/>
        <w:numPr>
          <w:ilvl w:val="0"/>
          <w:numId w:val="3"/>
        </w:numPr>
        <w:overflowPunct w:val="0"/>
        <w:rPr>
          <w:rFonts w:ascii="宋体" w:hAnsi="宋体" w:cs="宋体"/>
          <w:color w:val="auto"/>
          <w:sz w:val="21"/>
          <w:szCs w:val="21"/>
          <w:highlight w:val="none"/>
        </w:rPr>
      </w:pPr>
      <w:bookmarkStart w:id="23" w:name="_Toc24275"/>
      <w:r>
        <w:rPr>
          <w:rFonts w:hint="eastAsia" w:ascii="宋体" w:hAnsi="宋体" w:cs="宋体"/>
          <w:color w:val="auto"/>
          <w:sz w:val="21"/>
          <w:szCs w:val="21"/>
          <w:highlight w:val="none"/>
        </w:rPr>
        <w:t>适用范围</w:t>
      </w:r>
      <w:bookmarkEnd w:id="23"/>
    </w:p>
    <w:p w14:paraId="0AC0EE5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69A22683">
      <w:pPr>
        <w:rPr>
          <w:rFonts w:ascii="宋体" w:hAnsi="宋体" w:cs="宋体"/>
          <w:color w:val="auto"/>
          <w:highlight w:val="none"/>
        </w:rPr>
      </w:pPr>
    </w:p>
    <w:p w14:paraId="0160B75F">
      <w:pPr>
        <w:pStyle w:val="7"/>
        <w:widowControl w:val="0"/>
        <w:numPr>
          <w:ilvl w:val="0"/>
          <w:numId w:val="3"/>
        </w:numPr>
        <w:overflowPunct w:val="0"/>
        <w:rPr>
          <w:rFonts w:ascii="宋体" w:hAnsi="宋体" w:cs="宋体"/>
          <w:color w:val="auto"/>
          <w:sz w:val="21"/>
          <w:szCs w:val="21"/>
          <w:highlight w:val="none"/>
        </w:rPr>
      </w:pPr>
      <w:bookmarkStart w:id="24" w:name="_Toc298847174"/>
      <w:bookmarkStart w:id="25" w:name="_Toc303084246"/>
      <w:bookmarkStart w:id="26" w:name="_Toc1530"/>
      <w:bookmarkStart w:id="27" w:name="_Toc382049092"/>
      <w:bookmarkStart w:id="28" w:name="_Toc10550"/>
      <w:r>
        <w:rPr>
          <w:rFonts w:hint="eastAsia" w:ascii="宋体" w:hAnsi="宋体" w:cs="宋体"/>
          <w:color w:val="auto"/>
          <w:sz w:val="21"/>
          <w:szCs w:val="21"/>
          <w:highlight w:val="none"/>
        </w:rPr>
        <w:t>定义</w:t>
      </w:r>
      <w:bookmarkEnd w:id="24"/>
      <w:bookmarkEnd w:id="25"/>
      <w:bookmarkEnd w:id="26"/>
      <w:bookmarkEnd w:id="27"/>
      <w:bookmarkEnd w:id="28"/>
    </w:p>
    <w:p w14:paraId="6C01125A">
      <w:pPr>
        <w:pStyle w:val="40"/>
        <w:widowControl w:val="0"/>
        <w:adjustRightInd/>
        <w:snapToGrid/>
        <w:ind w:left="425" w:firstLineChars="0"/>
        <w:jc w:val="both"/>
        <w:rPr>
          <w:rFonts w:ascii="宋体" w:hAnsi="宋体" w:cs="宋体"/>
          <w:vanish/>
          <w:color w:val="auto"/>
          <w:szCs w:val="21"/>
          <w:highlight w:val="none"/>
        </w:rPr>
      </w:pPr>
    </w:p>
    <w:p w14:paraId="269F1E1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7C49670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789BC92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2FEAA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6F6A7D5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543F4C1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490D02E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722731F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1738DF8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0E2DBCFF">
      <w:pPr>
        <w:rPr>
          <w:rFonts w:ascii="宋体" w:hAnsi="宋体" w:cs="宋体"/>
          <w:color w:val="auto"/>
          <w:highlight w:val="none"/>
        </w:rPr>
      </w:pPr>
    </w:p>
    <w:p w14:paraId="68DEDAED">
      <w:pPr>
        <w:pStyle w:val="7"/>
        <w:widowControl w:val="0"/>
        <w:numPr>
          <w:ilvl w:val="0"/>
          <w:numId w:val="3"/>
        </w:numPr>
        <w:overflowPunct w:val="0"/>
        <w:rPr>
          <w:rFonts w:ascii="宋体" w:hAnsi="宋体" w:cs="宋体"/>
          <w:color w:val="auto"/>
          <w:sz w:val="21"/>
          <w:szCs w:val="21"/>
          <w:highlight w:val="none"/>
        </w:rPr>
      </w:pPr>
      <w:bookmarkStart w:id="29" w:name="_Toc28664"/>
      <w:r>
        <w:rPr>
          <w:rFonts w:hint="eastAsia" w:ascii="宋体" w:hAnsi="宋体" w:cs="宋体"/>
          <w:color w:val="auto"/>
          <w:sz w:val="21"/>
          <w:szCs w:val="21"/>
          <w:highlight w:val="none"/>
        </w:rPr>
        <w:t>货物和服务</w:t>
      </w:r>
      <w:bookmarkEnd w:id="29"/>
    </w:p>
    <w:p w14:paraId="11004DBC">
      <w:pPr>
        <w:pStyle w:val="40"/>
        <w:widowControl w:val="0"/>
        <w:adjustRightInd/>
        <w:snapToGrid/>
        <w:ind w:left="425" w:firstLineChars="0"/>
        <w:jc w:val="both"/>
        <w:rPr>
          <w:rFonts w:ascii="宋体" w:hAnsi="宋体" w:cs="宋体"/>
          <w:vanish/>
          <w:color w:val="auto"/>
          <w:szCs w:val="21"/>
          <w:highlight w:val="none"/>
        </w:rPr>
      </w:pPr>
    </w:p>
    <w:p w14:paraId="7A38244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2CE92DB1">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049AE3AE">
      <w:pPr>
        <w:rPr>
          <w:rFonts w:ascii="宋体" w:hAnsi="宋体" w:cs="宋体"/>
          <w:color w:val="auto"/>
          <w:highlight w:val="none"/>
        </w:rPr>
      </w:pPr>
    </w:p>
    <w:p w14:paraId="7688F6F7">
      <w:pPr>
        <w:pStyle w:val="7"/>
        <w:widowControl w:val="0"/>
        <w:numPr>
          <w:ilvl w:val="0"/>
          <w:numId w:val="3"/>
        </w:numPr>
        <w:overflowPunct w:val="0"/>
        <w:rPr>
          <w:rFonts w:ascii="宋体" w:hAnsi="宋体" w:cs="宋体"/>
          <w:color w:val="auto"/>
          <w:sz w:val="21"/>
          <w:szCs w:val="21"/>
          <w:highlight w:val="none"/>
        </w:rPr>
      </w:pPr>
      <w:bookmarkStart w:id="30" w:name="_Toc7589"/>
      <w:r>
        <w:rPr>
          <w:rFonts w:hint="eastAsia" w:ascii="宋体" w:hAnsi="宋体" w:cs="宋体"/>
          <w:color w:val="auto"/>
          <w:sz w:val="21"/>
          <w:szCs w:val="21"/>
          <w:highlight w:val="none"/>
        </w:rPr>
        <w:t>投标费用</w:t>
      </w:r>
      <w:bookmarkEnd w:id="30"/>
    </w:p>
    <w:p w14:paraId="51FD79DA">
      <w:pPr>
        <w:pStyle w:val="40"/>
        <w:widowControl w:val="0"/>
        <w:adjustRightInd/>
        <w:snapToGrid/>
        <w:ind w:left="425" w:firstLineChars="0"/>
        <w:jc w:val="both"/>
        <w:rPr>
          <w:rFonts w:ascii="宋体" w:hAnsi="宋体" w:cs="宋体"/>
          <w:vanish/>
          <w:color w:val="auto"/>
          <w:szCs w:val="21"/>
          <w:highlight w:val="none"/>
        </w:rPr>
      </w:pPr>
    </w:p>
    <w:p w14:paraId="351CDE4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3EF9CEBE">
      <w:pPr>
        <w:widowControl w:val="0"/>
        <w:adjustRightInd/>
        <w:snapToGrid/>
        <w:jc w:val="both"/>
        <w:rPr>
          <w:rFonts w:ascii="宋体" w:hAnsi="宋体" w:cs="宋体"/>
          <w:color w:val="auto"/>
          <w:szCs w:val="21"/>
          <w:highlight w:val="none"/>
        </w:rPr>
      </w:pPr>
    </w:p>
    <w:p w14:paraId="58450005">
      <w:pPr>
        <w:pStyle w:val="7"/>
        <w:widowControl w:val="0"/>
        <w:numPr>
          <w:ilvl w:val="0"/>
          <w:numId w:val="3"/>
        </w:numPr>
        <w:overflowPunct w:val="0"/>
        <w:rPr>
          <w:rFonts w:ascii="宋体" w:hAnsi="宋体" w:cs="宋体"/>
          <w:color w:val="auto"/>
          <w:sz w:val="21"/>
          <w:szCs w:val="21"/>
          <w:highlight w:val="none"/>
        </w:rPr>
      </w:pPr>
      <w:bookmarkStart w:id="31" w:name="_Toc29617"/>
      <w:r>
        <w:rPr>
          <w:rFonts w:hint="eastAsia" w:ascii="宋体" w:hAnsi="宋体" w:cs="宋体"/>
          <w:color w:val="auto"/>
          <w:sz w:val="21"/>
          <w:szCs w:val="21"/>
          <w:highlight w:val="none"/>
        </w:rPr>
        <w:t>知识产权</w:t>
      </w:r>
      <w:bookmarkEnd w:id="31"/>
    </w:p>
    <w:p w14:paraId="380ACC6E">
      <w:pPr>
        <w:pStyle w:val="40"/>
        <w:widowControl w:val="0"/>
        <w:adjustRightInd/>
        <w:snapToGrid/>
        <w:ind w:left="425" w:firstLineChars="0"/>
        <w:jc w:val="both"/>
        <w:rPr>
          <w:rFonts w:ascii="宋体" w:hAnsi="宋体" w:cs="宋体"/>
          <w:vanish/>
          <w:color w:val="auto"/>
          <w:szCs w:val="21"/>
          <w:highlight w:val="none"/>
        </w:rPr>
      </w:pPr>
    </w:p>
    <w:p w14:paraId="7970219D">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E4812A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182692F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53B053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703D1673">
      <w:pPr>
        <w:widowControl w:val="0"/>
        <w:adjustRightInd/>
        <w:snapToGrid/>
        <w:ind w:left="567"/>
        <w:jc w:val="both"/>
        <w:rPr>
          <w:rFonts w:ascii="宋体" w:hAnsi="宋体" w:cs="宋体"/>
          <w:color w:val="auto"/>
          <w:szCs w:val="21"/>
          <w:highlight w:val="none"/>
        </w:rPr>
      </w:pPr>
    </w:p>
    <w:p w14:paraId="190A8278">
      <w:pPr>
        <w:pStyle w:val="7"/>
        <w:widowControl w:val="0"/>
        <w:numPr>
          <w:ilvl w:val="0"/>
          <w:numId w:val="3"/>
        </w:numPr>
        <w:overflowPunct w:val="0"/>
        <w:rPr>
          <w:rFonts w:ascii="宋体" w:hAnsi="宋体" w:cs="宋体"/>
          <w:color w:val="auto"/>
          <w:sz w:val="21"/>
          <w:szCs w:val="21"/>
          <w:highlight w:val="none"/>
        </w:rPr>
      </w:pPr>
      <w:bookmarkStart w:id="32" w:name="_Toc25988"/>
      <w:r>
        <w:rPr>
          <w:rFonts w:hint="eastAsia" w:ascii="宋体" w:hAnsi="宋体" w:cs="宋体"/>
          <w:color w:val="auto"/>
          <w:sz w:val="21"/>
          <w:szCs w:val="21"/>
          <w:highlight w:val="none"/>
        </w:rPr>
        <w:t>关于联合体投标</w:t>
      </w:r>
      <w:bookmarkEnd w:id="32"/>
    </w:p>
    <w:p w14:paraId="748C8F58">
      <w:pPr>
        <w:pStyle w:val="40"/>
        <w:widowControl w:val="0"/>
        <w:adjustRightInd/>
        <w:snapToGrid/>
        <w:ind w:left="425" w:firstLineChars="0"/>
        <w:jc w:val="both"/>
        <w:rPr>
          <w:rFonts w:ascii="宋体" w:hAnsi="宋体" w:cs="宋体"/>
          <w:vanish/>
          <w:color w:val="auto"/>
          <w:szCs w:val="21"/>
          <w:highlight w:val="none"/>
        </w:rPr>
      </w:pPr>
    </w:p>
    <w:p w14:paraId="72A8C12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3E26C3C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16A115DD">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2E6C204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096302A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3CE7363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3CC615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3954D1A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39205CD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7A3A78BA">
      <w:pPr>
        <w:widowControl w:val="0"/>
        <w:adjustRightInd/>
        <w:snapToGrid/>
        <w:ind w:left="567"/>
        <w:jc w:val="both"/>
        <w:rPr>
          <w:rFonts w:ascii="宋体" w:hAnsi="宋体" w:cs="宋体"/>
          <w:color w:val="auto"/>
          <w:szCs w:val="21"/>
          <w:highlight w:val="none"/>
        </w:rPr>
      </w:pPr>
    </w:p>
    <w:p w14:paraId="41A4565D">
      <w:pPr>
        <w:pStyle w:val="7"/>
        <w:widowControl w:val="0"/>
        <w:numPr>
          <w:ilvl w:val="0"/>
          <w:numId w:val="3"/>
        </w:numPr>
        <w:overflowPunct w:val="0"/>
        <w:rPr>
          <w:rFonts w:ascii="宋体" w:hAnsi="宋体" w:cs="宋体"/>
          <w:color w:val="auto"/>
          <w:sz w:val="21"/>
          <w:szCs w:val="21"/>
          <w:highlight w:val="none"/>
        </w:rPr>
      </w:pPr>
      <w:bookmarkStart w:id="33" w:name="_Toc16531"/>
      <w:r>
        <w:rPr>
          <w:rFonts w:hint="eastAsia" w:ascii="宋体" w:hAnsi="宋体" w:cs="宋体"/>
          <w:color w:val="auto"/>
          <w:sz w:val="21"/>
          <w:szCs w:val="21"/>
          <w:highlight w:val="none"/>
        </w:rPr>
        <w:t>关于分支机构投标</w:t>
      </w:r>
      <w:bookmarkEnd w:id="33"/>
    </w:p>
    <w:p w14:paraId="11880DF7">
      <w:pPr>
        <w:pStyle w:val="40"/>
        <w:widowControl w:val="0"/>
        <w:adjustRightInd/>
        <w:snapToGrid/>
        <w:ind w:left="425" w:firstLineChars="0"/>
        <w:jc w:val="both"/>
        <w:rPr>
          <w:rFonts w:ascii="宋体" w:hAnsi="宋体" w:cs="宋体"/>
          <w:vanish/>
          <w:color w:val="auto"/>
          <w:szCs w:val="21"/>
          <w:highlight w:val="none"/>
        </w:rPr>
      </w:pPr>
      <w:bookmarkStart w:id="34" w:name="EB389f116341dd4693875bc7987e7327f3"/>
    </w:p>
    <w:p w14:paraId="4A87AA7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4"/>
    </w:p>
    <w:p w14:paraId="56CD2031">
      <w:pPr>
        <w:widowControl w:val="0"/>
        <w:adjustRightInd/>
        <w:snapToGrid/>
        <w:ind w:left="567"/>
        <w:jc w:val="both"/>
        <w:rPr>
          <w:rFonts w:ascii="宋体" w:hAnsi="宋体" w:cs="宋体"/>
          <w:color w:val="auto"/>
          <w:szCs w:val="21"/>
          <w:highlight w:val="none"/>
        </w:rPr>
      </w:pPr>
    </w:p>
    <w:p w14:paraId="24B25AA3">
      <w:pPr>
        <w:pStyle w:val="7"/>
        <w:widowControl w:val="0"/>
        <w:numPr>
          <w:ilvl w:val="0"/>
          <w:numId w:val="3"/>
        </w:numPr>
        <w:overflowPunct w:val="0"/>
        <w:rPr>
          <w:rFonts w:ascii="宋体" w:hAnsi="宋体" w:cs="宋体"/>
          <w:color w:val="auto"/>
          <w:sz w:val="21"/>
          <w:szCs w:val="21"/>
          <w:highlight w:val="none"/>
        </w:rPr>
      </w:pPr>
      <w:bookmarkStart w:id="35" w:name="_Toc14466"/>
      <w:r>
        <w:rPr>
          <w:rFonts w:hint="eastAsia" w:ascii="宋体" w:hAnsi="宋体" w:cs="宋体"/>
          <w:color w:val="auto"/>
          <w:sz w:val="21"/>
          <w:szCs w:val="21"/>
          <w:highlight w:val="none"/>
        </w:rPr>
        <w:t>踏勘现场</w:t>
      </w:r>
      <w:bookmarkEnd w:id="35"/>
    </w:p>
    <w:p w14:paraId="508D417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36A6672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043DF76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24C05AD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0DA51E08">
      <w:pPr>
        <w:rPr>
          <w:rFonts w:ascii="宋体" w:hAnsi="宋体" w:cs="宋体"/>
          <w:color w:val="auto"/>
          <w:highlight w:val="none"/>
        </w:rPr>
      </w:pPr>
    </w:p>
    <w:p w14:paraId="72934AAB">
      <w:pPr>
        <w:pStyle w:val="6"/>
        <w:numPr>
          <w:ilvl w:val="0"/>
          <w:numId w:val="2"/>
        </w:numPr>
        <w:spacing w:before="0" w:after="0" w:line="360" w:lineRule="auto"/>
        <w:jc w:val="center"/>
        <w:rPr>
          <w:rFonts w:ascii="宋体" w:hAnsi="宋体" w:cs="宋体"/>
          <w:color w:val="auto"/>
          <w:highlight w:val="none"/>
        </w:rPr>
      </w:pPr>
      <w:bookmarkStart w:id="36" w:name="_Toc9555"/>
      <w:r>
        <w:rPr>
          <w:rFonts w:hint="eastAsia" w:ascii="宋体" w:hAnsi="宋体" w:cs="宋体"/>
          <w:color w:val="auto"/>
          <w:highlight w:val="none"/>
        </w:rPr>
        <w:t>采购文件</w:t>
      </w:r>
      <w:bookmarkEnd w:id="36"/>
    </w:p>
    <w:p w14:paraId="795051CF">
      <w:pPr>
        <w:pStyle w:val="7"/>
        <w:widowControl w:val="0"/>
        <w:numPr>
          <w:ilvl w:val="0"/>
          <w:numId w:val="3"/>
        </w:numPr>
        <w:overflowPunct w:val="0"/>
        <w:rPr>
          <w:rFonts w:ascii="宋体" w:hAnsi="宋体" w:cs="宋体"/>
          <w:color w:val="auto"/>
          <w:sz w:val="21"/>
          <w:szCs w:val="21"/>
          <w:highlight w:val="none"/>
        </w:rPr>
      </w:pPr>
      <w:bookmarkStart w:id="37" w:name="_Toc20789"/>
      <w:r>
        <w:rPr>
          <w:rFonts w:hint="eastAsia" w:ascii="宋体" w:hAnsi="宋体" w:cs="宋体"/>
          <w:color w:val="auto"/>
          <w:sz w:val="21"/>
          <w:szCs w:val="21"/>
          <w:highlight w:val="none"/>
        </w:rPr>
        <w:t>采购文件的组成</w:t>
      </w:r>
      <w:bookmarkEnd w:id="37"/>
    </w:p>
    <w:p w14:paraId="1E82B3A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14:paraId="4953C61A">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（1）投标邀请书；</w:t>
      </w:r>
    </w:p>
    <w:p w14:paraId="6C0FF0DB">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（2）投标资料表；</w:t>
      </w:r>
    </w:p>
    <w:p w14:paraId="216519A7">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（3）用户需求书；</w:t>
      </w:r>
    </w:p>
    <w:p w14:paraId="6E8E4DFB">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（4）投标人须知；</w:t>
      </w:r>
    </w:p>
    <w:p w14:paraId="3A16ADEF">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79C84D89">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627273E1">
      <w:pPr>
        <w:widowControl w:val="0"/>
        <w:numPr>
          <w:ilvl w:val="0"/>
          <w:numId w:val="0"/>
        </w:numP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6A021A51">
      <w:pPr>
        <w:rPr>
          <w:rFonts w:ascii="宋体" w:hAnsi="宋体" w:cs="宋体"/>
          <w:color w:val="auto"/>
          <w:highlight w:val="none"/>
        </w:rPr>
      </w:pPr>
    </w:p>
    <w:p w14:paraId="7CCEA3C4">
      <w:pPr>
        <w:pStyle w:val="7"/>
        <w:widowControl w:val="0"/>
        <w:numPr>
          <w:ilvl w:val="0"/>
          <w:numId w:val="3"/>
        </w:numPr>
        <w:overflowPunct w:val="0"/>
        <w:rPr>
          <w:rFonts w:ascii="宋体" w:hAnsi="宋体" w:cs="宋体"/>
          <w:color w:val="auto"/>
          <w:sz w:val="21"/>
          <w:szCs w:val="21"/>
          <w:highlight w:val="none"/>
        </w:rPr>
      </w:pPr>
      <w:bookmarkStart w:id="38" w:name="_Toc26111"/>
      <w:r>
        <w:rPr>
          <w:rFonts w:hint="eastAsia" w:ascii="宋体" w:hAnsi="宋体" w:cs="宋体"/>
          <w:color w:val="auto"/>
          <w:sz w:val="21"/>
          <w:szCs w:val="21"/>
          <w:highlight w:val="none"/>
        </w:rPr>
        <w:t>采购文件的澄清或修改</w:t>
      </w:r>
      <w:bookmarkEnd w:id="38"/>
    </w:p>
    <w:p w14:paraId="5AE4EF1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0245C068">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44F28BA4">
      <w:pPr>
        <w:widowControl w:val="0"/>
        <w:adjustRightInd/>
        <w:snapToGrid/>
        <w:ind w:left="567"/>
        <w:jc w:val="both"/>
        <w:rPr>
          <w:rFonts w:ascii="宋体" w:hAnsi="宋体" w:cs="宋体"/>
          <w:color w:val="auto"/>
          <w:szCs w:val="21"/>
          <w:highlight w:val="none"/>
        </w:rPr>
      </w:pPr>
    </w:p>
    <w:p w14:paraId="0BC099C5">
      <w:pPr>
        <w:pStyle w:val="6"/>
        <w:numPr>
          <w:ilvl w:val="0"/>
          <w:numId w:val="2"/>
        </w:numPr>
        <w:spacing w:before="0" w:after="0" w:line="360" w:lineRule="auto"/>
        <w:jc w:val="center"/>
        <w:rPr>
          <w:rFonts w:ascii="宋体" w:hAnsi="宋体" w:cs="宋体"/>
          <w:color w:val="auto"/>
          <w:highlight w:val="none"/>
        </w:rPr>
      </w:pPr>
      <w:bookmarkStart w:id="39" w:name="_Toc20479"/>
      <w:r>
        <w:rPr>
          <w:rFonts w:hint="eastAsia" w:ascii="宋体" w:hAnsi="宋体" w:cs="宋体"/>
          <w:color w:val="auto"/>
          <w:highlight w:val="none"/>
        </w:rPr>
        <w:t>投标文件的编制</w:t>
      </w:r>
      <w:bookmarkEnd w:id="39"/>
    </w:p>
    <w:p w14:paraId="5CE4A3DA">
      <w:pPr>
        <w:pStyle w:val="7"/>
        <w:widowControl w:val="0"/>
        <w:numPr>
          <w:ilvl w:val="0"/>
          <w:numId w:val="3"/>
        </w:numPr>
        <w:overflowPunct w:val="0"/>
        <w:rPr>
          <w:rFonts w:ascii="宋体" w:hAnsi="宋体" w:cs="宋体"/>
          <w:color w:val="auto"/>
          <w:sz w:val="21"/>
          <w:szCs w:val="21"/>
          <w:highlight w:val="none"/>
        </w:rPr>
      </w:pPr>
      <w:bookmarkStart w:id="40" w:name="_Toc982"/>
      <w:r>
        <w:rPr>
          <w:rFonts w:hint="eastAsia" w:ascii="宋体" w:hAnsi="宋体" w:cs="宋体"/>
          <w:color w:val="auto"/>
          <w:sz w:val="21"/>
          <w:szCs w:val="21"/>
          <w:highlight w:val="none"/>
        </w:rPr>
        <w:t>投标文件的语言及度量衡单位</w:t>
      </w:r>
      <w:bookmarkEnd w:id="40"/>
    </w:p>
    <w:p w14:paraId="5DF30EE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1F9D531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3B2E97AA">
      <w:pPr>
        <w:widowControl w:val="0"/>
        <w:adjustRightInd/>
        <w:snapToGrid/>
        <w:ind w:left="567"/>
        <w:jc w:val="both"/>
        <w:rPr>
          <w:rFonts w:ascii="宋体" w:hAnsi="宋体" w:cs="宋体"/>
          <w:color w:val="auto"/>
          <w:szCs w:val="21"/>
          <w:highlight w:val="none"/>
        </w:rPr>
      </w:pPr>
    </w:p>
    <w:p w14:paraId="08CF723A">
      <w:pPr>
        <w:pStyle w:val="7"/>
        <w:widowControl w:val="0"/>
        <w:numPr>
          <w:ilvl w:val="0"/>
          <w:numId w:val="3"/>
        </w:numPr>
        <w:overflowPunct w:val="0"/>
        <w:rPr>
          <w:rFonts w:ascii="宋体" w:hAnsi="宋体" w:cs="宋体"/>
          <w:color w:val="auto"/>
          <w:sz w:val="21"/>
          <w:szCs w:val="21"/>
          <w:highlight w:val="none"/>
        </w:rPr>
      </w:pPr>
      <w:bookmarkStart w:id="41" w:name="_Toc382049103"/>
      <w:bookmarkStart w:id="42" w:name="_Toc307934854"/>
      <w:bookmarkStart w:id="43" w:name="_Toc28866"/>
      <w:bookmarkStart w:id="44" w:name="_Toc4606"/>
      <w:bookmarkStart w:id="45" w:name="_Toc303084256"/>
      <w:r>
        <w:rPr>
          <w:rFonts w:hint="eastAsia" w:ascii="宋体" w:hAnsi="宋体" w:cs="宋体"/>
          <w:color w:val="auto"/>
          <w:sz w:val="21"/>
          <w:szCs w:val="21"/>
          <w:highlight w:val="none"/>
        </w:rPr>
        <w:t>投标文件的组成</w:t>
      </w:r>
      <w:bookmarkEnd w:id="41"/>
      <w:bookmarkEnd w:id="42"/>
      <w:bookmarkEnd w:id="43"/>
      <w:bookmarkEnd w:id="44"/>
      <w:bookmarkEnd w:id="45"/>
    </w:p>
    <w:p w14:paraId="785ED58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5A0337A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40C9BF29">
      <w:pPr>
        <w:rPr>
          <w:rFonts w:ascii="宋体" w:hAnsi="宋体" w:cs="宋体"/>
          <w:color w:val="auto"/>
          <w:highlight w:val="none"/>
        </w:rPr>
      </w:pPr>
    </w:p>
    <w:p w14:paraId="2CB4CE97">
      <w:pPr>
        <w:pStyle w:val="7"/>
        <w:widowControl w:val="0"/>
        <w:numPr>
          <w:ilvl w:val="0"/>
          <w:numId w:val="3"/>
        </w:numPr>
        <w:overflowPunct w:val="0"/>
        <w:rPr>
          <w:rFonts w:ascii="宋体" w:hAnsi="宋体" w:cs="宋体"/>
          <w:color w:val="auto"/>
          <w:sz w:val="21"/>
          <w:szCs w:val="21"/>
          <w:highlight w:val="none"/>
        </w:rPr>
      </w:pPr>
      <w:bookmarkStart w:id="46" w:name="_Toc11502"/>
      <w:r>
        <w:rPr>
          <w:rFonts w:hint="eastAsia" w:ascii="宋体" w:hAnsi="宋体" w:cs="宋体"/>
          <w:color w:val="auto"/>
          <w:sz w:val="21"/>
          <w:szCs w:val="21"/>
          <w:highlight w:val="none"/>
        </w:rPr>
        <w:t>投标文件编制</w:t>
      </w:r>
      <w:bookmarkEnd w:id="46"/>
    </w:p>
    <w:p w14:paraId="3FF6354D">
      <w:pPr>
        <w:widowControl w:val="0"/>
        <w:numPr>
          <w:ilvl w:val="1"/>
          <w:numId w:val="3"/>
        </w:numPr>
        <w:overflowPunct w:val="0"/>
        <w:rPr>
          <w:rFonts w:ascii="宋体" w:hAnsi="宋体" w:cs="宋体"/>
          <w:color w:val="auto"/>
          <w:szCs w:val="21"/>
          <w:highlight w:val="none"/>
        </w:rPr>
      </w:pPr>
      <w:bookmarkStart w:id="47" w:name="_Toc303084258"/>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6C90D9E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052ACABE">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31ED272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5CE4177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52CCF4F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1A7DEB9E">
      <w:pPr>
        <w:pStyle w:val="40"/>
        <w:widowControl w:val="0"/>
        <w:numPr>
          <w:ilvl w:val="0"/>
          <w:numId w:val="4"/>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3BB1CA99">
      <w:pPr>
        <w:pStyle w:val="40"/>
        <w:widowControl w:val="0"/>
        <w:numPr>
          <w:ilvl w:val="0"/>
          <w:numId w:val="4"/>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3FEFA7E7">
      <w:pPr>
        <w:keepNext w:val="0"/>
        <w:keepLines w:val="0"/>
        <w:pageBreakBefore w:val="0"/>
        <w:widowControl w:val="0"/>
        <w:numPr>
          <w:ilvl w:val="1"/>
          <w:numId w:val="3"/>
        </w:numPr>
        <w:kinsoku/>
        <w:wordWrap/>
        <w:overflowPunct w:val="0"/>
        <w:topLinePunct w:val="0"/>
        <w:autoSpaceDE/>
        <w:autoSpaceDN/>
        <w:bidi w:val="0"/>
        <w:spacing w:line="264" w:lineRule="auto"/>
        <w:textAlignment w:val="auto"/>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6DE65776">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687BD3B7">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E960BC3">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757E5E13">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693FD6AA">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8C7416D">
      <w:pPr>
        <w:keepNext w:val="0"/>
        <w:keepLines w:val="0"/>
        <w:pageBreakBefore w:val="0"/>
        <w:widowControl w:val="0"/>
        <w:kinsoku/>
        <w:wordWrap/>
        <w:topLinePunct w:val="0"/>
        <w:autoSpaceDE/>
        <w:autoSpaceDN/>
        <w:bidi w:val="0"/>
        <w:adjustRightInd/>
        <w:snapToGrid/>
        <w:spacing w:line="264" w:lineRule="auto"/>
        <w:ind w:firstLine="428"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47"/>
    <w:p w14:paraId="58409617">
      <w:pPr>
        <w:rPr>
          <w:rFonts w:ascii="宋体" w:hAnsi="宋体" w:cs="宋体"/>
          <w:color w:val="auto"/>
          <w:highlight w:val="none"/>
        </w:rPr>
      </w:pPr>
    </w:p>
    <w:p w14:paraId="1B85DF6B">
      <w:pPr>
        <w:pStyle w:val="7"/>
        <w:widowControl w:val="0"/>
        <w:numPr>
          <w:ilvl w:val="0"/>
          <w:numId w:val="3"/>
        </w:numPr>
        <w:overflowPunct w:val="0"/>
        <w:rPr>
          <w:rFonts w:ascii="宋体" w:hAnsi="宋体" w:cs="宋体"/>
          <w:color w:val="auto"/>
          <w:sz w:val="21"/>
          <w:szCs w:val="21"/>
          <w:highlight w:val="none"/>
        </w:rPr>
      </w:pPr>
      <w:bookmarkStart w:id="48" w:name="_Toc1178"/>
      <w:r>
        <w:rPr>
          <w:rFonts w:hint="eastAsia" w:ascii="宋体" w:hAnsi="宋体" w:cs="宋体"/>
          <w:color w:val="auto"/>
          <w:sz w:val="21"/>
          <w:szCs w:val="21"/>
          <w:highlight w:val="none"/>
        </w:rPr>
        <w:t>投标报价说明</w:t>
      </w:r>
      <w:bookmarkEnd w:id="48"/>
    </w:p>
    <w:p w14:paraId="5E49ABD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3C281CC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5F2F94E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6B3E861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25285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34810CF2">
      <w:pPr>
        <w:rPr>
          <w:rFonts w:ascii="宋体" w:hAnsi="宋体" w:cs="宋体"/>
          <w:color w:val="auto"/>
          <w:highlight w:val="none"/>
        </w:rPr>
      </w:pPr>
    </w:p>
    <w:p w14:paraId="092C1563">
      <w:pPr>
        <w:pStyle w:val="7"/>
        <w:widowControl w:val="0"/>
        <w:numPr>
          <w:ilvl w:val="0"/>
          <w:numId w:val="3"/>
        </w:numPr>
        <w:overflowPunct w:val="0"/>
        <w:rPr>
          <w:rFonts w:ascii="宋体" w:hAnsi="宋体" w:cs="宋体"/>
          <w:color w:val="auto"/>
          <w:sz w:val="21"/>
          <w:szCs w:val="21"/>
          <w:highlight w:val="none"/>
        </w:rPr>
      </w:pPr>
      <w:bookmarkStart w:id="49" w:name="_Toc23055"/>
      <w:r>
        <w:rPr>
          <w:rFonts w:hint="eastAsia" w:ascii="宋体" w:hAnsi="宋体" w:cs="宋体"/>
          <w:color w:val="auto"/>
          <w:sz w:val="21"/>
          <w:szCs w:val="21"/>
          <w:highlight w:val="none"/>
        </w:rPr>
        <w:t>投标人所提供的服务或货物的证明文件</w:t>
      </w:r>
      <w:bookmarkEnd w:id="49"/>
    </w:p>
    <w:p w14:paraId="35C66832">
      <w:pPr>
        <w:widowControl w:val="0"/>
        <w:numPr>
          <w:ilvl w:val="1"/>
          <w:numId w:val="3"/>
        </w:numPr>
        <w:overflowPunct w:val="0"/>
        <w:rPr>
          <w:rFonts w:ascii="宋体" w:hAnsi="宋体" w:cs="宋体"/>
          <w:color w:val="auto"/>
          <w:szCs w:val="21"/>
          <w:highlight w:val="none"/>
        </w:rPr>
      </w:pPr>
      <w:bookmarkStart w:id="50" w:name="_Hlt107925638"/>
      <w:bookmarkEnd w:id="50"/>
      <w:bookmarkStart w:id="51" w:name="_Hlt107925668"/>
      <w:bookmarkEnd w:id="51"/>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33770B4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3382FEA5">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7BCF6FF9">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2E1C1A01">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（1）使用伪造、变造的许可证件；</w:t>
      </w:r>
    </w:p>
    <w:p w14:paraId="02FD651A">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（2）提供虚假的财务状况或者业绩；</w:t>
      </w:r>
    </w:p>
    <w:p w14:paraId="52F00A29">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462A9763">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（4）提供虚假的信用状况；</w:t>
      </w:r>
    </w:p>
    <w:p w14:paraId="576174EC">
      <w:pPr>
        <w:pStyle w:val="40"/>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（5）其他弄虚作假的行为。</w:t>
      </w:r>
    </w:p>
    <w:p w14:paraId="18CD2520">
      <w:pPr>
        <w:pStyle w:val="7"/>
        <w:widowControl w:val="0"/>
        <w:numPr>
          <w:ilvl w:val="0"/>
          <w:numId w:val="3"/>
        </w:numPr>
        <w:overflowPunct w:val="0"/>
        <w:rPr>
          <w:rFonts w:ascii="宋体" w:hAnsi="宋体" w:cs="宋体"/>
          <w:color w:val="auto"/>
          <w:sz w:val="21"/>
          <w:szCs w:val="21"/>
          <w:highlight w:val="none"/>
        </w:rPr>
      </w:pPr>
      <w:bookmarkStart w:id="52" w:name="_Toc627"/>
      <w:r>
        <w:rPr>
          <w:rFonts w:hint="eastAsia" w:ascii="宋体" w:hAnsi="宋体" w:cs="宋体"/>
          <w:color w:val="auto"/>
          <w:sz w:val="21"/>
          <w:szCs w:val="21"/>
          <w:highlight w:val="none"/>
        </w:rPr>
        <w:t>投标有效期</w:t>
      </w:r>
      <w:bookmarkEnd w:id="52"/>
    </w:p>
    <w:p w14:paraId="6F1EEB7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0516FBF">
      <w:pPr>
        <w:widowControl w:val="0"/>
        <w:adjustRightInd/>
        <w:snapToGrid/>
        <w:ind w:left="567"/>
        <w:jc w:val="both"/>
        <w:rPr>
          <w:rFonts w:ascii="宋体" w:hAnsi="宋体" w:cs="宋体"/>
          <w:color w:val="auto"/>
          <w:highlight w:val="none"/>
        </w:rPr>
      </w:pPr>
    </w:p>
    <w:p w14:paraId="3C7BA900">
      <w:pPr>
        <w:pStyle w:val="7"/>
        <w:widowControl w:val="0"/>
        <w:numPr>
          <w:ilvl w:val="0"/>
          <w:numId w:val="3"/>
        </w:numPr>
        <w:overflowPunct w:val="0"/>
        <w:rPr>
          <w:rFonts w:ascii="宋体" w:hAnsi="宋体" w:cs="宋体"/>
          <w:color w:val="auto"/>
          <w:sz w:val="21"/>
          <w:szCs w:val="21"/>
          <w:highlight w:val="none"/>
        </w:rPr>
      </w:pPr>
      <w:bookmarkStart w:id="53" w:name="_Toc5230"/>
      <w:r>
        <w:rPr>
          <w:rFonts w:hint="eastAsia" w:ascii="宋体" w:hAnsi="宋体" w:cs="宋体"/>
          <w:color w:val="auto"/>
          <w:sz w:val="21"/>
          <w:szCs w:val="21"/>
          <w:highlight w:val="none"/>
        </w:rPr>
        <w:t>投标保证金</w:t>
      </w:r>
      <w:bookmarkEnd w:id="53"/>
    </w:p>
    <w:p w14:paraId="63AD9844">
      <w:pPr>
        <w:widowControl w:val="0"/>
        <w:numPr>
          <w:ilvl w:val="1"/>
          <w:numId w:val="3"/>
        </w:numPr>
        <w:overflowPunct w:val="0"/>
        <w:rPr>
          <w:rFonts w:ascii="宋体" w:hAnsi="宋体" w:cs="宋体"/>
          <w:color w:val="auto"/>
          <w:szCs w:val="21"/>
          <w:highlight w:val="none"/>
        </w:rPr>
      </w:pPr>
      <w:bookmarkStart w:id="54" w:name="_Ref179619405"/>
      <w:r>
        <w:rPr>
          <w:rFonts w:hint="eastAsia" w:ascii="宋体" w:hAnsi="宋体" w:cs="宋体"/>
          <w:color w:val="auto"/>
          <w:szCs w:val="21"/>
          <w:highlight w:val="none"/>
        </w:rPr>
        <w:t>投标人应在投标文件递交截止前提交相应的投标保证金，并作为其投标的一部分。</w:t>
      </w:r>
      <w:bookmarkEnd w:id="54"/>
    </w:p>
    <w:p w14:paraId="761229E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303CDC8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7FCAA5E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4D90AB3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4101138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72C6BDC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2B42E25A">
      <w:pPr>
        <w:widowControl w:val="0"/>
        <w:adjustRightInd/>
        <w:snapToGrid/>
        <w:ind w:left="549"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3F95BF7D">
      <w:pPr>
        <w:widowControl w:val="0"/>
        <w:adjustRightInd/>
        <w:snapToGrid/>
        <w:ind w:left="549"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139E8040">
      <w:pPr>
        <w:widowControl w:val="0"/>
        <w:adjustRightInd/>
        <w:snapToGrid/>
        <w:ind w:left="549"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76126A82">
      <w:pPr>
        <w:widowControl w:val="0"/>
        <w:adjustRightInd/>
        <w:snapToGrid/>
        <w:ind w:left="549"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6D06DFE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5F6949EF">
      <w:pPr>
        <w:rPr>
          <w:rFonts w:ascii="宋体" w:hAnsi="宋体" w:cs="宋体"/>
          <w:color w:val="auto"/>
          <w:highlight w:val="none"/>
        </w:rPr>
      </w:pPr>
    </w:p>
    <w:p w14:paraId="01C0620E">
      <w:pPr>
        <w:pStyle w:val="6"/>
        <w:numPr>
          <w:ilvl w:val="0"/>
          <w:numId w:val="2"/>
        </w:numPr>
        <w:spacing w:before="0" w:after="0" w:line="360" w:lineRule="auto"/>
        <w:jc w:val="center"/>
        <w:rPr>
          <w:rFonts w:ascii="宋体" w:hAnsi="宋体" w:cs="宋体"/>
          <w:color w:val="auto"/>
          <w:highlight w:val="none"/>
        </w:rPr>
      </w:pPr>
      <w:bookmarkStart w:id="55" w:name="_Toc27829"/>
      <w:r>
        <w:rPr>
          <w:rFonts w:hint="eastAsia" w:ascii="宋体" w:hAnsi="宋体" w:cs="宋体"/>
          <w:color w:val="auto"/>
          <w:highlight w:val="none"/>
        </w:rPr>
        <w:t>投标文件的递交</w:t>
      </w:r>
      <w:bookmarkEnd w:id="55"/>
    </w:p>
    <w:p w14:paraId="3F88E9DE">
      <w:pPr>
        <w:pStyle w:val="7"/>
        <w:widowControl w:val="0"/>
        <w:numPr>
          <w:ilvl w:val="0"/>
          <w:numId w:val="3"/>
        </w:numPr>
        <w:overflowPunct w:val="0"/>
        <w:rPr>
          <w:rFonts w:ascii="宋体" w:hAnsi="宋体" w:cs="宋体"/>
          <w:color w:val="auto"/>
          <w:sz w:val="21"/>
          <w:szCs w:val="21"/>
          <w:highlight w:val="none"/>
        </w:rPr>
      </w:pPr>
      <w:bookmarkStart w:id="56" w:name="_Toc303084264"/>
      <w:bookmarkStart w:id="57" w:name="_Toc27178"/>
      <w:bookmarkStart w:id="58" w:name="_Toc382049111"/>
      <w:bookmarkStart w:id="59" w:name="_Toc24997"/>
      <w:r>
        <w:rPr>
          <w:rFonts w:hint="eastAsia" w:ascii="宋体" w:hAnsi="宋体" w:cs="宋体"/>
          <w:color w:val="auto"/>
          <w:sz w:val="21"/>
          <w:szCs w:val="21"/>
          <w:highlight w:val="none"/>
        </w:rPr>
        <w:t>投标文件的装订，签署，密封和标记</w:t>
      </w:r>
      <w:bookmarkEnd w:id="56"/>
      <w:bookmarkEnd w:id="57"/>
      <w:bookmarkEnd w:id="58"/>
      <w:bookmarkEnd w:id="59"/>
    </w:p>
    <w:p w14:paraId="20A7A103">
      <w:pPr>
        <w:widowControl w:val="0"/>
        <w:numPr>
          <w:ilvl w:val="1"/>
          <w:numId w:val="3"/>
        </w:numP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609521B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2A78012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2240EDC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4095E06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2A83F37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01E1B7D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3E50E86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2CDD4D4B">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04A14EC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42C1AC8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 xml:space="preserve">收件人： </w:t>
      </w:r>
    </w:p>
    <w:p w14:paraId="573B49E6">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投标单位名称：</w:t>
      </w:r>
    </w:p>
    <w:p w14:paraId="6FA9631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项目名称：</w:t>
      </w:r>
    </w:p>
    <w:p w14:paraId="2F506A2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项目采购项目编号：</w:t>
      </w:r>
    </w:p>
    <w:p w14:paraId="1CB0354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47D46C7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20B7CD4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1CF4514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457F8E41">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1E169CA7">
      <w:pPr>
        <w:rPr>
          <w:rFonts w:ascii="宋体" w:hAnsi="宋体" w:cs="宋体"/>
          <w:color w:val="auto"/>
          <w:highlight w:val="none"/>
        </w:rPr>
      </w:pPr>
    </w:p>
    <w:p w14:paraId="4C63BBA2">
      <w:pPr>
        <w:pStyle w:val="7"/>
        <w:widowControl w:val="0"/>
        <w:numPr>
          <w:ilvl w:val="0"/>
          <w:numId w:val="3"/>
        </w:numPr>
        <w:overflowPunct w:val="0"/>
        <w:rPr>
          <w:rFonts w:ascii="宋体" w:hAnsi="宋体" w:cs="宋体"/>
          <w:color w:val="auto"/>
          <w:sz w:val="21"/>
          <w:szCs w:val="21"/>
          <w:highlight w:val="none"/>
        </w:rPr>
      </w:pPr>
      <w:bookmarkStart w:id="60" w:name="_Toc3104"/>
      <w:r>
        <w:rPr>
          <w:rFonts w:hint="eastAsia" w:ascii="宋体" w:hAnsi="宋体" w:cs="宋体"/>
          <w:color w:val="auto"/>
          <w:sz w:val="21"/>
          <w:szCs w:val="21"/>
          <w:highlight w:val="none"/>
        </w:rPr>
        <w:t>迟交的投标文件</w:t>
      </w:r>
      <w:bookmarkEnd w:id="60"/>
    </w:p>
    <w:p w14:paraId="4190AC5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5C976271">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4BBD027A">
      <w:pPr>
        <w:rPr>
          <w:rFonts w:ascii="宋体" w:hAnsi="宋体" w:cs="宋体"/>
          <w:color w:val="auto"/>
          <w:highlight w:val="none"/>
        </w:rPr>
      </w:pPr>
    </w:p>
    <w:p w14:paraId="0C3F342A">
      <w:pPr>
        <w:pStyle w:val="7"/>
        <w:widowControl w:val="0"/>
        <w:numPr>
          <w:ilvl w:val="0"/>
          <w:numId w:val="3"/>
        </w:numPr>
        <w:overflowPunct w:val="0"/>
        <w:rPr>
          <w:rFonts w:ascii="宋体" w:hAnsi="宋体" w:cs="宋体"/>
          <w:color w:val="auto"/>
          <w:sz w:val="21"/>
          <w:szCs w:val="21"/>
          <w:highlight w:val="none"/>
        </w:rPr>
      </w:pPr>
      <w:bookmarkStart w:id="61" w:name="_Toc4019"/>
      <w:r>
        <w:rPr>
          <w:rFonts w:hint="eastAsia" w:ascii="宋体" w:hAnsi="宋体" w:cs="宋体"/>
          <w:color w:val="auto"/>
          <w:sz w:val="21"/>
          <w:szCs w:val="21"/>
          <w:highlight w:val="none"/>
        </w:rPr>
        <w:t>投标样品（如需提交）</w:t>
      </w:r>
      <w:bookmarkEnd w:id="61"/>
    </w:p>
    <w:p w14:paraId="7A3826E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711418F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7973DB9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7D642B3">
      <w:pPr>
        <w:rPr>
          <w:rFonts w:ascii="宋体" w:hAnsi="宋体" w:cs="宋体"/>
          <w:color w:val="auto"/>
          <w:highlight w:val="none"/>
        </w:rPr>
      </w:pPr>
    </w:p>
    <w:p w14:paraId="105A0C8C">
      <w:pPr>
        <w:pStyle w:val="7"/>
        <w:widowControl w:val="0"/>
        <w:numPr>
          <w:ilvl w:val="0"/>
          <w:numId w:val="3"/>
        </w:numPr>
        <w:overflowPunct w:val="0"/>
        <w:rPr>
          <w:rFonts w:ascii="宋体" w:hAnsi="宋体" w:cs="宋体"/>
          <w:color w:val="auto"/>
          <w:sz w:val="21"/>
          <w:szCs w:val="21"/>
          <w:highlight w:val="none"/>
        </w:rPr>
      </w:pPr>
      <w:bookmarkStart w:id="62" w:name="_Toc382049112"/>
      <w:bookmarkStart w:id="63" w:name="_Toc9777"/>
      <w:bookmarkStart w:id="64" w:name="_Toc24391"/>
      <w:bookmarkStart w:id="65" w:name="_Toc303084265"/>
      <w:r>
        <w:rPr>
          <w:rFonts w:hint="eastAsia" w:ascii="宋体" w:hAnsi="宋体" w:cs="宋体"/>
          <w:color w:val="auto"/>
          <w:sz w:val="21"/>
          <w:szCs w:val="21"/>
          <w:highlight w:val="none"/>
        </w:rPr>
        <w:t>投标截止期</w:t>
      </w:r>
      <w:bookmarkEnd w:id="62"/>
      <w:bookmarkEnd w:id="63"/>
      <w:bookmarkEnd w:id="64"/>
      <w:bookmarkEnd w:id="65"/>
    </w:p>
    <w:p w14:paraId="7DB3501D">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5AA9068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48EE145A">
      <w:pPr>
        <w:rPr>
          <w:rFonts w:ascii="宋体" w:hAnsi="宋体" w:cs="宋体"/>
          <w:color w:val="auto"/>
          <w:highlight w:val="none"/>
        </w:rPr>
      </w:pPr>
    </w:p>
    <w:p w14:paraId="71839E19">
      <w:pPr>
        <w:pStyle w:val="7"/>
        <w:widowControl w:val="0"/>
        <w:numPr>
          <w:ilvl w:val="0"/>
          <w:numId w:val="3"/>
        </w:numPr>
        <w:overflowPunct w:val="0"/>
        <w:rPr>
          <w:rFonts w:ascii="宋体" w:hAnsi="宋体" w:cs="宋体"/>
          <w:color w:val="auto"/>
          <w:sz w:val="21"/>
          <w:szCs w:val="21"/>
          <w:highlight w:val="none"/>
        </w:rPr>
      </w:pPr>
      <w:bookmarkStart w:id="66" w:name="_Toc23952"/>
      <w:r>
        <w:rPr>
          <w:rFonts w:hint="eastAsia" w:ascii="宋体" w:hAnsi="宋体" w:cs="宋体"/>
          <w:color w:val="auto"/>
          <w:sz w:val="21"/>
          <w:szCs w:val="21"/>
          <w:highlight w:val="none"/>
        </w:rPr>
        <w:t>投标文件的补充、修改与撤回</w:t>
      </w:r>
      <w:bookmarkEnd w:id="66"/>
    </w:p>
    <w:p w14:paraId="09C5432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1DCA298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6E8F4E3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2DA430B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15E6CEDE">
      <w:pPr>
        <w:pStyle w:val="3"/>
        <w:rPr>
          <w:color w:val="auto"/>
          <w:highlight w:val="none"/>
        </w:rPr>
      </w:pPr>
    </w:p>
    <w:p w14:paraId="0692FA5D">
      <w:pPr>
        <w:pStyle w:val="6"/>
        <w:numPr>
          <w:ilvl w:val="0"/>
          <w:numId w:val="2"/>
        </w:numPr>
        <w:spacing w:before="0" w:after="0" w:line="360" w:lineRule="auto"/>
        <w:jc w:val="center"/>
        <w:rPr>
          <w:rFonts w:ascii="宋体" w:hAnsi="宋体" w:cs="宋体"/>
          <w:color w:val="auto"/>
          <w:highlight w:val="none"/>
        </w:rPr>
      </w:pPr>
      <w:bookmarkStart w:id="67" w:name="_Toc26581"/>
      <w:r>
        <w:rPr>
          <w:rFonts w:hint="eastAsia" w:ascii="宋体" w:hAnsi="宋体" w:cs="宋体"/>
          <w:color w:val="auto"/>
          <w:highlight w:val="none"/>
        </w:rPr>
        <w:t>开标与评标</w:t>
      </w:r>
      <w:bookmarkEnd w:id="67"/>
    </w:p>
    <w:p w14:paraId="7F0920DB">
      <w:pPr>
        <w:pStyle w:val="7"/>
        <w:widowControl w:val="0"/>
        <w:numPr>
          <w:ilvl w:val="0"/>
          <w:numId w:val="3"/>
        </w:numPr>
        <w:overflowPunct w:val="0"/>
        <w:rPr>
          <w:rFonts w:ascii="宋体" w:hAnsi="宋体" w:cs="宋体"/>
          <w:color w:val="auto"/>
          <w:sz w:val="21"/>
          <w:szCs w:val="21"/>
          <w:highlight w:val="none"/>
        </w:rPr>
      </w:pPr>
      <w:bookmarkStart w:id="68" w:name="_Toc5399"/>
      <w:r>
        <w:rPr>
          <w:rFonts w:hint="eastAsia" w:ascii="宋体" w:hAnsi="宋体" w:cs="宋体"/>
          <w:color w:val="auto"/>
          <w:sz w:val="21"/>
          <w:szCs w:val="21"/>
          <w:highlight w:val="none"/>
        </w:rPr>
        <w:t>开标</w:t>
      </w:r>
      <w:bookmarkEnd w:id="68"/>
    </w:p>
    <w:p w14:paraId="05C9228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022AAE2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14:paraId="34BFEF3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3A57BF8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006172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02F8986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4D001FD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2A79760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1C858AD2">
      <w:pPr>
        <w:widowControl w:val="0"/>
        <w:adjustRightInd/>
        <w:snapToGrid/>
        <w:ind w:left="567"/>
        <w:jc w:val="both"/>
        <w:rPr>
          <w:rFonts w:ascii="宋体" w:hAnsi="宋体" w:cs="宋体"/>
          <w:color w:val="auto"/>
          <w:highlight w:val="none"/>
        </w:rPr>
      </w:pPr>
    </w:p>
    <w:p w14:paraId="714992B6">
      <w:pPr>
        <w:pStyle w:val="7"/>
        <w:widowControl w:val="0"/>
        <w:numPr>
          <w:ilvl w:val="0"/>
          <w:numId w:val="3"/>
        </w:numPr>
        <w:overflowPunct w:val="0"/>
        <w:rPr>
          <w:rFonts w:ascii="宋体" w:hAnsi="宋体" w:cs="宋体"/>
          <w:color w:val="auto"/>
          <w:sz w:val="21"/>
          <w:szCs w:val="21"/>
          <w:highlight w:val="none"/>
        </w:rPr>
      </w:pPr>
      <w:bookmarkStart w:id="69" w:name="_Toc22226"/>
      <w:r>
        <w:rPr>
          <w:rFonts w:hint="eastAsia" w:ascii="宋体" w:hAnsi="宋体" w:cs="宋体"/>
          <w:color w:val="auto"/>
          <w:sz w:val="21"/>
          <w:szCs w:val="21"/>
          <w:highlight w:val="none"/>
        </w:rPr>
        <w:t>评标委员会及评标方法</w:t>
      </w:r>
      <w:bookmarkEnd w:id="69"/>
    </w:p>
    <w:p w14:paraId="4AE6ADCD">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38C1992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6FBE023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634A2C4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1AFC7B9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01185E1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1FE8AE3F">
      <w:pPr>
        <w:rPr>
          <w:rFonts w:ascii="宋体" w:hAnsi="宋体" w:cs="宋体"/>
          <w:color w:val="auto"/>
          <w:highlight w:val="none"/>
        </w:rPr>
      </w:pPr>
    </w:p>
    <w:p w14:paraId="39310424">
      <w:pPr>
        <w:pStyle w:val="7"/>
        <w:widowControl w:val="0"/>
        <w:numPr>
          <w:ilvl w:val="0"/>
          <w:numId w:val="3"/>
        </w:numPr>
        <w:overflowPunct w:val="0"/>
        <w:rPr>
          <w:rFonts w:ascii="宋体" w:hAnsi="宋体" w:cs="宋体"/>
          <w:color w:val="auto"/>
          <w:sz w:val="21"/>
          <w:szCs w:val="21"/>
          <w:highlight w:val="none"/>
        </w:rPr>
      </w:pPr>
      <w:bookmarkStart w:id="70" w:name="_Toc27663"/>
      <w:r>
        <w:rPr>
          <w:rFonts w:hint="eastAsia" w:ascii="宋体" w:hAnsi="宋体" w:cs="宋体"/>
          <w:color w:val="auto"/>
          <w:sz w:val="21"/>
          <w:szCs w:val="21"/>
          <w:highlight w:val="none"/>
        </w:rPr>
        <w:t>评审原则及评标过程的保密</w:t>
      </w:r>
      <w:bookmarkEnd w:id="70"/>
    </w:p>
    <w:p w14:paraId="3FE03C5A">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49FFBA5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012462CE">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74739F3F">
      <w:pPr>
        <w:rPr>
          <w:rFonts w:ascii="宋体" w:hAnsi="宋体" w:cs="宋体"/>
          <w:color w:val="auto"/>
          <w:highlight w:val="none"/>
        </w:rPr>
      </w:pPr>
    </w:p>
    <w:p w14:paraId="6C079960">
      <w:pPr>
        <w:pStyle w:val="7"/>
        <w:widowControl w:val="0"/>
        <w:numPr>
          <w:ilvl w:val="0"/>
          <w:numId w:val="3"/>
        </w:numPr>
        <w:overflowPunct w:val="0"/>
        <w:rPr>
          <w:rFonts w:ascii="宋体" w:hAnsi="宋体" w:cs="宋体"/>
          <w:color w:val="auto"/>
          <w:sz w:val="21"/>
          <w:szCs w:val="21"/>
          <w:highlight w:val="none"/>
        </w:rPr>
      </w:pPr>
      <w:bookmarkStart w:id="71" w:name="_Toc14401"/>
      <w:bookmarkStart w:id="72" w:name="_Toc7361"/>
      <w:r>
        <w:rPr>
          <w:rFonts w:hint="eastAsia" w:ascii="宋体" w:hAnsi="宋体" w:cs="宋体"/>
          <w:color w:val="auto"/>
          <w:sz w:val="21"/>
          <w:szCs w:val="21"/>
          <w:highlight w:val="none"/>
        </w:rPr>
        <w:t>评标程序</w:t>
      </w:r>
      <w:bookmarkEnd w:id="71"/>
    </w:p>
    <w:p w14:paraId="795DB265">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0D1F9B57">
      <w:pPr>
        <w:widowControl w:val="0"/>
        <w:overflowPunct w:val="0"/>
        <w:ind w:firstLine="428"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18B76E2D">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7824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05084D2F">
            <w:pPr>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B089BF5">
            <w:pPr>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3C65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1F83FADA">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2839384">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lang w:val="en-US" w:eastAsia="zh-CN"/>
              </w:rPr>
              <w:t>投标人须为在中华人民共和国境内登记注册的具有独立承担民事责任能力的法人或其他组织。</w:t>
            </w:r>
          </w:p>
        </w:tc>
      </w:tr>
      <w:tr w14:paraId="38F0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4B8D6B80">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0CD0371">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lang w:val="en-US" w:eastAsia="zh-CN"/>
              </w:rPr>
              <w:t>投标人的单位负责人为同一人或者存在直接控股、管理关系的不同投标人，不得参加同一合同项下的采购活动。</w:t>
            </w:r>
          </w:p>
        </w:tc>
      </w:tr>
      <w:tr w14:paraId="19D5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77C16604">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4EC66A8">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投标人参加本项目采购活动前三年内，在经营活动中没有重大违法记录。（须提供书面声明，详见附件格式）</w:t>
            </w:r>
          </w:p>
        </w:tc>
      </w:tr>
      <w:tr w14:paraId="2905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33F101F9">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C0A2CFD">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lang w:val="en-US" w:eastAsia="zh-CN"/>
              </w:rPr>
              <w:t>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000B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0" w:type="dxa"/>
            <w:vMerge w:val="continue"/>
            <w:tcBorders>
              <w:left w:val="single" w:color="auto" w:sz="4" w:space="0"/>
              <w:right w:val="single" w:color="auto" w:sz="4" w:space="0"/>
              <w:tl2br w:val="nil"/>
              <w:tr2bl w:val="nil"/>
            </w:tcBorders>
            <w:vAlign w:val="center"/>
          </w:tcPr>
          <w:p w14:paraId="0D8A5643">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AD65FCC">
            <w:pPr>
              <w:pStyle w:val="43"/>
              <w:numPr>
                <w:ilvl w:val="0"/>
                <w:numId w:val="0"/>
              </w:numPr>
              <w:wordWrap w:val="0"/>
              <w:spacing w:line="240" w:lineRule="auto"/>
              <w:ind w:leftChars="0"/>
              <w:rPr>
                <w:rFonts w:hint="eastAsia" w:ascii="宋体" w:hAnsi="宋体" w:eastAsia="宋体"/>
                <w:color w:val="auto"/>
                <w:szCs w:val="21"/>
                <w:highlight w:val="none"/>
                <w:lang w:val="en-US" w:eastAsia="zh-CN"/>
              </w:rPr>
            </w:pPr>
            <w:r>
              <w:rPr>
                <w:rFonts w:hint="eastAsia" w:ascii="宋体" w:hAnsi="宋体" w:eastAsia="宋体" w:cstheme="minorBidi"/>
                <w:color w:val="auto"/>
                <w:kern w:val="0"/>
                <w:sz w:val="21"/>
                <w:szCs w:val="21"/>
                <w:highlight w:val="none"/>
                <w:lang w:val="en-US" w:eastAsia="zh-CN" w:bidi="ar-SA"/>
              </w:rPr>
              <w:t>（5）未被列入东实集团及下属企业工程建设领域黑名单。【以东莞实业投资控股集团有限公司发文（东实通〔2021〕44号）、（东实通〔2021〕98号）、（东实通〔2022〕75号）、（东实通〔2023〕37号）为准，如有最新发文通知，按最新文件执行。】</w:t>
            </w:r>
          </w:p>
        </w:tc>
      </w:tr>
      <w:tr w14:paraId="08C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384A6F76">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717E7D7">
            <w:pPr>
              <w:tabs>
                <w:tab w:val="left" w:pos="612"/>
              </w:tabs>
              <w:spacing w:line="24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）符合投标人资格要求中其他要求（如有）。（提供《附件9.相关资质证明文件》中对应证明文件。）</w:t>
            </w:r>
          </w:p>
        </w:tc>
      </w:tr>
      <w:tr w14:paraId="2B50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5F99B413">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91BC872">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3C4A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27A80007">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D2C41DA">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6E71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2DECD35A">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6C244E4">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28B9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36E2313">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E2CE872">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4E80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401C1545">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48C98D1">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18DC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94F6DCA">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8D8094E">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文件规定的其他无效情形。</w:t>
            </w:r>
          </w:p>
        </w:tc>
      </w:tr>
      <w:bookmarkEnd w:id="72"/>
    </w:tbl>
    <w:p w14:paraId="593AED93">
      <w:pPr>
        <w:widowControl w:val="0"/>
        <w:overflowPunct w:val="0"/>
        <w:ind w:firstLine="428"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66244686">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3686D938">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7C912AEF">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61C64AD2">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6CC2872B">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6BCE00BE">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534EFBBC">
      <w:pPr>
        <w:widowControl w:val="0"/>
        <w:overflowPunct w:val="0"/>
        <w:ind w:left="630" w:hanging="642"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03E698C9">
      <w:pPr>
        <w:widowControl w:val="0"/>
        <w:overflowPunct w:val="0"/>
        <w:ind w:left="630" w:hanging="642"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632E010F">
      <w:pPr>
        <w:widowControl w:val="0"/>
        <w:overflowPunct w:val="0"/>
        <w:ind w:left="630" w:hanging="642"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653C6146">
      <w:pPr>
        <w:pStyle w:val="3"/>
        <w:rPr>
          <w:color w:val="auto"/>
          <w:highlight w:val="none"/>
        </w:rPr>
      </w:pPr>
    </w:p>
    <w:p w14:paraId="2E11447C">
      <w:pPr>
        <w:pStyle w:val="7"/>
        <w:widowControl w:val="0"/>
        <w:numPr>
          <w:ilvl w:val="0"/>
          <w:numId w:val="3"/>
        </w:numPr>
        <w:overflowPunct w:val="0"/>
        <w:rPr>
          <w:rFonts w:ascii="宋体" w:hAnsi="宋体" w:cs="宋体"/>
          <w:color w:val="auto"/>
          <w:sz w:val="21"/>
          <w:szCs w:val="21"/>
          <w:highlight w:val="none"/>
        </w:rPr>
      </w:pPr>
      <w:bookmarkStart w:id="73" w:name="_Toc7775"/>
      <w:r>
        <w:rPr>
          <w:rFonts w:hint="eastAsia" w:ascii="宋体" w:hAnsi="宋体" w:cs="宋体"/>
          <w:color w:val="auto"/>
          <w:sz w:val="21"/>
          <w:szCs w:val="21"/>
          <w:highlight w:val="none"/>
        </w:rPr>
        <w:t>商务、技术、价格评审（具体评审项目详见投标资料表）</w:t>
      </w:r>
      <w:bookmarkEnd w:id="73"/>
    </w:p>
    <w:p w14:paraId="6800C27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4CF4051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716B726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757A5F04">
      <w:pPr>
        <w:widowControl w:val="0"/>
        <w:tabs>
          <w:tab w:val="left" w:pos="907"/>
        </w:tabs>
        <w:adjustRightInd/>
        <w:snapToGrid/>
        <w:ind w:left="567"/>
        <w:jc w:val="both"/>
        <w:rPr>
          <w:rFonts w:ascii="宋体" w:hAnsi="宋体" w:cs="宋体"/>
          <w:color w:val="auto"/>
          <w:szCs w:val="21"/>
          <w:highlight w:val="none"/>
        </w:rPr>
      </w:pPr>
    </w:p>
    <w:p w14:paraId="7D562CCC">
      <w:pPr>
        <w:pStyle w:val="7"/>
        <w:widowControl w:val="0"/>
        <w:numPr>
          <w:ilvl w:val="0"/>
          <w:numId w:val="3"/>
        </w:numPr>
        <w:overflowPunct w:val="0"/>
        <w:rPr>
          <w:rFonts w:ascii="宋体" w:hAnsi="宋体" w:cs="宋体"/>
          <w:color w:val="auto"/>
          <w:sz w:val="21"/>
          <w:szCs w:val="21"/>
          <w:highlight w:val="none"/>
        </w:rPr>
      </w:pPr>
      <w:bookmarkStart w:id="74" w:name="_Toc316375620"/>
      <w:bookmarkStart w:id="75" w:name="_Toc382049120"/>
      <w:bookmarkStart w:id="76" w:name="_Toc20328"/>
      <w:bookmarkStart w:id="77" w:name="_Toc149"/>
      <w:r>
        <w:rPr>
          <w:rFonts w:hint="eastAsia" w:ascii="宋体" w:hAnsi="宋体" w:cs="宋体"/>
          <w:color w:val="auto"/>
          <w:sz w:val="21"/>
          <w:szCs w:val="21"/>
          <w:highlight w:val="none"/>
        </w:rPr>
        <w:t>纪律和保密</w:t>
      </w:r>
      <w:bookmarkEnd w:id="74"/>
      <w:r>
        <w:rPr>
          <w:rFonts w:hint="eastAsia" w:ascii="宋体" w:hAnsi="宋体" w:cs="宋体"/>
          <w:color w:val="auto"/>
          <w:sz w:val="21"/>
          <w:szCs w:val="21"/>
          <w:highlight w:val="none"/>
        </w:rPr>
        <w:t>事项</w:t>
      </w:r>
      <w:bookmarkEnd w:id="75"/>
      <w:bookmarkEnd w:id="76"/>
      <w:bookmarkEnd w:id="77"/>
    </w:p>
    <w:p w14:paraId="20F3E7CC">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3251470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68E5CCA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266A87DB">
      <w:pPr>
        <w:rPr>
          <w:rFonts w:ascii="宋体" w:hAnsi="宋体" w:cs="宋体"/>
          <w:color w:val="auto"/>
          <w:highlight w:val="none"/>
        </w:rPr>
      </w:pPr>
    </w:p>
    <w:p w14:paraId="1AA13506">
      <w:pPr>
        <w:pStyle w:val="6"/>
        <w:numPr>
          <w:ilvl w:val="0"/>
          <w:numId w:val="2"/>
        </w:numPr>
        <w:spacing w:before="0" w:after="0" w:line="360" w:lineRule="auto"/>
        <w:jc w:val="center"/>
        <w:rPr>
          <w:rFonts w:ascii="宋体" w:hAnsi="宋体" w:cs="宋体"/>
          <w:color w:val="auto"/>
          <w:highlight w:val="none"/>
        </w:rPr>
      </w:pPr>
      <w:bookmarkStart w:id="78" w:name="_Toc32309"/>
      <w:r>
        <w:rPr>
          <w:rFonts w:hint="eastAsia" w:ascii="宋体" w:hAnsi="宋体" w:cs="宋体"/>
          <w:color w:val="auto"/>
          <w:highlight w:val="none"/>
        </w:rPr>
        <w:t>授予合同</w:t>
      </w:r>
      <w:bookmarkEnd w:id="78"/>
    </w:p>
    <w:p w14:paraId="601CB386">
      <w:pPr>
        <w:pStyle w:val="7"/>
        <w:widowControl w:val="0"/>
        <w:numPr>
          <w:ilvl w:val="0"/>
          <w:numId w:val="3"/>
        </w:numPr>
        <w:overflowPunct w:val="0"/>
        <w:rPr>
          <w:rFonts w:ascii="宋体" w:hAnsi="宋体" w:cs="宋体"/>
          <w:color w:val="auto"/>
          <w:sz w:val="21"/>
          <w:szCs w:val="21"/>
          <w:highlight w:val="none"/>
        </w:rPr>
      </w:pPr>
      <w:bookmarkStart w:id="79" w:name="_Toc508284011"/>
      <w:bookmarkStart w:id="80" w:name="_Toc32320"/>
      <w:r>
        <w:rPr>
          <w:rFonts w:hint="eastAsia" w:ascii="宋体" w:hAnsi="宋体" w:cs="宋体"/>
          <w:color w:val="auto"/>
          <w:sz w:val="21"/>
          <w:szCs w:val="21"/>
          <w:highlight w:val="none"/>
        </w:rPr>
        <w:t>合同授予标准</w:t>
      </w:r>
      <w:bookmarkEnd w:id="79"/>
      <w:bookmarkEnd w:id="80"/>
    </w:p>
    <w:p w14:paraId="72899FC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53C540A0">
      <w:pPr>
        <w:rPr>
          <w:rFonts w:ascii="宋体" w:hAnsi="宋体" w:cs="宋体"/>
          <w:color w:val="auto"/>
          <w:highlight w:val="none"/>
        </w:rPr>
      </w:pPr>
    </w:p>
    <w:p w14:paraId="7D1CF38A">
      <w:pPr>
        <w:pStyle w:val="7"/>
        <w:widowControl w:val="0"/>
        <w:numPr>
          <w:ilvl w:val="0"/>
          <w:numId w:val="3"/>
        </w:numPr>
        <w:overflowPunct w:val="0"/>
        <w:rPr>
          <w:rFonts w:ascii="宋体" w:hAnsi="宋体" w:cs="宋体"/>
          <w:color w:val="auto"/>
          <w:sz w:val="21"/>
          <w:szCs w:val="21"/>
          <w:highlight w:val="none"/>
        </w:rPr>
      </w:pPr>
      <w:bookmarkStart w:id="81" w:name="_Toc508284013"/>
      <w:bookmarkStart w:id="82" w:name="_Toc19458"/>
      <w:r>
        <w:rPr>
          <w:rFonts w:hint="eastAsia" w:ascii="宋体" w:hAnsi="宋体" w:cs="宋体"/>
          <w:color w:val="auto"/>
          <w:sz w:val="21"/>
          <w:szCs w:val="21"/>
          <w:highlight w:val="none"/>
        </w:rPr>
        <w:t>发布中标结果</w:t>
      </w:r>
      <w:bookmarkEnd w:id="81"/>
      <w:bookmarkEnd w:id="82"/>
    </w:p>
    <w:p w14:paraId="41ACED0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42A4BE6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5C00B075">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2E9B6794">
      <w:pPr>
        <w:widowControl w:val="0"/>
        <w:tabs>
          <w:tab w:val="left" w:pos="907"/>
        </w:tabs>
        <w:adjustRightInd/>
        <w:snapToGrid/>
        <w:jc w:val="both"/>
        <w:rPr>
          <w:rFonts w:ascii="宋体" w:hAnsi="宋体" w:cs="宋体"/>
          <w:color w:val="auto"/>
          <w:szCs w:val="21"/>
          <w:highlight w:val="none"/>
        </w:rPr>
      </w:pPr>
    </w:p>
    <w:p w14:paraId="41B5B05E">
      <w:pPr>
        <w:pStyle w:val="7"/>
        <w:widowControl w:val="0"/>
        <w:numPr>
          <w:ilvl w:val="0"/>
          <w:numId w:val="3"/>
        </w:numPr>
        <w:overflowPunct w:val="0"/>
        <w:rPr>
          <w:rFonts w:ascii="宋体" w:hAnsi="宋体" w:cs="宋体"/>
          <w:color w:val="auto"/>
          <w:sz w:val="21"/>
          <w:szCs w:val="21"/>
          <w:highlight w:val="none"/>
        </w:rPr>
      </w:pPr>
      <w:bookmarkStart w:id="83" w:name="_Toc20220"/>
      <w:r>
        <w:rPr>
          <w:rFonts w:hint="eastAsia" w:ascii="宋体" w:hAnsi="宋体" w:cs="宋体"/>
          <w:color w:val="auto"/>
          <w:sz w:val="21"/>
          <w:szCs w:val="21"/>
          <w:highlight w:val="none"/>
        </w:rPr>
        <w:t>资格后审</w:t>
      </w:r>
      <w:bookmarkEnd w:id="83"/>
    </w:p>
    <w:p w14:paraId="216E7FF1">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采购人将</w:t>
      </w:r>
      <w:r>
        <w:rPr>
          <w:rFonts w:hint="eastAsia" w:ascii="宋体" w:hAnsi="宋体" w:cs="宋体"/>
          <w:b w:val="0"/>
          <w:bCs w:val="0"/>
          <w:color w:val="auto"/>
          <w:szCs w:val="21"/>
          <w:highlight w:val="none"/>
        </w:rPr>
        <w:t>有权根</w:t>
      </w:r>
      <w:r>
        <w:rPr>
          <w:rFonts w:hint="eastAsia" w:ascii="宋体" w:hAnsi="宋体" w:cs="宋体"/>
          <w:color w:val="auto"/>
          <w:szCs w:val="21"/>
          <w:highlight w:val="none"/>
        </w:rPr>
        <w:t>据本文件中的要求，对评委会推荐的中标候选人进行资格后审。</w:t>
      </w:r>
    </w:p>
    <w:p w14:paraId="2B2DF1A8">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012D311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5B207D0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341D3CF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3A924A8F">
      <w:pPr>
        <w:rPr>
          <w:rFonts w:ascii="宋体" w:hAnsi="宋体" w:cs="宋体"/>
          <w:color w:val="auto"/>
          <w:highlight w:val="none"/>
        </w:rPr>
      </w:pPr>
    </w:p>
    <w:p w14:paraId="246A757C">
      <w:pPr>
        <w:pStyle w:val="7"/>
        <w:widowControl w:val="0"/>
        <w:numPr>
          <w:ilvl w:val="0"/>
          <w:numId w:val="3"/>
        </w:numPr>
        <w:overflowPunct w:val="0"/>
        <w:rPr>
          <w:rFonts w:ascii="宋体" w:hAnsi="宋体" w:cs="宋体"/>
          <w:color w:val="auto"/>
          <w:sz w:val="21"/>
          <w:szCs w:val="21"/>
          <w:highlight w:val="none"/>
        </w:rPr>
      </w:pPr>
      <w:bookmarkStart w:id="84" w:name="_Toc19068"/>
      <w:r>
        <w:rPr>
          <w:rFonts w:hint="eastAsia" w:ascii="宋体" w:hAnsi="宋体" w:cs="宋体"/>
          <w:color w:val="auto"/>
          <w:sz w:val="21"/>
          <w:szCs w:val="21"/>
          <w:highlight w:val="none"/>
        </w:rPr>
        <w:t>合同的签订与履行</w:t>
      </w:r>
      <w:bookmarkEnd w:id="84"/>
    </w:p>
    <w:p w14:paraId="405CFDC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614D308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58CE0FA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4968C70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2AB2A2E8">
      <w:pPr>
        <w:widowControl w:val="0"/>
        <w:tabs>
          <w:tab w:val="left" w:pos="907"/>
        </w:tabs>
        <w:adjustRightInd/>
        <w:snapToGrid/>
        <w:jc w:val="both"/>
        <w:rPr>
          <w:rFonts w:ascii="宋体" w:hAnsi="宋体" w:cs="宋体"/>
          <w:color w:val="auto"/>
          <w:highlight w:val="none"/>
        </w:rPr>
      </w:pPr>
    </w:p>
    <w:p w14:paraId="18B890FF">
      <w:pPr>
        <w:pStyle w:val="7"/>
        <w:widowControl w:val="0"/>
        <w:numPr>
          <w:ilvl w:val="0"/>
          <w:numId w:val="3"/>
        </w:numPr>
        <w:overflowPunct w:val="0"/>
        <w:rPr>
          <w:rFonts w:ascii="宋体" w:hAnsi="宋体" w:cs="宋体"/>
          <w:color w:val="auto"/>
          <w:sz w:val="21"/>
          <w:szCs w:val="21"/>
          <w:highlight w:val="none"/>
        </w:rPr>
      </w:pPr>
      <w:bookmarkStart w:id="85" w:name="_Toc303084277"/>
      <w:bookmarkStart w:id="86" w:name="_Toc29009"/>
      <w:bookmarkStart w:id="87" w:name="_Toc382049124"/>
      <w:bookmarkStart w:id="88" w:name="_Toc12066"/>
      <w:r>
        <w:rPr>
          <w:rFonts w:hint="eastAsia" w:ascii="宋体" w:hAnsi="宋体" w:cs="宋体"/>
          <w:color w:val="auto"/>
          <w:sz w:val="21"/>
          <w:szCs w:val="21"/>
          <w:highlight w:val="none"/>
        </w:rPr>
        <w:t>履约</w:t>
      </w:r>
      <w:bookmarkEnd w:id="85"/>
      <w:bookmarkEnd w:id="86"/>
      <w:bookmarkEnd w:id="87"/>
      <w:r>
        <w:rPr>
          <w:rFonts w:hint="eastAsia" w:ascii="宋体" w:hAnsi="宋体" w:cs="宋体"/>
          <w:color w:val="auto"/>
          <w:sz w:val="21"/>
          <w:szCs w:val="21"/>
          <w:highlight w:val="none"/>
        </w:rPr>
        <w:t>担保</w:t>
      </w:r>
      <w:bookmarkEnd w:id="88"/>
    </w:p>
    <w:p w14:paraId="2B20878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46089F1D">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7B08213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07E422E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35BFD999">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6EACF431">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297E700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0965D31F">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10DE8987">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1F1E7892">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38ADADA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2A9BF6B3">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7444B5BF">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19B93BC0">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13AE06E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5575982D">
      <w:pPr>
        <w:widowControl w:val="0"/>
        <w:tabs>
          <w:tab w:val="left" w:pos="907"/>
        </w:tabs>
        <w:adjustRightInd/>
        <w:snapToGrid/>
        <w:jc w:val="both"/>
        <w:rPr>
          <w:rFonts w:ascii="宋体" w:hAnsi="宋体" w:cs="宋体"/>
          <w:color w:val="auto"/>
          <w:highlight w:val="none"/>
        </w:rPr>
      </w:pPr>
    </w:p>
    <w:p w14:paraId="37292D27">
      <w:pPr>
        <w:pStyle w:val="7"/>
        <w:widowControl w:val="0"/>
        <w:numPr>
          <w:ilvl w:val="0"/>
          <w:numId w:val="3"/>
        </w:numPr>
        <w:overflowPunct w:val="0"/>
        <w:rPr>
          <w:rFonts w:ascii="宋体" w:hAnsi="宋体" w:cs="宋体"/>
          <w:color w:val="auto"/>
          <w:sz w:val="21"/>
          <w:szCs w:val="21"/>
          <w:highlight w:val="none"/>
        </w:rPr>
      </w:pPr>
      <w:bookmarkStart w:id="89" w:name="_Toc3698"/>
      <w:r>
        <w:rPr>
          <w:rFonts w:hint="eastAsia" w:ascii="宋体" w:hAnsi="宋体" w:cs="宋体"/>
          <w:color w:val="auto"/>
          <w:sz w:val="21"/>
          <w:szCs w:val="21"/>
          <w:highlight w:val="none"/>
        </w:rPr>
        <w:t>预付款保函（适用于预付款支付）</w:t>
      </w:r>
      <w:bookmarkEnd w:id="89"/>
    </w:p>
    <w:p w14:paraId="2A72FCA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61AFD19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723AD74F">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09C9D10E">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31A8B5B0">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5D93142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1263B93B">
      <w:pPr>
        <w:rPr>
          <w:rFonts w:ascii="宋体" w:hAnsi="宋体" w:cs="宋体"/>
          <w:color w:val="auto"/>
          <w:highlight w:val="none"/>
        </w:rPr>
      </w:pPr>
    </w:p>
    <w:p w14:paraId="0C006DC5">
      <w:pPr>
        <w:pStyle w:val="6"/>
        <w:numPr>
          <w:ilvl w:val="0"/>
          <w:numId w:val="2"/>
        </w:numPr>
        <w:spacing w:before="0" w:after="0" w:line="360" w:lineRule="auto"/>
        <w:jc w:val="center"/>
        <w:rPr>
          <w:rFonts w:ascii="宋体" w:hAnsi="宋体" w:cs="宋体"/>
          <w:color w:val="auto"/>
          <w:highlight w:val="none"/>
        </w:rPr>
      </w:pPr>
      <w:bookmarkStart w:id="90" w:name="_Toc20653"/>
      <w:r>
        <w:rPr>
          <w:rFonts w:hint="eastAsia" w:ascii="宋体" w:hAnsi="宋体" w:cs="宋体"/>
          <w:color w:val="auto"/>
          <w:highlight w:val="none"/>
        </w:rPr>
        <w:t>异议</w:t>
      </w:r>
      <w:bookmarkEnd w:id="90"/>
    </w:p>
    <w:p w14:paraId="5DB3E7BE">
      <w:pPr>
        <w:pStyle w:val="7"/>
        <w:widowControl w:val="0"/>
        <w:numPr>
          <w:ilvl w:val="0"/>
          <w:numId w:val="3"/>
        </w:numPr>
        <w:overflowPunct w:val="0"/>
        <w:rPr>
          <w:rFonts w:ascii="宋体" w:hAnsi="宋体" w:cs="宋体"/>
          <w:color w:val="auto"/>
          <w:sz w:val="21"/>
          <w:szCs w:val="21"/>
          <w:highlight w:val="none"/>
        </w:rPr>
      </w:pPr>
      <w:bookmarkStart w:id="91" w:name="_Toc4521"/>
      <w:r>
        <w:rPr>
          <w:rFonts w:hint="eastAsia" w:ascii="宋体" w:hAnsi="宋体" w:cs="宋体"/>
          <w:color w:val="auto"/>
          <w:sz w:val="21"/>
          <w:szCs w:val="21"/>
          <w:highlight w:val="none"/>
        </w:rPr>
        <w:t>异议</w:t>
      </w:r>
      <w:bookmarkEnd w:id="91"/>
    </w:p>
    <w:p w14:paraId="5B8C2BBB">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113D66B9">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8" w:leftChars="200" w:firstLine="0" w:firstLineChars="0"/>
        <w:jc w:val="both"/>
        <w:textAlignment w:val="auto"/>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60FABB26">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592D04BB">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8"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3E5C2E6A">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8"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BC196E4">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4B375034">
      <w:pPr>
        <w:rPr>
          <w:rFonts w:ascii="宋体" w:hAnsi="宋体" w:cs="宋体"/>
          <w:color w:val="auto"/>
          <w:highlight w:val="none"/>
        </w:rPr>
      </w:pPr>
    </w:p>
    <w:p w14:paraId="517B6D5B">
      <w:pPr>
        <w:pStyle w:val="6"/>
        <w:numPr>
          <w:ilvl w:val="0"/>
          <w:numId w:val="2"/>
        </w:numPr>
        <w:spacing w:before="0" w:after="0" w:line="360" w:lineRule="auto"/>
        <w:jc w:val="center"/>
        <w:rPr>
          <w:rFonts w:ascii="宋体" w:hAnsi="宋体" w:cs="宋体"/>
          <w:color w:val="auto"/>
          <w:highlight w:val="none"/>
        </w:rPr>
      </w:pPr>
      <w:bookmarkStart w:id="92" w:name="_Toc32547"/>
      <w:r>
        <w:rPr>
          <w:rFonts w:hint="eastAsia" w:ascii="宋体" w:hAnsi="宋体" w:cs="宋体"/>
          <w:color w:val="auto"/>
          <w:highlight w:val="none"/>
        </w:rPr>
        <w:t>其他</w:t>
      </w:r>
      <w:bookmarkEnd w:id="92"/>
    </w:p>
    <w:p w14:paraId="7312799C">
      <w:pPr>
        <w:pStyle w:val="7"/>
        <w:widowControl w:val="0"/>
        <w:numPr>
          <w:ilvl w:val="0"/>
          <w:numId w:val="3"/>
        </w:numPr>
        <w:overflowPunct w:val="0"/>
        <w:rPr>
          <w:rFonts w:ascii="宋体" w:hAnsi="宋体" w:cs="宋体"/>
          <w:color w:val="auto"/>
          <w:sz w:val="21"/>
          <w:szCs w:val="21"/>
          <w:highlight w:val="none"/>
        </w:rPr>
      </w:pPr>
      <w:bookmarkStart w:id="93" w:name="_Toc3864"/>
      <w:r>
        <w:rPr>
          <w:rFonts w:hint="eastAsia" w:ascii="宋体" w:hAnsi="宋体" w:cs="宋体"/>
          <w:color w:val="auto"/>
          <w:sz w:val="21"/>
          <w:szCs w:val="21"/>
          <w:highlight w:val="none"/>
        </w:rPr>
        <w:t>采购文件的解释权</w:t>
      </w:r>
      <w:bookmarkEnd w:id="93"/>
    </w:p>
    <w:p w14:paraId="34E1934E">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270D7752">
      <w:pPr>
        <w:widowControl w:val="0"/>
        <w:numPr>
          <w:ilvl w:val="0"/>
          <w:numId w:val="0"/>
        </w:numPr>
        <w:tabs>
          <w:tab w:val="left" w:pos="907"/>
        </w:tabs>
        <w:adjustRightInd/>
        <w:snapToGrid/>
        <w:ind w:leftChars="0"/>
        <w:jc w:val="both"/>
        <w:rPr>
          <w:rFonts w:ascii="宋体" w:hAnsi="宋体" w:cs="宋体"/>
          <w:color w:val="auto"/>
          <w:szCs w:val="21"/>
          <w:highlight w:val="none"/>
        </w:rPr>
      </w:pPr>
    </w:p>
    <w:p w14:paraId="5B04C900">
      <w:pPr>
        <w:pStyle w:val="3"/>
        <w:rPr>
          <w:color w:val="auto"/>
        </w:rPr>
      </w:pPr>
    </w:p>
    <w:p w14:paraId="64DAD143">
      <w:pPr>
        <w:widowControl w:val="0"/>
        <w:numPr>
          <w:ilvl w:val="1"/>
          <w:numId w:val="7"/>
        </w:numPr>
        <w:tabs>
          <w:tab w:val="left" w:pos="907"/>
        </w:tabs>
        <w:adjustRightInd/>
        <w:snapToGrid/>
        <w:jc w:val="both"/>
        <w:rPr>
          <w:rFonts w:ascii="宋体" w:hAnsi="宋体" w:cs="宋体"/>
          <w:color w:val="auto"/>
          <w:szCs w:val="21"/>
          <w:highlight w:val="none"/>
        </w:rPr>
      </w:pPr>
      <w:r>
        <w:rPr>
          <w:rFonts w:hint="eastAsia" w:ascii="宋体" w:hAnsi="宋体" w:cs="宋体"/>
          <w:color w:val="auto"/>
          <w:szCs w:val="21"/>
          <w:highlight w:val="none"/>
        </w:rPr>
        <w:br w:type="page"/>
      </w:r>
    </w:p>
    <w:p w14:paraId="22B00B39">
      <w:pPr>
        <w:pStyle w:val="5"/>
        <w:spacing w:before="0" w:after="0" w:line="240" w:lineRule="auto"/>
        <w:rPr>
          <w:color w:val="auto"/>
          <w:sz w:val="28"/>
          <w:szCs w:val="28"/>
          <w:highlight w:val="none"/>
        </w:rPr>
      </w:pPr>
      <w:bookmarkStart w:id="94" w:name="_Toc22782"/>
      <w:r>
        <w:rPr>
          <w:rFonts w:hint="eastAsia"/>
          <w:color w:val="auto"/>
          <w:sz w:val="28"/>
          <w:szCs w:val="28"/>
          <w:highlight w:val="none"/>
        </w:rPr>
        <w:t>第五部分  合同条款格式</w:t>
      </w:r>
      <w:bookmarkEnd w:id="94"/>
      <w:bookmarkStart w:id="95" w:name="_Toc15636"/>
    </w:p>
    <w:bookmarkEnd w:id="95"/>
    <w:p w14:paraId="0B900FED">
      <w:pPr>
        <w:rPr>
          <w:color w:val="auto"/>
          <w:highlight w:val="none"/>
        </w:rPr>
      </w:pPr>
      <w:bookmarkStart w:id="96" w:name="_Hlt109815959"/>
      <w:bookmarkEnd w:id="96"/>
    </w:p>
    <w:p w14:paraId="2DC8EA39">
      <w:pPr>
        <w:bidi w:val="0"/>
        <w:jc w:val="center"/>
        <w:rPr>
          <w:rFonts w:hint="eastAsia"/>
          <w:b/>
          <w:bCs/>
          <w:color w:val="auto"/>
          <w:sz w:val="52"/>
          <w:szCs w:val="52"/>
        </w:rPr>
      </w:pPr>
    </w:p>
    <w:p w14:paraId="691A0735">
      <w:pPr>
        <w:bidi w:val="0"/>
        <w:jc w:val="center"/>
        <w:rPr>
          <w:rFonts w:hint="eastAsia"/>
          <w:b/>
          <w:bCs/>
          <w:color w:val="auto"/>
          <w:sz w:val="52"/>
          <w:szCs w:val="52"/>
        </w:rPr>
      </w:pPr>
      <w:r>
        <w:rPr>
          <w:rFonts w:hint="eastAsia"/>
          <w:b/>
          <w:bCs/>
          <w:color w:val="auto"/>
          <w:sz w:val="52"/>
          <w:szCs w:val="52"/>
        </w:rPr>
        <w:t>东莞市能源投资集团有限公司</w:t>
      </w:r>
    </w:p>
    <w:p w14:paraId="25351BEB">
      <w:pPr>
        <w:bidi w:val="0"/>
        <w:jc w:val="center"/>
        <w:rPr>
          <w:rFonts w:hint="eastAsia"/>
          <w:b/>
          <w:bCs/>
          <w:color w:val="auto"/>
          <w:sz w:val="52"/>
          <w:szCs w:val="52"/>
        </w:rPr>
      </w:pPr>
      <w:r>
        <w:rPr>
          <w:rFonts w:hint="eastAsia"/>
          <w:b/>
          <w:bCs/>
          <w:color w:val="auto"/>
          <w:sz w:val="52"/>
          <w:szCs w:val="52"/>
        </w:rPr>
        <w:t>食堂副食品配送服务合同</w:t>
      </w:r>
    </w:p>
    <w:p w14:paraId="7E947271">
      <w:pPr>
        <w:bidi w:val="0"/>
        <w:rPr>
          <w:color w:val="auto"/>
        </w:rPr>
      </w:pPr>
    </w:p>
    <w:p w14:paraId="54A27458">
      <w:pPr>
        <w:pStyle w:val="3"/>
        <w:wordWrap w:val="0"/>
        <w:ind w:left="1680" w:right="1680"/>
        <w:jc w:val="center"/>
        <w:rPr>
          <w:rFonts w:hAnsi="宋体"/>
          <w:color w:val="auto"/>
          <w:sz w:val="24"/>
          <w:szCs w:val="36"/>
          <w:highlight w:val="none"/>
        </w:rPr>
      </w:pPr>
    </w:p>
    <w:p w14:paraId="05A9784F">
      <w:pPr>
        <w:tabs>
          <w:tab w:val="left" w:pos="7518"/>
        </w:tabs>
        <w:wordWrap w:val="0"/>
        <w:spacing w:before="26"/>
        <w:ind w:left="559"/>
        <w:jc w:val="center"/>
        <w:rPr>
          <w:rFonts w:hAnsi="宋体"/>
          <w:color w:val="auto"/>
          <w:sz w:val="24"/>
          <w:szCs w:val="36"/>
          <w:highlight w:val="none"/>
        </w:rPr>
      </w:pPr>
      <w:r>
        <w:rPr>
          <w:rFonts w:hint="eastAsia" w:hAnsi="宋体"/>
          <w:color w:val="auto"/>
          <w:sz w:val="28"/>
          <w:szCs w:val="36"/>
          <w:highlight w:val="none"/>
          <w:u w:val="single"/>
        </w:rPr>
        <w:t xml:space="preserve">                               </w:t>
      </w:r>
    </w:p>
    <w:p w14:paraId="5A3CD02F">
      <w:pPr>
        <w:pStyle w:val="3"/>
        <w:wordWrap w:val="0"/>
        <w:ind w:left="1680" w:right="1680"/>
        <w:jc w:val="center"/>
        <w:rPr>
          <w:rFonts w:hAnsi="宋体"/>
          <w:color w:val="auto"/>
          <w:sz w:val="24"/>
          <w:szCs w:val="36"/>
          <w:highlight w:val="none"/>
        </w:rPr>
      </w:pPr>
    </w:p>
    <w:p w14:paraId="594701C9">
      <w:pPr>
        <w:tabs>
          <w:tab w:val="left" w:pos="1279"/>
          <w:tab w:val="left" w:pos="7518"/>
        </w:tabs>
        <w:wordWrap w:val="0"/>
        <w:spacing w:before="26"/>
        <w:ind w:left="559"/>
        <w:jc w:val="center"/>
        <w:rPr>
          <w:rFonts w:hAnsi="宋体"/>
          <w:color w:val="auto"/>
          <w:sz w:val="30"/>
          <w:szCs w:val="30"/>
          <w:highlight w:val="none"/>
          <w:u w:val="none"/>
        </w:rPr>
      </w:pPr>
      <w:r>
        <w:rPr>
          <w:rFonts w:hint="eastAsia" w:hAnsi="宋体"/>
          <w:color w:val="auto"/>
          <w:sz w:val="30"/>
          <w:szCs w:val="30"/>
          <w:highlight w:val="none"/>
        </w:rPr>
        <w:t>甲方（采购人）：</w:t>
      </w:r>
      <w:r>
        <w:rPr>
          <w:rFonts w:hint="eastAsia" w:ascii="宋体" w:hAnsi="宋体" w:eastAsia="宋体" w:cs="宋体"/>
          <w:color w:val="auto"/>
          <w:sz w:val="30"/>
          <w:szCs w:val="30"/>
          <w:highlight w:val="none"/>
          <w:u w:val="none"/>
        </w:rPr>
        <w:t xml:space="preserve">                        </w:t>
      </w:r>
    </w:p>
    <w:p w14:paraId="62B2A262">
      <w:pPr>
        <w:pStyle w:val="3"/>
        <w:wordWrap w:val="0"/>
        <w:ind w:left="1680" w:right="1680"/>
        <w:jc w:val="center"/>
        <w:rPr>
          <w:rFonts w:hint="eastAsia" w:hAnsi="宋体" w:eastAsia="宋体"/>
          <w:color w:val="auto"/>
          <w:sz w:val="30"/>
          <w:szCs w:val="30"/>
          <w:highlight w:val="none"/>
          <w:lang w:eastAsia="zh-CN"/>
        </w:rPr>
      </w:pPr>
      <w:r>
        <w:rPr>
          <w:rFonts w:hint="eastAsia"/>
          <w:color w:val="auto"/>
          <w:sz w:val="30"/>
          <w:szCs w:val="30"/>
          <w:highlight w:val="none"/>
          <w:u w:val="single"/>
          <w:lang w:val="en-US" w:eastAsia="zh-CN"/>
        </w:rPr>
        <w:t xml:space="preserve"> </w:t>
      </w:r>
    </w:p>
    <w:p w14:paraId="45CA273A">
      <w:pPr>
        <w:tabs>
          <w:tab w:val="left" w:pos="1279"/>
          <w:tab w:val="left" w:pos="7518"/>
        </w:tabs>
        <w:wordWrap w:val="0"/>
        <w:spacing w:before="26"/>
        <w:ind w:left="559"/>
        <w:jc w:val="center"/>
        <w:rPr>
          <w:rFonts w:hAnsi="宋体"/>
          <w:color w:val="auto"/>
          <w:sz w:val="30"/>
          <w:szCs w:val="30"/>
          <w:highlight w:val="none"/>
        </w:rPr>
      </w:pPr>
      <w:r>
        <w:rPr>
          <w:rFonts w:hint="eastAsia" w:hAnsi="宋体"/>
          <w:color w:val="auto"/>
          <w:sz w:val="30"/>
          <w:szCs w:val="30"/>
          <w:highlight w:val="none"/>
        </w:rPr>
        <w:t>乙方（承包人）：</w:t>
      </w:r>
      <w:r>
        <w:rPr>
          <w:rFonts w:hint="eastAsia" w:hAnsi="宋体"/>
          <w:color w:val="auto"/>
          <w:sz w:val="30"/>
          <w:szCs w:val="30"/>
          <w:highlight w:val="none"/>
          <w:u w:val="single"/>
        </w:rPr>
        <w:t xml:space="preserve">                        </w:t>
      </w:r>
    </w:p>
    <w:p w14:paraId="5867B0FD">
      <w:pPr>
        <w:pStyle w:val="3"/>
        <w:wordWrap w:val="0"/>
        <w:ind w:left="1680" w:right="1680"/>
        <w:jc w:val="center"/>
        <w:rPr>
          <w:rFonts w:hAnsi="宋体"/>
          <w:color w:val="auto"/>
          <w:sz w:val="30"/>
          <w:szCs w:val="30"/>
          <w:highlight w:val="none"/>
        </w:rPr>
      </w:pPr>
    </w:p>
    <w:p w14:paraId="3A5DCC03">
      <w:pPr>
        <w:pStyle w:val="3"/>
        <w:wordWrap w:val="0"/>
        <w:ind w:right="1680"/>
        <w:jc w:val="center"/>
        <w:rPr>
          <w:rFonts w:hAnsi="宋体"/>
          <w:color w:val="auto"/>
          <w:sz w:val="30"/>
          <w:szCs w:val="30"/>
          <w:highlight w:val="none"/>
        </w:rPr>
      </w:pPr>
    </w:p>
    <w:p w14:paraId="10F87FE6">
      <w:pPr>
        <w:tabs>
          <w:tab w:val="left" w:pos="632"/>
          <w:tab w:val="left" w:pos="9240"/>
        </w:tabs>
        <w:wordWrap w:val="0"/>
        <w:spacing w:line="540" w:lineRule="exact"/>
        <w:ind w:firstLine="2432" w:firstLineChars="800"/>
        <w:jc w:val="both"/>
        <w:rPr>
          <w:rFonts w:hint="eastAsia" w:hAnsi="宋体"/>
          <w:bCs/>
          <w:color w:val="auto"/>
          <w:sz w:val="30"/>
          <w:szCs w:val="30"/>
          <w:highlight w:val="none"/>
        </w:rPr>
      </w:pPr>
      <w:r>
        <w:rPr>
          <w:rFonts w:hint="eastAsia" w:hAnsi="宋体"/>
          <w:bCs/>
          <w:color w:val="auto"/>
          <w:sz w:val="30"/>
          <w:szCs w:val="30"/>
          <w:highlight w:val="none"/>
        </w:rPr>
        <w:t>签    约   地   点：东莞市</w:t>
      </w:r>
    </w:p>
    <w:p w14:paraId="7ACC0E4D">
      <w:pPr>
        <w:pStyle w:val="37"/>
        <w:rPr>
          <w:color w:val="auto"/>
          <w:sz w:val="30"/>
          <w:szCs w:val="30"/>
        </w:rPr>
      </w:pPr>
    </w:p>
    <w:p w14:paraId="4ABEC7A8">
      <w:pPr>
        <w:tabs>
          <w:tab w:val="left" w:pos="632"/>
          <w:tab w:val="left" w:pos="9240"/>
        </w:tabs>
        <w:wordWrap w:val="0"/>
        <w:spacing w:line="540" w:lineRule="exact"/>
        <w:ind w:left="575" w:leftChars="269"/>
        <w:jc w:val="center"/>
        <w:rPr>
          <w:rFonts w:hint="eastAsia" w:hAnsi="宋体"/>
          <w:bCs/>
          <w:color w:val="auto"/>
          <w:sz w:val="30"/>
          <w:szCs w:val="30"/>
          <w:highlight w:val="none"/>
        </w:rPr>
      </w:pPr>
    </w:p>
    <w:p w14:paraId="145E9EA3">
      <w:pPr>
        <w:tabs>
          <w:tab w:val="left" w:pos="632"/>
          <w:tab w:val="left" w:pos="9240"/>
        </w:tabs>
        <w:wordWrap w:val="0"/>
        <w:spacing w:line="540" w:lineRule="exact"/>
        <w:ind w:left="575" w:leftChars="269"/>
        <w:jc w:val="center"/>
        <w:rPr>
          <w:rFonts w:hint="eastAsia" w:hAnsi="宋体"/>
          <w:bCs/>
          <w:color w:val="auto"/>
          <w:sz w:val="30"/>
          <w:szCs w:val="30"/>
          <w:highlight w:val="none"/>
        </w:rPr>
      </w:pPr>
      <w:r>
        <w:rPr>
          <w:rFonts w:hint="eastAsia" w:hAnsi="宋体"/>
          <w:bCs/>
          <w:color w:val="auto"/>
          <w:sz w:val="30"/>
          <w:szCs w:val="30"/>
          <w:highlight w:val="none"/>
        </w:rPr>
        <w:t>签   订   日    期：      年     月     日</w:t>
      </w:r>
    </w:p>
    <w:p w14:paraId="69E382CF">
      <w:pPr>
        <w:widowControl/>
        <w:spacing w:line="360" w:lineRule="auto"/>
        <w:jc w:val="center"/>
        <w:rPr>
          <w:rFonts w:hint="eastAsia" w:ascii="宋体" w:hAnsi="宋体" w:cs="宋体"/>
          <w:b/>
          <w:color w:val="auto"/>
          <w:sz w:val="32"/>
          <w:szCs w:val="28"/>
          <w:highlight w:val="none"/>
        </w:rPr>
      </w:pPr>
    </w:p>
    <w:p w14:paraId="38E0ACDD">
      <w:pPr>
        <w:rPr>
          <w:rFonts w:hint="eastAsia" w:ascii="宋体" w:hAnsi="宋体" w:cs="宋体"/>
          <w:b/>
          <w:color w:val="auto"/>
          <w:sz w:val="32"/>
          <w:szCs w:val="28"/>
          <w:highlight w:val="none"/>
        </w:rPr>
      </w:pPr>
      <w:r>
        <w:rPr>
          <w:rFonts w:hint="eastAsia" w:ascii="宋体" w:hAnsi="宋体" w:cs="宋体"/>
          <w:b/>
          <w:color w:val="auto"/>
          <w:sz w:val="32"/>
          <w:szCs w:val="28"/>
          <w:highlight w:val="none"/>
        </w:rPr>
        <w:br w:type="page"/>
      </w:r>
    </w:p>
    <w:p w14:paraId="130E0BB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甲方（采购人）：</w:t>
      </w:r>
      <w:r>
        <w:rPr>
          <w:rFonts w:hint="eastAsia" w:ascii="宋体" w:hAnsi="宋体" w:eastAsia="宋体" w:cs="宋体"/>
          <w:color w:val="auto"/>
          <w:sz w:val="21"/>
          <w:szCs w:val="21"/>
          <w:u w:val="single"/>
        </w:rPr>
        <w:t xml:space="preserve">东莞市能源投资集团有限公司   </w:t>
      </w:r>
    </w:p>
    <w:p w14:paraId="302003F3">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乙方（承包人）：</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p>
    <w:p w14:paraId="3CF23EC8">
      <w:pPr>
        <w:spacing w:before="322" w:beforeLines="100" w:line="360" w:lineRule="auto"/>
        <w:ind w:firstLine="428"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根据有关法律法规，甲、乙双方本着平等、互利、长期合作的原则，双方经充分沟通和友好协商，就乙方向甲方提供食材配送服务等事宜，签订本合同，以资共同遵守。</w:t>
      </w:r>
    </w:p>
    <w:p w14:paraId="1BE90168">
      <w:pPr>
        <w:spacing w:after="161" w:afterLines="50" w:line="360" w:lineRule="auto"/>
        <w:ind w:firstLine="428"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第一条  甲方要求乙方配送的食品材料名称、规格、品牌</w:t>
      </w:r>
    </w:p>
    <w:p w14:paraId="5D43C8E5">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甲方的需求包括但不限于如下所列：</w:t>
      </w:r>
    </w:p>
    <w:p w14:paraId="37817899">
      <w:pPr>
        <w:spacing w:line="360" w:lineRule="auto"/>
        <w:ind w:firstLine="428"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 A类：干货、杂货类（调味品、干货、杂货、副食品、米粉面粉类等食品材料）、B类：肉类（新鲜猪肉、牛肉、羊肉、水产品、三鸟、零星冻品副食品类等食品材料）、C类：蔬菜类（蔬菜、菇菌等食品材料）等。详细货物名称、规格、品牌见《供货要求》。</w:t>
      </w:r>
    </w:p>
    <w:p w14:paraId="2B01A1F3">
      <w:pPr>
        <w:spacing w:line="360" w:lineRule="auto"/>
        <w:ind w:firstLine="428"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 未列入上述食品材料明细表内又需要购买的其他货品。</w:t>
      </w:r>
    </w:p>
    <w:p w14:paraId="1C727DB6">
      <w:pPr>
        <w:spacing w:line="360" w:lineRule="auto"/>
        <w:ind w:firstLine="424"/>
        <w:jc w:val="left"/>
        <w:rPr>
          <w:rFonts w:hint="eastAsia" w:ascii="宋体" w:hAnsi="宋体" w:eastAsia="宋体" w:cs="宋体"/>
          <w:b/>
          <w:color w:val="auto"/>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b/>
          <w:bCs/>
          <w:color w:val="auto"/>
          <w:kern w:val="0"/>
          <w:sz w:val="21"/>
          <w:szCs w:val="21"/>
        </w:rPr>
        <w:t>第二条 交易</w:t>
      </w:r>
      <w:r>
        <w:rPr>
          <w:rFonts w:hint="eastAsia" w:ascii="宋体" w:hAnsi="宋体" w:eastAsia="宋体" w:cs="宋体"/>
          <w:b/>
          <w:color w:val="auto"/>
          <w:sz w:val="21"/>
          <w:szCs w:val="21"/>
        </w:rPr>
        <w:t>方式、送货时间、地点及凭证</w:t>
      </w:r>
    </w:p>
    <w:p w14:paraId="274CCFE3">
      <w:pPr>
        <w:spacing w:line="360" w:lineRule="auto"/>
        <w:ind w:firstLine="428"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 订货方式：送货前一天，甲方以电话、书面、传真或电子邮箱的形式向乙方下达订货清单。</w:t>
      </w:r>
    </w:p>
    <w:p w14:paraId="79290DB4">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2.2 送货时间：A类货品具体时间以订单或双方协商为准；B、C类货品每天均需送货一次，送货验收时间段为6：00-6：30；临时送货，具体时间以订单或双方协商为准。</w:t>
      </w:r>
    </w:p>
    <w:p w14:paraId="45B85243">
      <w:pPr>
        <w:spacing w:line="360" w:lineRule="auto"/>
        <w:ind w:firstLine="428"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 送货地点：东莞市能源投资集团有限公司食堂。（后续如有新增配送站点，以甲方通知为准）</w:t>
      </w:r>
    </w:p>
    <w:p w14:paraId="209B48DC">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2.4 送货凭证：乙方每次送货必须出具送货清单及合法的进货单据并以此作为送货凭证，送货清单一式贰份（甲方一份、乙方一份）并盖有乙方公章或送货专用章。</w:t>
      </w:r>
    </w:p>
    <w:p w14:paraId="0660DE8C">
      <w:pPr>
        <w:spacing w:line="360" w:lineRule="auto"/>
        <w:ind w:firstLine="430" w:firstLineChars="201"/>
        <w:jc w:val="left"/>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 xml:space="preserve">第三条  </w:t>
      </w:r>
      <w:r>
        <w:rPr>
          <w:rFonts w:hint="eastAsia" w:ascii="宋体" w:hAnsi="宋体" w:eastAsia="宋体" w:cs="宋体"/>
          <w:b/>
          <w:color w:val="auto"/>
          <w:sz w:val="21"/>
          <w:szCs w:val="21"/>
        </w:rPr>
        <w:t>验收要求</w:t>
      </w:r>
    </w:p>
    <w:p w14:paraId="7A4BB46A">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3.1 按采购文件中《供货要求》食品材料验收要求执行。</w:t>
      </w:r>
    </w:p>
    <w:p w14:paraId="4FD27446">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3.2 送货地点即验收地点，验收人为甲方食堂工作人员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验收方式以</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确认为准。乙方按照甲方的订单进行配送，甲方食堂人员按照订单的数量进行过磅称重和验收，甲方食堂</w:t>
      </w:r>
      <w:r>
        <w:rPr>
          <w:rFonts w:hint="eastAsia" w:ascii="宋体" w:hAnsi="宋体" w:eastAsia="宋体" w:cs="宋体"/>
          <w:color w:val="auto"/>
          <w:sz w:val="21"/>
          <w:szCs w:val="21"/>
          <w:lang w:val="en-US" w:eastAsia="zh-CN"/>
        </w:rPr>
        <w:t>负责人员</w:t>
      </w:r>
      <w:r>
        <w:rPr>
          <w:rFonts w:hint="eastAsia" w:ascii="宋体" w:hAnsi="宋体" w:eastAsia="宋体" w:cs="宋体"/>
          <w:color w:val="auto"/>
          <w:sz w:val="21"/>
          <w:szCs w:val="21"/>
        </w:rPr>
        <w:t>将过磅的</w:t>
      </w:r>
      <w:r>
        <w:rPr>
          <w:rFonts w:hint="eastAsia" w:ascii="宋体" w:hAnsi="宋体" w:eastAsia="宋体" w:cs="宋体"/>
          <w:color w:val="auto"/>
          <w:sz w:val="21"/>
          <w:szCs w:val="21"/>
          <w:lang w:val="en-US" w:eastAsia="zh-CN"/>
        </w:rPr>
        <w:t>品种</w:t>
      </w:r>
      <w:r>
        <w:rPr>
          <w:rFonts w:hint="eastAsia" w:ascii="宋体" w:hAnsi="宋体" w:eastAsia="宋体" w:cs="宋体"/>
          <w:color w:val="auto"/>
          <w:sz w:val="21"/>
          <w:szCs w:val="21"/>
        </w:rPr>
        <w:t>和数量登记好后签字确认，作为货款结算依据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提供一式三联的送货清单供</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签字确认，作为送</w:t>
      </w:r>
      <w:r>
        <w:rPr>
          <w:rFonts w:hint="eastAsia" w:ascii="宋体" w:hAnsi="宋体" w:eastAsia="宋体" w:cs="宋体"/>
          <w:color w:val="auto"/>
          <w:sz w:val="21"/>
          <w:szCs w:val="21"/>
          <w:lang w:val="en-US" w:eastAsia="zh-CN"/>
        </w:rPr>
        <w:t>货</w:t>
      </w:r>
      <w:r>
        <w:rPr>
          <w:rFonts w:hint="eastAsia" w:ascii="宋体" w:hAnsi="宋体" w:eastAsia="宋体" w:cs="宋体"/>
          <w:color w:val="auto"/>
          <w:sz w:val="21"/>
          <w:szCs w:val="21"/>
        </w:rPr>
        <w:t>、收货凭证。</w:t>
      </w:r>
    </w:p>
    <w:p w14:paraId="003388F7">
      <w:pPr>
        <w:spacing w:line="360" w:lineRule="auto"/>
        <w:ind w:firstLine="430" w:firstLineChars="201"/>
        <w:jc w:val="left"/>
        <w:rPr>
          <w:rFonts w:hint="eastAsia" w:ascii="宋体" w:hAnsi="宋体" w:eastAsia="宋体" w:cs="宋体"/>
          <w:color w:val="auto"/>
          <w:sz w:val="21"/>
          <w:szCs w:val="21"/>
        </w:rPr>
      </w:pPr>
      <w:r>
        <w:rPr>
          <w:rFonts w:hint="eastAsia" w:ascii="宋体" w:hAnsi="宋体" w:eastAsia="宋体" w:cs="宋体"/>
          <w:color w:val="auto"/>
          <w:sz w:val="21"/>
          <w:szCs w:val="21"/>
        </w:rPr>
        <w:t>3.3 乙方必须履行招标文件所有承诺内容，严格执行甲方制定的相关考核管理办法，甲方在合同有效期内定期组织对乙方进行评估考核。</w:t>
      </w:r>
    </w:p>
    <w:p w14:paraId="68C79BE5">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 xml:space="preserve">第四条  </w:t>
      </w:r>
      <w:r>
        <w:rPr>
          <w:rFonts w:hint="eastAsia" w:ascii="宋体" w:hAnsi="宋体" w:eastAsia="宋体" w:cs="宋体"/>
          <w:b/>
          <w:color w:val="auto"/>
          <w:sz w:val="21"/>
          <w:szCs w:val="21"/>
        </w:rPr>
        <w:t>合同期限</w:t>
      </w:r>
    </w:p>
    <w:p w14:paraId="2969FF90">
      <w:pPr>
        <w:spacing w:line="360" w:lineRule="auto"/>
        <w:ind w:firstLine="430"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合同服务期限：从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合同期满且双方未续签，合同自动终止。</w:t>
      </w:r>
    </w:p>
    <w:p w14:paraId="0C36B5AE">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第五条  合同价格</w:t>
      </w:r>
    </w:p>
    <w:p w14:paraId="20061FA1">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5.1 </w:t>
      </w:r>
      <w:r>
        <w:rPr>
          <w:rFonts w:hint="eastAsia" w:ascii="宋体" w:hAnsi="宋体" w:cs="宋体"/>
          <w:color w:val="auto"/>
          <w:sz w:val="21"/>
          <w:szCs w:val="21"/>
          <w:lang w:val="en-US" w:eastAsia="zh-CN"/>
        </w:rPr>
        <w:t>中标下浮率</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下浮</w:t>
      </w:r>
      <w:r>
        <w:rPr>
          <w:rFonts w:hint="eastAsia" w:ascii="宋体" w:hAnsi="宋体" w:eastAsia="宋体" w:cs="宋体"/>
          <w:color w:val="auto"/>
          <w:sz w:val="21"/>
          <w:szCs w:val="21"/>
        </w:rPr>
        <w:t>百分之</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D2555F7">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 采购费用按实际产生的费用结算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合同总价</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元/年（人民币大写：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元整/年）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累计采购总金额不得超过该合同总价。</w:t>
      </w:r>
    </w:p>
    <w:p w14:paraId="498FF1DA">
      <w:pPr>
        <w:spacing w:line="360" w:lineRule="auto"/>
        <w:ind w:firstLine="430" w:firstLineChars="201"/>
        <w:rPr>
          <w:rFonts w:hint="eastAsia" w:ascii="宋体" w:hAnsi="宋体" w:eastAsia="宋体" w:cs="宋体"/>
          <w:b/>
          <w:bCs/>
          <w:color w:val="auto"/>
          <w:sz w:val="21"/>
          <w:szCs w:val="21"/>
        </w:rPr>
      </w:pPr>
      <w:r>
        <w:rPr>
          <w:rFonts w:hint="eastAsia" w:ascii="宋体" w:hAnsi="宋体" w:eastAsia="宋体" w:cs="宋体"/>
          <w:b/>
          <w:bCs/>
          <w:color w:val="auto"/>
          <w:sz w:val="21"/>
          <w:szCs w:val="21"/>
        </w:rPr>
        <w:t>（一）定价原则</w:t>
      </w:r>
    </w:p>
    <w:p w14:paraId="12115EC2">
      <w:pPr>
        <w:spacing w:line="360" w:lineRule="auto"/>
        <w:ind w:firstLine="430" w:firstLineChars="201"/>
        <w:rPr>
          <w:rFonts w:hint="eastAsia" w:ascii="宋体" w:hAnsi="宋体" w:eastAsia="宋体" w:cs="宋体"/>
          <w:color w:val="auto"/>
          <w:sz w:val="21"/>
          <w:szCs w:val="21"/>
          <w:u w:val="single"/>
        </w:rPr>
      </w:pPr>
      <w:r>
        <w:rPr>
          <w:rFonts w:hint="eastAsia" w:ascii="宋体" w:hAnsi="宋体" w:eastAsia="宋体" w:cs="宋体"/>
          <w:color w:val="auto"/>
          <w:sz w:val="21"/>
          <w:szCs w:val="21"/>
        </w:rPr>
        <w:t>1.基准价的确定方式：</w:t>
      </w:r>
      <w:r>
        <w:rPr>
          <w:rFonts w:hint="eastAsia" w:ascii="宋体" w:hAnsi="宋体" w:eastAsia="宋体" w:cs="宋体"/>
          <w:color w:val="auto"/>
          <w:sz w:val="21"/>
          <w:szCs w:val="21"/>
          <w:u w:val="single"/>
        </w:rPr>
        <w:t>原则上以东莞物价专栏(http://dgdp.dg.gov.cn/jggl/index.html)中《</w:t>
      </w:r>
      <w:r>
        <w:rPr>
          <w:rFonts w:hint="eastAsia" w:ascii="宋体" w:hAnsi="宋体" w:eastAsia="宋体" w:cs="宋体"/>
          <w:color w:val="auto"/>
          <w:sz w:val="21"/>
          <w:szCs w:val="21"/>
          <w:u w:val="single"/>
        </w:rPr>
        <w:fldChar w:fldCharType="begin"/>
      </w:r>
      <w:r>
        <w:rPr>
          <w:rFonts w:hint="eastAsia" w:ascii="宋体" w:hAnsi="宋体" w:eastAsia="宋体" w:cs="宋体"/>
          <w:color w:val="auto"/>
          <w:sz w:val="21"/>
          <w:szCs w:val="21"/>
          <w:u w:val="single"/>
        </w:rPr>
        <w:instrText xml:space="preserve"> HYPERLINK "http://jgxx.dgdp.dg.gov.cn/../../../business/htmlfiles/dgwjj/pjgjc1/list.htm" \t "_blank" </w:instrText>
      </w:r>
      <w:r>
        <w:rPr>
          <w:rFonts w:hint="eastAsia" w:ascii="宋体" w:hAnsi="宋体" w:eastAsia="宋体" w:cs="宋体"/>
          <w:color w:val="auto"/>
          <w:sz w:val="21"/>
          <w:szCs w:val="21"/>
          <w:u w:val="single"/>
        </w:rPr>
        <w:fldChar w:fldCharType="separate"/>
      </w:r>
      <w:r>
        <w:rPr>
          <w:rFonts w:hint="eastAsia" w:ascii="宋体" w:hAnsi="宋体" w:eastAsia="宋体" w:cs="宋体"/>
          <w:color w:val="auto"/>
          <w:sz w:val="21"/>
          <w:szCs w:val="21"/>
          <w:u w:val="single"/>
        </w:rPr>
        <w:t>广东省城市居民食品零售价格监测表</w:t>
      </w:r>
      <w:r>
        <w:rPr>
          <w:rFonts w:hint="eastAsia" w:ascii="宋体" w:hAnsi="宋体" w:eastAsia="宋体" w:cs="宋体"/>
          <w:color w:val="auto"/>
          <w:sz w:val="21"/>
          <w:szCs w:val="21"/>
          <w:u w:val="single"/>
        </w:rPr>
        <w:fldChar w:fldCharType="end"/>
      </w:r>
      <w:r>
        <w:rPr>
          <w:rFonts w:hint="eastAsia" w:ascii="宋体" w:hAnsi="宋体" w:eastAsia="宋体" w:cs="宋体"/>
          <w:color w:val="auto"/>
          <w:sz w:val="21"/>
          <w:szCs w:val="21"/>
          <w:u w:val="single"/>
        </w:rPr>
        <w:t>》（东莞市菜篮子价格监测日报表）最新公布本期（指甲方审批之日的最新期次）价格作为基准价；若东莞物价专栏无甲方所需的相同品种，则甲方将对周边2-3个市场的市场零售价（精品零售价）进行抽样调查，核定相同品种的市场平均价格（基准价=市场平均价=2个市场抽样价格之和÷2）。</w:t>
      </w:r>
    </w:p>
    <w:p w14:paraId="3EB3F0F0">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2.供货价=</w:t>
      </w:r>
      <w:r>
        <w:rPr>
          <w:rFonts w:hint="eastAsia" w:ascii="宋体" w:hAnsi="宋体"/>
          <w:color w:val="auto"/>
          <w:sz w:val="21"/>
          <w:szCs w:val="21"/>
          <w:highlight w:val="none"/>
        </w:rPr>
        <w:t>货品基准价×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中标</w:t>
      </w:r>
      <w:r>
        <w:rPr>
          <w:rFonts w:hint="eastAsia" w:ascii="宋体" w:hAnsi="宋体"/>
          <w:color w:val="auto"/>
          <w:sz w:val="21"/>
          <w:szCs w:val="21"/>
          <w:highlight w:val="none"/>
          <w:lang w:eastAsia="zh-CN"/>
        </w:rPr>
        <w:t>下浮率</w:t>
      </w:r>
      <w:r>
        <w:rPr>
          <w:rFonts w:hint="eastAsia" w:ascii="宋体" w:hAnsi="宋体"/>
          <w:color w:val="auto"/>
          <w:sz w:val="21"/>
          <w:szCs w:val="21"/>
          <w:highlight w:val="none"/>
          <w:lang w:val="en-US" w:eastAsia="zh-CN"/>
        </w:rPr>
        <w:t>）</w:t>
      </w:r>
      <w:r>
        <w:rPr>
          <w:rFonts w:hint="eastAsia" w:ascii="宋体" w:hAnsi="宋体" w:eastAsia="宋体" w:cs="宋体"/>
          <w:color w:val="auto"/>
          <w:sz w:val="21"/>
          <w:szCs w:val="21"/>
        </w:rPr>
        <w:t>计算确定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乙方每月按规定时间报价给甲方审核，甲方审核同意后发送定价通知给乙方，3个工作日内签字确认，双方签字后生效。若</w:t>
      </w:r>
      <w:r>
        <w:rPr>
          <w:rFonts w:hint="eastAsia" w:ascii="宋体" w:hAnsi="宋体" w:eastAsia="宋体" w:cs="宋体"/>
          <w:color w:val="auto"/>
          <w:sz w:val="21"/>
          <w:szCs w:val="21"/>
          <w:u w:val="single"/>
        </w:rPr>
        <w:t>东莞物价专栏(http://dgdp.dg.gov.cn/jggl/index.html)中《</w:t>
      </w:r>
      <w:r>
        <w:rPr>
          <w:rFonts w:hint="eastAsia" w:ascii="宋体" w:hAnsi="宋体" w:eastAsia="宋体" w:cs="宋体"/>
          <w:color w:val="auto"/>
          <w:sz w:val="21"/>
          <w:szCs w:val="21"/>
          <w:u w:val="single"/>
        </w:rPr>
        <w:fldChar w:fldCharType="begin"/>
      </w:r>
      <w:r>
        <w:rPr>
          <w:rFonts w:hint="eastAsia" w:ascii="宋体" w:hAnsi="宋体" w:eastAsia="宋体" w:cs="宋体"/>
          <w:color w:val="auto"/>
          <w:sz w:val="21"/>
          <w:szCs w:val="21"/>
          <w:u w:val="single"/>
        </w:rPr>
        <w:instrText xml:space="preserve"> HYPERLINK "http://jgxx.dgdp.dg.gov.cn/../../../business/htmlfiles/dgwjj/pjgjc1/list.htm" \t "_blank" </w:instrText>
      </w:r>
      <w:r>
        <w:rPr>
          <w:rFonts w:hint="eastAsia" w:ascii="宋体" w:hAnsi="宋体" w:eastAsia="宋体" w:cs="宋体"/>
          <w:color w:val="auto"/>
          <w:sz w:val="21"/>
          <w:szCs w:val="21"/>
          <w:u w:val="single"/>
        </w:rPr>
        <w:fldChar w:fldCharType="separate"/>
      </w:r>
      <w:r>
        <w:rPr>
          <w:rFonts w:hint="eastAsia" w:ascii="宋体" w:hAnsi="宋体" w:eastAsia="宋体" w:cs="宋体"/>
          <w:color w:val="auto"/>
          <w:sz w:val="21"/>
          <w:szCs w:val="21"/>
          <w:u w:val="single"/>
        </w:rPr>
        <w:t>广东省城市居民食品零售价格监测表</w:t>
      </w:r>
      <w:r>
        <w:rPr>
          <w:rFonts w:hint="eastAsia" w:ascii="宋体" w:hAnsi="宋体" w:eastAsia="宋体" w:cs="宋体"/>
          <w:color w:val="auto"/>
          <w:sz w:val="21"/>
          <w:szCs w:val="21"/>
          <w:u w:val="single"/>
        </w:rPr>
        <w:fldChar w:fldCharType="end"/>
      </w:r>
      <w:r>
        <w:rPr>
          <w:rFonts w:hint="eastAsia" w:ascii="宋体" w:hAnsi="宋体" w:eastAsia="宋体" w:cs="宋体"/>
          <w:color w:val="auto"/>
          <w:sz w:val="21"/>
          <w:szCs w:val="21"/>
          <w:u w:val="single"/>
        </w:rPr>
        <w:t>》（东莞市菜篮子价格监测日报表）最新公布价格表</w:t>
      </w:r>
      <w:r>
        <w:rPr>
          <w:rFonts w:hint="eastAsia" w:ascii="宋体" w:hAnsi="宋体" w:eastAsia="宋体" w:cs="宋体"/>
          <w:color w:val="auto"/>
          <w:sz w:val="21"/>
          <w:szCs w:val="21"/>
        </w:rPr>
        <w:t>中无甲方所需的相同品种，则由甲方按上述方式进行市场抽样调查并将调查价格报乙方确认。计算公式如下：</w:t>
      </w:r>
    </w:p>
    <w:p w14:paraId="19B3C46A">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供货单价=</w:t>
      </w:r>
      <w:r>
        <w:rPr>
          <w:rFonts w:hint="eastAsia" w:ascii="宋体" w:hAnsi="宋体" w:cs="宋体"/>
          <w:b/>
          <w:color w:val="auto"/>
          <w:sz w:val="21"/>
          <w:szCs w:val="21"/>
        </w:rPr>
        <w:t>货品基准价×</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1-</w:t>
      </w:r>
      <w:r>
        <w:rPr>
          <w:rFonts w:hint="eastAsia" w:ascii="宋体" w:hAnsi="宋体" w:cs="宋体"/>
          <w:b/>
          <w:color w:val="auto"/>
          <w:sz w:val="21"/>
          <w:szCs w:val="21"/>
        </w:rPr>
        <w:t>中标</w:t>
      </w:r>
      <w:r>
        <w:rPr>
          <w:rFonts w:hint="eastAsia" w:ascii="宋体" w:hAnsi="宋体" w:cs="宋体"/>
          <w:b/>
          <w:color w:val="auto"/>
          <w:sz w:val="21"/>
          <w:szCs w:val="21"/>
          <w:lang w:eastAsia="zh-CN"/>
        </w:rPr>
        <w:t>下浮率</w:t>
      </w:r>
      <w:r>
        <w:rPr>
          <w:rFonts w:hint="eastAsia" w:ascii="宋体" w:hAnsi="宋体" w:cs="宋体"/>
          <w:b/>
          <w:color w:val="auto"/>
          <w:sz w:val="21"/>
          <w:szCs w:val="21"/>
          <w:lang w:val="en-US" w:eastAsia="zh-CN"/>
        </w:rPr>
        <w:t>）</w:t>
      </w:r>
    </w:p>
    <w:p w14:paraId="235AA373">
      <w:pPr>
        <w:spacing w:line="360" w:lineRule="auto"/>
        <w:ind w:firstLine="422"/>
        <w:rPr>
          <w:rFonts w:hint="eastAsia" w:ascii="宋体" w:hAnsi="宋体" w:eastAsia="宋体" w:cs="宋体"/>
          <w:color w:val="auto"/>
          <w:sz w:val="21"/>
          <w:szCs w:val="21"/>
        </w:rPr>
      </w:pPr>
      <w:r>
        <w:rPr>
          <w:rFonts w:hint="eastAsia" w:ascii="宋体" w:hAnsi="宋体" w:eastAsia="宋体" w:cs="宋体"/>
          <w:color w:val="auto"/>
          <w:sz w:val="21"/>
          <w:szCs w:val="21"/>
        </w:rPr>
        <w:t>3.甲方临时需求供货食品材料或品种不在《用户需求书》食品材料清单表内，乙方必须按甲方要求供货，该项临时需求食品材料纳入下次供货清单内，并按上述定价原则确定供货价。</w:t>
      </w:r>
    </w:p>
    <w:p w14:paraId="4585BA11">
      <w:pPr>
        <w:spacing w:line="360" w:lineRule="auto"/>
        <w:ind w:firstLine="422"/>
        <w:rPr>
          <w:rFonts w:hint="eastAsia" w:ascii="宋体" w:hAnsi="宋体" w:eastAsia="宋体" w:cs="宋体"/>
          <w:color w:val="auto"/>
          <w:sz w:val="21"/>
          <w:szCs w:val="21"/>
        </w:rPr>
      </w:pPr>
      <w:r>
        <w:rPr>
          <w:rFonts w:hint="eastAsia" w:ascii="宋体" w:hAnsi="宋体" w:eastAsia="宋体" w:cs="宋体"/>
          <w:color w:val="auto"/>
          <w:sz w:val="21"/>
          <w:szCs w:val="21"/>
        </w:rPr>
        <w:t>4.乙方的供货价应包含货品交给甲方之前的一切费用，</w:t>
      </w:r>
      <w:r>
        <w:rPr>
          <w:rFonts w:hint="eastAsia" w:ascii="宋体" w:hAnsi="宋体" w:eastAsia="宋体" w:cs="宋体"/>
          <w:color w:val="auto"/>
          <w:sz w:val="21"/>
          <w:szCs w:val="21"/>
          <w:lang w:val="zh-CN"/>
        </w:rPr>
        <w:t>报价应包含完成全部用户需求书内容的含税人民币价格。包括但不限于食堂餐料采购、人工、运输、保险、现场仓储、税费（含进口关税、增值税等）等一切与本项目相关的全部费用</w:t>
      </w:r>
      <w:r>
        <w:rPr>
          <w:rFonts w:hint="eastAsia" w:ascii="宋体" w:hAnsi="宋体" w:eastAsia="宋体" w:cs="宋体"/>
          <w:color w:val="auto"/>
          <w:sz w:val="21"/>
          <w:szCs w:val="21"/>
        </w:rPr>
        <w:t>，并承担送货途中的一切风险。</w:t>
      </w:r>
    </w:p>
    <w:p w14:paraId="3058780D">
      <w:pPr>
        <w:spacing w:line="360" w:lineRule="auto"/>
        <w:ind w:firstLine="418"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（二）定价周期</w:t>
      </w:r>
    </w:p>
    <w:p w14:paraId="2DD6EC6A">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1.食品材料供货价格为浮动价格</w:t>
      </w:r>
    </w:p>
    <w:p w14:paraId="52F1568F">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（1）A类（干货、杂货类）价格每月更新一次，乙方每月28日前提交下个月报价给甲方审核；</w:t>
      </w:r>
    </w:p>
    <w:p w14:paraId="38FB72AD">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（2）B类（肉类）及C类（蔬菜类）每半月更新一次，乙方每月13日前提交下半月报价给甲方审核，每月28日前提交下个月上半月报价给甲方审核。</w:t>
      </w:r>
    </w:p>
    <w:p w14:paraId="2D860B0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2.临时需求供货材料：乙方必须按照甲方急需食品材料品种、数量以及送货时间、地点等在4小时内进行供货，若急需的食品材料不在食品材料清单表上，其供货价格甲方在2个工作日内给予复核。</w:t>
      </w:r>
    </w:p>
    <w:p w14:paraId="3E602CA8">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（三）价格调整</w:t>
      </w:r>
    </w:p>
    <w:p w14:paraId="19568DB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核定价格后若供货时期市场出现食品材料价格升降在</w:t>
      </w:r>
      <w:r>
        <w:rPr>
          <w:rFonts w:hint="eastAsia" w:ascii="宋体" w:hAnsi="宋体" w:eastAsia="宋体" w:cs="宋体"/>
          <w:b/>
          <w:color w:val="auto"/>
          <w:sz w:val="21"/>
          <w:szCs w:val="21"/>
          <w:u w:val="single"/>
        </w:rPr>
        <w:t>20%或以上时</w:t>
      </w:r>
      <w:r>
        <w:rPr>
          <w:rFonts w:hint="eastAsia" w:ascii="宋体" w:hAnsi="宋体" w:eastAsia="宋体" w:cs="宋体"/>
          <w:color w:val="auto"/>
          <w:sz w:val="21"/>
          <w:szCs w:val="21"/>
        </w:rPr>
        <w:t>，双方均可以书面形式提出价格调整请求（未提出调整请求的部分则以原核定价格执行），双方通过市场调查核实后，按上述定价原则确定新的价格（双方确认生效后开始以新的价格执行，在此之前的仍以原核定价格执行），并在3个工作日内给予函复，若在此期限内不予函复则以新定价格执行，除此之外，双方约定的食品材料供货价格在有效期内任何一方不得随意更改。</w:t>
      </w:r>
    </w:p>
    <w:p w14:paraId="0A4C78C0">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第六条 支付方式</w:t>
      </w:r>
    </w:p>
    <w:p w14:paraId="4EB15EDA">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乙方按甲方的每次订单提交货物，由甲方收货验收并签字确认。每月15日前乙方提供上月费用的对账单并经甲方核对无误后，乙方按甲方财务规定开具同额有效发票给甲方，甲方在收到发票后15个工作日内一次性向乙方支付相关费用。如有相应违约责任，则需扣除相应违约金后再办理支付，或按招标文件相关违约支付条款办理。</w:t>
      </w:r>
    </w:p>
    <w:p w14:paraId="3BF198A2">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第七条 甲方的权利和义务</w:t>
      </w:r>
    </w:p>
    <w:p w14:paraId="5757830D">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 甲方须按合同约定向乙方支付货款。</w:t>
      </w:r>
    </w:p>
    <w:p w14:paraId="2256B1DD">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 甲方应安排相关人员配合乙方做好订货、收货、验货、结算等工作。</w:t>
      </w:r>
    </w:p>
    <w:p w14:paraId="1D59D7B9">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 甲方有权对乙方供货质量、配送时间、服务态度等方面出现的问题建立档案记录，并向乙方及时反馈。</w:t>
      </w:r>
    </w:p>
    <w:p w14:paraId="3245E02E">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 若乙方因所供应的食材质量问题导致甲方发生食品、安全事故，经市（区）级相关部门鉴定属乙方责任的，甲方有权</w:t>
      </w:r>
      <w:r>
        <w:rPr>
          <w:rFonts w:hint="eastAsia" w:ascii="宋体" w:hAnsi="宋体" w:eastAsia="宋体" w:cs="宋体"/>
          <w:color w:val="auto"/>
          <w:sz w:val="21"/>
          <w:szCs w:val="21"/>
          <w:lang w:val="en-US" w:eastAsia="zh-CN"/>
        </w:rPr>
        <w:t>解除本合同</w:t>
      </w:r>
      <w:r>
        <w:rPr>
          <w:rFonts w:hint="eastAsia" w:ascii="宋体" w:hAnsi="宋体" w:eastAsia="宋体" w:cs="宋体"/>
          <w:color w:val="auto"/>
          <w:sz w:val="21"/>
          <w:szCs w:val="21"/>
        </w:rPr>
        <w:t>，并保留追究乙方法律责任的权利。</w:t>
      </w:r>
    </w:p>
    <w:p w14:paraId="0AF0D895">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7.5 甲方每月根据 “食材采购供应商评估标准表”（简称评估表，详见附件2）对乙方进行服务质量调查和考核评分，一个月为一个考核期，评分等级和管理办法如下： </w:t>
      </w:r>
    </w:p>
    <w:p w14:paraId="1D9C3C16">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（1）总分得分【90-100】分者为优秀，继续维持良好服务水平。</w:t>
      </w:r>
    </w:p>
    <w:p w14:paraId="25C352E9">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（2）总分得分【80-90】分者为良好，配送管理工作小组提出改进意见。</w:t>
      </w:r>
    </w:p>
    <w:p w14:paraId="4B4756F7">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（3）总分得分【70-80】分者为合格，配送管理工作小组发整改通知，若下个月评估仍未达到良好及以上，配送管理工作小组发警告函，限期整改，并扣除当月配送总金额的5%。</w:t>
      </w:r>
    </w:p>
    <w:p w14:paraId="3D45F7A9">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（4）总分得分【60-70】分者为基本合格，配送管理工作小组发警告函，限期整改，并扣除当月配送总金额的5%。连续两次或累计三次评估为基本合格，甲方有权</w:t>
      </w:r>
      <w:r>
        <w:rPr>
          <w:rFonts w:hint="eastAsia" w:ascii="宋体" w:hAnsi="宋体" w:eastAsia="宋体" w:cs="宋体"/>
          <w:color w:val="auto"/>
          <w:sz w:val="21"/>
          <w:szCs w:val="21"/>
          <w:lang w:val="en-US" w:eastAsia="zh-CN"/>
        </w:rPr>
        <w:t>解除本合同</w:t>
      </w:r>
      <w:r>
        <w:rPr>
          <w:rFonts w:hint="eastAsia" w:ascii="宋体" w:hAnsi="宋体" w:eastAsia="宋体" w:cs="宋体"/>
          <w:color w:val="auto"/>
          <w:sz w:val="21"/>
          <w:szCs w:val="21"/>
        </w:rPr>
        <w:t>，全额扣除乙方的履约保证金，并立即改与其它备选供应商合作，乙方对此不持异议。</w:t>
      </w:r>
    </w:p>
    <w:p w14:paraId="621C0B56">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（5）在合同期内连续三次总分得60分以下者为不合格，甲方有权</w:t>
      </w:r>
      <w:r>
        <w:rPr>
          <w:rFonts w:hint="eastAsia" w:ascii="宋体" w:hAnsi="宋体" w:eastAsia="宋体" w:cs="宋体"/>
          <w:color w:val="auto"/>
          <w:sz w:val="21"/>
          <w:szCs w:val="21"/>
          <w:lang w:val="en-US" w:eastAsia="zh-CN"/>
        </w:rPr>
        <w:t>解除本合同</w:t>
      </w:r>
      <w:r>
        <w:rPr>
          <w:rFonts w:hint="eastAsia" w:ascii="宋体" w:hAnsi="宋体" w:eastAsia="宋体" w:cs="宋体"/>
          <w:color w:val="auto"/>
          <w:sz w:val="21"/>
          <w:szCs w:val="21"/>
        </w:rPr>
        <w:t>，全额扣除乙方的履约保证金，并立即改与其它备选供应商合作，乙方对此不持异议。</w:t>
      </w:r>
    </w:p>
    <w:p w14:paraId="6BE9FE2E">
      <w:pPr>
        <w:spacing w:line="360" w:lineRule="auto"/>
        <w:ind w:firstLine="428" w:firstLineChars="200"/>
        <w:rPr>
          <w:rFonts w:hint="eastAsia" w:ascii="宋体" w:hAnsi="宋体" w:eastAsia="宋体" w:cs="宋体"/>
          <w:color w:val="auto"/>
          <w:sz w:val="21"/>
          <w:szCs w:val="21"/>
        </w:rPr>
      </w:pPr>
      <w:r>
        <w:rPr>
          <w:rFonts w:hint="eastAsia" w:ascii="宋体" w:hAnsi="宋体" w:eastAsia="宋体" w:cs="宋体"/>
          <w:color w:val="auto"/>
          <w:sz w:val="21"/>
          <w:szCs w:val="21"/>
        </w:rPr>
        <w:t>7.6 在日常供货过程中，因乙方工作能力等原因而影响甲方食堂供餐的正常运作，在合同期内经甲方累计3次发函仍不整改或整改不到位</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甲方有权解除本合同，</w:t>
      </w:r>
      <w:r>
        <w:rPr>
          <w:rFonts w:hint="eastAsia" w:ascii="宋体" w:hAnsi="宋体" w:eastAsia="宋体" w:cs="宋体"/>
          <w:color w:val="auto"/>
          <w:sz w:val="21"/>
          <w:szCs w:val="21"/>
        </w:rPr>
        <w:t>全额扣除乙方的履约保证金，并立即改与其它备选供应商合作，乙方对此不持异议。</w:t>
      </w:r>
    </w:p>
    <w:p w14:paraId="2B4EFB1F">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第八条 乙方的权利和义务</w:t>
      </w:r>
    </w:p>
    <w:p w14:paraId="614E13E6">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8.1 乙方须按甲方订货内容按时按质按量配送到达约定地点。</w:t>
      </w:r>
    </w:p>
    <w:p w14:paraId="1AA8643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8.2 甲方对乙方供货质量、配送时间、服务态度等方面出现的问题建立档案记录，乙方人员应予以签名确认。乙方同意配合甲方每月根据 “食材采购供应商评估标准表”进行</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服务质量调查和考核评分，并认可评分等级和管理办法。</w:t>
      </w:r>
    </w:p>
    <w:p w14:paraId="6157E1FC">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8.3 乙方提供的食物货品必须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提供假冒伪劣商品</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有效使用期</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保质期</w:t>
      </w:r>
      <w:r>
        <w:rPr>
          <w:rFonts w:hint="eastAsia" w:ascii="宋体" w:hAnsi="宋体" w:eastAsia="宋体" w:cs="宋体"/>
          <w:color w:val="auto"/>
          <w:sz w:val="21"/>
          <w:szCs w:val="21"/>
          <w:lang w:val="en-US" w:eastAsia="zh-CN"/>
        </w:rPr>
        <w:t>不符合本合同约定商品的</w:t>
      </w:r>
      <w:r>
        <w:rPr>
          <w:rFonts w:hint="eastAsia" w:ascii="宋体" w:hAnsi="宋体" w:eastAsia="宋体" w:cs="宋体"/>
          <w:color w:val="auto"/>
          <w:sz w:val="21"/>
          <w:szCs w:val="21"/>
        </w:rPr>
        <w:t>，甲方保留追究乙方法律责任的权利。</w:t>
      </w:r>
    </w:p>
    <w:p w14:paraId="7984730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8.4 乙方必须按照国家《餐饮服务食品安全监督管理办法》相关规定，按时段或批次向甲方提交卫生防疫合格证明或产品检验合格证明，并保证所提供</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餐料商品卫生防疫合格证或产品检验合格证均是真实有效的。</w:t>
      </w:r>
    </w:p>
    <w:p w14:paraId="617D4AD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8.5 乙方配送食品材料车辆必须符合卫生防疫技术标准或要求，食品材料应分类储运或独立包装，确保在运输途中不受污染。</w:t>
      </w:r>
    </w:p>
    <w:p w14:paraId="69685578">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8.6 乙方须配合甲方做好食品材料供应</w:t>
      </w:r>
      <w:r>
        <w:rPr>
          <w:rFonts w:hint="eastAsia" w:ascii="宋体" w:hAnsi="宋体" w:eastAsia="宋体" w:cs="宋体"/>
          <w:color w:val="auto"/>
          <w:sz w:val="21"/>
          <w:szCs w:val="21"/>
          <w:lang w:val="en-US" w:eastAsia="zh-CN"/>
        </w:rPr>
        <w:t>溯源</w:t>
      </w:r>
      <w:r>
        <w:rPr>
          <w:rFonts w:hint="eastAsia" w:ascii="宋体" w:hAnsi="宋体" w:eastAsia="宋体" w:cs="宋体"/>
          <w:color w:val="auto"/>
          <w:sz w:val="21"/>
          <w:szCs w:val="21"/>
        </w:rPr>
        <w:t>工作，乙方有义务对提供给甲方的食品材料来源信息予以存档、备查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确保</w:t>
      </w:r>
      <w:r>
        <w:rPr>
          <w:rFonts w:hint="eastAsia" w:ascii="宋体" w:hAnsi="宋体" w:eastAsia="宋体" w:cs="宋体"/>
          <w:color w:val="auto"/>
          <w:sz w:val="21"/>
          <w:szCs w:val="21"/>
        </w:rPr>
        <w:t>生产</w:t>
      </w:r>
      <w:r>
        <w:rPr>
          <w:rFonts w:hint="eastAsia" w:ascii="宋体" w:hAnsi="宋体" w:eastAsia="宋体" w:cs="宋体"/>
          <w:color w:val="auto"/>
          <w:sz w:val="21"/>
          <w:szCs w:val="21"/>
          <w:lang w:val="en-US" w:eastAsia="zh-CN"/>
        </w:rPr>
        <w:t>厂家</w:t>
      </w:r>
      <w:r>
        <w:rPr>
          <w:rFonts w:hint="eastAsia" w:ascii="宋体" w:hAnsi="宋体" w:eastAsia="宋体" w:cs="宋体"/>
          <w:color w:val="auto"/>
          <w:sz w:val="21"/>
          <w:szCs w:val="21"/>
        </w:rPr>
        <w:t>可溯源。</w:t>
      </w:r>
    </w:p>
    <w:p w14:paraId="46A0BF0D">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8.7 合同期内，除非经甲方同意，否则乙方不得外包给第三方代送，乙方如未按要求，甲方有权</w:t>
      </w:r>
      <w:r>
        <w:rPr>
          <w:rFonts w:hint="eastAsia" w:ascii="宋体" w:hAnsi="宋体" w:eastAsia="宋体" w:cs="宋体"/>
          <w:color w:val="auto"/>
          <w:sz w:val="21"/>
          <w:szCs w:val="21"/>
          <w:lang w:val="en-US" w:eastAsia="zh-CN"/>
        </w:rPr>
        <w:t>解除</w:t>
      </w:r>
      <w:r>
        <w:rPr>
          <w:rFonts w:hint="eastAsia" w:ascii="宋体" w:hAnsi="宋体" w:eastAsia="宋体" w:cs="宋体"/>
          <w:color w:val="auto"/>
          <w:sz w:val="21"/>
          <w:szCs w:val="21"/>
        </w:rPr>
        <w:t>本合同。</w:t>
      </w:r>
    </w:p>
    <w:p w14:paraId="359805A1">
      <w:pPr>
        <w:pStyle w:val="3"/>
        <w:ind w:firstLine="428"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 乙方须为甲方购买一份以甲方为受益人、额度不低于人民币500万元/年的保险（食品安全责任险），保险承保期限须覆盖本项目服务期。</w:t>
      </w:r>
    </w:p>
    <w:p w14:paraId="4990F11F">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第九条 保密条款</w:t>
      </w:r>
    </w:p>
    <w:p w14:paraId="4E2C687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w:t>
      </w:r>
    </w:p>
    <w:p w14:paraId="1260D189">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第十条 违约处理</w:t>
      </w:r>
    </w:p>
    <w:p w14:paraId="121195D3">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10.1 如果甲方或乙方违反本合同条款，守约方可向违约方提出书面通知，违约方接到通知须在5个工作日内给予书面回复，回复内容应包含承诺的整改或补救措施内容，并立即落实执行。如果守约方向违约方发出书面通知10个工作日后，违约方不予回复或没有补救措施，守约方可以</w:t>
      </w:r>
      <w:r>
        <w:rPr>
          <w:rFonts w:hint="eastAsia" w:ascii="宋体" w:hAnsi="宋体" w:eastAsia="宋体" w:cs="宋体"/>
          <w:color w:val="auto"/>
          <w:sz w:val="21"/>
          <w:szCs w:val="21"/>
          <w:lang w:val="en-US" w:eastAsia="zh-CN"/>
        </w:rPr>
        <w:t>解除本合同</w:t>
      </w:r>
      <w:r>
        <w:rPr>
          <w:rFonts w:hint="eastAsia" w:ascii="宋体" w:hAnsi="宋体" w:eastAsia="宋体" w:cs="宋体"/>
          <w:color w:val="auto"/>
          <w:sz w:val="21"/>
          <w:szCs w:val="21"/>
        </w:rPr>
        <w:t>，并要求损害赔偿。违约方除应承担违约责任外，还应承担守约方为维护权益所产生的一切费用，包括但不限于律师费、诉讼费、公证费、鉴定费、差旅费、财产保全保险费等</w:t>
      </w:r>
    </w:p>
    <w:p w14:paraId="534DFBF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10.2 乙方人员进入甲方管辖区域、工作范围，必须遵守甲方有关管理规章制度，未经许可不得自行操控甲方设备、设施以及影响甲方的生产和正常工作，若造成甲方事故或经济损失，乙方须负全部法律责任</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赔偿甲方经济损失，</w:t>
      </w:r>
      <w:r>
        <w:rPr>
          <w:rFonts w:hint="eastAsia" w:ascii="宋体" w:hAnsi="宋体" w:eastAsia="宋体" w:cs="宋体"/>
          <w:color w:val="auto"/>
          <w:sz w:val="21"/>
          <w:szCs w:val="21"/>
          <w:lang w:val="en-US" w:eastAsia="zh-CN"/>
        </w:rPr>
        <w:t>且甲方有权因此</w:t>
      </w:r>
      <w:r>
        <w:rPr>
          <w:rFonts w:hint="eastAsia" w:ascii="宋体" w:hAnsi="宋体" w:eastAsia="宋体" w:cs="宋体"/>
          <w:color w:val="auto"/>
          <w:sz w:val="21"/>
          <w:szCs w:val="21"/>
        </w:rPr>
        <w:t>扣除履约保证金。</w:t>
      </w:r>
    </w:p>
    <w:p w14:paraId="2984DDCE">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 xml:space="preserve">10.3 </w:t>
      </w: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合同有效期内，因乙方提供食品材料质量问题造成甲方人员食物中毒事故，经市（或区）级卫生防疫部门鉴定属乙方责任的，或虽未造成中毒事故但给甲方造成经济损失的，乙方须承担全部法律责任并赔偿甲方全部经济损失（包括直接和间接经济损失），甲方有权</w:t>
      </w:r>
      <w:r>
        <w:rPr>
          <w:rFonts w:hint="eastAsia" w:ascii="宋体" w:hAnsi="宋体" w:eastAsia="宋体" w:cs="宋体"/>
          <w:color w:val="auto"/>
          <w:sz w:val="21"/>
          <w:szCs w:val="21"/>
          <w:lang w:val="en-US" w:eastAsia="zh-CN"/>
        </w:rPr>
        <w:t>解除</w:t>
      </w:r>
      <w:r>
        <w:rPr>
          <w:rFonts w:hint="eastAsia" w:ascii="宋体" w:hAnsi="宋体" w:eastAsia="宋体" w:cs="宋体"/>
          <w:color w:val="auto"/>
          <w:sz w:val="21"/>
          <w:szCs w:val="21"/>
        </w:rPr>
        <w:t>本合同，并扣除乙方全部履约保证金。</w:t>
      </w:r>
    </w:p>
    <w:p w14:paraId="4BF4BBD4">
      <w:pPr>
        <w:spacing w:before="0" w:after="0" w:line="360" w:lineRule="auto"/>
        <w:ind w:firstLine="430" w:firstLineChars="201"/>
        <w:jc w:val="both"/>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10.4</w:t>
      </w:r>
      <w:r>
        <w:rPr>
          <w:rFonts w:hint="eastAsia" w:ascii="宋体" w:hAnsi="宋体" w:eastAsia="宋体" w:cs="宋体"/>
          <w:b w:val="0"/>
          <w:bCs w:val="0"/>
          <w:color w:val="auto"/>
          <w:kern w:val="2"/>
          <w:sz w:val="21"/>
          <w:szCs w:val="21"/>
          <w:lang w:val="en-US" w:eastAsia="zh-CN"/>
        </w:rPr>
        <w:t>乙方擅自将本合同项下的义务转包或分包给任何第三方的，甲方</w:t>
      </w:r>
      <w:r>
        <w:rPr>
          <w:rFonts w:hint="eastAsia" w:ascii="宋体" w:hAnsi="宋体" w:eastAsia="宋体" w:cs="宋体"/>
          <w:b w:val="0"/>
          <w:bCs w:val="0"/>
          <w:color w:val="auto"/>
          <w:sz w:val="21"/>
          <w:szCs w:val="21"/>
        </w:rPr>
        <w:t>有权</w:t>
      </w:r>
      <w:r>
        <w:rPr>
          <w:rFonts w:hint="eastAsia" w:ascii="宋体" w:hAnsi="宋体" w:eastAsia="宋体" w:cs="宋体"/>
          <w:b w:val="0"/>
          <w:bCs w:val="0"/>
          <w:color w:val="auto"/>
          <w:sz w:val="21"/>
          <w:szCs w:val="21"/>
          <w:lang w:val="en-US" w:eastAsia="zh-CN"/>
        </w:rPr>
        <w:t>解除</w:t>
      </w:r>
      <w:r>
        <w:rPr>
          <w:rFonts w:hint="eastAsia" w:ascii="宋体" w:hAnsi="宋体" w:eastAsia="宋体" w:cs="宋体"/>
          <w:b w:val="0"/>
          <w:bCs w:val="0"/>
          <w:color w:val="auto"/>
          <w:sz w:val="21"/>
          <w:szCs w:val="21"/>
        </w:rPr>
        <w:t>本合同，并扣除乙方全部履约保证金</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要求乙方赔偿损失。</w:t>
      </w:r>
    </w:p>
    <w:p w14:paraId="62D7AA44">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第十一条 合同终止</w:t>
      </w:r>
    </w:p>
    <w:p w14:paraId="31D55ABE">
      <w:pPr>
        <w:spacing w:line="360" w:lineRule="auto"/>
        <w:ind w:firstLine="430"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合同期满且双方未续签，合同自动终止。</w:t>
      </w:r>
    </w:p>
    <w:p w14:paraId="7FF50AB1">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11.2 在合同有效期内，若发现乙方有转包或对食品供应安全构成威胁</w:t>
      </w:r>
      <w:r>
        <w:rPr>
          <w:rFonts w:hint="eastAsia" w:ascii="宋体" w:hAnsi="宋体" w:eastAsia="宋体" w:cs="宋体"/>
          <w:color w:val="auto"/>
          <w:sz w:val="21"/>
          <w:szCs w:val="21"/>
          <w:lang w:val="en-US" w:eastAsia="zh-CN"/>
        </w:rPr>
        <w:t>的其他行为</w:t>
      </w:r>
      <w:r>
        <w:rPr>
          <w:rFonts w:hint="eastAsia" w:ascii="宋体" w:hAnsi="宋体" w:eastAsia="宋体" w:cs="宋体"/>
          <w:color w:val="auto"/>
          <w:sz w:val="21"/>
          <w:szCs w:val="21"/>
        </w:rPr>
        <w:t>，经查证后，甲方有权</w:t>
      </w:r>
      <w:r>
        <w:rPr>
          <w:rFonts w:hint="eastAsia" w:ascii="宋体" w:hAnsi="宋体" w:eastAsia="宋体" w:cs="宋体"/>
          <w:color w:val="auto"/>
          <w:sz w:val="21"/>
          <w:szCs w:val="21"/>
          <w:lang w:val="en-US" w:eastAsia="zh-CN"/>
        </w:rPr>
        <w:t>解除本合同</w:t>
      </w:r>
      <w:r>
        <w:rPr>
          <w:rFonts w:hint="eastAsia" w:ascii="宋体" w:hAnsi="宋体" w:eastAsia="宋体" w:cs="宋体"/>
          <w:color w:val="auto"/>
          <w:sz w:val="21"/>
          <w:szCs w:val="21"/>
        </w:rPr>
        <w:t>，没收乙方的履约保证金和使用其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备选供货商。</w:t>
      </w:r>
    </w:p>
    <w:p w14:paraId="131B7BF7">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11.3 在合同期内双方没有发生违约行为，甲方完成支付乙方货款后，本合同自然终止。</w:t>
      </w:r>
    </w:p>
    <w:p w14:paraId="52D05CBB">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11.4 出现本合同约定的可终止本合同履行之情形。</w:t>
      </w:r>
    </w:p>
    <w:p w14:paraId="4B3AC4F7">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11.5甲、乙双方经协商，一致同意提前解除本合同的。</w:t>
      </w:r>
    </w:p>
    <w:p w14:paraId="474237F5">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第十二条 争议处理</w:t>
      </w:r>
    </w:p>
    <w:p w14:paraId="6503BA58">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甲乙双方在执行本合同期间若发生争议，应本着友好协商的原则解决争议。如果双方通过协商不能达成一致，双方同意向东莞市第一人民法院提起诉讼。</w:t>
      </w:r>
    </w:p>
    <w:p w14:paraId="67DB0275">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第十三条 不可抗力</w:t>
      </w:r>
    </w:p>
    <w:p w14:paraId="34817C7B">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因不可抗力事件（包括但不限于：地震、水灾或其他灾难，战争或暴乱，以及其他在受影响的一方合理控制范围以外且经该方合理努力后也不能防止的类似事件；国家宏观政策调控导致资源紧张视为不可抗力）导致本合同延迟履行或未能履行，甲乙双方互不承担责任，受不可抗力影响的一方应及时向另一方反映情况，以减轻给对方造成的损失。</w:t>
      </w:r>
    </w:p>
    <w:p w14:paraId="4DF710F5">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不可抗力是指合同双方在订立合同时不可预见，在项目实施过程中不可避免发生并不能克服的自然灾害和社会性突发事件，如海啸、瘟疫、暴动、战争和下述情形：</w:t>
      </w:r>
    </w:p>
    <w:p w14:paraId="091FF6BF">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（1）6级以上的地震；</w:t>
      </w:r>
    </w:p>
    <w:p w14:paraId="54D06DDA">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（2）8级以上的持续2天的台风；</w:t>
      </w:r>
    </w:p>
    <w:p w14:paraId="4C362F26">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（3）250mm以上的持续24小时的大雨、暴雨；</w:t>
      </w:r>
    </w:p>
    <w:p w14:paraId="406C6FCD">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（4）50年以上未发生过、持续2天的高温天气；</w:t>
      </w:r>
    </w:p>
    <w:p w14:paraId="26716530">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（5）因项目所在地政府抽象行政行为和具体行政行为导致的项目停建、取消、工期停滞、延期等，如政府决策、政策调整等原因。</w:t>
      </w:r>
    </w:p>
    <w:p w14:paraId="54818BF7">
      <w:pPr>
        <w:spacing w:line="360" w:lineRule="auto"/>
        <w:ind w:firstLine="430" w:firstLineChars="201"/>
        <w:rPr>
          <w:rFonts w:hint="eastAsia" w:ascii="宋体" w:hAnsi="宋体" w:eastAsia="宋体" w:cs="宋体"/>
          <w:b/>
          <w:color w:val="auto"/>
          <w:sz w:val="21"/>
          <w:szCs w:val="21"/>
        </w:rPr>
      </w:pPr>
      <w:r>
        <w:rPr>
          <w:rFonts w:hint="eastAsia" w:ascii="宋体" w:hAnsi="宋体" w:eastAsia="宋体" w:cs="宋体"/>
          <w:b/>
          <w:color w:val="auto"/>
          <w:sz w:val="21"/>
          <w:szCs w:val="21"/>
        </w:rPr>
        <w:t>第十四条 需要双方明确的其他事项</w:t>
      </w:r>
    </w:p>
    <w:p w14:paraId="4C196896">
      <w:pPr>
        <w:spacing w:line="360" w:lineRule="auto"/>
        <w:ind w:firstLine="430" w:firstLineChars="201"/>
        <w:rPr>
          <w:rFonts w:hint="eastAsia" w:ascii="宋体" w:hAnsi="宋体" w:eastAsia="宋体" w:cs="宋体"/>
          <w:color w:val="auto"/>
          <w:sz w:val="21"/>
          <w:szCs w:val="21"/>
        </w:rPr>
      </w:pPr>
      <w:r>
        <w:rPr>
          <w:rFonts w:hint="eastAsia" w:ascii="宋体" w:hAnsi="宋体" w:eastAsia="宋体" w:cs="宋体"/>
          <w:color w:val="auto"/>
          <w:sz w:val="21"/>
          <w:szCs w:val="21"/>
        </w:rPr>
        <w:t>若市场供应紧张，乙方无法按甲方要求供货时，甲方有权向市场其他机构开展采购，甲方不负违约责任；乙方对此不持异议。</w:t>
      </w:r>
    </w:p>
    <w:p w14:paraId="19406CB8">
      <w:pPr>
        <w:pStyle w:val="3"/>
        <w:spacing w:line="360" w:lineRule="auto"/>
        <w:ind w:firstLine="428"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第十五条 其他条款</w:t>
      </w:r>
    </w:p>
    <w:p w14:paraId="15180785">
      <w:pPr>
        <w:pStyle w:val="3"/>
        <w:spacing w:line="360" w:lineRule="auto"/>
        <w:ind w:firstLine="313" w:firstLineChars="147"/>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15.1 未经甲方书面许可，乙方不得就本合同项下发生应收账款业务向其他第三方机构办理应收账款保理业务，甲方对发票和应收账款金额等信息的确认不具有特殊认可的效力。</w:t>
      </w:r>
    </w:p>
    <w:p w14:paraId="11D7A0C1">
      <w:pPr>
        <w:pStyle w:val="6"/>
        <w:numPr>
          <w:ilvl w:val="0"/>
          <w:numId w:val="0"/>
        </w:numPr>
        <w:tabs>
          <w:tab w:val="left" w:pos="0"/>
        </w:tabs>
        <w:spacing w:before="33" w:after="100" w:line="360" w:lineRule="auto"/>
        <w:ind w:firstLine="313" w:firstLineChars="147"/>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15.2 本合同仅限于合同双方权利义务的约定，不得用于从事保理、质押业务以及其他融资用途。</w:t>
      </w:r>
    </w:p>
    <w:p w14:paraId="7684D709">
      <w:pPr>
        <w:pStyle w:val="6"/>
        <w:numPr>
          <w:ilvl w:val="0"/>
          <w:numId w:val="0"/>
        </w:numPr>
        <w:spacing w:before="33" w:after="100" w:line="360" w:lineRule="auto"/>
        <w:ind w:left="428" w:leftChars="200"/>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15.3 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自双方授权代表人签订盖章之日起生效。</w:t>
      </w:r>
    </w:p>
    <w:p w14:paraId="52013244">
      <w:pPr>
        <w:spacing w:line="360" w:lineRule="auto"/>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 xml:space="preserve">   15.4 </w:t>
      </w:r>
      <w:r>
        <w:rPr>
          <w:rFonts w:hint="eastAsia" w:ascii="宋体" w:hAnsi="宋体" w:eastAsia="宋体" w:cs="宋体"/>
          <w:color w:val="auto"/>
          <w:sz w:val="21"/>
          <w:szCs w:val="21"/>
        </w:rPr>
        <w:t>合同生效后五个工作日内，乙方向甲方支付履约保证金</w:t>
      </w:r>
      <w:r>
        <w:rPr>
          <w:rFonts w:hint="eastAsia" w:ascii="宋体" w:hAnsi="宋体" w:eastAsia="宋体" w:cs="宋体"/>
          <w:b/>
          <w:bCs/>
          <w:color w:val="auto"/>
          <w:sz w:val="21"/>
          <w:szCs w:val="21"/>
          <w:u w:val="single"/>
        </w:rPr>
        <w:t>￥100000.00</w:t>
      </w:r>
      <w:r>
        <w:rPr>
          <w:rFonts w:hint="eastAsia" w:ascii="宋体" w:hAnsi="宋体" w:eastAsia="宋体" w:cs="宋体"/>
          <w:b/>
          <w:bCs/>
          <w:color w:val="auto"/>
          <w:sz w:val="21"/>
          <w:szCs w:val="21"/>
        </w:rPr>
        <w:t>元</w:t>
      </w:r>
      <w:r>
        <w:rPr>
          <w:rFonts w:hint="eastAsia" w:ascii="宋体" w:hAnsi="宋体" w:eastAsia="宋体" w:cs="宋体"/>
          <w:color w:val="auto"/>
          <w:sz w:val="21"/>
          <w:szCs w:val="21"/>
        </w:rPr>
        <w:t>（壹拾万元整）。履约保证金以银行转账或金融机构、担保机构出具的保函等形式提交（如提交履约保函的，时间</w:t>
      </w:r>
      <w:r>
        <w:rPr>
          <w:rFonts w:hint="eastAsia" w:ascii="宋体" w:hAnsi="宋体" w:eastAsia="宋体" w:cs="宋体"/>
          <w:color w:val="auto"/>
          <w:sz w:val="21"/>
          <w:szCs w:val="21"/>
          <w:lang w:val="en-US" w:eastAsia="zh-CN"/>
        </w:rPr>
        <w:t>提前</w:t>
      </w:r>
      <w:r>
        <w:rPr>
          <w:rFonts w:hint="eastAsia" w:ascii="宋体" w:hAnsi="宋体" w:eastAsia="宋体" w:cs="宋体"/>
          <w:color w:val="auto"/>
          <w:sz w:val="21"/>
          <w:szCs w:val="21"/>
        </w:rPr>
        <w:t>至合同签订之前）。若乙方以银行转账方式提交履约保证金的，合同期满，甲方须30天内向乙方无息返还履约保证金（如有罚扣，则只返还余额）。若乙方以金融机构、担保机构出具的保函形式提交履约保证金的，保函有效期须延长至本合同期满后30天内。</w:t>
      </w:r>
    </w:p>
    <w:p w14:paraId="32B974C6">
      <w:pPr>
        <w:pStyle w:val="6"/>
        <w:numPr>
          <w:ilvl w:val="0"/>
          <w:numId w:val="0"/>
        </w:numPr>
        <w:tabs>
          <w:tab w:val="left" w:pos="0"/>
        </w:tabs>
        <w:spacing w:before="33" w:after="100" w:line="360" w:lineRule="auto"/>
        <w:ind w:left="8" w:firstLine="313" w:firstLineChars="147"/>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15.5 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的每条规定均拟定为可分割的，本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任何部分的无效都不应影响本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其余部分的效力或合法性。</w:t>
      </w:r>
    </w:p>
    <w:p w14:paraId="7CED725F">
      <w:pPr>
        <w:pStyle w:val="6"/>
        <w:numPr>
          <w:ilvl w:val="0"/>
          <w:numId w:val="0"/>
        </w:numPr>
        <w:tabs>
          <w:tab w:val="left" w:pos="0"/>
        </w:tabs>
        <w:spacing w:before="33" w:after="100" w:line="360" w:lineRule="auto"/>
        <w:ind w:left="8" w:firstLine="313" w:firstLineChars="147"/>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15.6 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未尽事宜，经甲乙双方协商⼀致，可另行签订补充协议。补充协议及相关附件均构成本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的有效组成部分，与本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具有同等法律效力。</w:t>
      </w:r>
    </w:p>
    <w:p w14:paraId="514956A4">
      <w:pPr>
        <w:pStyle w:val="6"/>
        <w:numPr>
          <w:ilvl w:val="0"/>
          <w:numId w:val="0"/>
        </w:numPr>
        <w:tabs>
          <w:tab w:val="left" w:pos="0"/>
        </w:tabs>
        <w:spacing w:before="33" w:after="100" w:line="360" w:lineRule="auto"/>
        <w:ind w:left="8" w:firstLine="313" w:firstLineChars="147"/>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15.7 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⼀式伍份，甲方执叁份，乙方执贰份，具有同等法律效力。</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附件是本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不可分割的⼀部分，</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附件与本</w:t>
      </w:r>
      <w:r>
        <w:rPr>
          <w:rFonts w:hint="eastAsia" w:ascii="宋体" w:hAnsi="宋体" w:eastAsia="宋体" w:cs="宋体"/>
          <w:b w:val="0"/>
          <w:color w:val="auto"/>
          <w:kern w:val="0"/>
          <w:sz w:val="21"/>
          <w:szCs w:val="21"/>
          <w:lang w:eastAsia="zh-CN"/>
        </w:rPr>
        <w:t>合同</w:t>
      </w:r>
      <w:r>
        <w:rPr>
          <w:rFonts w:hint="eastAsia" w:ascii="宋体" w:hAnsi="宋体" w:eastAsia="宋体" w:cs="宋体"/>
          <w:b w:val="0"/>
          <w:color w:val="auto"/>
          <w:kern w:val="0"/>
          <w:sz w:val="21"/>
          <w:szCs w:val="21"/>
        </w:rPr>
        <w:t>具有同等法律效力。</w:t>
      </w:r>
    </w:p>
    <w:p w14:paraId="1122E095">
      <w:pPr>
        <w:rPr>
          <w:rFonts w:hint="eastAsia" w:ascii="宋体" w:hAnsi="宋体" w:eastAsia="宋体" w:cs="宋体"/>
          <w:color w:val="auto"/>
          <w:sz w:val="21"/>
          <w:szCs w:val="21"/>
        </w:rPr>
      </w:pPr>
    </w:p>
    <w:p w14:paraId="34C2C760">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附件：1.《阳光合作协议》</w:t>
      </w:r>
    </w:p>
    <w:p w14:paraId="6D7DC52E">
      <w:pPr>
        <w:ind w:firstLine="1712" w:firstLineChars="8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2.《食材采购供应商评估打分标准》</w:t>
      </w:r>
    </w:p>
    <w:p w14:paraId="2FD67415">
      <w:pPr>
        <w:ind w:firstLine="1712" w:firstLineChars="8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3.《供货要求》</w:t>
      </w:r>
    </w:p>
    <w:p w14:paraId="6F183646">
      <w:pPr>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7F4B611A">
      <w:pPr>
        <w:adjustRightInd w:val="0"/>
        <w:spacing w:line="360" w:lineRule="auto"/>
        <w:ind w:left="1200"/>
        <w:rPr>
          <w:rFonts w:hint="eastAsia" w:ascii="宋体" w:hAnsi="宋体" w:eastAsia="宋体" w:cs="宋体"/>
          <w:color w:val="auto"/>
          <w:sz w:val="21"/>
          <w:szCs w:val="21"/>
        </w:rPr>
      </w:pPr>
    </w:p>
    <w:p w14:paraId="37A7C7CD">
      <w:pPr>
        <w:pStyle w:val="5"/>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（合同签署页）</w:t>
      </w:r>
    </w:p>
    <w:tbl>
      <w:tblPr>
        <w:tblStyle w:val="27"/>
        <w:tblW w:w="9960" w:type="dxa"/>
        <w:tblInd w:w="0" w:type="dxa"/>
        <w:tblLayout w:type="fixed"/>
        <w:tblCellMar>
          <w:top w:w="0" w:type="dxa"/>
          <w:left w:w="108" w:type="dxa"/>
          <w:bottom w:w="0" w:type="dxa"/>
          <w:right w:w="108" w:type="dxa"/>
        </w:tblCellMar>
      </w:tblPr>
      <w:tblGrid>
        <w:gridCol w:w="4980"/>
        <w:gridCol w:w="4980"/>
      </w:tblGrid>
      <w:tr w14:paraId="09414EB9">
        <w:tblPrEx>
          <w:tblCellMar>
            <w:top w:w="0" w:type="dxa"/>
            <w:left w:w="108" w:type="dxa"/>
            <w:bottom w:w="0" w:type="dxa"/>
            <w:right w:w="108" w:type="dxa"/>
          </w:tblCellMar>
        </w:tblPrEx>
        <w:trPr>
          <w:trHeight w:val="658" w:hRule="atLeast"/>
        </w:trPr>
        <w:tc>
          <w:tcPr>
            <w:tcW w:w="4980" w:type="dxa"/>
            <w:noWrap w:val="0"/>
            <w:vAlign w:val="top"/>
          </w:tcPr>
          <w:p w14:paraId="0C61B2BE">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w:t>
            </w:r>
          </w:p>
        </w:tc>
        <w:tc>
          <w:tcPr>
            <w:tcW w:w="4980" w:type="dxa"/>
            <w:noWrap w:val="0"/>
            <w:vAlign w:val="top"/>
          </w:tcPr>
          <w:p w14:paraId="3E27F05E">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tc>
      </w:tr>
      <w:tr w14:paraId="3E15076C">
        <w:tblPrEx>
          <w:tblCellMar>
            <w:top w:w="0" w:type="dxa"/>
            <w:left w:w="108" w:type="dxa"/>
            <w:bottom w:w="0" w:type="dxa"/>
            <w:right w:w="108" w:type="dxa"/>
          </w:tblCellMar>
        </w:tblPrEx>
        <w:trPr>
          <w:trHeight w:val="658" w:hRule="atLeast"/>
        </w:trPr>
        <w:tc>
          <w:tcPr>
            <w:tcW w:w="4980" w:type="dxa"/>
            <w:noWrap w:val="0"/>
            <w:vAlign w:val="top"/>
          </w:tcPr>
          <w:p w14:paraId="7359CF68">
            <w:pPr>
              <w:adjustRightInd w:val="0"/>
              <w:spacing w:line="480" w:lineRule="auto"/>
              <w:rPr>
                <w:rFonts w:hint="eastAsia" w:ascii="宋体" w:hAnsi="宋体" w:eastAsia="宋体" w:cs="宋体"/>
                <w:b/>
                <w:color w:val="auto"/>
                <w:sz w:val="21"/>
                <w:szCs w:val="21"/>
                <w:u w:val="single"/>
              </w:rPr>
            </w:pPr>
            <w:r>
              <w:rPr>
                <w:rFonts w:hint="eastAsia" w:ascii="宋体" w:hAnsi="宋体" w:eastAsia="宋体" w:cs="宋体"/>
                <w:b w:val="0"/>
                <w:bCs/>
                <w:color w:val="auto"/>
                <w:sz w:val="21"/>
                <w:szCs w:val="21"/>
                <w:u w:val="single"/>
              </w:rPr>
              <w:t>东莞市能源投资集团有限公司</w:t>
            </w:r>
            <w:r>
              <w:rPr>
                <w:rFonts w:hint="eastAsia" w:ascii="宋体" w:hAnsi="宋体" w:eastAsia="宋体" w:cs="宋体"/>
                <w:b/>
                <w:color w:val="auto"/>
                <w:sz w:val="21"/>
                <w:szCs w:val="21"/>
                <w:u w:val="single"/>
              </w:rPr>
              <w:t xml:space="preserve">  </w:t>
            </w:r>
          </w:p>
        </w:tc>
        <w:tc>
          <w:tcPr>
            <w:tcW w:w="4980" w:type="dxa"/>
            <w:noWrap w:val="0"/>
            <w:vAlign w:val="top"/>
          </w:tcPr>
          <w:p w14:paraId="0A3590C3">
            <w:pPr>
              <w:adjustRightInd w:val="0"/>
              <w:spacing w:line="480" w:lineRule="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 xml:space="preserve">                                 </w:t>
            </w:r>
          </w:p>
        </w:tc>
      </w:tr>
      <w:tr w14:paraId="404D5576">
        <w:tblPrEx>
          <w:tblCellMar>
            <w:top w:w="0" w:type="dxa"/>
            <w:left w:w="108" w:type="dxa"/>
            <w:bottom w:w="0" w:type="dxa"/>
            <w:right w:w="108" w:type="dxa"/>
          </w:tblCellMar>
        </w:tblPrEx>
        <w:trPr>
          <w:trHeight w:val="1018" w:hRule="atLeast"/>
        </w:trPr>
        <w:tc>
          <w:tcPr>
            <w:tcW w:w="4980" w:type="dxa"/>
            <w:noWrap w:val="0"/>
            <w:vAlign w:val="top"/>
          </w:tcPr>
          <w:p w14:paraId="54B05C2C">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法定代表人（签字): </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u w:val="single"/>
              </w:rPr>
              <w:t xml:space="preserve">              </w:t>
            </w:r>
          </w:p>
        </w:tc>
        <w:tc>
          <w:tcPr>
            <w:tcW w:w="4980" w:type="dxa"/>
            <w:noWrap w:val="0"/>
            <w:vAlign w:val="top"/>
          </w:tcPr>
          <w:p w14:paraId="7A6F59DA">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u w:val="single"/>
              </w:rPr>
              <w:t xml:space="preserve">              </w:t>
            </w:r>
          </w:p>
        </w:tc>
      </w:tr>
      <w:tr w14:paraId="4BB5C6A4">
        <w:tblPrEx>
          <w:tblCellMar>
            <w:top w:w="0" w:type="dxa"/>
            <w:left w:w="108" w:type="dxa"/>
            <w:bottom w:w="0" w:type="dxa"/>
            <w:right w:w="108" w:type="dxa"/>
          </w:tblCellMar>
        </w:tblPrEx>
        <w:trPr>
          <w:trHeight w:val="928" w:hRule="atLeast"/>
        </w:trPr>
        <w:tc>
          <w:tcPr>
            <w:tcW w:w="4980" w:type="dxa"/>
            <w:noWrap w:val="0"/>
            <w:vAlign w:val="top"/>
          </w:tcPr>
          <w:p w14:paraId="383BCCD1">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或委托代理人（签字）:</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u w:val="single"/>
              </w:rPr>
              <w:t xml:space="preserve">              </w:t>
            </w:r>
          </w:p>
        </w:tc>
        <w:tc>
          <w:tcPr>
            <w:tcW w:w="4980" w:type="dxa"/>
            <w:noWrap w:val="0"/>
            <w:vAlign w:val="top"/>
          </w:tcPr>
          <w:p w14:paraId="62FEDA81">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或委托代理人（签字）:</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u w:val="single"/>
              </w:rPr>
              <w:t xml:space="preserve">              </w:t>
            </w:r>
          </w:p>
        </w:tc>
      </w:tr>
      <w:tr w14:paraId="431D2FD4">
        <w:tblPrEx>
          <w:tblCellMar>
            <w:top w:w="0" w:type="dxa"/>
            <w:left w:w="108" w:type="dxa"/>
            <w:bottom w:w="0" w:type="dxa"/>
            <w:right w:w="108" w:type="dxa"/>
          </w:tblCellMar>
        </w:tblPrEx>
        <w:trPr>
          <w:trHeight w:val="1063" w:hRule="atLeast"/>
        </w:trPr>
        <w:tc>
          <w:tcPr>
            <w:tcW w:w="4980" w:type="dxa"/>
            <w:noWrap w:val="0"/>
            <w:vAlign w:val="top"/>
          </w:tcPr>
          <w:p w14:paraId="0608B108">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0769-23328000</w:t>
            </w:r>
            <w:r>
              <w:rPr>
                <w:rFonts w:hint="eastAsia" w:ascii="宋体" w:hAnsi="宋体" w:eastAsia="宋体" w:cs="宋体"/>
                <w:color w:val="auto"/>
                <w:sz w:val="21"/>
                <w:szCs w:val="21"/>
                <w:u w:val="single"/>
              </w:rPr>
              <w:t xml:space="preserve">                               </w:t>
            </w:r>
          </w:p>
        </w:tc>
        <w:tc>
          <w:tcPr>
            <w:tcW w:w="4980" w:type="dxa"/>
            <w:noWrap w:val="0"/>
            <w:vAlign w:val="top"/>
          </w:tcPr>
          <w:p w14:paraId="537F1D30">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p>
        </w:tc>
      </w:tr>
      <w:tr w14:paraId="7893E2B8">
        <w:tblPrEx>
          <w:tblCellMar>
            <w:top w:w="0" w:type="dxa"/>
            <w:left w:w="108" w:type="dxa"/>
            <w:bottom w:w="0" w:type="dxa"/>
            <w:right w:w="108" w:type="dxa"/>
          </w:tblCellMar>
        </w:tblPrEx>
        <w:trPr>
          <w:trHeight w:val="1331" w:hRule="atLeast"/>
        </w:trPr>
        <w:tc>
          <w:tcPr>
            <w:tcW w:w="4980" w:type="dxa"/>
            <w:noWrap w:val="0"/>
            <w:vAlign w:val="top"/>
          </w:tcPr>
          <w:p w14:paraId="3488E4E6">
            <w:pPr>
              <w:adjustRightInd w:val="0"/>
              <w:spacing w:line="48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银行帐号：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106002512010001732</w:t>
            </w:r>
            <w:r>
              <w:rPr>
                <w:rFonts w:hint="eastAsia" w:ascii="宋体" w:hAnsi="宋体" w:eastAsia="宋体" w:cs="宋体"/>
                <w:color w:val="auto"/>
                <w:sz w:val="21"/>
                <w:szCs w:val="21"/>
                <w:u w:val="single"/>
              </w:rPr>
              <w:t xml:space="preserve">                      </w:t>
            </w:r>
          </w:p>
          <w:p w14:paraId="74AA9747">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广发银行东莞宏伟路支行                           </w:t>
            </w:r>
          </w:p>
        </w:tc>
        <w:tc>
          <w:tcPr>
            <w:tcW w:w="4980" w:type="dxa"/>
            <w:noWrap w:val="0"/>
            <w:vAlign w:val="top"/>
          </w:tcPr>
          <w:p w14:paraId="42E402BF">
            <w:pPr>
              <w:adjustRightInd w:val="0"/>
              <w:spacing w:line="48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银行帐号：</w:t>
            </w:r>
            <w:r>
              <w:rPr>
                <w:rFonts w:hint="eastAsia" w:ascii="宋体" w:hAnsi="宋体" w:eastAsia="宋体" w:cs="宋体"/>
                <w:color w:val="auto"/>
                <w:sz w:val="21"/>
                <w:szCs w:val="21"/>
                <w:u w:val="single"/>
              </w:rPr>
              <w:t xml:space="preserve">                        </w:t>
            </w:r>
          </w:p>
          <w:p w14:paraId="40E06C31">
            <w:pPr>
              <w:adjustRightIn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p>
        </w:tc>
      </w:tr>
    </w:tbl>
    <w:p w14:paraId="12C116DC">
      <w:pPr>
        <w:widowControl/>
        <w:jc w:val="left"/>
        <w:rPr>
          <w:rFonts w:hint="eastAsia" w:ascii="宋体" w:hAnsi="宋体" w:eastAsia="宋体" w:cs="宋体"/>
          <w:color w:val="auto"/>
          <w:sz w:val="21"/>
          <w:szCs w:val="21"/>
        </w:rPr>
      </w:pPr>
    </w:p>
    <w:p w14:paraId="44748583">
      <w:pPr>
        <w:rPr>
          <w:rFonts w:hint="eastAsia" w:hAnsi="宋体" w:cs="宋体"/>
          <w:bCs/>
          <w:color w:val="auto"/>
          <w:sz w:val="24"/>
          <w:highlight w:val="none"/>
        </w:rPr>
      </w:pPr>
    </w:p>
    <w:p w14:paraId="1EFE096E">
      <w:pPr>
        <w:pStyle w:val="3"/>
        <w:rPr>
          <w:rFonts w:hint="eastAsia" w:hAnsi="宋体" w:cs="宋体"/>
          <w:bCs/>
          <w:color w:val="auto"/>
          <w:sz w:val="24"/>
          <w:highlight w:val="none"/>
        </w:rPr>
      </w:pPr>
    </w:p>
    <w:p w14:paraId="2786C709">
      <w:pPr>
        <w:pStyle w:val="3"/>
        <w:rPr>
          <w:rFonts w:hint="eastAsia" w:hAnsi="宋体" w:cs="宋体"/>
          <w:bCs/>
          <w:color w:val="auto"/>
          <w:sz w:val="24"/>
          <w:highlight w:val="none"/>
        </w:rPr>
      </w:pPr>
    </w:p>
    <w:p w14:paraId="4606BB08">
      <w:pPr>
        <w:pStyle w:val="3"/>
        <w:rPr>
          <w:rFonts w:hint="eastAsia" w:hAnsi="宋体" w:cs="宋体"/>
          <w:bCs/>
          <w:color w:val="auto"/>
          <w:sz w:val="24"/>
          <w:highlight w:val="none"/>
        </w:rPr>
      </w:pPr>
    </w:p>
    <w:p w14:paraId="39A15993">
      <w:pPr>
        <w:pStyle w:val="3"/>
        <w:rPr>
          <w:rFonts w:hint="eastAsia" w:hAnsi="宋体" w:cs="宋体"/>
          <w:bCs/>
          <w:color w:val="auto"/>
          <w:sz w:val="24"/>
          <w:highlight w:val="none"/>
        </w:rPr>
      </w:pPr>
    </w:p>
    <w:p w14:paraId="0D0D5945">
      <w:pPr>
        <w:pStyle w:val="3"/>
        <w:rPr>
          <w:rFonts w:hint="eastAsia" w:hAnsi="宋体" w:cs="宋体"/>
          <w:bCs/>
          <w:color w:val="auto"/>
          <w:sz w:val="24"/>
          <w:highlight w:val="none"/>
        </w:rPr>
      </w:pPr>
    </w:p>
    <w:p w14:paraId="54E6495B">
      <w:pPr>
        <w:pStyle w:val="3"/>
        <w:rPr>
          <w:rFonts w:hint="eastAsia" w:hAnsi="宋体" w:cs="宋体"/>
          <w:bCs/>
          <w:color w:val="auto"/>
          <w:sz w:val="24"/>
          <w:highlight w:val="none"/>
        </w:rPr>
      </w:pPr>
    </w:p>
    <w:p w14:paraId="0FC7179E">
      <w:pPr>
        <w:pStyle w:val="3"/>
        <w:rPr>
          <w:rFonts w:hint="eastAsia" w:hAnsi="宋体" w:cs="宋体"/>
          <w:bCs/>
          <w:color w:val="auto"/>
          <w:sz w:val="24"/>
          <w:highlight w:val="none"/>
        </w:rPr>
      </w:pPr>
    </w:p>
    <w:p w14:paraId="5E608182">
      <w:pPr>
        <w:pStyle w:val="3"/>
        <w:rPr>
          <w:rFonts w:hint="eastAsia" w:hAnsi="宋体" w:cs="宋体"/>
          <w:bCs/>
          <w:color w:val="auto"/>
          <w:sz w:val="24"/>
          <w:highlight w:val="none"/>
        </w:rPr>
      </w:pPr>
    </w:p>
    <w:p w14:paraId="03012B91">
      <w:pPr>
        <w:pStyle w:val="3"/>
        <w:rPr>
          <w:rFonts w:hint="eastAsia" w:hAnsi="宋体" w:cs="宋体"/>
          <w:bCs/>
          <w:color w:val="auto"/>
          <w:sz w:val="24"/>
          <w:highlight w:val="none"/>
        </w:rPr>
      </w:pPr>
    </w:p>
    <w:p w14:paraId="5C358A29">
      <w:pPr>
        <w:pStyle w:val="3"/>
        <w:rPr>
          <w:rFonts w:hint="eastAsia" w:hAnsi="宋体" w:cs="宋体"/>
          <w:bCs/>
          <w:color w:val="auto"/>
          <w:sz w:val="24"/>
          <w:highlight w:val="none"/>
        </w:rPr>
      </w:pPr>
    </w:p>
    <w:p w14:paraId="5DF6B3FF">
      <w:pPr>
        <w:pStyle w:val="3"/>
        <w:rPr>
          <w:rFonts w:hint="eastAsia" w:hAnsi="宋体" w:cs="宋体"/>
          <w:bCs/>
          <w:color w:val="auto"/>
          <w:sz w:val="24"/>
          <w:highlight w:val="none"/>
        </w:rPr>
      </w:pPr>
    </w:p>
    <w:p w14:paraId="0444E013">
      <w:pPr>
        <w:pStyle w:val="3"/>
        <w:rPr>
          <w:rFonts w:hint="eastAsia" w:hAnsi="宋体" w:cs="宋体"/>
          <w:bCs/>
          <w:color w:val="auto"/>
          <w:sz w:val="24"/>
          <w:highlight w:val="none"/>
        </w:rPr>
      </w:pPr>
    </w:p>
    <w:p w14:paraId="3799AFD4">
      <w:pPr>
        <w:pStyle w:val="3"/>
        <w:rPr>
          <w:rFonts w:hint="eastAsia" w:hAnsi="宋体" w:cs="宋体"/>
          <w:bCs/>
          <w:color w:val="auto"/>
          <w:sz w:val="24"/>
          <w:highlight w:val="none"/>
        </w:rPr>
      </w:pPr>
    </w:p>
    <w:p w14:paraId="55FEEE90">
      <w:pPr>
        <w:wordWrap w:val="0"/>
        <w:rPr>
          <w:rFonts w:hAnsi="宋体" w:cs="宋体"/>
          <w:bCs/>
          <w:color w:val="auto"/>
          <w:sz w:val="24"/>
          <w:highlight w:val="none"/>
        </w:rPr>
      </w:pPr>
      <w:r>
        <w:rPr>
          <w:rFonts w:hint="eastAsia" w:hAnsi="宋体" w:cs="宋体"/>
          <w:bCs/>
          <w:color w:val="auto"/>
          <w:sz w:val="24"/>
          <w:highlight w:val="none"/>
        </w:rPr>
        <w:t>附件1:</w:t>
      </w:r>
    </w:p>
    <w:p w14:paraId="2B9F39F0">
      <w:pPr>
        <w:pStyle w:val="3"/>
        <w:wordWrap w:val="0"/>
        <w:rPr>
          <w:rFonts w:hAnsi="宋体" w:cs="宋体"/>
          <w:b/>
          <w:color w:val="auto"/>
          <w:szCs w:val="21"/>
          <w:highlight w:val="none"/>
        </w:rPr>
      </w:pPr>
    </w:p>
    <w:p w14:paraId="13E29092">
      <w:pPr>
        <w:wordWrap w:val="0"/>
        <w:spacing w:line="360" w:lineRule="auto"/>
        <w:ind w:firstLine="888" w:firstLineChars="200"/>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72911263">
      <w:pPr>
        <w:wordWrap w:val="0"/>
        <w:spacing w:line="360" w:lineRule="auto"/>
        <w:ind w:firstLine="428" w:firstLineChars="200"/>
        <w:jc w:val="center"/>
        <w:rPr>
          <w:rFonts w:ascii="宋体"/>
          <w:b/>
          <w:color w:val="auto"/>
          <w:szCs w:val="21"/>
          <w:highlight w:val="none"/>
        </w:rPr>
      </w:pPr>
    </w:p>
    <w:p w14:paraId="30E06B28">
      <w:pPr>
        <w:keepNext w:val="0"/>
        <w:keepLines w:val="0"/>
        <w:pageBreakBefore w:val="0"/>
        <w:widowControl/>
        <w:kinsoku/>
        <w:wordWrap/>
        <w:overflowPunct/>
        <w:topLinePunct w:val="0"/>
        <w:autoSpaceDE/>
        <w:autoSpaceDN/>
        <w:bidi w:val="0"/>
        <w:adjustRightInd/>
        <w:snapToGrid/>
        <w:spacing w:before="156" w:beforeLines="50" w:after="0" w:afterLines="50" w:line="480" w:lineRule="auto"/>
        <w:ind w:firstLine="428" w:firstLineChars="200"/>
        <w:contextualSpacing/>
        <w:jc w:val="both"/>
        <w:textAlignment w:val="auto"/>
        <w:rPr>
          <w:rFonts w:hint="eastAsia" w:ascii="宋体" w:hAnsi="宋体" w:eastAsia="宋体" w:cs="宋体"/>
          <w:color w:val="auto"/>
          <w:kern w:val="2"/>
          <w:sz w:val="21"/>
          <w:szCs w:val="21"/>
          <w:u w:val="single"/>
          <w:lang w:val="en-US" w:eastAsia="zh-CN"/>
        </w:rPr>
      </w:pPr>
      <w:bookmarkStart w:id="97" w:name="现场签证通知单"/>
      <w:bookmarkEnd w:id="97"/>
      <w:bookmarkStart w:id="98" w:name="_MON_1652865172"/>
      <w:bookmarkEnd w:id="98"/>
      <w:bookmarkStart w:id="99" w:name="设计变更通知单"/>
      <w:bookmarkEnd w:id="99"/>
      <w:r>
        <w:rPr>
          <w:rFonts w:hint="eastAsia" w:ascii="宋体" w:hAnsi="宋体" w:eastAsia="宋体" w:cs="宋体"/>
          <w:color w:val="auto"/>
          <w:kern w:val="2"/>
          <w:sz w:val="21"/>
          <w:szCs w:val="21"/>
        </w:rPr>
        <w:t>甲方：</w:t>
      </w:r>
      <w:bookmarkStart w:id="100" w:name="Text2"/>
      <w:r>
        <w:rPr>
          <w:rFonts w:hint="eastAsia" w:ascii="宋体" w:hAnsi="宋体" w:eastAsia="宋体" w:cs="宋体"/>
          <w:color w:val="auto"/>
          <w:kern w:val="2"/>
          <w:sz w:val="21"/>
          <w:szCs w:val="21"/>
          <w:u w:val="single"/>
        </w:rPr>
        <w:fldChar w:fldCharType="begin">
          <w:ffData>
            <w:name w:val="Text2"/>
            <w:enabled/>
            <w:calcOnExit w:val="0"/>
            <w:textInput/>
          </w:ffData>
        </w:fldChar>
      </w:r>
      <w:r>
        <w:rPr>
          <w:rFonts w:hint="eastAsia" w:ascii="宋体" w:hAnsi="宋体" w:eastAsia="宋体" w:cs="宋体"/>
          <w:color w:val="auto"/>
          <w:kern w:val="2"/>
          <w:sz w:val="21"/>
          <w:szCs w:val="21"/>
          <w:u w:val="single"/>
        </w:rPr>
        <w:instrText xml:space="preserve">FORMTEXT</w:instrText>
      </w:r>
      <w:r>
        <w:rPr>
          <w:rFonts w:hint="eastAsia" w:ascii="宋体" w:hAnsi="宋体" w:eastAsia="宋体" w:cs="宋体"/>
          <w:color w:val="auto"/>
          <w:kern w:val="2"/>
          <w:sz w:val="21"/>
          <w:szCs w:val="21"/>
          <w:u w:val="single"/>
        </w:rPr>
        <w:fldChar w:fldCharType="separate"/>
      </w:r>
      <w:r>
        <w:rPr>
          <w:rFonts w:hint="eastAsia" w:ascii="宋体" w:hAnsi="宋体" w:eastAsia="宋体" w:cs="宋体"/>
          <w:color w:val="auto"/>
          <w:kern w:val="2"/>
          <w:sz w:val="21"/>
          <w:szCs w:val="21"/>
          <w:u w:val="single"/>
          <w:lang w:val="en-US"/>
        </w:rPr>
        <w:t>     </w:t>
      </w:r>
      <w:r>
        <w:rPr>
          <w:rFonts w:hint="eastAsia" w:ascii="宋体" w:hAnsi="宋体" w:eastAsia="宋体" w:cs="宋体"/>
          <w:color w:val="auto"/>
          <w:kern w:val="2"/>
          <w:sz w:val="21"/>
          <w:szCs w:val="21"/>
          <w:u w:val="single"/>
        </w:rPr>
        <w:fldChar w:fldCharType="end"/>
      </w:r>
      <w:bookmarkEnd w:id="100"/>
    </w:p>
    <w:p w14:paraId="38988F7C">
      <w:pPr>
        <w:keepNext w:val="0"/>
        <w:keepLines w:val="0"/>
        <w:pageBreakBefore w:val="0"/>
        <w:widowControl/>
        <w:kinsoku/>
        <w:wordWrap/>
        <w:overflowPunct/>
        <w:topLinePunct w:val="0"/>
        <w:autoSpaceDE/>
        <w:autoSpaceDN/>
        <w:bidi w:val="0"/>
        <w:adjustRightInd/>
        <w:snapToGrid/>
        <w:spacing w:before="156" w:beforeLines="50" w:after="0" w:afterLines="50" w:line="480" w:lineRule="auto"/>
        <w:ind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乙方：</w:t>
      </w:r>
      <w:bookmarkStart w:id="101" w:name="Text3"/>
      <w:r>
        <w:rPr>
          <w:rFonts w:hint="eastAsia" w:ascii="宋体" w:hAnsi="宋体" w:eastAsia="宋体" w:cs="宋体"/>
          <w:color w:val="auto"/>
          <w:kern w:val="2"/>
          <w:sz w:val="21"/>
          <w:szCs w:val="21"/>
          <w:u w:val="single"/>
        </w:rPr>
        <w:fldChar w:fldCharType="begin">
          <w:ffData>
            <w:name w:val="Text3"/>
            <w:enabled/>
            <w:calcOnExit w:val="0"/>
            <w:textInput/>
          </w:ffData>
        </w:fldChar>
      </w:r>
      <w:r>
        <w:rPr>
          <w:rFonts w:hint="eastAsia" w:ascii="宋体" w:hAnsi="宋体" w:eastAsia="宋体" w:cs="宋体"/>
          <w:color w:val="auto"/>
          <w:kern w:val="2"/>
          <w:sz w:val="21"/>
          <w:szCs w:val="21"/>
          <w:u w:val="single"/>
        </w:rPr>
        <w:instrText xml:space="preserve">FORMTEXT</w:instrText>
      </w:r>
      <w:r>
        <w:rPr>
          <w:rFonts w:hint="eastAsia" w:ascii="宋体" w:hAnsi="宋体" w:eastAsia="宋体" w:cs="宋体"/>
          <w:color w:val="auto"/>
          <w:kern w:val="2"/>
          <w:sz w:val="21"/>
          <w:szCs w:val="21"/>
          <w:u w:val="single"/>
        </w:rPr>
        <w:fldChar w:fldCharType="separate"/>
      </w:r>
      <w:r>
        <w:rPr>
          <w:rFonts w:hint="eastAsia" w:ascii="宋体" w:hAnsi="宋体" w:eastAsia="宋体" w:cs="宋体"/>
          <w:color w:val="auto"/>
          <w:kern w:val="2"/>
          <w:sz w:val="21"/>
          <w:szCs w:val="21"/>
          <w:u w:val="single"/>
          <w:lang w:val="en-US"/>
        </w:rPr>
        <w:t>     </w:t>
      </w:r>
      <w:r>
        <w:rPr>
          <w:rFonts w:hint="eastAsia" w:ascii="宋体" w:hAnsi="宋体" w:eastAsia="宋体" w:cs="宋体"/>
          <w:color w:val="auto"/>
          <w:kern w:val="2"/>
          <w:sz w:val="21"/>
          <w:szCs w:val="21"/>
          <w:u w:val="single"/>
        </w:rPr>
        <w:fldChar w:fldCharType="end"/>
      </w:r>
      <w:bookmarkEnd w:id="101"/>
      <w:r>
        <w:rPr>
          <w:rFonts w:hint="eastAsia" w:ascii="宋体" w:hAnsi="宋体" w:eastAsia="宋体" w:cs="宋体"/>
          <w:color w:val="auto"/>
          <w:kern w:val="2"/>
          <w:sz w:val="21"/>
          <w:szCs w:val="21"/>
        </w:rPr>
        <w:t xml:space="preserve"> </w:t>
      </w:r>
    </w:p>
    <w:p w14:paraId="5EE0ADBD">
      <w:pPr>
        <w:keepNext w:val="0"/>
        <w:keepLines w:val="0"/>
        <w:pageBreakBefore w:val="0"/>
        <w:widowControl/>
        <w:kinsoku/>
        <w:wordWrap/>
        <w:overflowPunct/>
        <w:topLinePunct w:val="0"/>
        <w:autoSpaceDE/>
        <w:autoSpaceDN/>
        <w:bidi w:val="0"/>
        <w:adjustRightInd/>
        <w:snapToGrid/>
        <w:spacing w:before="0" w:beforeLines="200" w:after="156" w:afterLines="50" w:line="360" w:lineRule="auto"/>
        <w:ind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甲乙双方于</w:t>
      </w:r>
      <w:bookmarkStart w:id="102" w:name="Text4"/>
      <w:r>
        <w:rPr>
          <w:rFonts w:hint="eastAsia" w:ascii="宋体" w:hAnsi="宋体" w:eastAsia="宋体" w:cs="宋体"/>
          <w:color w:val="auto"/>
          <w:kern w:val="2"/>
          <w:sz w:val="21"/>
          <w:szCs w:val="21"/>
          <w:u w:val="single"/>
        </w:rPr>
        <w:fldChar w:fldCharType="begin">
          <w:ffData>
            <w:name w:val="Text4"/>
            <w:enabled/>
            <w:calcOnExit w:val="0"/>
            <w:textInput/>
          </w:ffData>
        </w:fldChar>
      </w:r>
      <w:r>
        <w:rPr>
          <w:rFonts w:hint="eastAsia" w:ascii="宋体" w:hAnsi="宋体" w:eastAsia="宋体" w:cs="宋体"/>
          <w:color w:val="auto"/>
          <w:kern w:val="2"/>
          <w:sz w:val="21"/>
          <w:szCs w:val="21"/>
          <w:u w:val="single"/>
        </w:rPr>
        <w:instrText xml:space="preserve">FORMTEXT</w:instrText>
      </w:r>
      <w:r>
        <w:rPr>
          <w:rFonts w:hint="eastAsia" w:ascii="宋体" w:hAnsi="宋体" w:eastAsia="宋体" w:cs="宋体"/>
          <w:color w:val="auto"/>
          <w:kern w:val="2"/>
          <w:sz w:val="21"/>
          <w:szCs w:val="21"/>
          <w:u w:val="single"/>
        </w:rPr>
        <w:fldChar w:fldCharType="separate"/>
      </w:r>
      <w:r>
        <w:rPr>
          <w:rFonts w:hint="eastAsia" w:ascii="宋体" w:hAnsi="宋体" w:eastAsia="宋体" w:cs="宋体"/>
          <w:color w:val="auto"/>
          <w:kern w:val="2"/>
          <w:sz w:val="21"/>
          <w:szCs w:val="21"/>
          <w:u w:val="single"/>
          <w:lang w:val="en-US"/>
        </w:rPr>
        <w:t>     </w:t>
      </w:r>
      <w:r>
        <w:rPr>
          <w:rFonts w:hint="eastAsia" w:ascii="宋体" w:hAnsi="宋体" w:eastAsia="宋体" w:cs="宋体"/>
          <w:color w:val="auto"/>
          <w:kern w:val="2"/>
          <w:sz w:val="21"/>
          <w:szCs w:val="21"/>
          <w:u w:val="single"/>
        </w:rPr>
        <w:fldChar w:fldCharType="end"/>
      </w:r>
      <w:bookmarkEnd w:id="102"/>
      <w:r>
        <w:rPr>
          <w:rFonts w:hint="eastAsia" w:ascii="宋体" w:hAnsi="宋体" w:eastAsia="宋体" w:cs="宋体"/>
          <w:color w:val="auto"/>
          <w:kern w:val="2"/>
          <w:sz w:val="21"/>
          <w:szCs w:val="21"/>
        </w:rPr>
        <w:t>年</w:t>
      </w:r>
      <w:bookmarkStart w:id="103" w:name="Text5"/>
      <w:r>
        <w:rPr>
          <w:rFonts w:hint="eastAsia" w:ascii="宋体" w:hAnsi="宋体" w:eastAsia="宋体" w:cs="宋体"/>
          <w:color w:val="auto"/>
          <w:kern w:val="2"/>
          <w:sz w:val="21"/>
          <w:szCs w:val="21"/>
          <w:u w:val="single"/>
        </w:rPr>
        <w:fldChar w:fldCharType="begin">
          <w:ffData>
            <w:name w:val="Text5"/>
            <w:enabled/>
            <w:calcOnExit w:val="0"/>
            <w:textInput/>
          </w:ffData>
        </w:fldChar>
      </w:r>
      <w:r>
        <w:rPr>
          <w:rFonts w:hint="eastAsia" w:ascii="宋体" w:hAnsi="宋体" w:eastAsia="宋体" w:cs="宋体"/>
          <w:color w:val="auto"/>
          <w:kern w:val="2"/>
          <w:sz w:val="21"/>
          <w:szCs w:val="21"/>
          <w:u w:val="single"/>
        </w:rPr>
        <w:instrText xml:space="preserve">FORMTEXT</w:instrText>
      </w:r>
      <w:r>
        <w:rPr>
          <w:rFonts w:hint="eastAsia" w:ascii="宋体" w:hAnsi="宋体" w:eastAsia="宋体" w:cs="宋体"/>
          <w:color w:val="auto"/>
          <w:kern w:val="2"/>
          <w:sz w:val="21"/>
          <w:szCs w:val="21"/>
          <w:u w:val="single"/>
        </w:rPr>
        <w:fldChar w:fldCharType="separate"/>
      </w:r>
      <w:r>
        <w:rPr>
          <w:rFonts w:hint="eastAsia" w:ascii="宋体" w:hAnsi="宋体" w:eastAsia="宋体" w:cs="宋体"/>
          <w:color w:val="auto"/>
          <w:kern w:val="2"/>
          <w:sz w:val="21"/>
          <w:szCs w:val="21"/>
          <w:u w:val="single"/>
          <w:lang w:val="en-US"/>
        </w:rPr>
        <w:t>     </w:t>
      </w:r>
      <w:r>
        <w:rPr>
          <w:rFonts w:hint="eastAsia" w:ascii="宋体" w:hAnsi="宋体" w:eastAsia="宋体" w:cs="宋体"/>
          <w:color w:val="auto"/>
          <w:kern w:val="2"/>
          <w:sz w:val="21"/>
          <w:szCs w:val="21"/>
          <w:u w:val="single"/>
        </w:rPr>
        <w:fldChar w:fldCharType="end"/>
      </w:r>
      <w:bookmarkEnd w:id="103"/>
      <w:r>
        <w:rPr>
          <w:rFonts w:hint="eastAsia" w:ascii="宋体" w:hAnsi="宋体" w:eastAsia="宋体" w:cs="宋体"/>
          <w:color w:val="auto"/>
          <w:kern w:val="2"/>
          <w:sz w:val="21"/>
          <w:szCs w:val="21"/>
        </w:rPr>
        <w:t>月</w:t>
      </w:r>
      <w:bookmarkStart w:id="104" w:name="Text6"/>
      <w:r>
        <w:rPr>
          <w:rFonts w:hint="eastAsia" w:ascii="宋体" w:hAnsi="宋体" w:eastAsia="宋体" w:cs="宋体"/>
          <w:color w:val="auto"/>
          <w:kern w:val="2"/>
          <w:sz w:val="21"/>
          <w:szCs w:val="21"/>
          <w:u w:val="single"/>
        </w:rPr>
        <w:fldChar w:fldCharType="begin">
          <w:ffData>
            <w:name w:val="Text6"/>
            <w:enabled/>
            <w:calcOnExit w:val="0"/>
            <w:textInput/>
          </w:ffData>
        </w:fldChar>
      </w:r>
      <w:r>
        <w:rPr>
          <w:rFonts w:hint="eastAsia" w:ascii="宋体" w:hAnsi="宋体" w:eastAsia="宋体" w:cs="宋体"/>
          <w:color w:val="auto"/>
          <w:kern w:val="2"/>
          <w:sz w:val="21"/>
          <w:szCs w:val="21"/>
          <w:u w:val="single"/>
        </w:rPr>
        <w:instrText xml:space="preserve">FORMTEXT</w:instrText>
      </w:r>
      <w:r>
        <w:rPr>
          <w:rFonts w:hint="eastAsia" w:ascii="宋体" w:hAnsi="宋体" w:eastAsia="宋体" w:cs="宋体"/>
          <w:color w:val="auto"/>
          <w:kern w:val="2"/>
          <w:sz w:val="21"/>
          <w:szCs w:val="21"/>
          <w:u w:val="single"/>
        </w:rPr>
        <w:fldChar w:fldCharType="separate"/>
      </w:r>
      <w:r>
        <w:rPr>
          <w:rFonts w:hint="eastAsia" w:ascii="宋体" w:hAnsi="宋体" w:eastAsia="宋体" w:cs="宋体"/>
          <w:color w:val="auto"/>
          <w:kern w:val="2"/>
          <w:sz w:val="21"/>
          <w:szCs w:val="21"/>
          <w:u w:val="single"/>
          <w:lang w:val="en-US"/>
        </w:rPr>
        <w:t>     </w:t>
      </w:r>
      <w:r>
        <w:rPr>
          <w:rFonts w:hint="eastAsia" w:ascii="宋体" w:hAnsi="宋体" w:eastAsia="宋体" w:cs="宋体"/>
          <w:color w:val="auto"/>
          <w:kern w:val="2"/>
          <w:sz w:val="21"/>
          <w:szCs w:val="21"/>
          <w:u w:val="single"/>
        </w:rPr>
        <w:fldChar w:fldCharType="end"/>
      </w:r>
      <w:bookmarkEnd w:id="104"/>
      <w:r>
        <w:rPr>
          <w:rFonts w:hint="eastAsia" w:ascii="宋体" w:hAnsi="宋体" w:eastAsia="宋体" w:cs="宋体"/>
          <w:color w:val="auto"/>
          <w:kern w:val="2"/>
          <w:sz w:val="21"/>
          <w:szCs w:val="21"/>
        </w:rPr>
        <w:t>日签署了《</w:t>
      </w:r>
      <w:bookmarkStart w:id="105" w:name="Text7"/>
      <w:r>
        <w:rPr>
          <w:rFonts w:hint="eastAsia" w:ascii="宋体" w:hAnsi="宋体" w:eastAsia="宋体" w:cs="宋体"/>
          <w:snapToGrid w:val="0"/>
          <w:color w:val="auto"/>
          <w:kern w:val="0"/>
          <w:sz w:val="21"/>
          <w:szCs w:val="21"/>
          <w:u w:val="single"/>
          <w:lang w:val="en-US"/>
        </w:rPr>
        <w:fldChar w:fldCharType="begin">
          <w:ffData>
            <w:name w:val="Text7"/>
            <w:enabled/>
            <w:calcOnExit w:val="0"/>
            <w:textInput>
              <w:default w:val="……合同"/>
            </w:textInput>
          </w:ffData>
        </w:fldChar>
      </w:r>
      <w:r>
        <w:rPr>
          <w:rFonts w:hint="eastAsia" w:ascii="宋体" w:hAnsi="宋体" w:eastAsia="宋体" w:cs="宋体"/>
          <w:snapToGrid w:val="0"/>
          <w:color w:val="auto"/>
          <w:kern w:val="0"/>
          <w:sz w:val="21"/>
          <w:szCs w:val="21"/>
          <w:u w:val="single"/>
          <w:lang w:val="en-US"/>
        </w:rPr>
        <w:instrText xml:space="preserve">FORMTEXT</w:instrText>
      </w:r>
      <w:r>
        <w:rPr>
          <w:rFonts w:hint="eastAsia" w:ascii="宋体" w:hAnsi="宋体" w:eastAsia="宋体" w:cs="宋体"/>
          <w:snapToGrid w:val="0"/>
          <w:color w:val="auto"/>
          <w:kern w:val="0"/>
          <w:sz w:val="21"/>
          <w:szCs w:val="21"/>
          <w:u w:val="single"/>
          <w:lang w:val="en-US"/>
        </w:rPr>
        <w:fldChar w:fldCharType="separate"/>
      </w:r>
      <w:r>
        <w:rPr>
          <w:rFonts w:hint="eastAsia" w:ascii="宋体" w:hAnsi="宋体" w:eastAsia="宋体" w:cs="宋体"/>
          <w:snapToGrid w:val="0"/>
          <w:color w:val="auto"/>
          <w:kern w:val="0"/>
          <w:sz w:val="21"/>
          <w:szCs w:val="21"/>
          <w:u w:val="single"/>
          <w:lang w:val="en-US"/>
        </w:rPr>
        <w:t>……合同</w:t>
      </w:r>
      <w:r>
        <w:rPr>
          <w:rFonts w:hint="eastAsia" w:ascii="宋体" w:hAnsi="宋体" w:eastAsia="宋体" w:cs="宋体"/>
          <w:snapToGrid w:val="0"/>
          <w:color w:val="auto"/>
          <w:kern w:val="0"/>
          <w:sz w:val="21"/>
          <w:szCs w:val="21"/>
          <w:u w:val="single"/>
          <w:lang w:val="en-US"/>
        </w:rPr>
        <w:fldChar w:fldCharType="end"/>
      </w:r>
      <w:bookmarkEnd w:id="105"/>
      <w:r>
        <w:rPr>
          <w:rFonts w:hint="eastAsia" w:ascii="宋体" w:hAnsi="宋体" w:eastAsia="宋体" w:cs="宋体"/>
          <w:color w:val="auto"/>
          <w:kern w:val="2"/>
          <w:sz w:val="21"/>
          <w:szCs w:val="21"/>
        </w:rPr>
        <w:t>》（以下简称原合同），为加强双方阳光合作，保证职员职业安全，甲乙双方经协商签订本协议并作为双方共同遵守的阳光合作行为准则。</w:t>
      </w:r>
    </w:p>
    <w:p w14:paraId="08F9ADA2">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lang w:val="en-US" w:eastAsia="zh-CN"/>
        </w:rPr>
        <w:t>一、</w:t>
      </w:r>
      <w:r>
        <w:rPr>
          <w:rFonts w:hint="eastAsia" w:ascii="宋体" w:hAnsi="宋体" w:eastAsia="宋体" w:cs="宋体"/>
          <w:b/>
          <w:color w:val="auto"/>
          <w:kern w:val="2"/>
          <w:sz w:val="21"/>
          <w:szCs w:val="21"/>
        </w:rPr>
        <w:t>甲方责任</w:t>
      </w:r>
    </w:p>
    <w:p w14:paraId="56F2254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1.甲方有责任向乙方介绍本单位有关采购管理通用原则和本协议的规定。</w:t>
      </w:r>
    </w:p>
    <w:p w14:paraId="3196BB6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2.甲方有责任对本单位相关人员进行阳光合作教育。</w:t>
      </w:r>
    </w:p>
    <w:p w14:paraId="3E090F9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E19312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4.甲方人员如违反阳光合作管理制度及本协议规定，甲方视情节轻重、影响大小给予行政及经济处罚。</w:t>
      </w:r>
    </w:p>
    <w:p w14:paraId="41B71B5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5．对于乙方举报甲方人员违反阳光合作规定的情况，甲方应及时进行调查，根据调查情况进行处理，并将调查结果向乙方反馈。</w:t>
      </w:r>
    </w:p>
    <w:p w14:paraId="71F9873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6.接受举报的一方应为举报方保密，不得对举报方进行报复，对举报属实和严格遵守《阳光合作协议》的合作方，在同等条件下给予后续合作的优先权。</w:t>
      </w:r>
    </w:p>
    <w:p w14:paraId="179CA94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lang w:val="en-US" w:eastAsia="zh-CN"/>
        </w:rPr>
        <w:t>二、</w:t>
      </w:r>
      <w:r>
        <w:rPr>
          <w:rFonts w:hint="eastAsia" w:ascii="宋体" w:hAnsi="宋体" w:eastAsia="宋体" w:cs="宋体"/>
          <w:b/>
          <w:color w:val="auto"/>
          <w:kern w:val="2"/>
          <w:sz w:val="21"/>
          <w:szCs w:val="21"/>
        </w:rPr>
        <w:t>乙方责任</w:t>
      </w:r>
    </w:p>
    <w:p w14:paraId="7E0C8B6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1.乙方应保证乙方人员了解甲方有关采购管理通用原则和及本协议的规定，并遵照执行。</w:t>
      </w:r>
    </w:p>
    <w:p w14:paraId="75BB20A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2.乙方不得以任何形式给予甲方人员回扣、赠送实物、现金、有价证券、礼券等有价物品或提供旅游等其他可能影响职务行为公正履行的活动（以下统称“财物”）。</w:t>
      </w:r>
    </w:p>
    <w:p w14:paraId="64D414D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3.乙方有责任接受甲方对乙方在合作期间阳光合作管理执行情况的监督，并对甲方相关调查工作主动配合。</w:t>
      </w:r>
    </w:p>
    <w:p w14:paraId="408C81F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4.乙方有义务就甲方人员任何形式的索取或收受财物行为及时向甲方（直接联系人为东莞</w:t>
      </w:r>
      <w:r>
        <w:rPr>
          <w:rFonts w:hint="eastAsia" w:ascii="宋体" w:hAnsi="宋体" w:eastAsia="宋体" w:cs="宋体"/>
          <w:color w:val="auto"/>
          <w:kern w:val="2"/>
          <w:sz w:val="21"/>
          <w:szCs w:val="21"/>
          <w:lang w:val="en-US" w:eastAsia="zh-CN"/>
        </w:rPr>
        <w:t>市能源投资</w:t>
      </w:r>
      <w:r>
        <w:rPr>
          <w:rFonts w:hint="eastAsia" w:ascii="宋体" w:hAnsi="宋体" w:eastAsia="宋体" w:cs="宋体"/>
          <w:color w:val="auto"/>
          <w:kern w:val="2"/>
          <w:sz w:val="21"/>
          <w:szCs w:val="21"/>
        </w:rPr>
        <w:t>集团有限公司</w:t>
      </w:r>
      <w:r>
        <w:rPr>
          <w:rFonts w:hint="eastAsia" w:ascii="宋体" w:hAnsi="宋体" w:eastAsia="宋体" w:cs="宋体"/>
          <w:color w:val="auto"/>
          <w:kern w:val="2"/>
          <w:sz w:val="21"/>
          <w:szCs w:val="21"/>
          <w:lang w:val="en-US" w:eastAsia="zh-CN"/>
        </w:rPr>
        <w:t>企业管理</w:t>
      </w:r>
      <w:r>
        <w:rPr>
          <w:rFonts w:hint="eastAsia" w:ascii="宋体" w:hAnsi="宋体" w:eastAsia="宋体" w:cs="宋体"/>
          <w:color w:val="auto"/>
          <w:kern w:val="2"/>
          <w:sz w:val="21"/>
          <w:szCs w:val="21"/>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w:t>
      </w:r>
      <w:r>
        <w:rPr>
          <w:rFonts w:hint="eastAsia" w:ascii="宋体" w:hAnsi="宋体" w:eastAsia="宋体" w:cs="宋体"/>
          <w:color w:val="auto"/>
          <w:kern w:val="2"/>
          <w:sz w:val="21"/>
          <w:szCs w:val="21"/>
          <w:lang w:val="en-US" w:eastAsia="zh-CN"/>
        </w:rPr>
        <w:t>东莞能源</w:t>
      </w:r>
      <w:r>
        <w:rPr>
          <w:rFonts w:hint="eastAsia" w:ascii="宋体" w:hAnsi="宋体" w:eastAsia="宋体" w:cs="宋体"/>
          <w:color w:val="auto"/>
          <w:kern w:val="2"/>
          <w:sz w:val="21"/>
          <w:szCs w:val="21"/>
        </w:rPr>
        <w:t>集团（东莞</w:t>
      </w:r>
      <w:r>
        <w:rPr>
          <w:rFonts w:hint="eastAsia" w:ascii="宋体" w:hAnsi="宋体" w:eastAsia="宋体" w:cs="宋体"/>
          <w:color w:val="auto"/>
          <w:kern w:val="2"/>
          <w:sz w:val="21"/>
          <w:szCs w:val="21"/>
          <w:lang w:val="en-US" w:eastAsia="zh-CN"/>
        </w:rPr>
        <w:t>市能源投资</w:t>
      </w:r>
      <w:r>
        <w:rPr>
          <w:rFonts w:hint="eastAsia" w:ascii="宋体" w:hAnsi="宋体" w:eastAsia="宋体" w:cs="宋体"/>
          <w:color w:val="auto"/>
          <w:kern w:val="2"/>
          <w:sz w:val="21"/>
          <w:szCs w:val="21"/>
        </w:rPr>
        <w:t>集团有限公司及下属子公司）合格供应商。</w:t>
      </w:r>
    </w:p>
    <w:p w14:paraId="4030C1D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5．甲方接受乙方实名或匿名举报，保证为举报者的信息保密，常设举报部门及电</w:t>
      </w:r>
      <w:r>
        <w:rPr>
          <w:rFonts w:hint="eastAsia" w:ascii="宋体" w:hAnsi="宋体" w:eastAsia="宋体" w:cs="宋体"/>
          <w:color w:val="auto"/>
          <w:kern w:val="2"/>
          <w:sz w:val="21"/>
          <w:szCs w:val="21"/>
          <w:lang w:val="en-US" w:eastAsia="zh-CN"/>
        </w:rPr>
        <w:t>话</w:t>
      </w:r>
      <w:r>
        <w:rPr>
          <w:rFonts w:hint="eastAsia" w:ascii="宋体" w:hAnsi="宋体" w:eastAsia="宋体" w:cs="宋体"/>
          <w:color w:val="auto"/>
          <w:kern w:val="2"/>
          <w:sz w:val="21"/>
          <w:szCs w:val="21"/>
        </w:rPr>
        <w:t xml:space="preserve">： </w:t>
      </w:r>
    </w:p>
    <w:p w14:paraId="4B784A77">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举报受理部门：东莞</w:t>
      </w:r>
      <w:r>
        <w:rPr>
          <w:rFonts w:hint="eastAsia" w:ascii="宋体" w:hAnsi="宋体" w:eastAsia="宋体" w:cs="宋体"/>
          <w:color w:val="auto"/>
          <w:kern w:val="2"/>
          <w:sz w:val="21"/>
          <w:szCs w:val="21"/>
          <w:lang w:val="en-US" w:eastAsia="zh-CN"/>
        </w:rPr>
        <w:t>市能源投资</w:t>
      </w:r>
      <w:r>
        <w:rPr>
          <w:rFonts w:hint="eastAsia" w:ascii="宋体" w:hAnsi="宋体" w:eastAsia="宋体" w:cs="宋体"/>
          <w:color w:val="auto"/>
          <w:kern w:val="2"/>
          <w:sz w:val="21"/>
          <w:szCs w:val="21"/>
        </w:rPr>
        <w:t>集团有限公司</w:t>
      </w:r>
      <w:r>
        <w:rPr>
          <w:rFonts w:hint="eastAsia" w:ascii="宋体" w:hAnsi="宋体" w:eastAsia="宋体" w:cs="宋体"/>
          <w:color w:val="auto"/>
          <w:kern w:val="2"/>
          <w:sz w:val="21"/>
          <w:szCs w:val="21"/>
          <w:lang w:val="en-US" w:eastAsia="zh-CN"/>
        </w:rPr>
        <w:t>企业管理</w:t>
      </w:r>
      <w:r>
        <w:rPr>
          <w:rFonts w:hint="eastAsia" w:ascii="宋体" w:hAnsi="宋体" w:eastAsia="宋体" w:cs="宋体"/>
          <w:color w:val="auto"/>
          <w:kern w:val="2"/>
          <w:sz w:val="21"/>
          <w:szCs w:val="21"/>
        </w:rPr>
        <w:t>部</w:t>
      </w:r>
    </w:p>
    <w:p w14:paraId="12C3E14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能源</w:t>
      </w:r>
      <w:r>
        <w:rPr>
          <w:rFonts w:hint="eastAsia" w:ascii="宋体" w:hAnsi="宋体" w:eastAsia="宋体" w:cs="宋体"/>
          <w:color w:val="auto"/>
          <w:kern w:val="2"/>
          <w:sz w:val="21"/>
          <w:szCs w:val="21"/>
        </w:rPr>
        <w:t>集团举报邮箱：dgnyqgb@dg-energy.com</w:t>
      </w:r>
    </w:p>
    <w:p w14:paraId="02BF8E5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能源</w:t>
      </w:r>
      <w:r>
        <w:rPr>
          <w:rFonts w:hint="eastAsia" w:ascii="宋体" w:hAnsi="宋体" w:eastAsia="宋体" w:cs="宋体"/>
          <w:color w:val="auto"/>
          <w:kern w:val="2"/>
          <w:sz w:val="21"/>
          <w:szCs w:val="21"/>
        </w:rPr>
        <w:t>集团举报电话：</w:t>
      </w:r>
      <w:r>
        <w:rPr>
          <w:rFonts w:hint="eastAsia" w:ascii="宋体" w:hAnsi="宋体" w:eastAsia="宋体" w:cs="宋体"/>
          <w:color w:val="auto"/>
          <w:kern w:val="2"/>
          <w:sz w:val="21"/>
          <w:szCs w:val="21"/>
          <w:lang w:val="en-US" w:eastAsia="zh-CN"/>
        </w:rPr>
        <w:t>0769-23328000-603、0769-23328000-602</w:t>
      </w:r>
      <w:r>
        <w:rPr>
          <w:rFonts w:hint="eastAsia" w:ascii="宋体" w:hAnsi="宋体" w:eastAsia="宋体" w:cs="宋体"/>
          <w:color w:val="auto"/>
          <w:kern w:val="2"/>
          <w:sz w:val="21"/>
          <w:szCs w:val="21"/>
        </w:rPr>
        <w:t>（周一至周五</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0-12:00和14:00-1</w:t>
      </w: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0）</w:t>
      </w:r>
    </w:p>
    <w:p w14:paraId="3319206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邮寄地址：东莞松山湖高新技术产业开发区新城大道5号D栋，邮编523000。</w:t>
      </w:r>
    </w:p>
    <w:p w14:paraId="456A39B9">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lang w:val="en-US" w:eastAsia="zh-CN"/>
        </w:rPr>
        <w:t>三、</w:t>
      </w:r>
      <w:r>
        <w:rPr>
          <w:rFonts w:hint="eastAsia" w:ascii="宋体" w:hAnsi="宋体" w:eastAsia="宋体" w:cs="宋体"/>
          <w:b/>
          <w:color w:val="auto"/>
          <w:kern w:val="2"/>
          <w:sz w:val="21"/>
          <w:szCs w:val="21"/>
        </w:rPr>
        <w:t>其他</w:t>
      </w:r>
    </w:p>
    <w:p w14:paraId="6E60513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1.本协议是原合同的补充协议，与原合同有同等法律效力。</w:t>
      </w:r>
    </w:p>
    <w:p w14:paraId="3FA4AB7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2.本协议一式</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rPr>
        <w:t>份，甲方执</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rPr>
        <w:t>份，乙方执</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rPr>
        <w:t>份,具有同等法律效力。</w:t>
      </w:r>
    </w:p>
    <w:p w14:paraId="02CE709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07" w:leftChars="50" w:firstLine="428" w:firstLineChars="200"/>
        <w:contextualSpacing/>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3.本协议经双方签署后生效。</w:t>
      </w:r>
    </w:p>
    <w:tbl>
      <w:tblPr>
        <w:tblStyle w:val="28"/>
        <w:tblpPr w:leftFromText="180" w:rightFromText="180" w:vertAnchor="text" w:horzAnchor="page" w:tblpX="1723" w:tblpY="343"/>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8"/>
        <w:gridCol w:w="4258"/>
      </w:tblGrid>
      <w:tr w14:paraId="5D50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Borders>
              <w:tl2br w:val="nil"/>
              <w:tr2bl w:val="nil"/>
            </w:tcBorders>
            <w:noWrap w:val="0"/>
            <w:vAlign w:val="top"/>
          </w:tcPr>
          <w:p w14:paraId="44EAE28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contextualSpacing/>
              <w:jc w:val="both"/>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甲方（盖章）：</w:t>
            </w:r>
            <w:r>
              <w:rPr>
                <w:rFonts w:hint="eastAsia" w:ascii="宋体" w:hAnsi="宋体" w:eastAsia="宋体" w:cs="宋体"/>
                <w:color w:val="auto"/>
                <w:kern w:val="2"/>
                <w:sz w:val="21"/>
                <w:szCs w:val="21"/>
                <w:highlight w:val="none"/>
              </w:rPr>
              <w:fldChar w:fldCharType="begin">
                <w:ffData>
                  <w:name w:val="Text11"/>
                  <w:enabled/>
                  <w:calcOnExit w:val="0"/>
                  <w:textInput/>
                </w:ffData>
              </w:fldChar>
            </w:r>
            <w:bookmarkStart w:id="106" w:name="Text11"/>
            <w:r>
              <w:rPr>
                <w:rFonts w:hint="eastAsia" w:ascii="宋体" w:hAnsi="宋体" w:eastAsia="宋体" w:cs="宋体"/>
                <w:color w:val="auto"/>
                <w:kern w:val="2"/>
                <w:sz w:val="21"/>
                <w:szCs w:val="21"/>
                <w:highlight w:val="none"/>
              </w:rPr>
              <w:instrText xml:space="preserve">FORMTEXT</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kern w:val="2"/>
                <w:sz w:val="21"/>
                <w:szCs w:val="21"/>
                <w:highlight w:val="none"/>
                <w:lang w:val="en-US"/>
              </w:rPr>
              <w:t>     </w:t>
            </w:r>
            <w:r>
              <w:rPr>
                <w:rFonts w:hint="eastAsia" w:ascii="宋体" w:hAnsi="宋体" w:eastAsia="宋体" w:cs="宋体"/>
                <w:color w:val="auto"/>
                <w:kern w:val="2"/>
                <w:sz w:val="21"/>
                <w:szCs w:val="21"/>
                <w:highlight w:val="none"/>
              </w:rPr>
              <w:fldChar w:fldCharType="end"/>
            </w:r>
            <w:bookmarkEnd w:id="106"/>
          </w:p>
        </w:tc>
        <w:tc>
          <w:tcPr>
            <w:tcW w:w="4258" w:type="dxa"/>
            <w:tcBorders>
              <w:tl2br w:val="nil"/>
              <w:tr2bl w:val="nil"/>
            </w:tcBorders>
            <w:noWrap w:val="0"/>
            <w:vAlign w:val="top"/>
          </w:tcPr>
          <w:p w14:paraId="4CB5095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contextualSpacing/>
              <w:jc w:val="both"/>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乙方（盖章）：</w:t>
            </w:r>
            <w:r>
              <w:rPr>
                <w:rFonts w:hint="eastAsia" w:ascii="宋体" w:hAnsi="宋体" w:eastAsia="宋体" w:cs="宋体"/>
                <w:color w:val="auto"/>
                <w:kern w:val="2"/>
                <w:sz w:val="21"/>
                <w:szCs w:val="21"/>
                <w:highlight w:val="none"/>
              </w:rPr>
              <w:fldChar w:fldCharType="begin">
                <w:ffData>
                  <w:name w:val="Text12"/>
                  <w:enabled/>
                  <w:calcOnExit w:val="0"/>
                  <w:textInput/>
                </w:ffData>
              </w:fldChar>
            </w:r>
            <w:bookmarkStart w:id="107" w:name="Text12"/>
            <w:r>
              <w:rPr>
                <w:rFonts w:hint="eastAsia" w:ascii="宋体" w:hAnsi="宋体" w:eastAsia="宋体" w:cs="宋体"/>
                <w:color w:val="auto"/>
                <w:kern w:val="2"/>
                <w:sz w:val="21"/>
                <w:szCs w:val="21"/>
                <w:highlight w:val="none"/>
              </w:rPr>
              <w:instrText xml:space="preserve">FORMTEXT</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kern w:val="2"/>
                <w:sz w:val="21"/>
                <w:szCs w:val="21"/>
                <w:highlight w:val="none"/>
                <w:lang w:val="en-US"/>
              </w:rPr>
              <w:t>     </w:t>
            </w:r>
            <w:r>
              <w:rPr>
                <w:rFonts w:hint="eastAsia" w:ascii="宋体" w:hAnsi="宋体" w:eastAsia="宋体" w:cs="宋体"/>
                <w:color w:val="auto"/>
                <w:kern w:val="2"/>
                <w:sz w:val="21"/>
                <w:szCs w:val="21"/>
                <w:highlight w:val="none"/>
              </w:rPr>
              <w:fldChar w:fldCharType="end"/>
            </w:r>
            <w:bookmarkEnd w:id="107"/>
          </w:p>
        </w:tc>
      </w:tr>
      <w:tr w14:paraId="1CC0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Borders>
              <w:tl2br w:val="nil"/>
              <w:tr2bl w:val="nil"/>
            </w:tcBorders>
            <w:noWrap w:val="0"/>
            <w:vAlign w:val="top"/>
          </w:tcPr>
          <w:p w14:paraId="4132965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contextualSpacing/>
              <w:jc w:val="both"/>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法定代表人（授权代表）：</w:t>
            </w:r>
          </w:p>
        </w:tc>
        <w:tc>
          <w:tcPr>
            <w:tcW w:w="4258" w:type="dxa"/>
            <w:tcBorders>
              <w:tl2br w:val="nil"/>
              <w:tr2bl w:val="nil"/>
            </w:tcBorders>
            <w:noWrap w:val="0"/>
            <w:vAlign w:val="top"/>
          </w:tcPr>
          <w:p w14:paraId="42B93CE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contextualSpacing/>
              <w:jc w:val="both"/>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法定代表人（授权代表）：</w:t>
            </w:r>
          </w:p>
        </w:tc>
      </w:tr>
      <w:tr w14:paraId="2078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Borders>
              <w:tl2br w:val="nil"/>
              <w:tr2bl w:val="nil"/>
            </w:tcBorders>
            <w:noWrap w:val="0"/>
            <w:vAlign w:val="top"/>
          </w:tcPr>
          <w:p w14:paraId="0C9417C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contextualSpacing/>
              <w:jc w:val="both"/>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签约日期：   年   月   日</w:t>
            </w:r>
          </w:p>
        </w:tc>
        <w:tc>
          <w:tcPr>
            <w:tcW w:w="4258" w:type="dxa"/>
            <w:tcBorders>
              <w:tl2br w:val="nil"/>
              <w:tr2bl w:val="nil"/>
            </w:tcBorders>
            <w:noWrap w:val="0"/>
            <w:vAlign w:val="top"/>
          </w:tcPr>
          <w:p w14:paraId="2300DB2B">
            <w:pPr>
              <w:widowControl w:val="0"/>
              <w:spacing w:after="12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签约日期：   年   月   日</w:t>
            </w:r>
          </w:p>
        </w:tc>
      </w:tr>
    </w:tbl>
    <w:p w14:paraId="06454992">
      <w:pPr>
        <w:rPr>
          <w:rFonts w:hint="eastAsia" w:ascii="宋体" w:hAnsi="宋体" w:eastAsia="宋体" w:cs="宋体"/>
          <w:bCs/>
          <w:color w:val="auto"/>
          <w:sz w:val="21"/>
          <w:szCs w:val="21"/>
        </w:rPr>
        <w:sectPr>
          <w:footerReference r:id="rId5" w:type="default"/>
          <w:pgSz w:w="11906" w:h="16838"/>
          <w:pgMar w:top="1440" w:right="1746" w:bottom="1440" w:left="1746" w:header="851" w:footer="992" w:gutter="0"/>
          <w:pgNumType w:fmt="decimal"/>
          <w:cols w:space="720" w:num="1"/>
          <w:docGrid w:type="linesAndChars" w:linePitch="322" w:charSpace="1004"/>
        </w:sectPr>
      </w:pPr>
    </w:p>
    <w:p w14:paraId="5856E183">
      <w:pPr>
        <w:rPr>
          <w:color w:val="auto"/>
          <w:highlight w:val="none"/>
        </w:rPr>
      </w:pPr>
      <w:r>
        <w:rPr>
          <w:rFonts w:hint="eastAsia"/>
          <w:color w:val="auto"/>
          <w:highlight w:val="none"/>
        </w:rPr>
        <w:t>附件2：                                            食材采购</w:t>
      </w:r>
      <w:r>
        <w:rPr>
          <w:rFonts w:hint="eastAsia"/>
          <w:color w:val="auto"/>
          <w:highlight w:val="none"/>
          <w:lang w:eastAsia="zh-CN"/>
        </w:rPr>
        <w:t>投标人</w:t>
      </w:r>
      <w:r>
        <w:rPr>
          <w:rFonts w:hint="eastAsia"/>
          <w:color w:val="auto"/>
          <w:highlight w:val="none"/>
        </w:rPr>
        <w:t>评估打分标准</w:t>
      </w:r>
    </w:p>
    <w:p w14:paraId="4B45320E">
      <w:pPr>
        <w:pStyle w:val="37"/>
        <w:ind w:left="0" w:leftChars="0" w:firstLine="0" w:firstLineChars="0"/>
        <w:rPr>
          <w:rFonts w:hint="eastAsia"/>
          <w:color w:val="auto"/>
        </w:rPr>
      </w:pPr>
    </w:p>
    <w:tbl>
      <w:tblPr>
        <w:tblStyle w:val="27"/>
        <w:tblW w:w="14258" w:type="dxa"/>
        <w:jc w:val="center"/>
        <w:tblLayout w:type="fixed"/>
        <w:tblCellMar>
          <w:top w:w="0" w:type="dxa"/>
          <w:left w:w="108" w:type="dxa"/>
          <w:bottom w:w="0" w:type="dxa"/>
          <w:right w:w="108" w:type="dxa"/>
        </w:tblCellMar>
      </w:tblPr>
      <w:tblGrid>
        <w:gridCol w:w="404"/>
        <w:gridCol w:w="1016"/>
        <w:gridCol w:w="488"/>
        <w:gridCol w:w="3135"/>
        <w:gridCol w:w="1276"/>
        <w:gridCol w:w="7229"/>
        <w:gridCol w:w="567"/>
        <w:gridCol w:w="143"/>
      </w:tblGrid>
      <w:tr w14:paraId="0F003CFB">
        <w:tblPrEx>
          <w:tblCellMar>
            <w:top w:w="0" w:type="dxa"/>
            <w:left w:w="108" w:type="dxa"/>
            <w:bottom w:w="0" w:type="dxa"/>
            <w:right w:w="108" w:type="dxa"/>
          </w:tblCellMar>
        </w:tblPrEx>
        <w:trPr>
          <w:trHeight w:val="405" w:hRule="atLeast"/>
          <w:jc w:val="center"/>
        </w:trPr>
        <w:tc>
          <w:tcPr>
            <w:tcW w:w="14258" w:type="dxa"/>
            <w:gridSpan w:val="8"/>
            <w:tcBorders>
              <w:top w:val="single" w:color="auto" w:sz="4" w:space="0"/>
              <w:left w:val="single" w:color="auto" w:sz="4" w:space="0"/>
              <w:bottom w:val="single" w:color="auto" w:sz="4" w:space="0"/>
              <w:right w:val="single" w:color="auto" w:sz="4" w:space="0"/>
            </w:tcBorders>
            <w:noWrap w:val="0"/>
            <w:vAlign w:val="center"/>
          </w:tcPr>
          <w:p w14:paraId="742A740C">
            <w:pPr>
              <w:jc w:val="center"/>
              <w:rPr>
                <w:color w:val="auto"/>
                <w:highlight w:val="none"/>
              </w:rPr>
            </w:pPr>
            <w:r>
              <w:rPr>
                <w:rFonts w:hint="eastAsia"/>
                <w:color w:val="auto"/>
                <w:highlight w:val="none"/>
              </w:rPr>
              <w:t>食材采购</w:t>
            </w:r>
            <w:r>
              <w:rPr>
                <w:rFonts w:hint="eastAsia"/>
                <w:color w:val="auto"/>
                <w:highlight w:val="none"/>
                <w:lang w:eastAsia="zh-CN"/>
              </w:rPr>
              <w:t>投标人</w:t>
            </w:r>
            <w:r>
              <w:rPr>
                <w:rFonts w:hint="eastAsia"/>
                <w:color w:val="auto"/>
                <w:highlight w:val="none"/>
              </w:rPr>
              <w:t>评估标准表</w:t>
            </w:r>
          </w:p>
        </w:tc>
      </w:tr>
      <w:tr w14:paraId="04C5B36E">
        <w:tblPrEx>
          <w:tblCellMar>
            <w:top w:w="0" w:type="dxa"/>
            <w:left w:w="108" w:type="dxa"/>
            <w:bottom w:w="0" w:type="dxa"/>
            <w:right w:w="108" w:type="dxa"/>
          </w:tblCellMar>
        </w:tblPrEx>
        <w:trPr>
          <w:trHeight w:val="420" w:hRule="atLeast"/>
          <w:jc w:val="center"/>
        </w:trPr>
        <w:tc>
          <w:tcPr>
            <w:tcW w:w="404" w:type="dxa"/>
            <w:tcBorders>
              <w:top w:val="nil"/>
              <w:left w:val="single" w:color="auto" w:sz="4" w:space="0"/>
              <w:bottom w:val="single" w:color="auto" w:sz="4" w:space="0"/>
              <w:right w:val="single" w:color="auto" w:sz="4" w:space="0"/>
            </w:tcBorders>
            <w:noWrap w:val="0"/>
            <w:vAlign w:val="center"/>
          </w:tcPr>
          <w:p w14:paraId="572F4462">
            <w:pPr>
              <w:jc w:val="center"/>
              <w:rPr>
                <w:color w:val="auto"/>
                <w:highlight w:val="none"/>
              </w:rPr>
            </w:pPr>
            <w:r>
              <w:rPr>
                <w:rFonts w:hint="eastAsia"/>
                <w:color w:val="auto"/>
                <w:highlight w:val="none"/>
              </w:rPr>
              <w:t>序号</w:t>
            </w:r>
          </w:p>
        </w:tc>
        <w:tc>
          <w:tcPr>
            <w:tcW w:w="1016" w:type="dxa"/>
            <w:tcBorders>
              <w:top w:val="nil"/>
              <w:left w:val="nil"/>
              <w:bottom w:val="single" w:color="auto" w:sz="4" w:space="0"/>
              <w:right w:val="single" w:color="auto" w:sz="4" w:space="0"/>
            </w:tcBorders>
            <w:noWrap w:val="0"/>
            <w:vAlign w:val="center"/>
          </w:tcPr>
          <w:p w14:paraId="3A14FEF7">
            <w:pPr>
              <w:jc w:val="center"/>
              <w:rPr>
                <w:rFonts w:hint="eastAsia"/>
                <w:color w:val="auto"/>
                <w:highlight w:val="none"/>
              </w:rPr>
            </w:pPr>
            <w:r>
              <w:rPr>
                <w:rFonts w:hint="eastAsia"/>
                <w:color w:val="auto"/>
                <w:highlight w:val="none"/>
              </w:rPr>
              <w:t>评价</w:t>
            </w:r>
          </w:p>
          <w:p w14:paraId="0108DD1E">
            <w:pPr>
              <w:jc w:val="center"/>
              <w:rPr>
                <w:color w:val="auto"/>
                <w:highlight w:val="none"/>
              </w:rPr>
            </w:pPr>
            <w:r>
              <w:rPr>
                <w:rFonts w:hint="eastAsia"/>
                <w:color w:val="auto"/>
                <w:highlight w:val="none"/>
              </w:rPr>
              <w:t>项目</w:t>
            </w:r>
          </w:p>
        </w:tc>
        <w:tc>
          <w:tcPr>
            <w:tcW w:w="488" w:type="dxa"/>
            <w:tcBorders>
              <w:top w:val="nil"/>
              <w:left w:val="nil"/>
              <w:bottom w:val="single" w:color="auto" w:sz="4" w:space="0"/>
              <w:right w:val="single" w:color="auto" w:sz="4" w:space="0"/>
            </w:tcBorders>
            <w:noWrap w:val="0"/>
            <w:vAlign w:val="center"/>
          </w:tcPr>
          <w:p w14:paraId="1697A156">
            <w:pPr>
              <w:jc w:val="center"/>
              <w:rPr>
                <w:color w:val="auto"/>
                <w:highlight w:val="none"/>
              </w:rPr>
            </w:pPr>
            <w:r>
              <w:rPr>
                <w:rFonts w:hint="eastAsia"/>
                <w:color w:val="auto"/>
                <w:highlight w:val="none"/>
              </w:rPr>
              <w:t>分值</w:t>
            </w:r>
          </w:p>
        </w:tc>
        <w:tc>
          <w:tcPr>
            <w:tcW w:w="3135" w:type="dxa"/>
            <w:tcBorders>
              <w:top w:val="nil"/>
              <w:left w:val="nil"/>
              <w:bottom w:val="single" w:color="auto" w:sz="4" w:space="0"/>
              <w:right w:val="single" w:color="auto" w:sz="4" w:space="0"/>
            </w:tcBorders>
            <w:noWrap w:val="0"/>
            <w:vAlign w:val="center"/>
          </w:tcPr>
          <w:p w14:paraId="22383C12">
            <w:pPr>
              <w:jc w:val="center"/>
              <w:rPr>
                <w:color w:val="auto"/>
                <w:highlight w:val="none"/>
              </w:rPr>
            </w:pPr>
            <w:r>
              <w:rPr>
                <w:rFonts w:hint="eastAsia"/>
                <w:color w:val="auto"/>
                <w:highlight w:val="none"/>
              </w:rPr>
              <w:t>评估标准</w:t>
            </w:r>
          </w:p>
        </w:tc>
        <w:tc>
          <w:tcPr>
            <w:tcW w:w="1276" w:type="dxa"/>
            <w:tcBorders>
              <w:top w:val="nil"/>
              <w:left w:val="nil"/>
              <w:bottom w:val="single" w:color="auto" w:sz="4" w:space="0"/>
              <w:right w:val="single" w:color="auto" w:sz="4" w:space="0"/>
            </w:tcBorders>
            <w:noWrap w:val="0"/>
            <w:vAlign w:val="center"/>
          </w:tcPr>
          <w:p w14:paraId="787588E3">
            <w:pPr>
              <w:jc w:val="center"/>
              <w:rPr>
                <w:color w:val="auto"/>
                <w:highlight w:val="none"/>
              </w:rPr>
            </w:pPr>
            <w:r>
              <w:rPr>
                <w:rFonts w:hint="eastAsia"/>
                <w:color w:val="auto"/>
                <w:highlight w:val="none"/>
              </w:rPr>
              <w:t>评估依据</w:t>
            </w:r>
          </w:p>
        </w:tc>
        <w:tc>
          <w:tcPr>
            <w:tcW w:w="7229" w:type="dxa"/>
            <w:tcBorders>
              <w:top w:val="nil"/>
              <w:left w:val="nil"/>
              <w:bottom w:val="single" w:color="auto" w:sz="4" w:space="0"/>
              <w:right w:val="single" w:color="auto" w:sz="4" w:space="0"/>
            </w:tcBorders>
            <w:noWrap w:val="0"/>
            <w:vAlign w:val="center"/>
          </w:tcPr>
          <w:p w14:paraId="32ECDE2C">
            <w:pPr>
              <w:jc w:val="center"/>
              <w:rPr>
                <w:color w:val="auto"/>
                <w:highlight w:val="none"/>
              </w:rPr>
            </w:pPr>
            <w:r>
              <w:rPr>
                <w:rFonts w:hint="eastAsia"/>
                <w:color w:val="auto"/>
                <w:highlight w:val="none"/>
              </w:rPr>
              <w:t>评分标准</w:t>
            </w:r>
          </w:p>
        </w:tc>
        <w:tc>
          <w:tcPr>
            <w:tcW w:w="710" w:type="dxa"/>
            <w:gridSpan w:val="2"/>
            <w:tcBorders>
              <w:top w:val="nil"/>
              <w:left w:val="nil"/>
              <w:bottom w:val="single" w:color="auto" w:sz="4" w:space="0"/>
              <w:right w:val="single" w:color="auto" w:sz="4" w:space="0"/>
            </w:tcBorders>
            <w:noWrap w:val="0"/>
            <w:vAlign w:val="center"/>
          </w:tcPr>
          <w:p w14:paraId="2B8AD862">
            <w:pPr>
              <w:jc w:val="center"/>
              <w:rPr>
                <w:color w:val="auto"/>
                <w:highlight w:val="none"/>
              </w:rPr>
            </w:pPr>
            <w:r>
              <w:rPr>
                <w:rFonts w:hint="eastAsia"/>
                <w:color w:val="auto"/>
                <w:highlight w:val="none"/>
              </w:rPr>
              <w:t>得分</w:t>
            </w:r>
          </w:p>
        </w:tc>
      </w:tr>
      <w:tr w14:paraId="2BE9BF7C">
        <w:tblPrEx>
          <w:tblCellMar>
            <w:top w:w="0" w:type="dxa"/>
            <w:left w:w="108" w:type="dxa"/>
            <w:bottom w:w="0" w:type="dxa"/>
            <w:right w:w="108" w:type="dxa"/>
          </w:tblCellMar>
        </w:tblPrEx>
        <w:trPr>
          <w:trHeight w:val="2415" w:hRule="atLeast"/>
          <w:jc w:val="center"/>
        </w:trPr>
        <w:tc>
          <w:tcPr>
            <w:tcW w:w="404" w:type="dxa"/>
            <w:tcBorders>
              <w:top w:val="nil"/>
              <w:left w:val="single" w:color="auto" w:sz="4" w:space="0"/>
              <w:bottom w:val="single" w:color="auto" w:sz="4" w:space="0"/>
              <w:right w:val="single" w:color="auto" w:sz="4" w:space="0"/>
            </w:tcBorders>
            <w:noWrap w:val="0"/>
            <w:vAlign w:val="center"/>
          </w:tcPr>
          <w:p w14:paraId="7674D02E">
            <w:pPr>
              <w:spacing w:line="320" w:lineRule="exact"/>
              <w:jc w:val="center"/>
              <w:rPr>
                <w:color w:val="auto"/>
                <w:highlight w:val="none"/>
              </w:rPr>
            </w:pPr>
            <w:r>
              <w:rPr>
                <w:rFonts w:hint="eastAsia"/>
                <w:color w:val="auto"/>
                <w:highlight w:val="none"/>
              </w:rPr>
              <w:t>1</w:t>
            </w:r>
          </w:p>
        </w:tc>
        <w:tc>
          <w:tcPr>
            <w:tcW w:w="1016" w:type="dxa"/>
            <w:tcBorders>
              <w:top w:val="nil"/>
              <w:left w:val="nil"/>
              <w:bottom w:val="single" w:color="auto" w:sz="4" w:space="0"/>
              <w:right w:val="single" w:color="auto" w:sz="4" w:space="0"/>
            </w:tcBorders>
            <w:noWrap w:val="0"/>
            <w:vAlign w:val="center"/>
          </w:tcPr>
          <w:p w14:paraId="70227A77">
            <w:pPr>
              <w:spacing w:line="320" w:lineRule="exact"/>
              <w:jc w:val="center"/>
              <w:rPr>
                <w:color w:val="auto"/>
                <w:highlight w:val="none"/>
              </w:rPr>
            </w:pPr>
            <w:r>
              <w:rPr>
                <w:rFonts w:hint="eastAsia"/>
                <w:color w:val="auto"/>
                <w:highlight w:val="none"/>
              </w:rPr>
              <w:t>合同履约</w:t>
            </w:r>
          </w:p>
        </w:tc>
        <w:tc>
          <w:tcPr>
            <w:tcW w:w="488" w:type="dxa"/>
            <w:tcBorders>
              <w:top w:val="nil"/>
              <w:left w:val="nil"/>
              <w:bottom w:val="single" w:color="auto" w:sz="4" w:space="0"/>
              <w:right w:val="single" w:color="auto" w:sz="4" w:space="0"/>
            </w:tcBorders>
            <w:noWrap w:val="0"/>
            <w:vAlign w:val="center"/>
          </w:tcPr>
          <w:p w14:paraId="4872FCF1">
            <w:pPr>
              <w:spacing w:line="320" w:lineRule="exact"/>
              <w:jc w:val="center"/>
              <w:rPr>
                <w:color w:val="auto"/>
                <w:highlight w:val="none"/>
              </w:rPr>
            </w:pPr>
            <w:r>
              <w:rPr>
                <w:rFonts w:hint="eastAsia"/>
                <w:color w:val="auto"/>
                <w:highlight w:val="none"/>
              </w:rPr>
              <w:t>20</w:t>
            </w:r>
          </w:p>
        </w:tc>
        <w:tc>
          <w:tcPr>
            <w:tcW w:w="3135" w:type="dxa"/>
            <w:tcBorders>
              <w:top w:val="nil"/>
              <w:left w:val="nil"/>
              <w:bottom w:val="single" w:color="auto" w:sz="4" w:space="0"/>
              <w:right w:val="single" w:color="auto" w:sz="4" w:space="0"/>
            </w:tcBorders>
            <w:noWrap w:val="0"/>
            <w:vAlign w:val="center"/>
          </w:tcPr>
          <w:p w14:paraId="07B5FC97">
            <w:pPr>
              <w:spacing w:line="320" w:lineRule="exact"/>
              <w:rPr>
                <w:color w:val="auto"/>
                <w:highlight w:val="none"/>
              </w:rPr>
            </w:pPr>
            <w:r>
              <w:rPr>
                <w:rFonts w:hint="eastAsia"/>
                <w:color w:val="auto"/>
                <w:highlight w:val="none"/>
              </w:rPr>
              <w:t>1、按照合同约定，在材料价格变动幅度范围内报价；</w:t>
            </w:r>
          </w:p>
          <w:p w14:paraId="252E75A6">
            <w:pPr>
              <w:spacing w:line="320" w:lineRule="exact"/>
              <w:rPr>
                <w:color w:val="auto"/>
                <w:highlight w:val="none"/>
              </w:rPr>
            </w:pPr>
            <w:r>
              <w:rPr>
                <w:rFonts w:hint="eastAsia"/>
                <w:color w:val="auto"/>
                <w:highlight w:val="none"/>
              </w:rPr>
              <w:t xml:space="preserve"> 2、按照合同要求配备专门采购对接人员，并及时处理采购订单；</w:t>
            </w:r>
          </w:p>
          <w:p w14:paraId="0624E201">
            <w:pPr>
              <w:spacing w:line="320" w:lineRule="exact"/>
              <w:rPr>
                <w:color w:val="auto"/>
                <w:highlight w:val="none"/>
              </w:rPr>
            </w:pPr>
            <w:r>
              <w:rPr>
                <w:rFonts w:hint="eastAsia"/>
                <w:color w:val="auto"/>
                <w:highlight w:val="none"/>
              </w:rPr>
              <w:t>3、按照合同约定按时提供报价供我司审核；</w:t>
            </w:r>
          </w:p>
          <w:p w14:paraId="16F43B74">
            <w:pPr>
              <w:spacing w:line="320" w:lineRule="exact"/>
              <w:rPr>
                <w:color w:val="auto"/>
                <w:highlight w:val="none"/>
              </w:rPr>
            </w:pPr>
            <w:r>
              <w:rPr>
                <w:rFonts w:hint="eastAsia"/>
                <w:color w:val="auto"/>
                <w:highlight w:val="none"/>
              </w:rPr>
              <w:t>4、按照合同约定，不在未经我司同意的情况下，以任何理由随意更改我司订单。</w:t>
            </w:r>
          </w:p>
        </w:tc>
        <w:tc>
          <w:tcPr>
            <w:tcW w:w="1276" w:type="dxa"/>
            <w:tcBorders>
              <w:top w:val="nil"/>
              <w:left w:val="nil"/>
              <w:bottom w:val="single" w:color="auto" w:sz="4" w:space="0"/>
              <w:right w:val="single" w:color="auto" w:sz="4" w:space="0"/>
            </w:tcBorders>
            <w:noWrap w:val="0"/>
            <w:vAlign w:val="center"/>
          </w:tcPr>
          <w:p w14:paraId="368046ED">
            <w:pPr>
              <w:spacing w:line="320" w:lineRule="exact"/>
              <w:jc w:val="center"/>
              <w:rPr>
                <w:color w:val="auto"/>
                <w:highlight w:val="none"/>
              </w:rPr>
            </w:pPr>
            <w:r>
              <w:rPr>
                <w:rFonts w:hint="eastAsia"/>
                <w:color w:val="auto"/>
                <w:highlight w:val="none"/>
              </w:rPr>
              <w:t>按合同约定执行，食堂负责人、货物验收人、</w:t>
            </w:r>
            <w:r>
              <w:rPr>
                <w:rFonts w:hint="eastAsia"/>
                <w:color w:val="auto"/>
                <w:highlight w:val="none"/>
                <w:lang w:eastAsia="zh-CN"/>
              </w:rPr>
              <w:t>投标人</w:t>
            </w:r>
            <w:r>
              <w:rPr>
                <w:rFonts w:hint="eastAsia"/>
                <w:color w:val="auto"/>
                <w:highlight w:val="none"/>
              </w:rPr>
              <w:t>三方签名。</w:t>
            </w:r>
          </w:p>
        </w:tc>
        <w:tc>
          <w:tcPr>
            <w:tcW w:w="7229" w:type="dxa"/>
            <w:tcBorders>
              <w:top w:val="nil"/>
              <w:left w:val="nil"/>
              <w:bottom w:val="single" w:color="auto" w:sz="4" w:space="0"/>
              <w:right w:val="single" w:color="auto" w:sz="4" w:space="0"/>
            </w:tcBorders>
            <w:noWrap w:val="0"/>
            <w:vAlign w:val="center"/>
          </w:tcPr>
          <w:p w14:paraId="1D5493D2">
            <w:pPr>
              <w:spacing w:line="320" w:lineRule="exact"/>
              <w:rPr>
                <w:color w:val="auto"/>
                <w:highlight w:val="none"/>
              </w:rPr>
            </w:pPr>
            <w:r>
              <w:rPr>
                <w:rFonts w:hint="eastAsia"/>
                <w:color w:val="auto"/>
                <w:highlight w:val="none"/>
              </w:rPr>
              <w:t>1、未按照合同约定，在材料价格变动幅度范围内报价，每次扣5分，逐次累计扣分；</w:t>
            </w:r>
          </w:p>
          <w:p w14:paraId="4B139736">
            <w:pPr>
              <w:spacing w:line="320" w:lineRule="exact"/>
              <w:rPr>
                <w:color w:val="auto"/>
                <w:highlight w:val="none"/>
              </w:rPr>
            </w:pPr>
            <w:r>
              <w:rPr>
                <w:rFonts w:hint="eastAsia"/>
                <w:color w:val="auto"/>
                <w:highlight w:val="none"/>
              </w:rPr>
              <w:t xml:space="preserve"> 2、未按照合同要求配备专门采购对接人员，并不及时处理采购订单，每次扣2分，逐次累计扣分；</w:t>
            </w:r>
          </w:p>
          <w:p w14:paraId="2C0E6ACA">
            <w:pPr>
              <w:spacing w:line="320" w:lineRule="exact"/>
              <w:rPr>
                <w:color w:val="auto"/>
                <w:highlight w:val="none"/>
              </w:rPr>
            </w:pPr>
            <w:r>
              <w:rPr>
                <w:rFonts w:hint="eastAsia"/>
                <w:color w:val="auto"/>
                <w:highlight w:val="none"/>
              </w:rPr>
              <w:t>3、未按照合同约定按时提供报价供我司审核，每次扣2分，逐次累计扣分；</w:t>
            </w:r>
          </w:p>
          <w:p w14:paraId="658FF050">
            <w:pPr>
              <w:spacing w:line="320" w:lineRule="exact"/>
              <w:rPr>
                <w:color w:val="auto"/>
                <w:highlight w:val="none"/>
              </w:rPr>
            </w:pPr>
            <w:r>
              <w:rPr>
                <w:rFonts w:hint="eastAsia"/>
                <w:color w:val="auto"/>
                <w:highlight w:val="none"/>
              </w:rPr>
              <w:t>4、未按照合同约定，未经我司同意的情况下，无任何理由随意更改我司订单，每次扣5分，逐次累计扣分。</w:t>
            </w:r>
          </w:p>
          <w:p w14:paraId="77A6D4E1">
            <w:pPr>
              <w:spacing w:line="320" w:lineRule="exact"/>
              <w:rPr>
                <w:color w:val="auto"/>
                <w:highlight w:val="none"/>
              </w:rPr>
            </w:pPr>
            <w:r>
              <w:rPr>
                <w:rFonts w:hint="eastAsia"/>
                <w:color w:val="auto"/>
                <w:highlight w:val="none"/>
              </w:rPr>
              <w:t>注：每单项按此递增类推，超出单项扣分值的，从当月评估总得分中扣除相应分值。</w:t>
            </w:r>
          </w:p>
        </w:tc>
        <w:tc>
          <w:tcPr>
            <w:tcW w:w="710" w:type="dxa"/>
            <w:gridSpan w:val="2"/>
            <w:tcBorders>
              <w:top w:val="nil"/>
              <w:left w:val="nil"/>
              <w:bottom w:val="single" w:color="auto" w:sz="4" w:space="0"/>
              <w:right w:val="single" w:color="auto" w:sz="4" w:space="0"/>
            </w:tcBorders>
            <w:noWrap w:val="0"/>
            <w:vAlign w:val="center"/>
          </w:tcPr>
          <w:p w14:paraId="436F741C">
            <w:pPr>
              <w:rPr>
                <w:color w:val="auto"/>
                <w:highlight w:val="none"/>
              </w:rPr>
            </w:pPr>
          </w:p>
        </w:tc>
      </w:tr>
      <w:tr w14:paraId="7F7D8689">
        <w:tblPrEx>
          <w:tblCellMar>
            <w:top w:w="0" w:type="dxa"/>
            <w:left w:w="108" w:type="dxa"/>
            <w:bottom w:w="0" w:type="dxa"/>
            <w:right w:w="108" w:type="dxa"/>
          </w:tblCellMar>
        </w:tblPrEx>
        <w:trPr>
          <w:trHeight w:val="3015" w:hRule="atLeast"/>
          <w:jc w:val="center"/>
        </w:trPr>
        <w:tc>
          <w:tcPr>
            <w:tcW w:w="404" w:type="dxa"/>
            <w:tcBorders>
              <w:top w:val="nil"/>
              <w:left w:val="single" w:color="auto" w:sz="4" w:space="0"/>
              <w:bottom w:val="single" w:color="auto" w:sz="4" w:space="0"/>
              <w:right w:val="single" w:color="auto" w:sz="4" w:space="0"/>
            </w:tcBorders>
            <w:noWrap w:val="0"/>
            <w:vAlign w:val="center"/>
          </w:tcPr>
          <w:p w14:paraId="1DDCDDEE">
            <w:pPr>
              <w:spacing w:line="320" w:lineRule="exact"/>
              <w:jc w:val="center"/>
              <w:rPr>
                <w:color w:val="auto"/>
                <w:highlight w:val="none"/>
              </w:rPr>
            </w:pPr>
            <w:r>
              <w:rPr>
                <w:rFonts w:hint="eastAsia"/>
                <w:color w:val="auto"/>
                <w:highlight w:val="none"/>
              </w:rPr>
              <w:t>2</w:t>
            </w:r>
          </w:p>
        </w:tc>
        <w:tc>
          <w:tcPr>
            <w:tcW w:w="1016" w:type="dxa"/>
            <w:tcBorders>
              <w:top w:val="nil"/>
              <w:left w:val="nil"/>
              <w:bottom w:val="single" w:color="auto" w:sz="4" w:space="0"/>
              <w:right w:val="single" w:color="auto" w:sz="4" w:space="0"/>
            </w:tcBorders>
            <w:noWrap w:val="0"/>
            <w:vAlign w:val="center"/>
          </w:tcPr>
          <w:p w14:paraId="432355EE">
            <w:pPr>
              <w:spacing w:line="320" w:lineRule="exact"/>
              <w:jc w:val="center"/>
              <w:rPr>
                <w:color w:val="auto"/>
                <w:highlight w:val="none"/>
              </w:rPr>
            </w:pPr>
            <w:r>
              <w:rPr>
                <w:rFonts w:hint="eastAsia"/>
                <w:color w:val="auto"/>
                <w:highlight w:val="none"/>
              </w:rPr>
              <w:t>供货质量/食品安全</w:t>
            </w:r>
          </w:p>
        </w:tc>
        <w:tc>
          <w:tcPr>
            <w:tcW w:w="488" w:type="dxa"/>
            <w:tcBorders>
              <w:top w:val="nil"/>
              <w:left w:val="nil"/>
              <w:bottom w:val="single" w:color="auto" w:sz="4" w:space="0"/>
              <w:right w:val="single" w:color="auto" w:sz="4" w:space="0"/>
            </w:tcBorders>
            <w:noWrap w:val="0"/>
            <w:vAlign w:val="center"/>
          </w:tcPr>
          <w:p w14:paraId="1EEFCED9">
            <w:pPr>
              <w:spacing w:line="320" w:lineRule="exact"/>
              <w:jc w:val="center"/>
              <w:rPr>
                <w:color w:val="auto"/>
                <w:highlight w:val="none"/>
              </w:rPr>
            </w:pPr>
            <w:r>
              <w:rPr>
                <w:rFonts w:hint="eastAsia"/>
                <w:color w:val="auto"/>
                <w:highlight w:val="none"/>
              </w:rPr>
              <w:t>40</w:t>
            </w:r>
          </w:p>
        </w:tc>
        <w:tc>
          <w:tcPr>
            <w:tcW w:w="3135" w:type="dxa"/>
            <w:tcBorders>
              <w:top w:val="nil"/>
              <w:left w:val="nil"/>
              <w:bottom w:val="single" w:color="auto" w:sz="4" w:space="0"/>
              <w:right w:val="single" w:color="auto" w:sz="4" w:space="0"/>
            </w:tcBorders>
            <w:noWrap w:val="0"/>
            <w:vAlign w:val="center"/>
          </w:tcPr>
          <w:p w14:paraId="45F761E2">
            <w:pPr>
              <w:spacing w:line="320" w:lineRule="exact"/>
              <w:rPr>
                <w:color w:val="auto"/>
                <w:highlight w:val="none"/>
              </w:rPr>
            </w:pPr>
            <w:r>
              <w:rPr>
                <w:rFonts w:hint="eastAsia"/>
                <w:color w:val="auto"/>
                <w:highlight w:val="none"/>
              </w:rPr>
              <w:t>1、商品质量安全合格、符合卫生标准、没有假冒伪劣商品；未发生变质、腐烂现象；</w:t>
            </w:r>
          </w:p>
          <w:p w14:paraId="2334D0AE">
            <w:pPr>
              <w:spacing w:line="320" w:lineRule="exact"/>
              <w:rPr>
                <w:color w:val="auto"/>
                <w:highlight w:val="none"/>
              </w:rPr>
            </w:pPr>
            <w:r>
              <w:rPr>
                <w:rFonts w:hint="eastAsia"/>
                <w:color w:val="auto"/>
                <w:highlight w:val="none"/>
              </w:rPr>
              <w:t>2、提供的产品标示齐全（生产厂家、包装数量、有效期、产品成分等）；</w:t>
            </w:r>
          </w:p>
          <w:p w14:paraId="369B054C">
            <w:pPr>
              <w:spacing w:line="320" w:lineRule="exact"/>
              <w:rPr>
                <w:color w:val="auto"/>
                <w:highlight w:val="none"/>
              </w:rPr>
            </w:pPr>
            <w:r>
              <w:rPr>
                <w:rFonts w:hint="eastAsia"/>
                <w:color w:val="auto"/>
                <w:highlight w:val="none"/>
              </w:rPr>
              <w:t>3、未因原材料质量问题导致职工发生食品、安全事故。</w:t>
            </w:r>
          </w:p>
          <w:p w14:paraId="4831EB8E">
            <w:pPr>
              <w:spacing w:line="320" w:lineRule="exact"/>
              <w:rPr>
                <w:color w:val="auto"/>
                <w:highlight w:val="none"/>
              </w:rPr>
            </w:pPr>
            <w:r>
              <w:rPr>
                <w:rFonts w:hint="eastAsia"/>
                <w:color w:val="auto"/>
                <w:highlight w:val="none"/>
              </w:rPr>
              <w:t>4、合同验收标准</w:t>
            </w:r>
          </w:p>
        </w:tc>
        <w:tc>
          <w:tcPr>
            <w:tcW w:w="1276" w:type="dxa"/>
            <w:tcBorders>
              <w:top w:val="nil"/>
              <w:left w:val="nil"/>
              <w:bottom w:val="single" w:color="auto" w:sz="4" w:space="0"/>
              <w:right w:val="single" w:color="auto" w:sz="4" w:space="0"/>
            </w:tcBorders>
            <w:noWrap w:val="0"/>
            <w:vAlign w:val="center"/>
          </w:tcPr>
          <w:p w14:paraId="0F3F0956">
            <w:pPr>
              <w:spacing w:line="320" w:lineRule="exact"/>
              <w:jc w:val="center"/>
              <w:rPr>
                <w:color w:val="auto"/>
                <w:highlight w:val="none"/>
              </w:rPr>
            </w:pPr>
            <w:r>
              <w:rPr>
                <w:rFonts w:hint="eastAsia"/>
                <w:color w:val="auto"/>
                <w:highlight w:val="none"/>
              </w:rPr>
              <w:t>按合同货物验收标准进行验货，食堂的验货记录，注明货物不合格原因，食堂负责人、货物验收人、</w:t>
            </w:r>
            <w:r>
              <w:rPr>
                <w:rFonts w:hint="eastAsia"/>
                <w:color w:val="auto"/>
                <w:highlight w:val="none"/>
                <w:lang w:eastAsia="zh-CN"/>
              </w:rPr>
              <w:t>投标人</w:t>
            </w:r>
            <w:r>
              <w:rPr>
                <w:rFonts w:hint="eastAsia"/>
                <w:color w:val="auto"/>
                <w:highlight w:val="none"/>
              </w:rPr>
              <w:t>三方签名。</w:t>
            </w:r>
          </w:p>
        </w:tc>
        <w:tc>
          <w:tcPr>
            <w:tcW w:w="7229" w:type="dxa"/>
            <w:tcBorders>
              <w:top w:val="nil"/>
              <w:left w:val="nil"/>
              <w:bottom w:val="single" w:color="auto" w:sz="4" w:space="0"/>
              <w:right w:val="single" w:color="auto" w:sz="4" w:space="0"/>
            </w:tcBorders>
            <w:noWrap w:val="0"/>
            <w:vAlign w:val="center"/>
          </w:tcPr>
          <w:p w14:paraId="70EB3275">
            <w:pPr>
              <w:spacing w:line="320" w:lineRule="exact"/>
              <w:rPr>
                <w:color w:val="auto"/>
                <w:highlight w:val="none"/>
              </w:rPr>
            </w:pPr>
            <w:r>
              <w:rPr>
                <w:rFonts w:hint="eastAsia"/>
                <w:color w:val="auto"/>
                <w:highlight w:val="none"/>
              </w:rPr>
              <w:t>1、商品质量安全不合格、不符合卫生标准、假冒伪劣商品或发生变质、腐烂现象，每件扣10分，逐次累计扣分；</w:t>
            </w:r>
          </w:p>
          <w:p w14:paraId="7BBDA0BA">
            <w:pPr>
              <w:spacing w:line="320" w:lineRule="exact"/>
              <w:rPr>
                <w:color w:val="auto"/>
                <w:highlight w:val="none"/>
              </w:rPr>
            </w:pPr>
            <w:r>
              <w:rPr>
                <w:rFonts w:hint="eastAsia"/>
                <w:color w:val="auto"/>
                <w:highlight w:val="none"/>
              </w:rPr>
              <w:t>2、提供的产品标示不齐全（缺少生产厂家、包装数量、有效期、产品成分等）每次扣2分，逐次累计扣分；</w:t>
            </w:r>
          </w:p>
          <w:p w14:paraId="2EA41DC6">
            <w:pPr>
              <w:spacing w:line="320" w:lineRule="exact"/>
              <w:rPr>
                <w:color w:val="auto"/>
                <w:highlight w:val="none"/>
              </w:rPr>
            </w:pPr>
            <w:r>
              <w:rPr>
                <w:rFonts w:hint="eastAsia"/>
                <w:color w:val="auto"/>
                <w:highlight w:val="none"/>
              </w:rPr>
              <w:t>3、因原材料质量问题导致职工发生食品、安全事故，经市（区）级卫生防疫部门鉴定属</w:t>
            </w:r>
            <w:r>
              <w:rPr>
                <w:rFonts w:hint="eastAsia"/>
                <w:color w:val="auto"/>
                <w:highlight w:val="none"/>
                <w:lang w:eastAsia="zh-CN"/>
              </w:rPr>
              <w:t>投标人</w:t>
            </w:r>
            <w:r>
              <w:rPr>
                <w:rFonts w:hint="eastAsia"/>
                <w:color w:val="auto"/>
                <w:highlight w:val="none"/>
              </w:rPr>
              <w:t>责任，每次扣40分，因此造成不良后果的，追究其相关法律责任；我方有权提出终止</w:t>
            </w:r>
            <w:r>
              <w:rPr>
                <w:rFonts w:hint="eastAsia"/>
                <w:color w:val="auto"/>
                <w:highlight w:val="none"/>
                <w:lang w:eastAsia="zh-CN"/>
              </w:rPr>
              <w:t>合同</w:t>
            </w:r>
            <w:r>
              <w:rPr>
                <w:rFonts w:hint="eastAsia"/>
                <w:color w:val="auto"/>
                <w:highlight w:val="none"/>
              </w:rPr>
              <w:t>和使用其它备选</w:t>
            </w:r>
            <w:r>
              <w:rPr>
                <w:rFonts w:hint="eastAsia"/>
                <w:color w:val="auto"/>
                <w:highlight w:val="none"/>
                <w:lang w:eastAsia="zh-CN"/>
              </w:rPr>
              <w:t>投标人</w:t>
            </w:r>
            <w:r>
              <w:rPr>
                <w:rFonts w:hint="eastAsia"/>
                <w:color w:val="auto"/>
                <w:highlight w:val="none"/>
              </w:rPr>
              <w:t>，按合同第十条违约处理。</w:t>
            </w:r>
          </w:p>
          <w:p w14:paraId="74AE6143">
            <w:pPr>
              <w:spacing w:line="320" w:lineRule="exact"/>
              <w:rPr>
                <w:color w:val="auto"/>
                <w:highlight w:val="none"/>
              </w:rPr>
            </w:pPr>
            <w:r>
              <w:rPr>
                <w:rFonts w:hint="eastAsia"/>
                <w:color w:val="auto"/>
                <w:highlight w:val="none"/>
              </w:rPr>
              <w:t>4、违反合同验收标准，商品质量不符合食堂使用标准每项次扣2分；不符合卫生标准每次扣2分；鲜肉、冰鲜类不符合合同约定运输要求的每次扣2分；</w:t>
            </w:r>
          </w:p>
          <w:p w14:paraId="713448D7">
            <w:pPr>
              <w:spacing w:line="320" w:lineRule="exact"/>
              <w:rPr>
                <w:color w:val="auto"/>
                <w:highlight w:val="none"/>
              </w:rPr>
            </w:pPr>
            <w:r>
              <w:rPr>
                <w:rFonts w:hint="eastAsia"/>
                <w:color w:val="auto"/>
                <w:highlight w:val="none"/>
              </w:rPr>
              <w:t>注：每单项按此递增类推，超出单项扣分值的，从当月评估总得分中扣除相应分值。</w:t>
            </w:r>
          </w:p>
        </w:tc>
        <w:tc>
          <w:tcPr>
            <w:tcW w:w="710" w:type="dxa"/>
            <w:gridSpan w:val="2"/>
            <w:tcBorders>
              <w:top w:val="nil"/>
              <w:left w:val="nil"/>
              <w:bottom w:val="single" w:color="auto" w:sz="4" w:space="0"/>
              <w:right w:val="single" w:color="auto" w:sz="4" w:space="0"/>
            </w:tcBorders>
            <w:noWrap w:val="0"/>
            <w:vAlign w:val="center"/>
          </w:tcPr>
          <w:p w14:paraId="10815FB0">
            <w:pPr>
              <w:rPr>
                <w:color w:val="auto"/>
                <w:highlight w:val="none"/>
              </w:rPr>
            </w:pPr>
          </w:p>
        </w:tc>
      </w:tr>
      <w:tr w14:paraId="7FD70C82">
        <w:tblPrEx>
          <w:tblCellMar>
            <w:top w:w="0" w:type="dxa"/>
            <w:left w:w="108" w:type="dxa"/>
            <w:bottom w:w="0" w:type="dxa"/>
            <w:right w:w="108" w:type="dxa"/>
          </w:tblCellMar>
        </w:tblPrEx>
        <w:trPr>
          <w:trHeight w:val="2540" w:hRule="atLeast"/>
          <w:jc w:val="center"/>
        </w:trPr>
        <w:tc>
          <w:tcPr>
            <w:tcW w:w="404" w:type="dxa"/>
            <w:tcBorders>
              <w:top w:val="single" w:color="auto" w:sz="4" w:space="0"/>
              <w:left w:val="single" w:color="auto" w:sz="4" w:space="0"/>
              <w:bottom w:val="single" w:color="auto" w:sz="4" w:space="0"/>
              <w:right w:val="single" w:color="auto" w:sz="4" w:space="0"/>
            </w:tcBorders>
            <w:noWrap w:val="0"/>
            <w:vAlign w:val="center"/>
          </w:tcPr>
          <w:p w14:paraId="03E7FCD8">
            <w:pPr>
              <w:spacing w:line="300" w:lineRule="exact"/>
              <w:jc w:val="center"/>
              <w:rPr>
                <w:color w:val="auto"/>
                <w:highlight w:val="none"/>
              </w:rPr>
            </w:pPr>
            <w:r>
              <w:rPr>
                <w:rFonts w:hint="eastAsia"/>
                <w:color w:val="auto"/>
                <w:highlight w:val="none"/>
              </w:rPr>
              <w:t>3</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837C858">
            <w:pPr>
              <w:spacing w:line="300" w:lineRule="exact"/>
              <w:jc w:val="center"/>
              <w:rPr>
                <w:color w:val="auto"/>
                <w:highlight w:val="none"/>
              </w:rPr>
            </w:pPr>
            <w:r>
              <w:rPr>
                <w:rFonts w:hint="eastAsia"/>
                <w:color w:val="auto"/>
                <w:highlight w:val="none"/>
              </w:rPr>
              <w:t>供货及时性</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25D4684D">
            <w:pPr>
              <w:spacing w:line="300" w:lineRule="exact"/>
              <w:jc w:val="center"/>
              <w:rPr>
                <w:color w:val="auto"/>
                <w:highlight w:val="none"/>
              </w:rPr>
            </w:pPr>
            <w:r>
              <w:rPr>
                <w:rFonts w:hint="eastAsia"/>
                <w:color w:val="auto"/>
                <w:highlight w:val="none"/>
              </w:rPr>
              <w:t>20</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122BEC78">
            <w:pPr>
              <w:spacing w:line="300" w:lineRule="exact"/>
              <w:rPr>
                <w:color w:val="auto"/>
                <w:highlight w:val="none"/>
              </w:rPr>
            </w:pPr>
            <w:r>
              <w:rPr>
                <w:rFonts w:hint="eastAsia"/>
                <w:color w:val="auto"/>
                <w:highlight w:val="none"/>
              </w:rPr>
              <w:t>1、将货物送到合同约定的地点；</w:t>
            </w:r>
          </w:p>
          <w:p w14:paraId="1AF7711D">
            <w:pPr>
              <w:spacing w:line="300" w:lineRule="exact"/>
              <w:rPr>
                <w:color w:val="auto"/>
                <w:highlight w:val="none"/>
              </w:rPr>
            </w:pPr>
            <w:r>
              <w:rPr>
                <w:rFonts w:hint="eastAsia"/>
                <w:color w:val="auto"/>
                <w:highlight w:val="none"/>
              </w:rPr>
              <w:t>2、对我司常规性采购能及时送货；</w:t>
            </w:r>
          </w:p>
          <w:p w14:paraId="0B1A23CA">
            <w:pPr>
              <w:spacing w:line="300" w:lineRule="exact"/>
              <w:rPr>
                <w:color w:val="auto"/>
                <w:highlight w:val="none"/>
              </w:rPr>
            </w:pPr>
            <w:r>
              <w:rPr>
                <w:rFonts w:hint="eastAsia"/>
                <w:color w:val="auto"/>
                <w:highlight w:val="none"/>
              </w:rPr>
              <w:t>3、对我司临时紧急性采购（围餐等）能及时处理，并予以送货，或不能送货的予以沟通协调；</w:t>
            </w:r>
          </w:p>
          <w:p w14:paraId="58AF4E95">
            <w:pPr>
              <w:spacing w:line="300" w:lineRule="exact"/>
              <w:rPr>
                <w:color w:val="auto"/>
                <w:highlight w:val="none"/>
              </w:rPr>
            </w:pPr>
            <w:r>
              <w:rPr>
                <w:rFonts w:hint="eastAsia"/>
                <w:color w:val="auto"/>
                <w:highlight w:val="none"/>
              </w:rPr>
              <w:t>4、无正当理由不得拒绝送货；</w:t>
            </w:r>
          </w:p>
          <w:p w14:paraId="39F00775">
            <w:pPr>
              <w:spacing w:line="300" w:lineRule="exact"/>
              <w:rPr>
                <w:color w:val="auto"/>
                <w:highlight w:val="none"/>
              </w:rPr>
            </w:pPr>
            <w:r>
              <w:rPr>
                <w:rFonts w:hint="eastAsia"/>
                <w:color w:val="auto"/>
                <w:highlight w:val="none"/>
              </w:rPr>
              <w:t>5、送货品种、数量与订货单符合性。</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08237A">
            <w:pPr>
              <w:spacing w:line="300" w:lineRule="exact"/>
              <w:jc w:val="center"/>
              <w:rPr>
                <w:color w:val="auto"/>
                <w:highlight w:val="none"/>
              </w:rPr>
            </w:pPr>
            <w:r>
              <w:rPr>
                <w:rFonts w:hint="eastAsia"/>
                <w:color w:val="auto"/>
                <w:highlight w:val="none"/>
              </w:rPr>
              <w:t>按合同货物送货标准，注明货物不合格原因，食堂负责人、货物验收人、</w:t>
            </w:r>
            <w:r>
              <w:rPr>
                <w:rFonts w:hint="eastAsia"/>
                <w:color w:val="auto"/>
                <w:highlight w:val="none"/>
                <w:lang w:eastAsia="zh-CN"/>
              </w:rPr>
              <w:t>投标人</w:t>
            </w:r>
            <w:r>
              <w:rPr>
                <w:rFonts w:hint="eastAsia"/>
                <w:color w:val="auto"/>
                <w:highlight w:val="none"/>
              </w:rPr>
              <w:t>三方签名。</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EB715B2">
            <w:pPr>
              <w:spacing w:line="300" w:lineRule="exact"/>
              <w:rPr>
                <w:color w:val="auto"/>
                <w:highlight w:val="none"/>
              </w:rPr>
            </w:pPr>
            <w:r>
              <w:rPr>
                <w:rFonts w:hint="eastAsia"/>
                <w:color w:val="auto"/>
                <w:highlight w:val="none"/>
              </w:rPr>
              <w:t>1、未将货物送到合同约定的地点，每次扣3分；逐次累计扣分；</w:t>
            </w:r>
          </w:p>
          <w:p w14:paraId="6943FC07">
            <w:pPr>
              <w:spacing w:line="300" w:lineRule="exact"/>
              <w:rPr>
                <w:color w:val="auto"/>
                <w:highlight w:val="none"/>
              </w:rPr>
            </w:pPr>
            <w:r>
              <w:rPr>
                <w:rFonts w:hint="eastAsia"/>
                <w:color w:val="auto"/>
                <w:highlight w:val="none"/>
              </w:rPr>
              <w:t>2、无正当理由，对我司常规性采购不能及时送货，每次扣3分；逐次累计扣分；</w:t>
            </w:r>
          </w:p>
          <w:p w14:paraId="078F3E05">
            <w:pPr>
              <w:spacing w:line="300" w:lineRule="exact"/>
              <w:rPr>
                <w:color w:val="auto"/>
                <w:highlight w:val="none"/>
              </w:rPr>
            </w:pPr>
            <w:r>
              <w:rPr>
                <w:rFonts w:hint="eastAsia"/>
                <w:color w:val="auto"/>
                <w:highlight w:val="none"/>
              </w:rPr>
              <w:t>3、无正当理由，对我司临时紧急性采购（紧急货物、围餐等）不能及时处理予以送货的，每次扣5分；逐次累计扣分；</w:t>
            </w:r>
          </w:p>
          <w:p w14:paraId="58B5AEC1">
            <w:pPr>
              <w:spacing w:line="300" w:lineRule="exact"/>
              <w:rPr>
                <w:color w:val="auto"/>
                <w:highlight w:val="none"/>
              </w:rPr>
            </w:pPr>
            <w:r>
              <w:rPr>
                <w:rFonts w:hint="eastAsia"/>
                <w:color w:val="auto"/>
                <w:highlight w:val="none"/>
              </w:rPr>
              <w:t>4、无正当理由拒绝送货；每次扣10分；逐次累计扣分；</w:t>
            </w:r>
          </w:p>
          <w:p w14:paraId="4F46FAA3">
            <w:pPr>
              <w:spacing w:line="300" w:lineRule="exact"/>
              <w:rPr>
                <w:color w:val="auto"/>
                <w:highlight w:val="none"/>
              </w:rPr>
            </w:pPr>
            <w:r>
              <w:rPr>
                <w:rFonts w:hint="eastAsia"/>
                <w:color w:val="auto"/>
                <w:highlight w:val="none"/>
              </w:rPr>
              <w:t>5、送货品种、数量与订单品种、数量不得超出5%的比例，超出范围内的每项次扣1分，有漏项的每件次扣3分。</w:t>
            </w:r>
          </w:p>
          <w:p w14:paraId="6A2D8CE6">
            <w:pPr>
              <w:spacing w:line="300" w:lineRule="exact"/>
              <w:rPr>
                <w:color w:val="auto"/>
                <w:highlight w:val="none"/>
              </w:rPr>
            </w:pPr>
            <w:r>
              <w:rPr>
                <w:rFonts w:hint="eastAsia"/>
                <w:color w:val="auto"/>
                <w:highlight w:val="none"/>
              </w:rPr>
              <w:t>注：每单项按此递增类推，超出单项扣分值的，从当月评估总得分中扣除相应分值。当天所有商品不提供送货的，当月考评不得分。</w:t>
            </w:r>
          </w:p>
        </w:tc>
        <w:tc>
          <w:tcPr>
            <w:tcW w:w="710" w:type="dxa"/>
            <w:gridSpan w:val="2"/>
            <w:tcBorders>
              <w:top w:val="single" w:color="auto" w:sz="4" w:space="0"/>
              <w:left w:val="single" w:color="auto" w:sz="4" w:space="0"/>
              <w:bottom w:val="single" w:color="auto" w:sz="4" w:space="0"/>
              <w:right w:val="single" w:color="auto" w:sz="4" w:space="0"/>
            </w:tcBorders>
            <w:noWrap w:val="0"/>
            <w:vAlign w:val="center"/>
          </w:tcPr>
          <w:p w14:paraId="49F20172">
            <w:pPr>
              <w:rPr>
                <w:color w:val="auto"/>
                <w:highlight w:val="none"/>
              </w:rPr>
            </w:pPr>
          </w:p>
        </w:tc>
      </w:tr>
      <w:tr w14:paraId="467B248F">
        <w:tblPrEx>
          <w:tblCellMar>
            <w:top w:w="0" w:type="dxa"/>
            <w:left w:w="108" w:type="dxa"/>
            <w:bottom w:w="0" w:type="dxa"/>
            <w:right w:w="108" w:type="dxa"/>
          </w:tblCellMar>
        </w:tblPrEx>
        <w:trPr>
          <w:trHeight w:val="2090" w:hRule="atLeast"/>
          <w:jc w:val="center"/>
        </w:trPr>
        <w:tc>
          <w:tcPr>
            <w:tcW w:w="404" w:type="dxa"/>
            <w:tcBorders>
              <w:top w:val="single" w:color="auto" w:sz="4" w:space="0"/>
              <w:left w:val="single" w:color="auto" w:sz="4" w:space="0"/>
              <w:bottom w:val="single" w:color="auto" w:sz="4" w:space="0"/>
              <w:right w:val="single" w:color="auto" w:sz="4" w:space="0"/>
            </w:tcBorders>
            <w:noWrap w:val="0"/>
            <w:vAlign w:val="center"/>
          </w:tcPr>
          <w:p w14:paraId="03D5AF8D">
            <w:pPr>
              <w:spacing w:line="300" w:lineRule="exact"/>
              <w:jc w:val="center"/>
              <w:rPr>
                <w:color w:val="auto"/>
                <w:highlight w:val="none"/>
              </w:rPr>
            </w:pPr>
            <w:r>
              <w:rPr>
                <w:rFonts w:hint="eastAsia"/>
                <w:color w:val="auto"/>
                <w:highlight w:val="none"/>
              </w:rPr>
              <w:t>4</w:t>
            </w:r>
          </w:p>
        </w:tc>
        <w:tc>
          <w:tcPr>
            <w:tcW w:w="1016" w:type="dxa"/>
            <w:tcBorders>
              <w:top w:val="single" w:color="auto" w:sz="4" w:space="0"/>
              <w:left w:val="nil"/>
              <w:bottom w:val="single" w:color="auto" w:sz="4" w:space="0"/>
              <w:right w:val="single" w:color="auto" w:sz="4" w:space="0"/>
            </w:tcBorders>
            <w:noWrap w:val="0"/>
            <w:vAlign w:val="center"/>
          </w:tcPr>
          <w:p w14:paraId="287459EF">
            <w:pPr>
              <w:spacing w:line="300" w:lineRule="exact"/>
              <w:jc w:val="center"/>
              <w:rPr>
                <w:color w:val="auto"/>
                <w:highlight w:val="none"/>
              </w:rPr>
            </w:pPr>
            <w:r>
              <w:rPr>
                <w:rFonts w:hint="eastAsia"/>
                <w:color w:val="auto"/>
                <w:highlight w:val="none"/>
              </w:rPr>
              <w:t>售后及服务态度</w:t>
            </w:r>
          </w:p>
        </w:tc>
        <w:tc>
          <w:tcPr>
            <w:tcW w:w="488" w:type="dxa"/>
            <w:tcBorders>
              <w:top w:val="single" w:color="auto" w:sz="4" w:space="0"/>
              <w:left w:val="nil"/>
              <w:bottom w:val="single" w:color="auto" w:sz="4" w:space="0"/>
              <w:right w:val="single" w:color="auto" w:sz="4" w:space="0"/>
            </w:tcBorders>
            <w:noWrap w:val="0"/>
            <w:vAlign w:val="center"/>
          </w:tcPr>
          <w:p w14:paraId="0C88A591">
            <w:pPr>
              <w:spacing w:line="300" w:lineRule="exact"/>
              <w:jc w:val="center"/>
              <w:rPr>
                <w:color w:val="auto"/>
                <w:highlight w:val="none"/>
              </w:rPr>
            </w:pPr>
            <w:r>
              <w:rPr>
                <w:rFonts w:hint="eastAsia"/>
                <w:color w:val="auto"/>
                <w:highlight w:val="none"/>
              </w:rPr>
              <w:t>20</w:t>
            </w:r>
          </w:p>
        </w:tc>
        <w:tc>
          <w:tcPr>
            <w:tcW w:w="3135" w:type="dxa"/>
            <w:tcBorders>
              <w:top w:val="single" w:color="auto" w:sz="4" w:space="0"/>
              <w:left w:val="nil"/>
              <w:bottom w:val="single" w:color="auto" w:sz="4" w:space="0"/>
              <w:right w:val="single" w:color="auto" w:sz="4" w:space="0"/>
            </w:tcBorders>
            <w:noWrap w:val="0"/>
            <w:vAlign w:val="center"/>
          </w:tcPr>
          <w:p w14:paraId="6B9B62B1">
            <w:pPr>
              <w:spacing w:line="300" w:lineRule="exact"/>
              <w:rPr>
                <w:color w:val="auto"/>
                <w:highlight w:val="none"/>
              </w:rPr>
            </w:pPr>
            <w:r>
              <w:rPr>
                <w:rFonts w:hint="eastAsia"/>
                <w:color w:val="auto"/>
                <w:highlight w:val="none"/>
              </w:rPr>
              <w:t>1、送货时，送货员服务态度良好，不因任何原因与我司人员发生口角或打架斗殴行为；</w:t>
            </w:r>
          </w:p>
          <w:p w14:paraId="6D32F957">
            <w:pPr>
              <w:spacing w:line="300" w:lineRule="exact"/>
              <w:rPr>
                <w:color w:val="auto"/>
                <w:highlight w:val="none"/>
              </w:rPr>
            </w:pPr>
            <w:r>
              <w:rPr>
                <w:rFonts w:hint="eastAsia"/>
                <w:color w:val="auto"/>
                <w:highlight w:val="none"/>
              </w:rPr>
              <w:t>2、对我司提出的供货不足方面能及时改进；</w:t>
            </w:r>
          </w:p>
          <w:p w14:paraId="17F1CB96">
            <w:pPr>
              <w:spacing w:line="300" w:lineRule="exact"/>
              <w:rPr>
                <w:color w:val="auto"/>
                <w:highlight w:val="none"/>
              </w:rPr>
            </w:pPr>
            <w:r>
              <w:rPr>
                <w:rFonts w:hint="eastAsia"/>
                <w:color w:val="auto"/>
                <w:highlight w:val="none"/>
              </w:rPr>
              <w:t>3、积极协助、及时办理签单、结算；</w:t>
            </w:r>
          </w:p>
          <w:p w14:paraId="7D3D92DD">
            <w:pPr>
              <w:spacing w:line="300" w:lineRule="exact"/>
              <w:rPr>
                <w:color w:val="auto"/>
                <w:highlight w:val="none"/>
              </w:rPr>
            </w:pPr>
            <w:r>
              <w:rPr>
                <w:rFonts w:hint="eastAsia"/>
                <w:color w:val="auto"/>
                <w:highlight w:val="none"/>
              </w:rPr>
              <w:t>4、不合格产品退货行动；</w:t>
            </w:r>
          </w:p>
          <w:p w14:paraId="7B66E16C">
            <w:pPr>
              <w:spacing w:line="300" w:lineRule="exact"/>
              <w:rPr>
                <w:color w:val="auto"/>
                <w:highlight w:val="none"/>
              </w:rPr>
            </w:pPr>
            <w:r>
              <w:rPr>
                <w:rFonts w:hint="eastAsia"/>
                <w:color w:val="auto"/>
                <w:highlight w:val="none"/>
              </w:rPr>
              <w:t>5、提供的食堂服务人员业务水平高，服务态度良好。</w:t>
            </w:r>
          </w:p>
        </w:tc>
        <w:tc>
          <w:tcPr>
            <w:tcW w:w="1276" w:type="dxa"/>
            <w:tcBorders>
              <w:top w:val="single" w:color="auto" w:sz="4" w:space="0"/>
              <w:left w:val="nil"/>
              <w:bottom w:val="single" w:color="auto" w:sz="4" w:space="0"/>
              <w:right w:val="single" w:color="auto" w:sz="4" w:space="0"/>
            </w:tcBorders>
            <w:noWrap w:val="0"/>
            <w:vAlign w:val="center"/>
          </w:tcPr>
          <w:p w14:paraId="41A6A811">
            <w:pPr>
              <w:spacing w:line="300" w:lineRule="exact"/>
              <w:jc w:val="center"/>
              <w:rPr>
                <w:color w:val="auto"/>
                <w:highlight w:val="none"/>
              </w:rPr>
            </w:pPr>
            <w:r>
              <w:rPr>
                <w:rFonts w:hint="eastAsia"/>
                <w:color w:val="auto"/>
                <w:highlight w:val="none"/>
              </w:rPr>
              <w:t>注明不合格原因，食堂负责人、货物验收人、</w:t>
            </w:r>
            <w:r>
              <w:rPr>
                <w:rFonts w:hint="eastAsia"/>
                <w:color w:val="auto"/>
                <w:highlight w:val="none"/>
                <w:lang w:eastAsia="zh-CN"/>
              </w:rPr>
              <w:t>投标人</w:t>
            </w:r>
            <w:r>
              <w:rPr>
                <w:rFonts w:hint="eastAsia"/>
                <w:color w:val="auto"/>
                <w:highlight w:val="none"/>
              </w:rPr>
              <w:t>三方签名。</w:t>
            </w:r>
          </w:p>
        </w:tc>
        <w:tc>
          <w:tcPr>
            <w:tcW w:w="7229" w:type="dxa"/>
            <w:tcBorders>
              <w:top w:val="single" w:color="auto" w:sz="4" w:space="0"/>
              <w:left w:val="nil"/>
              <w:bottom w:val="single" w:color="auto" w:sz="4" w:space="0"/>
              <w:right w:val="single" w:color="auto" w:sz="4" w:space="0"/>
            </w:tcBorders>
            <w:noWrap w:val="0"/>
            <w:vAlign w:val="center"/>
          </w:tcPr>
          <w:p w14:paraId="6837A618">
            <w:pPr>
              <w:spacing w:line="300" w:lineRule="exact"/>
              <w:rPr>
                <w:color w:val="auto"/>
                <w:highlight w:val="none"/>
              </w:rPr>
            </w:pPr>
            <w:r>
              <w:rPr>
                <w:rFonts w:hint="eastAsia"/>
                <w:color w:val="auto"/>
                <w:highlight w:val="none"/>
              </w:rPr>
              <w:t>1、送货时，</w:t>
            </w:r>
            <w:r>
              <w:rPr>
                <w:rFonts w:hint="eastAsia"/>
                <w:color w:val="auto"/>
                <w:highlight w:val="none"/>
                <w:lang w:eastAsia="zh-CN"/>
              </w:rPr>
              <w:t>投标人</w:t>
            </w:r>
            <w:r>
              <w:rPr>
                <w:rFonts w:hint="eastAsia"/>
                <w:color w:val="auto"/>
                <w:highlight w:val="none"/>
              </w:rPr>
              <w:t>送货员工服务态度恶劣，经查属实的每次扣5分，与我司人员发生打骂斗殴行为；经查属实的每次扣15分；</w:t>
            </w:r>
          </w:p>
          <w:p w14:paraId="683260BD">
            <w:pPr>
              <w:spacing w:line="300" w:lineRule="exact"/>
              <w:rPr>
                <w:color w:val="auto"/>
                <w:highlight w:val="none"/>
              </w:rPr>
            </w:pPr>
            <w:r>
              <w:rPr>
                <w:rFonts w:hint="eastAsia"/>
                <w:color w:val="auto"/>
                <w:highlight w:val="none"/>
              </w:rPr>
              <w:t>2、对我司提出的供货不足方面不能及时改进，每次扣3分，逐次累计扣分；</w:t>
            </w:r>
          </w:p>
          <w:p w14:paraId="6BFF742C">
            <w:pPr>
              <w:spacing w:line="300" w:lineRule="exact"/>
              <w:rPr>
                <w:color w:val="auto"/>
                <w:highlight w:val="none"/>
              </w:rPr>
            </w:pPr>
            <w:r>
              <w:rPr>
                <w:rFonts w:hint="eastAsia"/>
                <w:color w:val="auto"/>
                <w:highlight w:val="none"/>
              </w:rPr>
              <w:t>3、未按合同规定及时办理签单、结算工作，每次扣3分，逐次累计扣分；</w:t>
            </w:r>
          </w:p>
          <w:p w14:paraId="1DF983A7">
            <w:pPr>
              <w:spacing w:line="300" w:lineRule="exact"/>
              <w:rPr>
                <w:color w:val="auto"/>
                <w:highlight w:val="none"/>
              </w:rPr>
            </w:pPr>
            <w:r>
              <w:rPr>
                <w:rFonts w:hint="eastAsia"/>
                <w:color w:val="auto"/>
                <w:highlight w:val="none"/>
              </w:rPr>
              <w:t>4、无正当理由，未按食堂要求退换货时间退换货的每次扣5分，当天未完成退换货的扣5分，第二天扣10分，按此递增类推；</w:t>
            </w:r>
          </w:p>
          <w:p w14:paraId="3FE3217B">
            <w:pPr>
              <w:spacing w:line="300" w:lineRule="exact"/>
              <w:rPr>
                <w:color w:val="auto"/>
                <w:highlight w:val="none"/>
              </w:rPr>
            </w:pPr>
            <w:r>
              <w:rPr>
                <w:rFonts w:hint="eastAsia"/>
                <w:color w:val="auto"/>
                <w:highlight w:val="none"/>
              </w:rPr>
              <w:t>5、提供的食堂服务人员业务水平差，服务态度恶劣，经查属实的每次扣5分。</w:t>
            </w:r>
          </w:p>
          <w:p w14:paraId="21E7D610">
            <w:pPr>
              <w:spacing w:line="300" w:lineRule="exact"/>
              <w:rPr>
                <w:color w:val="auto"/>
                <w:highlight w:val="none"/>
              </w:rPr>
            </w:pPr>
            <w:r>
              <w:rPr>
                <w:rFonts w:hint="eastAsia"/>
                <w:color w:val="auto"/>
                <w:highlight w:val="none"/>
              </w:rPr>
              <w:t>注：每单项按此递增类推，超出单项扣分值的，从当月评估总得分中扣除相应分值。</w:t>
            </w:r>
          </w:p>
        </w:tc>
        <w:tc>
          <w:tcPr>
            <w:tcW w:w="710" w:type="dxa"/>
            <w:gridSpan w:val="2"/>
            <w:tcBorders>
              <w:top w:val="single" w:color="auto" w:sz="4" w:space="0"/>
              <w:left w:val="nil"/>
              <w:bottom w:val="single" w:color="auto" w:sz="4" w:space="0"/>
              <w:right w:val="single" w:color="auto" w:sz="4" w:space="0"/>
            </w:tcBorders>
            <w:noWrap w:val="0"/>
            <w:vAlign w:val="center"/>
          </w:tcPr>
          <w:p w14:paraId="360D88A0">
            <w:pPr>
              <w:rPr>
                <w:color w:val="auto"/>
                <w:highlight w:val="none"/>
              </w:rPr>
            </w:pPr>
          </w:p>
        </w:tc>
      </w:tr>
      <w:tr w14:paraId="63FF12B3">
        <w:tblPrEx>
          <w:tblCellMar>
            <w:top w:w="0" w:type="dxa"/>
            <w:left w:w="108" w:type="dxa"/>
            <w:bottom w:w="0" w:type="dxa"/>
            <w:right w:w="108" w:type="dxa"/>
          </w:tblCellMar>
        </w:tblPrEx>
        <w:trPr>
          <w:gridAfter w:val="1"/>
          <w:wAfter w:w="143" w:type="dxa"/>
          <w:trHeight w:val="285" w:hRule="atLeast"/>
          <w:jc w:val="center"/>
        </w:trPr>
        <w:tc>
          <w:tcPr>
            <w:tcW w:w="14115" w:type="dxa"/>
            <w:gridSpan w:val="7"/>
            <w:tcBorders>
              <w:top w:val="nil"/>
              <w:left w:val="nil"/>
              <w:bottom w:val="nil"/>
              <w:right w:val="nil"/>
            </w:tcBorders>
            <w:noWrap w:val="0"/>
            <w:vAlign w:val="center"/>
          </w:tcPr>
          <w:p w14:paraId="2E5CA3D6">
            <w:pPr>
              <w:spacing w:line="260" w:lineRule="exact"/>
              <w:rPr>
                <w:color w:val="auto"/>
                <w:highlight w:val="none"/>
              </w:rPr>
            </w:pPr>
            <w:r>
              <w:rPr>
                <w:rFonts w:hint="eastAsia"/>
                <w:color w:val="auto"/>
                <w:highlight w:val="none"/>
              </w:rPr>
              <w:t>备注：1、评选项目是以扣分计算，若扣满该评选项目分值后，所产生的相应扣除分值从所有项目最后得分（总分）中进行扣除。</w:t>
            </w:r>
          </w:p>
        </w:tc>
      </w:tr>
      <w:tr w14:paraId="47B33B89">
        <w:tblPrEx>
          <w:tblCellMar>
            <w:top w:w="0" w:type="dxa"/>
            <w:left w:w="108" w:type="dxa"/>
            <w:bottom w:w="0" w:type="dxa"/>
            <w:right w:w="108" w:type="dxa"/>
          </w:tblCellMar>
        </w:tblPrEx>
        <w:trPr>
          <w:gridAfter w:val="1"/>
          <w:wAfter w:w="143" w:type="dxa"/>
          <w:trHeight w:val="285" w:hRule="atLeast"/>
          <w:jc w:val="center"/>
        </w:trPr>
        <w:tc>
          <w:tcPr>
            <w:tcW w:w="14115" w:type="dxa"/>
            <w:gridSpan w:val="7"/>
            <w:tcBorders>
              <w:top w:val="nil"/>
              <w:left w:val="nil"/>
              <w:bottom w:val="nil"/>
              <w:right w:val="nil"/>
            </w:tcBorders>
            <w:noWrap w:val="0"/>
            <w:vAlign w:val="center"/>
          </w:tcPr>
          <w:p w14:paraId="511A0D09">
            <w:pPr>
              <w:spacing w:line="260" w:lineRule="exact"/>
              <w:ind w:firstLine="642" w:firstLineChars="300"/>
              <w:rPr>
                <w:color w:val="auto"/>
                <w:highlight w:val="none"/>
              </w:rPr>
            </w:pPr>
            <w:r>
              <w:rPr>
                <w:rFonts w:hint="eastAsia"/>
                <w:color w:val="auto"/>
                <w:highlight w:val="none"/>
              </w:rPr>
              <w:t>2、评估提供的所有纸质记录文件必须有食堂和</w:t>
            </w:r>
            <w:r>
              <w:rPr>
                <w:rFonts w:hint="eastAsia"/>
                <w:color w:val="auto"/>
                <w:highlight w:val="none"/>
                <w:lang w:eastAsia="zh-CN"/>
              </w:rPr>
              <w:t>投标人</w:t>
            </w:r>
            <w:r>
              <w:rPr>
                <w:rFonts w:hint="eastAsia"/>
                <w:color w:val="auto"/>
                <w:highlight w:val="none"/>
              </w:rPr>
              <w:t>的签名才能作为评估依据；最后得分（含加分）总分不得超过100分。</w:t>
            </w:r>
          </w:p>
        </w:tc>
      </w:tr>
    </w:tbl>
    <w:p w14:paraId="5156C126">
      <w:pPr>
        <w:spacing w:line="260" w:lineRule="exact"/>
        <w:rPr>
          <w:rFonts w:hint="eastAsia"/>
          <w:color w:val="auto"/>
          <w:highlight w:val="none"/>
        </w:rPr>
      </w:pPr>
    </w:p>
    <w:p w14:paraId="62065138">
      <w:pPr>
        <w:spacing w:line="260" w:lineRule="exact"/>
        <w:rPr>
          <w:color w:val="auto"/>
          <w:highlight w:val="none"/>
        </w:rPr>
      </w:pPr>
      <w:r>
        <w:rPr>
          <w:rFonts w:hint="eastAsia"/>
          <w:color w:val="auto"/>
          <w:highlight w:val="none"/>
        </w:rPr>
        <w:t>评分等级：</w:t>
      </w:r>
    </w:p>
    <w:p w14:paraId="739983FA">
      <w:pPr>
        <w:spacing w:line="260" w:lineRule="exact"/>
        <w:rPr>
          <w:color w:val="auto"/>
          <w:highlight w:val="none"/>
        </w:rPr>
      </w:pPr>
      <w:r>
        <w:rPr>
          <w:rFonts w:hint="eastAsia"/>
          <w:color w:val="auto"/>
          <w:highlight w:val="none"/>
        </w:rPr>
        <w:t>1、总分得分【90-100】分者为优秀，继续维持良好服务水平。</w:t>
      </w:r>
    </w:p>
    <w:p w14:paraId="148CFAE0">
      <w:pPr>
        <w:spacing w:line="260" w:lineRule="exact"/>
        <w:rPr>
          <w:color w:val="auto"/>
          <w:highlight w:val="none"/>
        </w:rPr>
      </w:pPr>
      <w:r>
        <w:rPr>
          <w:rFonts w:hint="eastAsia"/>
          <w:color w:val="auto"/>
          <w:highlight w:val="none"/>
        </w:rPr>
        <w:t>2、总分得分【80-90】分者为良好，配送管理工作小组提出改进意见。</w:t>
      </w:r>
    </w:p>
    <w:p w14:paraId="2A3767EB">
      <w:pPr>
        <w:spacing w:line="260" w:lineRule="exact"/>
        <w:rPr>
          <w:color w:val="auto"/>
          <w:highlight w:val="none"/>
        </w:rPr>
      </w:pPr>
      <w:r>
        <w:rPr>
          <w:rFonts w:hint="eastAsia"/>
          <w:color w:val="auto"/>
          <w:highlight w:val="none"/>
        </w:rPr>
        <w:t>3、总分得分【70-80】分者为合格，配送管理工作小组</w:t>
      </w:r>
      <w:r>
        <w:rPr>
          <w:color w:val="auto"/>
          <w:highlight w:val="none"/>
        </w:rPr>
        <w:t>发整改通知</w:t>
      </w:r>
      <w:r>
        <w:rPr>
          <w:rFonts w:hint="eastAsia"/>
          <w:color w:val="auto"/>
          <w:highlight w:val="none"/>
        </w:rPr>
        <w:t>，若下个月评估仍未达到良好及以上，配送管理工作小组发警告函，限期整改，并</w:t>
      </w:r>
      <w:r>
        <w:rPr>
          <w:color w:val="auto"/>
          <w:highlight w:val="none"/>
        </w:rPr>
        <w:t>扣除履约保证金总额</w:t>
      </w:r>
      <w:r>
        <w:rPr>
          <w:rFonts w:hint="eastAsia"/>
          <w:color w:val="auto"/>
          <w:highlight w:val="none"/>
        </w:rPr>
        <w:t>的5</w:t>
      </w:r>
      <w:r>
        <w:rPr>
          <w:color w:val="auto"/>
          <w:highlight w:val="none"/>
        </w:rPr>
        <w:t>%</w:t>
      </w:r>
      <w:r>
        <w:rPr>
          <w:rFonts w:hint="eastAsia"/>
          <w:color w:val="auto"/>
          <w:highlight w:val="none"/>
        </w:rPr>
        <w:t>。</w:t>
      </w:r>
    </w:p>
    <w:p w14:paraId="4807CDD3">
      <w:pPr>
        <w:spacing w:line="260" w:lineRule="exact"/>
        <w:rPr>
          <w:color w:val="auto"/>
          <w:highlight w:val="none"/>
        </w:rPr>
      </w:pPr>
      <w:r>
        <w:rPr>
          <w:rFonts w:hint="eastAsia"/>
          <w:color w:val="auto"/>
          <w:highlight w:val="none"/>
        </w:rPr>
        <w:t>4、总分得分【60-70】分者为基本合格，配送管理工作小组发警告函，限期整改，并</w:t>
      </w:r>
      <w:r>
        <w:rPr>
          <w:color w:val="auto"/>
          <w:highlight w:val="none"/>
        </w:rPr>
        <w:t>扣除履约保证金总额</w:t>
      </w:r>
      <w:r>
        <w:rPr>
          <w:rFonts w:hint="eastAsia"/>
          <w:color w:val="auto"/>
          <w:highlight w:val="none"/>
        </w:rPr>
        <w:t>的5</w:t>
      </w:r>
      <w:r>
        <w:rPr>
          <w:color w:val="auto"/>
          <w:highlight w:val="none"/>
        </w:rPr>
        <w:t>%</w:t>
      </w:r>
      <w:r>
        <w:rPr>
          <w:rFonts w:hint="eastAsia"/>
          <w:color w:val="auto"/>
          <w:highlight w:val="none"/>
        </w:rPr>
        <w:t>。连续两次或累计三次评估为基本合格，</w:t>
      </w:r>
      <w:r>
        <w:rPr>
          <w:color w:val="auto"/>
          <w:highlight w:val="none"/>
        </w:rPr>
        <w:t>甲方有权提出终止</w:t>
      </w:r>
      <w:r>
        <w:rPr>
          <w:rFonts w:hint="eastAsia"/>
          <w:color w:val="auto"/>
          <w:highlight w:val="none"/>
          <w:lang w:val="en-US" w:eastAsia="zh-CN"/>
        </w:rPr>
        <w:t>合同</w:t>
      </w:r>
      <w:r>
        <w:rPr>
          <w:color w:val="auto"/>
          <w:highlight w:val="none"/>
        </w:rPr>
        <w:t>和使用其它备选</w:t>
      </w:r>
      <w:r>
        <w:rPr>
          <w:rFonts w:hint="eastAsia"/>
          <w:color w:val="auto"/>
          <w:highlight w:val="none"/>
          <w:lang w:eastAsia="zh-CN"/>
        </w:rPr>
        <w:t>投标人</w:t>
      </w:r>
      <w:r>
        <w:rPr>
          <w:rFonts w:hint="eastAsia"/>
          <w:color w:val="auto"/>
          <w:highlight w:val="none"/>
        </w:rPr>
        <w:t>，按合同违约处理。</w:t>
      </w:r>
    </w:p>
    <w:p w14:paraId="2957EBE9">
      <w:pPr>
        <w:spacing w:line="260" w:lineRule="exact"/>
        <w:rPr>
          <w:color w:val="auto"/>
          <w:highlight w:val="none"/>
        </w:rPr>
      </w:pPr>
      <w:r>
        <w:rPr>
          <w:rFonts w:hint="eastAsia"/>
          <w:color w:val="auto"/>
          <w:highlight w:val="none"/>
        </w:rPr>
        <w:t>5、连续三次总分得60分以下者为不合格，甲方有权提出终止</w:t>
      </w:r>
      <w:r>
        <w:rPr>
          <w:rFonts w:hint="eastAsia"/>
          <w:color w:val="auto"/>
          <w:highlight w:val="none"/>
          <w:lang w:val="en-US" w:eastAsia="zh-CN"/>
        </w:rPr>
        <w:t>合同</w:t>
      </w:r>
      <w:r>
        <w:rPr>
          <w:rFonts w:hint="eastAsia"/>
          <w:color w:val="auto"/>
          <w:highlight w:val="none"/>
        </w:rPr>
        <w:t>和使用其它备选</w:t>
      </w:r>
      <w:r>
        <w:rPr>
          <w:rFonts w:hint="eastAsia"/>
          <w:color w:val="auto"/>
          <w:highlight w:val="none"/>
          <w:lang w:eastAsia="zh-CN"/>
        </w:rPr>
        <w:t>投标人</w:t>
      </w:r>
      <w:r>
        <w:rPr>
          <w:rFonts w:hint="eastAsia"/>
          <w:color w:val="auto"/>
          <w:highlight w:val="none"/>
        </w:rPr>
        <w:t>，按合同违约处理。</w:t>
      </w:r>
    </w:p>
    <w:p w14:paraId="3D56933E">
      <w:pPr>
        <w:spacing w:line="260" w:lineRule="exact"/>
        <w:rPr>
          <w:rFonts w:hint="eastAsia"/>
          <w:color w:val="auto"/>
          <w:highlight w:val="none"/>
        </w:rPr>
      </w:pPr>
    </w:p>
    <w:p w14:paraId="5BF921E8">
      <w:pPr>
        <w:spacing w:line="260" w:lineRule="exact"/>
        <w:rPr>
          <w:rFonts w:hint="eastAsia"/>
          <w:color w:val="auto"/>
          <w:highlight w:val="none"/>
        </w:rPr>
      </w:pPr>
    </w:p>
    <w:p w14:paraId="39FE2E56">
      <w:pPr>
        <w:spacing w:line="260" w:lineRule="exact"/>
        <w:rPr>
          <w:color w:val="auto"/>
          <w:highlight w:val="none"/>
        </w:rPr>
      </w:pPr>
      <w:r>
        <w:rPr>
          <w:rFonts w:hint="eastAsia"/>
          <w:color w:val="auto"/>
          <w:highlight w:val="none"/>
        </w:rPr>
        <w:t>评估小组：                                  评估时间：                                  办公室审批：</w:t>
      </w:r>
    </w:p>
    <w:p w14:paraId="379E628D">
      <w:pPr>
        <w:rPr>
          <w:rFonts w:hint="eastAsia"/>
          <w:color w:val="auto"/>
        </w:rPr>
      </w:pPr>
    </w:p>
    <w:p w14:paraId="6B3E0D2B">
      <w:pPr>
        <w:pStyle w:val="3"/>
        <w:rPr>
          <w:rFonts w:hint="eastAsia"/>
          <w:color w:val="auto"/>
        </w:rPr>
      </w:pPr>
    </w:p>
    <w:p w14:paraId="3F44E647">
      <w:pPr>
        <w:pStyle w:val="37"/>
        <w:ind w:left="0" w:leftChars="0" w:firstLine="0" w:firstLineChars="0"/>
        <w:rPr>
          <w:rFonts w:hint="eastAsia"/>
          <w:color w:val="auto"/>
        </w:rPr>
      </w:pPr>
    </w:p>
    <w:p w14:paraId="3A467070">
      <w:pPr>
        <w:pStyle w:val="37"/>
        <w:ind w:left="0" w:leftChars="0" w:firstLine="0" w:firstLineChars="0"/>
        <w:rPr>
          <w:rFonts w:hint="eastAsia"/>
          <w:color w:val="auto"/>
        </w:rPr>
        <w:sectPr>
          <w:headerReference r:id="rId6" w:type="default"/>
          <w:footerReference r:id="rId7" w:type="default"/>
          <w:pgSz w:w="16838" w:h="11906" w:orient="landscape"/>
          <w:pgMar w:top="1080" w:right="1440" w:bottom="1080" w:left="1440" w:header="851" w:footer="992" w:gutter="0"/>
          <w:pgNumType w:fmt="decimal"/>
          <w:cols w:space="720" w:num="1"/>
          <w:docGrid w:type="linesAndChars" w:linePitch="322" w:charSpace="1004"/>
        </w:sectPr>
      </w:pPr>
    </w:p>
    <w:p w14:paraId="6107D9C2">
      <w:pPr>
        <w:wordWrap w:val="0"/>
        <w:spacing w:before="162" w:beforeLines="50" w:after="162" w:afterLines="50" w:line="360" w:lineRule="exact"/>
        <w:rPr>
          <w:rFonts w:hint="eastAsia" w:eastAsia="宋体"/>
          <w:b w:val="0"/>
          <w:bCs/>
          <w:color w:val="auto"/>
          <w:sz w:val="22"/>
          <w:szCs w:val="22"/>
          <w:highlight w:val="none"/>
        </w:rPr>
      </w:pPr>
      <w:r>
        <w:rPr>
          <w:rFonts w:hint="eastAsia" w:eastAsia="宋体"/>
          <w:b w:val="0"/>
          <w:bCs/>
          <w:color w:val="auto"/>
          <w:sz w:val="22"/>
          <w:szCs w:val="22"/>
          <w:highlight w:val="none"/>
        </w:rPr>
        <w:t>附件3：</w:t>
      </w:r>
    </w:p>
    <w:p w14:paraId="55B623F7">
      <w:pPr>
        <w:wordWrap w:val="0"/>
        <w:spacing w:before="162" w:beforeLines="50" w:after="162" w:afterLines="50" w:line="360" w:lineRule="exac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一、供货要求</w:t>
      </w:r>
    </w:p>
    <w:p w14:paraId="678D995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1.1采购清单</w:t>
      </w:r>
    </w:p>
    <w:p w14:paraId="1027C92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采购清单无具体明细，</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有义务书面向采购人进行报价，报价必须按照本项目定价原则进行（即满足用户需求书的定价原则），待采购人同意后进行供货。</w:t>
      </w:r>
    </w:p>
    <w:p w14:paraId="46AAB1A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1.2技术服务要求</w:t>
      </w:r>
    </w:p>
    <w:p w14:paraId="71D036D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不得将中标项目转让或分包给他人，否则采购人有权单方终止合同,由此产生的一切经济损失由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w:t>
      </w:r>
    </w:p>
    <w:p w14:paraId="1DD15F5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在合同履行期间内保证对采购人的货物供应，中标后不得拒绝采购人分配的任务。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在服务期内没能达到响应文件承诺的服务要求的，或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未按要求履行合同义务时，或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的资质在服务期内发生变化不再符合要求的，采购人均有权单方面终止合同,由此产生的一切经济损失由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w:t>
      </w:r>
    </w:p>
    <w:p w14:paraId="23915A0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提供的货物须服从采购人的监督、管理。</w:t>
      </w:r>
    </w:p>
    <w:p w14:paraId="3E4C3E9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应能够配合采购人及时更新所提供的符合卫监部门的有效证明材料。如有效的营业执照、食品生产许可证或食品流通许可证、产品合格证等。</w:t>
      </w:r>
    </w:p>
    <w:p w14:paraId="1A3C615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（1）其中肉类产品合格证包括但不限于：</w:t>
      </w:r>
    </w:p>
    <w:p w14:paraId="7E5C6A9E">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1）鲜猪肉等—分割肉销售凭据、动物防疫合格证；</w:t>
      </w:r>
    </w:p>
    <w:p w14:paraId="133DD1D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2）鲜牛肉等—畜产品检验合格证；</w:t>
      </w:r>
    </w:p>
    <w:p w14:paraId="0256591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3）冻肉—动物防疫合格证；</w:t>
      </w:r>
    </w:p>
    <w:p w14:paraId="3D71942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4）三鸟—动物防疫合格证。</w:t>
      </w:r>
    </w:p>
    <w:p w14:paraId="7AC4D14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获得本项目的供货资格并不意味拥有业务保障，</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在合同履行期间，采购人可根据采购及业务发展需要，可通过招标适当增补其他专业类别的供货商，采购人无需通知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且不予任何补偿。</w:t>
      </w:r>
    </w:p>
    <w:p w14:paraId="7A2EA64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应当制定因食材中毒或者其他食源性疾患，以及因交通、天气等原因不能按时送达食材等突发事件的应急预案，确保采购人及时得到食材供应。</w:t>
      </w:r>
    </w:p>
    <w:p w14:paraId="1E55D08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须严格按照采购人的指令配送食材的数量，不得随意增减数量，否则采购人有权拒收。如因市场流通问题确实需要变更的，应事先书面申请，并经采购人同意后方可改变。</w:t>
      </w:r>
    </w:p>
    <w:p w14:paraId="7FCF446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1.2.8、除客观不可抗力外，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不得更改配送货物内容。如确需变更供货内容的，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应在得知情况的同时告知采购人并征得采购人的同意，经发现</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有私自更改供货内容时以违约论处，由此产生的一切损失和费用由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0AC9613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必须在当天早上6点30分前将采购的食品送至采购人指定地点，否则此项月度考评将会被扣分，且每次采购人在其当月货款扣除1000元。</w:t>
      </w:r>
    </w:p>
    <w:p w14:paraId="0F584EF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1.2.10、</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不能提供与其承诺相符的服务或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存在违反采购文件和合同的行为，并且不予纠正的或纠正后仍无法达到相应要求的，采购人有权解除合同。此项下违约责任包括但不限于下列各项：</w:t>
      </w:r>
    </w:p>
    <w:p w14:paraId="0625453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在收到采购人订货要求后，在承诺的供货时间内不能供货的；</w:t>
      </w:r>
    </w:p>
    <w:p w14:paraId="188161D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未能提供承诺的服务的。</w:t>
      </w:r>
    </w:p>
    <w:p w14:paraId="66CE5FEE">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所提供的货物在保质期出现损坏或变质的，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应承诺提供替换服务，因替换货物产生的费用由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3FEE77E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指定的送货人员必须穿着便于辨认的工衣和配戴胸卡，送货人员行为必须严格遵守采购人各项规章制度，不得做出有损采购人形象和利益的事情。</w:t>
      </w:r>
    </w:p>
    <w:p w14:paraId="01CA531E">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在供应过程中，如果发生出现质量问题或造成食物中毒,如变质等情况，经查实后确属</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应承担全部责任，主要包括食物中 毒人员医疗费、误工费、事故处理费等。采购人将不退还履约保证金并终止合同，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同时需承担相应的民事或刑事法律责任。</w:t>
      </w:r>
    </w:p>
    <w:p w14:paraId="24FBEB9D">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1.2.14、因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违法经营被行政主管部门处以停业整顿或取缔、或因经营不善造成不能正常提供食材的，采购人不退还全部履约保证金，并终止其合同关系。</w:t>
      </w:r>
    </w:p>
    <w:p w14:paraId="0A735EB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1.2.15、食材加工要求：</w:t>
      </w:r>
    </w:p>
    <w:p w14:paraId="70FD443E">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（1）食材加工范围：包含但不限于切骨加工、鱼类去鳞加工、禽畜去头尾加工、大型瓜果（如：冬瓜等）去表皮等，具体按照采购人要求。</w:t>
      </w:r>
    </w:p>
    <w:p w14:paraId="40316F9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（2）食材加工形式：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派遣足够加工人员到采购人现场进行食材加工，加工人员应随食材同时到达采购人指定收货地点。所有加工刀具设备由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自行准备，采购人只提供有限水源、电源等基本设施。</w:t>
      </w:r>
    </w:p>
    <w:p w14:paraId="1693788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（3）食材加工时间：每次食材加工时间（完成当次送达的食材加工）不超过2小时。</w:t>
      </w:r>
    </w:p>
    <w:p w14:paraId="722B78C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1.2.16、</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为食品公共安全购买食品公共安全责任保险。</w:t>
      </w:r>
    </w:p>
    <w:p w14:paraId="262C835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1.3货物质量及运输要求</w:t>
      </w:r>
    </w:p>
    <w:p w14:paraId="23B1602B">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1.3.1、肉类（含生鲜肉、冻肉）、水产类、水果及油米质量要求</w:t>
      </w:r>
    </w:p>
    <w:p w14:paraId="1654493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供应产品质量要求:</w:t>
      </w:r>
    </w:p>
    <w:p w14:paraId="28FC4A4D">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1.3.1.1、所供货物应保持较好的外观和质量等级，符合国家食品部门的有关标准，保证无异味、无霉烂变质；</w:t>
      </w:r>
    </w:p>
    <w:p w14:paraId="5F23A40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1.3.1.2、所有货物必须各项质量技术指标完全符合国家有关质量检测、环保标准及产品出厂标准。</w:t>
      </w:r>
    </w:p>
    <w:p w14:paraId="192979B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1.3.1.3、每批鲜猪肉、猪骨、牛肉等肉类必须是来源于正规肉屠宰场，每次交货时提供本批次产品的出厂（库）检验合格证明（随车同行）：《产品合格证》、《卫生检疫报告》。新鲜肉确保每日新鲜，为当天正规屠宰场宰杀的新鲜肉。每批鲜肉也可以是政府指定的肉联厂发出的鲜肉并提供动物检疫合格证复印件（验收货物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需应采购人要求提供原件以备检查），并注明保鲜期。</w:t>
      </w:r>
    </w:p>
    <w:p w14:paraId="18BDCEF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提供的新鲜鱼类必须以活鱼交由采购人验收。如采购人有要求，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须指派人员在验收现场进行屠宰。</w:t>
      </w:r>
    </w:p>
    <w:p w14:paraId="34FBBB9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1.3.1.5、冷冻禽类食品解冻后净重量不少于90％（含），冷冻肉类食品解冻后净重量不少于 92%（含），冷冻水产类食品解冻后净重量不少于82%（含），解冻时间为 4 小时以内（室温20℃）。所有冷冻食品要求清晰列出产品品牌、规格、类型、包装方式、包装净重、含冰量、生产日期、保质期等相关参数，有使用有效期的货品，其剩余有效期不得少于标注有效期的60%。</w:t>
      </w:r>
    </w:p>
    <w:p w14:paraId="5B644D8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1.3.1.6、生猪（毛猪）具体要求</w:t>
      </w:r>
    </w:p>
    <w:p w14:paraId="399BDF6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（1）必须符合国家有关动物检验、检疫标准，不含瘦肉精，无哮喘、无烂猪蹄、无外伤等伤病的健康生猪；</w:t>
      </w:r>
    </w:p>
    <w:p w14:paraId="6DB322E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（2）每只体重介于180-220斤之间；</w:t>
      </w:r>
    </w:p>
    <w:p w14:paraId="462BFAD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（3）若为母猪，必须为未产崽的；</w:t>
      </w:r>
    </w:p>
    <w:p w14:paraId="03C35A8D">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（4）每批次产品必须具有有效的《出县境动物产品检疫合格证》/《动物产品检疫合格证》。</w:t>
      </w:r>
    </w:p>
    <w:p w14:paraId="4883AA2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1.3.1.7、水产类的品质要求:</w:t>
      </w:r>
    </w:p>
    <w:p w14:paraId="503C602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（1）鲜鱼鳞片完整，有光泽无脱落，鳃口紧闭，眼球光亮透明，鱼鳃鲜红，鳍尾完 整，确保皮肤天然色泽明显。</w:t>
      </w:r>
    </w:p>
    <w:p w14:paraId="55E3EB7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（2）鱼体饱满结实、新鲜，无腐异味，肉质紧密有弹性，无离骨脱刺现象。</w:t>
      </w:r>
    </w:p>
    <w:p w14:paraId="6E991A4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（3）鲜鱼类来源可靠放心，无毒、无害、无污染。</w:t>
      </w:r>
    </w:p>
    <w:p w14:paraId="0407E9C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（4）鲜活类要求游动活泼，鱼体健康，体态匀称，体色鲜明，体表光滑，眼睛亮丽， 鳞片鳍条完好。</w:t>
      </w:r>
    </w:p>
    <w:p w14:paraId="79AEE4E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1.3.1.8、所有的肉类为非转基因食品。</w:t>
      </w:r>
    </w:p>
    <w:p w14:paraId="2275DC4B">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1.3.1.9、食品供应链要求：所有提供的货物必须具有可溯源的合法票证。</w:t>
      </w:r>
    </w:p>
    <w:p w14:paraId="39AB7ED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1.3.1.10、</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或其长期合作方须具有肉菜加工车间，车间设计与设施的卫生符合《食品安全国家标准 畜禽屠宰加工卫生规范》GB 12694-2016</w:t>
      </w:r>
    </w:p>
    <w:p w14:paraId="494851B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1.3.2、蔬菜质量要求</w:t>
      </w:r>
    </w:p>
    <w:p w14:paraId="723C135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每天的供应按采购人提出的品种要求和计划数量进行供应。属季节问题，若出现品种不能满足采购人需求的情况，可与采购人协商调换相应类别的品种（按叶菜、瓜菜等进行分类）。</w:t>
      </w:r>
    </w:p>
    <w:p w14:paraId="76DF0D87">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1.3.2.2、货物质量要求</w:t>
      </w:r>
    </w:p>
    <w:p w14:paraId="4979CB9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（1)所有蔬菜在交付采购人前必须经过前期处理，使用率达到95%（含）以上。</w:t>
      </w:r>
    </w:p>
    <w:p w14:paraId="1DD7A4F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（2）所有的蔬菜为非转基因。所有蔬菜必须保证每日新鲜，且取得无公害认证优先选择，符合食品卫生安全法要求并出具有效的《农产品检验报告》，如含量超标要求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无条件退货或换货。</w:t>
      </w:r>
    </w:p>
    <w:p w14:paraId="63DB85E2">
      <w:pPr>
        <w:wordWrap w:val="0"/>
        <w:spacing w:before="162" w:beforeLines="50" w:after="162" w:afterLines="50" w:line="360" w:lineRule="exact"/>
        <w:ind w:firstLine="399" w:firstLineChars="19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272631BD">
      <w:pPr>
        <w:spacing w:line="44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蔬菜新鲜度的标准</w:t>
      </w:r>
    </w:p>
    <w:tbl>
      <w:tblPr>
        <w:tblStyle w:val="27"/>
        <w:tblW w:w="8736" w:type="dxa"/>
        <w:jc w:val="center"/>
        <w:tblLayout w:type="fixed"/>
        <w:tblCellMar>
          <w:top w:w="0" w:type="dxa"/>
          <w:left w:w="108" w:type="dxa"/>
          <w:bottom w:w="0" w:type="dxa"/>
          <w:right w:w="108" w:type="dxa"/>
        </w:tblCellMar>
      </w:tblPr>
      <w:tblGrid>
        <w:gridCol w:w="1455"/>
        <w:gridCol w:w="7281"/>
      </w:tblGrid>
      <w:tr w14:paraId="34C5ED9F">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42A3BAB8">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623D5C22">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标准</w:t>
            </w:r>
          </w:p>
        </w:tc>
      </w:tr>
      <w:tr w14:paraId="55F9074D">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3D44BCDA">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水量</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1031E0D5">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充足、但无过份萎蔫、皱皮。</w:t>
            </w:r>
          </w:p>
        </w:tc>
      </w:tr>
      <w:tr w14:paraId="5EAD0016">
        <w:tblPrEx>
          <w:tblCellMar>
            <w:top w:w="0" w:type="dxa"/>
            <w:left w:w="108" w:type="dxa"/>
            <w:bottom w:w="0" w:type="dxa"/>
            <w:right w:w="108" w:type="dxa"/>
          </w:tblCellMar>
        </w:tblPrEx>
        <w:trPr>
          <w:trHeight w:val="57" w:hRule="atLeast"/>
          <w:jc w:val="center"/>
        </w:trPr>
        <w:tc>
          <w:tcPr>
            <w:tcW w:w="1455" w:type="dxa"/>
            <w:tcBorders>
              <w:top w:val="single" w:color="000000" w:sz="8" w:space="0"/>
              <w:left w:val="single" w:color="000000" w:sz="4" w:space="0"/>
              <w:bottom w:val="single" w:color="000000" w:sz="4" w:space="0"/>
              <w:right w:val="single" w:color="000000" w:sz="4" w:space="0"/>
            </w:tcBorders>
            <w:noWrap w:val="0"/>
            <w:vAlign w:val="top"/>
          </w:tcPr>
          <w:p w14:paraId="42130F30">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w:t>
            </w:r>
          </w:p>
        </w:tc>
        <w:tc>
          <w:tcPr>
            <w:tcW w:w="7281" w:type="dxa"/>
            <w:tcBorders>
              <w:top w:val="single" w:color="000000" w:sz="8" w:space="0"/>
              <w:left w:val="single" w:color="000000" w:sz="4" w:space="0"/>
              <w:bottom w:val="single" w:color="000000" w:sz="4" w:space="0"/>
              <w:right w:val="single" w:color="000000" w:sz="4" w:space="0"/>
            </w:tcBorders>
            <w:noWrap w:val="0"/>
            <w:vAlign w:val="top"/>
          </w:tcPr>
          <w:p w14:paraId="16B3DDF9">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正常、无变色、光泽、学亮鲜艳。</w:t>
            </w:r>
          </w:p>
        </w:tc>
      </w:tr>
      <w:tr w14:paraId="0AC80ACB">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3C51BFF6">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硬度</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5E5CF49F">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叶菜挺立、瓜菜饱满、结实、无空心、根菜略硬。</w:t>
            </w:r>
          </w:p>
        </w:tc>
      </w:tr>
      <w:tr w14:paraId="401F7F57">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D9FD272">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机械伤</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39C7F680">
            <w:pPr>
              <w:pStyle w:val="79"/>
              <w:kinsoku w:val="0"/>
              <w:overflowPunct w:val="0"/>
              <w:spacing w:line="440" w:lineRule="exact"/>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相同新鲜条件下无外力造成伤害：挤伤、压伤、碰伤切口、</w:t>
            </w:r>
            <w:r>
              <w:rPr>
                <w:rFonts w:hint="eastAsia" w:ascii="宋体" w:hAnsi="宋体" w:eastAsia="宋体" w:cs="宋体"/>
                <w:color w:val="auto"/>
                <w:sz w:val="21"/>
                <w:szCs w:val="21"/>
                <w:highlight w:val="none"/>
                <w:lang w:eastAsia="zh-CN"/>
              </w:rPr>
              <w:t>裂伤等。</w:t>
            </w:r>
          </w:p>
        </w:tc>
      </w:tr>
      <w:tr w14:paraId="2AE59AAB">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FA7C9D9">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799B18B3">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无虫害、虫嗑、无残虫卵。</w:t>
            </w:r>
          </w:p>
        </w:tc>
      </w:tr>
      <w:tr w14:paraId="2EF241EE">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0192FEDF">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形状</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4A6513F4">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枝叶丰满、大小适中、曲线谐调。</w:t>
            </w:r>
          </w:p>
        </w:tc>
      </w:tr>
      <w:tr w14:paraId="3D4A4DF2">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2846E4FF">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成熟度</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0BC477CB">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适中、无未熟过识、腐烂。</w:t>
            </w:r>
          </w:p>
        </w:tc>
      </w:tr>
      <w:tr w14:paraId="26AF5CDC">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422CE838">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污染</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716FEC70">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无污染、残留农药、运输造成的污染。</w:t>
            </w:r>
          </w:p>
        </w:tc>
      </w:tr>
      <w:tr w14:paraId="2787BBF7">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760D7D57">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有包装的菜</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6BB1D785">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应完整、干净。</w:t>
            </w:r>
          </w:p>
        </w:tc>
      </w:tr>
      <w:tr w14:paraId="7901935A">
        <w:tblPrEx>
          <w:tblCellMar>
            <w:top w:w="0" w:type="dxa"/>
            <w:left w:w="108" w:type="dxa"/>
            <w:bottom w:w="0" w:type="dxa"/>
            <w:right w:w="108" w:type="dxa"/>
          </w:tblCellMar>
        </w:tblPrEx>
        <w:trPr>
          <w:trHeight w:val="57" w:hRule="atLeast"/>
          <w:jc w:val="center"/>
        </w:trPr>
        <w:tc>
          <w:tcPr>
            <w:tcW w:w="1455" w:type="dxa"/>
            <w:tcBorders>
              <w:top w:val="single" w:color="000000" w:sz="4" w:space="0"/>
              <w:left w:val="single" w:color="000000" w:sz="4" w:space="0"/>
              <w:bottom w:val="single" w:color="000000" w:sz="4" w:space="0"/>
              <w:right w:val="single" w:color="000000" w:sz="4" w:space="0"/>
            </w:tcBorders>
            <w:noWrap w:val="0"/>
            <w:vAlign w:val="top"/>
          </w:tcPr>
          <w:p w14:paraId="3BA55A49">
            <w:pPr>
              <w:pStyle w:val="79"/>
              <w:kinsoku w:val="0"/>
              <w:overflowPunct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w:t>
            </w:r>
          </w:p>
        </w:tc>
        <w:tc>
          <w:tcPr>
            <w:tcW w:w="7281" w:type="dxa"/>
            <w:tcBorders>
              <w:top w:val="single" w:color="000000" w:sz="4" w:space="0"/>
              <w:left w:val="single" w:color="000000" w:sz="4" w:space="0"/>
              <w:bottom w:val="single" w:color="000000" w:sz="4" w:space="0"/>
              <w:right w:val="single" w:color="000000" w:sz="4" w:space="0"/>
            </w:tcBorders>
            <w:noWrap w:val="0"/>
            <w:vAlign w:val="top"/>
          </w:tcPr>
          <w:p w14:paraId="2B236D06">
            <w:pPr>
              <w:pStyle w:val="79"/>
              <w:kinsoku w:val="0"/>
              <w:overflowPunct w:val="0"/>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供菜重量须达到采购人的供货需求重量。</w:t>
            </w:r>
          </w:p>
        </w:tc>
      </w:tr>
    </w:tbl>
    <w:p w14:paraId="7BCC7EB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1.3.2.3、供应和管理要求</w:t>
      </w:r>
    </w:p>
    <w:p w14:paraId="23C5C9E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（1)蔬菜供应的品种安排（分主菜和配菜）</w:t>
      </w:r>
    </w:p>
    <w:p w14:paraId="795B2E5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①配菜品种按采购人计划和要求的品种供应；</w:t>
      </w:r>
    </w:p>
    <w:p w14:paraId="2C9C658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②主菜品种由采购人和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根据季节安排，但要确保每周有3个品种或以上，每个品种不多于2次（含），6-9月叶菜类≥30％（含），其余时间叶菜类≥50％（含）。</w:t>
      </w:r>
    </w:p>
    <w:p w14:paraId="6109CC87">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（2)蔬菜包装与标志要求：包装。容器(框、箱、袋)要求清洁、干燥、牢固、透气， 无污染、无异味、无霉变现象、标志。每件包装必须按《农产品包装和标识管理办法》贴标签，并标明产地、品种、净含量、生产单位及地址和采收日期，有使用有效期的货品，其剩余有效期≥标注有效期的60%。</w:t>
      </w:r>
    </w:p>
    <w:p w14:paraId="6263F15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（3)食品供应链要求：所有提供的货物必须具有可溯源的合法票证。</w:t>
      </w:r>
    </w:p>
    <w:p w14:paraId="004D5284">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（4)蔬菜卫生质量要求符合GB-2763食品中农药最大残留限量。</w:t>
      </w:r>
    </w:p>
    <w:p w14:paraId="71B2E5E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（5)抽查发现食品安全质量问题的处理：</w:t>
      </w:r>
    </w:p>
    <w:p w14:paraId="25E0373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①对危及人身安全的食品质量问题采取零容忍措施，一经发现，当日所送同批次产品全部退货，如产品中发现农药残留超标，腐败变质等。</w:t>
      </w:r>
    </w:p>
    <w:p w14:paraId="7DC0EA4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②若抽查未发现问题，而在加工食用前发现部分产品质量问题，应立即通知各单位伙食物资验收小组及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，将问题产品退货处理。</w:t>
      </w:r>
    </w:p>
    <w:p w14:paraId="0F4ABE8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（6)不得提供其他违反食品安全法要求的货物。</w:t>
      </w:r>
    </w:p>
    <w:p w14:paraId="6AB1BE3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自有农药、抗生素和激素等外源物质检测设备，能对拟配送的菜品进行外源物质残留含量检测，检测方法与检测数据应符合食品安全国家标准。</w:t>
      </w:r>
    </w:p>
    <w:p w14:paraId="6753E9B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或其长期合作方须具有肉菜加工车间，车间设计与设施的卫生符合《食品安全国家标准畜禽屠宰加工卫生规范》GB 12694-2016。</w:t>
      </w:r>
    </w:p>
    <w:p w14:paraId="4E37BAF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1.3.3、水果质量要求</w:t>
      </w:r>
    </w:p>
    <w:p w14:paraId="3216ED2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1.3.3.1符合国家食品药品管理法规或标准，不得腐烂和泥沙等现象。</w:t>
      </w:r>
    </w:p>
    <w:p w14:paraId="5FD76E6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1.3.3.2应保持较好的色泽和新鲜度。</w:t>
      </w:r>
    </w:p>
    <w:p w14:paraId="44F668F9">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1.3.3.3无公害、农药残留不得超标，提供农药残留检测证明。</w:t>
      </w:r>
    </w:p>
    <w:p w14:paraId="727690D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1.3.3.4新鲜水份充足，无公害，无空壳，皱皮，干涩现象；色泽：新艳，光亮，无变色；硬度：饱满，充实，软硬适中；相同新鲜条件下无外力造成的伤害，如：挤伤、压伤、碰伤、切口，裂伤等；病虫害：无不良病虫害，表面，中间无虫卵遗留，无虫眼；形状：曲线谐调，外形优美，果实硕大，无不良图案及异状；成熟度：适中，无过熟，未熟现象；污染：无污染残留农药，未被有害物质污染，对人体健康有害的，保证供应的货品能溯源、易溯源的。</w:t>
      </w:r>
    </w:p>
    <w:p w14:paraId="651628F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1.3.4、粮油及调味品质量要求</w:t>
      </w:r>
    </w:p>
    <w:p w14:paraId="213B604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保证供应的货品符合卫生，无腐烂、变质、油脂酸败、霉变、生虫、污秽不洁、混有异物或者其他感官性状异常，并可能对人体健康有害的物质，且均为非转基因，无霉变，无重金属超标现象的调味品、粮油类产品，食品添加剂应符合GB2760的规定，并附具供货当天有效的品质检验合格标志以及标明产品品名、产地、生产者、生产日期、保质期等内容的产品标识；特殊情况下，经采购人同意，可供应合格的调味品、粮油批发市场提供的调味品、粮油类产品，但须附有批发市场名称、销售档口、联系电话等追溯标识；</w:t>
      </w:r>
    </w:p>
    <w:p w14:paraId="02AADE9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1.3.4.2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所提供产品质量必须要符合行业标准要求，不得有掺假、变质、变味、过期等现象出现，严禁伪劣、假冒、无证不合格物品进入仓库。</w:t>
      </w:r>
    </w:p>
    <w:p w14:paraId="4E1A876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在供应过程中，如果发生出现质量问题或造成食物中毒，如变质等情况，经查实后确属</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应承担全部责任，主要包括食物中毒人员医疗费、误工费、事故处理费等，直至追究刑事责任。</w:t>
      </w:r>
    </w:p>
    <w:p w14:paraId="612A36BE">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1.3.4.4执行标准：</w:t>
      </w:r>
    </w:p>
    <w:p w14:paraId="0AB003E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1.3.4.4.1米类执行标准：</w:t>
      </w:r>
    </w:p>
    <w:p w14:paraId="60AADA0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（1）GB/T 1354-2018　 标准一等米 不含添加剂</w:t>
      </w:r>
    </w:p>
    <w:p w14:paraId="4ABF6A5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（2）大米的质量标准：除符合标准一等米外，要求：</w:t>
      </w:r>
    </w:p>
    <w:p w14:paraId="744F7F11">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碎米总量≤17%   （国家标准：≤35%）</w:t>
      </w:r>
    </w:p>
    <w:p w14:paraId="09A41A1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小碎米总量≤2%  （国家标准：≤2.5%）</w:t>
      </w:r>
    </w:p>
    <w:p w14:paraId="69E3D5F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不完善粒≤3.5%   （国家标准：≤4.0%）</w:t>
      </w:r>
    </w:p>
    <w:p w14:paraId="7CA50F5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黄米粒按国家标准执行 。</w:t>
      </w:r>
    </w:p>
    <w:p w14:paraId="50E2A663">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（3）油类执行标准：ＳＢ｜T 10292-1998</w:t>
      </w:r>
    </w:p>
    <w:p w14:paraId="04DFE86D">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1.3.4.5油类质量要求：</w:t>
      </w:r>
    </w:p>
    <w:p w14:paraId="5AF1A6A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 真菌毒素：黄曲霉毒素B1（5μg/kg～20μg/kg）、脱氧雪腐镰刀菌烯醇（≤1000μg/kg）、玉米赤霉烯酮（≤60μg/kg）、赭曲霉毒素A（5μg/kg）。重金属污染物：铅（≤0.2mg/kg）、镉(0.1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w:t>
      </w:r>
    </w:p>
    <w:p w14:paraId="5192404A">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1.4、配送及配套服务</w:t>
      </w:r>
    </w:p>
    <w:p w14:paraId="6B44A69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根据采购人实际要求运送货物，按采购人要求进行加工。</w:t>
      </w:r>
    </w:p>
    <w:p w14:paraId="55AE029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1.4.2、采购人提前一天向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发出订货通知单，</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按照采购人规定的时间要求提前送到指定地点。特殊情况需要提前送到的，采购人另行通知。</w:t>
      </w:r>
    </w:p>
    <w:p w14:paraId="518677F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1.5、人员及车辆要求</w:t>
      </w:r>
    </w:p>
    <w:p w14:paraId="572C04DC">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需为本项目配备一名项目负责人，负责与采购人沟通协调工作及食材供应的全面日常管理工作。</w:t>
      </w:r>
    </w:p>
    <w:p w14:paraId="7F0808D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应免费提供将货物运送至采购人指定的地点及现场卸货服务。每次送货，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必须安排足够的送货员（含司机）分别负责送货，负责货物的运输、过秤、加工，并协助采购人验收货物，货物的品种和重量以采购人验收的结果为准。</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在与采购人签定合同后，须将配送团队成员健康证及相关资料复印件交采购人备案，提交复印件时须同时提供原件以供核对。如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更换配送人员，须提供更换的人员的上述资料，经采购人书面同意后方可更换，否则作考核扣分处理。</w:t>
      </w:r>
    </w:p>
    <w:p w14:paraId="6A62DBA7">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1.5.3车辆要求：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根据产品特性采用科学合理的运输工具、保存方式以及搬运方法进行运输，每次送货≥2辆送货车（其中一台必须为冷链配送车，保证肉类中心温度控制在-2-7℃的范围之内，保证运输过程冷链不中断）。食品运输必须采用符合卫生要求的外包装和运载工具，车辆保持性能稳定。要保持清洁和定期消毒。运输车厢的内仓，包括地面、墙面 和顶，应为抗腐蚀、防潮、易清洁消毒的材料，有防虫、防鼠设施。对温度有要求的产品应按产品温度控制标准进行控温，建立物流全程温度记录制度，相关记录保存时间要超过产品保质期6个月以上。避免日晒、雨淋、 机械损伤、食品的交叉污染等影响食物质量情况发生。商品到达目的地时外包装箱干爽，无软化现象。</w:t>
      </w:r>
    </w:p>
    <w:p w14:paraId="3ABB2C25">
      <w:pPr>
        <w:wordWrap w:val="0"/>
        <w:spacing w:before="162" w:beforeLines="50" w:after="162" w:afterLines="50" w:line="360" w:lineRule="exact"/>
        <w:ind w:firstLine="399" w:firstLineChars="19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1.5.4、为确保食材的新鲜和对采购人供应的及时性，对采购人日常下达的订单，</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应在采购人指定的时间内如数送达。因特殊情况需要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临时供应零星食材的，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须在接到采购人下达订单后40分钟内将采购人指定的食材送到采购人指定的地点；因特殊情况需要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临时供应大宗食材的，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须在接到采购人下达订单后优先响应，原则上12小时内将采购人指定的食材送到采购人指定的地点。除不可抗力的情况外，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不得推迟送货。如未能及时配送，采购人有权自主购买相关食材，非严重情节造成采购人损失的，第一次发生扣除该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当月货款的3%，第二次发生扣除该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当月货款的6%，第三次发生扣除该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当月货款的10%。（注：由于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拖沓等严重情节造成货物未能及时配送的，采购人有权单方面解除合同，由此产生的责任和经济损失由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1B83874">
      <w:pPr>
        <w:wordWrap w:val="0"/>
        <w:spacing w:before="162" w:beforeLines="50" w:after="162" w:afterLines="50"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二、考核管理</w:t>
      </w:r>
    </w:p>
    <w:p w14:paraId="79A6E8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采购人每月根据 “食材采购</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评估标准表”（简称评估表，详见附件2）对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 xml:space="preserve">进行服务质量调查和考核评分，一个月为一个考核期，评分等级和管理办法如下： </w:t>
      </w:r>
    </w:p>
    <w:p w14:paraId="3446A3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1、总分得分【90-100】分者为优秀，继续维持良好服务水平。</w:t>
      </w:r>
    </w:p>
    <w:p w14:paraId="28BAE6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2、总分得分【80-90】分者为良好，配送管理工作小组提出改进意见。</w:t>
      </w:r>
    </w:p>
    <w:p w14:paraId="6768C0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3、总分得分【70-80】分者为合格，配送管理工作小组发整改通知，若下个月评估仍未达到良好及以上，配送管理工作小组发警告函，限期整改，并扣除当月食材配送总额的5%。</w:t>
      </w:r>
    </w:p>
    <w:p w14:paraId="2D781E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4、总分得分【60-70】分者为基本合格，配送管理工作小组发警告函，限期整改，并扣当月食材配送总额金总额的5%。连续两次或累计三次评估为基本合格，甲方有权提出终止</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和使用其它备选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，按合同违约处理。</w:t>
      </w:r>
    </w:p>
    <w:p w14:paraId="5B9DABE9">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5、连续三次总分得60分以下者为不合格，甲方有权提出终止</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和使用其它备选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，按合同违约处理。</w:t>
      </w:r>
    </w:p>
    <w:p w14:paraId="5320AF57">
      <w:pPr>
        <w:wordWrap w:val="0"/>
        <w:spacing w:before="162" w:beforeLines="50" w:after="162" w:afterLines="50" w:line="360" w:lineRule="exac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三、</w:t>
      </w:r>
      <w:r>
        <w:rPr>
          <w:rFonts w:hint="eastAsia" w:ascii="宋体" w:hAnsi="宋体" w:cs="宋体"/>
          <w:b/>
          <w:color w:val="auto"/>
          <w:sz w:val="21"/>
          <w:szCs w:val="21"/>
          <w:highlight w:val="none"/>
          <w:lang w:val="en-US" w:eastAsia="zh-CN"/>
        </w:rPr>
        <w:t>定价</w:t>
      </w:r>
      <w:r>
        <w:rPr>
          <w:rFonts w:hint="eastAsia" w:ascii="宋体" w:hAnsi="宋体" w:eastAsia="宋体" w:cs="宋体"/>
          <w:b/>
          <w:color w:val="auto"/>
          <w:sz w:val="21"/>
          <w:szCs w:val="21"/>
          <w:highlight w:val="none"/>
        </w:rPr>
        <w:t>方式</w:t>
      </w:r>
    </w:p>
    <w:p w14:paraId="4A5EA5D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、基准价确定方式：</w:t>
      </w:r>
    </w:p>
    <w:p w14:paraId="3E00D05D">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准价调查范围：以东莞市发改委官网公布的菜篮子价格监测表作为市场参考价。若东莞物价专栏(http://dgdp.dg.gov.cn/jggl/index.html)中《广东省城市居民食品零售价格监测表》（东莞市菜篮子价格监测日报表）最新公布价格表中无甲方所需的相同品种，以甲方驻地范围内选择2-3家农贸市场同期调研价为参考价，由甲方每半月指定专人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进行至少一次市场调研确定。</w:t>
      </w:r>
    </w:p>
    <w:p w14:paraId="4C78C1A7">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（2）基准价计算：基准价调查范围的零售价格算术平均值作为该期的货物的基准价。</w:t>
      </w:r>
    </w:p>
    <w:p w14:paraId="1E3002F1">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必须按照采购人的基准价计算方式，协助并参与进行价格调查和计算货物基准价，否则视为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认同采购人的基准价。</w:t>
      </w:r>
    </w:p>
    <w:p w14:paraId="4272637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（4）首次基准价确定：签订合同并生效后3个工作日内按照上述要求调查计算。</w:t>
      </w:r>
    </w:p>
    <w:p w14:paraId="43DC97B5">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（5）基准价有效期：15天，在基准价失效前1-3天确定下期的基准价。</w:t>
      </w:r>
    </w:p>
    <w:p w14:paraId="4B5AD23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必须按照采购人的定价方式参与市场调查和确定货物基准价，否则视为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认同采购人的基准价。</w:t>
      </w:r>
    </w:p>
    <w:p w14:paraId="3789E876">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、结算费用</w:t>
      </w:r>
    </w:p>
    <w:p w14:paraId="0B16FAE2">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结算价=∑货品基准价×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下浮</w:t>
      </w:r>
      <w:r>
        <w:rPr>
          <w:rFonts w:hint="eastAsia" w:ascii="宋体" w:hAnsi="宋体" w:eastAsia="宋体" w:cs="宋体"/>
          <w:color w:val="auto"/>
          <w:sz w:val="21"/>
          <w:szCs w:val="21"/>
          <w:highlight w:val="none"/>
        </w:rPr>
        <w:t>率</w:t>
      </w:r>
      <w:r>
        <w:rPr>
          <w:rFonts w:hint="eastAsia" w:ascii="宋体" w:hAnsi="宋体" w:eastAsia="宋体" w:cs="宋体"/>
          <w:color w:val="auto"/>
          <w:sz w:val="21"/>
          <w:szCs w:val="21"/>
          <w:highlight w:val="none"/>
          <w:lang w:eastAsia="zh-CN"/>
        </w:rPr>
        <w:t>）</w:t>
      </w:r>
    </w:p>
    <w:p w14:paraId="6CECDCBF">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、基准价调整</w:t>
      </w:r>
    </w:p>
    <w:p w14:paraId="6C463220">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（1）在基准价有效期内，每15天</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可根据市场实际价格的调整，以书面报价单形式向采购人重新报价。</w:t>
      </w:r>
    </w:p>
    <w:p w14:paraId="423297A8">
      <w:pPr>
        <w:wordWrap w:val="0"/>
        <w:spacing w:before="162" w:beforeLines="50" w:after="162" w:afterLines="50" w:line="360" w:lineRule="exact"/>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递交的报价单与货品基准价偏离过大，导致采购人不能接受的，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可重新调整报价单，直至双方达成为止；如双方不能达成</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不再对报价单进行调整的，采购人有权向第三方采购，由此造成的费用，由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057DADAE">
      <w:pPr>
        <w:adjustRightInd w:val="0"/>
        <w:spacing w:line="360" w:lineRule="auto"/>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、定价周期</w:t>
      </w:r>
    </w:p>
    <w:p w14:paraId="3CE989AE">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1、餐料物资供货价格为浮动价格</w:t>
      </w:r>
    </w:p>
    <w:p w14:paraId="0AA7A7C0">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（干货、杂货类）价格每月更新一次，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每月28日前提交下个月报价给采购人审核。</w:t>
      </w:r>
    </w:p>
    <w:p w14:paraId="1E99029A">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（肉类）价格每半月更新一次，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每月13日前提交下半月报价给采购人审核，每月28日前提交下个月上半月报价给采购人审核。</w:t>
      </w:r>
    </w:p>
    <w:p w14:paraId="5967D8A5">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（蔬菜类）价格每半月更新一次，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每月13日前提交下半月报价给采购人审核，每月28日前提交下个月上半月报价给采购人审核。</w:t>
      </w:r>
    </w:p>
    <w:p w14:paraId="74B4A6DE">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2、临时委托采购：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必须按照采购人急需餐料物资品种、数量、送货时间、地点等在4小时内进行供货，若急需餐料物资不在供货物资清单表上，其供货价格采购人在3个工作日内给予复核。</w:t>
      </w:r>
    </w:p>
    <w:p w14:paraId="37365377">
      <w:pPr>
        <w:adjustRightInd w:val="0"/>
        <w:spacing w:line="360" w:lineRule="auto"/>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、验收标准</w:t>
      </w:r>
    </w:p>
    <w:p w14:paraId="6AFE48DC">
      <w:pPr>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（一）（干货、杂货类）</w:t>
      </w:r>
    </w:p>
    <w:p w14:paraId="7078DA80">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1、调味品类</w:t>
      </w:r>
    </w:p>
    <w:p w14:paraId="39B4DA10">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由正规厂家生产、颜色品质纯正。</w:t>
      </w:r>
    </w:p>
    <w:p w14:paraId="2900486B">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2、干货、杂货、副食品类</w:t>
      </w:r>
    </w:p>
    <w:p w14:paraId="3BECCB9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必须选用符合国家食品卫生法规相关标准的商品，选用无毒、无害、无污染、可朔源的食品。掺假、掺杂食品坚决不能使用。</w:t>
      </w:r>
    </w:p>
    <w:p w14:paraId="1F1016D5">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副食品等级标准要相符，其包装盒或标签上须注明食品名称、生产厂家、厂址、生产日期、食品的主要原料成份和食品保质期等信息，注明不详或没有注明的商品不予验收。</w:t>
      </w:r>
    </w:p>
    <w:p w14:paraId="39F822B6">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副食品表面外观新鲜、完整，无霉变异味，无砂粒杂质，无虫尸鼠粪等不洁卫生问题。</w:t>
      </w:r>
    </w:p>
    <w:p w14:paraId="2EF1873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3、米粉面粉类</w:t>
      </w:r>
    </w:p>
    <w:p w14:paraId="7B01021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米粉面粉类及其制品颜色品质要纯正，不掺假、掺杂。</w:t>
      </w:r>
    </w:p>
    <w:p w14:paraId="68A70001">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符合食品卫生标准，粉质细腻干爽无异物、无毒、无污染。</w:t>
      </w:r>
    </w:p>
    <w:p w14:paraId="3F3843B1">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制成品不能出现异味、霉变结块、虫尸鼠粪等不洁的卫生问题。</w:t>
      </w:r>
    </w:p>
    <w:p w14:paraId="2C622107">
      <w:pPr>
        <w:adjustRightIn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上述货品必须符合国家食品卫生法规相关标准，符合采购人使用要求，货品必须保证有三分之二以上保质期（如货品有保质期）。</w:t>
      </w:r>
    </w:p>
    <w:p w14:paraId="39C28809">
      <w:pPr>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（二）（肉类）</w:t>
      </w:r>
    </w:p>
    <w:p w14:paraId="2B9B3CCC">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1、猪肉类</w:t>
      </w:r>
    </w:p>
    <w:p w14:paraId="646C827D">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具有当天卫生监督部门发放的“动物检疫合格证明”，肉体印有检疫章。</w:t>
      </w:r>
    </w:p>
    <w:p w14:paraId="313D46E2">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表皮干爽、肌体结实、肉质紧密、肉色淡红新鲜，肥肉洁白而细腻。</w:t>
      </w:r>
    </w:p>
    <w:p w14:paraId="5A802026">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外观检测无异味、无寄生虫、无粘液、无渗出液体、指压反弹迅速、具有猪肉自然气味。</w:t>
      </w:r>
    </w:p>
    <w:p w14:paraId="1047712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运输设备具备恒温保鲜（5度），存放容器保持清洁卫生，包装合理且材料无污染。</w:t>
      </w:r>
    </w:p>
    <w:p w14:paraId="0D8433ED">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2、牛肉类</w:t>
      </w:r>
    </w:p>
    <w:p w14:paraId="0D3C62BB">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70AEEFB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牛肉色泽棕红，脂肪呈淡黄色或深黄色，肉质坚硬，弹性足。</w:t>
      </w:r>
    </w:p>
    <w:p w14:paraId="36EB4CD9">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2.3运输设备具备恒温保鲜（5度），存放容器保持清洁卫生，包装合理且材料无污染。</w:t>
      </w:r>
    </w:p>
    <w:p w14:paraId="0800737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3、羊肉类</w:t>
      </w:r>
    </w:p>
    <w:p w14:paraId="689E0159">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具有当天卫生监督部门发放的“动物检疫合格证明”。</w:t>
      </w:r>
    </w:p>
    <w:p w14:paraId="503DCFD2">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羊肉色泽暗红，纤维细而软，肌间少脂肪。</w:t>
      </w:r>
    </w:p>
    <w:p w14:paraId="68736D7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3.3运输设备具备恒温保鲜（5度），存放容器保持清洁卫生，包装合理且材料无污染。</w:t>
      </w:r>
    </w:p>
    <w:p w14:paraId="3143C0F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4、水产品类</w:t>
      </w:r>
    </w:p>
    <w:p w14:paraId="58A1781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必须鲜活。</w:t>
      </w:r>
    </w:p>
    <w:p w14:paraId="06F7999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鲜鱼鳞片完整，有光泽无脱落，鳃口紧闭，眼球光亮透明，鱼鳃鲜红，鳍尾完整，确保新鲜。</w:t>
      </w:r>
    </w:p>
    <w:p w14:paraId="4ACE7342">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身体饱满结实，无腐烂异味，肉质紧密有弹性，无离骨脱刺现象。</w:t>
      </w:r>
    </w:p>
    <w:p w14:paraId="06823E43">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来源可靠放心，无毒、无害、无污染。</w:t>
      </w:r>
    </w:p>
    <w:p w14:paraId="3A4365A1">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5、三鸟类（采购人以实际需求确定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是否需要屠杀好供货）</w:t>
      </w:r>
    </w:p>
    <w:p w14:paraId="2676B8F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活禽类：</w:t>
      </w:r>
    </w:p>
    <w:p w14:paraId="4C73896E">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①具有当天卫生监督部门发放的“动物检疫合格证明”。</w:t>
      </w:r>
    </w:p>
    <w:p w14:paraId="4E312CBA">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②必须鲜活；羽毛完整、有光泽无不正常脱落。 </w:t>
      </w:r>
    </w:p>
    <w:p w14:paraId="7D9AF93B">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③身体饱满结实，来源可靠放心，无毒、无害、无污染。</w:t>
      </w:r>
    </w:p>
    <w:p w14:paraId="04B6B071">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屠杀好的：</w:t>
      </w:r>
    </w:p>
    <w:p w14:paraId="172E8D07">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①具有当天卫生监督部门发放的“动物检疫合格证明”。</w:t>
      </w:r>
    </w:p>
    <w:p w14:paraId="4D064833">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②肉质新鲜柔软有光泽，质地紧密，脂肪呈白色或淡黄色，肉质细腻、无腐烂异味， 肉体结实，内脏清掏干净，肉质弹性足无明显渗出液体，总体无粘液。</w:t>
      </w:r>
    </w:p>
    <w:p w14:paraId="44B5D14B">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③运输设备具备恒温保鲜（5度），存放容器保持清洁卫生，包装合理，来源可靠放心，无毒、无害、无污染。</w:t>
      </w:r>
    </w:p>
    <w:p w14:paraId="7F096872">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6、零星冻品副食品类</w:t>
      </w:r>
    </w:p>
    <w:p w14:paraId="72EE61A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必须选用符合国家食品卫生法规相关标准的商品，选用无毒、无害、无污染、可朔源的副食品。掺假、掺杂副食品坚决不能使用。</w:t>
      </w:r>
    </w:p>
    <w:p w14:paraId="2A76EAFB">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6651F67E">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冻肉类产品中间不能有过多冰块，重量必须和包装箱上标明的重量一致。</w:t>
      </w:r>
    </w:p>
    <w:p w14:paraId="23F8C998">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奶制品色泽乳白，口味鲜香，包装完整，无破损，验收每批在保质期二分之一以上，符合国家规定的质量卫生标准。</w:t>
      </w:r>
    </w:p>
    <w:p w14:paraId="1591720D">
      <w:pPr>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（三）（蔬菜类）</w:t>
      </w:r>
    </w:p>
    <w:p w14:paraId="57DFF151">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1、应保持较好的色泽和新鲜度。</w:t>
      </w:r>
    </w:p>
    <w:p w14:paraId="338B3F0E">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2、符合国家食品卫生标准，蔬菜不得有黄叶；不得腐烂和泥沙等现象。</w:t>
      </w:r>
    </w:p>
    <w:p w14:paraId="05A63F9F">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3、无公害、农药残留不得超标，提供农药残留检测证明。</w:t>
      </w:r>
    </w:p>
    <w:p w14:paraId="69DCE869">
      <w:pPr>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（四）（水果类）</w:t>
      </w:r>
    </w:p>
    <w:p w14:paraId="2C600BB6">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国家食品卫生标准，具有品种应有的外形，大小均匀，果面光滑有光泽，无畸形果，无病虫害；具有品种应有的自然色泽，无斑点或极少果锈，不起皱，无裂口，无压痕及其他机械损伤和冻伤黑斑，无腐臭变质异味、无寄生虫、无粘液、无渗出液体。</w:t>
      </w:r>
    </w:p>
    <w:p w14:paraId="4BE416AC">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2、无公害、农药残留不得超标，提供农药残留检测证明。</w:t>
      </w:r>
    </w:p>
    <w:p w14:paraId="232889F5">
      <w:pPr>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（五）（粮油及调味产品）</w:t>
      </w:r>
    </w:p>
    <w:p w14:paraId="641A5E2C">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对供应的调味品、粮油类产品的储存、运输、分装等操作必须符合广东省调味品、粮油类产品加工经营卫生规范以及国家最新防控风险要求。确保调味品、粮油类产品在配送前储存在符合相关规定的场所环境。</w:t>
      </w:r>
    </w:p>
    <w:p w14:paraId="55A73AC6">
      <w:pPr>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对采购人购买的食品分类用器具装载，不得混装，运输过程应采取相应的保鲜防护措施。必须采用符合卫生要求的运载工具，运输车辆内外必须清洁干净，无污渍，无异味，要保持清洁和定期消毒。容器要求清洁、干燥、牢固、透气，无污染、无异味、无霉变现象。</w:t>
      </w:r>
    </w:p>
    <w:p w14:paraId="6D71BE2C">
      <w:pPr>
        <w:adjustRightInd w:val="0"/>
        <w:spacing w:line="360" w:lineRule="auto"/>
        <w:jc w:val="left"/>
        <w:rPr>
          <w:rFonts w:hint="eastAsia" w:ascii="宋体" w:hAnsi="宋体" w:eastAsia="宋体" w:cs="宋体"/>
          <w:color w:val="auto"/>
          <w:sz w:val="21"/>
          <w:szCs w:val="21"/>
          <w:highlight w:val="none"/>
        </w:rPr>
      </w:pPr>
    </w:p>
    <w:p w14:paraId="7A7650B1">
      <w:pPr>
        <w:rPr>
          <w:rFonts w:hint="eastAsia"/>
          <w:color w:val="auto"/>
          <w:sz w:val="28"/>
          <w:szCs w:val="28"/>
          <w:highlight w:val="none"/>
        </w:rPr>
      </w:pPr>
      <w:r>
        <w:rPr>
          <w:rFonts w:hint="eastAsia"/>
          <w:color w:val="auto"/>
          <w:sz w:val="28"/>
          <w:szCs w:val="28"/>
          <w:highlight w:val="none"/>
        </w:rPr>
        <w:br w:type="page"/>
      </w:r>
    </w:p>
    <w:p w14:paraId="35306E2C">
      <w:pPr>
        <w:pStyle w:val="5"/>
        <w:spacing w:before="0" w:after="0" w:line="240" w:lineRule="auto"/>
        <w:rPr>
          <w:color w:val="auto"/>
          <w:sz w:val="28"/>
          <w:szCs w:val="28"/>
          <w:highlight w:val="none"/>
        </w:rPr>
      </w:pPr>
      <w:bookmarkStart w:id="108" w:name="_Toc17711"/>
      <w:r>
        <w:rPr>
          <w:rFonts w:hint="eastAsia"/>
          <w:color w:val="auto"/>
          <w:sz w:val="28"/>
          <w:szCs w:val="28"/>
          <w:highlight w:val="none"/>
        </w:rPr>
        <w:t>第六部分附件－投标文件格式</w:t>
      </w:r>
      <w:bookmarkEnd w:id="108"/>
    </w:p>
    <w:p w14:paraId="144B1051">
      <w:pPr>
        <w:rPr>
          <w:color w:val="auto"/>
          <w:highlight w:val="none"/>
        </w:rPr>
      </w:pPr>
    </w:p>
    <w:p w14:paraId="692AE812">
      <w:pPr>
        <w:pStyle w:val="7"/>
        <w:widowControl w:val="0"/>
        <w:overflowPunct w:val="0"/>
        <w:spacing w:line="240" w:lineRule="auto"/>
        <w:rPr>
          <w:rFonts w:ascii="宋体" w:hAnsi="宋体"/>
          <w:color w:val="auto"/>
          <w:sz w:val="21"/>
          <w:szCs w:val="21"/>
          <w:highlight w:val="none"/>
        </w:rPr>
      </w:pPr>
      <w:bookmarkStart w:id="109" w:name="_Toc15711"/>
      <w:r>
        <w:rPr>
          <w:rFonts w:hint="eastAsia" w:ascii="宋体" w:hAnsi="宋体"/>
          <w:color w:val="auto"/>
          <w:sz w:val="21"/>
          <w:szCs w:val="21"/>
          <w:highlight w:val="none"/>
        </w:rPr>
        <w:t>投标文件目录</w:t>
      </w:r>
      <w:bookmarkEnd w:id="109"/>
    </w:p>
    <w:p w14:paraId="38291AC7">
      <w:pPr>
        <w:jc w:val="center"/>
        <w:rPr>
          <w:rFonts w:ascii="黑体" w:eastAsia="黑体"/>
          <w:color w:val="auto"/>
          <w:sz w:val="32"/>
          <w:szCs w:val="32"/>
        </w:rPr>
      </w:pPr>
      <w:r>
        <w:rPr>
          <w:rFonts w:hint="eastAsia" w:ascii="黑体" w:eastAsia="黑体"/>
          <w:color w:val="auto"/>
          <w:sz w:val="32"/>
          <w:szCs w:val="32"/>
        </w:rPr>
        <w:t>目录</w:t>
      </w:r>
    </w:p>
    <w:p w14:paraId="7916147E">
      <w:pPr>
        <w:jc w:val="center"/>
        <w:rPr>
          <w:rFonts w:ascii="黑体" w:eastAsia="黑体"/>
          <w:color w:val="auto"/>
          <w:sz w:val="32"/>
          <w:szCs w:val="32"/>
          <w:highlight w:val="none"/>
        </w:rPr>
      </w:pPr>
    </w:p>
    <w:p w14:paraId="68A8EFD7">
      <w:pPr>
        <w:adjustRightInd/>
        <w:snapToGrid/>
        <w:spacing w:line="276" w:lineRule="auto"/>
        <w:rPr>
          <w:rFonts w:ascii="宋体" w:hAnsi="宋体"/>
          <w:color w:val="auto"/>
          <w:szCs w:val="21"/>
        </w:rPr>
      </w:pPr>
      <w:r>
        <w:rPr>
          <w:rFonts w:hint="eastAsia" w:ascii="宋体" w:hAnsi="宋体"/>
          <w:color w:val="auto"/>
          <w:szCs w:val="21"/>
        </w:rPr>
        <w:t>格式自理。</w:t>
      </w:r>
    </w:p>
    <w:p w14:paraId="6CFA8E40">
      <w:pPr>
        <w:adjustRightInd/>
        <w:snapToGrid/>
        <w:spacing w:line="276" w:lineRule="auto"/>
        <w:rPr>
          <w:rFonts w:ascii="宋体" w:hAnsi="宋体"/>
          <w:color w:val="auto"/>
          <w:szCs w:val="21"/>
        </w:rPr>
      </w:pPr>
    </w:p>
    <w:p w14:paraId="57A6A1D6">
      <w:pPr>
        <w:adjustRightInd/>
        <w:snapToGrid/>
        <w:spacing w:line="276" w:lineRule="auto"/>
        <w:rPr>
          <w:rFonts w:ascii="宋体" w:hAnsi="宋体"/>
          <w:color w:val="auto"/>
          <w:szCs w:val="21"/>
        </w:rPr>
      </w:pPr>
    </w:p>
    <w:p w14:paraId="5B2DF3A1">
      <w:pPr>
        <w:adjustRightInd/>
        <w:snapToGrid/>
        <w:spacing w:line="276" w:lineRule="auto"/>
        <w:rPr>
          <w:rFonts w:ascii="宋体" w:hAnsi="宋体"/>
          <w:color w:val="auto"/>
          <w:szCs w:val="21"/>
        </w:rPr>
      </w:pPr>
      <w:r>
        <w:rPr>
          <w:rFonts w:hint="eastAsia" w:ascii="宋体" w:hAnsi="宋体"/>
          <w:color w:val="auto"/>
          <w:szCs w:val="21"/>
        </w:rPr>
        <w:t>注：</w:t>
      </w:r>
    </w:p>
    <w:p w14:paraId="6BD10558">
      <w:pPr>
        <w:adjustRightInd/>
        <w:snapToGrid/>
        <w:spacing w:line="276" w:lineRule="auto"/>
        <w:rPr>
          <w:rFonts w:ascii="宋体" w:hAnsi="宋体"/>
          <w:color w:val="auto"/>
          <w:szCs w:val="21"/>
          <w:highlight w:val="none"/>
        </w:rPr>
      </w:pPr>
      <w:r>
        <w:rPr>
          <w:rFonts w:hint="eastAsia" w:ascii="宋体" w:hAnsi="宋体"/>
          <w:color w:val="auto"/>
          <w:szCs w:val="21"/>
        </w:rPr>
        <w:t>1、投标人制作的投标文件应当具备目录。</w:t>
      </w:r>
    </w:p>
    <w:p w14:paraId="67A3D82A">
      <w:pPr>
        <w:adjustRightInd/>
        <w:snapToGrid/>
        <w:spacing w:line="276" w:lineRule="auto"/>
        <w:rPr>
          <w:rFonts w:ascii="宋体" w:hAnsi="宋体"/>
          <w:color w:val="auto"/>
          <w:szCs w:val="21"/>
          <w:highlight w:val="none"/>
        </w:rPr>
      </w:pPr>
    </w:p>
    <w:p w14:paraId="68C913F9">
      <w:pPr>
        <w:adjustRightInd/>
        <w:snapToGrid/>
        <w:spacing w:line="276" w:lineRule="auto"/>
        <w:rPr>
          <w:rFonts w:ascii="宋体" w:hAnsi="宋体"/>
          <w:color w:val="auto"/>
          <w:szCs w:val="21"/>
          <w:highlight w:val="none"/>
        </w:rPr>
      </w:pPr>
    </w:p>
    <w:p w14:paraId="144FE3B8">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3EEE5707">
      <w:pPr>
        <w:pStyle w:val="7"/>
        <w:widowControl w:val="0"/>
        <w:overflowPunct w:val="0"/>
        <w:spacing w:line="240" w:lineRule="auto"/>
        <w:rPr>
          <w:rFonts w:ascii="宋体" w:hAnsi="宋体"/>
          <w:color w:val="auto"/>
          <w:sz w:val="21"/>
          <w:szCs w:val="21"/>
          <w:highlight w:val="none"/>
        </w:rPr>
      </w:pPr>
      <w:bookmarkStart w:id="110" w:name="_Toc3891"/>
      <w:r>
        <w:rPr>
          <w:rFonts w:hint="eastAsia" w:ascii="宋体" w:hAnsi="宋体"/>
          <w:color w:val="auto"/>
          <w:sz w:val="21"/>
          <w:szCs w:val="21"/>
          <w:highlight w:val="none"/>
        </w:rPr>
        <w:t>附件1.评分标准索引表</w:t>
      </w:r>
      <w:bookmarkEnd w:id="110"/>
    </w:p>
    <w:p w14:paraId="61132470">
      <w:pPr>
        <w:adjustRightInd/>
        <w:snapToGrid/>
        <w:spacing w:line="276" w:lineRule="auto"/>
        <w:rPr>
          <w:rFonts w:ascii="宋体" w:hAnsi="宋体"/>
          <w:color w:val="auto"/>
          <w:szCs w:val="21"/>
          <w:highlight w:val="none"/>
        </w:rPr>
      </w:pPr>
    </w:p>
    <w:p w14:paraId="424568EB">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71AE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2CEA0B98">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099C6164">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64ADA0EC">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75F5DCC7">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5134CE44">
            <w:pPr>
              <w:jc w:val="center"/>
              <w:rPr>
                <w:rFonts w:ascii="宋体" w:hAnsi="宋体" w:cs="宋体"/>
                <w:color w:val="auto"/>
                <w:highlight w:val="none"/>
              </w:rPr>
            </w:pPr>
            <w:r>
              <w:rPr>
                <w:rFonts w:hint="eastAsia" w:ascii="宋体" w:hAnsi="宋体" w:cs="宋体"/>
                <w:color w:val="auto"/>
                <w:highlight w:val="none"/>
              </w:rPr>
              <w:t>页码范围</w:t>
            </w:r>
          </w:p>
        </w:tc>
      </w:tr>
      <w:tr w14:paraId="2B5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706CD59">
            <w:pPr>
              <w:rPr>
                <w:rFonts w:ascii="宋体" w:hAnsi="宋体" w:cs="宋体"/>
                <w:color w:val="auto"/>
                <w:highlight w:val="none"/>
              </w:rPr>
            </w:pPr>
            <w:r>
              <w:rPr>
                <w:rFonts w:hint="eastAsia" w:ascii="宋体" w:hAnsi="宋体" w:cs="宋体"/>
                <w:color w:val="auto"/>
                <w:highlight w:val="none"/>
              </w:rPr>
              <w:t>商务评审</w:t>
            </w:r>
          </w:p>
        </w:tc>
      </w:tr>
      <w:tr w14:paraId="3E9E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F510B36">
            <w:pPr>
              <w:jc w:val="center"/>
              <w:rPr>
                <w:rFonts w:ascii="宋体" w:hAnsi="宋体" w:cs="宋体"/>
                <w:color w:val="auto"/>
                <w:highlight w:val="none"/>
              </w:rPr>
            </w:pPr>
          </w:p>
        </w:tc>
        <w:tc>
          <w:tcPr>
            <w:tcW w:w="1704" w:type="dxa"/>
            <w:vAlign w:val="center"/>
          </w:tcPr>
          <w:p w14:paraId="4BAA5410">
            <w:pPr>
              <w:jc w:val="center"/>
              <w:rPr>
                <w:rFonts w:ascii="宋体" w:hAnsi="宋体" w:cs="宋体"/>
                <w:color w:val="auto"/>
                <w:highlight w:val="none"/>
              </w:rPr>
            </w:pPr>
          </w:p>
        </w:tc>
        <w:tc>
          <w:tcPr>
            <w:tcW w:w="1704" w:type="dxa"/>
            <w:vAlign w:val="center"/>
          </w:tcPr>
          <w:p w14:paraId="5CAF61CC">
            <w:pPr>
              <w:jc w:val="center"/>
              <w:rPr>
                <w:rFonts w:ascii="宋体" w:hAnsi="宋体" w:cs="宋体"/>
                <w:color w:val="auto"/>
                <w:highlight w:val="none"/>
              </w:rPr>
            </w:pPr>
          </w:p>
        </w:tc>
        <w:tc>
          <w:tcPr>
            <w:tcW w:w="1705" w:type="dxa"/>
            <w:vAlign w:val="center"/>
          </w:tcPr>
          <w:p w14:paraId="0732C9A4">
            <w:pPr>
              <w:jc w:val="center"/>
              <w:rPr>
                <w:rFonts w:ascii="宋体" w:hAnsi="宋体" w:cs="宋体"/>
                <w:color w:val="auto"/>
                <w:highlight w:val="none"/>
              </w:rPr>
            </w:pPr>
          </w:p>
        </w:tc>
        <w:tc>
          <w:tcPr>
            <w:tcW w:w="1705" w:type="dxa"/>
            <w:vAlign w:val="center"/>
          </w:tcPr>
          <w:p w14:paraId="248FC50A">
            <w:pPr>
              <w:jc w:val="center"/>
              <w:rPr>
                <w:rFonts w:ascii="宋体" w:hAnsi="宋体" w:cs="宋体"/>
                <w:color w:val="auto"/>
                <w:highlight w:val="none"/>
              </w:rPr>
            </w:pPr>
          </w:p>
        </w:tc>
      </w:tr>
      <w:tr w14:paraId="3B90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65D0A02">
            <w:pPr>
              <w:jc w:val="center"/>
              <w:rPr>
                <w:rFonts w:ascii="宋体" w:hAnsi="宋体" w:cs="宋体"/>
                <w:color w:val="auto"/>
                <w:highlight w:val="none"/>
              </w:rPr>
            </w:pPr>
          </w:p>
        </w:tc>
        <w:tc>
          <w:tcPr>
            <w:tcW w:w="1704" w:type="dxa"/>
            <w:vAlign w:val="center"/>
          </w:tcPr>
          <w:p w14:paraId="37FD7119">
            <w:pPr>
              <w:jc w:val="center"/>
              <w:rPr>
                <w:rFonts w:ascii="宋体" w:hAnsi="宋体" w:cs="宋体"/>
                <w:color w:val="auto"/>
                <w:highlight w:val="none"/>
              </w:rPr>
            </w:pPr>
          </w:p>
        </w:tc>
        <w:tc>
          <w:tcPr>
            <w:tcW w:w="1704" w:type="dxa"/>
            <w:vAlign w:val="center"/>
          </w:tcPr>
          <w:p w14:paraId="4973E268">
            <w:pPr>
              <w:jc w:val="center"/>
              <w:rPr>
                <w:rFonts w:ascii="宋体" w:hAnsi="宋体" w:cs="宋体"/>
                <w:color w:val="auto"/>
                <w:highlight w:val="none"/>
              </w:rPr>
            </w:pPr>
          </w:p>
        </w:tc>
        <w:tc>
          <w:tcPr>
            <w:tcW w:w="1705" w:type="dxa"/>
            <w:vAlign w:val="center"/>
          </w:tcPr>
          <w:p w14:paraId="352B6336">
            <w:pPr>
              <w:jc w:val="center"/>
              <w:rPr>
                <w:rFonts w:ascii="宋体" w:hAnsi="宋体" w:cs="宋体"/>
                <w:color w:val="auto"/>
                <w:highlight w:val="none"/>
              </w:rPr>
            </w:pPr>
          </w:p>
        </w:tc>
        <w:tc>
          <w:tcPr>
            <w:tcW w:w="1705" w:type="dxa"/>
            <w:vAlign w:val="center"/>
          </w:tcPr>
          <w:p w14:paraId="6AF406AA">
            <w:pPr>
              <w:jc w:val="center"/>
              <w:rPr>
                <w:rFonts w:ascii="宋体" w:hAnsi="宋体" w:cs="宋体"/>
                <w:color w:val="auto"/>
                <w:highlight w:val="none"/>
              </w:rPr>
            </w:pPr>
          </w:p>
        </w:tc>
      </w:tr>
      <w:tr w14:paraId="7B9C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19D6F3A">
            <w:pPr>
              <w:jc w:val="center"/>
              <w:rPr>
                <w:rFonts w:ascii="宋体" w:hAnsi="宋体" w:cs="宋体"/>
                <w:color w:val="auto"/>
                <w:highlight w:val="none"/>
              </w:rPr>
            </w:pPr>
          </w:p>
        </w:tc>
        <w:tc>
          <w:tcPr>
            <w:tcW w:w="1704" w:type="dxa"/>
            <w:vAlign w:val="center"/>
          </w:tcPr>
          <w:p w14:paraId="35F5D810">
            <w:pPr>
              <w:jc w:val="center"/>
              <w:rPr>
                <w:rFonts w:ascii="宋体" w:hAnsi="宋体" w:cs="宋体"/>
                <w:color w:val="auto"/>
                <w:highlight w:val="none"/>
              </w:rPr>
            </w:pPr>
          </w:p>
        </w:tc>
        <w:tc>
          <w:tcPr>
            <w:tcW w:w="1704" w:type="dxa"/>
            <w:vAlign w:val="center"/>
          </w:tcPr>
          <w:p w14:paraId="24651E84">
            <w:pPr>
              <w:jc w:val="center"/>
              <w:rPr>
                <w:rFonts w:ascii="宋体" w:hAnsi="宋体" w:cs="宋体"/>
                <w:color w:val="auto"/>
                <w:highlight w:val="none"/>
              </w:rPr>
            </w:pPr>
          </w:p>
        </w:tc>
        <w:tc>
          <w:tcPr>
            <w:tcW w:w="1705" w:type="dxa"/>
            <w:vAlign w:val="center"/>
          </w:tcPr>
          <w:p w14:paraId="54102949">
            <w:pPr>
              <w:jc w:val="center"/>
              <w:rPr>
                <w:rFonts w:ascii="宋体" w:hAnsi="宋体" w:cs="宋体"/>
                <w:color w:val="auto"/>
                <w:highlight w:val="none"/>
              </w:rPr>
            </w:pPr>
          </w:p>
        </w:tc>
        <w:tc>
          <w:tcPr>
            <w:tcW w:w="1705" w:type="dxa"/>
            <w:vAlign w:val="center"/>
          </w:tcPr>
          <w:p w14:paraId="64083063">
            <w:pPr>
              <w:jc w:val="center"/>
              <w:rPr>
                <w:rFonts w:ascii="宋体" w:hAnsi="宋体" w:cs="宋体"/>
                <w:color w:val="auto"/>
                <w:highlight w:val="none"/>
              </w:rPr>
            </w:pPr>
          </w:p>
        </w:tc>
      </w:tr>
      <w:tr w14:paraId="2639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F632535">
            <w:pPr>
              <w:rPr>
                <w:rFonts w:ascii="宋体" w:hAnsi="宋体" w:cs="宋体"/>
                <w:color w:val="auto"/>
                <w:highlight w:val="none"/>
              </w:rPr>
            </w:pPr>
            <w:r>
              <w:rPr>
                <w:rFonts w:hint="eastAsia" w:ascii="宋体" w:hAnsi="宋体" w:cs="宋体"/>
                <w:color w:val="auto"/>
                <w:highlight w:val="none"/>
              </w:rPr>
              <w:t>技术评审</w:t>
            </w:r>
          </w:p>
        </w:tc>
      </w:tr>
      <w:tr w14:paraId="5466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E87D72D">
            <w:pPr>
              <w:jc w:val="center"/>
              <w:rPr>
                <w:rFonts w:ascii="宋体" w:hAnsi="宋体" w:cs="宋体"/>
                <w:color w:val="auto"/>
                <w:highlight w:val="none"/>
              </w:rPr>
            </w:pPr>
          </w:p>
        </w:tc>
        <w:tc>
          <w:tcPr>
            <w:tcW w:w="1704" w:type="dxa"/>
            <w:vAlign w:val="center"/>
          </w:tcPr>
          <w:p w14:paraId="5BD224EB">
            <w:pPr>
              <w:jc w:val="center"/>
              <w:rPr>
                <w:rFonts w:ascii="宋体" w:hAnsi="宋体" w:cs="宋体"/>
                <w:color w:val="auto"/>
                <w:highlight w:val="none"/>
              </w:rPr>
            </w:pPr>
          </w:p>
        </w:tc>
        <w:tc>
          <w:tcPr>
            <w:tcW w:w="1704" w:type="dxa"/>
            <w:vAlign w:val="center"/>
          </w:tcPr>
          <w:p w14:paraId="4C56D2A0">
            <w:pPr>
              <w:jc w:val="center"/>
              <w:rPr>
                <w:rFonts w:ascii="宋体" w:hAnsi="宋体" w:cs="宋体"/>
                <w:color w:val="auto"/>
                <w:highlight w:val="none"/>
              </w:rPr>
            </w:pPr>
          </w:p>
        </w:tc>
        <w:tc>
          <w:tcPr>
            <w:tcW w:w="1705" w:type="dxa"/>
            <w:vAlign w:val="center"/>
          </w:tcPr>
          <w:p w14:paraId="4ED8E25A">
            <w:pPr>
              <w:jc w:val="center"/>
              <w:rPr>
                <w:rFonts w:ascii="宋体" w:hAnsi="宋体" w:cs="宋体"/>
                <w:color w:val="auto"/>
                <w:highlight w:val="none"/>
              </w:rPr>
            </w:pPr>
          </w:p>
        </w:tc>
        <w:tc>
          <w:tcPr>
            <w:tcW w:w="1705" w:type="dxa"/>
            <w:vAlign w:val="center"/>
          </w:tcPr>
          <w:p w14:paraId="4EFE5F86">
            <w:pPr>
              <w:jc w:val="center"/>
              <w:rPr>
                <w:rFonts w:ascii="宋体" w:hAnsi="宋体" w:cs="宋体"/>
                <w:color w:val="auto"/>
                <w:highlight w:val="none"/>
              </w:rPr>
            </w:pPr>
          </w:p>
        </w:tc>
      </w:tr>
      <w:tr w14:paraId="166C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6352312">
            <w:pPr>
              <w:jc w:val="center"/>
              <w:rPr>
                <w:rFonts w:ascii="宋体" w:hAnsi="宋体" w:cs="宋体"/>
                <w:color w:val="auto"/>
                <w:highlight w:val="none"/>
              </w:rPr>
            </w:pPr>
          </w:p>
        </w:tc>
        <w:tc>
          <w:tcPr>
            <w:tcW w:w="1704" w:type="dxa"/>
            <w:vAlign w:val="center"/>
          </w:tcPr>
          <w:p w14:paraId="30810ABF">
            <w:pPr>
              <w:jc w:val="center"/>
              <w:rPr>
                <w:rFonts w:ascii="宋体" w:hAnsi="宋体" w:cs="宋体"/>
                <w:color w:val="auto"/>
                <w:highlight w:val="none"/>
              </w:rPr>
            </w:pPr>
          </w:p>
        </w:tc>
        <w:tc>
          <w:tcPr>
            <w:tcW w:w="1704" w:type="dxa"/>
            <w:vAlign w:val="center"/>
          </w:tcPr>
          <w:p w14:paraId="3CB24B55">
            <w:pPr>
              <w:jc w:val="center"/>
              <w:rPr>
                <w:rFonts w:ascii="宋体" w:hAnsi="宋体" w:cs="宋体"/>
                <w:color w:val="auto"/>
                <w:highlight w:val="none"/>
              </w:rPr>
            </w:pPr>
          </w:p>
        </w:tc>
        <w:tc>
          <w:tcPr>
            <w:tcW w:w="1705" w:type="dxa"/>
            <w:vAlign w:val="center"/>
          </w:tcPr>
          <w:p w14:paraId="6E2786C4">
            <w:pPr>
              <w:jc w:val="center"/>
              <w:rPr>
                <w:rFonts w:ascii="宋体" w:hAnsi="宋体" w:cs="宋体"/>
                <w:color w:val="auto"/>
                <w:highlight w:val="none"/>
              </w:rPr>
            </w:pPr>
          </w:p>
        </w:tc>
        <w:tc>
          <w:tcPr>
            <w:tcW w:w="1705" w:type="dxa"/>
            <w:vAlign w:val="center"/>
          </w:tcPr>
          <w:p w14:paraId="42042180">
            <w:pPr>
              <w:jc w:val="center"/>
              <w:rPr>
                <w:rFonts w:ascii="宋体" w:hAnsi="宋体" w:cs="宋体"/>
                <w:color w:val="auto"/>
                <w:highlight w:val="none"/>
              </w:rPr>
            </w:pPr>
          </w:p>
        </w:tc>
      </w:tr>
      <w:tr w14:paraId="7103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7E4A0C5">
            <w:pPr>
              <w:jc w:val="center"/>
              <w:rPr>
                <w:rFonts w:ascii="宋体" w:hAnsi="宋体" w:cs="宋体"/>
                <w:color w:val="auto"/>
                <w:highlight w:val="none"/>
              </w:rPr>
            </w:pPr>
          </w:p>
        </w:tc>
        <w:tc>
          <w:tcPr>
            <w:tcW w:w="1704" w:type="dxa"/>
            <w:vAlign w:val="center"/>
          </w:tcPr>
          <w:p w14:paraId="27D09091">
            <w:pPr>
              <w:jc w:val="center"/>
              <w:rPr>
                <w:rFonts w:ascii="宋体" w:hAnsi="宋体" w:cs="宋体"/>
                <w:color w:val="auto"/>
                <w:highlight w:val="none"/>
              </w:rPr>
            </w:pPr>
          </w:p>
        </w:tc>
        <w:tc>
          <w:tcPr>
            <w:tcW w:w="1704" w:type="dxa"/>
            <w:vAlign w:val="center"/>
          </w:tcPr>
          <w:p w14:paraId="2EB84DD8">
            <w:pPr>
              <w:jc w:val="center"/>
              <w:rPr>
                <w:rFonts w:ascii="宋体" w:hAnsi="宋体" w:cs="宋体"/>
                <w:color w:val="auto"/>
                <w:highlight w:val="none"/>
              </w:rPr>
            </w:pPr>
          </w:p>
        </w:tc>
        <w:tc>
          <w:tcPr>
            <w:tcW w:w="1705" w:type="dxa"/>
            <w:vAlign w:val="center"/>
          </w:tcPr>
          <w:p w14:paraId="5D5F7AB8">
            <w:pPr>
              <w:jc w:val="center"/>
              <w:rPr>
                <w:rFonts w:ascii="宋体" w:hAnsi="宋体" w:cs="宋体"/>
                <w:color w:val="auto"/>
                <w:highlight w:val="none"/>
              </w:rPr>
            </w:pPr>
          </w:p>
        </w:tc>
        <w:tc>
          <w:tcPr>
            <w:tcW w:w="1705" w:type="dxa"/>
            <w:vAlign w:val="center"/>
          </w:tcPr>
          <w:p w14:paraId="18533C46">
            <w:pPr>
              <w:jc w:val="center"/>
              <w:rPr>
                <w:rFonts w:ascii="宋体" w:hAnsi="宋体" w:cs="宋体"/>
                <w:color w:val="auto"/>
                <w:highlight w:val="none"/>
              </w:rPr>
            </w:pPr>
          </w:p>
        </w:tc>
      </w:tr>
    </w:tbl>
    <w:p w14:paraId="7E8E2277">
      <w:pPr>
        <w:rPr>
          <w:rFonts w:ascii="宋体" w:hAnsi="宋体"/>
          <w:color w:val="auto"/>
          <w:szCs w:val="21"/>
          <w:highlight w:val="none"/>
        </w:rPr>
      </w:pPr>
    </w:p>
    <w:p w14:paraId="261587BC">
      <w:pPr>
        <w:rPr>
          <w:rFonts w:ascii="宋体" w:hAnsi="宋体"/>
          <w:color w:val="auto"/>
          <w:szCs w:val="21"/>
          <w:highlight w:val="none"/>
        </w:rPr>
      </w:pPr>
      <w:r>
        <w:rPr>
          <w:rFonts w:hint="eastAsia" w:ascii="宋体" w:hAnsi="宋体"/>
          <w:color w:val="auto"/>
          <w:szCs w:val="21"/>
          <w:highlight w:val="none"/>
        </w:rPr>
        <w:t>注：</w:t>
      </w:r>
    </w:p>
    <w:p w14:paraId="1DE60C0F">
      <w:pPr>
        <w:numPr>
          <w:ilvl w:val="0"/>
          <w:numId w:val="8"/>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09BF133F">
      <w:pPr>
        <w:pStyle w:val="3"/>
        <w:spacing w:before="0"/>
        <w:ind w:left="0"/>
        <w:rPr>
          <w:color w:val="auto"/>
          <w:highlight w:val="none"/>
        </w:rPr>
      </w:pPr>
    </w:p>
    <w:p w14:paraId="450BC434">
      <w:pPr>
        <w:adjustRightInd/>
        <w:snapToGrid/>
        <w:spacing w:line="276" w:lineRule="auto"/>
        <w:rPr>
          <w:rFonts w:ascii="宋体" w:hAnsi="宋体"/>
          <w:color w:val="auto"/>
          <w:szCs w:val="21"/>
          <w:highlight w:val="none"/>
        </w:rPr>
      </w:pPr>
    </w:p>
    <w:p w14:paraId="336816F2">
      <w:pPr>
        <w:adjustRightInd/>
        <w:snapToGrid/>
        <w:spacing w:line="276" w:lineRule="auto"/>
        <w:rPr>
          <w:rFonts w:ascii="宋体" w:hAnsi="宋体"/>
          <w:color w:val="auto"/>
          <w:szCs w:val="21"/>
          <w:highlight w:val="none"/>
        </w:rPr>
      </w:pPr>
    </w:p>
    <w:p w14:paraId="685D7D06">
      <w:pPr>
        <w:adjustRightInd/>
        <w:snapToGrid/>
        <w:spacing w:line="276" w:lineRule="auto"/>
        <w:rPr>
          <w:rFonts w:ascii="宋体" w:hAnsi="宋体"/>
          <w:color w:val="auto"/>
          <w:szCs w:val="21"/>
          <w:highlight w:val="none"/>
        </w:rPr>
      </w:pPr>
    </w:p>
    <w:p w14:paraId="395D7FB0">
      <w:pPr>
        <w:adjustRightInd/>
        <w:snapToGrid/>
        <w:spacing w:line="276" w:lineRule="auto"/>
        <w:rPr>
          <w:rFonts w:ascii="宋体" w:hAnsi="宋体"/>
          <w:color w:val="auto"/>
          <w:szCs w:val="21"/>
          <w:highlight w:val="none"/>
        </w:rPr>
      </w:pPr>
    </w:p>
    <w:p w14:paraId="31761449">
      <w:pPr>
        <w:adjustRightInd/>
        <w:snapToGrid/>
        <w:spacing w:line="276" w:lineRule="auto"/>
        <w:rPr>
          <w:rFonts w:ascii="宋体" w:hAnsi="宋体"/>
          <w:color w:val="auto"/>
          <w:szCs w:val="21"/>
          <w:highlight w:val="none"/>
        </w:rPr>
      </w:pPr>
    </w:p>
    <w:p w14:paraId="5203B417">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064F7630">
      <w:pPr>
        <w:jc w:val="center"/>
        <w:rPr>
          <w:rFonts w:ascii="黑体" w:eastAsia="黑体"/>
          <w:color w:val="auto"/>
          <w:sz w:val="52"/>
          <w:szCs w:val="52"/>
          <w:highlight w:val="none"/>
        </w:rPr>
      </w:pPr>
      <w:bookmarkStart w:id="111" w:name="_Toc30918"/>
      <w:bookmarkStart w:id="112" w:name="_Toc18450"/>
      <w:bookmarkStart w:id="113" w:name="_Toc20335"/>
      <w:bookmarkStart w:id="114" w:name="_Toc28154"/>
      <w:bookmarkStart w:id="115" w:name="_Toc21746"/>
    </w:p>
    <w:p w14:paraId="666B3D8F">
      <w:pPr>
        <w:pStyle w:val="5"/>
        <w:spacing w:before="0" w:after="0" w:line="360" w:lineRule="auto"/>
        <w:jc w:val="center"/>
        <w:rPr>
          <w:color w:val="auto"/>
          <w:sz w:val="72"/>
          <w:szCs w:val="72"/>
          <w:highlight w:val="none"/>
        </w:rPr>
      </w:pPr>
      <w:bookmarkStart w:id="116" w:name="_Toc22653"/>
      <w:r>
        <w:rPr>
          <w:rFonts w:hint="eastAsia"/>
          <w:color w:val="auto"/>
          <w:sz w:val="72"/>
          <w:szCs w:val="72"/>
          <w:highlight w:val="none"/>
        </w:rPr>
        <w:t>价格文件</w:t>
      </w:r>
      <w:bookmarkEnd w:id="111"/>
      <w:bookmarkEnd w:id="112"/>
      <w:bookmarkEnd w:id="116"/>
      <w:bookmarkStart w:id="117" w:name="_Hlt10519799"/>
      <w:bookmarkEnd w:id="117"/>
      <w:bookmarkStart w:id="118" w:name="_Hlt10456397"/>
      <w:bookmarkEnd w:id="118"/>
    </w:p>
    <w:p w14:paraId="7A27497B">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13"/>
      <w:bookmarkEnd w:id="114"/>
      <w:bookmarkEnd w:id="115"/>
    </w:p>
    <w:p w14:paraId="6C1EE971">
      <w:pPr>
        <w:rPr>
          <w:color w:val="auto"/>
          <w:highlight w:val="none"/>
        </w:rPr>
      </w:pPr>
    </w:p>
    <w:p w14:paraId="0597A02C">
      <w:pPr>
        <w:pStyle w:val="3"/>
        <w:rPr>
          <w:color w:val="auto"/>
          <w:highlight w:val="none"/>
        </w:rPr>
      </w:pPr>
    </w:p>
    <w:p w14:paraId="0672E698">
      <w:pPr>
        <w:pStyle w:val="2"/>
        <w:ind w:firstLine="240"/>
        <w:rPr>
          <w:color w:val="auto"/>
          <w:highlight w:val="none"/>
        </w:rPr>
      </w:pPr>
    </w:p>
    <w:p w14:paraId="1EA78659">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1651730569"/>
        </w:rPr>
        <w:t>项目名</w:t>
      </w:r>
      <w:r>
        <w:rPr>
          <w:rFonts w:hint="eastAsia" w:ascii="宋体" w:hAnsi="宋体" w:cs="宋体"/>
          <w:b/>
          <w:bCs/>
          <w:color w:val="auto"/>
          <w:spacing w:val="1"/>
          <w:kern w:val="0"/>
          <w:sz w:val="32"/>
          <w:szCs w:val="32"/>
          <w:highlight w:val="none"/>
          <w:fitText w:val="1600" w:id="1651730569"/>
        </w:rPr>
        <w:t>称</w:t>
      </w:r>
      <w:r>
        <w:rPr>
          <w:rFonts w:hint="eastAsia" w:ascii="宋体" w:hAnsi="宋体" w:cs="宋体"/>
          <w:b/>
          <w:bCs/>
          <w:color w:val="auto"/>
          <w:spacing w:val="-6"/>
          <w:sz w:val="32"/>
          <w:szCs w:val="32"/>
          <w:highlight w:val="none"/>
        </w:rPr>
        <w:t>：</w:t>
      </w:r>
    </w:p>
    <w:p w14:paraId="0FA36204">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
        </w:rPr>
        <w:t>项目编</w:t>
      </w:r>
      <w:r>
        <w:rPr>
          <w:rFonts w:hint="eastAsia" w:ascii="宋体" w:hAnsi="宋体" w:cs="宋体"/>
          <w:b/>
          <w:bCs/>
          <w:color w:val="auto"/>
          <w:spacing w:val="1"/>
          <w:kern w:val="0"/>
          <w:sz w:val="32"/>
          <w:szCs w:val="32"/>
          <w:highlight w:val="none"/>
          <w:fitText w:val="1600" w:id="1"/>
        </w:rPr>
        <w:t>号</w:t>
      </w:r>
      <w:r>
        <w:rPr>
          <w:rFonts w:hint="eastAsia" w:ascii="宋体" w:hAnsi="宋体" w:cs="宋体"/>
          <w:b/>
          <w:bCs/>
          <w:color w:val="auto"/>
          <w:sz w:val="32"/>
          <w:szCs w:val="32"/>
          <w:highlight w:val="none"/>
        </w:rPr>
        <w:t>：</w:t>
      </w:r>
    </w:p>
    <w:p w14:paraId="287A3EAB">
      <w:pPr>
        <w:pStyle w:val="25"/>
        <w:widowControl/>
        <w:adjustRightInd w:val="0"/>
        <w:snapToGrid w:val="0"/>
        <w:spacing w:before="161" w:afterAutospacing="1"/>
        <w:jc w:val="left"/>
        <w:rPr>
          <w:rFonts w:ascii="宋体" w:hAnsi="宋体" w:cs="宋体"/>
          <w:b/>
          <w:color w:val="auto"/>
          <w:w w:val="83"/>
          <w:kern w:val="0"/>
          <w:sz w:val="32"/>
          <w:szCs w:val="32"/>
          <w:highlight w:val="none"/>
        </w:rPr>
      </w:pPr>
      <w:r>
        <w:rPr>
          <w:rFonts w:hint="eastAsia" w:ascii="宋体" w:hAnsi="宋体" w:cs="宋体"/>
          <w:b/>
          <w:color w:val="auto"/>
          <w:spacing w:val="106"/>
          <w:kern w:val="0"/>
          <w:sz w:val="32"/>
          <w:szCs w:val="32"/>
          <w:highlight w:val="none"/>
          <w:lang w:bidi="ar"/>
        </w:rPr>
        <w:t>包组号（如有）：</w:t>
      </w:r>
    </w:p>
    <w:p w14:paraId="22575C1A">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
        </w:rPr>
        <w:t>投标人名称</w:t>
      </w:r>
      <w:r>
        <w:rPr>
          <w:rFonts w:hint="eastAsia" w:ascii="宋体" w:hAnsi="宋体" w:cs="宋体"/>
          <w:b/>
          <w:color w:val="auto"/>
          <w:sz w:val="32"/>
          <w:szCs w:val="32"/>
          <w:highlight w:val="none"/>
        </w:rPr>
        <w:t>：</w:t>
      </w:r>
    </w:p>
    <w:p w14:paraId="023E5B90">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3"/>
        </w:rPr>
        <w:t xml:space="preserve">日    </w:t>
      </w:r>
      <w:r>
        <w:rPr>
          <w:rFonts w:hint="eastAsia" w:ascii="宋体" w:hAnsi="宋体" w:cs="宋体"/>
          <w:b/>
          <w:color w:val="auto"/>
          <w:spacing w:val="0"/>
          <w:kern w:val="0"/>
          <w:sz w:val="32"/>
          <w:szCs w:val="32"/>
          <w:highlight w:val="none"/>
          <w:fitText w:val="1600" w:id="3"/>
        </w:rPr>
        <w:t>期</w:t>
      </w:r>
      <w:r>
        <w:rPr>
          <w:rFonts w:hint="eastAsia" w:ascii="宋体" w:hAnsi="宋体" w:cs="宋体"/>
          <w:b/>
          <w:color w:val="auto"/>
          <w:sz w:val="32"/>
          <w:szCs w:val="32"/>
          <w:highlight w:val="none"/>
        </w:rPr>
        <w:t>：</w:t>
      </w:r>
    </w:p>
    <w:p w14:paraId="36EB07D4">
      <w:pPr>
        <w:rPr>
          <w:color w:val="auto"/>
          <w:highlight w:val="none"/>
        </w:rPr>
      </w:pPr>
    </w:p>
    <w:p w14:paraId="7547BAA2">
      <w:pPr>
        <w:pStyle w:val="3"/>
        <w:rPr>
          <w:color w:val="auto"/>
          <w:highlight w:val="none"/>
        </w:rPr>
      </w:pPr>
    </w:p>
    <w:p w14:paraId="72A6D071">
      <w:pPr>
        <w:pStyle w:val="2"/>
        <w:ind w:firstLine="240"/>
        <w:rPr>
          <w:color w:val="auto"/>
          <w:highlight w:val="none"/>
        </w:rPr>
      </w:pPr>
    </w:p>
    <w:p w14:paraId="0C99A64A">
      <w:pPr>
        <w:pStyle w:val="22"/>
        <w:rPr>
          <w:color w:val="auto"/>
          <w:highlight w:val="none"/>
        </w:rPr>
      </w:pPr>
    </w:p>
    <w:p w14:paraId="60496589">
      <w:pPr>
        <w:rPr>
          <w:color w:val="auto"/>
          <w:highlight w:val="none"/>
        </w:rPr>
      </w:pPr>
    </w:p>
    <w:p w14:paraId="709D3C93">
      <w:pPr>
        <w:pStyle w:val="3"/>
        <w:rPr>
          <w:color w:val="auto"/>
          <w:highlight w:val="none"/>
        </w:rPr>
      </w:pPr>
    </w:p>
    <w:p w14:paraId="70A966FC">
      <w:pPr>
        <w:pStyle w:val="2"/>
        <w:ind w:firstLine="240"/>
        <w:rPr>
          <w:color w:val="auto"/>
          <w:highlight w:val="none"/>
        </w:rPr>
      </w:pPr>
    </w:p>
    <w:p w14:paraId="31D3F08E">
      <w:pPr>
        <w:pStyle w:val="22"/>
        <w:rPr>
          <w:color w:val="auto"/>
          <w:highlight w:val="none"/>
        </w:rPr>
      </w:pPr>
    </w:p>
    <w:p w14:paraId="56C4C998">
      <w:pPr>
        <w:pStyle w:val="22"/>
        <w:ind w:left="0"/>
        <w:rPr>
          <w:color w:val="auto"/>
          <w:highlight w:val="none"/>
        </w:rPr>
      </w:pPr>
    </w:p>
    <w:p w14:paraId="0E150FF5">
      <w:pPr>
        <w:rPr>
          <w:rFonts w:ascii="宋体" w:hAnsi="宋体"/>
          <w:color w:val="auto"/>
          <w:szCs w:val="21"/>
          <w:highlight w:val="none"/>
        </w:rPr>
      </w:pPr>
      <w:r>
        <w:rPr>
          <w:rFonts w:hint="eastAsia" w:ascii="宋体" w:hAnsi="宋体"/>
          <w:color w:val="auto"/>
          <w:szCs w:val="21"/>
          <w:highlight w:val="none"/>
        </w:rPr>
        <w:br w:type="page"/>
      </w:r>
    </w:p>
    <w:p w14:paraId="5D3FFA48">
      <w:pPr>
        <w:pStyle w:val="7"/>
        <w:widowControl w:val="0"/>
        <w:overflowPunct w:val="0"/>
        <w:spacing w:line="240" w:lineRule="auto"/>
        <w:rPr>
          <w:rFonts w:ascii="宋体" w:hAnsi="宋体"/>
          <w:color w:val="auto"/>
          <w:sz w:val="21"/>
          <w:szCs w:val="21"/>
          <w:highlight w:val="none"/>
        </w:rPr>
      </w:pPr>
      <w:bookmarkStart w:id="119" w:name="_Toc13944"/>
      <w:r>
        <w:rPr>
          <w:rFonts w:hint="eastAsia" w:ascii="宋体" w:hAnsi="宋体"/>
          <w:color w:val="auto"/>
          <w:sz w:val="21"/>
          <w:szCs w:val="21"/>
          <w:highlight w:val="none"/>
        </w:rPr>
        <w:t>附件2.开标一览表格式</w:t>
      </w:r>
      <w:bookmarkEnd w:id="119"/>
    </w:p>
    <w:p w14:paraId="099D9403">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5B17AA2F">
      <w:pPr>
        <w:rPr>
          <w:rFonts w:ascii="宋体" w:hAnsi="宋体"/>
          <w:color w:val="auto"/>
          <w:szCs w:val="21"/>
          <w:highlight w:val="none"/>
        </w:rPr>
      </w:pPr>
      <w:r>
        <w:rPr>
          <w:rFonts w:hint="eastAsia" w:ascii="宋体" w:hAnsi="宋体"/>
          <w:color w:val="auto"/>
          <w:szCs w:val="21"/>
          <w:highlight w:val="none"/>
        </w:rPr>
        <w:t>投标人名称：</w:t>
      </w:r>
    </w:p>
    <w:p w14:paraId="114E9132">
      <w:pPr>
        <w:rPr>
          <w:rFonts w:hint="eastAsia" w:ascii="宋体" w:hAnsi="宋体"/>
          <w:color w:val="auto"/>
          <w:szCs w:val="21"/>
          <w:highlight w:val="none"/>
        </w:rPr>
      </w:pPr>
      <w:r>
        <w:rPr>
          <w:rFonts w:hint="eastAsia" w:ascii="宋体" w:hAnsi="宋体"/>
          <w:color w:val="auto"/>
          <w:szCs w:val="21"/>
          <w:highlight w:val="none"/>
        </w:rPr>
        <w:t>采购项目编号：</w:t>
      </w:r>
    </w:p>
    <w:tbl>
      <w:tblPr>
        <w:tblStyle w:val="27"/>
        <w:tblW w:w="89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91"/>
        <w:gridCol w:w="2913"/>
        <w:gridCol w:w="1175"/>
      </w:tblGrid>
      <w:tr w14:paraId="1B2B5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4891" w:type="dxa"/>
            <w:noWrap w:val="0"/>
            <w:vAlign w:val="center"/>
          </w:tcPr>
          <w:p w14:paraId="488C560A">
            <w:pPr>
              <w:wordWrap w:val="0"/>
              <w:overflowPunct w:val="0"/>
              <w:adjustRightInd w:val="0"/>
              <w:spacing w:line="46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2913" w:type="dxa"/>
            <w:noWrap w:val="0"/>
            <w:vAlign w:val="center"/>
          </w:tcPr>
          <w:p w14:paraId="5C8AB388">
            <w:pPr>
              <w:wordWrap w:val="0"/>
              <w:overflowPunct w:val="0"/>
              <w:adjustRightInd w:val="0"/>
              <w:spacing w:line="460" w:lineRule="exact"/>
              <w:jc w:val="center"/>
              <w:rPr>
                <w:rFonts w:hint="eastAsia" w:ascii="宋体" w:hAnsi="宋体"/>
                <w:b/>
                <w:color w:val="auto"/>
                <w:sz w:val="24"/>
                <w:highlight w:val="none"/>
              </w:rPr>
            </w:pPr>
            <w:r>
              <w:rPr>
                <w:rFonts w:hint="eastAsia" w:ascii="宋体" w:hAnsi="宋体"/>
                <w:b/>
                <w:color w:val="auto"/>
                <w:sz w:val="24"/>
                <w:highlight w:val="none"/>
              </w:rPr>
              <w:t>下浮率（单位：%）</w:t>
            </w:r>
          </w:p>
        </w:tc>
        <w:tc>
          <w:tcPr>
            <w:tcW w:w="1175" w:type="dxa"/>
            <w:noWrap w:val="0"/>
            <w:vAlign w:val="center"/>
          </w:tcPr>
          <w:p w14:paraId="52EC0B27">
            <w:pPr>
              <w:wordWrap w:val="0"/>
              <w:overflowPunct w:val="0"/>
              <w:adjustRightInd w:val="0"/>
              <w:spacing w:line="460" w:lineRule="exact"/>
              <w:jc w:val="center"/>
              <w:rPr>
                <w:rFonts w:hint="eastAsia" w:ascii="宋体" w:hAnsi="宋体"/>
                <w:b/>
                <w:color w:val="auto"/>
                <w:sz w:val="24"/>
                <w:highlight w:val="none"/>
              </w:rPr>
            </w:pPr>
            <w:r>
              <w:rPr>
                <w:rFonts w:hint="eastAsia" w:ascii="宋体" w:hAnsi="宋体"/>
                <w:b/>
                <w:color w:val="auto"/>
                <w:sz w:val="24"/>
                <w:highlight w:val="none"/>
              </w:rPr>
              <w:t>备注</w:t>
            </w:r>
          </w:p>
        </w:tc>
      </w:tr>
      <w:tr w14:paraId="34D5E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8" w:hRule="atLeast"/>
          <w:jc w:val="center"/>
        </w:trPr>
        <w:tc>
          <w:tcPr>
            <w:tcW w:w="4891" w:type="dxa"/>
            <w:noWrap w:val="0"/>
            <w:vAlign w:val="center"/>
          </w:tcPr>
          <w:p w14:paraId="757A432A">
            <w:pPr>
              <w:wordWrap w:val="0"/>
              <w:overflowPunct w:val="0"/>
              <w:adjustRightInd w:val="0"/>
              <w:spacing w:line="460" w:lineRule="exact"/>
              <w:jc w:val="center"/>
              <w:rPr>
                <w:rFonts w:ascii="宋体" w:hAnsi="宋体"/>
                <w:color w:val="auto"/>
                <w:sz w:val="24"/>
                <w:highlight w:val="none"/>
              </w:rPr>
            </w:pPr>
          </w:p>
        </w:tc>
        <w:tc>
          <w:tcPr>
            <w:tcW w:w="2913" w:type="dxa"/>
            <w:noWrap w:val="0"/>
            <w:vAlign w:val="center"/>
          </w:tcPr>
          <w:p w14:paraId="7F7F7BD3">
            <w:pPr>
              <w:wordWrap w:val="0"/>
              <w:overflowPunct w:val="0"/>
              <w:adjustRightInd w:val="0"/>
              <w:spacing w:line="460" w:lineRule="exact"/>
              <w:jc w:val="center"/>
              <w:rPr>
                <w:rFonts w:ascii="宋体" w:hAnsi="宋体"/>
                <w:color w:val="auto"/>
                <w:sz w:val="24"/>
                <w:highlight w:val="none"/>
              </w:rPr>
            </w:pPr>
          </w:p>
        </w:tc>
        <w:tc>
          <w:tcPr>
            <w:tcW w:w="1175" w:type="dxa"/>
            <w:noWrap w:val="0"/>
            <w:vAlign w:val="center"/>
          </w:tcPr>
          <w:p w14:paraId="2D479740">
            <w:pPr>
              <w:wordWrap w:val="0"/>
              <w:overflowPunct w:val="0"/>
              <w:adjustRightInd w:val="0"/>
              <w:spacing w:line="460" w:lineRule="exact"/>
              <w:jc w:val="center"/>
              <w:rPr>
                <w:rFonts w:ascii="宋体" w:hAnsi="宋体"/>
                <w:color w:val="auto"/>
                <w:sz w:val="24"/>
                <w:highlight w:val="none"/>
              </w:rPr>
            </w:pPr>
          </w:p>
        </w:tc>
      </w:tr>
    </w:tbl>
    <w:p w14:paraId="26432A9C">
      <w:pPr>
        <w:pStyle w:val="37"/>
        <w:rPr>
          <w:rFonts w:hint="eastAsia"/>
          <w:color w:val="auto"/>
        </w:rPr>
      </w:pPr>
    </w:p>
    <w:p w14:paraId="3670AED7">
      <w:pPr>
        <w:rPr>
          <w:rFonts w:ascii="宋体" w:hAnsi="宋体"/>
          <w:color w:val="auto"/>
          <w:szCs w:val="21"/>
          <w:highlight w:val="none"/>
        </w:rPr>
      </w:pPr>
      <w:r>
        <w:rPr>
          <w:rFonts w:hint="eastAsia" w:ascii="宋体" w:hAnsi="宋体"/>
          <w:color w:val="auto"/>
          <w:szCs w:val="21"/>
          <w:highlight w:val="none"/>
        </w:rPr>
        <w:t>投标人代表签字：</w:t>
      </w:r>
    </w:p>
    <w:p w14:paraId="53A12F0A">
      <w:pPr>
        <w:rPr>
          <w:rFonts w:ascii="宋体" w:hAnsi="宋体"/>
          <w:color w:val="auto"/>
          <w:szCs w:val="21"/>
          <w:highlight w:val="none"/>
        </w:rPr>
      </w:pPr>
      <w:r>
        <w:rPr>
          <w:rFonts w:hint="eastAsia" w:ascii="宋体" w:hAnsi="宋体"/>
          <w:color w:val="auto"/>
          <w:szCs w:val="21"/>
          <w:highlight w:val="none"/>
        </w:rPr>
        <w:t>投标人盖章：</w:t>
      </w:r>
    </w:p>
    <w:p w14:paraId="238244F9">
      <w:pPr>
        <w:rPr>
          <w:rFonts w:ascii="宋体" w:hAnsi="宋体"/>
          <w:color w:val="auto"/>
          <w:szCs w:val="21"/>
          <w:highlight w:val="none"/>
        </w:rPr>
      </w:pPr>
      <w:r>
        <w:rPr>
          <w:rFonts w:hint="eastAsia" w:ascii="宋体" w:hAnsi="宋体"/>
          <w:color w:val="auto"/>
          <w:szCs w:val="21"/>
          <w:highlight w:val="none"/>
        </w:rPr>
        <w:t>日期：</w:t>
      </w:r>
    </w:p>
    <w:p w14:paraId="1CAA27DD">
      <w:pPr>
        <w:ind w:left="391" w:hanging="390" w:hangingChars="186"/>
        <w:rPr>
          <w:rFonts w:hint="eastAsia" w:ascii="宋体" w:hAnsi="宋体"/>
          <w:color w:val="auto"/>
          <w:szCs w:val="21"/>
          <w:highlight w:val="none"/>
        </w:rPr>
      </w:pPr>
      <w:r>
        <w:rPr>
          <w:rFonts w:hint="eastAsia" w:ascii="宋体" w:hAnsi="宋体"/>
          <w:color w:val="auto"/>
          <w:szCs w:val="21"/>
          <w:highlight w:val="none"/>
        </w:rPr>
        <w:t xml:space="preserve">    </w:t>
      </w:r>
    </w:p>
    <w:p w14:paraId="7ADB19B3">
      <w:pPr>
        <w:ind w:left="391" w:hanging="390" w:hangingChars="186"/>
        <w:rPr>
          <w:rFonts w:ascii="宋体" w:hAnsi="宋体"/>
          <w:color w:val="auto"/>
          <w:szCs w:val="21"/>
          <w:highlight w:val="none"/>
        </w:rPr>
      </w:pPr>
      <w:r>
        <w:rPr>
          <w:rFonts w:hint="eastAsia" w:ascii="宋体" w:hAnsi="宋体"/>
          <w:color w:val="auto"/>
          <w:szCs w:val="21"/>
          <w:highlight w:val="none"/>
        </w:rPr>
        <w:t>注：</w:t>
      </w:r>
    </w:p>
    <w:p w14:paraId="15DBC87F">
      <w:pPr>
        <w:numPr>
          <w:ilvl w:val="0"/>
          <w:numId w:val="9"/>
        </w:numPr>
        <w:ind w:firstLine="420" w:firstLineChars="200"/>
        <w:rPr>
          <w:rFonts w:hint="eastAsia" w:ascii="宋体" w:hAnsi="宋体"/>
          <w:color w:val="auto"/>
          <w:sz w:val="21"/>
          <w:szCs w:val="21"/>
          <w:highlight w:val="none"/>
          <w:lang w:eastAsia="zh-CN"/>
        </w:rPr>
      </w:pPr>
      <w:r>
        <w:rPr>
          <w:rFonts w:hint="eastAsia" w:ascii="宋体" w:hAnsi="宋体"/>
          <w:color w:val="auto"/>
          <w:szCs w:val="21"/>
          <w:highlight w:val="none"/>
        </w:rPr>
        <w:t>投标人</w:t>
      </w:r>
      <w:r>
        <w:rPr>
          <w:rFonts w:hint="eastAsia" w:ascii="宋体" w:hAnsi="宋体"/>
          <w:color w:val="auto"/>
          <w:szCs w:val="21"/>
          <w:highlight w:val="none"/>
          <w:lang w:val="en-US" w:eastAsia="zh-CN"/>
        </w:rPr>
        <w:t>须</w:t>
      </w:r>
      <w:r>
        <w:rPr>
          <w:rFonts w:hint="eastAsia" w:ascii="宋体" w:hAnsi="宋体"/>
          <w:color w:val="auto"/>
          <w:szCs w:val="21"/>
          <w:highlight w:val="none"/>
        </w:rPr>
        <w:t>按照基准价执行下浮率大于10%（含10%）</w:t>
      </w:r>
      <w:r>
        <w:rPr>
          <w:rFonts w:hint="eastAsia" w:ascii="宋体" w:hAnsi="宋体"/>
          <w:color w:val="auto"/>
          <w:szCs w:val="21"/>
          <w:highlight w:val="none"/>
          <w:lang w:val="en-US" w:eastAsia="zh-CN"/>
        </w:rPr>
        <w:t>进行报价</w:t>
      </w:r>
      <w:r>
        <w:rPr>
          <w:rFonts w:hint="eastAsia" w:ascii="宋体" w:hAnsi="宋体"/>
          <w:color w:val="auto"/>
          <w:sz w:val="21"/>
          <w:szCs w:val="21"/>
          <w:highlight w:val="none"/>
          <w:lang w:eastAsia="zh-CN"/>
        </w:rPr>
        <w:t>。</w:t>
      </w:r>
    </w:p>
    <w:p w14:paraId="48AFFEFA">
      <w:pPr>
        <w:wordWrap w:val="0"/>
        <w:overflowPunct w:val="0"/>
        <w:spacing w:line="460" w:lineRule="exact"/>
        <w:ind w:firstLine="399" w:firstLineChars="190"/>
        <w:rPr>
          <w:rFonts w:hint="eastAsia" w:ascii="宋体" w:hAnsi="宋体"/>
          <w:color w:val="auto"/>
          <w:sz w:val="24"/>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.下浮</w:t>
      </w:r>
      <w:r>
        <w:rPr>
          <w:rFonts w:hint="eastAsia" w:ascii="宋体" w:hAnsi="宋体"/>
          <w:color w:val="auto"/>
          <w:sz w:val="21"/>
          <w:szCs w:val="21"/>
          <w:highlight w:val="none"/>
        </w:rPr>
        <w:t>率保留小数点后两位</w:t>
      </w:r>
      <w:r>
        <w:rPr>
          <w:rFonts w:hint="eastAsia" w:ascii="宋体" w:hAnsi="宋体"/>
          <w:color w:val="auto"/>
          <w:sz w:val="22"/>
          <w:szCs w:val="22"/>
          <w:highlight w:val="none"/>
        </w:rPr>
        <w:t>。</w:t>
      </w:r>
    </w:p>
    <w:p w14:paraId="6DEE9EF9">
      <w:pPr>
        <w:numPr>
          <w:ilvl w:val="0"/>
          <w:numId w:val="0"/>
        </w:numPr>
        <w:rPr>
          <w:rFonts w:ascii="宋体" w:hAnsi="宋体"/>
          <w:color w:val="auto"/>
          <w:szCs w:val="21"/>
          <w:highlight w:val="none"/>
        </w:rPr>
      </w:pPr>
      <w:bookmarkStart w:id="120" w:name="_Toc12412"/>
      <w:r>
        <w:rPr>
          <w:rFonts w:hint="eastAsia" w:ascii="宋体" w:hAnsi="宋体"/>
          <w:color w:val="auto"/>
          <w:szCs w:val="21"/>
          <w:highlight w:val="none"/>
        </w:rPr>
        <w:br w:type="page"/>
      </w:r>
    </w:p>
    <w:bookmarkEnd w:id="120"/>
    <w:p w14:paraId="5D028599">
      <w:pPr>
        <w:rPr>
          <w:color w:val="auto"/>
          <w:sz w:val="52"/>
          <w:szCs w:val="52"/>
          <w:highlight w:val="none"/>
        </w:rPr>
      </w:pPr>
    </w:p>
    <w:p w14:paraId="25B4B39A">
      <w:pPr>
        <w:pStyle w:val="5"/>
        <w:spacing w:before="0" w:after="0" w:line="360" w:lineRule="auto"/>
        <w:jc w:val="center"/>
        <w:rPr>
          <w:color w:val="auto"/>
          <w:sz w:val="72"/>
          <w:szCs w:val="72"/>
          <w:highlight w:val="none"/>
        </w:rPr>
      </w:pPr>
      <w:bookmarkStart w:id="121" w:name="_Toc19567"/>
      <w:r>
        <w:rPr>
          <w:rFonts w:hint="eastAsia"/>
          <w:color w:val="auto"/>
          <w:sz w:val="72"/>
          <w:szCs w:val="72"/>
          <w:highlight w:val="none"/>
        </w:rPr>
        <w:t>商务文件</w:t>
      </w:r>
      <w:bookmarkEnd w:id="121"/>
    </w:p>
    <w:p w14:paraId="738736C3">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11012514">
      <w:pPr>
        <w:rPr>
          <w:color w:val="auto"/>
          <w:highlight w:val="none"/>
        </w:rPr>
      </w:pPr>
    </w:p>
    <w:p w14:paraId="14969916">
      <w:pPr>
        <w:pStyle w:val="3"/>
        <w:rPr>
          <w:color w:val="auto"/>
          <w:highlight w:val="none"/>
        </w:rPr>
      </w:pPr>
    </w:p>
    <w:p w14:paraId="209E8467">
      <w:pPr>
        <w:pStyle w:val="2"/>
        <w:ind w:firstLine="240"/>
        <w:rPr>
          <w:color w:val="auto"/>
          <w:highlight w:val="none"/>
        </w:rPr>
      </w:pPr>
    </w:p>
    <w:p w14:paraId="1D40A79C">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4"/>
        </w:rPr>
        <w:t>项目名</w:t>
      </w:r>
      <w:r>
        <w:rPr>
          <w:rFonts w:hint="eastAsia" w:ascii="宋体" w:hAnsi="宋体" w:cs="宋体"/>
          <w:b/>
          <w:bCs/>
          <w:color w:val="auto"/>
          <w:spacing w:val="1"/>
          <w:kern w:val="0"/>
          <w:sz w:val="32"/>
          <w:szCs w:val="32"/>
          <w:highlight w:val="none"/>
          <w:fitText w:val="1600" w:id="4"/>
        </w:rPr>
        <w:t>称</w:t>
      </w:r>
      <w:r>
        <w:rPr>
          <w:rFonts w:hint="eastAsia" w:ascii="宋体" w:hAnsi="宋体" w:cs="宋体"/>
          <w:b/>
          <w:bCs/>
          <w:color w:val="auto"/>
          <w:spacing w:val="-6"/>
          <w:sz w:val="32"/>
          <w:szCs w:val="32"/>
          <w:highlight w:val="none"/>
        </w:rPr>
        <w:t>：</w:t>
      </w:r>
    </w:p>
    <w:p w14:paraId="561D115F">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5"/>
        </w:rPr>
        <w:t>项目编</w:t>
      </w:r>
      <w:r>
        <w:rPr>
          <w:rFonts w:hint="eastAsia" w:ascii="宋体" w:hAnsi="宋体" w:cs="宋体"/>
          <w:b/>
          <w:bCs/>
          <w:color w:val="auto"/>
          <w:spacing w:val="1"/>
          <w:kern w:val="0"/>
          <w:sz w:val="32"/>
          <w:szCs w:val="32"/>
          <w:highlight w:val="none"/>
          <w:fitText w:val="1600" w:id="5"/>
        </w:rPr>
        <w:t>号</w:t>
      </w:r>
      <w:r>
        <w:rPr>
          <w:rFonts w:hint="eastAsia" w:ascii="宋体" w:hAnsi="宋体" w:cs="宋体"/>
          <w:b/>
          <w:bCs/>
          <w:color w:val="auto"/>
          <w:sz w:val="32"/>
          <w:szCs w:val="32"/>
          <w:highlight w:val="none"/>
        </w:rPr>
        <w:t>：</w:t>
      </w:r>
    </w:p>
    <w:p w14:paraId="2EAE50B7">
      <w:pPr>
        <w:pStyle w:val="3"/>
        <w:ind w:left="0"/>
        <w:rPr>
          <w:b/>
          <w:color w:val="auto"/>
          <w:spacing w:val="1280"/>
          <w:sz w:val="32"/>
          <w:szCs w:val="32"/>
          <w:highlight w:val="none"/>
        </w:rPr>
      </w:pPr>
      <w:r>
        <w:rPr>
          <w:b/>
          <w:color w:val="auto"/>
          <w:spacing w:val="106"/>
          <w:sz w:val="32"/>
          <w:szCs w:val="32"/>
          <w:highlight w:val="none"/>
          <w:lang w:val="en-US" w:bidi="ar-SA"/>
        </w:rPr>
        <w:t>包组号（如有）：</w:t>
      </w:r>
    </w:p>
    <w:p w14:paraId="01DD2328">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6"/>
        </w:rPr>
        <w:t>投标人名称</w:t>
      </w:r>
      <w:r>
        <w:rPr>
          <w:rFonts w:hint="eastAsia" w:ascii="宋体" w:hAnsi="宋体" w:cs="宋体"/>
          <w:b/>
          <w:color w:val="auto"/>
          <w:sz w:val="32"/>
          <w:szCs w:val="32"/>
          <w:highlight w:val="none"/>
        </w:rPr>
        <w:t>：</w:t>
      </w:r>
    </w:p>
    <w:p w14:paraId="3E5DC2C6">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7"/>
        </w:rPr>
        <w:t xml:space="preserve">日    </w:t>
      </w:r>
      <w:r>
        <w:rPr>
          <w:rFonts w:hint="eastAsia" w:ascii="宋体" w:hAnsi="宋体" w:cs="宋体"/>
          <w:b/>
          <w:color w:val="auto"/>
          <w:spacing w:val="0"/>
          <w:kern w:val="0"/>
          <w:sz w:val="32"/>
          <w:szCs w:val="32"/>
          <w:highlight w:val="none"/>
          <w:fitText w:val="1600" w:id="7"/>
        </w:rPr>
        <w:t>期</w:t>
      </w:r>
      <w:r>
        <w:rPr>
          <w:rFonts w:hint="eastAsia" w:ascii="宋体" w:hAnsi="宋体" w:cs="宋体"/>
          <w:b/>
          <w:color w:val="auto"/>
          <w:sz w:val="32"/>
          <w:szCs w:val="32"/>
          <w:highlight w:val="none"/>
        </w:rPr>
        <w:t>：</w:t>
      </w:r>
    </w:p>
    <w:p w14:paraId="766AD88F">
      <w:pPr>
        <w:pStyle w:val="3"/>
        <w:rPr>
          <w:b/>
          <w:color w:val="auto"/>
          <w:sz w:val="32"/>
          <w:szCs w:val="32"/>
          <w:highlight w:val="none"/>
        </w:rPr>
      </w:pPr>
    </w:p>
    <w:p w14:paraId="31AD0E47">
      <w:pPr>
        <w:pStyle w:val="2"/>
        <w:ind w:firstLine="321"/>
        <w:rPr>
          <w:b/>
          <w:color w:val="auto"/>
          <w:sz w:val="32"/>
          <w:szCs w:val="32"/>
          <w:highlight w:val="none"/>
        </w:rPr>
      </w:pPr>
    </w:p>
    <w:p w14:paraId="619C1464">
      <w:pPr>
        <w:pStyle w:val="22"/>
        <w:rPr>
          <w:rFonts w:ascii="宋体" w:hAnsi="宋体" w:cs="宋体"/>
          <w:b/>
          <w:color w:val="auto"/>
          <w:sz w:val="32"/>
          <w:szCs w:val="32"/>
          <w:highlight w:val="none"/>
        </w:rPr>
      </w:pPr>
    </w:p>
    <w:p w14:paraId="720C38F7">
      <w:pPr>
        <w:rPr>
          <w:rFonts w:ascii="宋体" w:hAnsi="宋体" w:cs="宋体"/>
          <w:b/>
          <w:color w:val="auto"/>
          <w:sz w:val="32"/>
          <w:szCs w:val="32"/>
          <w:highlight w:val="none"/>
        </w:rPr>
      </w:pPr>
    </w:p>
    <w:p w14:paraId="5B27CCC4">
      <w:pPr>
        <w:pStyle w:val="3"/>
        <w:rPr>
          <w:b/>
          <w:color w:val="auto"/>
          <w:sz w:val="32"/>
          <w:szCs w:val="32"/>
          <w:highlight w:val="none"/>
        </w:rPr>
      </w:pPr>
    </w:p>
    <w:p w14:paraId="71775C53">
      <w:pPr>
        <w:rPr>
          <w:color w:val="auto"/>
          <w:highlight w:val="none"/>
        </w:rPr>
      </w:pPr>
    </w:p>
    <w:p w14:paraId="6E451D09">
      <w:pPr>
        <w:rPr>
          <w:rFonts w:ascii="宋体" w:hAnsi="宋体"/>
          <w:color w:val="auto"/>
          <w:szCs w:val="21"/>
          <w:highlight w:val="none"/>
        </w:rPr>
      </w:pPr>
      <w:r>
        <w:rPr>
          <w:rFonts w:hint="eastAsia" w:ascii="宋体" w:hAnsi="宋体"/>
          <w:color w:val="auto"/>
          <w:szCs w:val="21"/>
          <w:highlight w:val="none"/>
        </w:rPr>
        <w:br w:type="page"/>
      </w:r>
    </w:p>
    <w:p w14:paraId="18D6ED6E">
      <w:pPr>
        <w:pStyle w:val="7"/>
        <w:widowControl w:val="0"/>
        <w:overflowPunct w:val="0"/>
        <w:spacing w:line="240" w:lineRule="auto"/>
        <w:rPr>
          <w:color w:val="auto"/>
          <w:highlight w:val="none"/>
        </w:rPr>
      </w:pPr>
      <w:bookmarkStart w:id="122" w:name="_Toc88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22"/>
    </w:p>
    <w:p w14:paraId="7B176F24">
      <w:pPr>
        <w:jc w:val="center"/>
        <w:rPr>
          <w:rFonts w:ascii="宋体" w:hAnsi="宋体"/>
          <w:color w:val="auto"/>
          <w:szCs w:val="21"/>
          <w:highlight w:val="none"/>
        </w:rPr>
      </w:pPr>
      <w:r>
        <w:rPr>
          <w:rFonts w:hint="eastAsia" w:ascii="黑体" w:eastAsia="黑体"/>
          <w:color w:val="auto"/>
          <w:sz w:val="32"/>
          <w:szCs w:val="32"/>
          <w:highlight w:val="none"/>
        </w:rPr>
        <w:t>投标书</w:t>
      </w:r>
    </w:p>
    <w:p w14:paraId="047360ED">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广东政通招标有限公司</w:t>
      </w:r>
      <w:r>
        <w:rPr>
          <w:rFonts w:hint="eastAsia" w:ascii="宋体" w:hAnsi="宋体"/>
          <w:color w:val="auto"/>
          <w:szCs w:val="21"/>
          <w:highlight w:val="none"/>
        </w:rPr>
        <w:t>：</w:t>
      </w:r>
    </w:p>
    <w:p w14:paraId="5A244D27">
      <w:pPr>
        <w:rPr>
          <w:rFonts w:ascii="宋体" w:hAnsi="宋体"/>
          <w:color w:val="auto"/>
          <w:szCs w:val="21"/>
          <w:highlight w:val="none"/>
        </w:rPr>
      </w:pPr>
    </w:p>
    <w:p w14:paraId="43E76962">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47B1ED44">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235F48C6">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4F59627B">
      <w:pPr>
        <w:widowControl w:val="0"/>
        <w:numPr>
          <w:ilvl w:val="0"/>
          <w:numId w:val="10"/>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2AE953EE">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67620BE6">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31A27C7D">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52AED0DE">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7B4FB7A3">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28EDE6DD">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45187BA8">
      <w:pPr>
        <w:rPr>
          <w:rFonts w:ascii="宋体" w:hAnsi="宋体"/>
          <w:color w:val="auto"/>
          <w:szCs w:val="21"/>
          <w:highlight w:val="none"/>
        </w:rPr>
      </w:pPr>
      <w:r>
        <w:rPr>
          <w:rFonts w:hint="eastAsia" w:ascii="宋体" w:hAnsi="宋体"/>
          <w:color w:val="auto"/>
          <w:szCs w:val="21"/>
          <w:highlight w:val="none"/>
        </w:rPr>
        <w:t>地址：　　　　　　　　　　　　　　　电子邮箱：　　　　</w:t>
      </w:r>
    </w:p>
    <w:p w14:paraId="1BDA4149">
      <w:pPr>
        <w:rPr>
          <w:rFonts w:ascii="宋体" w:hAnsi="宋体"/>
          <w:color w:val="auto"/>
          <w:szCs w:val="21"/>
          <w:highlight w:val="none"/>
        </w:rPr>
      </w:pPr>
      <w:r>
        <w:rPr>
          <w:rFonts w:hint="eastAsia" w:ascii="宋体" w:hAnsi="宋体"/>
          <w:color w:val="auto"/>
          <w:szCs w:val="21"/>
          <w:highlight w:val="none"/>
        </w:rPr>
        <w:t>电话/移动电话：</w:t>
      </w:r>
    </w:p>
    <w:p w14:paraId="319E6194">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1DF30F5B">
      <w:pPr>
        <w:rPr>
          <w:rFonts w:ascii="宋体" w:hAnsi="宋体"/>
          <w:color w:val="auto"/>
          <w:szCs w:val="21"/>
          <w:highlight w:val="none"/>
        </w:rPr>
      </w:pPr>
      <w:r>
        <w:rPr>
          <w:rFonts w:hint="eastAsia" w:ascii="宋体" w:hAnsi="宋体"/>
          <w:color w:val="auto"/>
          <w:szCs w:val="21"/>
          <w:highlight w:val="none"/>
        </w:rPr>
        <w:t xml:space="preserve">投标人名称（全称）： </w:t>
      </w:r>
    </w:p>
    <w:p w14:paraId="139E53F1">
      <w:pPr>
        <w:rPr>
          <w:rFonts w:ascii="宋体" w:hAnsi="宋体"/>
          <w:color w:val="auto"/>
          <w:szCs w:val="21"/>
          <w:highlight w:val="none"/>
        </w:rPr>
      </w:pPr>
      <w:r>
        <w:rPr>
          <w:rFonts w:hint="eastAsia" w:ascii="宋体" w:hAnsi="宋体"/>
          <w:color w:val="auto"/>
          <w:szCs w:val="21"/>
          <w:highlight w:val="none"/>
        </w:rPr>
        <w:t xml:space="preserve">投标人盖章： </w:t>
      </w:r>
    </w:p>
    <w:p w14:paraId="737A09E1">
      <w:pPr>
        <w:rPr>
          <w:color w:val="auto"/>
          <w:highlight w:val="none"/>
        </w:rPr>
      </w:pPr>
      <w:r>
        <w:rPr>
          <w:rFonts w:hint="eastAsia" w:ascii="宋体" w:hAnsi="宋体"/>
          <w:color w:val="auto"/>
          <w:szCs w:val="21"/>
          <w:highlight w:val="none"/>
        </w:rPr>
        <w:t>日期：</w:t>
      </w:r>
      <w:r>
        <w:rPr>
          <w:color w:val="auto"/>
          <w:highlight w:val="none"/>
        </w:rPr>
        <w:br w:type="page"/>
      </w:r>
    </w:p>
    <w:p w14:paraId="51CF39D4">
      <w:pPr>
        <w:pStyle w:val="7"/>
        <w:widowControl w:val="0"/>
        <w:overflowPunct w:val="0"/>
        <w:spacing w:line="240" w:lineRule="auto"/>
        <w:rPr>
          <w:rFonts w:ascii="宋体" w:hAnsi="宋体"/>
          <w:color w:val="auto"/>
          <w:sz w:val="21"/>
          <w:szCs w:val="21"/>
          <w:highlight w:val="none"/>
        </w:rPr>
      </w:pPr>
      <w:bookmarkStart w:id="123" w:name="_Toc84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23"/>
    </w:p>
    <w:p w14:paraId="571A92A5">
      <w:pPr>
        <w:rPr>
          <w:color w:val="auto"/>
          <w:highlight w:val="none"/>
        </w:rPr>
      </w:pPr>
    </w:p>
    <w:p w14:paraId="19AC24E2">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3666774C">
      <w:pPr>
        <w:pStyle w:val="43"/>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广东政通招标有限公司</w:t>
      </w:r>
    </w:p>
    <w:p w14:paraId="5C94C223">
      <w:pPr>
        <w:pStyle w:val="43"/>
        <w:spacing w:line="420" w:lineRule="atLeast"/>
        <w:ind w:firstLine="433"/>
        <w:rPr>
          <w:rFonts w:ascii="宋体" w:eastAsia="宋体"/>
          <w:color w:val="auto"/>
          <w:sz w:val="21"/>
          <w:szCs w:val="21"/>
          <w:highlight w:val="none"/>
        </w:rPr>
      </w:pPr>
    </w:p>
    <w:p w14:paraId="1E2FFE49">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314B7F96">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78409BC8">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5F3702D3">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50666033">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3C10CF81">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52E87281">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1179F11D">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2265829C">
      <w:pPr>
        <w:pStyle w:val="43"/>
        <w:spacing w:line="500" w:lineRule="atLeast"/>
        <w:ind w:firstLine="3517" w:firstLineChars="1675"/>
        <w:rPr>
          <w:rFonts w:ascii="宋体" w:eastAsia="宋体"/>
          <w:color w:val="auto"/>
          <w:sz w:val="21"/>
          <w:szCs w:val="21"/>
          <w:highlight w:val="none"/>
        </w:rPr>
      </w:pPr>
    </w:p>
    <w:p w14:paraId="73524B53">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7264ADD">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2C2C49D">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69F547AD">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703AFB52">
      <w:pPr>
        <w:pStyle w:val="43"/>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6C4F5E1D">
      <w:pPr>
        <w:ind w:firstLine="420" w:firstLineChars="200"/>
        <w:rPr>
          <w:rFonts w:ascii="宋体" w:hAnsi="宋体"/>
          <w:color w:val="auto"/>
          <w:szCs w:val="21"/>
          <w:highlight w:val="none"/>
        </w:rPr>
      </w:pPr>
    </w:p>
    <w:p w14:paraId="66F8B25B">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2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580F3C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67CF57D">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2CFA87AD">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6F8203B5">
      <w:pPr>
        <w:rPr>
          <w:color w:val="auto"/>
          <w:highlight w:val="none"/>
        </w:rPr>
      </w:pPr>
    </w:p>
    <w:p w14:paraId="62E21FF5">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0D94BBB9">
      <w:pPr>
        <w:pStyle w:val="7"/>
        <w:widowControl w:val="0"/>
        <w:overflowPunct w:val="0"/>
        <w:spacing w:line="240" w:lineRule="auto"/>
        <w:rPr>
          <w:color w:val="auto"/>
          <w:highlight w:val="none"/>
        </w:rPr>
      </w:pPr>
      <w:bookmarkStart w:id="124" w:name="_Toc191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24"/>
    </w:p>
    <w:p w14:paraId="38F2B3E7">
      <w:pPr>
        <w:rPr>
          <w:color w:val="auto"/>
          <w:highlight w:val="none"/>
        </w:rPr>
      </w:pPr>
    </w:p>
    <w:p w14:paraId="33389D21">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4462FB36">
      <w:pPr>
        <w:pStyle w:val="43"/>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广东政通招标有限公司</w:t>
      </w:r>
    </w:p>
    <w:p w14:paraId="257506FD">
      <w:pPr>
        <w:pStyle w:val="43"/>
        <w:spacing w:line="420" w:lineRule="atLeast"/>
        <w:ind w:firstLine="433"/>
        <w:rPr>
          <w:rFonts w:ascii="宋体" w:eastAsia="宋体"/>
          <w:color w:val="auto"/>
          <w:sz w:val="21"/>
          <w:szCs w:val="21"/>
          <w:highlight w:val="none"/>
        </w:rPr>
      </w:pPr>
    </w:p>
    <w:p w14:paraId="754BC92E">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474D5426">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06D8EEDD">
      <w:pPr>
        <w:pStyle w:val="43"/>
        <w:spacing w:line="500" w:lineRule="atLeast"/>
        <w:ind w:firstLine="3517" w:firstLineChars="1675"/>
        <w:rPr>
          <w:rFonts w:ascii="宋体" w:eastAsia="宋体"/>
          <w:color w:val="auto"/>
          <w:sz w:val="21"/>
          <w:szCs w:val="21"/>
          <w:highlight w:val="none"/>
        </w:rPr>
      </w:pPr>
    </w:p>
    <w:p w14:paraId="102A2CF3">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D7A2907">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70573E81">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59DE7F9B">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1DC591EA">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2F9E8D3E">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174328C5">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6B758E07">
      <w:pPr>
        <w:pStyle w:val="43"/>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54E8CAB9">
      <w:pPr>
        <w:pStyle w:val="43"/>
        <w:spacing w:line="460" w:lineRule="exact"/>
        <w:ind w:firstLine="433"/>
        <w:rPr>
          <w:rFonts w:ascii="宋体" w:eastAsia="宋体"/>
          <w:color w:val="auto"/>
          <w:sz w:val="21"/>
          <w:szCs w:val="21"/>
          <w:highlight w:val="none"/>
        </w:rPr>
      </w:pPr>
    </w:p>
    <w:p w14:paraId="4244541D">
      <w:pPr>
        <w:ind w:firstLine="420" w:firstLineChars="200"/>
        <w:rPr>
          <w:color w:val="auto"/>
          <w:highlight w:val="none"/>
        </w:rPr>
      </w:pPr>
      <w:r>
        <w:rPr>
          <w:rFonts w:hint="eastAsia" w:ascii="宋体" w:hAnsi="宋体"/>
          <w:color w:val="auto"/>
          <w:szCs w:val="21"/>
          <w:highlight w:val="none"/>
        </w:rPr>
        <w:t>须附：被授权人身份证复印件。</w:t>
      </w:r>
    </w:p>
    <w:tbl>
      <w:tblPr>
        <w:tblStyle w:val="2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7984407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070C09D7">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2E0C0A80">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37471853">
      <w:pPr>
        <w:adjustRightInd/>
        <w:snapToGrid/>
        <w:spacing w:line="276" w:lineRule="auto"/>
        <w:rPr>
          <w:color w:val="auto"/>
          <w:highlight w:val="none"/>
        </w:rPr>
      </w:pPr>
      <w:bookmarkStart w:id="125" w:name="_Toc22486"/>
      <w:r>
        <w:rPr>
          <w:rFonts w:hint="eastAsia" w:ascii="宋体" w:hAnsi="宋体"/>
          <w:color w:val="auto"/>
          <w:szCs w:val="21"/>
          <w:highlight w:val="none"/>
        </w:rPr>
        <w:br w:type="page"/>
      </w:r>
    </w:p>
    <w:p w14:paraId="6E126A28">
      <w:pPr>
        <w:pStyle w:val="7"/>
        <w:widowControl w:val="0"/>
        <w:overflowPunct w:val="0"/>
        <w:spacing w:line="240" w:lineRule="auto"/>
        <w:rPr>
          <w:rFonts w:ascii="宋体" w:hAnsi="宋体"/>
          <w:color w:val="auto"/>
          <w:sz w:val="21"/>
          <w:szCs w:val="21"/>
          <w:highlight w:val="none"/>
        </w:rPr>
      </w:pPr>
      <w:bookmarkStart w:id="126" w:name="_Toc1591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26"/>
    </w:p>
    <w:p w14:paraId="108D2838">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0DADB7F8">
      <w:pPr>
        <w:pStyle w:val="43"/>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广东政通招标有限公司</w:t>
      </w:r>
      <w:r>
        <w:rPr>
          <w:rFonts w:hint="eastAsia" w:ascii="宋体" w:eastAsia="宋体"/>
          <w:color w:val="auto"/>
          <w:sz w:val="21"/>
          <w:szCs w:val="21"/>
          <w:highlight w:val="none"/>
        </w:rPr>
        <w:t>：</w:t>
      </w:r>
    </w:p>
    <w:p w14:paraId="5ED25C67">
      <w:pPr>
        <w:ind w:firstLine="420" w:firstLineChars="200"/>
        <w:rPr>
          <w:rFonts w:ascii="宋体" w:hAnsi="宋体"/>
          <w:color w:val="auto"/>
          <w:szCs w:val="21"/>
          <w:highlight w:val="none"/>
        </w:rPr>
      </w:pPr>
    </w:p>
    <w:p w14:paraId="149F511C">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700CB8C2">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47AB1597">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3A297CA4">
      <w:pPr>
        <w:pStyle w:val="43"/>
        <w:spacing w:line="500" w:lineRule="atLeast"/>
        <w:ind w:firstLine="3517" w:firstLineChars="1675"/>
        <w:rPr>
          <w:rFonts w:ascii="宋体" w:eastAsia="宋体"/>
          <w:color w:val="auto"/>
          <w:sz w:val="21"/>
          <w:szCs w:val="21"/>
          <w:highlight w:val="none"/>
        </w:rPr>
      </w:pPr>
    </w:p>
    <w:p w14:paraId="09F8A98A">
      <w:pPr>
        <w:pStyle w:val="43"/>
        <w:spacing w:line="500" w:lineRule="atLeast"/>
        <w:ind w:firstLine="3517" w:firstLineChars="1675"/>
        <w:rPr>
          <w:rFonts w:ascii="宋体" w:eastAsia="宋体"/>
          <w:color w:val="auto"/>
          <w:sz w:val="21"/>
          <w:szCs w:val="21"/>
          <w:highlight w:val="none"/>
        </w:rPr>
      </w:pPr>
    </w:p>
    <w:p w14:paraId="4C8267AE">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E146350">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58AB66E6">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1E32ADE7">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268C9ABB">
      <w:pPr>
        <w:pStyle w:val="7"/>
        <w:widowControl w:val="0"/>
        <w:overflowPunct w:val="0"/>
        <w:spacing w:line="240" w:lineRule="auto"/>
        <w:rPr>
          <w:rFonts w:ascii="宋体" w:hAnsi="宋体"/>
          <w:color w:val="auto"/>
          <w:sz w:val="21"/>
          <w:szCs w:val="21"/>
          <w:highlight w:val="none"/>
        </w:rPr>
      </w:pPr>
      <w:bookmarkStart w:id="127" w:name="_Toc2766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27"/>
    </w:p>
    <w:p w14:paraId="16C63094">
      <w:pPr>
        <w:jc w:val="center"/>
        <w:rPr>
          <w:rFonts w:ascii="黑体" w:eastAsia="黑体"/>
          <w:color w:val="auto"/>
          <w:sz w:val="28"/>
          <w:szCs w:val="28"/>
          <w:highlight w:val="none"/>
        </w:rPr>
      </w:pPr>
      <w:bookmarkStart w:id="128" w:name="_Toc24210"/>
      <w:bookmarkStart w:id="129" w:name="_Toc17470"/>
      <w:bookmarkStart w:id="130" w:name="_Toc1511"/>
      <w:bookmarkStart w:id="131" w:name="_Toc5919"/>
      <w:bookmarkStart w:id="132" w:name="_Toc4926"/>
      <w:r>
        <w:rPr>
          <w:rFonts w:hint="eastAsia" w:ascii="黑体" w:eastAsia="黑体"/>
          <w:color w:val="auto"/>
          <w:sz w:val="28"/>
          <w:szCs w:val="28"/>
          <w:highlight w:val="none"/>
        </w:rPr>
        <w:t>营业执照</w:t>
      </w:r>
      <w:bookmarkEnd w:id="128"/>
      <w:bookmarkEnd w:id="129"/>
      <w:bookmarkEnd w:id="130"/>
      <w:bookmarkEnd w:id="131"/>
      <w:bookmarkEnd w:id="132"/>
    </w:p>
    <w:p w14:paraId="4EF1EBB3">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4CE09D09">
      <w:pPr>
        <w:pStyle w:val="7"/>
        <w:widowControl w:val="0"/>
        <w:overflowPunct w:val="0"/>
        <w:spacing w:line="240" w:lineRule="auto"/>
        <w:rPr>
          <w:rFonts w:ascii="宋体" w:hAnsi="宋体"/>
          <w:color w:val="auto"/>
          <w:sz w:val="21"/>
          <w:szCs w:val="21"/>
          <w:highlight w:val="none"/>
        </w:rPr>
      </w:pPr>
      <w:bookmarkStart w:id="133" w:name="_Toc12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33"/>
    </w:p>
    <w:p w14:paraId="14328E52">
      <w:pPr>
        <w:rPr>
          <w:color w:val="auto"/>
          <w:highlight w:val="none"/>
        </w:rPr>
      </w:pPr>
    </w:p>
    <w:p w14:paraId="53F81772">
      <w:pPr>
        <w:jc w:val="center"/>
        <w:rPr>
          <w:rFonts w:ascii="黑体" w:eastAsia="黑体"/>
          <w:color w:val="auto"/>
          <w:sz w:val="28"/>
          <w:szCs w:val="28"/>
          <w:highlight w:val="none"/>
        </w:rPr>
      </w:pPr>
      <w:bookmarkStart w:id="134" w:name="_Toc16233"/>
      <w:bookmarkStart w:id="135" w:name="_Toc13458"/>
      <w:bookmarkStart w:id="136" w:name="_Toc9592"/>
      <w:bookmarkStart w:id="137" w:name="_Toc16698"/>
      <w:bookmarkStart w:id="138" w:name="_Toc30307"/>
      <w:r>
        <w:rPr>
          <w:rFonts w:hint="eastAsia" w:ascii="黑体" w:eastAsia="黑体"/>
          <w:color w:val="auto"/>
          <w:sz w:val="28"/>
          <w:szCs w:val="28"/>
          <w:highlight w:val="none"/>
        </w:rPr>
        <w:t>相关资质证明文件</w:t>
      </w:r>
      <w:bookmarkEnd w:id="125"/>
      <w:bookmarkEnd w:id="134"/>
      <w:bookmarkEnd w:id="135"/>
      <w:bookmarkEnd w:id="136"/>
      <w:bookmarkEnd w:id="137"/>
      <w:bookmarkEnd w:id="138"/>
    </w:p>
    <w:p w14:paraId="504E4559">
      <w:pPr>
        <w:numPr>
          <w:ilvl w:val="0"/>
          <w:numId w:val="11"/>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r>
        <w:rPr>
          <w:rFonts w:hint="eastAsia" w:ascii="宋体" w:hAnsi="宋体" w:cs="宋体"/>
          <w:b/>
          <w:bCs/>
          <w:color w:val="auto"/>
          <w:szCs w:val="21"/>
          <w:highlight w:val="none"/>
          <w:lang w:eastAsia="zh-CN"/>
        </w:rPr>
        <w:t>。</w:t>
      </w:r>
    </w:p>
    <w:p w14:paraId="23B287AE">
      <w:pPr>
        <w:numPr>
          <w:ilvl w:val="0"/>
          <w:numId w:val="11"/>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2DD00312">
      <w:pPr>
        <w:pStyle w:val="7"/>
        <w:widowControl w:val="0"/>
        <w:overflowPunct w:val="0"/>
        <w:spacing w:line="240" w:lineRule="auto"/>
        <w:rPr>
          <w:rFonts w:ascii="楷体_GB2312" w:eastAsia="楷体_GB2312"/>
          <w:color w:val="auto"/>
          <w:highlight w:val="none"/>
        </w:rPr>
      </w:pPr>
      <w:bookmarkStart w:id="139" w:name="_Toc2794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39"/>
    </w:p>
    <w:p w14:paraId="776DD9C8">
      <w:pPr>
        <w:rPr>
          <w:color w:val="auto"/>
          <w:highlight w:val="none"/>
        </w:rPr>
      </w:pPr>
    </w:p>
    <w:p w14:paraId="39C1F42A">
      <w:pPr>
        <w:jc w:val="center"/>
        <w:rPr>
          <w:rFonts w:hint="eastAsia"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4C9483BD">
      <w:pPr>
        <w:ind w:firstLine="420" w:firstLineChars="200"/>
        <w:rPr>
          <w:rFonts w:ascii="宋体" w:hAnsi="宋体" w:cs="宋体"/>
          <w:color w:val="auto"/>
          <w:szCs w:val="21"/>
          <w:highlight w:val="none"/>
        </w:rPr>
      </w:pPr>
    </w:p>
    <w:p w14:paraId="6A27B065">
      <w:pPr>
        <w:spacing w:line="480" w:lineRule="auto"/>
        <w:rPr>
          <w:rFonts w:ascii="宋体" w:hAnsi="宋体" w:cs="宋体"/>
          <w:color w:val="auto"/>
          <w:szCs w:val="21"/>
          <w:highlight w:val="none"/>
        </w:rPr>
      </w:pPr>
      <w:r>
        <w:rPr>
          <w:rFonts w:hint="eastAsia" w:ascii="宋体" w:hAnsi="宋体" w:cs="宋体"/>
          <w:color w:val="auto"/>
          <w:szCs w:val="21"/>
          <w:highlight w:val="none"/>
          <w:lang w:eastAsia="zh-CN"/>
        </w:rPr>
        <w:t>东莞市能源投资集团有限公司、广东政通招标有限公司</w:t>
      </w:r>
      <w:r>
        <w:rPr>
          <w:rFonts w:hint="eastAsia" w:ascii="宋体" w:hAnsi="宋体" w:cs="宋体"/>
          <w:color w:val="auto"/>
          <w:szCs w:val="21"/>
          <w:highlight w:val="none"/>
        </w:rPr>
        <w:t>：</w:t>
      </w:r>
    </w:p>
    <w:p w14:paraId="23BFA77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601E915E">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52F5054">
      <w:pPr>
        <w:ind w:firstLine="420" w:firstLineChars="200"/>
        <w:rPr>
          <w:rFonts w:ascii="宋体" w:hAnsi="宋体" w:cs="宋体"/>
          <w:color w:val="auto"/>
          <w:szCs w:val="21"/>
          <w:highlight w:val="none"/>
        </w:rPr>
      </w:pPr>
    </w:p>
    <w:p w14:paraId="7C580EC1">
      <w:pPr>
        <w:rPr>
          <w:rFonts w:ascii="宋体" w:hAnsi="宋体" w:cs="宋体"/>
          <w:color w:val="auto"/>
          <w:szCs w:val="21"/>
          <w:highlight w:val="none"/>
        </w:rPr>
      </w:pPr>
    </w:p>
    <w:p w14:paraId="4D2D4C87">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7F8C5DAD">
      <w:pPr>
        <w:rPr>
          <w:rFonts w:ascii="宋体" w:hAnsi="宋体" w:cs="宋体"/>
          <w:color w:val="auto"/>
          <w:szCs w:val="21"/>
          <w:highlight w:val="none"/>
        </w:rPr>
      </w:pPr>
    </w:p>
    <w:p w14:paraId="5FA2AF27">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2A41F460">
      <w:pPr>
        <w:rPr>
          <w:color w:val="auto"/>
          <w:highlight w:val="none"/>
        </w:rPr>
      </w:pPr>
    </w:p>
    <w:p w14:paraId="0013CA6D">
      <w:pPr>
        <w:rPr>
          <w:rFonts w:ascii="宋体" w:hAnsi="宋体"/>
          <w:color w:val="auto"/>
          <w:szCs w:val="21"/>
          <w:highlight w:val="none"/>
        </w:rPr>
      </w:pPr>
    </w:p>
    <w:p w14:paraId="356957BF">
      <w:pPr>
        <w:pStyle w:val="3"/>
        <w:rPr>
          <w:color w:val="auto"/>
          <w:sz w:val="21"/>
          <w:szCs w:val="21"/>
          <w:highlight w:val="none"/>
        </w:rPr>
      </w:pPr>
    </w:p>
    <w:p w14:paraId="5F01BBF6">
      <w:pPr>
        <w:rPr>
          <w:rFonts w:ascii="宋体" w:hAnsi="宋体"/>
          <w:color w:val="auto"/>
          <w:szCs w:val="21"/>
          <w:highlight w:val="none"/>
        </w:rPr>
      </w:pPr>
    </w:p>
    <w:p w14:paraId="0D0FE8EC">
      <w:pPr>
        <w:pStyle w:val="3"/>
        <w:rPr>
          <w:color w:val="auto"/>
          <w:sz w:val="21"/>
          <w:szCs w:val="21"/>
          <w:highlight w:val="none"/>
        </w:rPr>
      </w:pPr>
    </w:p>
    <w:p w14:paraId="03B51279">
      <w:pPr>
        <w:rPr>
          <w:rFonts w:ascii="宋体" w:hAnsi="宋体"/>
          <w:color w:val="auto"/>
          <w:szCs w:val="21"/>
          <w:highlight w:val="none"/>
        </w:rPr>
      </w:pPr>
    </w:p>
    <w:p w14:paraId="001A3E81">
      <w:pPr>
        <w:pStyle w:val="3"/>
        <w:rPr>
          <w:color w:val="auto"/>
          <w:sz w:val="21"/>
          <w:szCs w:val="21"/>
          <w:highlight w:val="none"/>
        </w:rPr>
      </w:pPr>
    </w:p>
    <w:p w14:paraId="7AC44A5D">
      <w:pPr>
        <w:rPr>
          <w:rFonts w:ascii="宋体" w:hAnsi="宋体"/>
          <w:color w:val="auto"/>
          <w:szCs w:val="21"/>
          <w:highlight w:val="none"/>
        </w:rPr>
      </w:pPr>
    </w:p>
    <w:p w14:paraId="53FD5CEC">
      <w:pPr>
        <w:pStyle w:val="3"/>
        <w:rPr>
          <w:color w:val="auto"/>
          <w:sz w:val="21"/>
          <w:szCs w:val="21"/>
          <w:highlight w:val="none"/>
        </w:rPr>
      </w:pPr>
    </w:p>
    <w:p w14:paraId="346FBE0F">
      <w:pPr>
        <w:rPr>
          <w:rFonts w:ascii="宋体" w:hAnsi="宋体"/>
          <w:color w:val="auto"/>
          <w:szCs w:val="21"/>
          <w:highlight w:val="none"/>
        </w:rPr>
      </w:pPr>
    </w:p>
    <w:p w14:paraId="11ABA3CB">
      <w:pPr>
        <w:pStyle w:val="3"/>
        <w:rPr>
          <w:color w:val="auto"/>
          <w:sz w:val="21"/>
          <w:szCs w:val="21"/>
          <w:highlight w:val="none"/>
        </w:rPr>
      </w:pPr>
    </w:p>
    <w:p w14:paraId="396C3B92">
      <w:pPr>
        <w:rPr>
          <w:color w:val="auto"/>
          <w:highlight w:val="none"/>
        </w:rPr>
      </w:pPr>
    </w:p>
    <w:p w14:paraId="3317B2CF">
      <w:pPr>
        <w:rPr>
          <w:rFonts w:hint="eastAsia" w:ascii="宋体" w:hAnsi="宋体"/>
          <w:color w:val="auto"/>
          <w:sz w:val="21"/>
          <w:szCs w:val="21"/>
          <w:highlight w:val="none"/>
        </w:rPr>
      </w:pPr>
      <w:bookmarkStart w:id="140" w:name="_Toc23748"/>
      <w:r>
        <w:rPr>
          <w:rFonts w:hint="eastAsia" w:ascii="宋体" w:hAnsi="宋体"/>
          <w:color w:val="auto"/>
          <w:sz w:val="21"/>
          <w:szCs w:val="21"/>
          <w:highlight w:val="none"/>
        </w:rPr>
        <w:br w:type="page"/>
      </w:r>
    </w:p>
    <w:p w14:paraId="53C1876B">
      <w:pPr>
        <w:pStyle w:val="7"/>
        <w:widowControl w:val="0"/>
        <w:overflowPunct w:val="0"/>
        <w:spacing w:line="240" w:lineRule="auto"/>
        <w:rPr>
          <w:rFonts w:ascii="楷体_GB2312" w:eastAsia="楷体_GB2312"/>
          <w:color w:val="auto"/>
          <w:highlight w:val="none"/>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.承诺书格式</w:t>
      </w:r>
      <w:bookmarkEnd w:id="140"/>
    </w:p>
    <w:p w14:paraId="74F98B2E">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1A51351E">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广东政通招标有限公司</w:t>
      </w:r>
      <w:r>
        <w:rPr>
          <w:rFonts w:hint="eastAsia" w:ascii="宋体" w:eastAsia="宋体" w:cs="宋体"/>
          <w:color w:val="auto"/>
          <w:sz w:val="21"/>
          <w:szCs w:val="21"/>
          <w:highlight w:val="none"/>
        </w:rPr>
        <w:t>：</w:t>
      </w:r>
    </w:p>
    <w:p w14:paraId="2FBF0E7F">
      <w:pPr>
        <w:jc w:val="center"/>
        <w:rPr>
          <w:rFonts w:ascii="宋体" w:hAnsi="宋体" w:cs="宋体"/>
          <w:color w:val="auto"/>
          <w:szCs w:val="21"/>
          <w:highlight w:val="none"/>
        </w:rPr>
      </w:pPr>
    </w:p>
    <w:p w14:paraId="60725B2D">
      <w:pPr>
        <w:pStyle w:val="43"/>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211D7AEE">
      <w:pPr>
        <w:pStyle w:val="43"/>
        <w:spacing w:line="420" w:lineRule="exact"/>
        <w:ind w:firstLine="433"/>
        <w:rPr>
          <w:rFonts w:ascii="宋体" w:eastAsia="宋体" w:cs="宋体"/>
          <w:color w:val="auto"/>
          <w:sz w:val="21"/>
          <w:szCs w:val="21"/>
          <w:highlight w:val="none"/>
        </w:rPr>
      </w:pPr>
    </w:p>
    <w:p w14:paraId="6EFF53E9">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4D5245F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63FF7092">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2212F234">
      <w:pPr>
        <w:rPr>
          <w:color w:val="auto"/>
          <w:highlight w:val="none"/>
        </w:rPr>
      </w:pPr>
    </w:p>
    <w:p w14:paraId="4412F873">
      <w:pPr>
        <w:rPr>
          <w:rFonts w:ascii="宋体" w:hAnsi="宋体"/>
          <w:color w:val="auto"/>
          <w:szCs w:val="21"/>
          <w:highlight w:val="none"/>
        </w:rPr>
      </w:pPr>
    </w:p>
    <w:p w14:paraId="5898C2E7">
      <w:pPr>
        <w:pStyle w:val="3"/>
        <w:rPr>
          <w:color w:val="auto"/>
          <w:sz w:val="21"/>
          <w:szCs w:val="21"/>
          <w:highlight w:val="none"/>
        </w:rPr>
      </w:pPr>
    </w:p>
    <w:p w14:paraId="562B46F3">
      <w:pPr>
        <w:rPr>
          <w:rFonts w:ascii="宋体" w:hAnsi="宋体"/>
          <w:color w:val="auto"/>
          <w:szCs w:val="21"/>
          <w:highlight w:val="none"/>
        </w:rPr>
      </w:pPr>
    </w:p>
    <w:p w14:paraId="5D67A48A">
      <w:pPr>
        <w:pStyle w:val="3"/>
        <w:rPr>
          <w:color w:val="auto"/>
          <w:sz w:val="21"/>
          <w:szCs w:val="21"/>
          <w:highlight w:val="none"/>
        </w:rPr>
      </w:pPr>
    </w:p>
    <w:p w14:paraId="55F5B442">
      <w:pPr>
        <w:rPr>
          <w:rFonts w:ascii="宋体" w:hAnsi="宋体"/>
          <w:color w:val="auto"/>
          <w:szCs w:val="21"/>
          <w:highlight w:val="none"/>
        </w:rPr>
      </w:pPr>
    </w:p>
    <w:p w14:paraId="2E6F3091">
      <w:pPr>
        <w:pStyle w:val="3"/>
        <w:rPr>
          <w:color w:val="auto"/>
          <w:sz w:val="21"/>
          <w:szCs w:val="21"/>
          <w:highlight w:val="none"/>
        </w:rPr>
      </w:pPr>
    </w:p>
    <w:p w14:paraId="6D8F1488">
      <w:pPr>
        <w:rPr>
          <w:rFonts w:ascii="宋体" w:hAnsi="宋体"/>
          <w:color w:val="auto"/>
          <w:szCs w:val="21"/>
          <w:highlight w:val="none"/>
        </w:rPr>
      </w:pPr>
    </w:p>
    <w:p w14:paraId="16811DB7">
      <w:pPr>
        <w:pStyle w:val="3"/>
        <w:rPr>
          <w:color w:val="auto"/>
          <w:sz w:val="21"/>
          <w:szCs w:val="21"/>
          <w:highlight w:val="none"/>
        </w:rPr>
      </w:pPr>
    </w:p>
    <w:p w14:paraId="1A4E32CA">
      <w:pPr>
        <w:rPr>
          <w:rFonts w:ascii="宋体" w:hAnsi="宋体"/>
          <w:color w:val="auto"/>
          <w:szCs w:val="21"/>
          <w:highlight w:val="none"/>
        </w:rPr>
      </w:pPr>
    </w:p>
    <w:p w14:paraId="5AF9E809">
      <w:pPr>
        <w:pStyle w:val="3"/>
        <w:rPr>
          <w:color w:val="auto"/>
          <w:sz w:val="21"/>
          <w:szCs w:val="21"/>
          <w:highlight w:val="none"/>
        </w:rPr>
      </w:pPr>
    </w:p>
    <w:p w14:paraId="0AEA9911">
      <w:pPr>
        <w:rPr>
          <w:rFonts w:ascii="宋体" w:hAnsi="宋体"/>
          <w:color w:val="auto"/>
          <w:szCs w:val="21"/>
          <w:highlight w:val="none"/>
        </w:rPr>
      </w:pPr>
    </w:p>
    <w:p w14:paraId="2A686CE8">
      <w:pPr>
        <w:pStyle w:val="3"/>
        <w:rPr>
          <w:color w:val="auto"/>
          <w:sz w:val="21"/>
          <w:szCs w:val="21"/>
          <w:highlight w:val="none"/>
        </w:rPr>
      </w:pPr>
    </w:p>
    <w:p w14:paraId="410AAA03">
      <w:pPr>
        <w:rPr>
          <w:rFonts w:ascii="宋体" w:hAnsi="宋体"/>
          <w:color w:val="auto"/>
          <w:szCs w:val="21"/>
          <w:highlight w:val="none"/>
        </w:rPr>
      </w:pPr>
    </w:p>
    <w:p w14:paraId="166A53D8">
      <w:pPr>
        <w:pStyle w:val="3"/>
        <w:rPr>
          <w:color w:val="auto"/>
          <w:sz w:val="21"/>
          <w:szCs w:val="21"/>
          <w:highlight w:val="none"/>
        </w:rPr>
      </w:pPr>
    </w:p>
    <w:p w14:paraId="4947590B">
      <w:pPr>
        <w:rPr>
          <w:rFonts w:ascii="宋体" w:hAnsi="宋体"/>
          <w:color w:val="auto"/>
          <w:szCs w:val="21"/>
          <w:highlight w:val="none"/>
        </w:rPr>
      </w:pPr>
    </w:p>
    <w:p w14:paraId="382FAF52">
      <w:pPr>
        <w:pStyle w:val="3"/>
        <w:rPr>
          <w:color w:val="auto"/>
          <w:sz w:val="21"/>
          <w:szCs w:val="21"/>
          <w:highlight w:val="none"/>
        </w:rPr>
      </w:pPr>
    </w:p>
    <w:p w14:paraId="317F81E9">
      <w:pPr>
        <w:rPr>
          <w:color w:val="auto"/>
          <w:highlight w:val="none"/>
        </w:rPr>
      </w:pPr>
    </w:p>
    <w:p w14:paraId="54F48759">
      <w:pPr>
        <w:pStyle w:val="7"/>
        <w:widowControl w:val="0"/>
        <w:overflowPunct w:val="0"/>
        <w:spacing w:line="240" w:lineRule="auto"/>
        <w:rPr>
          <w:rFonts w:ascii="宋体" w:hAnsi="宋体"/>
          <w:color w:val="auto"/>
          <w:sz w:val="21"/>
          <w:szCs w:val="21"/>
          <w:highlight w:val="none"/>
        </w:rPr>
      </w:pPr>
      <w:bookmarkStart w:id="141" w:name="_Toc4846"/>
      <w:bookmarkStart w:id="142" w:name="_Toc827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.商务需求条款偏离表格式</w:t>
      </w:r>
      <w:bookmarkEnd w:id="141"/>
      <w:bookmarkEnd w:id="142"/>
    </w:p>
    <w:p w14:paraId="44D971AA">
      <w:pPr>
        <w:jc w:val="center"/>
        <w:rPr>
          <w:rFonts w:ascii="黑体" w:eastAsia="黑体"/>
          <w:color w:val="auto"/>
          <w:sz w:val="28"/>
          <w:szCs w:val="28"/>
          <w:highlight w:val="none"/>
        </w:rPr>
      </w:pPr>
    </w:p>
    <w:p w14:paraId="56945AB8">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2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55DD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1BE2BAC8">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02576E7C">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01154BB3">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11507EEE">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2439B3E4">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5A9BC232">
            <w:pPr>
              <w:jc w:val="center"/>
              <w:rPr>
                <w:rFonts w:ascii="宋体" w:hAnsi="宋体"/>
                <w:color w:val="auto"/>
                <w:szCs w:val="21"/>
                <w:highlight w:val="none"/>
              </w:rPr>
            </w:pPr>
            <w:r>
              <w:rPr>
                <w:rFonts w:hint="eastAsia" w:ascii="宋体" w:hAnsi="宋体"/>
                <w:color w:val="auto"/>
                <w:szCs w:val="21"/>
                <w:highlight w:val="none"/>
              </w:rPr>
              <w:t>说明</w:t>
            </w:r>
          </w:p>
        </w:tc>
      </w:tr>
      <w:tr w14:paraId="6BB6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AC4403">
            <w:pPr>
              <w:jc w:val="center"/>
              <w:rPr>
                <w:rFonts w:ascii="宋体" w:hAnsi="宋体"/>
                <w:color w:val="auto"/>
                <w:szCs w:val="21"/>
                <w:highlight w:val="none"/>
              </w:rPr>
            </w:pPr>
          </w:p>
        </w:tc>
        <w:tc>
          <w:tcPr>
            <w:tcW w:w="1620" w:type="dxa"/>
            <w:vAlign w:val="center"/>
          </w:tcPr>
          <w:p w14:paraId="1FE2F1CB">
            <w:pPr>
              <w:jc w:val="center"/>
              <w:rPr>
                <w:rFonts w:ascii="宋体" w:hAnsi="宋体"/>
                <w:color w:val="auto"/>
                <w:szCs w:val="21"/>
                <w:highlight w:val="none"/>
              </w:rPr>
            </w:pPr>
          </w:p>
        </w:tc>
        <w:tc>
          <w:tcPr>
            <w:tcW w:w="1360" w:type="dxa"/>
            <w:vAlign w:val="center"/>
          </w:tcPr>
          <w:p w14:paraId="11AA8716">
            <w:pPr>
              <w:jc w:val="center"/>
              <w:rPr>
                <w:rFonts w:ascii="宋体" w:hAnsi="宋体"/>
                <w:color w:val="auto"/>
                <w:szCs w:val="21"/>
                <w:highlight w:val="none"/>
              </w:rPr>
            </w:pPr>
          </w:p>
        </w:tc>
        <w:tc>
          <w:tcPr>
            <w:tcW w:w="1587" w:type="dxa"/>
            <w:vAlign w:val="center"/>
          </w:tcPr>
          <w:p w14:paraId="164FB805">
            <w:pPr>
              <w:jc w:val="center"/>
              <w:rPr>
                <w:rFonts w:ascii="宋体" w:hAnsi="宋体"/>
                <w:color w:val="auto"/>
                <w:szCs w:val="21"/>
                <w:highlight w:val="none"/>
              </w:rPr>
            </w:pPr>
          </w:p>
        </w:tc>
        <w:tc>
          <w:tcPr>
            <w:tcW w:w="1133" w:type="dxa"/>
            <w:vAlign w:val="center"/>
          </w:tcPr>
          <w:p w14:paraId="7B995936">
            <w:pPr>
              <w:jc w:val="center"/>
              <w:rPr>
                <w:rFonts w:ascii="宋体" w:hAnsi="宋体"/>
                <w:color w:val="auto"/>
                <w:szCs w:val="21"/>
                <w:highlight w:val="none"/>
              </w:rPr>
            </w:pPr>
          </w:p>
        </w:tc>
        <w:tc>
          <w:tcPr>
            <w:tcW w:w="1730" w:type="dxa"/>
            <w:vAlign w:val="center"/>
          </w:tcPr>
          <w:p w14:paraId="66E1C2E2">
            <w:pPr>
              <w:jc w:val="center"/>
              <w:rPr>
                <w:rFonts w:ascii="宋体" w:hAnsi="宋体"/>
                <w:color w:val="auto"/>
                <w:szCs w:val="21"/>
                <w:highlight w:val="none"/>
              </w:rPr>
            </w:pPr>
          </w:p>
        </w:tc>
      </w:tr>
      <w:tr w14:paraId="1888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ACA811">
            <w:pPr>
              <w:jc w:val="center"/>
              <w:rPr>
                <w:rFonts w:ascii="宋体" w:hAnsi="宋体"/>
                <w:color w:val="auto"/>
                <w:szCs w:val="21"/>
                <w:highlight w:val="none"/>
              </w:rPr>
            </w:pPr>
          </w:p>
        </w:tc>
        <w:tc>
          <w:tcPr>
            <w:tcW w:w="1620" w:type="dxa"/>
            <w:vAlign w:val="center"/>
          </w:tcPr>
          <w:p w14:paraId="31FFC677">
            <w:pPr>
              <w:jc w:val="center"/>
              <w:rPr>
                <w:rFonts w:ascii="宋体" w:hAnsi="宋体"/>
                <w:color w:val="auto"/>
                <w:szCs w:val="21"/>
                <w:highlight w:val="none"/>
              </w:rPr>
            </w:pPr>
          </w:p>
        </w:tc>
        <w:tc>
          <w:tcPr>
            <w:tcW w:w="1360" w:type="dxa"/>
            <w:vAlign w:val="center"/>
          </w:tcPr>
          <w:p w14:paraId="64C08E3A">
            <w:pPr>
              <w:jc w:val="center"/>
              <w:rPr>
                <w:rFonts w:ascii="宋体" w:hAnsi="宋体"/>
                <w:color w:val="auto"/>
                <w:szCs w:val="21"/>
                <w:highlight w:val="none"/>
              </w:rPr>
            </w:pPr>
          </w:p>
        </w:tc>
        <w:tc>
          <w:tcPr>
            <w:tcW w:w="1587" w:type="dxa"/>
            <w:vAlign w:val="center"/>
          </w:tcPr>
          <w:p w14:paraId="02541FB9">
            <w:pPr>
              <w:jc w:val="center"/>
              <w:rPr>
                <w:rFonts w:ascii="宋体" w:hAnsi="宋体"/>
                <w:color w:val="auto"/>
                <w:szCs w:val="21"/>
                <w:highlight w:val="none"/>
              </w:rPr>
            </w:pPr>
          </w:p>
        </w:tc>
        <w:tc>
          <w:tcPr>
            <w:tcW w:w="1133" w:type="dxa"/>
            <w:vAlign w:val="center"/>
          </w:tcPr>
          <w:p w14:paraId="2D12BA78">
            <w:pPr>
              <w:jc w:val="center"/>
              <w:rPr>
                <w:rFonts w:ascii="宋体" w:hAnsi="宋体"/>
                <w:color w:val="auto"/>
                <w:szCs w:val="21"/>
                <w:highlight w:val="none"/>
              </w:rPr>
            </w:pPr>
          </w:p>
        </w:tc>
        <w:tc>
          <w:tcPr>
            <w:tcW w:w="1730" w:type="dxa"/>
            <w:vAlign w:val="center"/>
          </w:tcPr>
          <w:p w14:paraId="192B61B9">
            <w:pPr>
              <w:jc w:val="center"/>
              <w:rPr>
                <w:rFonts w:ascii="宋体" w:hAnsi="宋体"/>
                <w:color w:val="auto"/>
                <w:szCs w:val="21"/>
                <w:highlight w:val="none"/>
              </w:rPr>
            </w:pPr>
          </w:p>
        </w:tc>
      </w:tr>
      <w:tr w14:paraId="1453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A607E5">
            <w:pPr>
              <w:jc w:val="center"/>
              <w:rPr>
                <w:rFonts w:ascii="宋体" w:hAnsi="宋体"/>
                <w:color w:val="auto"/>
                <w:szCs w:val="21"/>
                <w:highlight w:val="none"/>
              </w:rPr>
            </w:pPr>
          </w:p>
        </w:tc>
        <w:tc>
          <w:tcPr>
            <w:tcW w:w="1620" w:type="dxa"/>
            <w:vAlign w:val="center"/>
          </w:tcPr>
          <w:p w14:paraId="3FA94FDA">
            <w:pPr>
              <w:jc w:val="center"/>
              <w:rPr>
                <w:rFonts w:ascii="宋体" w:hAnsi="宋体"/>
                <w:color w:val="auto"/>
                <w:szCs w:val="21"/>
                <w:highlight w:val="none"/>
              </w:rPr>
            </w:pPr>
          </w:p>
        </w:tc>
        <w:tc>
          <w:tcPr>
            <w:tcW w:w="1360" w:type="dxa"/>
            <w:vAlign w:val="center"/>
          </w:tcPr>
          <w:p w14:paraId="7EC72439">
            <w:pPr>
              <w:jc w:val="center"/>
              <w:rPr>
                <w:rFonts w:ascii="宋体" w:hAnsi="宋体"/>
                <w:color w:val="auto"/>
                <w:szCs w:val="21"/>
                <w:highlight w:val="none"/>
              </w:rPr>
            </w:pPr>
          </w:p>
        </w:tc>
        <w:tc>
          <w:tcPr>
            <w:tcW w:w="1587" w:type="dxa"/>
            <w:vAlign w:val="center"/>
          </w:tcPr>
          <w:p w14:paraId="66E48A72">
            <w:pPr>
              <w:jc w:val="center"/>
              <w:rPr>
                <w:rFonts w:ascii="宋体" w:hAnsi="宋体"/>
                <w:color w:val="auto"/>
                <w:szCs w:val="21"/>
                <w:highlight w:val="none"/>
              </w:rPr>
            </w:pPr>
          </w:p>
        </w:tc>
        <w:tc>
          <w:tcPr>
            <w:tcW w:w="1133" w:type="dxa"/>
            <w:vAlign w:val="center"/>
          </w:tcPr>
          <w:p w14:paraId="1032B760">
            <w:pPr>
              <w:jc w:val="center"/>
              <w:rPr>
                <w:rFonts w:ascii="宋体" w:hAnsi="宋体"/>
                <w:color w:val="auto"/>
                <w:szCs w:val="21"/>
                <w:highlight w:val="none"/>
              </w:rPr>
            </w:pPr>
          </w:p>
        </w:tc>
        <w:tc>
          <w:tcPr>
            <w:tcW w:w="1730" w:type="dxa"/>
            <w:vAlign w:val="center"/>
          </w:tcPr>
          <w:p w14:paraId="1E0B7EE1">
            <w:pPr>
              <w:jc w:val="center"/>
              <w:rPr>
                <w:rFonts w:ascii="宋体" w:hAnsi="宋体"/>
                <w:color w:val="auto"/>
                <w:szCs w:val="21"/>
                <w:highlight w:val="none"/>
              </w:rPr>
            </w:pPr>
          </w:p>
        </w:tc>
      </w:tr>
      <w:tr w14:paraId="54BC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5ED4A7">
            <w:pPr>
              <w:jc w:val="center"/>
              <w:rPr>
                <w:rFonts w:ascii="宋体" w:hAnsi="宋体"/>
                <w:color w:val="auto"/>
                <w:szCs w:val="21"/>
                <w:highlight w:val="none"/>
              </w:rPr>
            </w:pPr>
          </w:p>
        </w:tc>
        <w:tc>
          <w:tcPr>
            <w:tcW w:w="1620" w:type="dxa"/>
            <w:vAlign w:val="center"/>
          </w:tcPr>
          <w:p w14:paraId="653C9E5D">
            <w:pPr>
              <w:jc w:val="center"/>
              <w:rPr>
                <w:rFonts w:ascii="宋体" w:hAnsi="宋体"/>
                <w:color w:val="auto"/>
                <w:szCs w:val="21"/>
                <w:highlight w:val="none"/>
              </w:rPr>
            </w:pPr>
          </w:p>
        </w:tc>
        <w:tc>
          <w:tcPr>
            <w:tcW w:w="1360" w:type="dxa"/>
            <w:vAlign w:val="center"/>
          </w:tcPr>
          <w:p w14:paraId="0FE638E7">
            <w:pPr>
              <w:jc w:val="center"/>
              <w:rPr>
                <w:rFonts w:ascii="宋体" w:hAnsi="宋体"/>
                <w:color w:val="auto"/>
                <w:szCs w:val="21"/>
                <w:highlight w:val="none"/>
              </w:rPr>
            </w:pPr>
          </w:p>
        </w:tc>
        <w:tc>
          <w:tcPr>
            <w:tcW w:w="1587" w:type="dxa"/>
            <w:vAlign w:val="center"/>
          </w:tcPr>
          <w:p w14:paraId="707502F1">
            <w:pPr>
              <w:jc w:val="center"/>
              <w:rPr>
                <w:rFonts w:ascii="宋体" w:hAnsi="宋体"/>
                <w:color w:val="auto"/>
                <w:szCs w:val="21"/>
                <w:highlight w:val="none"/>
              </w:rPr>
            </w:pPr>
          </w:p>
        </w:tc>
        <w:tc>
          <w:tcPr>
            <w:tcW w:w="1133" w:type="dxa"/>
            <w:vAlign w:val="center"/>
          </w:tcPr>
          <w:p w14:paraId="4EC6875E">
            <w:pPr>
              <w:jc w:val="center"/>
              <w:rPr>
                <w:rFonts w:ascii="宋体" w:hAnsi="宋体"/>
                <w:color w:val="auto"/>
                <w:szCs w:val="21"/>
                <w:highlight w:val="none"/>
              </w:rPr>
            </w:pPr>
          </w:p>
        </w:tc>
        <w:tc>
          <w:tcPr>
            <w:tcW w:w="1730" w:type="dxa"/>
            <w:vAlign w:val="center"/>
          </w:tcPr>
          <w:p w14:paraId="0B6BD17E">
            <w:pPr>
              <w:jc w:val="center"/>
              <w:rPr>
                <w:rFonts w:ascii="宋体" w:hAnsi="宋体"/>
                <w:color w:val="auto"/>
                <w:szCs w:val="21"/>
                <w:highlight w:val="none"/>
              </w:rPr>
            </w:pPr>
          </w:p>
        </w:tc>
      </w:tr>
      <w:tr w14:paraId="771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19B8BC">
            <w:pPr>
              <w:jc w:val="center"/>
              <w:rPr>
                <w:rFonts w:ascii="宋体" w:hAnsi="宋体"/>
                <w:color w:val="auto"/>
                <w:szCs w:val="21"/>
                <w:highlight w:val="none"/>
              </w:rPr>
            </w:pPr>
          </w:p>
        </w:tc>
        <w:tc>
          <w:tcPr>
            <w:tcW w:w="1620" w:type="dxa"/>
            <w:vAlign w:val="center"/>
          </w:tcPr>
          <w:p w14:paraId="7D0E3806">
            <w:pPr>
              <w:jc w:val="center"/>
              <w:rPr>
                <w:rFonts w:ascii="宋体" w:hAnsi="宋体"/>
                <w:color w:val="auto"/>
                <w:szCs w:val="21"/>
                <w:highlight w:val="none"/>
              </w:rPr>
            </w:pPr>
          </w:p>
        </w:tc>
        <w:tc>
          <w:tcPr>
            <w:tcW w:w="1360" w:type="dxa"/>
            <w:vAlign w:val="center"/>
          </w:tcPr>
          <w:p w14:paraId="41214537">
            <w:pPr>
              <w:jc w:val="center"/>
              <w:rPr>
                <w:rFonts w:ascii="宋体" w:hAnsi="宋体"/>
                <w:color w:val="auto"/>
                <w:szCs w:val="21"/>
                <w:highlight w:val="none"/>
              </w:rPr>
            </w:pPr>
          </w:p>
        </w:tc>
        <w:tc>
          <w:tcPr>
            <w:tcW w:w="1587" w:type="dxa"/>
            <w:vAlign w:val="center"/>
          </w:tcPr>
          <w:p w14:paraId="23AA7102">
            <w:pPr>
              <w:jc w:val="center"/>
              <w:rPr>
                <w:rFonts w:ascii="宋体" w:hAnsi="宋体"/>
                <w:color w:val="auto"/>
                <w:szCs w:val="21"/>
                <w:highlight w:val="none"/>
              </w:rPr>
            </w:pPr>
          </w:p>
        </w:tc>
        <w:tc>
          <w:tcPr>
            <w:tcW w:w="1133" w:type="dxa"/>
            <w:vAlign w:val="center"/>
          </w:tcPr>
          <w:p w14:paraId="58337CCC">
            <w:pPr>
              <w:jc w:val="center"/>
              <w:rPr>
                <w:rFonts w:ascii="宋体" w:hAnsi="宋体"/>
                <w:color w:val="auto"/>
                <w:szCs w:val="21"/>
                <w:highlight w:val="none"/>
              </w:rPr>
            </w:pPr>
          </w:p>
        </w:tc>
        <w:tc>
          <w:tcPr>
            <w:tcW w:w="1730" w:type="dxa"/>
            <w:vAlign w:val="center"/>
          </w:tcPr>
          <w:p w14:paraId="4F79CD42">
            <w:pPr>
              <w:jc w:val="center"/>
              <w:rPr>
                <w:rFonts w:ascii="宋体" w:hAnsi="宋体"/>
                <w:color w:val="auto"/>
                <w:szCs w:val="21"/>
                <w:highlight w:val="none"/>
              </w:rPr>
            </w:pPr>
          </w:p>
        </w:tc>
      </w:tr>
      <w:tr w14:paraId="6793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969DD1">
            <w:pPr>
              <w:jc w:val="center"/>
              <w:rPr>
                <w:rFonts w:ascii="宋体" w:hAnsi="宋体"/>
                <w:color w:val="auto"/>
                <w:szCs w:val="21"/>
                <w:highlight w:val="none"/>
              </w:rPr>
            </w:pPr>
          </w:p>
        </w:tc>
        <w:tc>
          <w:tcPr>
            <w:tcW w:w="1620" w:type="dxa"/>
            <w:vAlign w:val="center"/>
          </w:tcPr>
          <w:p w14:paraId="7DC8C250">
            <w:pPr>
              <w:jc w:val="center"/>
              <w:rPr>
                <w:rFonts w:ascii="宋体" w:hAnsi="宋体"/>
                <w:color w:val="auto"/>
                <w:szCs w:val="21"/>
                <w:highlight w:val="none"/>
              </w:rPr>
            </w:pPr>
          </w:p>
        </w:tc>
        <w:tc>
          <w:tcPr>
            <w:tcW w:w="1360" w:type="dxa"/>
            <w:vAlign w:val="center"/>
          </w:tcPr>
          <w:p w14:paraId="49063E1F">
            <w:pPr>
              <w:jc w:val="center"/>
              <w:rPr>
                <w:rFonts w:ascii="宋体" w:hAnsi="宋体"/>
                <w:color w:val="auto"/>
                <w:szCs w:val="21"/>
                <w:highlight w:val="none"/>
              </w:rPr>
            </w:pPr>
          </w:p>
        </w:tc>
        <w:tc>
          <w:tcPr>
            <w:tcW w:w="1587" w:type="dxa"/>
            <w:vAlign w:val="center"/>
          </w:tcPr>
          <w:p w14:paraId="097FA948">
            <w:pPr>
              <w:jc w:val="center"/>
              <w:rPr>
                <w:rFonts w:ascii="宋体" w:hAnsi="宋体"/>
                <w:color w:val="auto"/>
                <w:szCs w:val="21"/>
                <w:highlight w:val="none"/>
              </w:rPr>
            </w:pPr>
          </w:p>
        </w:tc>
        <w:tc>
          <w:tcPr>
            <w:tcW w:w="1133" w:type="dxa"/>
            <w:vAlign w:val="center"/>
          </w:tcPr>
          <w:p w14:paraId="092C64A3">
            <w:pPr>
              <w:jc w:val="center"/>
              <w:rPr>
                <w:rFonts w:ascii="宋体" w:hAnsi="宋体"/>
                <w:color w:val="auto"/>
                <w:szCs w:val="21"/>
                <w:highlight w:val="none"/>
              </w:rPr>
            </w:pPr>
          </w:p>
        </w:tc>
        <w:tc>
          <w:tcPr>
            <w:tcW w:w="1730" w:type="dxa"/>
            <w:vAlign w:val="center"/>
          </w:tcPr>
          <w:p w14:paraId="452E3C4D">
            <w:pPr>
              <w:jc w:val="center"/>
              <w:rPr>
                <w:rFonts w:ascii="宋体" w:hAnsi="宋体"/>
                <w:color w:val="auto"/>
                <w:szCs w:val="21"/>
                <w:highlight w:val="none"/>
              </w:rPr>
            </w:pPr>
          </w:p>
        </w:tc>
      </w:tr>
      <w:tr w14:paraId="187C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C05E77">
            <w:pPr>
              <w:jc w:val="center"/>
              <w:rPr>
                <w:rFonts w:ascii="宋体" w:hAnsi="宋体"/>
                <w:color w:val="auto"/>
                <w:szCs w:val="21"/>
                <w:highlight w:val="none"/>
              </w:rPr>
            </w:pPr>
          </w:p>
        </w:tc>
        <w:tc>
          <w:tcPr>
            <w:tcW w:w="1620" w:type="dxa"/>
            <w:vAlign w:val="center"/>
          </w:tcPr>
          <w:p w14:paraId="1FF1EBA5">
            <w:pPr>
              <w:jc w:val="center"/>
              <w:rPr>
                <w:rFonts w:ascii="宋体" w:hAnsi="宋体"/>
                <w:color w:val="auto"/>
                <w:szCs w:val="21"/>
                <w:highlight w:val="none"/>
              </w:rPr>
            </w:pPr>
          </w:p>
        </w:tc>
        <w:tc>
          <w:tcPr>
            <w:tcW w:w="1360" w:type="dxa"/>
            <w:vAlign w:val="center"/>
          </w:tcPr>
          <w:p w14:paraId="41452000">
            <w:pPr>
              <w:jc w:val="center"/>
              <w:rPr>
                <w:rFonts w:ascii="宋体" w:hAnsi="宋体"/>
                <w:color w:val="auto"/>
                <w:szCs w:val="21"/>
                <w:highlight w:val="none"/>
              </w:rPr>
            </w:pPr>
          </w:p>
        </w:tc>
        <w:tc>
          <w:tcPr>
            <w:tcW w:w="1587" w:type="dxa"/>
            <w:vAlign w:val="center"/>
          </w:tcPr>
          <w:p w14:paraId="1EDBD427">
            <w:pPr>
              <w:jc w:val="center"/>
              <w:rPr>
                <w:rFonts w:ascii="宋体" w:hAnsi="宋体"/>
                <w:color w:val="auto"/>
                <w:szCs w:val="21"/>
                <w:highlight w:val="none"/>
              </w:rPr>
            </w:pPr>
          </w:p>
        </w:tc>
        <w:tc>
          <w:tcPr>
            <w:tcW w:w="1133" w:type="dxa"/>
            <w:vAlign w:val="center"/>
          </w:tcPr>
          <w:p w14:paraId="685436F0">
            <w:pPr>
              <w:jc w:val="center"/>
              <w:rPr>
                <w:rFonts w:ascii="宋体" w:hAnsi="宋体"/>
                <w:color w:val="auto"/>
                <w:szCs w:val="21"/>
                <w:highlight w:val="none"/>
              </w:rPr>
            </w:pPr>
          </w:p>
        </w:tc>
        <w:tc>
          <w:tcPr>
            <w:tcW w:w="1730" w:type="dxa"/>
            <w:vAlign w:val="center"/>
          </w:tcPr>
          <w:p w14:paraId="683999D5">
            <w:pPr>
              <w:jc w:val="center"/>
              <w:rPr>
                <w:rFonts w:ascii="宋体" w:hAnsi="宋体"/>
                <w:color w:val="auto"/>
                <w:szCs w:val="21"/>
                <w:highlight w:val="none"/>
              </w:rPr>
            </w:pPr>
          </w:p>
        </w:tc>
      </w:tr>
      <w:tr w14:paraId="6DDF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80326DD">
            <w:pPr>
              <w:jc w:val="center"/>
              <w:rPr>
                <w:rFonts w:ascii="宋体" w:hAnsi="宋体"/>
                <w:color w:val="auto"/>
                <w:szCs w:val="21"/>
                <w:highlight w:val="none"/>
              </w:rPr>
            </w:pPr>
          </w:p>
        </w:tc>
        <w:tc>
          <w:tcPr>
            <w:tcW w:w="1620" w:type="dxa"/>
            <w:vAlign w:val="center"/>
          </w:tcPr>
          <w:p w14:paraId="328CD9BC">
            <w:pPr>
              <w:jc w:val="center"/>
              <w:rPr>
                <w:rFonts w:ascii="宋体" w:hAnsi="宋体"/>
                <w:color w:val="auto"/>
                <w:szCs w:val="21"/>
                <w:highlight w:val="none"/>
              </w:rPr>
            </w:pPr>
          </w:p>
        </w:tc>
        <w:tc>
          <w:tcPr>
            <w:tcW w:w="1360" w:type="dxa"/>
            <w:vAlign w:val="center"/>
          </w:tcPr>
          <w:p w14:paraId="26233FEE">
            <w:pPr>
              <w:jc w:val="center"/>
              <w:rPr>
                <w:rFonts w:ascii="宋体" w:hAnsi="宋体"/>
                <w:color w:val="auto"/>
                <w:szCs w:val="21"/>
                <w:highlight w:val="none"/>
              </w:rPr>
            </w:pPr>
          </w:p>
        </w:tc>
        <w:tc>
          <w:tcPr>
            <w:tcW w:w="1587" w:type="dxa"/>
            <w:vAlign w:val="center"/>
          </w:tcPr>
          <w:p w14:paraId="1EC9FCB9">
            <w:pPr>
              <w:jc w:val="center"/>
              <w:rPr>
                <w:rFonts w:ascii="宋体" w:hAnsi="宋体"/>
                <w:color w:val="auto"/>
                <w:szCs w:val="21"/>
                <w:highlight w:val="none"/>
              </w:rPr>
            </w:pPr>
          </w:p>
        </w:tc>
        <w:tc>
          <w:tcPr>
            <w:tcW w:w="1133" w:type="dxa"/>
            <w:vAlign w:val="center"/>
          </w:tcPr>
          <w:p w14:paraId="062A9A84">
            <w:pPr>
              <w:jc w:val="center"/>
              <w:rPr>
                <w:rFonts w:ascii="宋体" w:hAnsi="宋体"/>
                <w:color w:val="auto"/>
                <w:szCs w:val="21"/>
                <w:highlight w:val="none"/>
              </w:rPr>
            </w:pPr>
          </w:p>
        </w:tc>
        <w:tc>
          <w:tcPr>
            <w:tcW w:w="1730" w:type="dxa"/>
            <w:vAlign w:val="center"/>
          </w:tcPr>
          <w:p w14:paraId="19D054D2">
            <w:pPr>
              <w:jc w:val="center"/>
              <w:rPr>
                <w:rFonts w:ascii="宋体" w:hAnsi="宋体"/>
                <w:color w:val="auto"/>
                <w:szCs w:val="21"/>
                <w:highlight w:val="none"/>
              </w:rPr>
            </w:pPr>
          </w:p>
        </w:tc>
      </w:tr>
      <w:tr w14:paraId="1808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2EC1B5F">
            <w:pPr>
              <w:jc w:val="center"/>
              <w:rPr>
                <w:rFonts w:ascii="宋体" w:hAnsi="宋体"/>
                <w:color w:val="auto"/>
                <w:szCs w:val="21"/>
                <w:highlight w:val="none"/>
              </w:rPr>
            </w:pPr>
          </w:p>
        </w:tc>
        <w:tc>
          <w:tcPr>
            <w:tcW w:w="1620" w:type="dxa"/>
            <w:vAlign w:val="center"/>
          </w:tcPr>
          <w:p w14:paraId="505EB72C">
            <w:pPr>
              <w:jc w:val="center"/>
              <w:rPr>
                <w:rFonts w:ascii="宋体" w:hAnsi="宋体"/>
                <w:color w:val="auto"/>
                <w:szCs w:val="21"/>
                <w:highlight w:val="none"/>
              </w:rPr>
            </w:pPr>
          </w:p>
        </w:tc>
        <w:tc>
          <w:tcPr>
            <w:tcW w:w="1360" w:type="dxa"/>
            <w:vAlign w:val="center"/>
          </w:tcPr>
          <w:p w14:paraId="424CD9B9">
            <w:pPr>
              <w:jc w:val="center"/>
              <w:rPr>
                <w:rFonts w:ascii="宋体" w:hAnsi="宋体"/>
                <w:color w:val="auto"/>
                <w:szCs w:val="21"/>
                <w:highlight w:val="none"/>
              </w:rPr>
            </w:pPr>
          </w:p>
        </w:tc>
        <w:tc>
          <w:tcPr>
            <w:tcW w:w="1587" w:type="dxa"/>
            <w:vAlign w:val="center"/>
          </w:tcPr>
          <w:p w14:paraId="0B96DEEC">
            <w:pPr>
              <w:jc w:val="center"/>
              <w:rPr>
                <w:rFonts w:ascii="宋体" w:hAnsi="宋体"/>
                <w:color w:val="auto"/>
                <w:szCs w:val="21"/>
                <w:highlight w:val="none"/>
              </w:rPr>
            </w:pPr>
          </w:p>
        </w:tc>
        <w:tc>
          <w:tcPr>
            <w:tcW w:w="1133" w:type="dxa"/>
            <w:vAlign w:val="center"/>
          </w:tcPr>
          <w:p w14:paraId="7E47A69A">
            <w:pPr>
              <w:jc w:val="center"/>
              <w:rPr>
                <w:rFonts w:ascii="宋体" w:hAnsi="宋体"/>
                <w:color w:val="auto"/>
                <w:szCs w:val="21"/>
                <w:highlight w:val="none"/>
              </w:rPr>
            </w:pPr>
          </w:p>
        </w:tc>
        <w:tc>
          <w:tcPr>
            <w:tcW w:w="1730" w:type="dxa"/>
            <w:vAlign w:val="center"/>
          </w:tcPr>
          <w:p w14:paraId="70243DAB">
            <w:pPr>
              <w:jc w:val="center"/>
              <w:rPr>
                <w:rFonts w:ascii="宋体" w:hAnsi="宋体"/>
                <w:color w:val="auto"/>
                <w:szCs w:val="21"/>
                <w:highlight w:val="none"/>
              </w:rPr>
            </w:pPr>
          </w:p>
        </w:tc>
      </w:tr>
      <w:tr w14:paraId="7A54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087503">
            <w:pPr>
              <w:jc w:val="center"/>
              <w:rPr>
                <w:rFonts w:ascii="宋体" w:hAnsi="宋体"/>
                <w:color w:val="auto"/>
                <w:szCs w:val="21"/>
                <w:highlight w:val="none"/>
              </w:rPr>
            </w:pPr>
          </w:p>
        </w:tc>
        <w:tc>
          <w:tcPr>
            <w:tcW w:w="1620" w:type="dxa"/>
            <w:vAlign w:val="center"/>
          </w:tcPr>
          <w:p w14:paraId="45B47DCD">
            <w:pPr>
              <w:jc w:val="center"/>
              <w:rPr>
                <w:rFonts w:ascii="宋体" w:hAnsi="宋体"/>
                <w:color w:val="auto"/>
                <w:szCs w:val="21"/>
                <w:highlight w:val="none"/>
              </w:rPr>
            </w:pPr>
          </w:p>
        </w:tc>
        <w:tc>
          <w:tcPr>
            <w:tcW w:w="1360" w:type="dxa"/>
            <w:vAlign w:val="center"/>
          </w:tcPr>
          <w:p w14:paraId="1C7B6372">
            <w:pPr>
              <w:jc w:val="center"/>
              <w:rPr>
                <w:rFonts w:ascii="宋体" w:hAnsi="宋体"/>
                <w:color w:val="auto"/>
                <w:szCs w:val="21"/>
                <w:highlight w:val="none"/>
              </w:rPr>
            </w:pPr>
          </w:p>
        </w:tc>
        <w:tc>
          <w:tcPr>
            <w:tcW w:w="1587" w:type="dxa"/>
            <w:vAlign w:val="center"/>
          </w:tcPr>
          <w:p w14:paraId="74DCA4A6">
            <w:pPr>
              <w:jc w:val="center"/>
              <w:rPr>
                <w:rFonts w:ascii="宋体" w:hAnsi="宋体"/>
                <w:color w:val="auto"/>
                <w:szCs w:val="21"/>
                <w:highlight w:val="none"/>
              </w:rPr>
            </w:pPr>
          </w:p>
        </w:tc>
        <w:tc>
          <w:tcPr>
            <w:tcW w:w="1133" w:type="dxa"/>
            <w:vAlign w:val="center"/>
          </w:tcPr>
          <w:p w14:paraId="3C60F8B7">
            <w:pPr>
              <w:jc w:val="center"/>
              <w:rPr>
                <w:rFonts w:ascii="宋体" w:hAnsi="宋体"/>
                <w:color w:val="auto"/>
                <w:szCs w:val="21"/>
                <w:highlight w:val="none"/>
              </w:rPr>
            </w:pPr>
          </w:p>
        </w:tc>
        <w:tc>
          <w:tcPr>
            <w:tcW w:w="1730" w:type="dxa"/>
            <w:vAlign w:val="center"/>
          </w:tcPr>
          <w:p w14:paraId="4A13243D">
            <w:pPr>
              <w:jc w:val="center"/>
              <w:rPr>
                <w:rFonts w:ascii="宋体" w:hAnsi="宋体"/>
                <w:color w:val="auto"/>
                <w:szCs w:val="21"/>
                <w:highlight w:val="none"/>
              </w:rPr>
            </w:pPr>
          </w:p>
        </w:tc>
      </w:tr>
    </w:tbl>
    <w:p w14:paraId="280FA647">
      <w:pPr>
        <w:rPr>
          <w:rFonts w:ascii="宋体" w:hAnsi="宋体"/>
          <w:color w:val="auto"/>
          <w:szCs w:val="21"/>
          <w:highlight w:val="none"/>
        </w:rPr>
      </w:pPr>
    </w:p>
    <w:p w14:paraId="101C3454">
      <w:pPr>
        <w:rPr>
          <w:rFonts w:ascii="宋体" w:hAnsi="宋体"/>
          <w:color w:val="auto"/>
          <w:szCs w:val="21"/>
          <w:highlight w:val="none"/>
        </w:rPr>
      </w:pPr>
      <w:r>
        <w:rPr>
          <w:rFonts w:hint="eastAsia" w:ascii="宋体" w:hAnsi="宋体"/>
          <w:color w:val="auto"/>
          <w:szCs w:val="21"/>
          <w:highlight w:val="none"/>
        </w:rPr>
        <w:t>投标人代表签字：</w:t>
      </w:r>
    </w:p>
    <w:p w14:paraId="061AB9D8">
      <w:pPr>
        <w:rPr>
          <w:rFonts w:ascii="宋体" w:hAnsi="宋体"/>
          <w:color w:val="auto"/>
          <w:szCs w:val="21"/>
          <w:highlight w:val="none"/>
        </w:rPr>
      </w:pPr>
      <w:r>
        <w:rPr>
          <w:rFonts w:hint="eastAsia" w:ascii="宋体" w:hAnsi="宋体"/>
          <w:color w:val="auto"/>
          <w:szCs w:val="21"/>
          <w:highlight w:val="none"/>
        </w:rPr>
        <w:t>投标人盖章：</w:t>
      </w:r>
    </w:p>
    <w:p w14:paraId="7A722934">
      <w:pPr>
        <w:rPr>
          <w:rFonts w:ascii="宋体" w:hAnsi="宋体"/>
          <w:color w:val="auto"/>
          <w:szCs w:val="21"/>
          <w:highlight w:val="none"/>
        </w:rPr>
      </w:pPr>
    </w:p>
    <w:p w14:paraId="13341A1E">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0934A551">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3D35FF93">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1C2D8432">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0C6D0579">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3A0ADFA1">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6BF9B1DF">
      <w:pPr>
        <w:rPr>
          <w:rFonts w:ascii="宋体" w:hAnsi="宋体"/>
          <w:color w:val="auto"/>
          <w:szCs w:val="21"/>
          <w:highlight w:val="none"/>
        </w:rPr>
      </w:pPr>
      <w:r>
        <w:rPr>
          <w:rFonts w:hint="eastAsia" w:ascii="宋体" w:hAnsi="宋体"/>
          <w:color w:val="auto"/>
          <w:szCs w:val="21"/>
          <w:highlight w:val="none"/>
        </w:rPr>
        <w:br w:type="page"/>
      </w:r>
    </w:p>
    <w:p w14:paraId="27E73153">
      <w:pPr>
        <w:pStyle w:val="7"/>
        <w:widowControl w:val="0"/>
        <w:overflowPunct w:val="0"/>
        <w:spacing w:line="240" w:lineRule="auto"/>
        <w:rPr>
          <w:rFonts w:ascii="宋体" w:hAnsi="宋体"/>
          <w:color w:val="auto"/>
          <w:sz w:val="30"/>
          <w:szCs w:val="30"/>
          <w:highlight w:val="none"/>
        </w:rPr>
      </w:pPr>
      <w:bookmarkStart w:id="143" w:name="_Toc1236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.业绩表</w:t>
      </w:r>
      <w:bookmarkEnd w:id="143"/>
    </w:p>
    <w:p w14:paraId="2F4CB1C2">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2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AB5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61AE1B5">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6C31C731">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7C8A409A">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4881B1CF">
            <w:pPr>
              <w:adjustRightInd/>
              <w:snapToGrid/>
              <w:jc w:val="center"/>
              <w:rPr>
                <w:rFonts w:hint="eastAsia" w:ascii="宋体" w:hAnsi="宋体"/>
                <w:color w:val="auto"/>
                <w:szCs w:val="21"/>
                <w:highlight w:val="none"/>
              </w:rPr>
            </w:pPr>
            <w:r>
              <w:rPr>
                <w:rFonts w:hint="eastAsia" w:ascii="宋体" w:hAnsi="宋体"/>
                <w:color w:val="auto"/>
                <w:szCs w:val="21"/>
                <w:highlight w:val="none"/>
              </w:rPr>
              <w:t>项目合同</w:t>
            </w:r>
          </w:p>
          <w:p w14:paraId="75D9DC5E">
            <w:pPr>
              <w:adjustRightInd/>
              <w:snapToGrid/>
              <w:jc w:val="center"/>
              <w:rPr>
                <w:rFonts w:ascii="宋体" w:hAnsi="宋体"/>
                <w:color w:val="auto"/>
                <w:szCs w:val="21"/>
                <w:highlight w:val="none"/>
              </w:rPr>
            </w:pPr>
            <w:r>
              <w:rPr>
                <w:rFonts w:hint="eastAsia" w:ascii="宋体" w:hAnsi="宋体"/>
                <w:color w:val="auto"/>
                <w:szCs w:val="21"/>
                <w:highlight w:val="none"/>
              </w:rPr>
              <w:t>签订时间</w:t>
            </w:r>
          </w:p>
        </w:tc>
        <w:tc>
          <w:tcPr>
            <w:tcW w:w="1697" w:type="dxa"/>
            <w:vAlign w:val="center"/>
          </w:tcPr>
          <w:p w14:paraId="5AFBC9AF">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4D6E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C244285">
            <w:pPr>
              <w:adjustRightInd/>
              <w:snapToGrid/>
              <w:jc w:val="center"/>
              <w:rPr>
                <w:rFonts w:ascii="宋体" w:hAnsi="宋体"/>
                <w:color w:val="auto"/>
                <w:szCs w:val="21"/>
                <w:highlight w:val="none"/>
              </w:rPr>
            </w:pPr>
          </w:p>
        </w:tc>
        <w:tc>
          <w:tcPr>
            <w:tcW w:w="1705" w:type="dxa"/>
            <w:vAlign w:val="center"/>
          </w:tcPr>
          <w:p w14:paraId="1A8B3EA9">
            <w:pPr>
              <w:adjustRightInd/>
              <w:snapToGrid/>
              <w:jc w:val="center"/>
              <w:rPr>
                <w:rFonts w:ascii="宋体" w:hAnsi="宋体"/>
                <w:color w:val="auto"/>
                <w:szCs w:val="21"/>
                <w:highlight w:val="none"/>
              </w:rPr>
            </w:pPr>
          </w:p>
        </w:tc>
        <w:tc>
          <w:tcPr>
            <w:tcW w:w="1706" w:type="dxa"/>
            <w:vAlign w:val="center"/>
          </w:tcPr>
          <w:p w14:paraId="7FC23B1C">
            <w:pPr>
              <w:adjustRightInd/>
              <w:snapToGrid/>
              <w:jc w:val="center"/>
              <w:rPr>
                <w:rFonts w:ascii="宋体" w:hAnsi="宋体"/>
                <w:color w:val="auto"/>
                <w:szCs w:val="21"/>
                <w:highlight w:val="none"/>
              </w:rPr>
            </w:pPr>
          </w:p>
        </w:tc>
        <w:tc>
          <w:tcPr>
            <w:tcW w:w="1705" w:type="dxa"/>
            <w:vAlign w:val="center"/>
          </w:tcPr>
          <w:p w14:paraId="1EB298B7">
            <w:pPr>
              <w:adjustRightInd/>
              <w:snapToGrid/>
              <w:jc w:val="center"/>
              <w:rPr>
                <w:rFonts w:ascii="宋体" w:hAnsi="宋体"/>
                <w:color w:val="auto"/>
                <w:szCs w:val="21"/>
                <w:highlight w:val="none"/>
              </w:rPr>
            </w:pPr>
          </w:p>
        </w:tc>
        <w:tc>
          <w:tcPr>
            <w:tcW w:w="1697" w:type="dxa"/>
            <w:vAlign w:val="center"/>
          </w:tcPr>
          <w:p w14:paraId="69C1712E">
            <w:pPr>
              <w:adjustRightInd/>
              <w:snapToGrid/>
              <w:jc w:val="center"/>
              <w:rPr>
                <w:rFonts w:ascii="宋体" w:hAnsi="宋体"/>
                <w:color w:val="auto"/>
                <w:szCs w:val="21"/>
                <w:highlight w:val="none"/>
              </w:rPr>
            </w:pPr>
          </w:p>
        </w:tc>
      </w:tr>
      <w:tr w14:paraId="5960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CA4E780">
            <w:pPr>
              <w:adjustRightInd/>
              <w:snapToGrid/>
              <w:rPr>
                <w:rFonts w:ascii="宋体" w:hAnsi="宋体"/>
                <w:color w:val="auto"/>
                <w:szCs w:val="21"/>
                <w:highlight w:val="none"/>
              </w:rPr>
            </w:pPr>
          </w:p>
        </w:tc>
        <w:tc>
          <w:tcPr>
            <w:tcW w:w="1705" w:type="dxa"/>
          </w:tcPr>
          <w:p w14:paraId="2FF8729C">
            <w:pPr>
              <w:adjustRightInd/>
              <w:snapToGrid/>
              <w:rPr>
                <w:rFonts w:ascii="宋体" w:hAnsi="宋体"/>
                <w:color w:val="auto"/>
                <w:szCs w:val="21"/>
                <w:highlight w:val="none"/>
              </w:rPr>
            </w:pPr>
          </w:p>
        </w:tc>
        <w:tc>
          <w:tcPr>
            <w:tcW w:w="1706" w:type="dxa"/>
          </w:tcPr>
          <w:p w14:paraId="682DBD95">
            <w:pPr>
              <w:adjustRightInd/>
              <w:snapToGrid/>
              <w:rPr>
                <w:rFonts w:ascii="宋体" w:hAnsi="宋体"/>
                <w:color w:val="auto"/>
                <w:szCs w:val="21"/>
                <w:highlight w:val="none"/>
              </w:rPr>
            </w:pPr>
          </w:p>
        </w:tc>
        <w:tc>
          <w:tcPr>
            <w:tcW w:w="1705" w:type="dxa"/>
          </w:tcPr>
          <w:p w14:paraId="42177FE8">
            <w:pPr>
              <w:adjustRightInd/>
              <w:snapToGrid/>
              <w:rPr>
                <w:rFonts w:ascii="宋体" w:hAnsi="宋体"/>
                <w:color w:val="auto"/>
                <w:szCs w:val="21"/>
                <w:highlight w:val="none"/>
              </w:rPr>
            </w:pPr>
          </w:p>
        </w:tc>
        <w:tc>
          <w:tcPr>
            <w:tcW w:w="1697" w:type="dxa"/>
          </w:tcPr>
          <w:p w14:paraId="4F81CD5E">
            <w:pPr>
              <w:adjustRightInd/>
              <w:snapToGrid/>
              <w:rPr>
                <w:rFonts w:ascii="宋体" w:hAnsi="宋体"/>
                <w:color w:val="auto"/>
                <w:szCs w:val="21"/>
                <w:highlight w:val="none"/>
              </w:rPr>
            </w:pPr>
          </w:p>
        </w:tc>
      </w:tr>
      <w:tr w14:paraId="0A28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43DE9E1">
            <w:pPr>
              <w:adjustRightInd/>
              <w:snapToGrid/>
              <w:rPr>
                <w:rFonts w:ascii="宋体" w:hAnsi="宋体"/>
                <w:color w:val="auto"/>
                <w:szCs w:val="21"/>
                <w:highlight w:val="none"/>
              </w:rPr>
            </w:pPr>
          </w:p>
        </w:tc>
        <w:tc>
          <w:tcPr>
            <w:tcW w:w="1705" w:type="dxa"/>
          </w:tcPr>
          <w:p w14:paraId="404B6F29">
            <w:pPr>
              <w:adjustRightInd/>
              <w:snapToGrid/>
              <w:rPr>
                <w:rFonts w:ascii="宋体" w:hAnsi="宋体"/>
                <w:color w:val="auto"/>
                <w:szCs w:val="21"/>
                <w:highlight w:val="none"/>
              </w:rPr>
            </w:pPr>
          </w:p>
        </w:tc>
        <w:tc>
          <w:tcPr>
            <w:tcW w:w="1706" w:type="dxa"/>
          </w:tcPr>
          <w:p w14:paraId="78443094">
            <w:pPr>
              <w:adjustRightInd/>
              <w:snapToGrid/>
              <w:rPr>
                <w:rFonts w:ascii="宋体" w:hAnsi="宋体"/>
                <w:color w:val="auto"/>
                <w:szCs w:val="21"/>
                <w:highlight w:val="none"/>
              </w:rPr>
            </w:pPr>
          </w:p>
        </w:tc>
        <w:tc>
          <w:tcPr>
            <w:tcW w:w="1705" w:type="dxa"/>
          </w:tcPr>
          <w:p w14:paraId="0406B01F">
            <w:pPr>
              <w:adjustRightInd/>
              <w:snapToGrid/>
              <w:rPr>
                <w:rFonts w:ascii="宋体" w:hAnsi="宋体"/>
                <w:color w:val="auto"/>
                <w:szCs w:val="21"/>
                <w:highlight w:val="none"/>
              </w:rPr>
            </w:pPr>
          </w:p>
        </w:tc>
        <w:tc>
          <w:tcPr>
            <w:tcW w:w="1697" w:type="dxa"/>
          </w:tcPr>
          <w:p w14:paraId="483983BB">
            <w:pPr>
              <w:adjustRightInd/>
              <w:snapToGrid/>
              <w:rPr>
                <w:rFonts w:ascii="宋体" w:hAnsi="宋体"/>
                <w:color w:val="auto"/>
                <w:szCs w:val="21"/>
                <w:highlight w:val="none"/>
              </w:rPr>
            </w:pPr>
          </w:p>
        </w:tc>
      </w:tr>
      <w:tr w14:paraId="07BC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4602464">
            <w:pPr>
              <w:adjustRightInd/>
              <w:snapToGrid/>
              <w:rPr>
                <w:rFonts w:ascii="宋体" w:hAnsi="宋体"/>
                <w:color w:val="auto"/>
                <w:szCs w:val="21"/>
                <w:highlight w:val="none"/>
              </w:rPr>
            </w:pPr>
          </w:p>
        </w:tc>
        <w:tc>
          <w:tcPr>
            <w:tcW w:w="1705" w:type="dxa"/>
          </w:tcPr>
          <w:p w14:paraId="6869B34A">
            <w:pPr>
              <w:adjustRightInd/>
              <w:snapToGrid/>
              <w:rPr>
                <w:rFonts w:ascii="宋体" w:hAnsi="宋体"/>
                <w:color w:val="auto"/>
                <w:szCs w:val="21"/>
                <w:highlight w:val="none"/>
              </w:rPr>
            </w:pPr>
          </w:p>
        </w:tc>
        <w:tc>
          <w:tcPr>
            <w:tcW w:w="1706" w:type="dxa"/>
          </w:tcPr>
          <w:p w14:paraId="0226BDEA">
            <w:pPr>
              <w:adjustRightInd/>
              <w:snapToGrid/>
              <w:rPr>
                <w:rFonts w:ascii="宋体" w:hAnsi="宋体"/>
                <w:color w:val="auto"/>
                <w:szCs w:val="21"/>
                <w:highlight w:val="none"/>
              </w:rPr>
            </w:pPr>
          </w:p>
        </w:tc>
        <w:tc>
          <w:tcPr>
            <w:tcW w:w="1705" w:type="dxa"/>
          </w:tcPr>
          <w:p w14:paraId="1552FF1F">
            <w:pPr>
              <w:adjustRightInd/>
              <w:snapToGrid/>
              <w:rPr>
                <w:rFonts w:ascii="宋体" w:hAnsi="宋体"/>
                <w:color w:val="auto"/>
                <w:szCs w:val="21"/>
                <w:highlight w:val="none"/>
              </w:rPr>
            </w:pPr>
          </w:p>
        </w:tc>
        <w:tc>
          <w:tcPr>
            <w:tcW w:w="1697" w:type="dxa"/>
          </w:tcPr>
          <w:p w14:paraId="57637727">
            <w:pPr>
              <w:adjustRightInd/>
              <w:snapToGrid/>
              <w:rPr>
                <w:rFonts w:ascii="宋体" w:hAnsi="宋体"/>
                <w:color w:val="auto"/>
                <w:szCs w:val="21"/>
                <w:highlight w:val="none"/>
              </w:rPr>
            </w:pPr>
          </w:p>
        </w:tc>
      </w:tr>
      <w:tr w14:paraId="2E35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D0C2B93">
            <w:pPr>
              <w:adjustRightInd/>
              <w:snapToGrid/>
              <w:rPr>
                <w:rFonts w:ascii="宋体" w:hAnsi="宋体"/>
                <w:color w:val="auto"/>
                <w:szCs w:val="21"/>
                <w:highlight w:val="none"/>
              </w:rPr>
            </w:pPr>
          </w:p>
        </w:tc>
        <w:tc>
          <w:tcPr>
            <w:tcW w:w="1705" w:type="dxa"/>
          </w:tcPr>
          <w:p w14:paraId="3ACB9069">
            <w:pPr>
              <w:adjustRightInd/>
              <w:snapToGrid/>
              <w:rPr>
                <w:rFonts w:ascii="宋体" w:hAnsi="宋体"/>
                <w:color w:val="auto"/>
                <w:szCs w:val="21"/>
                <w:highlight w:val="none"/>
              </w:rPr>
            </w:pPr>
          </w:p>
        </w:tc>
        <w:tc>
          <w:tcPr>
            <w:tcW w:w="1706" w:type="dxa"/>
          </w:tcPr>
          <w:p w14:paraId="06AB71F7">
            <w:pPr>
              <w:adjustRightInd/>
              <w:snapToGrid/>
              <w:rPr>
                <w:rFonts w:ascii="宋体" w:hAnsi="宋体"/>
                <w:color w:val="auto"/>
                <w:szCs w:val="21"/>
                <w:highlight w:val="none"/>
              </w:rPr>
            </w:pPr>
          </w:p>
        </w:tc>
        <w:tc>
          <w:tcPr>
            <w:tcW w:w="1705" w:type="dxa"/>
          </w:tcPr>
          <w:p w14:paraId="7F84E6C4">
            <w:pPr>
              <w:adjustRightInd/>
              <w:snapToGrid/>
              <w:rPr>
                <w:rFonts w:ascii="宋体" w:hAnsi="宋体"/>
                <w:color w:val="auto"/>
                <w:szCs w:val="21"/>
                <w:highlight w:val="none"/>
              </w:rPr>
            </w:pPr>
          </w:p>
        </w:tc>
        <w:tc>
          <w:tcPr>
            <w:tcW w:w="1697" w:type="dxa"/>
          </w:tcPr>
          <w:p w14:paraId="3AAAAA4D">
            <w:pPr>
              <w:adjustRightInd/>
              <w:snapToGrid/>
              <w:rPr>
                <w:rFonts w:ascii="宋体" w:hAnsi="宋体"/>
                <w:color w:val="auto"/>
                <w:szCs w:val="21"/>
                <w:highlight w:val="none"/>
              </w:rPr>
            </w:pPr>
          </w:p>
        </w:tc>
      </w:tr>
      <w:tr w14:paraId="7709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D9C9188">
            <w:pPr>
              <w:adjustRightInd/>
              <w:snapToGrid/>
              <w:rPr>
                <w:rFonts w:ascii="宋体" w:hAnsi="宋体"/>
                <w:color w:val="auto"/>
                <w:szCs w:val="21"/>
                <w:highlight w:val="none"/>
              </w:rPr>
            </w:pPr>
          </w:p>
        </w:tc>
        <w:tc>
          <w:tcPr>
            <w:tcW w:w="1705" w:type="dxa"/>
          </w:tcPr>
          <w:p w14:paraId="4A434F28">
            <w:pPr>
              <w:adjustRightInd/>
              <w:snapToGrid/>
              <w:rPr>
                <w:rFonts w:ascii="宋体" w:hAnsi="宋体"/>
                <w:color w:val="auto"/>
                <w:szCs w:val="21"/>
                <w:highlight w:val="none"/>
              </w:rPr>
            </w:pPr>
          </w:p>
        </w:tc>
        <w:tc>
          <w:tcPr>
            <w:tcW w:w="1706" w:type="dxa"/>
          </w:tcPr>
          <w:p w14:paraId="6DFD5F11">
            <w:pPr>
              <w:adjustRightInd/>
              <w:snapToGrid/>
              <w:rPr>
                <w:rFonts w:ascii="宋体" w:hAnsi="宋体"/>
                <w:color w:val="auto"/>
                <w:szCs w:val="21"/>
                <w:highlight w:val="none"/>
              </w:rPr>
            </w:pPr>
          </w:p>
        </w:tc>
        <w:tc>
          <w:tcPr>
            <w:tcW w:w="1705" w:type="dxa"/>
          </w:tcPr>
          <w:p w14:paraId="631BD95F">
            <w:pPr>
              <w:adjustRightInd/>
              <w:snapToGrid/>
              <w:rPr>
                <w:rFonts w:ascii="宋体" w:hAnsi="宋体"/>
                <w:color w:val="auto"/>
                <w:szCs w:val="21"/>
                <w:highlight w:val="none"/>
              </w:rPr>
            </w:pPr>
          </w:p>
        </w:tc>
        <w:tc>
          <w:tcPr>
            <w:tcW w:w="1697" w:type="dxa"/>
          </w:tcPr>
          <w:p w14:paraId="0D8DDD4D">
            <w:pPr>
              <w:adjustRightInd/>
              <w:snapToGrid/>
              <w:rPr>
                <w:rFonts w:ascii="宋体" w:hAnsi="宋体"/>
                <w:color w:val="auto"/>
                <w:szCs w:val="21"/>
                <w:highlight w:val="none"/>
              </w:rPr>
            </w:pPr>
          </w:p>
        </w:tc>
      </w:tr>
    </w:tbl>
    <w:p w14:paraId="0CD6AFD1">
      <w:pPr>
        <w:pStyle w:val="40"/>
        <w:rPr>
          <w:rFonts w:ascii="宋体" w:hAnsi="宋体"/>
          <w:color w:val="auto"/>
          <w:szCs w:val="21"/>
          <w:highlight w:val="none"/>
        </w:rPr>
      </w:pPr>
    </w:p>
    <w:p w14:paraId="2AF7E298">
      <w:pPr>
        <w:pStyle w:val="40"/>
        <w:rPr>
          <w:rFonts w:ascii="宋体" w:hAnsi="宋体"/>
          <w:color w:val="auto"/>
          <w:szCs w:val="21"/>
          <w:highlight w:val="none"/>
        </w:rPr>
      </w:pPr>
      <w:r>
        <w:rPr>
          <w:rFonts w:hint="eastAsia" w:ascii="宋体" w:hAnsi="宋体"/>
          <w:color w:val="auto"/>
          <w:szCs w:val="21"/>
          <w:highlight w:val="none"/>
        </w:rPr>
        <w:t>注：</w:t>
      </w:r>
    </w:p>
    <w:p w14:paraId="0021CEE0">
      <w:pPr>
        <w:pStyle w:val="40"/>
        <w:numPr>
          <w:ilvl w:val="0"/>
          <w:numId w:val="12"/>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20DD8F48">
      <w:pPr>
        <w:pStyle w:val="40"/>
        <w:numPr>
          <w:ilvl w:val="0"/>
          <w:numId w:val="12"/>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3CD25E15">
      <w:pPr>
        <w:rPr>
          <w:rFonts w:ascii="宋体" w:hAnsi="宋体"/>
          <w:color w:val="auto"/>
          <w:szCs w:val="21"/>
          <w:highlight w:val="none"/>
        </w:rPr>
      </w:pPr>
      <w:r>
        <w:rPr>
          <w:rFonts w:hint="eastAsia" w:ascii="宋体" w:hAnsi="宋体"/>
          <w:color w:val="auto"/>
          <w:szCs w:val="21"/>
          <w:highlight w:val="none"/>
        </w:rPr>
        <w:br w:type="page"/>
      </w:r>
    </w:p>
    <w:p w14:paraId="4BF15DE2">
      <w:pPr>
        <w:pStyle w:val="7"/>
        <w:widowControl w:val="0"/>
        <w:overflowPunct w:val="0"/>
        <w:spacing w:line="240" w:lineRule="auto"/>
        <w:rPr>
          <w:color w:val="auto"/>
          <w:highlight w:val="none"/>
        </w:rPr>
      </w:pPr>
      <w:bookmarkStart w:id="144" w:name="_Toc27598"/>
      <w:bookmarkStart w:id="145" w:name="_Toc195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.联合体协议书</w:t>
      </w:r>
      <w:r>
        <w:rPr>
          <w:rFonts w:hint="eastAsia"/>
          <w:color w:val="auto"/>
          <w:highlight w:val="none"/>
        </w:rPr>
        <w:t>（如有）</w:t>
      </w:r>
      <w:bookmarkEnd w:id="144"/>
      <w:bookmarkEnd w:id="145"/>
    </w:p>
    <w:p w14:paraId="387A97AC">
      <w:pPr>
        <w:bidi w:val="0"/>
        <w:rPr>
          <w:rFonts w:hint="eastAsia"/>
          <w:color w:val="auto"/>
        </w:rPr>
      </w:pPr>
    </w:p>
    <w:p w14:paraId="5DB4ECAC">
      <w:pPr>
        <w:jc w:val="center"/>
        <w:rPr>
          <w:rFonts w:hint="eastAsia" w:ascii="黑体" w:eastAsia="黑体"/>
          <w:color w:val="auto"/>
          <w:sz w:val="28"/>
          <w:szCs w:val="28"/>
          <w:highlight w:val="none"/>
        </w:rPr>
      </w:pPr>
      <w:r>
        <w:rPr>
          <w:rFonts w:hint="eastAsia" w:ascii="黑体" w:eastAsia="黑体"/>
          <w:color w:val="auto"/>
          <w:sz w:val="28"/>
          <w:szCs w:val="28"/>
          <w:highlight w:val="none"/>
        </w:rPr>
        <w:t>联合体共同投标协议书</w:t>
      </w:r>
    </w:p>
    <w:p w14:paraId="7E4F0D36">
      <w:pPr>
        <w:jc w:val="center"/>
        <w:rPr>
          <w:rFonts w:hAnsi="宋体" w:cs="宋体"/>
          <w:color w:val="auto"/>
          <w:highlight w:val="none"/>
        </w:rPr>
      </w:pPr>
    </w:p>
    <w:p w14:paraId="500ED203">
      <w:pPr>
        <w:rPr>
          <w:rFonts w:hAnsi="宋体" w:cs="宋体"/>
          <w:color w:val="auto"/>
          <w:szCs w:val="21"/>
          <w:highlight w:val="none"/>
        </w:rPr>
      </w:pPr>
      <w:r>
        <w:rPr>
          <w:rFonts w:hint="eastAsia" w:hAnsi="宋体" w:cs="宋体"/>
          <w:color w:val="auto"/>
          <w:szCs w:val="21"/>
          <w:highlight w:val="none"/>
        </w:rPr>
        <w:t>立约方：（甲公司全称）</w:t>
      </w:r>
    </w:p>
    <w:p w14:paraId="184F06C9">
      <w:pPr>
        <w:rPr>
          <w:rFonts w:hAnsi="宋体" w:cs="宋体"/>
          <w:color w:val="auto"/>
          <w:szCs w:val="21"/>
          <w:highlight w:val="none"/>
        </w:rPr>
      </w:pPr>
      <w:r>
        <w:rPr>
          <w:rFonts w:hint="eastAsia" w:hAnsi="宋体" w:cs="宋体"/>
          <w:color w:val="auto"/>
          <w:szCs w:val="21"/>
          <w:highlight w:val="none"/>
        </w:rPr>
        <w:t>（乙公司全称）</w:t>
      </w:r>
    </w:p>
    <w:p w14:paraId="2D4CB867">
      <w:pPr>
        <w:rPr>
          <w:rFonts w:hAnsi="宋体" w:cs="宋体"/>
          <w:color w:val="auto"/>
          <w:szCs w:val="21"/>
          <w:highlight w:val="none"/>
        </w:rPr>
      </w:pPr>
      <w:r>
        <w:rPr>
          <w:rFonts w:hint="eastAsia" w:hAnsi="宋体" w:cs="宋体"/>
          <w:color w:val="auto"/>
          <w:szCs w:val="21"/>
          <w:highlight w:val="none"/>
        </w:rPr>
        <w:t>（……公司全称）</w:t>
      </w:r>
    </w:p>
    <w:p w14:paraId="51656F6C">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14:paraId="01BA2284">
      <w:pPr>
        <w:rPr>
          <w:rFonts w:hAnsi="宋体" w:cs="宋体"/>
          <w:color w:val="auto"/>
          <w:szCs w:val="21"/>
          <w:highlight w:val="none"/>
        </w:rPr>
      </w:pPr>
      <w:r>
        <w:rPr>
          <w:rFonts w:hint="eastAsia" w:hAnsi="宋体" w:cs="宋体"/>
          <w:color w:val="auto"/>
          <w:szCs w:val="21"/>
          <w:highlight w:val="none"/>
        </w:rPr>
        <w:t>一、联合体各方关系</w:t>
      </w:r>
    </w:p>
    <w:p w14:paraId="2829FA0D">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14:paraId="7C7A5F8D">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14:paraId="4D40FF91">
      <w:pPr>
        <w:rPr>
          <w:rFonts w:hAnsi="宋体" w:cs="宋体"/>
          <w:color w:val="auto"/>
          <w:szCs w:val="21"/>
          <w:highlight w:val="none"/>
        </w:rPr>
      </w:pPr>
      <w:r>
        <w:rPr>
          <w:rFonts w:hint="eastAsia" w:hAnsi="宋体" w:cs="宋体"/>
          <w:color w:val="auto"/>
          <w:szCs w:val="21"/>
          <w:highlight w:val="none"/>
        </w:rPr>
        <w:t>二、联合体内部有关事项约定如下：</w:t>
      </w:r>
    </w:p>
    <w:p w14:paraId="74021EA9">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46F65A71">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AD1DBBC">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14:paraId="2F9E4FAD">
      <w:pPr>
        <w:rPr>
          <w:rFonts w:hAnsi="宋体" w:cs="宋体"/>
          <w:color w:val="auto"/>
          <w:szCs w:val="21"/>
          <w:highlight w:val="none"/>
        </w:rPr>
      </w:pPr>
      <w:r>
        <w:rPr>
          <w:rFonts w:hint="eastAsia" w:hAnsi="宋体" w:cs="宋体"/>
          <w:color w:val="auto"/>
          <w:szCs w:val="21"/>
          <w:highlight w:val="none"/>
        </w:rPr>
        <w:t>4.联合体各成员单位内部的职责分工如下：</w:t>
      </w:r>
    </w:p>
    <w:p w14:paraId="0D2EDEE3">
      <w:pPr>
        <w:rPr>
          <w:rFonts w:hAnsi="宋体" w:cs="宋体"/>
          <w:color w:val="auto"/>
          <w:szCs w:val="21"/>
          <w:highlight w:val="none"/>
        </w:rPr>
      </w:pPr>
      <w:r>
        <w:rPr>
          <w:rFonts w:hint="eastAsia" w:hAnsi="宋体" w:cs="宋体"/>
          <w:color w:val="auto"/>
          <w:szCs w:val="21"/>
          <w:highlight w:val="none"/>
        </w:rPr>
        <w:t>（1）</w:t>
      </w:r>
    </w:p>
    <w:p w14:paraId="753286FC">
      <w:pPr>
        <w:rPr>
          <w:color w:val="auto"/>
          <w:highlight w:val="none"/>
        </w:rPr>
      </w:pPr>
      <w:r>
        <w:rPr>
          <w:rFonts w:hint="eastAsia" w:hAnsi="宋体" w:cs="宋体"/>
          <w:color w:val="auto"/>
          <w:szCs w:val="21"/>
          <w:highlight w:val="none"/>
        </w:rPr>
        <w:t>（2）</w:t>
      </w:r>
    </w:p>
    <w:p w14:paraId="44CD0416">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5BA3444">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14:paraId="394C4C83">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14:paraId="5F107ADF">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14:paraId="4637EEE2">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14:paraId="00B86FE0">
      <w:pPr>
        <w:rPr>
          <w:rFonts w:hAnsi="宋体" w:cs="宋体"/>
          <w:color w:val="auto"/>
          <w:szCs w:val="21"/>
          <w:highlight w:val="none"/>
        </w:rPr>
      </w:pPr>
    </w:p>
    <w:p w14:paraId="1CD86698">
      <w:pPr>
        <w:pStyle w:val="3"/>
        <w:rPr>
          <w:color w:val="auto"/>
          <w:sz w:val="21"/>
          <w:szCs w:val="21"/>
          <w:highlight w:val="none"/>
        </w:rPr>
      </w:pPr>
      <w:r>
        <w:rPr>
          <w:rFonts w:hint="eastAsia"/>
          <w:color w:val="auto"/>
          <w:sz w:val="21"/>
          <w:szCs w:val="21"/>
          <w:highlight w:val="none"/>
        </w:rPr>
        <w:t>注：本协议书由委托人签字的，应附法定代表人签字的授权委托书。</w:t>
      </w:r>
    </w:p>
    <w:p w14:paraId="38479C70">
      <w:pPr>
        <w:pStyle w:val="3"/>
        <w:rPr>
          <w:color w:val="auto"/>
          <w:sz w:val="21"/>
          <w:szCs w:val="21"/>
          <w:highlight w:val="none"/>
        </w:rPr>
      </w:pPr>
      <w:r>
        <w:rPr>
          <w:rFonts w:hint="eastAsia"/>
          <w:color w:val="auto"/>
          <w:sz w:val="21"/>
          <w:szCs w:val="21"/>
          <w:highlight w:val="none"/>
        </w:rPr>
        <w:t>牵头人名称：_______________________（盖单位公章）</w:t>
      </w:r>
    </w:p>
    <w:p w14:paraId="1C77CD49">
      <w:pPr>
        <w:pStyle w:val="3"/>
        <w:rPr>
          <w:color w:val="auto"/>
          <w:sz w:val="21"/>
          <w:szCs w:val="21"/>
          <w:highlight w:val="none"/>
        </w:rPr>
      </w:pPr>
      <w:r>
        <w:rPr>
          <w:rFonts w:hint="eastAsia"/>
          <w:color w:val="auto"/>
          <w:sz w:val="21"/>
          <w:szCs w:val="21"/>
          <w:highlight w:val="none"/>
        </w:rPr>
        <w:t>法定代表人或其委托代理人：_____________（签字）</w:t>
      </w:r>
    </w:p>
    <w:p w14:paraId="42CA85E2">
      <w:pPr>
        <w:pStyle w:val="3"/>
        <w:rPr>
          <w:color w:val="auto"/>
          <w:sz w:val="21"/>
          <w:szCs w:val="21"/>
          <w:highlight w:val="none"/>
        </w:rPr>
      </w:pPr>
    </w:p>
    <w:p w14:paraId="2CEAF6A7">
      <w:pPr>
        <w:pStyle w:val="3"/>
        <w:rPr>
          <w:color w:val="auto"/>
          <w:sz w:val="21"/>
          <w:szCs w:val="21"/>
          <w:highlight w:val="none"/>
        </w:rPr>
      </w:pPr>
      <w:r>
        <w:rPr>
          <w:rFonts w:hint="eastAsia"/>
          <w:color w:val="auto"/>
          <w:sz w:val="21"/>
          <w:szCs w:val="21"/>
          <w:highlight w:val="none"/>
        </w:rPr>
        <w:t>成员一名称：_______________________（盖单位公章）</w:t>
      </w:r>
    </w:p>
    <w:p w14:paraId="6F919011">
      <w:pPr>
        <w:pStyle w:val="3"/>
        <w:rPr>
          <w:color w:val="auto"/>
          <w:sz w:val="21"/>
          <w:szCs w:val="21"/>
          <w:highlight w:val="none"/>
        </w:rPr>
      </w:pPr>
      <w:r>
        <w:rPr>
          <w:rFonts w:hint="eastAsia"/>
          <w:color w:val="auto"/>
          <w:sz w:val="21"/>
          <w:szCs w:val="21"/>
          <w:highlight w:val="none"/>
        </w:rPr>
        <w:t>法定代表人或其委托代理人：_____________（签字）</w:t>
      </w:r>
    </w:p>
    <w:p w14:paraId="3BF8B7B8">
      <w:pPr>
        <w:pStyle w:val="3"/>
        <w:rPr>
          <w:color w:val="auto"/>
          <w:sz w:val="21"/>
          <w:szCs w:val="21"/>
          <w:highlight w:val="none"/>
        </w:rPr>
      </w:pPr>
    </w:p>
    <w:p w14:paraId="72555E2D">
      <w:pPr>
        <w:pStyle w:val="3"/>
        <w:rPr>
          <w:color w:val="auto"/>
          <w:sz w:val="21"/>
          <w:szCs w:val="21"/>
          <w:highlight w:val="none"/>
        </w:rPr>
      </w:pPr>
      <w:r>
        <w:rPr>
          <w:rFonts w:hint="eastAsia"/>
          <w:color w:val="auto"/>
          <w:sz w:val="21"/>
          <w:szCs w:val="21"/>
          <w:highlight w:val="none"/>
        </w:rPr>
        <w:t>成员二名称：_______________________（盖单位公章）</w:t>
      </w:r>
    </w:p>
    <w:p w14:paraId="1DB3061D">
      <w:pPr>
        <w:pStyle w:val="3"/>
        <w:rPr>
          <w:color w:val="auto"/>
          <w:sz w:val="21"/>
          <w:szCs w:val="21"/>
          <w:highlight w:val="none"/>
        </w:rPr>
      </w:pPr>
      <w:r>
        <w:rPr>
          <w:rFonts w:hint="eastAsia"/>
          <w:color w:val="auto"/>
          <w:sz w:val="21"/>
          <w:szCs w:val="21"/>
          <w:highlight w:val="none"/>
        </w:rPr>
        <w:t>法定代表人或其委托代理人：_____________（签字）</w:t>
      </w:r>
    </w:p>
    <w:p w14:paraId="78F8A679">
      <w:pPr>
        <w:pStyle w:val="3"/>
        <w:ind w:firstLine="210" w:firstLineChars="100"/>
        <w:jc w:val="both"/>
        <w:rPr>
          <w:color w:val="auto"/>
          <w:sz w:val="21"/>
          <w:szCs w:val="21"/>
          <w:highlight w:val="none"/>
        </w:rPr>
      </w:pPr>
      <w:r>
        <w:rPr>
          <w:rFonts w:hint="eastAsia"/>
          <w:color w:val="auto"/>
          <w:sz w:val="21"/>
          <w:szCs w:val="21"/>
          <w:highlight w:val="none"/>
        </w:rPr>
        <w:t>……</w:t>
      </w:r>
    </w:p>
    <w:p w14:paraId="61070B6A">
      <w:pPr>
        <w:pStyle w:val="3"/>
        <w:rPr>
          <w:color w:val="auto"/>
          <w:highlight w:val="none"/>
          <w:lang w:val="en-US"/>
        </w:rPr>
        <w:sectPr>
          <w:headerReference r:id="rId9" w:type="first"/>
          <w:footerReference r:id="rId11" w:type="first"/>
          <w:headerReference r:id="rId8" w:type="default"/>
          <w:footerReference r:id="rId10" w:type="default"/>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14:paraId="679F6838">
      <w:pPr>
        <w:pStyle w:val="3"/>
        <w:rPr>
          <w:color w:val="auto"/>
          <w:highlight w:val="none"/>
        </w:rPr>
      </w:pPr>
    </w:p>
    <w:p w14:paraId="5019A3A6">
      <w:pPr>
        <w:pStyle w:val="5"/>
        <w:spacing w:before="0" w:after="0" w:line="360" w:lineRule="auto"/>
        <w:jc w:val="center"/>
        <w:rPr>
          <w:color w:val="auto"/>
          <w:sz w:val="72"/>
          <w:szCs w:val="72"/>
          <w:highlight w:val="none"/>
        </w:rPr>
      </w:pPr>
      <w:bookmarkStart w:id="146" w:name="_Toc17630"/>
      <w:r>
        <w:rPr>
          <w:rFonts w:hint="eastAsia"/>
          <w:color w:val="auto"/>
          <w:sz w:val="72"/>
          <w:szCs w:val="72"/>
          <w:highlight w:val="none"/>
        </w:rPr>
        <w:t>技术文件</w:t>
      </w:r>
      <w:bookmarkEnd w:id="146"/>
    </w:p>
    <w:p w14:paraId="7D5568D1">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3637D6C1">
      <w:pPr>
        <w:rPr>
          <w:color w:val="auto"/>
          <w:highlight w:val="none"/>
        </w:rPr>
      </w:pPr>
    </w:p>
    <w:p w14:paraId="2308F520">
      <w:pPr>
        <w:pStyle w:val="3"/>
        <w:rPr>
          <w:color w:val="auto"/>
          <w:highlight w:val="none"/>
        </w:rPr>
      </w:pPr>
    </w:p>
    <w:p w14:paraId="574EE0A8">
      <w:pPr>
        <w:pStyle w:val="2"/>
        <w:ind w:firstLine="240"/>
        <w:rPr>
          <w:color w:val="auto"/>
          <w:highlight w:val="none"/>
        </w:rPr>
      </w:pPr>
    </w:p>
    <w:p w14:paraId="17BE1A91">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8"/>
        </w:rPr>
        <w:t>项目名</w:t>
      </w:r>
      <w:r>
        <w:rPr>
          <w:rFonts w:hint="eastAsia" w:ascii="宋体" w:hAnsi="宋体" w:cs="宋体"/>
          <w:b/>
          <w:bCs/>
          <w:color w:val="auto"/>
          <w:spacing w:val="1"/>
          <w:kern w:val="0"/>
          <w:sz w:val="32"/>
          <w:szCs w:val="32"/>
          <w:highlight w:val="none"/>
          <w:fitText w:val="1600" w:id="8"/>
        </w:rPr>
        <w:t>称</w:t>
      </w:r>
      <w:r>
        <w:rPr>
          <w:rFonts w:hint="eastAsia" w:ascii="宋体" w:hAnsi="宋体" w:cs="宋体"/>
          <w:b/>
          <w:bCs/>
          <w:color w:val="auto"/>
          <w:spacing w:val="-6"/>
          <w:sz w:val="32"/>
          <w:szCs w:val="32"/>
          <w:highlight w:val="none"/>
        </w:rPr>
        <w:t>：</w:t>
      </w:r>
    </w:p>
    <w:p w14:paraId="0BBCE714">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9"/>
        </w:rPr>
        <w:t>项目编</w:t>
      </w:r>
      <w:r>
        <w:rPr>
          <w:rFonts w:hint="eastAsia" w:ascii="宋体" w:hAnsi="宋体" w:cs="宋体"/>
          <w:b/>
          <w:bCs/>
          <w:color w:val="auto"/>
          <w:spacing w:val="1"/>
          <w:kern w:val="0"/>
          <w:sz w:val="32"/>
          <w:szCs w:val="32"/>
          <w:highlight w:val="none"/>
          <w:fitText w:val="1600" w:id="9"/>
        </w:rPr>
        <w:t>号</w:t>
      </w:r>
      <w:r>
        <w:rPr>
          <w:rFonts w:hint="eastAsia" w:ascii="宋体" w:hAnsi="宋体" w:cs="宋体"/>
          <w:b/>
          <w:bCs/>
          <w:color w:val="auto"/>
          <w:sz w:val="32"/>
          <w:szCs w:val="32"/>
          <w:highlight w:val="none"/>
        </w:rPr>
        <w:t>：</w:t>
      </w:r>
    </w:p>
    <w:p w14:paraId="4E05E583">
      <w:pPr>
        <w:pStyle w:val="3"/>
        <w:ind w:left="0"/>
        <w:rPr>
          <w:b/>
          <w:color w:val="auto"/>
          <w:spacing w:val="1280"/>
          <w:sz w:val="32"/>
          <w:szCs w:val="32"/>
          <w:highlight w:val="none"/>
        </w:rPr>
      </w:pPr>
      <w:r>
        <w:rPr>
          <w:b/>
          <w:color w:val="auto"/>
          <w:spacing w:val="106"/>
          <w:sz w:val="32"/>
          <w:szCs w:val="32"/>
          <w:highlight w:val="none"/>
          <w:lang w:val="en-US" w:bidi="ar-SA"/>
        </w:rPr>
        <w:t>包组号（如有）：</w:t>
      </w:r>
    </w:p>
    <w:p w14:paraId="368C5A3D">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0"/>
        </w:rPr>
        <w:t>投标人名称</w:t>
      </w:r>
      <w:r>
        <w:rPr>
          <w:rFonts w:hint="eastAsia" w:ascii="宋体" w:hAnsi="宋体" w:cs="宋体"/>
          <w:b/>
          <w:color w:val="auto"/>
          <w:sz w:val="32"/>
          <w:szCs w:val="32"/>
          <w:highlight w:val="none"/>
        </w:rPr>
        <w:t>：</w:t>
      </w:r>
    </w:p>
    <w:p w14:paraId="5203F262">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11"/>
        </w:rPr>
        <w:t xml:space="preserve">日    </w:t>
      </w:r>
      <w:r>
        <w:rPr>
          <w:rFonts w:hint="eastAsia" w:ascii="宋体" w:hAnsi="宋体" w:cs="宋体"/>
          <w:b/>
          <w:color w:val="auto"/>
          <w:spacing w:val="0"/>
          <w:kern w:val="0"/>
          <w:sz w:val="32"/>
          <w:szCs w:val="32"/>
          <w:highlight w:val="none"/>
          <w:fitText w:val="1600" w:id="11"/>
        </w:rPr>
        <w:t>期</w:t>
      </w:r>
      <w:r>
        <w:rPr>
          <w:rFonts w:hint="eastAsia" w:ascii="宋体" w:hAnsi="宋体" w:cs="宋体"/>
          <w:b/>
          <w:color w:val="auto"/>
          <w:sz w:val="32"/>
          <w:szCs w:val="32"/>
          <w:highlight w:val="none"/>
        </w:rPr>
        <w:t>：</w:t>
      </w:r>
    </w:p>
    <w:p w14:paraId="5EF2F305">
      <w:pPr>
        <w:rPr>
          <w:rFonts w:ascii="宋体" w:hAnsi="宋体"/>
          <w:color w:val="auto"/>
          <w:szCs w:val="21"/>
          <w:highlight w:val="none"/>
        </w:rPr>
      </w:pPr>
      <w:r>
        <w:rPr>
          <w:rFonts w:hint="eastAsia" w:ascii="宋体" w:hAnsi="宋体"/>
          <w:color w:val="auto"/>
          <w:szCs w:val="21"/>
          <w:highlight w:val="none"/>
        </w:rPr>
        <w:br w:type="page"/>
      </w:r>
    </w:p>
    <w:p w14:paraId="3F9D1DD5">
      <w:pPr>
        <w:pStyle w:val="7"/>
        <w:widowControl w:val="0"/>
        <w:overflowPunct w:val="0"/>
        <w:spacing w:line="240" w:lineRule="auto"/>
        <w:rPr>
          <w:rFonts w:ascii="宋体" w:hAnsi="宋体"/>
          <w:color w:val="auto"/>
          <w:sz w:val="21"/>
          <w:szCs w:val="21"/>
          <w:highlight w:val="none"/>
        </w:rPr>
      </w:pPr>
      <w:bookmarkStart w:id="147" w:name="_Toc93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 技术规格偏离表格式</w:t>
      </w:r>
      <w:bookmarkEnd w:id="147"/>
    </w:p>
    <w:p w14:paraId="40ECE90E">
      <w:pPr>
        <w:jc w:val="center"/>
        <w:rPr>
          <w:rFonts w:ascii="黑体" w:eastAsia="黑体"/>
          <w:color w:val="auto"/>
          <w:sz w:val="28"/>
          <w:szCs w:val="28"/>
          <w:highlight w:val="none"/>
        </w:rPr>
      </w:pPr>
    </w:p>
    <w:p w14:paraId="7FA52FE9">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76BE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0013FAE5">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04F90E81">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4CD0E8BA">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7E086648">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081636EA">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1110C5FD">
            <w:pPr>
              <w:jc w:val="center"/>
              <w:rPr>
                <w:rFonts w:ascii="宋体" w:hAnsi="宋体"/>
                <w:color w:val="auto"/>
                <w:szCs w:val="21"/>
                <w:highlight w:val="none"/>
              </w:rPr>
            </w:pPr>
            <w:r>
              <w:rPr>
                <w:rFonts w:hint="eastAsia" w:ascii="宋体" w:hAnsi="宋体"/>
                <w:color w:val="auto"/>
                <w:szCs w:val="21"/>
                <w:highlight w:val="none"/>
              </w:rPr>
              <w:t>说明</w:t>
            </w:r>
          </w:p>
        </w:tc>
      </w:tr>
      <w:tr w14:paraId="751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102BA4B">
            <w:pPr>
              <w:jc w:val="center"/>
              <w:rPr>
                <w:rFonts w:ascii="宋体" w:hAnsi="宋体"/>
                <w:color w:val="auto"/>
                <w:szCs w:val="21"/>
                <w:highlight w:val="none"/>
              </w:rPr>
            </w:pPr>
          </w:p>
        </w:tc>
        <w:tc>
          <w:tcPr>
            <w:tcW w:w="1902" w:type="dxa"/>
            <w:vAlign w:val="center"/>
          </w:tcPr>
          <w:p w14:paraId="69ABBCE0">
            <w:pPr>
              <w:jc w:val="center"/>
              <w:rPr>
                <w:rFonts w:ascii="宋体" w:hAnsi="宋体"/>
                <w:color w:val="auto"/>
                <w:szCs w:val="21"/>
                <w:highlight w:val="none"/>
              </w:rPr>
            </w:pPr>
          </w:p>
        </w:tc>
        <w:tc>
          <w:tcPr>
            <w:tcW w:w="1370" w:type="dxa"/>
            <w:vAlign w:val="center"/>
          </w:tcPr>
          <w:p w14:paraId="10C72367">
            <w:pPr>
              <w:jc w:val="center"/>
              <w:rPr>
                <w:rFonts w:ascii="宋体" w:hAnsi="宋体"/>
                <w:color w:val="auto"/>
                <w:szCs w:val="21"/>
                <w:highlight w:val="none"/>
              </w:rPr>
            </w:pPr>
          </w:p>
        </w:tc>
        <w:tc>
          <w:tcPr>
            <w:tcW w:w="1629" w:type="dxa"/>
            <w:vAlign w:val="center"/>
          </w:tcPr>
          <w:p w14:paraId="5E66E79B">
            <w:pPr>
              <w:jc w:val="center"/>
              <w:rPr>
                <w:rFonts w:ascii="宋体" w:hAnsi="宋体"/>
                <w:color w:val="auto"/>
                <w:szCs w:val="21"/>
                <w:highlight w:val="none"/>
              </w:rPr>
            </w:pPr>
          </w:p>
        </w:tc>
        <w:tc>
          <w:tcPr>
            <w:tcW w:w="1239" w:type="dxa"/>
            <w:vAlign w:val="center"/>
          </w:tcPr>
          <w:p w14:paraId="066EDB92">
            <w:pPr>
              <w:jc w:val="center"/>
              <w:rPr>
                <w:rFonts w:ascii="宋体" w:hAnsi="宋体"/>
                <w:color w:val="auto"/>
                <w:szCs w:val="21"/>
                <w:highlight w:val="none"/>
              </w:rPr>
            </w:pPr>
          </w:p>
        </w:tc>
        <w:tc>
          <w:tcPr>
            <w:tcW w:w="1544" w:type="dxa"/>
            <w:vAlign w:val="center"/>
          </w:tcPr>
          <w:p w14:paraId="08E63A49">
            <w:pPr>
              <w:jc w:val="center"/>
              <w:rPr>
                <w:rFonts w:ascii="宋体" w:hAnsi="宋体"/>
                <w:color w:val="auto"/>
                <w:szCs w:val="21"/>
                <w:highlight w:val="none"/>
              </w:rPr>
            </w:pPr>
          </w:p>
        </w:tc>
      </w:tr>
      <w:tr w14:paraId="6434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8653034">
            <w:pPr>
              <w:jc w:val="center"/>
              <w:rPr>
                <w:rFonts w:ascii="宋体" w:hAnsi="宋体"/>
                <w:color w:val="auto"/>
                <w:szCs w:val="21"/>
                <w:highlight w:val="none"/>
              </w:rPr>
            </w:pPr>
          </w:p>
        </w:tc>
        <w:tc>
          <w:tcPr>
            <w:tcW w:w="1902" w:type="dxa"/>
            <w:vAlign w:val="center"/>
          </w:tcPr>
          <w:p w14:paraId="6D4E77D1">
            <w:pPr>
              <w:jc w:val="center"/>
              <w:rPr>
                <w:rFonts w:ascii="宋体" w:hAnsi="宋体"/>
                <w:color w:val="auto"/>
                <w:szCs w:val="21"/>
                <w:highlight w:val="none"/>
              </w:rPr>
            </w:pPr>
          </w:p>
        </w:tc>
        <w:tc>
          <w:tcPr>
            <w:tcW w:w="1370" w:type="dxa"/>
            <w:vAlign w:val="center"/>
          </w:tcPr>
          <w:p w14:paraId="359E0EED">
            <w:pPr>
              <w:jc w:val="center"/>
              <w:rPr>
                <w:rFonts w:ascii="宋体" w:hAnsi="宋体"/>
                <w:color w:val="auto"/>
                <w:szCs w:val="21"/>
                <w:highlight w:val="none"/>
              </w:rPr>
            </w:pPr>
          </w:p>
        </w:tc>
        <w:tc>
          <w:tcPr>
            <w:tcW w:w="1629" w:type="dxa"/>
            <w:vAlign w:val="center"/>
          </w:tcPr>
          <w:p w14:paraId="3B198191">
            <w:pPr>
              <w:jc w:val="center"/>
              <w:rPr>
                <w:rFonts w:ascii="宋体" w:hAnsi="宋体"/>
                <w:color w:val="auto"/>
                <w:szCs w:val="21"/>
                <w:highlight w:val="none"/>
              </w:rPr>
            </w:pPr>
          </w:p>
        </w:tc>
        <w:tc>
          <w:tcPr>
            <w:tcW w:w="1239" w:type="dxa"/>
            <w:vAlign w:val="center"/>
          </w:tcPr>
          <w:p w14:paraId="256AB6AC">
            <w:pPr>
              <w:jc w:val="center"/>
              <w:rPr>
                <w:rFonts w:ascii="宋体" w:hAnsi="宋体"/>
                <w:color w:val="auto"/>
                <w:szCs w:val="21"/>
                <w:highlight w:val="none"/>
              </w:rPr>
            </w:pPr>
          </w:p>
        </w:tc>
        <w:tc>
          <w:tcPr>
            <w:tcW w:w="1544" w:type="dxa"/>
            <w:vAlign w:val="center"/>
          </w:tcPr>
          <w:p w14:paraId="7DBF4DAF">
            <w:pPr>
              <w:jc w:val="center"/>
              <w:rPr>
                <w:rFonts w:ascii="宋体" w:hAnsi="宋体"/>
                <w:color w:val="auto"/>
                <w:szCs w:val="21"/>
                <w:highlight w:val="none"/>
              </w:rPr>
            </w:pPr>
          </w:p>
        </w:tc>
      </w:tr>
      <w:tr w14:paraId="250B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26C0E98">
            <w:pPr>
              <w:jc w:val="center"/>
              <w:rPr>
                <w:rFonts w:ascii="宋体" w:hAnsi="宋体"/>
                <w:color w:val="auto"/>
                <w:szCs w:val="21"/>
                <w:highlight w:val="none"/>
              </w:rPr>
            </w:pPr>
          </w:p>
        </w:tc>
        <w:tc>
          <w:tcPr>
            <w:tcW w:w="1902" w:type="dxa"/>
            <w:vAlign w:val="center"/>
          </w:tcPr>
          <w:p w14:paraId="401C73FA">
            <w:pPr>
              <w:jc w:val="center"/>
              <w:rPr>
                <w:rFonts w:ascii="宋体" w:hAnsi="宋体"/>
                <w:color w:val="auto"/>
                <w:szCs w:val="21"/>
                <w:highlight w:val="none"/>
              </w:rPr>
            </w:pPr>
          </w:p>
        </w:tc>
        <w:tc>
          <w:tcPr>
            <w:tcW w:w="1370" w:type="dxa"/>
            <w:vAlign w:val="center"/>
          </w:tcPr>
          <w:p w14:paraId="6B4379AB">
            <w:pPr>
              <w:jc w:val="center"/>
              <w:rPr>
                <w:rFonts w:ascii="宋体" w:hAnsi="宋体"/>
                <w:color w:val="auto"/>
                <w:szCs w:val="21"/>
                <w:highlight w:val="none"/>
              </w:rPr>
            </w:pPr>
          </w:p>
        </w:tc>
        <w:tc>
          <w:tcPr>
            <w:tcW w:w="1629" w:type="dxa"/>
            <w:vAlign w:val="center"/>
          </w:tcPr>
          <w:p w14:paraId="579574E7">
            <w:pPr>
              <w:jc w:val="center"/>
              <w:rPr>
                <w:rFonts w:ascii="宋体" w:hAnsi="宋体"/>
                <w:color w:val="auto"/>
                <w:szCs w:val="21"/>
                <w:highlight w:val="none"/>
              </w:rPr>
            </w:pPr>
          </w:p>
        </w:tc>
        <w:tc>
          <w:tcPr>
            <w:tcW w:w="1239" w:type="dxa"/>
            <w:vAlign w:val="center"/>
          </w:tcPr>
          <w:p w14:paraId="35674562">
            <w:pPr>
              <w:jc w:val="center"/>
              <w:rPr>
                <w:rFonts w:ascii="宋体" w:hAnsi="宋体"/>
                <w:color w:val="auto"/>
                <w:szCs w:val="21"/>
                <w:highlight w:val="none"/>
              </w:rPr>
            </w:pPr>
          </w:p>
        </w:tc>
        <w:tc>
          <w:tcPr>
            <w:tcW w:w="1544" w:type="dxa"/>
            <w:vAlign w:val="center"/>
          </w:tcPr>
          <w:p w14:paraId="12F131BF">
            <w:pPr>
              <w:jc w:val="center"/>
              <w:rPr>
                <w:rFonts w:ascii="宋体" w:hAnsi="宋体"/>
                <w:color w:val="auto"/>
                <w:szCs w:val="21"/>
                <w:highlight w:val="none"/>
              </w:rPr>
            </w:pPr>
          </w:p>
        </w:tc>
      </w:tr>
      <w:tr w14:paraId="2672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FD12E2">
            <w:pPr>
              <w:jc w:val="center"/>
              <w:rPr>
                <w:rFonts w:ascii="宋体" w:hAnsi="宋体"/>
                <w:color w:val="auto"/>
                <w:szCs w:val="21"/>
                <w:highlight w:val="none"/>
              </w:rPr>
            </w:pPr>
          </w:p>
        </w:tc>
        <w:tc>
          <w:tcPr>
            <w:tcW w:w="1902" w:type="dxa"/>
            <w:vAlign w:val="center"/>
          </w:tcPr>
          <w:p w14:paraId="7A999365">
            <w:pPr>
              <w:jc w:val="center"/>
              <w:rPr>
                <w:rFonts w:ascii="宋体" w:hAnsi="宋体"/>
                <w:color w:val="auto"/>
                <w:szCs w:val="21"/>
                <w:highlight w:val="none"/>
              </w:rPr>
            </w:pPr>
          </w:p>
        </w:tc>
        <w:tc>
          <w:tcPr>
            <w:tcW w:w="1370" w:type="dxa"/>
            <w:vAlign w:val="center"/>
          </w:tcPr>
          <w:p w14:paraId="4A6F7673">
            <w:pPr>
              <w:jc w:val="center"/>
              <w:rPr>
                <w:rFonts w:ascii="宋体" w:hAnsi="宋体"/>
                <w:color w:val="auto"/>
                <w:szCs w:val="21"/>
                <w:highlight w:val="none"/>
              </w:rPr>
            </w:pPr>
          </w:p>
        </w:tc>
        <w:tc>
          <w:tcPr>
            <w:tcW w:w="1629" w:type="dxa"/>
            <w:vAlign w:val="center"/>
          </w:tcPr>
          <w:p w14:paraId="0121E35E">
            <w:pPr>
              <w:jc w:val="center"/>
              <w:rPr>
                <w:rFonts w:ascii="宋体" w:hAnsi="宋体"/>
                <w:color w:val="auto"/>
                <w:szCs w:val="21"/>
                <w:highlight w:val="none"/>
              </w:rPr>
            </w:pPr>
          </w:p>
        </w:tc>
        <w:tc>
          <w:tcPr>
            <w:tcW w:w="1239" w:type="dxa"/>
            <w:vAlign w:val="center"/>
          </w:tcPr>
          <w:p w14:paraId="2D6C85CD">
            <w:pPr>
              <w:jc w:val="center"/>
              <w:rPr>
                <w:rFonts w:ascii="宋体" w:hAnsi="宋体"/>
                <w:color w:val="auto"/>
                <w:szCs w:val="21"/>
                <w:highlight w:val="none"/>
              </w:rPr>
            </w:pPr>
          </w:p>
        </w:tc>
        <w:tc>
          <w:tcPr>
            <w:tcW w:w="1544" w:type="dxa"/>
            <w:vAlign w:val="center"/>
          </w:tcPr>
          <w:p w14:paraId="30735150">
            <w:pPr>
              <w:jc w:val="center"/>
              <w:rPr>
                <w:rFonts w:ascii="宋体" w:hAnsi="宋体"/>
                <w:color w:val="auto"/>
                <w:szCs w:val="21"/>
                <w:highlight w:val="none"/>
              </w:rPr>
            </w:pPr>
          </w:p>
        </w:tc>
      </w:tr>
      <w:tr w14:paraId="63C7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D6636C">
            <w:pPr>
              <w:jc w:val="center"/>
              <w:rPr>
                <w:rFonts w:ascii="宋体" w:hAnsi="宋体"/>
                <w:color w:val="auto"/>
                <w:szCs w:val="21"/>
                <w:highlight w:val="none"/>
              </w:rPr>
            </w:pPr>
          </w:p>
        </w:tc>
        <w:tc>
          <w:tcPr>
            <w:tcW w:w="1902" w:type="dxa"/>
            <w:vAlign w:val="center"/>
          </w:tcPr>
          <w:p w14:paraId="06B2BEAD">
            <w:pPr>
              <w:jc w:val="center"/>
              <w:rPr>
                <w:rFonts w:ascii="宋体" w:hAnsi="宋体"/>
                <w:color w:val="auto"/>
                <w:szCs w:val="21"/>
                <w:highlight w:val="none"/>
              </w:rPr>
            </w:pPr>
          </w:p>
        </w:tc>
        <w:tc>
          <w:tcPr>
            <w:tcW w:w="1370" w:type="dxa"/>
            <w:vAlign w:val="center"/>
          </w:tcPr>
          <w:p w14:paraId="7153EBF6">
            <w:pPr>
              <w:jc w:val="center"/>
              <w:rPr>
                <w:rFonts w:ascii="宋体" w:hAnsi="宋体"/>
                <w:color w:val="auto"/>
                <w:szCs w:val="21"/>
                <w:highlight w:val="none"/>
              </w:rPr>
            </w:pPr>
          </w:p>
        </w:tc>
        <w:tc>
          <w:tcPr>
            <w:tcW w:w="1629" w:type="dxa"/>
            <w:vAlign w:val="center"/>
          </w:tcPr>
          <w:p w14:paraId="5156BD90">
            <w:pPr>
              <w:jc w:val="center"/>
              <w:rPr>
                <w:rFonts w:ascii="宋体" w:hAnsi="宋体"/>
                <w:color w:val="auto"/>
                <w:szCs w:val="21"/>
                <w:highlight w:val="none"/>
              </w:rPr>
            </w:pPr>
          </w:p>
        </w:tc>
        <w:tc>
          <w:tcPr>
            <w:tcW w:w="1239" w:type="dxa"/>
            <w:vAlign w:val="center"/>
          </w:tcPr>
          <w:p w14:paraId="614B63C6">
            <w:pPr>
              <w:jc w:val="center"/>
              <w:rPr>
                <w:rFonts w:ascii="宋体" w:hAnsi="宋体"/>
                <w:color w:val="auto"/>
                <w:szCs w:val="21"/>
                <w:highlight w:val="none"/>
              </w:rPr>
            </w:pPr>
          </w:p>
        </w:tc>
        <w:tc>
          <w:tcPr>
            <w:tcW w:w="1544" w:type="dxa"/>
            <w:vAlign w:val="center"/>
          </w:tcPr>
          <w:p w14:paraId="7C907235">
            <w:pPr>
              <w:jc w:val="center"/>
              <w:rPr>
                <w:rFonts w:ascii="宋体" w:hAnsi="宋体"/>
                <w:color w:val="auto"/>
                <w:szCs w:val="21"/>
                <w:highlight w:val="none"/>
              </w:rPr>
            </w:pPr>
          </w:p>
        </w:tc>
      </w:tr>
      <w:tr w14:paraId="47CF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51DD073">
            <w:pPr>
              <w:jc w:val="center"/>
              <w:rPr>
                <w:rFonts w:ascii="宋体" w:hAnsi="宋体"/>
                <w:color w:val="auto"/>
                <w:szCs w:val="21"/>
                <w:highlight w:val="none"/>
              </w:rPr>
            </w:pPr>
          </w:p>
        </w:tc>
        <w:tc>
          <w:tcPr>
            <w:tcW w:w="1902" w:type="dxa"/>
            <w:vAlign w:val="center"/>
          </w:tcPr>
          <w:p w14:paraId="5EE05F7B">
            <w:pPr>
              <w:jc w:val="center"/>
              <w:rPr>
                <w:rFonts w:ascii="宋体" w:hAnsi="宋体"/>
                <w:color w:val="auto"/>
                <w:szCs w:val="21"/>
                <w:highlight w:val="none"/>
              </w:rPr>
            </w:pPr>
          </w:p>
        </w:tc>
        <w:tc>
          <w:tcPr>
            <w:tcW w:w="1370" w:type="dxa"/>
            <w:vAlign w:val="center"/>
          </w:tcPr>
          <w:p w14:paraId="4DA32004">
            <w:pPr>
              <w:jc w:val="center"/>
              <w:rPr>
                <w:rFonts w:ascii="宋体" w:hAnsi="宋体"/>
                <w:color w:val="auto"/>
                <w:szCs w:val="21"/>
                <w:highlight w:val="none"/>
              </w:rPr>
            </w:pPr>
          </w:p>
        </w:tc>
        <w:tc>
          <w:tcPr>
            <w:tcW w:w="1629" w:type="dxa"/>
            <w:vAlign w:val="center"/>
          </w:tcPr>
          <w:p w14:paraId="14EFD67A">
            <w:pPr>
              <w:jc w:val="center"/>
              <w:rPr>
                <w:rFonts w:ascii="宋体" w:hAnsi="宋体"/>
                <w:color w:val="auto"/>
                <w:szCs w:val="21"/>
                <w:highlight w:val="none"/>
              </w:rPr>
            </w:pPr>
          </w:p>
        </w:tc>
        <w:tc>
          <w:tcPr>
            <w:tcW w:w="1239" w:type="dxa"/>
            <w:vAlign w:val="center"/>
          </w:tcPr>
          <w:p w14:paraId="1D4B0185">
            <w:pPr>
              <w:jc w:val="center"/>
              <w:rPr>
                <w:rFonts w:ascii="宋体" w:hAnsi="宋体"/>
                <w:color w:val="auto"/>
                <w:szCs w:val="21"/>
                <w:highlight w:val="none"/>
              </w:rPr>
            </w:pPr>
          </w:p>
        </w:tc>
        <w:tc>
          <w:tcPr>
            <w:tcW w:w="1544" w:type="dxa"/>
            <w:vAlign w:val="center"/>
          </w:tcPr>
          <w:p w14:paraId="720F5671">
            <w:pPr>
              <w:jc w:val="center"/>
              <w:rPr>
                <w:rFonts w:ascii="宋体" w:hAnsi="宋体"/>
                <w:color w:val="auto"/>
                <w:szCs w:val="21"/>
                <w:highlight w:val="none"/>
              </w:rPr>
            </w:pPr>
          </w:p>
        </w:tc>
      </w:tr>
      <w:tr w14:paraId="0514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8D4D38D">
            <w:pPr>
              <w:jc w:val="center"/>
              <w:rPr>
                <w:rFonts w:ascii="宋体" w:hAnsi="宋体"/>
                <w:color w:val="auto"/>
                <w:szCs w:val="21"/>
                <w:highlight w:val="none"/>
              </w:rPr>
            </w:pPr>
          </w:p>
        </w:tc>
        <w:tc>
          <w:tcPr>
            <w:tcW w:w="1902" w:type="dxa"/>
            <w:vAlign w:val="center"/>
          </w:tcPr>
          <w:p w14:paraId="5AA09F9B">
            <w:pPr>
              <w:jc w:val="center"/>
              <w:rPr>
                <w:rFonts w:ascii="宋体" w:hAnsi="宋体"/>
                <w:color w:val="auto"/>
                <w:szCs w:val="21"/>
                <w:highlight w:val="none"/>
              </w:rPr>
            </w:pPr>
          </w:p>
        </w:tc>
        <w:tc>
          <w:tcPr>
            <w:tcW w:w="1370" w:type="dxa"/>
            <w:vAlign w:val="center"/>
          </w:tcPr>
          <w:p w14:paraId="760AEF4F">
            <w:pPr>
              <w:jc w:val="center"/>
              <w:rPr>
                <w:rFonts w:ascii="宋体" w:hAnsi="宋体"/>
                <w:color w:val="auto"/>
                <w:szCs w:val="21"/>
                <w:highlight w:val="none"/>
              </w:rPr>
            </w:pPr>
          </w:p>
        </w:tc>
        <w:tc>
          <w:tcPr>
            <w:tcW w:w="1629" w:type="dxa"/>
            <w:vAlign w:val="center"/>
          </w:tcPr>
          <w:p w14:paraId="3734730F">
            <w:pPr>
              <w:jc w:val="center"/>
              <w:rPr>
                <w:rFonts w:ascii="宋体" w:hAnsi="宋体"/>
                <w:color w:val="auto"/>
                <w:szCs w:val="21"/>
                <w:highlight w:val="none"/>
              </w:rPr>
            </w:pPr>
          </w:p>
        </w:tc>
        <w:tc>
          <w:tcPr>
            <w:tcW w:w="1239" w:type="dxa"/>
            <w:vAlign w:val="center"/>
          </w:tcPr>
          <w:p w14:paraId="0CCFD5BC">
            <w:pPr>
              <w:jc w:val="center"/>
              <w:rPr>
                <w:rFonts w:ascii="宋体" w:hAnsi="宋体"/>
                <w:color w:val="auto"/>
                <w:szCs w:val="21"/>
                <w:highlight w:val="none"/>
              </w:rPr>
            </w:pPr>
          </w:p>
        </w:tc>
        <w:tc>
          <w:tcPr>
            <w:tcW w:w="1544" w:type="dxa"/>
            <w:vAlign w:val="center"/>
          </w:tcPr>
          <w:p w14:paraId="798F629A">
            <w:pPr>
              <w:jc w:val="center"/>
              <w:rPr>
                <w:rFonts w:ascii="宋体" w:hAnsi="宋体"/>
                <w:color w:val="auto"/>
                <w:szCs w:val="21"/>
                <w:highlight w:val="none"/>
              </w:rPr>
            </w:pPr>
          </w:p>
        </w:tc>
      </w:tr>
      <w:tr w14:paraId="61BE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F00543">
            <w:pPr>
              <w:jc w:val="center"/>
              <w:rPr>
                <w:rFonts w:ascii="宋体" w:hAnsi="宋体"/>
                <w:color w:val="auto"/>
                <w:szCs w:val="21"/>
                <w:highlight w:val="none"/>
              </w:rPr>
            </w:pPr>
          </w:p>
        </w:tc>
        <w:tc>
          <w:tcPr>
            <w:tcW w:w="1902" w:type="dxa"/>
            <w:vAlign w:val="center"/>
          </w:tcPr>
          <w:p w14:paraId="65A790BE">
            <w:pPr>
              <w:jc w:val="center"/>
              <w:rPr>
                <w:rFonts w:ascii="宋体" w:hAnsi="宋体"/>
                <w:color w:val="auto"/>
                <w:szCs w:val="21"/>
                <w:highlight w:val="none"/>
              </w:rPr>
            </w:pPr>
          </w:p>
        </w:tc>
        <w:tc>
          <w:tcPr>
            <w:tcW w:w="1370" w:type="dxa"/>
            <w:vAlign w:val="center"/>
          </w:tcPr>
          <w:p w14:paraId="06544272">
            <w:pPr>
              <w:jc w:val="center"/>
              <w:rPr>
                <w:rFonts w:ascii="宋体" w:hAnsi="宋体"/>
                <w:color w:val="auto"/>
                <w:szCs w:val="21"/>
                <w:highlight w:val="none"/>
              </w:rPr>
            </w:pPr>
          </w:p>
        </w:tc>
        <w:tc>
          <w:tcPr>
            <w:tcW w:w="1629" w:type="dxa"/>
            <w:vAlign w:val="center"/>
          </w:tcPr>
          <w:p w14:paraId="312829A6">
            <w:pPr>
              <w:jc w:val="center"/>
              <w:rPr>
                <w:rFonts w:ascii="宋体" w:hAnsi="宋体"/>
                <w:color w:val="auto"/>
                <w:szCs w:val="21"/>
                <w:highlight w:val="none"/>
              </w:rPr>
            </w:pPr>
          </w:p>
        </w:tc>
        <w:tc>
          <w:tcPr>
            <w:tcW w:w="1239" w:type="dxa"/>
            <w:vAlign w:val="center"/>
          </w:tcPr>
          <w:p w14:paraId="4D0453A7">
            <w:pPr>
              <w:jc w:val="center"/>
              <w:rPr>
                <w:rFonts w:ascii="宋体" w:hAnsi="宋体"/>
                <w:color w:val="auto"/>
                <w:szCs w:val="21"/>
                <w:highlight w:val="none"/>
              </w:rPr>
            </w:pPr>
          </w:p>
        </w:tc>
        <w:tc>
          <w:tcPr>
            <w:tcW w:w="1544" w:type="dxa"/>
            <w:vAlign w:val="center"/>
          </w:tcPr>
          <w:p w14:paraId="682F0DDB">
            <w:pPr>
              <w:jc w:val="center"/>
              <w:rPr>
                <w:rFonts w:ascii="宋体" w:hAnsi="宋体"/>
                <w:color w:val="auto"/>
                <w:szCs w:val="21"/>
                <w:highlight w:val="none"/>
              </w:rPr>
            </w:pPr>
          </w:p>
        </w:tc>
      </w:tr>
      <w:tr w14:paraId="279D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6CCB157">
            <w:pPr>
              <w:jc w:val="center"/>
              <w:rPr>
                <w:rFonts w:ascii="宋体" w:hAnsi="宋体"/>
                <w:color w:val="auto"/>
                <w:szCs w:val="21"/>
                <w:highlight w:val="none"/>
              </w:rPr>
            </w:pPr>
          </w:p>
        </w:tc>
        <w:tc>
          <w:tcPr>
            <w:tcW w:w="1902" w:type="dxa"/>
            <w:vAlign w:val="center"/>
          </w:tcPr>
          <w:p w14:paraId="2D012BCE">
            <w:pPr>
              <w:jc w:val="center"/>
              <w:rPr>
                <w:rFonts w:ascii="宋体" w:hAnsi="宋体"/>
                <w:color w:val="auto"/>
                <w:szCs w:val="21"/>
                <w:highlight w:val="none"/>
              </w:rPr>
            </w:pPr>
          </w:p>
        </w:tc>
        <w:tc>
          <w:tcPr>
            <w:tcW w:w="1370" w:type="dxa"/>
            <w:vAlign w:val="center"/>
          </w:tcPr>
          <w:p w14:paraId="04DB57FE">
            <w:pPr>
              <w:jc w:val="center"/>
              <w:rPr>
                <w:rFonts w:ascii="宋体" w:hAnsi="宋体"/>
                <w:color w:val="auto"/>
                <w:szCs w:val="21"/>
                <w:highlight w:val="none"/>
              </w:rPr>
            </w:pPr>
          </w:p>
        </w:tc>
        <w:tc>
          <w:tcPr>
            <w:tcW w:w="1629" w:type="dxa"/>
            <w:vAlign w:val="center"/>
          </w:tcPr>
          <w:p w14:paraId="5B004739">
            <w:pPr>
              <w:jc w:val="center"/>
              <w:rPr>
                <w:rFonts w:ascii="宋体" w:hAnsi="宋体"/>
                <w:color w:val="auto"/>
                <w:szCs w:val="21"/>
                <w:highlight w:val="none"/>
              </w:rPr>
            </w:pPr>
          </w:p>
        </w:tc>
        <w:tc>
          <w:tcPr>
            <w:tcW w:w="1239" w:type="dxa"/>
            <w:vAlign w:val="center"/>
          </w:tcPr>
          <w:p w14:paraId="6C546783">
            <w:pPr>
              <w:jc w:val="center"/>
              <w:rPr>
                <w:rFonts w:ascii="宋体" w:hAnsi="宋体"/>
                <w:color w:val="auto"/>
                <w:szCs w:val="21"/>
                <w:highlight w:val="none"/>
              </w:rPr>
            </w:pPr>
          </w:p>
        </w:tc>
        <w:tc>
          <w:tcPr>
            <w:tcW w:w="1544" w:type="dxa"/>
            <w:vAlign w:val="center"/>
          </w:tcPr>
          <w:p w14:paraId="37519707">
            <w:pPr>
              <w:jc w:val="center"/>
              <w:rPr>
                <w:rFonts w:ascii="宋体" w:hAnsi="宋体"/>
                <w:color w:val="auto"/>
                <w:szCs w:val="21"/>
                <w:highlight w:val="none"/>
              </w:rPr>
            </w:pPr>
          </w:p>
        </w:tc>
      </w:tr>
      <w:tr w14:paraId="4C99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F849E4B">
            <w:pPr>
              <w:jc w:val="center"/>
              <w:rPr>
                <w:rFonts w:ascii="宋体" w:hAnsi="宋体"/>
                <w:color w:val="auto"/>
                <w:szCs w:val="21"/>
                <w:highlight w:val="none"/>
              </w:rPr>
            </w:pPr>
          </w:p>
        </w:tc>
        <w:tc>
          <w:tcPr>
            <w:tcW w:w="1902" w:type="dxa"/>
            <w:vAlign w:val="center"/>
          </w:tcPr>
          <w:p w14:paraId="37FF0FB9">
            <w:pPr>
              <w:jc w:val="center"/>
              <w:rPr>
                <w:rFonts w:ascii="宋体" w:hAnsi="宋体"/>
                <w:color w:val="auto"/>
                <w:szCs w:val="21"/>
                <w:highlight w:val="none"/>
              </w:rPr>
            </w:pPr>
          </w:p>
        </w:tc>
        <w:tc>
          <w:tcPr>
            <w:tcW w:w="1370" w:type="dxa"/>
            <w:vAlign w:val="center"/>
          </w:tcPr>
          <w:p w14:paraId="169183C1">
            <w:pPr>
              <w:jc w:val="center"/>
              <w:rPr>
                <w:rFonts w:ascii="宋体" w:hAnsi="宋体"/>
                <w:color w:val="auto"/>
                <w:szCs w:val="21"/>
                <w:highlight w:val="none"/>
              </w:rPr>
            </w:pPr>
          </w:p>
        </w:tc>
        <w:tc>
          <w:tcPr>
            <w:tcW w:w="1629" w:type="dxa"/>
            <w:vAlign w:val="center"/>
          </w:tcPr>
          <w:p w14:paraId="52100B2D">
            <w:pPr>
              <w:jc w:val="center"/>
              <w:rPr>
                <w:rFonts w:ascii="宋体" w:hAnsi="宋体"/>
                <w:color w:val="auto"/>
                <w:szCs w:val="21"/>
                <w:highlight w:val="none"/>
              </w:rPr>
            </w:pPr>
          </w:p>
        </w:tc>
        <w:tc>
          <w:tcPr>
            <w:tcW w:w="1239" w:type="dxa"/>
            <w:vAlign w:val="center"/>
          </w:tcPr>
          <w:p w14:paraId="0CA1808A">
            <w:pPr>
              <w:jc w:val="center"/>
              <w:rPr>
                <w:rFonts w:ascii="宋体" w:hAnsi="宋体"/>
                <w:color w:val="auto"/>
                <w:szCs w:val="21"/>
                <w:highlight w:val="none"/>
              </w:rPr>
            </w:pPr>
          </w:p>
        </w:tc>
        <w:tc>
          <w:tcPr>
            <w:tcW w:w="1544" w:type="dxa"/>
            <w:vAlign w:val="center"/>
          </w:tcPr>
          <w:p w14:paraId="23386240">
            <w:pPr>
              <w:jc w:val="center"/>
              <w:rPr>
                <w:rFonts w:ascii="宋体" w:hAnsi="宋体"/>
                <w:color w:val="auto"/>
                <w:szCs w:val="21"/>
                <w:highlight w:val="none"/>
              </w:rPr>
            </w:pPr>
          </w:p>
        </w:tc>
      </w:tr>
    </w:tbl>
    <w:p w14:paraId="6C9708EB">
      <w:pPr>
        <w:rPr>
          <w:rFonts w:ascii="宋体" w:hAnsi="宋体"/>
          <w:color w:val="auto"/>
          <w:szCs w:val="21"/>
          <w:highlight w:val="none"/>
        </w:rPr>
      </w:pPr>
    </w:p>
    <w:p w14:paraId="5F13888B">
      <w:pPr>
        <w:rPr>
          <w:rFonts w:ascii="宋体" w:hAnsi="宋体"/>
          <w:color w:val="auto"/>
          <w:szCs w:val="21"/>
          <w:highlight w:val="none"/>
        </w:rPr>
      </w:pPr>
      <w:r>
        <w:rPr>
          <w:rFonts w:hint="eastAsia" w:ascii="宋体" w:hAnsi="宋体"/>
          <w:color w:val="auto"/>
          <w:szCs w:val="21"/>
          <w:highlight w:val="none"/>
        </w:rPr>
        <w:t>投标人代表签字：</w:t>
      </w:r>
    </w:p>
    <w:p w14:paraId="3D2FD481">
      <w:pPr>
        <w:rPr>
          <w:rFonts w:ascii="宋体" w:hAnsi="宋体"/>
          <w:color w:val="auto"/>
          <w:szCs w:val="21"/>
          <w:highlight w:val="none"/>
        </w:rPr>
      </w:pPr>
      <w:r>
        <w:rPr>
          <w:rFonts w:hint="eastAsia" w:ascii="宋体" w:hAnsi="宋体"/>
          <w:color w:val="auto"/>
          <w:szCs w:val="21"/>
          <w:highlight w:val="none"/>
        </w:rPr>
        <w:t>投标人盖章：</w:t>
      </w:r>
    </w:p>
    <w:p w14:paraId="00219357">
      <w:pPr>
        <w:ind w:firstLine="178" w:firstLineChars="85"/>
        <w:rPr>
          <w:rFonts w:ascii="宋体" w:hAnsi="宋体"/>
          <w:color w:val="auto"/>
          <w:szCs w:val="21"/>
          <w:highlight w:val="none"/>
        </w:rPr>
      </w:pPr>
    </w:p>
    <w:p w14:paraId="6134AA67">
      <w:pPr>
        <w:rPr>
          <w:rFonts w:ascii="宋体" w:hAnsi="宋体"/>
          <w:color w:val="auto"/>
          <w:szCs w:val="21"/>
          <w:highlight w:val="none"/>
        </w:rPr>
      </w:pPr>
      <w:r>
        <w:rPr>
          <w:rFonts w:hint="eastAsia" w:ascii="宋体" w:hAnsi="宋体"/>
          <w:color w:val="auto"/>
          <w:szCs w:val="21"/>
          <w:highlight w:val="none"/>
        </w:rPr>
        <w:t>注：</w:t>
      </w:r>
    </w:p>
    <w:p w14:paraId="2F887059">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0EA0A9D5">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29B9C940">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7599FB3A">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51B4FE53">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eastAsia="zh-CN"/>
        </w:rPr>
        <w:t>技术</w:t>
      </w:r>
      <w:r>
        <w:rPr>
          <w:rFonts w:hint="eastAsia" w:hAnsi="宋体" w:cs="宋体"/>
          <w:color w:val="auto"/>
          <w:szCs w:val="21"/>
          <w:highlight w:val="none"/>
        </w:rPr>
        <w:t>要求的条款全部响应的，也可以在表格下面用文字总括性的说明。</w:t>
      </w:r>
    </w:p>
    <w:p w14:paraId="64D2B1B8">
      <w:pPr>
        <w:rPr>
          <w:rFonts w:ascii="宋体" w:hAnsi="宋体"/>
          <w:color w:val="auto"/>
          <w:szCs w:val="21"/>
          <w:highlight w:val="none"/>
        </w:rPr>
      </w:pPr>
    </w:p>
    <w:p w14:paraId="29FB3B38">
      <w:pPr>
        <w:adjustRightInd/>
        <w:snapToGrid/>
        <w:spacing w:line="276" w:lineRule="auto"/>
        <w:rPr>
          <w:color w:val="auto"/>
          <w:highlight w:val="none"/>
        </w:rPr>
      </w:pPr>
    </w:p>
    <w:p w14:paraId="25A7692E">
      <w:pPr>
        <w:rPr>
          <w:rFonts w:ascii="宋体" w:hAnsi="宋体"/>
          <w:color w:val="auto"/>
          <w:szCs w:val="21"/>
          <w:highlight w:val="none"/>
        </w:rPr>
      </w:pPr>
      <w:bookmarkStart w:id="148" w:name="_Toc17691"/>
      <w:r>
        <w:rPr>
          <w:rFonts w:hint="eastAsia" w:ascii="宋体" w:hAnsi="宋体"/>
          <w:color w:val="auto"/>
          <w:szCs w:val="21"/>
          <w:highlight w:val="none"/>
        </w:rPr>
        <w:br w:type="page"/>
      </w:r>
    </w:p>
    <w:bookmarkEnd w:id="148"/>
    <w:p w14:paraId="519110BE">
      <w:pPr>
        <w:pStyle w:val="7"/>
        <w:widowControl w:val="0"/>
        <w:overflowPunct w:val="0"/>
        <w:spacing w:line="240" w:lineRule="auto"/>
        <w:rPr>
          <w:rFonts w:ascii="宋体" w:hAnsi="宋体"/>
          <w:color w:val="auto"/>
          <w:sz w:val="21"/>
          <w:szCs w:val="21"/>
          <w:highlight w:val="none"/>
        </w:rPr>
      </w:pPr>
      <w:bookmarkStart w:id="149" w:name="_Toc2544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.项目实施方案格式</w:t>
      </w:r>
      <w:bookmarkEnd w:id="149"/>
    </w:p>
    <w:p w14:paraId="70BC7886">
      <w:pPr>
        <w:jc w:val="center"/>
        <w:rPr>
          <w:rFonts w:ascii="黑体" w:eastAsia="黑体"/>
          <w:color w:val="auto"/>
          <w:sz w:val="32"/>
          <w:szCs w:val="32"/>
          <w:highlight w:val="none"/>
        </w:rPr>
      </w:pPr>
    </w:p>
    <w:p w14:paraId="2E2605CC">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6BAA8F74">
      <w:pPr>
        <w:jc w:val="center"/>
        <w:rPr>
          <w:rFonts w:ascii="黑体" w:eastAsia="黑体"/>
          <w:color w:val="auto"/>
          <w:sz w:val="32"/>
          <w:szCs w:val="32"/>
          <w:highlight w:val="none"/>
        </w:rPr>
      </w:pPr>
    </w:p>
    <w:p w14:paraId="53ABCD2D">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77F8662F">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5D5E99B0">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43BBB54E">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47692046">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5FC88829">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2877F154">
      <w:pPr>
        <w:ind w:left="718" w:leftChars="200" w:hanging="298" w:hangingChars="142"/>
        <w:rPr>
          <w:rFonts w:ascii="宋体" w:hAnsi="宋体"/>
          <w:color w:val="auto"/>
          <w:szCs w:val="21"/>
          <w:highlight w:val="none"/>
        </w:rPr>
      </w:pPr>
    </w:p>
    <w:p w14:paraId="3307BE31">
      <w:pPr>
        <w:ind w:left="718" w:leftChars="200" w:hanging="298" w:hangingChars="142"/>
        <w:rPr>
          <w:rFonts w:ascii="宋体" w:hAnsi="宋体"/>
          <w:color w:val="auto"/>
          <w:szCs w:val="21"/>
          <w:highlight w:val="none"/>
        </w:rPr>
      </w:pPr>
    </w:p>
    <w:p w14:paraId="196F3F85">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52F877EC">
      <w:pPr>
        <w:pStyle w:val="7"/>
        <w:widowControl w:val="0"/>
        <w:overflowPunct w:val="0"/>
        <w:spacing w:line="240" w:lineRule="auto"/>
        <w:rPr>
          <w:rFonts w:ascii="宋体" w:hAnsi="宋体"/>
          <w:color w:val="auto"/>
          <w:sz w:val="21"/>
          <w:szCs w:val="21"/>
          <w:highlight w:val="none"/>
        </w:rPr>
      </w:pPr>
      <w:bookmarkStart w:id="150" w:name="_Toc1693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.实施本项目的有关人员资料表格式</w:t>
      </w:r>
      <w:bookmarkEnd w:id="150"/>
    </w:p>
    <w:p w14:paraId="5B3C606B">
      <w:pPr>
        <w:jc w:val="center"/>
        <w:rPr>
          <w:rFonts w:ascii="宋体" w:hAnsi="宋体"/>
          <w:color w:val="auto"/>
          <w:szCs w:val="21"/>
          <w:highlight w:val="none"/>
        </w:rPr>
      </w:pPr>
    </w:p>
    <w:p w14:paraId="1501F555">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2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28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B0F7384">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4BB294C8">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28FD68CF">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500335E0">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5037D1AC">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00F7E2A1">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0698630A">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640C63C5">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5EBC46A7">
            <w:pPr>
              <w:jc w:val="center"/>
              <w:rPr>
                <w:rFonts w:ascii="宋体" w:hAnsi="宋体"/>
                <w:color w:val="auto"/>
                <w:szCs w:val="21"/>
                <w:highlight w:val="none"/>
              </w:rPr>
            </w:pPr>
            <w:r>
              <w:rPr>
                <w:rFonts w:hint="eastAsia" w:ascii="宋体" w:hAnsi="宋体"/>
                <w:color w:val="auto"/>
                <w:szCs w:val="21"/>
                <w:highlight w:val="none"/>
              </w:rPr>
              <w:t>备注</w:t>
            </w:r>
          </w:p>
        </w:tc>
      </w:tr>
      <w:tr w14:paraId="37C4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87CFEAC">
            <w:pPr>
              <w:spacing w:line="288" w:lineRule="auto"/>
              <w:jc w:val="center"/>
              <w:rPr>
                <w:rFonts w:ascii="宋体" w:hAnsi="宋体"/>
                <w:color w:val="auto"/>
                <w:szCs w:val="21"/>
                <w:highlight w:val="none"/>
              </w:rPr>
            </w:pPr>
          </w:p>
        </w:tc>
        <w:tc>
          <w:tcPr>
            <w:tcW w:w="702" w:type="dxa"/>
            <w:vAlign w:val="center"/>
          </w:tcPr>
          <w:p w14:paraId="22531C8C">
            <w:pPr>
              <w:spacing w:line="288" w:lineRule="auto"/>
              <w:jc w:val="center"/>
              <w:rPr>
                <w:rFonts w:ascii="宋体" w:hAnsi="宋体"/>
                <w:color w:val="auto"/>
                <w:szCs w:val="21"/>
                <w:highlight w:val="none"/>
              </w:rPr>
            </w:pPr>
          </w:p>
        </w:tc>
        <w:tc>
          <w:tcPr>
            <w:tcW w:w="1861" w:type="dxa"/>
            <w:vAlign w:val="center"/>
          </w:tcPr>
          <w:p w14:paraId="24979AEC">
            <w:pPr>
              <w:spacing w:line="288" w:lineRule="auto"/>
              <w:jc w:val="center"/>
              <w:rPr>
                <w:rFonts w:ascii="宋体" w:hAnsi="宋体"/>
                <w:color w:val="auto"/>
                <w:szCs w:val="21"/>
                <w:highlight w:val="none"/>
              </w:rPr>
            </w:pPr>
          </w:p>
        </w:tc>
        <w:tc>
          <w:tcPr>
            <w:tcW w:w="702" w:type="dxa"/>
            <w:vAlign w:val="center"/>
          </w:tcPr>
          <w:p w14:paraId="2A620365">
            <w:pPr>
              <w:spacing w:line="288" w:lineRule="auto"/>
              <w:jc w:val="center"/>
              <w:rPr>
                <w:rFonts w:ascii="宋体" w:hAnsi="宋体"/>
                <w:color w:val="auto"/>
                <w:szCs w:val="21"/>
                <w:highlight w:val="none"/>
              </w:rPr>
            </w:pPr>
          </w:p>
        </w:tc>
        <w:tc>
          <w:tcPr>
            <w:tcW w:w="702" w:type="dxa"/>
            <w:vAlign w:val="center"/>
          </w:tcPr>
          <w:p w14:paraId="1708662E">
            <w:pPr>
              <w:spacing w:line="288" w:lineRule="auto"/>
              <w:jc w:val="center"/>
              <w:rPr>
                <w:rFonts w:ascii="宋体" w:hAnsi="宋体"/>
                <w:color w:val="auto"/>
                <w:szCs w:val="21"/>
                <w:highlight w:val="none"/>
              </w:rPr>
            </w:pPr>
          </w:p>
        </w:tc>
        <w:tc>
          <w:tcPr>
            <w:tcW w:w="1164" w:type="dxa"/>
            <w:vAlign w:val="center"/>
          </w:tcPr>
          <w:p w14:paraId="664F22DC">
            <w:pPr>
              <w:spacing w:line="288" w:lineRule="auto"/>
              <w:jc w:val="center"/>
              <w:rPr>
                <w:rFonts w:ascii="宋体" w:hAnsi="宋体"/>
                <w:color w:val="auto"/>
                <w:szCs w:val="21"/>
                <w:highlight w:val="none"/>
              </w:rPr>
            </w:pPr>
          </w:p>
        </w:tc>
        <w:tc>
          <w:tcPr>
            <w:tcW w:w="818" w:type="dxa"/>
            <w:vAlign w:val="center"/>
          </w:tcPr>
          <w:p w14:paraId="7861F051">
            <w:pPr>
              <w:spacing w:line="288" w:lineRule="auto"/>
              <w:jc w:val="center"/>
              <w:rPr>
                <w:rFonts w:ascii="宋体" w:hAnsi="宋体"/>
                <w:color w:val="auto"/>
                <w:szCs w:val="21"/>
                <w:highlight w:val="none"/>
              </w:rPr>
            </w:pPr>
          </w:p>
        </w:tc>
        <w:tc>
          <w:tcPr>
            <w:tcW w:w="1165" w:type="dxa"/>
            <w:vAlign w:val="center"/>
          </w:tcPr>
          <w:p w14:paraId="7D7327D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0366BD01">
            <w:pPr>
              <w:spacing w:line="288" w:lineRule="auto"/>
              <w:jc w:val="center"/>
              <w:rPr>
                <w:rFonts w:ascii="宋体" w:hAnsi="宋体"/>
                <w:color w:val="auto"/>
                <w:szCs w:val="21"/>
                <w:highlight w:val="none"/>
              </w:rPr>
            </w:pPr>
          </w:p>
        </w:tc>
      </w:tr>
      <w:tr w14:paraId="2FC9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7295F4D">
            <w:pPr>
              <w:spacing w:line="288" w:lineRule="auto"/>
              <w:jc w:val="center"/>
              <w:rPr>
                <w:rFonts w:ascii="宋体" w:hAnsi="宋体"/>
                <w:color w:val="auto"/>
                <w:szCs w:val="21"/>
                <w:highlight w:val="none"/>
              </w:rPr>
            </w:pPr>
          </w:p>
        </w:tc>
        <w:tc>
          <w:tcPr>
            <w:tcW w:w="702" w:type="dxa"/>
            <w:vAlign w:val="center"/>
          </w:tcPr>
          <w:p w14:paraId="0640D24B">
            <w:pPr>
              <w:spacing w:line="288" w:lineRule="auto"/>
              <w:jc w:val="center"/>
              <w:rPr>
                <w:rFonts w:ascii="宋体" w:hAnsi="宋体"/>
                <w:color w:val="auto"/>
                <w:szCs w:val="21"/>
                <w:highlight w:val="none"/>
              </w:rPr>
            </w:pPr>
          </w:p>
        </w:tc>
        <w:tc>
          <w:tcPr>
            <w:tcW w:w="1861" w:type="dxa"/>
            <w:vAlign w:val="center"/>
          </w:tcPr>
          <w:p w14:paraId="12C79003">
            <w:pPr>
              <w:spacing w:line="288" w:lineRule="auto"/>
              <w:jc w:val="center"/>
              <w:rPr>
                <w:rFonts w:ascii="宋体" w:hAnsi="宋体"/>
                <w:color w:val="auto"/>
                <w:szCs w:val="21"/>
                <w:highlight w:val="none"/>
              </w:rPr>
            </w:pPr>
          </w:p>
        </w:tc>
        <w:tc>
          <w:tcPr>
            <w:tcW w:w="702" w:type="dxa"/>
            <w:vAlign w:val="center"/>
          </w:tcPr>
          <w:p w14:paraId="68F8244E">
            <w:pPr>
              <w:spacing w:line="288" w:lineRule="auto"/>
              <w:jc w:val="center"/>
              <w:rPr>
                <w:rFonts w:ascii="宋体" w:hAnsi="宋体"/>
                <w:color w:val="auto"/>
                <w:szCs w:val="21"/>
                <w:highlight w:val="none"/>
              </w:rPr>
            </w:pPr>
          </w:p>
        </w:tc>
        <w:tc>
          <w:tcPr>
            <w:tcW w:w="702" w:type="dxa"/>
            <w:vAlign w:val="center"/>
          </w:tcPr>
          <w:p w14:paraId="56B342EF">
            <w:pPr>
              <w:spacing w:line="288" w:lineRule="auto"/>
              <w:jc w:val="center"/>
              <w:rPr>
                <w:rFonts w:ascii="宋体" w:hAnsi="宋体"/>
                <w:color w:val="auto"/>
                <w:szCs w:val="21"/>
                <w:highlight w:val="none"/>
              </w:rPr>
            </w:pPr>
          </w:p>
        </w:tc>
        <w:tc>
          <w:tcPr>
            <w:tcW w:w="1164" w:type="dxa"/>
            <w:vAlign w:val="center"/>
          </w:tcPr>
          <w:p w14:paraId="5495C20C">
            <w:pPr>
              <w:spacing w:line="288" w:lineRule="auto"/>
              <w:jc w:val="center"/>
              <w:rPr>
                <w:rFonts w:ascii="宋体" w:hAnsi="宋体"/>
                <w:color w:val="auto"/>
                <w:szCs w:val="21"/>
                <w:highlight w:val="none"/>
              </w:rPr>
            </w:pPr>
          </w:p>
        </w:tc>
        <w:tc>
          <w:tcPr>
            <w:tcW w:w="818" w:type="dxa"/>
            <w:vAlign w:val="center"/>
          </w:tcPr>
          <w:p w14:paraId="1B791E98">
            <w:pPr>
              <w:spacing w:line="288" w:lineRule="auto"/>
              <w:jc w:val="center"/>
              <w:rPr>
                <w:rFonts w:ascii="宋体" w:hAnsi="宋体"/>
                <w:color w:val="auto"/>
                <w:szCs w:val="21"/>
                <w:highlight w:val="none"/>
              </w:rPr>
            </w:pPr>
          </w:p>
        </w:tc>
        <w:tc>
          <w:tcPr>
            <w:tcW w:w="1165" w:type="dxa"/>
            <w:vAlign w:val="center"/>
          </w:tcPr>
          <w:p w14:paraId="051E31F1">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E57B1D8">
            <w:pPr>
              <w:spacing w:line="288" w:lineRule="auto"/>
              <w:jc w:val="center"/>
              <w:rPr>
                <w:rFonts w:ascii="宋体" w:hAnsi="宋体"/>
                <w:color w:val="auto"/>
                <w:szCs w:val="21"/>
                <w:highlight w:val="none"/>
              </w:rPr>
            </w:pPr>
          </w:p>
        </w:tc>
      </w:tr>
      <w:tr w14:paraId="7CB3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F94C5B6">
            <w:pPr>
              <w:spacing w:line="288" w:lineRule="auto"/>
              <w:jc w:val="center"/>
              <w:rPr>
                <w:rFonts w:ascii="宋体" w:hAnsi="宋体"/>
                <w:color w:val="auto"/>
                <w:szCs w:val="21"/>
                <w:highlight w:val="none"/>
              </w:rPr>
            </w:pPr>
          </w:p>
        </w:tc>
        <w:tc>
          <w:tcPr>
            <w:tcW w:w="702" w:type="dxa"/>
            <w:vAlign w:val="center"/>
          </w:tcPr>
          <w:p w14:paraId="569CECE0">
            <w:pPr>
              <w:spacing w:line="288" w:lineRule="auto"/>
              <w:jc w:val="center"/>
              <w:rPr>
                <w:rFonts w:ascii="宋体" w:hAnsi="宋体"/>
                <w:color w:val="auto"/>
                <w:szCs w:val="21"/>
                <w:highlight w:val="none"/>
              </w:rPr>
            </w:pPr>
          </w:p>
        </w:tc>
        <w:tc>
          <w:tcPr>
            <w:tcW w:w="1861" w:type="dxa"/>
            <w:vAlign w:val="center"/>
          </w:tcPr>
          <w:p w14:paraId="0F8E73FA">
            <w:pPr>
              <w:spacing w:line="288" w:lineRule="auto"/>
              <w:jc w:val="center"/>
              <w:rPr>
                <w:rFonts w:ascii="宋体" w:hAnsi="宋体"/>
                <w:color w:val="auto"/>
                <w:szCs w:val="21"/>
                <w:highlight w:val="none"/>
              </w:rPr>
            </w:pPr>
          </w:p>
        </w:tc>
        <w:tc>
          <w:tcPr>
            <w:tcW w:w="702" w:type="dxa"/>
            <w:vAlign w:val="center"/>
          </w:tcPr>
          <w:p w14:paraId="2332C36A">
            <w:pPr>
              <w:spacing w:line="288" w:lineRule="auto"/>
              <w:jc w:val="center"/>
              <w:rPr>
                <w:rFonts w:ascii="宋体" w:hAnsi="宋体"/>
                <w:color w:val="auto"/>
                <w:szCs w:val="21"/>
                <w:highlight w:val="none"/>
              </w:rPr>
            </w:pPr>
          </w:p>
        </w:tc>
        <w:tc>
          <w:tcPr>
            <w:tcW w:w="702" w:type="dxa"/>
            <w:vAlign w:val="center"/>
          </w:tcPr>
          <w:p w14:paraId="600F2BCF">
            <w:pPr>
              <w:spacing w:line="288" w:lineRule="auto"/>
              <w:jc w:val="center"/>
              <w:rPr>
                <w:rFonts w:ascii="宋体" w:hAnsi="宋体"/>
                <w:color w:val="auto"/>
                <w:szCs w:val="21"/>
                <w:highlight w:val="none"/>
              </w:rPr>
            </w:pPr>
          </w:p>
        </w:tc>
        <w:tc>
          <w:tcPr>
            <w:tcW w:w="1164" w:type="dxa"/>
            <w:vAlign w:val="center"/>
          </w:tcPr>
          <w:p w14:paraId="38BA7E4B">
            <w:pPr>
              <w:spacing w:line="288" w:lineRule="auto"/>
              <w:jc w:val="center"/>
              <w:rPr>
                <w:rFonts w:ascii="宋体" w:hAnsi="宋体"/>
                <w:color w:val="auto"/>
                <w:szCs w:val="21"/>
                <w:highlight w:val="none"/>
              </w:rPr>
            </w:pPr>
          </w:p>
        </w:tc>
        <w:tc>
          <w:tcPr>
            <w:tcW w:w="818" w:type="dxa"/>
            <w:vAlign w:val="center"/>
          </w:tcPr>
          <w:p w14:paraId="306B4B10">
            <w:pPr>
              <w:spacing w:line="288" w:lineRule="auto"/>
              <w:jc w:val="center"/>
              <w:rPr>
                <w:rFonts w:ascii="宋体" w:hAnsi="宋体"/>
                <w:color w:val="auto"/>
                <w:szCs w:val="21"/>
                <w:highlight w:val="none"/>
              </w:rPr>
            </w:pPr>
          </w:p>
        </w:tc>
        <w:tc>
          <w:tcPr>
            <w:tcW w:w="1165" w:type="dxa"/>
            <w:vAlign w:val="center"/>
          </w:tcPr>
          <w:p w14:paraId="267EBE98">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96370AB">
            <w:pPr>
              <w:spacing w:line="288" w:lineRule="auto"/>
              <w:jc w:val="center"/>
              <w:rPr>
                <w:rFonts w:ascii="宋体" w:hAnsi="宋体"/>
                <w:color w:val="auto"/>
                <w:szCs w:val="21"/>
                <w:highlight w:val="none"/>
              </w:rPr>
            </w:pPr>
          </w:p>
        </w:tc>
      </w:tr>
      <w:tr w14:paraId="5430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B93D909">
            <w:pPr>
              <w:spacing w:line="288" w:lineRule="auto"/>
              <w:jc w:val="center"/>
              <w:rPr>
                <w:rFonts w:ascii="宋体" w:hAnsi="宋体"/>
                <w:color w:val="auto"/>
                <w:szCs w:val="21"/>
                <w:highlight w:val="none"/>
              </w:rPr>
            </w:pPr>
          </w:p>
        </w:tc>
        <w:tc>
          <w:tcPr>
            <w:tcW w:w="702" w:type="dxa"/>
            <w:vAlign w:val="center"/>
          </w:tcPr>
          <w:p w14:paraId="0BD53C66">
            <w:pPr>
              <w:spacing w:line="288" w:lineRule="auto"/>
              <w:jc w:val="center"/>
              <w:rPr>
                <w:rFonts w:ascii="宋体" w:hAnsi="宋体"/>
                <w:color w:val="auto"/>
                <w:szCs w:val="21"/>
                <w:highlight w:val="none"/>
              </w:rPr>
            </w:pPr>
          </w:p>
        </w:tc>
        <w:tc>
          <w:tcPr>
            <w:tcW w:w="1861" w:type="dxa"/>
            <w:vAlign w:val="center"/>
          </w:tcPr>
          <w:p w14:paraId="7338C568">
            <w:pPr>
              <w:spacing w:line="288" w:lineRule="auto"/>
              <w:jc w:val="center"/>
              <w:rPr>
                <w:rFonts w:ascii="宋体" w:hAnsi="宋体"/>
                <w:color w:val="auto"/>
                <w:szCs w:val="21"/>
                <w:highlight w:val="none"/>
              </w:rPr>
            </w:pPr>
          </w:p>
        </w:tc>
        <w:tc>
          <w:tcPr>
            <w:tcW w:w="702" w:type="dxa"/>
            <w:vAlign w:val="center"/>
          </w:tcPr>
          <w:p w14:paraId="25EA0E2E">
            <w:pPr>
              <w:spacing w:line="288" w:lineRule="auto"/>
              <w:jc w:val="center"/>
              <w:rPr>
                <w:rFonts w:ascii="宋体" w:hAnsi="宋体"/>
                <w:color w:val="auto"/>
                <w:szCs w:val="21"/>
                <w:highlight w:val="none"/>
              </w:rPr>
            </w:pPr>
          </w:p>
        </w:tc>
        <w:tc>
          <w:tcPr>
            <w:tcW w:w="702" w:type="dxa"/>
            <w:vAlign w:val="center"/>
          </w:tcPr>
          <w:p w14:paraId="46475C6B">
            <w:pPr>
              <w:spacing w:line="288" w:lineRule="auto"/>
              <w:jc w:val="center"/>
              <w:rPr>
                <w:rFonts w:ascii="宋体" w:hAnsi="宋体"/>
                <w:color w:val="auto"/>
                <w:szCs w:val="21"/>
                <w:highlight w:val="none"/>
              </w:rPr>
            </w:pPr>
          </w:p>
        </w:tc>
        <w:tc>
          <w:tcPr>
            <w:tcW w:w="1164" w:type="dxa"/>
            <w:vAlign w:val="center"/>
          </w:tcPr>
          <w:p w14:paraId="2E24F34C">
            <w:pPr>
              <w:spacing w:line="288" w:lineRule="auto"/>
              <w:jc w:val="center"/>
              <w:rPr>
                <w:rFonts w:ascii="宋体" w:hAnsi="宋体"/>
                <w:color w:val="auto"/>
                <w:szCs w:val="21"/>
                <w:highlight w:val="none"/>
              </w:rPr>
            </w:pPr>
          </w:p>
        </w:tc>
        <w:tc>
          <w:tcPr>
            <w:tcW w:w="818" w:type="dxa"/>
            <w:vAlign w:val="center"/>
          </w:tcPr>
          <w:p w14:paraId="143B1B40">
            <w:pPr>
              <w:spacing w:line="288" w:lineRule="auto"/>
              <w:jc w:val="center"/>
              <w:rPr>
                <w:rFonts w:ascii="宋体" w:hAnsi="宋体"/>
                <w:color w:val="auto"/>
                <w:szCs w:val="21"/>
                <w:highlight w:val="none"/>
              </w:rPr>
            </w:pPr>
          </w:p>
        </w:tc>
        <w:tc>
          <w:tcPr>
            <w:tcW w:w="1165" w:type="dxa"/>
            <w:vAlign w:val="center"/>
          </w:tcPr>
          <w:p w14:paraId="063A552A">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6E30BD3">
            <w:pPr>
              <w:spacing w:line="288" w:lineRule="auto"/>
              <w:jc w:val="center"/>
              <w:rPr>
                <w:rFonts w:ascii="宋体" w:hAnsi="宋体"/>
                <w:color w:val="auto"/>
                <w:szCs w:val="21"/>
                <w:highlight w:val="none"/>
              </w:rPr>
            </w:pPr>
          </w:p>
        </w:tc>
      </w:tr>
      <w:tr w14:paraId="08C5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4976629">
            <w:pPr>
              <w:spacing w:line="288" w:lineRule="auto"/>
              <w:jc w:val="center"/>
              <w:rPr>
                <w:rFonts w:ascii="宋体" w:hAnsi="宋体"/>
                <w:color w:val="auto"/>
                <w:szCs w:val="21"/>
                <w:highlight w:val="none"/>
              </w:rPr>
            </w:pPr>
          </w:p>
        </w:tc>
        <w:tc>
          <w:tcPr>
            <w:tcW w:w="702" w:type="dxa"/>
            <w:vAlign w:val="center"/>
          </w:tcPr>
          <w:p w14:paraId="77AAACC9">
            <w:pPr>
              <w:spacing w:line="288" w:lineRule="auto"/>
              <w:jc w:val="center"/>
              <w:rPr>
                <w:rFonts w:ascii="宋体" w:hAnsi="宋体"/>
                <w:color w:val="auto"/>
                <w:szCs w:val="21"/>
                <w:highlight w:val="none"/>
              </w:rPr>
            </w:pPr>
          </w:p>
        </w:tc>
        <w:tc>
          <w:tcPr>
            <w:tcW w:w="1861" w:type="dxa"/>
            <w:vAlign w:val="center"/>
          </w:tcPr>
          <w:p w14:paraId="33EF7663">
            <w:pPr>
              <w:spacing w:line="288" w:lineRule="auto"/>
              <w:jc w:val="center"/>
              <w:rPr>
                <w:rFonts w:ascii="宋体" w:hAnsi="宋体"/>
                <w:color w:val="auto"/>
                <w:szCs w:val="21"/>
                <w:highlight w:val="none"/>
              </w:rPr>
            </w:pPr>
          </w:p>
        </w:tc>
        <w:tc>
          <w:tcPr>
            <w:tcW w:w="702" w:type="dxa"/>
            <w:vAlign w:val="center"/>
          </w:tcPr>
          <w:p w14:paraId="0D0CCD71">
            <w:pPr>
              <w:spacing w:line="288" w:lineRule="auto"/>
              <w:jc w:val="center"/>
              <w:rPr>
                <w:rFonts w:ascii="宋体" w:hAnsi="宋体"/>
                <w:color w:val="auto"/>
                <w:szCs w:val="21"/>
                <w:highlight w:val="none"/>
              </w:rPr>
            </w:pPr>
          </w:p>
        </w:tc>
        <w:tc>
          <w:tcPr>
            <w:tcW w:w="702" w:type="dxa"/>
            <w:vAlign w:val="center"/>
          </w:tcPr>
          <w:p w14:paraId="45E3722A">
            <w:pPr>
              <w:spacing w:line="288" w:lineRule="auto"/>
              <w:jc w:val="center"/>
              <w:rPr>
                <w:rFonts w:ascii="宋体" w:hAnsi="宋体"/>
                <w:color w:val="auto"/>
                <w:szCs w:val="21"/>
                <w:highlight w:val="none"/>
              </w:rPr>
            </w:pPr>
          </w:p>
        </w:tc>
        <w:tc>
          <w:tcPr>
            <w:tcW w:w="1164" w:type="dxa"/>
            <w:vAlign w:val="center"/>
          </w:tcPr>
          <w:p w14:paraId="4E7E571A">
            <w:pPr>
              <w:spacing w:line="288" w:lineRule="auto"/>
              <w:jc w:val="center"/>
              <w:rPr>
                <w:rFonts w:ascii="宋体" w:hAnsi="宋体"/>
                <w:color w:val="auto"/>
                <w:szCs w:val="21"/>
                <w:highlight w:val="none"/>
              </w:rPr>
            </w:pPr>
          </w:p>
        </w:tc>
        <w:tc>
          <w:tcPr>
            <w:tcW w:w="818" w:type="dxa"/>
            <w:vAlign w:val="center"/>
          </w:tcPr>
          <w:p w14:paraId="207D2F85">
            <w:pPr>
              <w:spacing w:line="288" w:lineRule="auto"/>
              <w:jc w:val="center"/>
              <w:rPr>
                <w:rFonts w:ascii="宋体" w:hAnsi="宋体"/>
                <w:color w:val="auto"/>
                <w:szCs w:val="21"/>
                <w:highlight w:val="none"/>
              </w:rPr>
            </w:pPr>
          </w:p>
        </w:tc>
        <w:tc>
          <w:tcPr>
            <w:tcW w:w="1165" w:type="dxa"/>
            <w:vAlign w:val="center"/>
          </w:tcPr>
          <w:p w14:paraId="399F494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D5CFFFE">
            <w:pPr>
              <w:spacing w:line="288" w:lineRule="auto"/>
              <w:jc w:val="center"/>
              <w:rPr>
                <w:rFonts w:ascii="宋体" w:hAnsi="宋体"/>
                <w:color w:val="auto"/>
                <w:szCs w:val="21"/>
                <w:highlight w:val="none"/>
              </w:rPr>
            </w:pPr>
          </w:p>
        </w:tc>
      </w:tr>
      <w:tr w14:paraId="33C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9DCDA55">
            <w:pPr>
              <w:spacing w:line="288" w:lineRule="auto"/>
              <w:jc w:val="center"/>
              <w:rPr>
                <w:rFonts w:ascii="宋体" w:hAnsi="宋体"/>
                <w:color w:val="auto"/>
                <w:szCs w:val="21"/>
                <w:highlight w:val="none"/>
              </w:rPr>
            </w:pPr>
          </w:p>
        </w:tc>
        <w:tc>
          <w:tcPr>
            <w:tcW w:w="702" w:type="dxa"/>
            <w:vAlign w:val="center"/>
          </w:tcPr>
          <w:p w14:paraId="467735CB">
            <w:pPr>
              <w:spacing w:line="288" w:lineRule="auto"/>
              <w:jc w:val="center"/>
              <w:rPr>
                <w:rFonts w:ascii="宋体" w:hAnsi="宋体"/>
                <w:color w:val="auto"/>
                <w:szCs w:val="21"/>
                <w:highlight w:val="none"/>
              </w:rPr>
            </w:pPr>
          </w:p>
        </w:tc>
        <w:tc>
          <w:tcPr>
            <w:tcW w:w="1861" w:type="dxa"/>
            <w:vAlign w:val="center"/>
          </w:tcPr>
          <w:p w14:paraId="133DFB76">
            <w:pPr>
              <w:spacing w:line="288" w:lineRule="auto"/>
              <w:jc w:val="center"/>
              <w:rPr>
                <w:rFonts w:ascii="宋体" w:hAnsi="宋体"/>
                <w:color w:val="auto"/>
                <w:szCs w:val="21"/>
                <w:highlight w:val="none"/>
              </w:rPr>
            </w:pPr>
          </w:p>
        </w:tc>
        <w:tc>
          <w:tcPr>
            <w:tcW w:w="702" w:type="dxa"/>
            <w:vAlign w:val="center"/>
          </w:tcPr>
          <w:p w14:paraId="5525FE90">
            <w:pPr>
              <w:spacing w:line="288" w:lineRule="auto"/>
              <w:jc w:val="center"/>
              <w:rPr>
                <w:rFonts w:ascii="宋体" w:hAnsi="宋体"/>
                <w:color w:val="auto"/>
                <w:szCs w:val="21"/>
                <w:highlight w:val="none"/>
              </w:rPr>
            </w:pPr>
          </w:p>
        </w:tc>
        <w:tc>
          <w:tcPr>
            <w:tcW w:w="702" w:type="dxa"/>
            <w:vAlign w:val="center"/>
          </w:tcPr>
          <w:p w14:paraId="53E56067">
            <w:pPr>
              <w:spacing w:line="288" w:lineRule="auto"/>
              <w:jc w:val="center"/>
              <w:rPr>
                <w:rFonts w:ascii="宋体" w:hAnsi="宋体"/>
                <w:color w:val="auto"/>
                <w:szCs w:val="21"/>
                <w:highlight w:val="none"/>
              </w:rPr>
            </w:pPr>
          </w:p>
        </w:tc>
        <w:tc>
          <w:tcPr>
            <w:tcW w:w="1164" w:type="dxa"/>
            <w:vAlign w:val="center"/>
          </w:tcPr>
          <w:p w14:paraId="690F585A">
            <w:pPr>
              <w:spacing w:line="288" w:lineRule="auto"/>
              <w:jc w:val="center"/>
              <w:rPr>
                <w:rFonts w:ascii="宋体" w:hAnsi="宋体"/>
                <w:color w:val="auto"/>
                <w:szCs w:val="21"/>
                <w:highlight w:val="none"/>
              </w:rPr>
            </w:pPr>
          </w:p>
        </w:tc>
        <w:tc>
          <w:tcPr>
            <w:tcW w:w="818" w:type="dxa"/>
            <w:vAlign w:val="center"/>
          </w:tcPr>
          <w:p w14:paraId="4F2D1233">
            <w:pPr>
              <w:spacing w:line="288" w:lineRule="auto"/>
              <w:jc w:val="center"/>
              <w:rPr>
                <w:rFonts w:ascii="宋体" w:hAnsi="宋体"/>
                <w:color w:val="auto"/>
                <w:szCs w:val="21"/>
                <w:highlight w:val="none"/>
              </w:rPr>
            </w:pPr>
          </w:p>
        </w:tc>
        <w:tc>
          <w:tcPr>
            <w:tcW w:w="1165" w:type="dxa"/>
            <w:vAlign w:val="center"/>
          </w:tcPr>
          <w:p w14:paraId="25C86E3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C8385B0">
            <w:pPr>
              <w:spacing w:line="288" w:lineRule="auto"/>
              <w:jc w:val="center"/>
              <w:rPr>
                <w:rFonts w:ascii="宋体" w:hAnsi="宋体"/>
                <w:color w:val="auto"/>
                <w:szCs w:val="21"/>
                <w:highlight w:val="none"/>
              </w:rPr>
            </w:pPr>
          </w:p>
        </w:tc>
      </w:tr>
      <w:tr w14:paraId="3186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B4A4D60">
            <w:pPr>
              <w:spacing w:line="288" w:lineRule="auto"/>
              <w:jc w:val="center"/>
              <w:rPr>
                <w:rFonts w:ascii="宋体" w:hAnsi="宋体"/>
                <w:color w:val="auto"/>
                <w:szCs w:val="21"/>
                <w:highlight w:val="none"/>
              </w:rPr>
            </w:pPr>
          </w:p>
        </w:tc>
        <w:tc>
          <w:tcPr>
            <w:tcW w:w="702" w:type="dxa"/>
            <w:vAlign w:val="center"/>
          </w:tcPr>
          <w:p w14:paraId="56A04D1D">
            <w:pPr>
              <w:spacing w:line="288" w:lineRule="auto"/>
              <w:jc w:val="center"/>
              <w:rPr>
                <w:rFonts w:ascii="宋体" w:hAnsi="宋体"/>
                <w:color w:val="auto"/>
                <w:szCs w:val="21"/>
                <w:highlight w:val="none"/>
              </w:rPr>
            </w:pPr>
          </w:p>
        </w:tc>
        <w:tc>
          <w:tcPr>
            <w:tcW w:w="1861" w:type="dxa"/>
            <w:vAlign w:val="center"/>
          </w:tcPr>
          <w:p w14:paraId="6416F13F">
            <w:pPr>
              <w:spacing w:line="288" w:lineRule="auto"/>
              <w:jc w:val="center"/>
              <w:rPr>
                <w:rFonts w:ascii="宋体" w:hAnsi="宋体"/>
                <w:color w:val="auto"/>
                <w:szCs w:val="21"/>
                <w:highlight w:val="none"/>
              </w:rPr>
            </w:pPr>
          </w:p>
        </w:tc>
        <w:tc>
          <w:tcPr>
            <w:tcW w:w="702" w:type="dxa"/>
            <w:vAlign w:val="center"/>
          </w:tcPr>
          <w:p w14:paraId="09849E8A">
            <w:pPr>
              <w:spacing w:line="288" w:lineRule="auto"/>
              <w:jc w:val="center"/>
              <w:rPr>
                <w:rFonts w:ascii="宋体" w:hAnsi="宋体"/>
                <w:color w:val="auto"/>
                <w:szCs w:val="21"/>
                <w:highlight w:val="none"/>
              </w:rPr>
            </w:pPr>
          </w:p>
        </w:tc>
        <w:tc>
          <w:tcPr>
            <w:tcW w:w="702" w:type="dxa"/>
            <w:vAlign w:val="center"/>
          </w:tcPr>
          <w:p w14:paraId="49AE6D4B">
            <w:pPr>
              <w:spacing w:line="288" w:lineRule="auto"/>
              <w:jc w:val="center"/>
              <w:rPr>
                <w:rFonts w:ascii="宋体" w:hAnsi="宋体"/>
                <w:color w:val="auto"/>
                <w:szCs w:val="21"/>
                <w:highlight w:val="none"/>
              </w:rPr>
            </w:pPr>
          </w:p>
        </w:tc>
        <w:tc>
          <w:tcPr>
            <w:tcW w:w="1164" w:type="dxa"/>
            <w:vAlign w:val="center"/>
          </w:tcPr>
          <w:p w14:paraId="50A1923D">
            <w:pPr>
              <w:spacing w:line="288" w:lineRule="auto"/>
              <w:jc w:val="center"/>
              <w:rPr>
                <w:rFonts w:ascii="宋体" w:hAnsi="宋体"/>
                <w:color w:val="auto"/>
                <w:szCs w:val="21"/>
                <w:highlight w:val="none"/>
              </w:rPr>
            </w:pPr>
          </w:p>
        </w:tc>
        <w:tc>
          <w:tcPr>
            <w:tcW w:w="818" w:type="dxa"/>
            <w:vAlign w:val="center"/>
          </w:tcPr>
          <w:p w14:paraId="62CC7DDC">
            <w:pPr>
              <w:spacing w:line="288" w:lineRule="auto"/>
              <w:jc w:val="center"/>
              <w:rPr>
                <w:rFonts w:ascii="宋体" w:hAnsi="宋体"/>
                <w:color w:val="auto"/>
                <w:szCs w:val="21"/>
                <w:highlight w:val="none"/>
              </w:rPr>
            </w:pPr>
          </w:p>
        </w:tc>
        <w:tc>
          <w:tcPr>
            <w:tcW w:w="1165" w:type="dxa"/>
            <w:vAlign w:val="center"/>
          </w:tcPr>
          <w:p w14:paraId="0F295304">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AA35FD9">
            <w:pPr>
              <w:spacing w:line="288" w:lineRule="auto"/>
              <w:jc w:val="center"/>
              <w:rPr>
                <w:rFonts w:ascii="宋体" w:hAnsi="宋体"/>
                <w:color w:val="auto"/>
                <w:szCs w:val="21"/>
                <w:highlight w:val="none"/>
              </w:rPr>
            </w:pPr>
          </w:p>
        </w:tc>
      </w:tr>
      <w:tr w14:paraId="7850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E709BDA">
            <w:pPr>
              <w:spacing w:line="288" w:lineRule="auto"/>
              <w:jc w:val="center"/>
              <w:rPr>
                <w:rFonts w:ascii="宋体" w:hAnsi="宋体"/>
                <w:color w:val="auto"/>
                <w:szCs w:val="21"/>
                <w:highlight w:val="none"/>
              </w:rPr>
            </w:pPr>
          </w:p>
        </w:tc>
        <w:tc>
          <w:tcPr>
            <w:tcW w:w="702" w:type="dxa"/>
            <w:vAlign w:val="center"/>
          </w:tcPr>
          <w:p w14:paraId="55F852E4">
            <w:pPr>
              <w:spacing w:line="288" w:lineRule="auto"/>
              <w:jc w:val="center"/>
              <w:rPr>
                <w:rFonts w:ascii="宋体" w:hAnsi="宋体"/>
                <w:color w:val="auto"/>
                <w:szCs w:val="21"/>
                <w:highlight w:val="none"/>
              </w:rPr>
            </w:pPr>
          </w:p>
        </w:tc>
        <w:tc>
          <w:tcPr>
            <w:tcW w:w="1861" w:type="dxa"/>
            <w:vAlign w:val="center"/>
          </w:tcPr>
          <w:p w14:paraId="1384462F">
            <w:pPr>
              <w:spacing w:line="288" w:lineRule="auto"/>
              <w:jc w:val="center"/>
              <w:rPr>
                <w:rFonts w:ascii="宋体" w:hAnsi="宋体"/>
                <w:color w:val="auto"/>
                <w:szCs w:val="21"/>
                <w:highlight w:val="none"/>
              </w:rPr>
            </w:pPr>
          </w:p>
        </w:tc>
        <w:tc>
          <w:tcPr>
            <w:tcW w:w="702" w:type="dxa"/>
            <w:vAlign w:val="center"/>
          </w:tcPr>
          <w:p w14:paraId="65F0966B">
            <w:pPr>
              <w:spacing w:line="288" w:lineRule="auto"/>
              <w:jc w:val="center"/>
              <w:rPr>
                <w:rFonts w:ascii="宋体" w:hAnsi="宋体"/>
                <w:color w:val="auto"/>
                <w:szCs w:val="21"/>
                <w:highlight w:val="none"/>
              </w:rPr>
            </w:pPr>
          </w:p>
        </w:tc>
        <w:tc>
          <w:tcPr>
            <w:tcW w:w="702" w:type="dxa"/>
            <w:vAlign w:val="center"/>
          </w:tcPr>
          <w:p w14:paraId="6B482287">
            <w:pPr>
              <w:spacing w:line="288" w:lineRule="auto"/>
              <w:jc w:val="center"/>
              <w:rPr>
                <w:rFonts w:ascii="宋体" w:hAnsi="宋体"/>
                <w:color w:val="auto"/>
                <w:szCs w:val="21"/>
                <w:highlight w:val="none"/>
              </w:rPr>
            </w:pPr>
          </w:p>
        </w:tc>
        <w:tc>
          <w:tcPr>
            <w:tcW w:w="1164" w:type="dxa"/>
            <w:vAlign w:val="center"/>
          </w:tcPr>
          <w:p w14:paraId="4E1D648F">
            <w:pPr>
              <w:spacing w:line="288" w:lineRule="auto"/>
              <w:jc w:val="center"/>
              <w:rPr>
                <w:rFonts w:ascii="宋体" w:hAnsi="宋体"/>
                <w:color w:val="auto"/>
                <w:szCs w:val="21"/>
                <w:highlight w:val="none"/>
              </w:rPr>
            </w:pPr>
          </w:p>
        </w:tc>
        <w:tc>
          <w:tcPr>
            <w:tcW w:w="818" w:type="dxa"/>
            <w:vAlign w:val="center"/>
          </w:tcPr>
          <w:p w14:paraId="35D754FB">
            <w:pPr>
              <w:spacing w:line="288" w:lineRule="auto"/>
              <w:jc w:val="center"/>
              <w:rPr>
                <w:rFonts w:ascii="宋体" w:hAnsi="宋体"/>
                <w:color w:val="auto"/>
                <w:szCs w:val="21"/>
                <w:highlight w:val="none"/>
              </w:rPr>
            </w:pPr>
          </w:p>
        </w:tc>
        <w:tc>
          <w:tcPr>
            <w:tcW w:w="1165" w:type="dxa"/>
            <w:vAlign w:val="center"/>
          </w:tcPr>
          <w:p w14:paraId="4169495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BF2EC45">
            <w:pPr>
              <w:spacing w:line="288" w:lineRule="auto"/>
              <w:jc w:val="center"/>
              <w:rPr>
                <w:rFonts w:ascii="宋体" w:hAnsi="宋体"/>
                <w:color w:val="auto"/>
                <w:szCs w:val="21"/>
                <w:highlight w:val="none"/>
              </w:rPr>
            </w:pPr>
          </w:p>
        </w:tc>
      </w:tr>
      <w:tr w14:paraId="74D6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85831DA">
            <w:pPr>
              <w:spacing w:line="288" w:lineRule="auto"/>
              <w:jc w:val="center"/>
              <w:rPr>
                <w:rFonts w:ascii="宋体" w:hAnsi="宋体"/>
                <w:color w:val="auto"/>
                <w:szCs w:val="21"/>
                <w:highlight w:val="none"/>
              </w:rPr>
            </w:pPr>
          </w:p>
        </w:tc>
        <w:tc>
          <w:tcPr>
            <w:tcW w:w="702" w:type="dxa"/>
            <w:vAlign w:val="center"/>
          </w:tcPr>
          <w:p w14:paraId="747990CF">
            <w:pPr>
              <w:spacing w:line="288" w:lineRule="auto"/>
              <w:jc w:val="center"/>
              <w:rPr>
                <w:rFonts w:ascii="宋体" w:hAnsi="宋体"/>
                <w:color w:val="auto"/>
                <w:szCs w:val="21"/>
                <w:highlight w:val="none"/>
              </w:rPr>
            </w:pPr>
          </w:p>
        </w:tc>
        <w:tc>
          <w:tcPr>
            <w:tcW w:w="1861" w:type="dxa"/>
            <w:vAlign w:val="center"/>
          </w:tcPr>
          <w:p w14:paraId="4BC713F4">
            <w:pPr>
              <w:spacing w:line="288" w:lineRule="auto"/>
              <w:jc w:val="center"/>
              <w:rPr>
                <w:rFonts w:ascii="宋体" w:hAnsi="宋体"/>
                <w:color w:val="auto"/>
                <w:szCs w:val="21"/>
                <w:highlight w:val="none"/>
              </w:rPr>
            </w:pPr>
          </w:p>
        </w:tc>
        <w:tc>
          <w:tcPr>
            <w:tcW w:w="702" w:type="dxa"/>
            <w:vAlign w:val="center"/>
          </w:tcPr>
          <w:p w14:paraId="286318D6">
            <w:pPr>
              <w:spacing w:line="288" w:lineRule="auto"/>
              <w:jc w:val="center"/>
              <w:rPr>
                <w:rFonts w:ascii="宋体" w:hAnsi="宋体"/>
                <w:color w:val="auto"/>
                <w:szCs w:val="21"/>
                <w:highlight w:val="none"/>
              </w:rPr>
            </w:pPr>
          </w:p>
        </w:tc>
        <w:tc>
          <w:tcPr>
            <w:tcW w:w="702" w:type="dxa"/>
            <w:vAlign w:val="center"/>
          </w:tcPr>
          <w:p w14:paraId="7648F3D2">
            <w:pPr>
              <w:spacing w:line="288" w:lineRule="auto"/>
              <w:jc w:val="center"/>
              <w:rPr>
                <w:rFonts w:ascii="宋体" w:hAnsi="宋体"/>
                <w:color w:val="auto"/>
                <w:szCs w:val="21"/>
                <w:highlight w:val="none"/>
              </w:rPr>
            </w:pPr>
          </w:p>
        </w:tc>
        <w:tc>
          <w:tcPr>
            <w:tcW w:w="1164" w:type="dxa"/>
            <w:vAlign w:val="center"/>
          </w:tcPr>
          <w:p w14:paraId="702B152D">
            <w:pPr>
              <w:spacing w:line="288" w:lineRule="auto"/>
              <w:jc w:val="center"/>
              <w:rPr>
                <w:rFonts w:ascii="宋体" w:hAnsi="宋体"/>
                <w:color w:val="auto"/>
                <w:szCs w:val="21"/>
                <w:highlight w:val="none"/>
              </w:rPr>
            </w:pPr>
          </w:p>
        </w:tc>
        <w:tc>
          <w:tcPr>
            <w:tcW w:w="818" w:type="dxa"/>
            <w:vAlign w:val="center"/>
          </w:tcPr>
          <w:p w14:paraId="4F2ECAC7">
            <w:pPr>
              <w:spacing w:line="288" w:lineRule="auto"/>
              <w:jc w:val="center"/>
              <w:rPr>
                <w:rFonts w:ascii="宋体" w:hAnsi="宋体"/>
                <w:color w:val="auto"/>
                <w:szCs w:val="21"/>
                <w:highlight w:val="none"/>
              </w:rPr>
            </w:pPr>
          </w:p>
        </w:tc>
        <w:tc>
          <w:tcPr>
            <w:tcW w:w="1165" w:type="dxa"/>
            <w:vAlign w:val="center"/>
          </w:tcPr>
          <w:p w14:paraId="2F32EB7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ADA47CA">
            <w:pPr>
              <w:spacing w:line="288" w:lineRule="auto"/>
              <w:jc w:val="center"/>
              <w:rPr>
                <w:rFonts w:ascii="宋体" w:hAnsi="宋体"/>
                <w:color w:val="auto"/>
                <w:szCs w:val="21"/>
                <w:highlight w:val="none"/>
              </w:rPr>
            </w:pPr>
          </w:p>
        </w:tc>
      </w:tr>
      <w:tr w14:paraId="4928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AD13E88">
            <w:pPr>
              <w:spacing w:line="288" w:lineRule="auto"/>
              <w:jc w:val="center"/>
              <w:rPr>
                <w:rFonts w:ascii="宋体" w:hAnsi="宋体"/>
                <w:color w:val="auto"/>
                <w:szCs w:val="21"/>
                <w:highlight w:val="none"/>
              </w:rPr>
            </w:pPr>
          </w:p>
        </w:tc>
        <w:tc>
          <w:tcPr>
            <w:tcW w:w="702" w:type="dxa"/>
            <w:vAlign w:val="center"/>
          </w:tcPr>
          <w:p w14:paraId="79CA2690">
            <w:pPr>
              <w:spacing w:line="288" w:lineRule="auto"/>
              <w:jc w:val="center"/>
              <w:rPr>
                <w:rFonts w:ascii="宋体" w:hAnsi="宋体"/>
                <w:color w:val="auto"/>
                <w:szCs w:val="21"/>
                <w:highlight w:val="none"/>
              </w:rPr>
            </w:pPr>
          </w:p>
        </w:tc>
        <w:tc>
          <w:tcPr>
            <w:tcW w:w="1861" w:type="dxa"/>
            <w:vAlign w:val="center"/>
          </w:tcPr>
          <w:p w14:paraId="4A9C2240">
            <w:pPr>
              <w:spacing w:line="288" w:lineRule="auto"/>
              <w:jc w:val="center"/>
              <w:rPr>
                <w:rFonts w:ascii="宋体" w:hAnsi="宋体"/>
                <w:color w:val="auto"/>
                <w:szCs w:val="21"/>
                <w:highlight w:val="none"/>
              </w:rPr>
            </w:pPr>
          </w:p>
        </w:tc>
        <w:tc>
          <w:tcPr>
            <w:tcW w:w="702" w:type="dxa"/>
            <w:vAlign w:val="center"/>
          </w:tcPr>
          <w:p w14:paraId="12A666A7">
            <w:pPr>
              <w:spacing w:line="288" w:lineRule="auto"/>
              <w:jc w:val="center"/>
              <w:rPr>
                <w:rFonts w:ascii="宋体" w:hAnsi="宋体"/>
                <w:color w:val="auto"/>
                <w:szCs w:val="21"/>
                <w:highlight w:val="none"/>
              </w:rPr>
            </w:pPr>
          </w:p>
        </w:tc>
        <w:tc>
          <w:tcPr>
            <w:tcW w:w="702" w:type="dxa"/>
            <w:vAlign w:val="center"/>
          </w:tcPr>
          <w:p w14:paraId="0BB6D663">
            <w:pPr>
              <w:spacing w:line="288" w:lineRule="auto"/>
              <w:jc w:val="center"/>
              <w:rPr>
                <w:rFonts w:ascii="宋体" w:hAnsi="宋体"/>
                <w:color w:val="auto"/>
                <w:szCs w:val="21"/>
                <w:highlight w:val="none"/>
              </w:rPr>
            </w:pPr>
          </w:p>
        </w:tc>
        <w:tc>
          <w:tcPr>
            <w:tcW w:w="1164" w:type="dxa"/>
            <w:vAlign w:val="center"/>
          </w:tcPr>
          <w:p w14:paraId="59060AB1">
            <w:pPr>
              <w:spacing w:line="288" w:lineRule="auto"/>
              <w:jc w:val="center"/>
              <w:rPr>
                <w:rFonts w:ascii="宋体" w:hAnsi="宋体"/>
                <w:color w:val="auto"/>
                <w:szCs w:val="21"/>
                <w:highlight w:val="none"/>
              </w:rPr>
            </w:pPr>
          </w:p>
        </w:tc>
        <w:tc>
          <w:tcPr>
            <w:tcW w:w="818" w:type="dxa"/>
            <w:vAlign w:val="center"/>
          </w:tcPr>
          <w:p w14:paraId="7C680BA2">
            <w:pPr>
              <w:spacing w:line="288" w:lineRule="auto"/>
              <w:jc w:val="center"/>
              <w:rPr>
                <w:rFonts w:ascii="宋体" w:hAnsi="宋体"/>
                <w:color w:val="auto"/>
                <w:szCs w:val="21"/>
                <w:highlight w:val="none"/>
              </w:rPr>
            </w:pPr>
          </w:p>
        </w:tc>
        <w:tc>
          <w:tcPr>
            <w:tcW w:w="1165" w:type="dxa"/>
            <w:vAlign w:val="center"/>
          </w:tcPr>
          <w:p w14:paraId="07AECCD7">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AF3BB8B">
            <w:pPr>
              <w:spacing w:line="288" w:lineRule="auto"/>
              <w:jc w:val="center"/>
              <w:rPr>
                <w:rFonts w:ascii="宋体" w:hAnsi="宋体"/>
                <w:color w:val="auto"/>
                <w:szCs w:val="21"/>
                <w:highlight w:val="none"/>
              </w:rPr>
            </w:pPr>
          </w:p>
        </w:tc>
      </w:tr>
    </w:tbl>
    <w:p w14:paraId="4CB78175">
      <w:pPr>
        <w:ind w:firstLine="178" w:firstLineChars="85"/>
        <w:rPr>
          <w:rFonts w:ascii="宋体" w:hAnsi="宋体"/>
          <w:color w:val="auto"/>
          <w:szCs w:val="21"/>
          <w:highlight w:val="none"/>
        </w:rPr>
      </w:pPr>
    </w:p>
    <w:p w14:paraId="231869F5">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0B7D7515">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69E0152E">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3941180E">
      <w:pPr>
        <w:rPr>
          <w:rFonts w:ascii="宋体" w:hAnsi="宋体"/>
          <w:color w:val="auto"/>
          <w:szCs w:val="21"/>
          <w:highlight w:val="none"/>
        </w:rPr>
      </w:pPr>
      <w:r>
        <w:rPr>
          <w:rFonts w:hint="eastAsia" w:ascii="宋体" w:hAnsi="宋体"/>
          <w:color w:val="auto"/>
          <w:szCs w:val="21"/>
          <w:highlight w:val="none"/>
        </w:rPr>
        <w:t>注：</w:t>
      </w:r>
    </w:p>
    <w:p w14:paraId="37543CB9">
      <w:pPr>
        <w:pStyle w:val="40"/>
        <w:numPr>
          <w:ilvl w:val="0"/>
          <w:numId w:val="13"/>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4A732397">
      <w:pPr>
        <w:pStyle w:val="40"/>
        <w:numPr>
          <w:ilvl w:val="0"/>
          <w:numId w:val="13"/>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39F75AC2">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36C2C913">
      <w:pPr>
        <w:pStyle w:val="40"/>
        <w:numPr>
          <w:ilvl w:val="0"/>
          <w:numId w:val="13"/>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09F65F5F">
      <w:pPr>
        <w:pStyle w:val="7"/>
        <w:widowControl w:val="0"/>
        <w:overflowPunct w:val="0"/>
        <w:spacing w:line="240" w:lineRule="auto"/>
        <w:rPr>
          <w:color w:val="auto"/>
          <w:highlight w:val="none"/>
        </w:rPr>
      </w:pPr>
      <w:bookmarkStart w:id="151" w:name="_Toc3001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.投标保证金汇入情况说明格式</w:t>
      </w:r>
      <w:bookmarkEnd w:id="151"/>
    </w:p>
    <w:p w14:paraId="030CFE51">
      <w:pPr>
        <w:rPr>
          <w:color w:val="auto"/>
          <w:highlight w:val="none"/>
        </w:rPr>
      </w:pPr>
    </w:p>
    <w:p w14:paraId="0687D4C0">
      <w:pPr>
        <w:jc w:val="center"/>
        <w:rPr>
          <w:rFonts w:hint="eastAsia"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67688003">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广东政通招标有限公司</w:t>
      </w:r>
      <w:r>
        <w:rPr>
          <w:rFonts w:hint="eastAsia" w:ascii="宋体" w:hAnsi="宋体"/>
          <w:color w:val="auto"/>
          <w:szCs w:val="21"/>
          <w:highlight w:val="none"/>
        </w:rPr>
        <w:t>：</w:t>
      </w:r>
    </w:p>
    <w:p w14:paraId="6D7B41E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B3802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68A984B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3AA1DF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737A7A7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50311AC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1AA9B217">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66EC666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142A67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1684E037">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22C6E91B">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52FE40FA">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620176B1">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0DF20C83">
      <w:pPr>
        <w:spacing w:line="480" w:lineRule="auto"/>
        <w:rPr>
          <w:rFonts w:ascii="宋体" w:hAnsi="宋体"/>
          <w:color w:val="auto"/>
          <w:szCs w:val="21"/>
          <w:highlight w:val="none"/>
        </w:rPr>
      </w:pPr>
      <w:r>
        <w:rPr>
          <w:rFonts w:hint="eastAsia" w:ascii="宋体" w:hAnsi="宋体"/>
          <w:color w:val="auto"/>
          <w:szCs w:val="21"/>
          <w:highlight w:val="none"/>
        </w:rPr>
        <w:t>联系人：</w:t>
      </w:r>
    </w:p>
    <w:p w14:paraId="7EAEE648">
      <w:pPr>
        <w:spacing w:line="480" w:lineRule="auto"/>
        <w:rPr>
          <w:rFonts w:hint="eastAsia" w:ascii="宋体" w:hAnsi="宋体"/>
          <w:color w:val="auto"/>
          <w:szCs w:val="21"/>
          <w:highlight w:val="none"/>
        </w:rPr>
      </w:pPr>
      <w:r>
        <w:rPr>
          <w:rFonts w:hint="eastAsia" w:ascii="宋体" w:hAnsi="宋体"/>
          <w:color w:val="auto"/>
          <w:szCs w:val="21"/>
          <w:highlight w:val="none"/>
        </w:rPr>
        <w:t xml:space="preserve">单位电话： </w:t>
      </w:r>
    </w:p>
    <w:p w14:paraId="427A6BA4">
      <w:pPr>
        <w:spacing w:line="480" w:lineRule="auto"/>
        <w:rPr>
          <w:rFonts w:ascii="宋体" w:hAnsi="宋体"/>
          <w:color w:val="auto"/>
          <w:szCs w:val="21"/>
          <w:highlight w:val="none"/>
        </w:rPr>
      </w:pPr>
      <w:r>
        <w:rPr>
          <w:rFonts w:hint="eastAsia" w:ascii="宋体" w:hAnsi="宋体"/>
          <w:color w:val="auto"/>
          <w:szCs w:val="21"/>
          <w:highlight w:val="none"/>
        </w:rPr>
        <w:t>联系人手机：</w:t>
      </w:r>
    </w:p>
    <w:p w14:paraId="304B1F60">
      <w:pPr>
        <w:rPr>
          <w:rFonts w:ascii="宋体" w:hAnsi="宋体"/>
          <w:color w:val="auto"/>
          <w:szCs w:val="21"/>
          <w:highlight w:val="none"/>
        </w:rPr>
      </w:pPr>
    </w:p>
    <w:p w14:paraId="5CBC7DDA">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194A7354">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63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1B25BAEB">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73728D9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6B7C0216">
      <w:pPr>
        <w:rPr>
          <w:rFonts w:ascii="宋体" w:hAnsi="宋体"/>
          <w:color w:val="auto"/>
          <w:szCs w:val="21"/>
          <w:highlight w:val="none"/>
        </w:rPr>
      </w:pPr>
    </w:p>
    <w:p w14:paraId="2B889125">
      <w:pPr>
        <w:rPr>
          <w:rFonts w:ascii="宋体" w:hAnsi="宋体"/>
          <w:color w:val="auto"/>
          <w:szCs w:val="21"/>
          <w:highlight w:val="none"/>
        </w:rPr>
      </w:pPr>
    </w:p>
    <w:p w14:paraId="0F68EE4D">
      <w:pPr>
        <w:rPr>
          <w:rFonts w:ascii="宋体" w:hAnsi="宋体"/>
          <w:color w:val="auto"/>
          <w:szCs w:val="21"/>
          <w:highlight w:val="none"/>
        </w:rPr>
      </w:pPr>
    </w:p>
    <w:p w14:paraId="0947F1AB">
      <w:pPr>
        <w:rPr>
          <w:rFonts w:ascii="宋体" w:hAnsi="宋体"/>
          <w:color w:val="auto"/>
          <w:szCs w:val="21"/>
          <w:highlight w:val="none"/>
        </w:rPr>
      </w:pPr>
    </w:p>
    <w:p w14:paraId="5935D296">
      <w:pPr>
        <w:rPr>
          <w:rFonts w:ascii="宋体" w:hAnsi="宋体"/>
          <w:color w:val="auto"/>
          <w:szCs w:val="21"/>
          <w:highlight w:val="none"/>
        </w:rPr>
      </w:pPr>
    </w:p>
    <w:p w14:paraId="35202D7E">
      <w:pPr>
        <w:rPr>
          <w:rFonts w:ascii="宋体" w:hAnsi="宋体"/>
          <w:color w:val="auto"/>
          <w:szCs w:val="21"/>
          <w:highlight w:val="none"/>
        </w:rPr>
      </w:pPr>
    </w:p>
    <w:p w14:paraId="63994FE2">
      <w:pPr>
        <w:rPr>
          <w:rFonts w:ascii="宋体" w:hAnsi="宋体"/>
          <w:color w:val="auto"/>
          <w:szCs w:val="21"/>
          <w:highlight w:val="none"/>
        </w:rPr>
      </w:pPr>
    </w:p>
    <w:p w14:paraId="60759D2A">
      <w:pPr>
        <w:rPr>
          <w:rFonts w:ascii="宋体" w:hAnsi="宋体"/>
          <w:color w:val="auto"/>
          <w:szCs w:val="21"/>
          <w:highlight w:val="none"/>
        </w:rPr>
      </w:pPr>
    </w:p>
    <w:p w14:paraId="0658F98E">
      <w:pPr>
        <w:rPr>
          <w:rFonts w:ascii="宋体" w:hAnsi="宋体"/>
          <w:color w:val="auto"/>
          <w:szCs w:val="21"/>
          <w:highlight w:val="none"/>
        </w:rPr>
      </w:pPr>
    </w:p>
    <w:p w14:paraId="129E3A3C">
      <w:pPr>
        <w:rPr>
          <w:rFonts w:ascii="宋体" w:hAnsi="宋体"/>
          <w:color w:val="auto"/>
          <w:szCs w:val="21"/>
          <w:highlight w:val="none"/>
        </w:rPr>
      </w:pPr>
    </w:p>
    <w:p w14:paraId="5FB54CFB">
      <w:pPr>
        <w:rPr>
          <w:rFonts w:ascii="宋体" w:hAnsi="宋体"/>
          <w:color w:val="auto"/>
          <w:szCs w:val="21"/>
          <w:highlight w:val="none"/>
        </w:rPr>
      </w:pPr>
    </w:p>
    <w:p w14:paraId="6579E82D">
      <w:pPr>
        <w:rPr>
          <w:rFonts w:ascii="宋体" w:hAnsi="宋体"/>
          <w:color w:val="auto"/>
          <w:szCs w:val="21"/>
          <w:highlight w:val="none"/>
        </w:rPr>
      </w:pPr>
    </w:p>
    <w:p w14:paraId="3C535C3C">
      <w:pPr>
        <w:rPr>
          <w:rFonts w:ascii="宋体" w:hAnsi="宋体"/>
          <w:color w:val="auto"/>
          <w:szCs w:val="21"/>
          <w:highlight w:val="none"/>
        </w:rPr>
      </w:pPr>
    </w:p>
    <w:p w14:paraId="073DE801">
      <w:pPr>
        <w:rPr>
          <w:rFonts w:ascii="宋体" w:hAnsi="宋体"/>
          <w:color w:val="auto"/>
          <w:szCs w:val="21"/>
          <w:highlight w:val="none"/>
        </w:rPr>
      </w:pPr>
    </w:p>
    <w:p w14:paraId="66173EB6">
      <w:pPr>
        <w:rPr>
          <w:rFonts w:ascii="宋体" w:hAnsi="宋体"/>
          <w:color w:val="auto"/>
          <w:szCs w:val="21"/>
          <w:highlight w:val="none"/>
        </w:rPr>
      </w:pPr>
    </w:p>
    <w:p w14:paraId="4CE4BB5F">
      <w:pPr>
        <w:rPr>
          <w:rFonts w:ascii="宋体" w:hAnsi="宋体"/>
          <w:color w:val="auto"/>
          <w:szCs w:val="21"/>
          <w:highlight w:val="none"/>
        </w:rPr>
      </w:pPr>
    </w:p>
    <w:p w14:paraId="064E62C7">
      <w:pPr>
        <w:rPr>
          <w:rFonts w:ascii="宋体" w:hAnsi="宋体"/>
          <w:color w:val="auto"/>
          <w:szCs w:val="21"/>
          <w:highlight w:val="none"/>
        </w:rPr>
      </w:pPr>
    </w:p>
    <w:p w14:paraId="0BB47132">
      <w:pPr>
        <w:rPr>
          <w:rFonts w:ascii="宋体" w:hAnsi="宋体"/>
          <w:color w:val="auto"/>
          <w:szCs w:val="21"/>
          <w:highlight w:val="none"/>
        </w:rPr>
      </w:pPr>
    </w:p>
    <w:p w14:paraId="65956C6E">
      <w:pPr>
        <w:rPr>
          <w:rFonts w:ascii="宋体" w:hAnsi="宋体"/>
          <w:color w:val="auto"/>
          <w:szCs w:val="21"/>
          <w:highlight w:val="none"/>
        </w:rPr>
      </w:pPr>
    </w:p>
    <w:p w14:paraId="73CFD6F7">
      <w:pPr>
        <w:rPr>
          <w:rFonts w:ascii="宋体" w:hAnsi="宋体"/>
          <w:color w:val="auto"/>
          <w:szCs w:val="21"/>
          <w:highlight w:val="none"/>
        </w:rPr>
      </w:pPr>
    </w:p>
    <w:p w14:paraId="2483917A">
      <w:pPr>
        <w:rPr>
          <w:rFonts w:ascii="宋体" w:hAnsi="宋体"/>
          <w:color w:val="auto"/>
          <w:szCs w:val="21"/>
          <w:highlight w:val="none"/>
        </w:rPr>
      </w:pPr>
    </w:p>
    <w:p w14:paraId="7C5E331A">
      <w:pPr>
        <w:pStyle w:val="7"/>
        <w:numPr>
          <w:ilvl w:val="255"/>
          <w:numId w:val="0"/>
        </w:numPr>
        <w:tabs>
          <w:tab w:val="left" w:pos="720"/>
          <w:tab w:val="left" w:pos="3840"/>
        </w:tabs>
        <w:ind w:left="283"/>
        <w:jc w:val="both"/>
        <w:rPr>
          <w:rFonts w:hint="eastAsia" w:ascii="宋体" w:hAnsi="宋体"/>
          <w:color w:val="auto"/>
          <w:sz w:val="21"/>
          <w:szCs w:val="21"/>
          <w:highlight w:val="none"/>
        </w:rPr>
      </w:pPr>
      <w:bookmarkStart w:id="152" w:name="_Toc4866"/>
      <w:bookmarkStart w:id="153" w:name="_Toc2144"/>
      <w:bookmarkStart w:id="154" w:name="_Toc19947"/>
      <w:bookmarkStart w:id="155" w:name="_Toc20869"/>
      <w:bookmarkStart w:id="156" w:name="_Toc28623"/>
      <w:bookmarkStart w:id="157" w:name="_Toc14605"/>
      <w:bookmarkStart w:id="158" w:name="_Toc25861"/>
      <w:bookmarkStart w:id="159" w:name="_Toc17028"/>
      <w:bookmarkStart w:id="160" w:name="_Toc1562"/>
      <w:bookmarkStart w:id="161" w:name="_Toc29855"/>
      <w:bookmarkStart w:id="162" w:name="_Toc1829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.不可撤销履约保函</w:t>
      </w:r>
      <w:bookmarkEnd w:id="152"/>
      <w:bookmarkEnd w:id="153"/>
      <w:bookmarkEnd w:id="154"/>
      <w:bookmarkEnd w:id="155"/>
      <w:bookmarkEnd w:id="156"/>
      <w:bookmarkEnd w:id="157"/>
      <w:bookmarkEnd w:id="158"/>
      <w:bookmarkEnd w:id="159"/>
      <w:bookmarkEnd w:id="160"/>
      <w:bookmarkEnd w:id="161"/>
      <w:bookmarkEnd w:id="162"/>
    </w:p>
    <w:p w14:paraId="37DEDEF1">
      <w:pPr>
        <w:jc w:val="center"/>
        <w:rPr>
          <w:rFonts w:hint="eastAsia" w:ascii="黑体" w:eastAsia="黑体"/>
          <w:color w:val="auto"/>
          <w:sz w:val="28"/>
          <w:szCs w:val="28"/>
          <w:highlight w:val="none"/>
        </w:rPr>
      </w:pPr>
      <w:r>
        <w:rPr>
          <w:rFonts w:hint="eastAsia" w:ascii="黑体" w:eastAsia="黑体"/>
          <w:color w:val="auto"/>
          <w:sz w:val="28"/>
          <w:szCs w:val="28"/>
          <w:highlight w:val="none"/>
        </w:rPr>
        <w:t>不可撤销履约保函</w:t>
      </w:r>
    </w:p>
    <w:p w14:paraId="571DA0EC">
      <w:pPr>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银行编号：</w:t>
      </w:r>
    </w:p>
    <w:p w14:paraId="195D435E">
      <w:pP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14:paraId="3FB2AC6A">
      <w:pP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14:paraId="10F391DF">
      <w:pP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14:paraId="50B33944">
      <w:pP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14:paraId="4BA83BD1">
      <w:pP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14:paraId="45FE1190">
      <w:pP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14:paraId="24C534D0">
      <w:pPr>
        <w:ind w:firstLine="2824" w:firstLineChars="1345"/>
        <w:rPr>
          <w:rFonts w:ascii="宋体" w:hAnsi="宋体"/>
          <w:color w:val="auto"/>
          <w:highlight w:val="none"/>
        </w:rPr>
      </w:pPr>
    </w:p>
    <w:p w14:paraId="13D468AD">
      <w:pP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14:paraId="046AECE3">
      <w:pP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14:paraId="5AB94B4A">
      <w:pP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A6FA27D">
      <w:pP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14:paraId="2A659412">
      <w:pP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14:paraId="7802424C">
      <w:pPr>
        <w:pStyle w:val="11"/>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14:paraId="6E4BE1ED">
      <w:pPr>
        <w:rPr>
          <w:rFonts w:ascii="宋体" w:hAnsi="宋体"/>
          <w:color w:val="auto"/>
          <w:szCs w:val="21"/>
          <w:highlight w:val="none"/>
        </w:rPr>
      </w:pPr>
    </w:p>
    <w:p w14:paraId="4C40D1C4">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14:paraId="5AB07792">
      <w:pPr>
        <w:pStyle w:val="7"/>
        <w:numPr>
          <w:ilvl w:val="255"/>
          <w:numId w:val="0"/>
        </w:numPr>
        <w:tabs>
          <w:tab w:val="left" w:pos="720"/>
          <w:tab w:val="left" w:pos="3840"/>
        </w:tabs>
        <w:ind w:left="283"/>
        <w:jc w:val="both"/>
        <w:rPr>
          <w:rFonts w:ascii="宋体" w:hAnsi="宋体"/>
          <w:color w:val="auto"/>
          <w:sz w:val="21"/>
          <w:szCs w:val="21"/>
          <w:highlight w:val="none"/>
        </w:rPr>
      </w:pPr>
      <w:bookmarkStart w:id="163" w:name="_Toc1313"/>
      <w:bookmarkStart w:id="164" w:name="_Toc289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w:t>
      </w:r>
      <w:bookmarkEnd w:id="163"/>
      <w:r>
        <w:rPr>
          <w:rFonts w:hint="eastAsia" w:ascii="宋体" w:hAnsi="宋体"/>
          <w:color w:val="auto"/>
          <w:sz w:val="21"/>
          <w:szCs w:val="21"/>
          <w:highlight w:val="none"/>
        </w:rPr>
        <w:t>（适用于预付款支付）</w:t>
      </w:r>
      <w:bookmarkEnd w:id="164"/>
    </w:p>
    <w:p w14:paraId="6277B06D">
      <w:pPr>
        <w:pStyle w:val="11"/>
        <w:rPr>
          <w:color w:val="auto"/>
          <w:szCs w:val="24"/>
          <w:highlight w:val="none"/>
        </w:rPr>
      </w:pPr>
    </w:p>
    <w:p w14:paraId="5F240F62">
      <w:pPr>
        <w:jc w:val="center"/>
        <w:rPr>
          <w:rFonts w:hint="eastAsia" w:ascii="黑体" w:eastAsia="黑体"/>
          <w:color w:val="auto"/>
          <w:sz w:val="28"/>
          <w:szCs w:val="28"/>
          <w:highlight w:val="none"/>
        </w:rPr>
      </w:pPr>
      <w:bookmarkStart w:id="165" w:name="_Toc29728"/>
      <w:bookmarkStart w:id="166" w:name="_Toc25494"/>
      <w:bookmarkStart w:id="167" w:name="_Toc31418"/>
      <w:bookmarkStart w:id="168" w:name="_Toc1039"/>
      <w:bookmarkStart w:id="169" w:name="_Toc3295"/>
      <w:bookmarkStart w:id="170" w:name="_Toc7374"/>
      <w:bookmarkStart w:id="171" w:name="_Toc10719"/>
      <w:bookmarkStart w:id="172" w:name="_Toc6877"/>
      <w:bookmarkStart w:id="173" w:name="_Toc20669"/>
      <w:bookmarkStart w:id="174" w:name="_Toc27545"/>
      <w:bookmarkStart w:id="175" w:name="_Toc29054"/>
      <w:bookmarkStart w:id="176" w:name="_Toc10315"/>
      <w:r>
        <w:rPr>
          <w:rFonts w:hint="eastAsia" w:ascii="黑体" w:eastAsia="黑体"/>
          <w:color w:val="auto"/>
          <w:sz w:val="28"/>
          <w:szCs w:val="28"/>
          <w:highlight w:val="none"/>
        </w:rPr>
        <w:t>不可撤销预付款保函</w:t>
      </w:r>
      <w:bookmarkEnd w:id="165"/>
      <w:bookmarkEnd w:id="166"/>
      <w:bookmarkEnd w:id="167"/>
      <w:bookmarkEnd w:id="168"/>
      <w:bookmarkEnd w:id="169"/>
      <w:bookmarkEnd w:id="170"/>
      <w:bookmarkEnd w:id="171"/>
      <w:bookmarkEnd w:id="172"/>
      <w:bookmarkEnd w:id="173"/>
      <w:bookmarkEnd w:id="174"/>
      <w:bookmarkEnd w:id="175"/>
      <w:bookmarkEnd w:id="176"/>
    </w:p>
    <w:p w14:paraId="5AAA3B1A">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14:paraId="6772548A">
      <w:pPr>
        <w:ind w:firstLine="6300"/>
        <w:rPr>
          <w:color w:val="auto"/>
          <w:szCs w:val="21"/>
          <w:highlight w:val="none"/>
        </w:rPr>
      </w:pPr>
    </w:p>
    <w:p w14:paraId="2F22AEB4">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14:paraId="59B61BAF">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14:paraId="50AFC829">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14:paraId="643341F0">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64FB5EAE">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342CED6F">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14:paraId="1434FE91">
      <w:pPr>
        <w:rPr>
          <w:rFonts w:ascii="宋体" w:hAnsi="宋体"/>
          <w:color w:val="auto"/>
          <w:szCs w:val="21"/>
          <w:highlight w:val="none"/>
        </w:rPr>
      </w:pPr>
    </w:p>
    <w:p w14:paraId="2FC12320">
      <w:pPr>
        <w:ind w:firstLine="437"/>
        <w:rPr>
          <w:rFonts w:ascii="宋体" w:hAnsi="宋体"/>
          <w:color w:val="auto"/>
          <w:szCs w:val="21"/>
          <w:highlight w:val="none"/>
        </w:rPr>
      </w:pPr>
    </w:p>
    <w:p w14:paraId="7BFF5899">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14:paraId="33FF2939">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14:paraId="5CC3C8A1">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1642CDD0">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5042FDDC">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7CEB78F8">
      <w:pPr>
        <w:pStyle w:val="11"/>
        <w:rPr>
          <w:color w:val="auto"/>
          <w:szCs w:val="21"/>
          <w:highlight w:val="none"/>
        </w:rPr>
      </w:pPr>
    </w:p>
    <w:p w14:paraId="660ABEDE">
      <w:pPr>
        <w:pStyle w:val="11"/>
        <w:rPr>
          <w:color w:val="auto"/>
          <w:szCs w:val="21"/>
          <w:highlight w:val="none"/>
        </w:rPr>
      </w:pPr>
    </w:p>
    <w:p w14:paraId="01760AA9">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14:paraId="77B603EA">
      <w:pPr>
        <w:rPr>
          <w:rFonts w:ascii="宋体" w:hAnsi="宋体" w:cs="宋体"/>
          <w:color w:val="auto"/>
          <w:szCs w:val="21"/>
          <w:highlight w:val="none"/>
        </w:rPr>
      </w:pPr>
    </w:p>
    <w:p w14:paraId="43EBB4DA">
      <w:pPr>
        <w:pStyle w:val="37"/>
        <w:rPr>
          <w:color w:val="auto"/>
        </w:rPr>
        <w:sectPr>
          <w:pgSz w:w="11906" w:h="16838"/>
          <w:pgMar w:top="1440" w:right="1800" w:bottom="1440" w:left="1800" w:header="708" w:footer="708" w:gutter="0"/>
          <w:pgNumType w:fmt="decimal"/>
          <w:cols w:space="708" w:num="1"/>
          <w:titlePg/>
          <w:docGrid w:type="lines" w:linePitch="360" w:charSpace="0"/>
        </w:sectPr>
      </w:pPr>
    </w:p>
    <w:p w14:paraId="3D7EB73D">
      <w:pPr>
        <w:jc w:val="center"/>
        <w:outlineLvl w:val="1"/>
        <w:rPr>
          <w:rFonts w:eastAsia="黑体"/>
          <w:color w:val="auto"/>
          <w:sz w:val="72"/>
          <w:szCs w:val="72"/>
          <w:highlight w:val="none"/>
        </w:rPr>
      </w:pPr>
      <w:bookmarkStart w:id="177" w:name="_Toc30282"/>
      <w:r>
        <w:rPr>
          <w:rFonts w:hint="eastAsia" w:eastAsia="黑体"/>
          <w:color w:val="auto"/>
          <w:sz w:val="72"/>
          <w:szCs w:val="72"/>
          <w:highlight w:val="none"/>
        </w:rPr>
        <w:t>唱标信封</w:t>
      </w:r>
      <w:bookmarkEnd w:id="177"/>
    </w:p>
    <w:p w14:paraId="0235A025">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55F62204">
      <w:pPr>
        <w:rPr>
          <w:color w:val="auto"/>
          <w:highlight w:val="none"/>
        </w:rPr>
      </w:pPr>
    </w:p>
    <w:p w14:paraId="2CA43426">
      <w:pPr>
        <w:pStyle w:val="3"/>
        <w:rPr>
          <w:color w:val="auto"/>
          <w:highlight w:val="none"/>
        </w:rPr>
      </w:pPr>
    </w:p>
    <w:p w14:paraId="4B844692">
      <w:pPr>
        <w:pStyle w:val="2"/>
        <w:ind w:firstLine="240"/>
        <w:rPr>
          <w:color w:val="auto"/>
          <w:highlight w:val="none"/>
        </w:rPr>
      </w:pPr>
    </w:p>
    <w:p w14:paraId="50F6F9F2">
      <w:pPr>
        <w:pStyle w:val="2"/>
        <w:ind w:firstLine="240"/>
        <w:rPr>
          <w:color w:val="auto"/>
          <w:highlight w:val="none"/>
        </w:rPr>
      </w:pPr>
    </w:p>
    <w:p w14:paraId="651BD726">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180E24DF">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20F79032">
      <w:pPr>
        <w:pStyle w:val="3"/>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4CC1322E">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73FB5DF8">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3399160A">
      <w:pPr>
        <w:rPr>
          <w:rFonts w:ascii="宋体" w:hAnsi="宋体"/>
          <w:color w:val="auto"/>
          <w:szCs w:val="21"/>
          <w:highlight w:val="none"/>
        </w:rPr>
      </w:pPr>
      <w:r>
        <w:rPr>
          <w:rFonts w:hint="eastAsia" w:ascii="宋体" w:hAnsi="宋体"/>
          <w:color w:val="auto"/>
          <w:szCs w:val="21"/>
          <w:highlight w:val="none"/>
        </w:rPr>
        <w:br w:type="page"/>
      </w:r>
    </w:p>
    <w:p w14:paraId="153EDF01">
      <w:pPr>
        <w:pStyle w:val="7"/>
        <w:numPr>
          <w:ilvl w:val="255"/>
          <w:numId w:val="0"/>
        </w:numPr>
        <w:tabs>
          <w:tab w:val="left" w:pos="720"/>
          <w:tab w:val="left" w:pos="3840"/>
        </w:tabs>
        <w:ind w:left="283"/>
        <w:jc w:val="both"/>
        <w:rPr>
          <w:rFonts w:ascii="宋体" w:hAnsi="宋体"/>
          <w:color w:val="auto"/>
          <w:sz w:val="21"/>
          <w:szCs w:val="21"/>
          <w:highlight w:val="none"/>
        </w:rPr>
      </w:pPr>
      <w:bookmarkStart w:id="178" w:name="_Toc3057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178"/>
    </w:p>
    <w:p w14:paraId="29539058">
      <w:pPr>
        <w:numPr>
          <w:ilvl w:val="0"/>
          <w:numId w:val="0"/>
        </w:numP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一、</w:t>
      </w:r>
      <w:r>
        <w:rPr>
          <w:rFonts w:hint="eastAsia" w:hAnsi="宋体"/>
          <w:color w:val="auto"/>
          <w:szCs w:val="21"/>
          <w:highlight w:val="none"/>
        </w:rPr>
        <w:t>开标一览表加盖公章；</w:t>
      </w:r>
    </w:p>
    <w:p w14:paraId="5FBB153F">
      <w:pPr>
        <w:numPr>
          <w:ilvl w:val="0"/>
          <w:numId w:val="0"/>
        </w:numP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二、</w:t>
      </w:r>
      <w:r>
        <w:rPr>
          <w:rFonts w:hint="eastAsia" w:hAnsi="宋体"/>
          <w:color w:val="auto"/>
          <w:szCs w:val="21"/>
          <w:highlight w:val="none"/>
        </w:rPr>
        <w:t>法定代表人证明书加盖公章；</w:t>
      </w:r>
    </w:p>
    <w:p w14:paraId="5BCE831C">
      <w:pPr>
        <w:numPr>
          <w:ilvl w:val="0"/>
          <w:numId w:val="0"/>
        </w:numP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三、</w:t>
      </w:r>
      <w:r>
        <w:rPr>
          <w:rFonts w:hint="eastAsia" w:hAnsi="宋体"/>
          <w:color w:val="auto"/>
          <w:szCs w:val="21"/>
          <w:highlight w:val="none"/>
        </w:rPr>
        <w:t>法定代表人授权委托书加盖公章（法定代表人投标的除外）；</w:t>
      </w:r>
    </w:p>
    <w:p w14:paraId="1362F4E5">
      <w:pPr>
        <w:numPr>
          <w:ilvl w:val="0"/>
          <w:numId w:val="0"/>
        </w:numP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四、</w:t>
      </w:r>
      <w:r>
        <w:rPr>
          <w:rFonts w:hint="eastAsia" w:hAnsi="宋体"/>
          <w:color w:val="auto"/>
          <w:szCs w:val="21"/>
          <w:highlight w:val="none"/>
        </w:rPr>
        <w:t>投标保证金汇入情况说明（含银行汇款凭证）或投标保函加盖公章；</w:t>
      </w:r>
    </w:p>
    <w:p w14:paraId="1D582FA6">
      <w:pPr>
        <w:numPr>
          <w:ilvl w:val="0"/>
          <w:numId w:val="0"/>
        </w:numPr>
        <w:ind w:left="0" w:leftChars="0" w:firstLine="420" w:firstLineChars="200"/>
        <w:rPr>
          <w:rFonts w:hint="eastAsia" w:hAnsi="宋体"/>
          <w:color w:val="auto"/>
          <w:szCs w:val="21"/>
          <w:highlight w:val="none"/>
        </w:rPr>
      </w:pPr>
      <w:r>
        <w:rPr>
          <w:rFonts w:hint="eastAsia" w:ascii="Tahoma" w:hAnsi="宋体" w:eastAsia="宋体" w:cstheme="minorBidi"/>
          <w:color w:val="auto"/>
          <w:sz w:val="21"/>
          <w:szCs w:val="21"/>
          <w:highlight w:val="none"/>
          <w:lang w:val="en-US" w:eastAsia="zh-CN" w:bidi="ar-SA"/>
        </w:rPr>
        <w:t>五、</w:t>
      </w:r>
      <w:r>
        <w:rPr>
          <w:rFonts w:hint="eastAsia" w:hAnsi="宋体"/>
          <w:color w:val="auto"/>
          <w:szCs w:val="21"/>
          <w:highlight w:val="none"/>
        </w:rPr>
        <w:t>投标文件电子文件（U盘，须含盖章版PDF投标文件和WORD版投标文件各一版，文字采用WORD文档，计算表格采用 EXCEL文档。）</w:t>
      </w:r>
    </w:p>
    <w:p w14:paraId="334DE4AF">
      <w:pPr>
        <w:bidi w:val="0"/>
        <w:rPr>
          <w:rFonts w:hint="eastAsia"/>
          <w:color w:val="auto"/>
        </w:rPr>
      </w:pPr>
    </w:p>
    <w:p w14:paraId="518AC493">
      <w:pPr>
        <w:bidi w:val="0"/>
        <w:rPr>
          <w:rFonts w:hint="eastAsia"/>
          <w:color w:val="auto"/>
        </w:rPr>
      </w:pPr>
    </w:p>
    <w:p w14:paraId="7BFCCC43">
      <w:pPr>
        <w:bidi w:val="0"/>
        <w:rPr>
          <w:rFonts w:hint="eastAsia"/>
          <w:color w:val="auto"/>
        </w:rPr>
      </w:pPr>
    </w:p>
    <w:p w14:paraId="3C9CF613">
      <w:pPr>
        <w:bidi w:val="0"/>
        <w:rPr>
          <w:rFonts w:hint="eastAsia"/>
          <w:color w:val="auto"/>
        </w:rPr>
      </w:pPr>
    </w:p>
    <w:p w14:paraId="59769F1F">
      <w:pPr>
        <w:bidi w:val="0"/>
        <w:rPr>
          <w:rFonts w:hint="eastAsia"/>
          <w:color w:val="auto"/>
        </w:rPr>
      </w:pPr>
    </w:p>
    <w:p w14:paraId="595B15C8">
      <w:pPr>
        <w:bidi w:val="0"/>
        <w:rPr>
          <w:rFonts w:hint="eastAsia"/>
          <w:color w:val="auto"/>
        </w:rPr>
      </w:pPr>
    </w:p>
    <w:p w14:paraId="5D83A3CC">
      <w:pPr>
        <w:bidi w:val="0"/>
        <w:rPr>
          <w:rFonts w:hint="eastAsia"/>
          <w:color w:val="auto"/>
        </w:rPr>
      </w:pPr>
    </w:p>
    <w:p w14:paraId="7247DCE9">
      <w:pPr>
        <w:bidi w:val="0"/>
        <w:rPr>
          <w:rFonts w:hint="eastAsia"/>
          <w:color w:val="auto"/>
        </w:rPr>
      </w:pPr>
    </w:p>
    <w:p w14:paraId="039B5F30">
      <w:pPr>
        <w:bidi w:val="0"/>
        <w:rPr>
          <w:rFonts w:hint="eastAsia"/>
          <w:color w:val="auto"/>
        </w:rPr>
      </w:pPr>
    </w:p>
    <w:p w14:paraId="62E8E4A4">
      <w:pPr>
        <w:bidi w:val="0"/>
        <w:rPr>
          <w:rFonts w:hint="eastAsia"/>
          <w:color w:val="auto"/>
        </w:rPr>
      </w:pPr>
    </w:p>
    <w:p w14:paraId="56205962">
      <w:pPr>
        <w:bidi w:val="0"/>
        <w:rPr>
          <w:rFonts w:hint="eastAsia"/>
          <w:color w:val="auto"/>
        </w:rPr>
      </w:pPr>
    </w:p>
    <w:p w14:paraId="6C75ED3C">
      <w:pPr>
        <w:bidi w:val="0"/>
        <w:rPr>
          <w:rFonts w:hint="eastAsia"/>
          <w:color w:val="auto"/>
        </w:rPr>
      </w:pPr>
    </w:p>
    <w:p w14:paraId="2295D40D">
      <w:pPr>
        <w:bidi w:val="0"/>
        <w:rPr>
          <w:rFonts w:hint="eastAsia"/>
          <w:color w:val="auto"/>
        </w:rPr>
      </w:pPr>
    </w:p>
    <w:p w14:paraId="01F1DE0B">
      <w:pPr>
        <w:bidi w:val="0"/>
        <w:rPr>
          <w:rFonts w:hint="eastAsia"/>
          <w:color w:val="auto"/>
        </w:rPr>
      </w:pPr>
    </w:p>
    <w:p w14:paraId="0E859A39">
      <w:pPr>
        <w:bidi w:val="0"/>
        <w:rPr>
          <w:rFonts w:hint="eastAsia"/>
          <w:color w:val="auto"/>
        </w:rPr>
      </w:pPr>
    </w:p>
    <w:p w14:paraId="531AFED5">
      <w:pPr>
        <w:bidi w:val="0"/>
        <w:rPr>
          <w:rFonts w:hint="eastAsia"/>
          <w:color w:val="auto"/>
        </w:rPr>
      </w:pPr>
    </w:p>
    <w:p w14:paraId="5F8231B4">
      <w:pPr>
        <w:bidi w:val="0"/>
        <w:rPr>
          <w:rFonts w:hint="eastAsia"/>
          <w:color w:val="auto"/>
        </w:rPr>
      </w:pPr>
    </w:p>
    <w:p w14:paraId="652B92B1">
      <w:pPr>
        <w:bidi w:val="0"/>
        <w:rPr>
          <w:rFonts w:hint="eastAsia"/>
          <w:color w:val="auto"/>
        </w:rPr>
      </w:pPr>
    </w:p>
    <w:p w14:paraId="6505EFFB">
      <w:pPr>
        <w:bidi w:val="0"/>
        <w:rPr>
          <w:rFonts w:hint="eastAsia"/>
          <w:color w:val="auto"/>
        </w:rPr>
      </w:pPr>
    </w:p>
    <w:p w14:paraId="70BC3508">
      <w:pPr>
        <w:bidi w:val="0"/>
        <w:rPr>
          <w:rFonts w:hint="eastAsia"/>
          <w:color w:val="auto"/>
        </w:rPr>
      </w:pPr>
    </w:p>
    <w:p w14:paraId="45C4CEB5">
      <w:pPr>
        <w:bidi w:val="0"/>
        <w:rPr>
          <w:rFonts w:hint="eastAsia"/>
          <w:color w:val="auto"/>
        </w:rPr>
      </w:pPr>
    </w:p>
    <w:p w14:paraId="7ADF6E6C">
      <w:pPr>
        <w:bidi w:val="0"/>
        <w:rPr>
          <w:rFonts w:hint="eastAsia"/>
          <w:color w:val="auto"/>
        </w:rPr>
      </w:pPr>
    </w:p>
    <w:p w14:paraId="447A4B94">
      <w:pPr>
        <w:bidi w:val="0"/>
        <w:rPr>
          <w:rFonts w:hint="eastAsia"/>
          <w:color w:val="auto"/>
        </w:rPr>
      </w:pPr>
    </w:p>
    <w:p w14:paraId="5289524B">
      <w:pPr>
        <w:bidi w:val="0"/>
        <w:rPr>
          <w:rFonts w:hint="eastAsia"/>
          <w:color w:val="auto"/>
        </w:rPr>
      </w:pPr>
    </w:p>
    <w:p w14:paraId="7FFDE50C">
      <w:pPr>
        <w:bidi w:val="0"/>
        <w:rPr>
          <w:rFonts w:hint="eastAsia"/>
          <w:color w:val="auto"/>
        </w:rPr>
      </w:pPr>
    </w:p>
    <w:p w14:paraId="1D3852FC">
      <w:pPr>
        <w:bidi w:val="0"/>
        <w:rPr>
          <w:rFonts w:hint="eastAsia"/>
          <w:color w:val="auto"/>
        </w:rPr>
      </w:pPr>
    </w:p>
    <w:p w14:paraId="50818961">
      <w:pPr>
        <w:bidi w:val="0"/>
        <w:rPr>
          <w:rFonts w:hint="eastAsia"/>
          <w:color w:val="auto"/>
        </w:rPr>
      </w:pPr>
    </w:p>
    <w:p w14:paraId="4708B2A5">
      <w:pPr>
        <w:bidi w:val="0"/>
        <w:rPr>
          <w:rFonts w:hint="eastAsia"/>
          <w:color w:val="auto"/>
        </w:rPr>
      </w:pPr>
    </w:p>
    <w:p w14:paraId="782DA844">
      <w:pPr>
        <w:rPr>
          <w:rFonts w:ascii="宋体" w:hAnsi="宋体" w:cs="宋体"/>
          <w:color w:val="auto"/>
          <w:szCs w:val="21"/>
          <w:highlight w:val="none"/>
        </w:rPr>
      </w:pPr>
    </w:p>
    <w:sectPr>
      <w:pgSz w:w="11906" w:h="16838"/>
      <w:pgMar w:top="1440" w:right="1800" w:bottom="1440" w:left="1800" w:header="708" w:footer="708"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9A0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6378">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86378">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96AA">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3219D">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A3219D">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D7CF5">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DBD7CF5">
                    <w:pPr>
                      <w:pStyle w:val="17"/>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335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a:effectLst/>
                    </wps:spPr>
                    <wps:txbx>
                      <w:txbxContent>
                        <w:p w14:paraId="313DD8B0">
                          <w:pPr>
                            <w:pStyle w:val="17"/>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3.65pt;mso-position-horizontal:center;mso-position-horizontal-relative:margin;z-index:251661312;mso-width-relative:page;mso-height-relative:page;" filled="f" stroked="f" coordsize="21600,21600" o:gfxdata="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crsfdMAAAAEAQAADwAAAAAAAAABACAAAAAiAAAAZHJzL2Rvd25yZXYu&#10;eG1sUEsBAhQAFAAAAAgAh07iQCr2LMk5AgAAZAQAAA4AAAAAAAAAAQAgAAAAIgEAAGRycy9lMm9E&#10;b2MueG1sUEsFBgAAAAAGAAYAWQEAAM0FAAAAAA==&#10;">
              <v:fill on="f" focussize="0,0"/>
              <v:stroke on="f" weight="0.5pt"/>
              <v:imagedata o:title=""/>
              <o:lock v:ext="edit" aspectratio="f"/>
              <v:textbox inset="0mm,0mm,0mm,0mm" style="mso-fit-shape-to-text:t;">
                <w:txbxContent>
                  <w:p w14:paraId="313DD8B0">
                    <w:pPr>
                      <w:pStyle w:val="1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EE90BE">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AEE90BE">
                    <w:pPr>
                      <w:pStyle w:val="17"/>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2854325</wp:posOffset>
              </wp:positionH>
              <wp:positionV relativeFrom="paragraph">
                <wp:posOffset>7620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84F57">
                          <w:pPr>
                            <w:tabs>
                              <w:tab w:val="center" w:pos="4153"/>
                              <w:tab w:val="right" w:pos="8306"/>
                            </w:tabs>
                            <w:snapToGrid w:val="0"/>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5pt;margin-top:0.6pt;height:144pt;width:144pt;mso-position-horizontal-relative:margin;mso-wrap-style:none;z-index:251659264;mso-width-relative:page;mso-height-relative:page;" filled="f" stroked="f" coordsize="21600,21600" o:gfxdata="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jo221gAAAAkBAAAPAAAAAAAAAAEAIAAAACIAAABkcnMvZG93bnJldi54bWxQ&#10;SwECFAAUAAAACACHTuJA2Zxg5DICAABjBAAADgAAAAAAAAABACAAAAAlAQAAZHJzL2Uyb0RvYy54&#10;bWxQSwUGAAAAAAYABgBZAQAAyQUAAAAA&#10;">
              <v:fill on="f" focussize="0,0"/>
              <v:stroke on="f" weight="0.5pt"/>
              <v:imagedata o:title=""/>
              <o:lock v:ext="edit" aspectratio="f"/>
              <v:textbox inset="0mm,0mm,0mm,0mm" style="mso-fit-shape-to-text:t;">
                <w:txbxContent>
                  <w:p w14:paraId="1A084F57">
                    <w:pPr>
                      <w:tabs>
                        <w:tab w:val="center" w:pos="4153"/>
                        <w:tab w:val="right" w:pos="8306"/>
                      </w:tabs>
                      <w:snapToGrid w:val="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FC1F">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AF05A">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CAF05A">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7672">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C1F26">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1C1F26">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97</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2ED0">
    <w:pPr>
      <w:tabs>
        <w:tab w:val="center" w:pos="4153"/>
        <w:tab w:val="right" w:pos="8306"/>
      </w:tabs>
      <w:snapToGrid w:val="0"/>
      <w:ind w:right="36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710D">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C934">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A436552"/>
    <w:multiLevelType w:val="singleLevel"/>
    <w:tmpl w:val="CA436552"/>
    <w:lvl w:ilvl="0" w:tentative="0">
      <w:start w:val="1"/>
      <w:numFmt w:val="decimal"/>
      <w:lvlText w:val="%1."/>
      <w:lvlJc w:val="left"/>
      <w:pPr>
        <w:tabs>
          <w:tab w:val="left" w:pos="312"/>
        </w:tabs>
      </w:pPr>
    </w:lvl>
  </w:abstractNum>
  <w:abstractNum w:abstractNumId="2">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CFF174A5"/>
    <w:multiLevelType w:val="singleLevel"/>
    <w:tmpl w:val="CFF174A5"/>
    <w:lvl w:ilvl="0" w:tentative="0">
      <w:start w:val="1"/>
      <w:numFmt w:val="decimal"/>
      <w:suff w:val="nothing"/>
      <w:lvlText w:val="%1、"/>
      <w:lvlJc w:val="left"/>
    </w:lvl>
  </w:abstractNum>
  <w:abstractNum w:abstractNumId="4">
    <w:nsid w:val="D0047B7E"/>
    <w:multiLevelType w:val="singleLevel"/>
    <w:tmpl w:val="D0047B7E"/>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FF50ADC"/>
    <w:multiLevelType w:val="singleLevel"/>
    <w:tmpl w:val="0FF50ADC"/>
    <w:lvl w:ilvl="0" w:tentative="0">
      <w:start w:val="2"/>
      <w:numFmt w:val="decimal"/>
      <w:suff w:val="nothing"/>
      <w:lvlText w:val="%1、"/>
      <w:lvlJc w:val="left"/>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6"/>
  </w:num>
  <w:num w:numId="2">
    <w:abstractNumId w:val="10"/>
  </w:num>
  <w:num w:numId="3">
    <w:abstractNumId w:val="8"/>
  </w:num>
  <w:num w:numId="4">
    <w:abstractNumId w:val="12"/>
  </w:num>
  <w:num w:numId="5">
    <w:abstractNumId w:val="9"/>
  </w:num>
  <w:num w:numId="6">
    <w:abstractNumId w:val="0"/>
  </w:num>
  <w:num w:numId="7">
    <w:abstractNumId w:val="2"/>
  </w:num>
  <w:num w:numId="8">
    <w:abstractNumId w:val="3"/>
  </w:num>
  <w:num w:numId="9">
    <w:abstractNumId w:val="1"/>
  </w:num>
  <w:num w:numId="10">
    <w:abstractNumId w:val="5"/>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020B5"/>
    <w:rsid w:val="028B6D36"/>
    <w:rsid w:val="02985CD5"/>
    <w:rsid w:val="02A741FD"/>
    <w:rsid w:val="02B77F75"/>
    <w:rsid w:val="02C16E5D"/>
    <w:rsid w:val="02D964CF"/>
    <w:rsid w:val="02DE5ECF"/>
    <w:rsid w:val="02E74073"/>
    <w:rsid w:val="02F713C2"/>
    <w:rsid w:val="03080482"/>
    <w:rsid w:val="0367744E"/>
    <w:rsid w:val="03707410"/>
    <w:rsid w:val="039240A3"/>
    <w:rsid w:val="0395757D"/>
    <w:rsid w:val="03A0770F"/>
    <w:rsid w:val="03A448B8"/>
    <w:rsid w:val="03C01631"/>
    <w:rsid w:val="03C656A9"/>
    <w:rsid w:val="03C84DE9"/>
    <w:rsid w:val="03F33148"/>
    <w:rsid w:val="040A0C7C"/>
    <w:rsid w:val="042F3419"/>
    <w:rsid w:val="044566F3"/>
    <w:rsid w:val="044841D6"/>
    <w:rsid w:val="047B4012"/>
    <w:rsid w:val="047F2DDF"/>
    <w:rsid w:val="04815FBF"/>
    <w:rsid w:val="04822497"/>
    <w:rsid w:val="04974587"/>
    <w:rsid w:val="04DF1036"/>
    <w:rsid w:val="0599183C"/>
    <w:rsid w:val="05A97DEC"/>
    <w:rsid w:val="05B23978"/>
    <w:rsid w:val="05C81981"/>
    <w:rsid w:val="060C3203"/>
    <w:rsid w:val="065A6D82"/>
    <w:rsid w:val="069B4E4A"/>
    <w:rsid w:val="06BC41F2"/>
    <w:rsid w:val="06F415CC"/>
    <w:rsid w:val="070E26CD"/>
    <w:rsid w:val="07197D08"/>
    <w:rsid w:val="071E5C55"/>
    <w:rsid w:val="075C1FE5"/>
    <w:rsid w:val="076B4CB0"/>
    <w:rsid w:val="077005AB"/>
    <w:rsid w:val="078F4581"/>
    <w:rsid w:val="079529C6"/>
    <w:rsid w:val="07BF027F"/>
    <w:rsid w:val="08031A31"/>
    <w:rsid w:val="08307C7E"/>
    <w:rsid w:val="08420CAE"/>
    <w:rsid w:val="08565056"/>
    <w:rsid w:val="08574B3D"/>
    <w:rsid w:val="08E0126D"/>
    <w:rsid w:val="08E352B9"/>
    <w:rsid w:val="09061A75"/>
    <w:rsid w:val="09182241"/>
    <w:rsid w:val="094535C9"/>
    <w:rsid w:val="095F1030"/>
    <w:rsid w:val="09855177"/>
    <w:rsid w:val="09EE5125"/>
    <w:rsid w:val="0A2522FD"/>
    <w:rsid w:val="0A327478"/>
    <w:rsid w:val="0A462748"/>
    <w:rsid w:val="0A4D0C81"/>
    <w:rsid w:val="0A723E95"/>
    <w:rsid w:val="0A733243"/>
    <w:rsid w:val="0A846743"/>
    <w:rsid w:val="0A873F23"/>
    <w:rsid w:val="0AA534D5"/>
    <w:rsid w:val="0AA650EB"/>
    <w:rsid w:val="0AA7129C"/>
    <w:rsid w:val="0AE26205"/>
    <w:rsid w:val="0AF47339"/>
    <w:rsid w:val="0B22594B"/>
    <w:rsid w:val="0B27506F"/>
    <w:rsid w:val="0B7C0EF6"/>
    <w:rsid w:val="0B9610F4"/>
    <w:rsid w:val="0B99757D"/>
    <w:rsid w:val="0BBF77A4"/>
    <w:rsid w:val="0BD16C8D"/>
    <w:rsid w:val="0BDF26F7"/>
    <w:rsid w:val="0C027DB2"/>
    <w:rsid w:val="0C2B4952"/>
    <w:rsid w:val="0C322F8A"/>
    <w:rsid w:val="0C371C4D"/>
    <w:rsid w:val="0C4607E5"/>
    <w:rsid w:val="0C516C55"/>
    <w:rsid w:val="0C5B224D"/>
    <w:rsid w:val="0C7B2220"/>
    <w:rsid w:val="0CB67D83"/>
    <w:rsid w:val="0CD20599"/>
    <w:rsid w:val="0CE53018"/>
    <w:rsid w:val="0D0B5B12"/>
    <w:rsid w:val="0D133046"/>
    <w:rsid w:val="0D153F28"/>
    <w:rsid w:val="0D1C792E"/>
    <w:rsid w:val="0D3A0F98"/>
    <w:rsid w:val="0D6A4502"/>
    <w:rsid w:val="0D7415CA"/>
    <w:rsid w:val="0D890E47"/>
    <w:rsid w:val="0DC64A00"/>
    <w:rsid w:val="0DEB5FFA"/>
    <w:rsid w:val="0DF67134"/>
    <w:rsid w:val="0DF75C46"/>
    <w:rsid w:val="0DFC60BA"/>
    <w:rsid w:val="0E1C06B2"/>
    <w:rsid w:val="0E69691B"/>
    <w:rsid w:val="0EBB5484"/>
    <w:rsid w:val="0EBD5AA3"/>
    <w:rsid w:val="0F407E8F"/>
    <w:rsid w:val="0F5723EF"/>
    <w:rsid w:val="0F5F5360"/>
    <w:rsid w:val="0F62549F"/>
    <w:rsid w:val="0F7C5FF6"/>
    <w:rsid w:val="0F7D04FC"/>
    <w:rsid w:val="0FB33CD1"/>
    <w:rsid w:val="0FBA6BA4"/>
    <w:rsid w:val="0FC63FBD"/>
    <w:rsid w:val="0FC80216"/>
    <w:rsid w:val="0FDD003F"/>
    <w:rsid w:val="0FDE0E56"/>
    <w:rsid w:val="0FF87EA4"/>
    <w:rsid w:val="0FFF7484"/>
    <w:rsid w:val="10066939"/>
    <w:rsid w:val="100B77ED"/>
    <w:rsid w:val="101D47AD"/>
    <w:rsid w:val="102107C5"/>
    <w:rsid w:val="10305890"/>
    <w:rsid w:val="103D5A1A"/>
    <w:rsid w:val="105847E5"/>
    <w:rsid w:val="106C564D"/>
    <w:rsid w:val="106E0AED"/>
    <w:rsid w:val="107B7B8F"/>
    <w:rsid w:val="107C67CE"/>
    <w:rsid w:val="10912D03"/>
    <w:rsid w:val="109D68CB"/>
    <w:rsid w:val="10A949B8"/>
    <w:rsid w:val="10AB5D61"/>
    <w:rsid w:val="11144AFE"/>
    <w:rsid w:val="11200D07"/>
    <w:rsid w:val="115E03E3"/>
    <w:rsid w:val="115E7F60"/>
    <w:rsid w:val="11722BAE"/>
    <w:rsid w:val="11786AB5"/>
    <w:rsid w:val="118049D4"/>
    <w:rsid w:val="118561F8"/>
    <w:rsid w:val="11942D84"/>
    <w:rsid w:val="11B21219"/>
    <w:rsid w:val="11DA73AF"/>
    <w:rsid w:val="11FC1ECD"/>
    <w:rsid w:val="124D097B"/>
    <w:rsid w:val="12511265"/>
    <w:rsid w:val="126D4818"/>
    <w:rsid w:val="1283614B"/>
    <w:rsid w:val="12856FF3"/>
    <w:rsid w:val="129671FB"/>
    <w:rsid w:val="12A576FF"/>
    <w:rsid w:val="12C60D80"/>
    <w:rsid w:val="130523B3"/>
    <w:rsid w:val="131F7A3A"/>
    <w:rsid w:val="132645D0"/>
    <w:rsid w:val="133D4061"/>
    <w:rsid w:val="13455ABC"/>
    <w:rsid w:val="136E3406"/>
    <w:rsid w:val="1370322B"/>
    <w:rsid w:val="13BA0460"/>
    <w:rsid w:val="13BB41AE"/>
    <w:rsid w:val="13C24F9B"/>
    <w:rsid w:val="13C45A18"/>
    <w:rsid w:val="13C9247B"/>
    <w:rsid w:val="13D6515C"/>
    <w:rsid w:val="13F13CC6"/>
    <w:rsid w:val="143B2E0B"/>
    <w:rsid w:val="14725FF6"/>
    <w:rsid w:val="147C1943"/>
    <w:rsid w:val="148054E9"/>
    <w:rsid w:val="14892735"/>
    <w:rsid w:val="14CC769D"/>
    <w:rsid w:val="14D764D5"/>
    <w:rsid w:val="14EF61BF"/>
    <w:rsid w:val="14F43330"/>
    <w:rsid w:val="150F7FEC"/>
    <w:rsid w:val="15436F05"/>
    <w:rsid w:val="15691FE3"/>
    <w:rsid w:val="158B5DDD"/>
    <w:rsid w:val="15B11221"/>
    <w:rsid w:val="15C16EB3"/>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060393"/>
    <w:rsid w:val="17110A80"/>
    <w:rsid w:val="171D3FE1"/>
    <w:rsid w:val="17680CAB"/>
    <w:rsid w:val="176E4128"/>
    <w:rsid w:val="17725CE9"/>
    <w:rsid w:val="1783371F"/>
    <w:rsid w:val="178E48DA"/>
    <w:rsid w:val="17C93012"/>
    <w:rsid w:val="17E62B67"/>
    <w:rsid w:val="17F378CF"/>
    <w:rsid w:val="180F4499"/>
    <w:rsid w:val="182201B4"/>
    <w:rsid w:val="18221ECE"/>
    <w:rsid w:val="183C3D90"/>
    <w:rsid w:val="1859036F"/>
    <w:rsid w:val="18681814"/>
    <w:rsid w:val="18B0649B"/>
    <w:rsid w:val="18D418FC"/>
    <w:rsid w:val="18E5143F"/>
    <w:rsid w:val="18E83469"/>
    <w:rsid w:val="18FC7745"/>
    <w:rsid w:val="19117D89"/>
    <w:rsid w:val="192F3B7C"/>
    <w:rsid w:val="19353F17"/>
    <w:rsid w:val="194C48CB"/>
    <w:rsid w:val="19864975"/>
    <w:rsid w:val="19864EEB"/>
    <w:rsid w:val="19D1065C"/>
    <w:rsid w:val="19DD405E"/>
    <w:rsid w:val="1A121864"/>
    <w:rsid w:val="1A460CF5"/>
    <w:rsid w:val="1A7F297D"/>
    <w:rsid w:val="1A9D6244"/>
    <w:rsid w:val="1AB16AC1"/>
    <w:rsid w:val="1ABF1CEA"/>
    <w:rsid w:val="1B014DDE"/>
    <w:rsid w:val="1B0320FB"/>
    <w:rsid w:val="1B034A52"/>
    <w:rsid w:val="1B2640F6"/>
    <w:rsid w:val="1B45344E"/>
    <w:rsid w:val="1B5D76FB"/>
    <w:rsid w:val="1B683578"/>
    <w:rsid w:val="1B8C0040"/>
    <w:rsid w:val="1BDE2F66"/>
    <w:rsid w:val="1C750ECE"/>
    <w:rsid w:val="1CA56AF4"/>
    <w:rsid w:val="1CD667CB"/>
    <w:rsid w:val="1D196139"/>
    <w:rsid w:val="1D1F0472"/>
    <w:rsid w:val="1D372585"/>
    <w:rsid w:val="1D5E02D1"/>
    <w:rsid w:val="1D7F0ED0"/>
    <w:rsid w:val="1D921938"/>
    <w:rsid w:val="1DBB6100"/>
    <w:rsid w:val="1DBE6816"/>
    <w:rsid w:val="1DCB4FF1"/>
    <w:rsid w:val="1DF20D7E"/>
    <w:rsid w:val="1E010AF7"/>
    <w:rsid w:val="1E1C405A"/>
    <w:rsid w:val="1E2E29E0"/>
    <w:rsid w:val="1E301173"/>
    <w:rsid w:val="1E884D18"/>
    <w:rsid w:val="1EB105DC"/>
    <w:rsid w:val="1ED8781E"/>
    <w:rsid w:val="1EDD3235"/>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057DFA"/>
    <w:rsid w:val="21101BAA"/>
    <w:rsid w:val="21286DA7"/>
    <w:rsid w:val="2134683B"/>
    <w:rsid w:val="21545CAE"/>
    <w:rsid w:val="219068BB"/>
    <w:rsid w:val="21C82E72"/>
    <w:rsid w:val="21DE0801"/>
    <w:rsid w:val="21DE339D"/>
    <w:rsid w:val="2203115E"/>
    <w:rsid w:val="22154DDD"/>
    <w:rsid w:val="22336873"/>
    <w:rsid w:val="22396826"/>
    <w:rsid w:val="22412CD8"/>
    <w:rsid w:val="225471A3"/>
    <w:rsid w:val="225E34DC"/>
    <w:rsid w:val="227D1295"/>
    <w:rsid w:val="22AB3B7D"/>
    <w:rsid w:val="22AF3A08"/>
    <w:rsid w:val="22D41D82"/>
    <w:rsid w:val="22F92F75"/>
    <w:rsid w:val="23172FFC"/>
    <w:rsid w:val="23BB4E7D"/>
    <w:rsid w:val="23C172D6"/>
    <w:rsid w:val="23D77537"/>
    <w:rsid w:val="23E6195D"/>
    <w:rsid w:val="23F04F64"/>
    <w:rsid w:val="247B3126"/>
    <w:rsid w:val="24814CBE"/>
    <w:rsid w:val="24AC168B"/>
    <w:rsid w:val="24BB6664"/>
    <w:rsid w:val="24BD406A"/>
    <w:rsid w:val="24D23A61"/>
    <w:rsid w:val="250E1318"/>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5C5757"/>
    <w:rsid w:val="26607D95"/>
    <w:rsid w:val="26700955"/>
    <w:rsid w:val="268166B9"/>
    <w:rsid w:val="26A16AE9"/>
    <w:rsid w:val="26A605D9"/>
    <w:rsid w:val="26AD0500"/>
    <w:rsid w:val="26B121A3"/>
    <w:rsid w:val="26F34269"/>
    <w:rsid w:val="272E3097"/>
    <w:rsid w:val="272E6F74"/>
    <w:rsid w:val="277E6655"/>
    <w:rsid w:val="27933DEA"/>
    <w:rsid w:val="27AF30E6"/>
    <w:rsid w:val="27B36A67"/>
    <w:rsid w:val="27BE6794"/>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2728C1"/>
    <w:rsid w:val="292C7FA1"/>
    <w:rsid w:val="2940493E"/>
    <w:rsid w:val="2950768C"/>
    <w:rsid w:val="297A5FC4"/>
    <w:rsid w:val="29B41DA5"/>
    <w:rsid w:val="29E14657"/>
    <w:rsid w:val="29E474B8"/>
    <w:rsid w:val="29ED574B"/>
    <w:rsid w:val="29FA2D3E"/>
    <w:rsid w:val="29FE5CE6"/>
    <w:rsid w:val="2A600C13"/>
    <w:rsid w:val="2A633B90"/>
    <w:rsid w:val="2A68500A"/>
    <w:rsid w:val="2A743AE8"/>
    <w:rsid w:val="2A8D4F8F"/>
    <w:rsid w:val="2A901BEE"/>
    <w:rsid w:val="2A917B34"/>
    <w:rsid w:val="2A9308A8"/>
    <w:rsid w:val="2A9475FF"/>
    <w:rsid w:val="2A9F5AB8"/>
    <w:rsid w:val="2AAA0AA2"/>
    <w:rsid w:val="2ACE55A1"/>
    <w:rsid w:val="2AD74E8C"/>
    <w:rsid w:val="2AE3766F"/>
    <w:rsid w:val="2AEC612E"/>
    <w:rsid w:val="2B0E56AB"/>
    <w:rsid w:val="2B276305"/>
    <w:rsid w:val="2B54704F"/>
    <w:rsid w:val="2B590601"/>
    <w:rsid w:val="2B7E4054"/>
    <w:rsid w:val="2BA45A85"/>
    <w:rsid w:val="2BB12905"/>
    <w:rsid w:val="2BBA6A76"/>
    <w:rsid w:val="2BCC03D1"/>
    <w:rsid w:val="2C0C6D59"/>
    <w:rsid w:val="2C787BAC"/>
    <w:rsid w:val="2C8903AA"/>
    <w:rsid w:val="2C8E776E"/>
    <w:rsid w:val="2C8E7BB8"/>
    <w:rsid w:val="2C987C56"/>
    <w:rsid w:val="2CA156F3"/>
    <w:rsid w:val="2CC11460"/>
    <w:rsid w:val="2CC15BAA"/>
    <w:rsid w:val="2CDC3153"/>
    <w:rsid w:val="2CDF621C"/>
    <w:rsid w:val="2CE136D7"/>
    <w:rsid w:val="2CFE7A11"/>
    <w:rsid w:val="2CFF149A"/>
    <w:rsid w:val="2D201865"/>
    <w:rsid w:val="2D260BC7"/>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C0235F"/>
    <w:rsid w:val="2EC1207D"/>
    <w:rsid w:val="2ED06066"/>
    <w:rsid w:val="2ED1223D"/>
    <w:rsid w:val="2EDD3B3D"/>
    <w:rsid w:val="2F000139"/>
    <w:rsid w:val="2F19204D"/>
    <w:rsid w:val="2F1B303D"/>
    <w:rsid w:val="2F3925CB"/>
    <w:rsid w:val="2F65799D"/>
    <w:rsid w:val="2F9F42DC"/>
    <w:rsid w:val="2FA517A2"/>
    <w:rsid w:val="2FAC3772"/>
    <w:rsid w:val="2FBC2844"/>
    <w:rsid w:val="2FC32F68"/>
    <w:rsid w:val="2FF37AB3"/>
    <w:rsid w:val="30210B8A"/>
    <w:rsid w:val="30224DC7"/>
    <w:rsid w:val="303265F2"/>
    <w:rsid w:val="303B4C3F"/>
    <w:rsid w:val="30476D7A"/>
    <w:rsid w:val="3073310C"/>
    <w:rsid w:val="309D6BE6"/>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CF5A0F"/>
    <w:rsid w:val="32F50547"/>
    <w:rsid w:val="33247607"/>
    <w:rsid w:val="33487C23"/>
    <w:rsid w:val="335D0AF5"/>
    <w:rsid w:val="3370088C"/>
    <w:rsid w:val="337321CD"/>
    <w:rsid w:val="33735C77"/>
    <w:rsid w:val="339A687B"/>
    <w:rsid w:val="33C14594"/>
    <w:rsid w:val="33DC2F78"/>
    <w:rsid w:val="3428227C"/>
    <w:rsid w:val="343230D5"/>
    <w:rsid w:val="3439428E"/>
    <w:rsid w:val="346E6B3E"/>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3C1E73"/>
    <w:rsid w:val="38534B1D"/>
    <w:rsid w:val="386E4145"/>
    <w:rsid w:val="387C5ABE"/>
    <w:rsid w:val="38AF46DD"/>
    <w:rsid w:val="38B66D0C"/>
    <w:rsid w:val="38CA7E13"/>
    <w:rsid w:val="38EB6119"/>
    <w:rsid w:val="38ED3021"/>
    <w:rsid w:val="392D500E"/>
    <w:rsid w:val="396678D9"/>
    <w:rsid w:val="39736669"/>
    <w:rsid w:val="397A0ADB"/>
    <w:rsid w:val="39954B2B"/>
    <w:rsid w:val="39DA2245"/>
    <w:rsid w:val="39E66E3B"/>
    <w:rsid w:val="39FD4CC2"/>
    <w:rsid w:val="3A056ACA"/>
    <w:rsid w:val="3A3A7721"/>
    <w:rsid w:val="3A51228C"/>
    <w:rsid w:val="3A545E48"/>
    <w:rsid w:val="3A552E60"/>
    <w:rsid w:val="3A5D642F"/>
    <w:rsid w:val="3A744447"/>
    <w:rsid w:val="3A78219D"/>
    <w:rsid w:val="3A995C5C"/>
    <w:rsid w:val="3AB210FC"/>
    <w:rsid w:val="3AE23C7A"/>
    <w:rsid w:val="3B043A1D"/>
    <w:rsid w:val="3B212C76"/>
    <w:rsid w:val="3B793A48"/>
    <w:rsid w:val="3B85393E"/>
    <w:rsid w:val="3BB429AC"/>
    <w:rsid w:val="3BCA4B8A"/>
    <w:rsid w:val="3BCD72F7"/>
    <w:rsid w:val="3BF4153E"/>
    <w:rsid w:val="3C37146A"/>
    <w:rsid w:val="3C3D3625"/>
    <w:rsid w:val="3C414142"/>
    <w:rsid w:val="3C5B725E"/>
    <w:rsid w:val="3C88055A"/>
    <w:rsid w:val="3CA9197C"/>
    <w:rsid w:val="3CAF79B9"/>
    <w:rsid w:val="3CB35097"/>
    <w:rsid w:val="3CF737A2"/>
    <w:rsid w:val="3D10295A"/>
    <w:rsid w:val="3D184041"/>
    <w:rsid w:val="3D370C2A"/>
    <w:rsid w:val="3D414FC0"/>
    <w:rsid w:val="3D7D049C"/>
    <w:rsid w:val="3DC4250E"/>
    <w:rsid w:val="3DE20EAE"/>
    <w:rsid w:val="3DEC2E9F"/>
    <w:rsid w:val="3DEF3701"/>
    <w:rsid w:val="3E0572FD"/>
    <w:rsid w:val="3E0720FE"/>
    <w:rsid w:val="3E2819F6"/>
    <w:rsid w:val="3E287A22"/>
    <w:rsid w:val="3E5A7FE7"/>
    <w:rsid w:val="3E955A6A"/>
    <w:rsid w:val="3E964D81"/>
    <w:rsid w:val="3EBA1F32"/>
    <w:rsid w:val="3EEF6FFF"/>
    <w:rsid w:val="3EF66B2E"/>
    <w:rsid w:val="3EF908D7"/>
    <w:rsid w:val="3F217914"/>
    <w:rsid w:val="3F5D44A8"/>
    <w:rsid w:val="3F945DA6"/>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0F04B0F"/>
    <w:rsid w:val="40F74B72"/>
    <w:rsid w:val="410A1661"/>
    <w:rsid w:val="41207073"/>
    <w:rsid w:val="41246142"/>
    <w:rsid w:val="412D5EA0"/>
    <w:rsid w:val="4144470C"/>
    <w:rsid w:val="416D78C7"/>
    <w:rsid w:val="41734CBA"/>
    <w:rsid w:val="417F4E1A"/>
    <w:rsid w:val="41A82190"/>
    <w:rsid w:val="41DE5999"/>
    <w:rsid w:val="41E1181A"/>
    <w:rsid w:val="41E32A20"/>
    <w:rsid w:val="41FA3241"/>
    <w:rsid w:val="420F7A65"/>
    <w:rsid w:val="4216611A"/>
    <w:rsid w:val="423E300F"/>
    <w:rsid w:val="425656C8"/>
    <w:rsid w:val="4257273C"/>
    <w:rsid w:val="42687ACE"/>
    <w:rsid w:val="4285733F"/>
    <w:rsid w:val="429E6041"/>
    <w:rsid w:val="42BF4B02"/>
    <w:rsid w:val="42C84B75"/>
    <w:rsid w:val="42C9173B"/>
    <w:rsid w:val="42FD694D"/>
    <w:rsid w:val="43525542"/>
    <w:rsid w:val="437D6687"/>
    <w:rsid w:val="438351F5"/>
    <w:rsid w:val="438D35EA"/>
    <w:rsid w:val="43BC1E57"/>
    <w:rsid w:val="43D23F8D"/>
    <w:rsid w:val="43D43F1D"/>
    <w:rsid w:val="43FA5777"/>
    <w:rsid w:val="44023422"/>
    <w:rsid w:val="44184A2D"/>
    <w:rsid w:val="441C1611"/>
    <w:rsid w:val="443C440B"/>
    <w:rsid w:val="44506DE3"/>
    <w:rsid w:val="44514F52"/>
    <w:rsid w:val="44761C8F"/>
    <w:rsid w:val="449722E3"/>
    <w:rsid w:val="449D7B09"/>
    <w:rsid w:val="44AE3FD4"/>
    <w:rsid w:val="44D0586F"/>
    <w:rsid w:val="44FA2D53"/>
    <w:rsid w:val="4504751B"/>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685427"/>
    <w:rsid w:val="4779499C"/>
    <w:rsid w:val="479C6284"/>
    <w:rsid w:val="479D1D34"/>
    <w:rsid w:val="47B609C0"/>
    <w:rsid w:val="47EC3B04"/>
    <w:rsid w:val="47EC6277"/>
    <w:rsid w:val="481A219B"/>
    <w:rsid w:val="482D31EA"/>
    <w:rsid w:val="48594C7C"/>
    <w:rsid w:val="485970A0"/>
    <w:rsid w:val="48667F79"/>
    <w:rsid w:val="486A6E89"/>
    <w:rsid w:val="48702E73"/>
    <w:rsid w:val="48823516"/>
    <w:rsid w:val="48877686"/>
    <w:rsid w:val="48B176C2"/>
    <w:rsid w:val="48B65C71"/>
    <w:rsid w:val="48EE1869"/>
    <w:rsid w:val="48FB1909"/>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703B67"/>
    <w:rsid w:val="4A8C4FB8"/>
    <w:rsid w:val="4A9A25BD"/>
    <w:rsid w:val="4A9E0551"/>
    <w:rsid w:val="4AA03D78"/>
    <w:rsid w:val="4AAB17DF"/>
    <w:rsid w:val="4AB542AE"/>
    <w:rsid w:val="4ABA7AB3"/>
    <w:rsid w:val="4AF72FEA"/>
    <w:rsid w:val="4B243D9D"/>
    <w:rsid w:val="4B5B54F0"/>
    <w:rsid w:val="4B645524"/>
    <w:rsid w:val="4B8C2DEB"/>
    <w:rsid w:val="4BC423D3"/>
    <w:rsid w:val="4BE24969"/>
    <w:rsid w:val="4BFA3C9F"/>
    <w:rsid w:val="4C042674"/>
    <w:rsid w:val="4C107F48"/>
    <w:rsid w:val="4C3277BC"/>
    <w:rsid w:val="4C5C442D"/>
    <w:rsid w:val="4C6B47EC"/>
    <w:rsid w:val="4C6D42A9"/>
    <w:rsid w:val="4C716A38"/>
    <w:rsid w:val="4CC0351C"/>
    <w:rsid w:val="4CC353EB"/>
    <w:rsid w:val="4CDF4157"/>
    <w:rsid w:val="4CE64E14"/>
    <w:rsid w:val="4CF36F3C"/>
    <w:rsid w:val="4D00189F"/>
    <w:rsid w:val="4D007BC8"/>
    <w:rsid w:val="4D1470BD"/>
    <w:rsid w:val="4D154882"/>
    <w:rsid w:val="4D1C3C50"/>
    <w:rsid w:val="4D603399"/>
    <w:rsid w:val="4D664F64"/>
    <w:rsid w:val="4D6A7284"/>
    <w:rsid w:val="4D867EE1"/>
    <w:rsid w:val="4DB07591"/>
    <w:rsid w:val="4DB33A2B"/>
    <w:rsid w:val="4DBC4C65"/>
    <w:rsid w:val="4DE2009B"/>
    <w:rsid w:val="4E0F235E"/>
    <w:rsid w:val="4E157689"/>
    <w:rsid w:val="4E533FA5"/>
    <w:rsid w:val="4E550010"/>
    <w:rsid w:val="4E5964E9"/>
    <w:rsid w:val="4E5F14CB"/>
    <w:rsid w:val="4E6808B0"/>
    <w:rsid w:val="4EC00DDD"/>
    <w:rsid w:val="4EE334F2"/>
    <w:rsid w:val="4EE42C3F"/>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453E7E"/>
    <w:rsid w:val="50485BA4"/>
    <w:rsid w:val="505002CA"/>
    <w:rsid w:val="507D2599"/>
    <w:rsid w:val="508F08E7"/>
    <w:rsid w:val="5096229D"/>
    <w:rsid w:val="509E157D"/>
    <w:rsid w:val="50C30B88"/>
    <w:rsid w:val="50DA3350"/>
    <w:rsid w:val="50DC4184"/>
    <w:rsid w:val="50FB6146"/>
    <w:rsid w:val="512F4CA0"/>
    <w:rsid w:val="51323DB9"/>
    <w:rsid w:val="51361FFF"/>
    <w:rsid w:val="513723D1"/>
    <w:rsid w:val="514C3EA7"/>
    <w:rsid w:val="51551AFE"/>
    <w:rsid w:val="51FD2B1C"/>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409CC"/>
    <w:rsid w:val="546927C6"/>
    <w:rsid w:val="546B0405"/>
    <w:rsid w:val="549A6BFA"/>
    <w:rsid w:val="54B36A7C"/>
    <w:rsid w:val="54D933CD"/>
    <w:rsid w:val="55244D7F"/>
    <w:rsid w:val="55362287"/>
    <w:rsid w:val="55432F3C"/>
    <w:rsid w:val="555016D2"/>
    <w:rsid w:val="556D2820"/>
    <w:rsid w:val="55C3227E"/>
    <w:rsid w:val="55FA2961"/>
    <w:rsid w:val="5602250F"/>
    <w:rsid w:val="564220BA"/>
    <w:rsid w:val="565C2AF0"/>
    <w:rsid w:val="565E7F4F"/>
    <w:rsid w:val="565F3DA6"/>
    <w:rsid w:val="56914056"/>
    <w:rsid w:val="56C36589"/>
    <w:rsid w:val="570D55B0"/>
    <w:rsid w:val="57293C95"/>
    <w:rsid w:val="572A6381"/>
    <w:rsid w:val="572B41B4"/>
    <w:rsid w:val="572E079D"/>
    <w:rsid w:val="57365868"/>
    <w:rsid w:val="573C1959"/>
    <w:rsid w:val="577B5213"/>
    <w:rsid w:val="57CD25D7"/>
    <w:rsid w:val="57F12ED6"/>
    <w:rsid w:val="57F65317"/>
    <w:rsid w:val="57FC2169"/>
    <w:rsid w:val="58024015"/>
    <w:rsid w:val="58096275"/>
    <w:rsid w:val="5819544F"/>
    <w:rsid w:val="582E6EF7"/>
    <w:rsid w:val="584E30E6"/>
    <w:rsid w:val="58546EFD"/>
    <w:rsid w:val="58A20D92"/>
    <w:rsid w:val="58E26731"/>
    <w:rsid w:val="58FB6B48"/>
    <w:rsid w:val="590E4A97"/>
    <w:rsid w:val="591250FF"/>
    <w:rsid w:val="5920012C"/>
    <w:rsid w:val="592B1244"/>
    <w:rsid w:val="594714AD"/>
    <w:rsid w:val="595578DE"/>
    <w:rsid w:val="597B384D"/>
    <w:rsid w:val="59996DA8"/>
    <w:rsid w:val="599C05DE"/>
    <w:rsid w:val="59C30F1B"/>
    <w:rsid w:val="5A6F3361"/>
    <w:rsid w:val="5A8C20D0"/>
    <w:rsid w:val="5AC7121C"/>
    <w:rsid w:val="5AD90B8D"/>
    <w:rsid w:val="5AE12927"/>
    <w:rsid w:val="5AE35472"/>
    <w:rsid w:val="5AF41CF3"/>
    <w:rsid w:val="5AF87CC9"/>
    <w:rsid w:val="5B19477F"/>
    <w:rsid w:val="5B2D3CD5"/>
    <w:rsid w:val="5B4E1A44"/>
    <w:rsid w:val="5B774ED6"/>
    <w:rsid w:val="5B873201"/>
    <w:rsid w:val="5B967767"/>
    <w:rsid w:val="5B9D1624"/>
    <w:rsid w:val="5C0C2FF6"/>
    <w:rsid w:val="5C1241CC"/>
    <w:rsid w:val="5C286807"/>
    <w:rsid w:val="5C370E72"/>
    <w:rsid w:val="5C446BC8"/>
    <w:rsid w:val="5C4529E1"/>
    <w:rsid w:val="5C4B56E1"/>
    <w:rsid w:val="5C7146B1"/>
    <w:rsid w:val="5C7C2768"/>
    <w:rsid w:val="5CB23AE6"/>
    <w:rsid w:val="5CDC0A42"/>
    <w:rsid w:val="5CED5863"/>
    <w:rsid w:val="5D0D6DF5"/>
    <w:rsid w:val="5D580A8A"/>
    <w:rsid w:val="5D893B14"/>
    <w:rsid w:val="5DB42C29"/>
    <w:rsid w:val="5E291636"/>
    <w:rsid w:val="5E6F64A1"/>
    <w:rsid w:val="5E7E7421"/>
    <w:rsid w:val="5E8B0770"/>
    <w:rsid w:val="5EA06921"/>
    <w:rsid w:val="5EA902B4"/>
    <w:rsid w:val="5EB16577"/>
    <w:rsid w:val="5EBA259F"/>
    <w:rsid w:val="5EE97BB4"/>
    <w:rsid w:val="5F085DDA"/>
    <w:rsid w:val="5F2E2D52"/>
    <w:rsid w:val="5F54198B"/>
    <w:rsid w:val="5F546D2C"/>
    <w:rsid w:val="5F9D1350"/>
    <w:rsid w:val="5FBE370A"/>
    <w:rsid w:val="5FC83407"/>
    <w:rsid w:val="5FD56E87"/>
    <w:rsid w:val="5FF0558C"/>
    <w:rsid w:val="601A27F4"/>
    <w:rsid w:val="60292845"/>
    <w:rsid w:val="603D4C7C"/>
    <w:rsid w:val="604D2644"/>
    <w:rsid w:val="605238CF"/>
    <w:rsid w:val="6053694F"/>
    <w:rsid w:val="607921FE"/>
    <w:rsid w:val="608F62AE"/>
    <w:rsid w:val="60B9251B"/>
    <w:rsid w:val="60C31484"/>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167A4F"/>
    <w:rsid w:val="631D2BD6"/>
    <w:rsid w:val="635356F3"/>
    <w:rsid w:val="635D6064"/>
    <w:rsid w:val="637D5B70"/>
    <w:rsid w:val="63825E77"/>
    <w:rsid w:val="63A10995"/>
    <w:rsid w:val="63C23EFA"/>
    <w:rsid w:val="63D255DA"/>
    <w:rsid w:val="64076B79"/>
    <w:rsid w:val="640959A6"/>
    <w:rsid w:val="640B7654"/>
    <w:rsid w:val="643A070A"/>
    <w:rsid w:val="64402337"/>
    <w:rsid w:val="64410A96"/>
    <w:rsid w:val="644C573D"/>
    <w:rsid w:val="64507EFB"/>
    <w:rsid w:val="64B97A50"/>
    <w:rsid w:val="65032F85"/>
    <w:rsid w:val="65123E81"/>
    <w:rsid w:val="651304A7"/>
    <w:rsid w:val="65136B50"/>
    <w:rsid w:val="657E2A35"/>
    <w:rsid w:val="65A94E9D"/>
    <w:rsid w:val="65B96B3F"/>
    <w:rsid w:val="65BE1071"/>
    <w:rsid w:val="65C60A92"/>
    <w:rsid w:val="65D35142"/>
    <w:rsid w:val="660451CE"/>
    <w:rsid w:val="660B02F6"/>
    <w:rsid w:val="665346B7"/>
    <w:rsid w:val="66705A4E"/>
    <w:rsid w:val="667C7CCE"/>
    <w:rsid w:val="669C56BF"/>
    <w:rsid w:val="66A12460"/>
    <w:rsid w:val="66A20C1E"/>
    <w:rsid w:val="66BE2423"/>
    <w:rsid w:val="66DD6702"/>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5F706C"/>
    <w:rsid w:val="68707071"/>
    <w:rsid w:val="687A4379"/>
    <w:rsid w:val="687B015C"/>
    <w:rsid w:val="687E3889"/>
    <w:rsid w:val="6884222C"/>
    <w:rsid w:val="68AD17BB"/>
    <w:rsid w:val="68D94D22"/>
    <w:rsid w:val="692B2E4A"/>
    <w:rsid w:val="696A0B34"/>
    <w:rsid w:val="69821807"/>
    <w:rsid w:val="698D6A17"/>
    <w:rsid w:val="69AE637E"/>
    <w:rsid w:val="69D37590"/>
    <w:rsid w:val="69F954C1"/>
    <w:rsid w:val="69FA2750"/>
    <w:rsid w:val="6A1E1E73"/>
    <w:rsid w:val="6A2031B6"/>
    <w:rsid w:val="6A26299B"/>
    <w:rsid w:val="6A276275"/>
    <w:rsid w:val="6A2F57D7"/>
    <w:rsid w:val="6A3C1D40"/>
    <w:rsid w:val="6A6432E1"/>
    <w:rsid w:val="6A647487"/>
    <w:rsid w:val="6A6A5005"/>
    <w:rsid w:val="6A8D5833"/>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B1F5D"/>
    <w:rsid w:val="6CAA3931"/>
    <w:rsid w:val="6CCF3BFB"/>
    <w:rsid w:val="6CF33D38"/>
    <w:rsid w:val="6D1B719A"/>
    <w:rsid w:val="6D325918"/>
    <w:rsid w:val="6D370B82"/>
    <w:rsid w:val="6D3933CA"/>
    <w:rsid w:val="6D6261FE"/>
    <w:rsid w:val="6D7B61EC"/>
    <w:rsid w:val="6D8E03AA"/>
    <w:rsid w:val="6DBB089F"/>
    <w:rsid w:val="6DC63038"/>
    <w:rsid w:val="6DE30DE0"/>
    <w:rsid w:val="6DE6130A"/>
    <w:rsid w:val="6DE839B9"/>
    <w:rsid w:val="6E09491E"/>
    <w:rsid w:val="6E0D3655"/>
    <w:rsid w:val="6E1A437E"/>
    <w:rsid w:val="6E282EF8"/>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70160742"/>
    <w:rsid w:val="7030610F"/>
    <w:rsid w:val="70612DB4"/>
    <w:rsid w:val="706516C3"/>
    <w:rsid w:val="70896E68"/>
    <w:rsid w:val="708A4844"/>
    <w:rsid w:val="70E05E9D"/>
    <w:rsid w:val="71073061"/>
    <w:rsid w:val="711A201F"/>
    <w:rsid w:val="71396ACC"/>
    <w:rsid w:val="715B60E9"/>
    <w:rsid w:val="716F0EE9"/>
    <w:rsid w:val="7196674D"/>
    <w:rsid w:val="71CD6D08"/>
    <w:rsid w:val="71EA1FED"/>
    <w:rsid w:val="72165C6B"/>
    <w:rsid w:val="722021E3"/>
    <w:rsid w:val="722C6DDA"/>
    <w:rsid w:val="72345748"/>
    <w:rsid w:val="72E661B1"/>
    <w:rsid w:val="72F90C18"/>
    <w:rsid w:val="730313F6"/>
    <w:rsid w:val="73094325"/>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DC6C44"/>
    <w:rsid w:val="762770AC"/>
    <w:rsid w:val="762F6A19"/>
    <w:rsid w:val="76341B33"/>
    <w:rsid w:val="76736B32"/>
    <w:rsid w:val="768811B6"/>
    <w:rsid w:val="769F04F7"/>
    <w:rsid w:val="76AF35EE"/>
    <w:rsid w:val="76C27A74"/>
    <w:rsid w:val="76CE0460"/>
    <w:rsid w:val="76E3765E"/>
    <w:rsid w:val="76FC2AFA"/>
    <w:rsid w:val="77527424"/>
    <w:rsid w:val="77653671"/>
    <w:rsid w:val="778546CC"/>
    <w:rsid w:val="778B6B46"/>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9008E5"/>
    <w:rsid w:val="79AA0532"/>
    <w:rsid w:val="79AB2CDA"/>
    <w:rsid w:val="79C370A4"/>
    <w:rsid w:val="79D23A3D"/>
    <w:rsid w:val="79DD4F22"/>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AFD57B8"/>
    <w:rsid w:val="7B165244"/>
    <w:rsid w:val="7B217A1E"/>
    <w:rsid w:val="7B2965AD"/>
    <w:rsid w:val="7B303E8C"/>
    <w:rsid w:val="7B39121D"/>
    <w:rsid w:val="7B865D50"/>
    <w:rsid w:val="7B87547C"/>
    <w:rsid w:val="7B8D34C3"/>
    <w:rsid w:val="7B971D84"/>
    <w:rsid w:val="7BAB0CB7"/>
    <w:rsid w:val="7BB4028F"/>
    <w:rsid w:val="7BBD468A"/>
    <w:rsid w:val="7BE031FB"/>
    <w:rsid w:val="7BE85BAB"/>
    <w:rsid w:val="7BF32F03"/>
    <w:rsid w:val="7BF50D2C"/>
    <w:rsid w:val="7C066F4E"/>
    <w:rsid w:val="7C1724A5"/>
    <w:rsid w:val="7C273CFF"/>
    <w:rsid w:val="7C58728C"/>
    <w:rsid w:val="7CA54112"/>
    <w:rsid w:val="7CA553D9"/>
    <w:rsid w:val="7CAB27F5"/>
    <w:rsid w:val="7CAF438A"/>
    <w:rsid w:val="7CCE726D"/>
    <w:rsid w:val="7CD71EA3"/>
    <w:rsid w:val="7CE50CE4"/>
    <w:rsid w:val="7CF877E9"/>
    <w:rsid w:val="7D134762"/>
    <w:rsid w:val="7D2E5ABF"/>
    <w:rsid w:val="7D4A45B8"/>
    <w:rsid w:val="7E007625"/>
    <w:rsid w:val="7E0737C8"/>
    <w:rsid w:val="7E131C51"/>
    <w:rsid w:val="7E176B90"/>
    <w:rsid w:val="7E2142A2"/>
    <w:rsid w:val="7E240411"/>
    <w:rsid w:val="7E5148A6"/>
    <w:rsid w:val="7E6A046F"/>
    <w:rsid w:val="7E7014B8"/>
    <w:rsid w:val="7E797DE5"/>
    <w:rsid w:val="7E7B0BF2"/>
    <w:rsid w:val="7E8D75B6"/>
    <w:rsid w:val="7E8E672B"/>
    <w:rsid w:val="7EB16167"/>
    <w:rsid w:val="7EF760EE"/>
    <w:rsid w:val="7F193E37"/>
    <w:rsid w:val="7F2536B5"/>
    <w:rsid w:val="7F383117"/>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4">
    <w:name w:val="heading 1"/>
    <w:basedOn w:val="1"/>
    <w:next w:val="1"/>
    <w:link w:val="72"/>
    <w:qFormat/>
    <w:uiPriority w:val="9"/>
    <w:pPr>
      <w:keepNext/>
      <w:keepLines/>
      <w:spacing w:before="340" w:after="330" w:line="576" w:lineRule="auto"/>
      <w:outlineLvl w:val="0"/>
    </w:pPr>
    <w:rPr>
      <w:b/>
      <w:kern w:val="44"/>
      <w:sz w:val="44"/>
    </w:rPr>
  </w:style>
  <w:style w:type="paragraph" w:styleId="5">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1"/>
    <w:unhideWhenUsed/>
    <w:qFormat/>
    <w:uiPriority w:val="9"/>
    <w:pPr>
      <w:keepNext/>
      <w:keepLines/>
      <w:outlineLvl w:val="3"/>
    </w:pPr>
    <w:rPr>
      <w:rFonts w:asciiTheme="majorHAnsi" w:hAnsiTheme="majorHAnsi" w:cstheme="majorBidi"/>
      <w:b/>
      <w:bCs/>
      <w:sz w:val="24"/>
      <w:szCs w:val="28"/>
    </w:rPr>
  </w:style>
  <w:style w:type="paragraph" w:styleId="8">
    <w:name w:val="heading 5"/>
    <w:basedOn w:val="1"/>
    <w:next w:val="1"/>
    <w:link w:val="71"/>
    <w:semiHidden/>
    <w:unhideWhenUsed/>
    <w:qFormat/>
    <w:uiPriority w:val="9"/>
    <w:pPr>
      <w:keepNext/>
      <w:keepLines/>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bCs/>
      <w:szCs w:val="21"/>
    </w:rPr>
  </w:style>
  <w:style w:type="paragraph" w:styleId="3">
    <w:name w:val="Body Text"/>
    <w:basedOn w:val="1"/>
    <w:next w:val="1"/>
    <w:link w:val="63"/>
    <w:qFormat/>
    <w:uiPriority w:val="1"/>
    <w:pPr>
      <w:spacing w:before="161"/>
      <w:ind w:left="120"/>
    </w:pPr>
    <w:rPr>
      <w:rFonts w:ascii="宋体" w:hAnsi="宋体" w:cs="宋体"/>
      <w:sz w:val="24"/>
      <w:lang w:val="zh-CN" w:bidi="zh-CN"/>
    </w:rPr>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annotation text"/>
    <w:basedOn w:val="1"/>
    <w:link w:val="60"/>
    <w:unhideWhenUsed/>
    <w:qFormat/>
    <w:uiPriority w:val="99"/>
  </w:style>
  <w:style w:type="paragraph" w:styleId="11">
    <w:name w:val="Body Text Indent"/>
    <w:basedOn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2"/>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5"/>
    <w:semiHidden/>
    <w:unhideWhenUsed/>
    <w:qFormat/>
    <w:uiPriority w:val="99"/>
    <w:rPr>
      <w:sz w:val="18"/>
      <w:szCs w:val="18"/>
    </w:rPr>
  </w:style>
  <w:style w:type="paragraph" w:styleId="17">
    <w:name w:val="footer"/>
    <w:basedOn w:val="1"/>
    <w:link w:val="54"/>
    <w:unhideWhenUsed/>
    <w:qFormat/>
    <w:uiPriority w:val="99"/>
    <w:pPr>
      <w:tabs>
        <w:tab w:val="center" w:pos="4153"/>
        <w:tab w:val="right" w:pos="8306"/>
      </w:tabs>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7"/>
    <w:qFormat/>
    <w:uiPriority w:val="0"/>
    <w:pPr>
      <w:widowControl w:val="0"/>
      <w:adjustRightInd/>
      <w:snapToGrid/>
      <w:jc w:val="both"/>
    </w:pPr>
    <w:rPr>
      <w:rFonts w:asciiTheme="minorHAnsi" w:hAnsiTheme="minorHAnsi"/>
      <w:kern w:val="2"/>
      <w:sz w:val="24"/>
      <w:szCs w:val="24"/>
    </w:rPr>
  </w:style>
  <w:style w:type="paragraph" w:styleId="26">
    <w:name w:val="annotation subject"/>
    <w:basedOn w:val="10"/>
    <w:next w:val="10"/>
    <w:link w:val="61"/>
    <w:semiHidden/>
    <w:unhideWhenUsed/>
    <w:qFormat/>
    <w:uiPriority w:val="99"/>
    <w:rPr>
      <w:b/>
      <w:bCs/>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20"/>
    <w:rPr>
      <w:i/>
      <w:iCs/>
    </w:rPr>
  </w:style>
  <w:style w:type="character" w:styleId="32">
    <w:name w:val="Hyperlink"/>
    <w:qFormat/>
    <w:uiPriority w:val="99"/>
    <w:rPr>
      <w:rFonts w:hint="eastAsia" w:ascii="宋体" w:hAnsi="宋体" w:eastAsia="宋体" w:cs="宋体"/>
      <w:b/>
      <w:color w:val="0031C1"/>
      <w:kern w:val="0"/>
      <w:sz w:val="18"/>
      <w:szCs w:val="18"/>
      <w:u w:val="none"/>
      <w:lang w:eastAsia="en-US"/>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paragraph" w:customStyle="1" w:styleId="35">
    <w:name w:val="样式 正文首行缩进 + 首行缩进:  1 字符"/>
    <w:basedOn w:val="1"/>
    <w:next w:val="1"/>
    <w:qFormat/>
    <w:uiPriority w:val="0"/>
    <w:pPr>
      <w:ind w:firstLine="200" w:firstLineChars="200"/>
    </w:pPr>
    <w:rPr>
      <w:rFonts w:cs="宋体"/>
      <w:szCs w:val="20"/>
    </w:rPr>
  </w:style>
  <w:style w:type="paragraph" w:customStyle="1" w:styleId="36">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8">
    <w:name w:val="标题 2 字符"/>
    <w:basedOn w:val="29"/>
    <w:link w:val="5"/>
    <w:qFormat/>
    <w:uiPriority w:val="9"/>
    <w:rPr>
      <w:rFonts w:asciiTheme="majorHAnsi" w:hAnsiTheme="majorHAnsi" w:eastAsiaTheme="majorEastAsia" w:cstheme="majorBidi"/>
      <w:b/>
      <w:bCs/>
      <w:sz w:val="32"/>
      <w:szCs w:val="32"/>
    </w:rPr>
  </w:style>
  <w:style w:type="character" w:customStyle="1" w:styleId="39">
    <w:name w:val="标题 3 字符"/>
    <w:basedOn w:val="29"/>
    <w:link w:val="6"/>
    <w:qFormat/>
    <w:uiPriority w:val="9"/>
    <w:rPr>
      <w:rFonts w:ascii="Tahoma" w:hAnsi="Tahoma"/>
      <w:b/>
      <w:bCs/>
      <w:sz w:val="32"/>
      <w:szCs w:val="32"/>
    </w:rPr>
  </w:style>
  <w:style w:type="paragraph" w:styleId="40">
    <w:name w:val="List Paragraph"/>
    <w:basedOn w:val="1"/>
    <w:link w:val="62"/>
    <w:qFormat/>
    <w:uiPriority w:val="0"/>
    <w:pPr>
      <w:ind w:firstLine="420" w:firstLineChars="200"/>
    </w:pPr>
  </w:style>
  <w:style w:type="character" w:customStyle="1" w:styleId="41">
    <w:name w:val="标题 4 字符"/>
    <w:basedOn w:val="29"/>
    <w:link w:val="7"/>
    <w:qFormat/>
    <w:uiPriority w:val="9"/>
    <w:rPr>
      <w:rFonts w:eastAsia="宋体" w:asciiTheme="majorHAnsi" w:hAnsiTheme="majorHAnsi" w:cstheme="majorBidi"/>
      <w:b/>
      <w:bCs/>
      <w:sz w:val="24"/>
      <w:szCs w:val="28"/>
    </w:rPr>
  </w:style>
  <w:style w:type="character" w:customStyle="1" w:styleId="42">
    <w:name w:val="正文缩进2格 Char"/>
    <w:link w:val="43"/>
    <w:qFormat/>
    <w:uiPriority w:val="0"/>
    <w:rPr>
      <w:rFonts w:ascii="仿宋_GB2312" w:hAnsi="宋体" w:eastAsia="仿宋_GB2312"/>
      <w:kern w:val="2"/>
      <w:sz w:val="31"/>
    </w:rPr>
  </w:style>
  <w:style w:type="paragraph" w:customStyle="1" w:styleId="43">
    <w:name w:val="正文缩进2格"/>
    <w:basedOn w:val="1"/>
    <w:link w:val="42"/>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4">
    <w:name w:val="正文缩进4格"/>
    <w:basedOn w:val="43"/>
    <w:qFormat/>
    <w:uiPriority w:val="0"/>
    <w:pPr>
      <w:ind w:left="2" w:firstLine="538" w:firstLineChars="192"/>
    </w:pPr>
    <w:rPr>
      <w:color w:val="0000FF"/>
      <w:sz w:val="28"/>
    </w:rPr>
  </w:style>
  <w:style w:type="character" w:customStyle="1" w:styleId="45">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6">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7">
    <w:name w:val="标题1"/>
    <w:qFormat/>
    <w:uiPriority w:val="0"/>
    <w:rPr>
      <w:rFonts w:ascii="Times New Roman" w:hAnsi="Times New Roman" w:eastAsia="宋体" w:cs="Times New Roman"/>
      <w:b/>
      <w:kern w:val="0"/>
      <w:sz w:val="24"/>
      <w:szCs w:val="20"/>
      <w:lang w:eastAsia="en-US"/>
    </w:rPr>
  </w:style>
  <w:style w:type="character" w:customStyle="1" w:styleId="48">
    <w:name w:val="标题 3.1 Char"/>
    <w:link w:val="49"/>
    <w:qFormat/>
    <w:uiPriority w:val="0"/>
    <w:rPr>
      <w:rFonts w:ascii="宋体" w:hAnsi="宋体" w:eastAsia="宋体"/>
      <w:b/>
      <w:color w:val="FF0000"/>
      <w:kern w:val="2"/>
      <w:sz w:val="32"/>
    </w:rPr>
  </w:style>
  <w:style w:type="paragraph" w:customStyle="1" w:styleId="49">
    <w:name w:val="标题 3.1"/>
    <w:basedOn w:val="6"/>
    <w:link w:val="48"/>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0">
    <w:name w:val="样式 楷体_GB2312 小四"/>
    <w:qFormat/>
    <w:uiPriority w:val="0"/>
    <w:rPr>
      <w:rFonts w:ascii="楷体_GB2312" w:hAnsi="楷体_GB2312" w:eastAsia="仿宋_GB2312"/>
      <w:sz w:val="24"/>
    </w:rPr>
  </w:style>
  <w:style w:type="character" w:customStyle="1" w:styleId="51">
    <w:name w:val="纯文本 Char"/>
    <w:qFormat/>
    <w:uiPriority w:val="0"/>
    <w:rPr>
      <w:rFonts w:ascii="宋体" w:hAnsi="Courier New" w:eastAsia="宋体" w:cs="Times New Roman"/>
      <w:b/>
      <w:kern w:val="2"/>
      <w:sz w:val="21"/>
      <w:szCs w:val="20"/>
    </w:rPr>
  </w:style>
  <w:style w:type="character" w:customStyle="1" w:styleId="52">
    <w:name w:val="纯文本 字符"/>
    <w:basedOn w:val="29"/>
    <w:link w:val="14"/>
    <w:semiHidden/>
    <w:qFormat/>
    <w:uiPriority w:val="99"/>
    <w:rPr>
      <w:rFonts w:ascii="宋体" w:hAnsi="Courier New" w:eastAsia="宋体" w:cs="Courier New"/>
      <w:sz w:val="21"/>
      <w:szCs w:val="21"/>
    </w:rPr>
  </w:style>
  <w:style w:type="character" w:customStyle="1" w:styleId="53">
    <w:name w:val="页眉 字符"/>
    <w:basedOn w:val="29"/>
    <w:link w:val="18"/>
    <w:qFormat/>
    <w:uiPriority w:val="99"/>
    <w:rPr>
      <w:rFonts w:ascii="Tahoma" w:hAnsi="Tahoma"/>
      <w:sz w:val="18"/>
      <w:szCs w:val="18"/>
    </w:rPr>
  </w:style>
  <w:style w:type="character" w:customStyle="1" w:styleId="54">
    <w:name w:val="页脚 字符"/>
    <w:basedOn w:val="29"/>
    <w:link w:val="17"/>
    <w:qFormat/>
    <w:uiPriority w:val="99"/>
    <w:rPr>
      <w:rFonts w:ascii="Tahoma" w:hAnsi="Tahoma"/>
      <w:sz w:val="18"/>
      <w:szCs w:val="18"/>
    </w:rPr>
  </w:style>
  <w:style w:type="character" w:customStyle="1" w:styleId="55">
    <w:name w:val="批注框文本 字符"/>
    <w:basedOn w:val="29"/>
    <w:link w:val="16"/>
    <w:semiHidden/>
    <w:qFormat/>
    <w:uiPriority w:val="99"/>
    <w:rPr>
      <w:rFonts w:ascii="Tahoma" w:hAnsi="Tahoma"/>
      <w:sz w:val="18"/>
      <w:szCs w:val="18"/>
    </w:rPr>
  </w:style>
  <w:style w:type="paragraph" w:customStyle="1" w:styleId="56">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7">
    <w:name w:val="普通(网站) 字符"/>
    <w:link w:val="25"/>
    <w:qFormat/>
    <w:uiPriority w:val="0"/>
    <w:rPr>
      <w:rFonts w:eastAsia="宋体"/>
      <w:kern w:val="2"/>
      <w:sz w:val="24"/>
      <w:szCs w:val="24"/>
    </w:rPr>
  </w:style>
  <w:style w:type="paragraph" w:customStyle="1" w:styleId="58">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59">
    <w:name w:val="p141"/>
    <w:qFormat/>
    <w:uiPriority w:val="0"/>
    <w:rPr>
      <w:sz w:val="21"/>
      <w:szCs w:val="21"/>
    </w:rPr>
  </w:style>
  <w:style w:type="character" w:customStyle="1" w:styleId="60">
    <w:name w:val="批注文字 字符"/>
    <w:basedOn w:val="29"/>
    <w:link w:val="10"/>
    <w:qFormat/>
    <w:uiPriority w:val="99"/>
    <w:rPr>
      <w:rFonts w:ascii="Tahoma" w:hAnsi="Tahoma" w:eastAsia="微软雅黑" w:cstheme="minorBidi"/>
      <w:sz w:val="22"/>
      <w:szCs w:val="22"/>
    </w:rPr>
  </w:style>
  <w:style w:type="character" w:customStyle="1" w:styleId="61">
    <w:name w:val="批注主题 字符"/>
    <w:basedOn w:val="60"/>
    <w:link w:val="26"/>
    <w:semiHidden/>
    <w:qFormat/>
    <w:uiPriority w:val="99"/>
    <w:rPr>
      <w:rFonts w:ascii="Tahoma" w:hAnsi="Tahoma" w:eastAsia="微软雅黑" w:cstheme="minorBidi"/>
      <w:b/>
      <w:bCs/>
      <w:sz w:val="22"/>
      <w:szCs w:val="22"/>
    </w:rPr>
  </w:style>
  <w:style w:type="character" w:customStyle="1" w:styleId="62">
    <w:name w:val="列表段落 字符"/>
    <w:link w:val="40"/>
    <w:qFormat/>
    <w:uiPriority w:val="0"/>
    <w:rPr>
      <w:rFonts w:ascii="Tahoma" w:hAnsi="Tahoma" w:eastAsia="微软雅黑" w:cstheme="minorBidi"/>
      <w:sz w:val="22"/>
      <w:szCs w:val="22"/>
    </w:rPr>
  </w:style>
  <w:style w:type="character" w:customStyle="1" w:styleId="63">
    <w:name w:val="正文文本 字符"/>
    <w:basedOn w:val="29"/>
    <w:link w:val="3"/>
    <w:qFormat/>
    <w:uiPriority w:val="1"/>
    <w:rPr>
      <w:rFonts w:ascii="宋体" w:hAnsi="宋体" w:cs="宋体"/>
      <w:sz w:val="24"/>
      <w:szCs w:val="22"/>
      <w:lang w:val="zh-CN" w:bidi="zh-CN"/>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_Style 1"/>
    <w:basedOn w:val="1"/>
    <w:qFormat/>
    <w:uiPriority w:val="0"/>
    <w:pPr>
      <w:ind w:firstLine="420" w:firstLineChars="200"/>
    </w:pPr>
  </w:style>
  <w:style w:type="paragraph" w:customStyle="1" w:styleId="66">
    <w:name w:val="列出段落2"/>
    <w:basedOn w:val="1"/>
    <w:qFormat/>
    <w:uiPriority w:val="0"/>
    <w:pPr>
      <w:ind w:firstLine="420" w:firstLineChars="200"/>
    </w:pPr>
  </w:style>
  <w:style w:type="paragraph" w:customStyle="1" w:styleId="67">
    <w:name w:val="p0"/>
    <w:basedOn w:val="1"/>
    <w:qFormat/>
    <w:uiPriority w:val="0"/>
    <w:rPr>
      <w:szCs w:val="21"/>
    </w:rPr>
  </w:style>
  <w:style w:type="paragraph" w:customStyle="1" w:styleId="68">
    <w:name w:val="正文文本缩进 21"/>
    <w:basedOn w:val="1"/>
    <w:qFormat/>
    <w:uiPriority w:val="0"/>
    <w:pPr>
      <w:spacing w:line="480" w:lineRule="auto"/>
      <w:ind w:firstLine="540"/>
    </w:pPr>
    <w:rPr>
      <w:rFonts w:ascii="Calibri" w:hAnsi="Calibri"/>
      <w:sz w:val="20"/>
      <w:szCs w:val="20"/>
    </w:rPr>
  </w:style>
  <w:style w:type="paragraph" w:customStyle="1" w:styleId="69">
    <w:name w:val="_Style 2"/>
    <w:basedOn w:val="1"/>
    <w:qFormat/>
    <w:uiPriority w:val="0"/>
    <w:pPr>
      <w:ind w:firstLine="420" w:firstLineChars="200"/>
    </w:pPr>
  </w:style>
  <w:style w:type="paragraph" w:customStyle="1" w:styleId="70">
    <w:name w:val="msolistparagraph"/>
    <w:basedOn w:val="1"/>
    <w:qFormat/>
    <w:uiPriority w:val="0"/>
    <w:pPr>
      <w:ind w:firstLine="420" w:firstLineChars="200"/>
    </w:pPr>
    <w:rPr>
      <w:rFonts w:hint="eastAsia" w:hAnsi="宋体"/>
    </w:rPr>
  </w:style>
  <w:style w:type="character" w:customStyle="1" w:styleId="71">
    <w:name w:val="标题 5 字符"/>
    <w:link w:val="8"/>
    <w:qFormat/>
    <w:uiPriority w:val="0"/>
    <w:rPr>
      <w:b/>
      <w:sz w:val="28"/>
    </w:rPr>
  </w:style>
  <w:style w:type="character" w:customStyle="1" w:styleId="72">
    <w:name w:val="标题 1 字符"/>
    <w:link w:val="4"/>
    <w:qFormat/>
    <w:uiPriority w:val="9"/>
    <w:rPr>
      <w:b/>
      <w:kern w:val="44"/>
      <w:sz w:val="44"/>
    </w:rPr>
  </w:style>
  <w:style w:type="paragraph" w:customStyle="1" w:styleId="73">
    <w:name w:val="修订1"/>
    <w:hidden/>
    <w:semiHidden/>
    <w:qFormat/>
    <w:uiPriority w:val="99"/>
    <w:rPr>
      <w:rFonts w:ascii="Tahoma" w:hAnsi="Tahoma" w:eastAsia="宋体" w:cstheme="minorBidi"/>
      <w:sz w:val="21"/>
      <w:szCs w:val="22"/>
      <w:lang w:val="en-US" w:eastAsia="zh-CN" w:bidi="ar-SA"/>
    </w:rPr>
  </w:style>
  <w:style w:type="paragraph" w:customStyle="1" w:styleId="74">
    <w:name w:val="表格文字"/>
    <w:basedOn w:val="1"/>
    <w:qFormat/>
    <w:uiPriority w:val="0"/>
    <w:pPr>
      <w:adjustRightInd/>
      <w:spacing w:before="25" w:after="25"/>
    </w:pPr>
    <w:rPr>
      <w:rFonts w:ascii="Times New Roman"/>
      <w:bCs/>
      <w:spacing w:val="10"/>
      <w:szCs w:val="20"/>
    </w:rPr>
  </w:style>
  <w:style w:type="paragraph" w:customStyle="1" w:styleId="75">
    <w:name w:val="纯文本1"/>
    <w:basedOn w:val="76"/>
    <w:qFormat/>
    <w:uiPriority w:val="0"/>
    <w:rPr>
      <w:rFonts w:ascii="宋体" w:hAnsi="Courier New"/>
      <w:szCs w:val="20"/>
    </w:rPr>
  </w:style>
  <w:style w:type="paragraph" w:customStyle="1" w:styleId="76">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7">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8">
    <w:name w:val="Table Normal"/>
    <w:semiHidden/>
    <w:unhideWhenUsed/>
    <w:qFormat/>
    <w:uiPriority w:val="2"/>
    <w:tblPr>
      <w:tblCellMar>
        <w:top w:w="0" w:type="dxa"/>
        <w:left w:w="0" w:type="dxa"/>
        <w:bottom w:w="0" w:type="dxa"/>
        <w:right w:w="0" w:type="dxa"/>
      </w:tblCellMar>
    </w:tblPr>
  </w:style>
  <w:style w:type="paragraph" w:customStyle="1" w:styleId="79">
    <w:name w:val="Table Paragraph"/>
    <w:basedOn w:val="1"/>
    <w:qFormat/>
    <w:uiPriority w:val="1"/>
  </w:style>
  <w:style w:type="paragraph" w:customStyle="1" w:styleId="80">
    <w:name w:val="正文文本缩进1"/>
    <w:basedOn w:val="76"/>
    <w:qFormat/>
    <w:uiPriority w:val="0"/>
    <w:pPr>
      <w:spacing w:after="120"/>
      <w:ind w:left="420" w:leftChars="200"/>
    </w:pPr>
  </w:style>
  <w:style w:type="paragraph" w:customStyle="1" w:styleId="81">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纯文本2"/>
    <w:basedOn w:val="76"/>
    <w:qFormat/>
    <w:uiPriority w:val="0"/>
    <w:rPr>
      <w:rFonts w:ascii="宋体" w:hAnsi="Courier New"/>
      <w:szCs w:val="20"/>
    </w:rPr>
  </w:style>
  <w:style w:type="character" w:customStyle="1" w:styleId="83">
    <w:name w:val="font141"/>
    <w:qFormat/>
    <w:uiPriority w:val="0"/>
    <w:rPr>
      <w:rFonts w:hint="default" w:ascii="Times New Roman" w:hAnsi="Times New Roman" w:cs="Times New Roman"/>
      <w:color w:val="000000"/>
      <w:sz w:val="18"/>
      <w:szCs w:val="18"/>
      <w:u w:val="none"/>
    </w:rPr>
  </w:style>
  <w:style w:type="character" w:customStyle="1" w:styleId="84">
    <w:name w:val="font71"/>
    <w:qFormat/>
    <w:uiPriority w:val="0"/>
    <w:rPr>
      <w:rFonts w:hint="eastAsia" w:ascii="宋体" w:hAnsi="宋体" w:eastAsia="宋体" w:cs="宋体"/>
      <w:color w:val="000000"/>
      <w:sz w:val="18"/>
      <w:szCs w:val="18"/>
      <w:u w:val="none"/>
    </w:rPr>
  </w:style>
  <w:style w:type="paragraph" w:customStyle="1" w:styleId="85">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86">
    <w:name w:val="table"/>
    <w:qFormat/>
    <w:uiPriority w:val="0"/>
    <w:pPr>
      <w:adjustRightInd w:val="0"/>
      <w:snapToGrid w:val="0"/>
    </w:pPr>
    <w:rPr>
      <w:rFonts w:hint="default" w:ascii="宋体" w:hAnsi="Calibri" w:eastAsia="宋体" w:cs="Times New Roman"/>
      <w:kern w:val="2"/>
      <w:sz w:val="24"/>
      <w:szCs w:val="22"/>
      <w:lang w:val="en-US" w:eastAsia="zh-CN" w:bidi="ar-SA"/>
    </w:rPr>
  </w:style>
  <w:style w:type="paragraph" w:customStyle="1" w:styleId="8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2791</Words>
  <Characters>3382</Characters>
  <Lines>1</Lines>
  <Paragraphs>1</Paragraphs>
  <TotalTime>6</TotalTime>
  <ScaleCrop>false</ScaleCrop>
  <LinksUpToDate>false</LinksUpToDate>
  <CharactersWithSpaces>3583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Opt</cp:lastModifiedBy>
  <cp:lastPrinted>2026-03-04T02:16:00Z</cp:lastPrinted>
  <dcterms:modified xsi:type="dcterms:W3CDTF">2026-03-05T01:23:40Z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CC42A19C3753424D81FC559B4FA05C0D_13</vt:lpwstr>
  </property>
  <property fmtid="{D5CDD505-2E9C-101B-9397-08002B2CF9AE}" pid="4" name="KSOTemplateDocerSaveRecord">
    <vt:lpwstr>eyJoZGlkIjoiM2U2YWM2YjFjM2NjMjgwNTJhZTk4ZmQ4MjE1NDdmZTEiLCJ1c2VySWQiOiI0MTk5NTE4MTIifQ==</vt:lpwstr>
  </property>
</Properties>
</file>