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1D88A5">
      <w:pPr>
        <w:shd w:val="clear"/>
        <w:jc w:val="center"/>
        <w:rPr>
          <w:rFonts w:ascii="黑体" w:eastAsia="黑体"/>
          <w:b/>
          <w:color w:val="auto"/>
          <w:sz w:val="32"/>
          <w:szCs w:val="32"/>
          <w:highlight w:val="none"/>
        </w:rPr>
      </w:pPr>
    </w:p>
    <w:p w14:paraId="210C5C30">
      <w:pPr>
        <w:shd w:val="clear"/>
        <w:jc w:val="center"/>
        <w:rPr>
          <w:b/>
          <w:color w:val="auto"/>
          <w:sz w:val="72"/>
          <w:szCs w:val="32"/>
          <w:highlight w:val="none"/>
        </w:rPr>
      </w:pPr>
      <w:r>
        <w:rPr>
          <w:rFonts w:hint="eastAsia" w:ascii="黑体" w:eastAsia="黑体"/>
          <w:b/>
          <w:color w:val="auto"/>
          <w:sz w:val="72"/>
          <w:szCs w:val="32"/>
          <w:highlight w:val="none"/>
        </w:rPr>
        <w:t>公开招标文件</w:t>
      </w:r>
    </w:p>
    <w:p w14:paraId="0FAB8DAD">
      <w:pPr>
        <w:shd w:val="clea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14:paraId="7CA1676C">
      <w:pPr>
        <w:pStyle w:val="8"/>
        <w:shd w:val="clear"/>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14:paraId="7EEDEA57">
      <w:pPr>
        <w:pStyle w:val="24"/>
        <w:shd w:val="clear"/>
        <w:ind w:left="0" w:firstLine="0" w:firstLineChars="0"/>
        <w:rPr>
          <w:rFonts w:ascii="黑体" w:eastAsia="黑体"/>
          <w:color w:val="auto"/>
          <w:szCs w:val="21"/>
          <w:highlight w:val="none"/>
        </w:rPr>
      </w:pPr>
    </w:p>
    <w:tbl>
      <w:tblPr>
        <w:tblStyle w:val="26"/>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489EF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79" w:hRule="atLeast"/>
        </w:trPr>
        <w:tc>
          <w:tcPr>
            <w:tcW w:w="3100" w:type="dxa"/>
            <w:noWrap/>
            <w:vAlign w:val="center"/>
          </w:tcPr>
          <w:p w14:paraId="65E6D4E7">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0A63EC5E">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GDZT2025123C</w:t>
            </w:r>
          </w:p>
        </w:tc>
      </w:tr>
      <w:tr w14:paraId="32448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7A811D2">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29059AE4">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东莞市常平镇司马中学食材配送采购项目</w:t>
            </w:r>
          </w:p>
        </w:tc>
      </w:tr>
      <w:tr w14:paraId="603CB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863882C">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33C2CFBA">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东莞市常平镇司马中学</w:t>
            </w:r>
          </w:p>
        </w:tc>
      </w:tr>
      <w:tr w14:paraId="442DF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187CC54F">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7A03178A">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4585CE68">
      <w:pPr>
        <w:shd w:val="clear"/>
        <w:jc w:val="both"/>
        <w:rPr>
          <w:rFonts w:ascii="黑体" w:eastAsia="黑体"/>
          <w:color w:val="auto"/>
          <w:szCs w:val="21"/>
          <w:highlight w:val="none"/>
        </w:rPr>
      </w:pPr>
    </w:p>
    <w:p w14:paraId="75E09C9B">
      <w:pPr>
        <w:pStyle w:val="22"/>
        <w:shd w:val="clear"/>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14:paraId="7782D71F">
      <w:pPr>
        <w:shd w:val="clea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0C0902F3">
      <w:pPr>
        <w:keepNext w:val="0"/>
        <w:keepLines w:val="0"/>
        <w:pageBreakBefore w:val="0"/>
        <w:widowControl/>
        <w:shd w:val="clea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14:paraId="4464680F">
      <w:pPr>
        <w:pStyle w:val="35"/>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14:paraId="75FFDE4A">
      <w:pPr>
        <w:pStyle w:val="35"/>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14:paraId="7F87C3B4">
      <w:pPr>
        <w:pStyle w:val="35"/>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14:paraId="64CBC656">
      <w:pPr>
        <w:pStyle w:val="35"/>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14:paraId="28F0085D">
      <w:pPr>
        <w:pStyle w:val="35"/>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14:paraId="48667510">
      <w:pPr>
        <w:pStyle w:val="35"/>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14:paraId="1DD3A8A0">
      <w:pPr>
        <w:pStyle w:val="35"/>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14:paraId="6438BDAB">
      <w:pPr>
        <w:pStyle w:val="35"/>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14:paraId="032AE14D">
      <w:pPr>
        <w:pStyle w:val="35"/>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14:paraId="2746D0C6">
      <w:pPr>
        <w:pStyle w:val="22"/>
        <w:keepNext w:val="0"/>
        <w:keepLines w:val="0"/>
        <w:pageBreakBefore w:val="0"/>
        <w:widowControl/>
        <w:shd w:val="clear"/>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14:paraId="2FC0E74D">
      <w:pPr>
        <w:pStyle w:val="22"/>
        <w:shd w:val="clear"/>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14:paraId="3E37DFDE">
      <w:pPr>
        <w:pStyle w:val="22"/>
        <w:shd w:val="clear"/>
        <w:ind w:left="0" w:leftChars="0"/>
        <w:rPr>
          <w:color w:val="auto"/>
          <w:sz w:val="40"/>
          <w:szCs w:val="40"/>
          <w:highlight w:val="none"/>
        </w:rPr>
      </w:pPr>
      <w:r>
        <w:rPr>
          <w:rFonts w:hint="eastAsia"/>
          <w:color w:val="auto"/>
          <w:sz w:val="40"/>
          <w:szCs w:val="40"/>
          <w:highlight w:val="none"/>
        </w:rPr>
        <w:t>目录</w:t>
      </w:r>
    </w:p>
    <w:p w14:paraId="051C714F">
      <w:pPr>
        <w:pStyle w:val="22"/>
        <w:shd w:val="clear"/>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C8539E1">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16ED3D6">
      <w:pPr>
        <w:pStyle w:val="22"/>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0C77D624">
      <w:pPr>
        <w:pStyle w:val="22"/>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B6F4F6D">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A497FF1">
      <w:pPr>
        <w:pStyle w:val="22"/>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0EE20B3F">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E23581B">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92E2B28">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0D0F39A">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65FD84A">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CA94CAF">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6002ABE">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8595772">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FBD0456">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128959E">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D007CA8">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B29A1F7">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89CA90D">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24A4601">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F6EB810">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AC83C63">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182639F">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E59C12A">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71819B1">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10A4208">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2D42BF1">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3A9214D">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2851D85">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E2736F7">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27CFE09">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B89B843">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B1505FA">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104728D">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E4D55E6">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5925D07">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BE5C6FF">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0FA6BB2">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F04640D">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564C7A2">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4676823">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A33EBAB">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1A5B6AC">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BE50C43">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AD4F526">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647ED38">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D9E0F80">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D19227E">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1B1EAB0">
      <w:pPr>
        <w:pStyle w:val="17"/>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70DC74C">
      <w:pPr>
        <w:pStyle w:val="22"/>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1FB3B95">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3AFF0C1">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E8AB0B1">
      <w:pPr>
        <w:pStyle w:val="22"/>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58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706F6899">
      <w:pPr>
        <w:pStyle w:val="22"/>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96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654A5B42">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96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E5814A5">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97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77C6F7B">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98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8BEE969">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98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BEBB580">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99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52D0920">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100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B83B17F">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101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F107626">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102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BA6EB9A">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105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5E710CA">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106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6256ED9">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106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9B34FE2">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107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BABEFF9">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108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CB12BEE">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109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DFED05B">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110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3CFFC0B">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111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892295B">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112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8D8AFB1">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113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03F7168">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114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10FF20C">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114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9157E49">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116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80AD76C">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117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F7952BB">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118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762A4BB">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118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03E998E">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119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962C317">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120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390F1F6">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121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3D7860F">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122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CE97CDB">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123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D22C138">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124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658046F">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126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3B0B59F">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128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20B59EC">
      <w:pPr>
        <w:pStyle w:val="10"/>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130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42D1DA4">
      <w:pPr>
        <w:pStyle w:val="10"/>
        <w:shd w:val="clear"/>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131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DFECAEE">
      <w:pPr>
        <w:pStyle w:val="17"/>
        <w:shd w:val="clear"/>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37574ABB">
      <w:pPr>
        <w:shd w:val="clear"/>
        <w:rPr>
          <w:rFonts w:ascii="宋体" w:hAnsi="宋体" w:cs="宋体"/>
          <w:color w:val="auto"/>
          <w:szCs w:val="21"/>
          <w:highlight w:val="none"/>
        </w:rPr>
      </w:pPr>
      <w:r>
        <w:rPr>
          <w:rFonts w:hint="eastAsia" w:ascii="宋体" w:hAnsi="宋体" w:cs="宋体"/>
          <w:color w:val="auto"/>
          <w:szCs w:val="21"/>
          <w:highlight w:val="none"/>
        </w:rPr>
        <w:br w:type="page"/>
      </w:r>
    </w:p>
    <w:p w14:paraId="5584D8B6">
      <w:pPr>
        <w:pStyle w:val="3"/>
        <w:shd w:val="clear"/>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14:paraId="1E408875">
      <w:pPr>
        <w:pStyle w:val="4"/>
        <w:shd w:val="clear"/>
        <w:jc w:val="center"/>
        <w:rPr>
          <w:rFonts w:ascii="宋体" w:hAnsi="宋体" w:cs="宋体"/>
          <w:color w:val="auto"/>
          <w:highlight w:val="none"/>
        </w:rPr>
      </w:pPr>
      <w:bookmarkStart w:id="2" w:name="_Toc7123"/>
      <w:bookmarkStart w:id="3" w:name="_Toc8850"/>
      <w:bookmarkStart w:id="4" w:name="_Toc1420"/>
      <w:r>
        <w:rPr>
          <w:rFonts w:hint="eastAsia" w:ascii="宋体" w:hAnsi="宋体" w:cs="宋体"/>
          <w:color w:val="auto"/>
          <w:highlight w:val="none"/>
        </w:rPr>
        <w:t>投标邀请书</w:t>
      </w:r>
      <w:bookmarkEnd w:id="2"/>
      <w:bookmarkEnd w:id="3"/>
      <w:bookmarkEnd w:id="4"/>
    </w:p>
    <w:p w14:paraId="5FA40F01">
      <w:pPr>
        <w:shd w:val="clea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东莞市常平镇司马中学</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东莞市常平镇司马中学食材配送采购项目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2CA30B83">
      <w:pPr>
        <w:shd w:val="clear"/>
        <w:ind w:firstLine="422" w:firstLineChars="200"/>
        <w:rPr>
          <w:rFonts w:ascii="宋体" w:hAnsi="宋体"/>
          <w:b/>
          <w:color w:val="auto"/>
          <w:szCs w:val="21"/>
          <w:highlight w:val="none"/>
        </w:rPr>
      </w:pPr>
    </w:p>
    <w:p w14:paraId="47C4EDDD">
      <w:pPr>
        <w:numPr>
          <w:ilvl w:val="0"/>
          <w:numId w:val="0"/>
        </w:numPr>
        <w:shd w:val="clear"/>
        <w:ind w:firstLine="413" w:firstLineChars="196"/>
        <w:rPr>
          <w:rFonts w:ascii="宋体" w:hAnsi="宋体"/>
          <w:b/>
          <w:color w:val="auto"/>
          <w:szCs w:val="21"/>
          <w:highlight w:val="none"/>
        </w:rPr>
      </w:pPr>
      <w:r>
        <w:rPr>
          <w:rFonts w:hint="eastAsia" w:ascii="宋体" w:hAnsi="宋体" w:eastAsia="宋体" w:cstheme="minorBidi"/>
          <w:b/>
          <w:color w:val="auto"/>
          <w:sz w:val="21"/>
          <w:szCs w:val="21"/>
          <w:highlight w:val="none"/>
          <w:lang w:val="en-US" w:eastAsia="zh-CN" w:bidi="ar-SA"/>
        </w:rPr>
        <w:t>一、</w:t>
      </w:r>
      <w:r>
        <w:rPr>
          <w:rFonts w:hint="eastAsia" w:ascii="宋体" w:hAnsi="宋体"/>
          <w:b/>
          <w:color w:val="auto"/>
          <w:szCs w:val="21"/>
          <w:highlight w:val="none"/>
        </w:rPr>
        <w:t>招标项目信息</w:t>
      </w:r>
    </w:p>
    <w:p w14:paraId="79A88DC4">
      <w:pPr>
        <w:numPr>
          <w:ilvl w:val="0"/>
          <w:numId w:val="0"/>
        </w:numPr>
        <w:shd w:val="clear"/>
        <w:ind w:firstLine="420" w:firstLineChars="200"/>
        <w:rPr>
          <w:rFonts w:ascii="宋体" w:hAnsi="宋体"/>
          <w:color w:val="auto"/>
          <w:szCs w:val="21"/>
          <w:highlight w:val="none"/>
        </w:rPr>
      </w:pPr>
      <w:r>
        <w:rPr>
          <w:rFonts w:ascii="宋体" w:hAnsi="宋体" w:eastAsia="宋体" w:cstheme="minorBidi"/>
          <w:color w:val="auto"/>
          <w:sz w:val="21"/>
          <w:szCs w:val="21"/>
          <w:highlight w:val="none"/>
          <w:lang w:val="en-US" w:eastAsia="zh-CN" w:bidi="ar-SA"/>
        </w:rPr>
        <w:t>1、</w:t>
      </w:r>
      <w:r>
        <w:rPr>
          <w:rFonts w:hint="eastAsia" w:ascii="宋体" w:hAnsi="宋体"/>
          <w:color w:val="auto"/>
          <w:szCs w:val="21"/>
          <w:highlight w:val="none"/>
        </w:rPr>
        <w:t>项目编号：</w:t>
      </w:r>
      <w:r>
        <w:rPr>
          <w:rFonts w:hint="eastAsia" w:ascii="宋体" w:hAnsi="宋体"/>
          <w:color w:val="auto"/>
          <w:szCs w:val="21"/>
          <w:highlight w:val="none"/>
          <w:lang w:eastAsia="zh-CN"/>
        </w:rPr>
        <w:t>GDZT2025123C</w:t>
      </w:r>
      <w:r>
        <w:rPr>
          <w:rFonts w:hint="eastAsia" w:ascii="宋体" w:hAnsi="宋体"/>
          <w:color w:val="auto"/>
          <w:szCs w:val="21"/>
          <w:highlight w:val="none"/>
        </w:rPr>
        <w:t>；</w:t>
      </w:r>
    </w:p>
    <w:p w14:paraId="2C2E9713">
      <w:pPr>
        <w:numPr>
          <w:ilvl w:val="0"/>
          <w:numId w:val="0"/>
        </w:numPr>
        <w:shd w:val="clear"/>
        <w:ind w:firstLine="420" w:firstLineChars="200"/>
        <w:rPr>
          <w:rFonts w:ascii="宋体" w:hAnsi="宋体"/>
          <w:color w:val="auto"/>
          <w:szCs w:val="21"/>
          <w:highlight w:val="none"/>
        </w:rPr>
      </w:pPr>
      <w:r>
        <w:rPr>
          <w:rFonts w:ascii="宋体" w:hAnsi="宋体" w:eastAsia="宋体" w:cstheme="minorBidi"/>
          <w:color w:val="auto"/>
          <w:sz w:val="21"/>
          <w:szCs w:val="21"/>
          <w:highlight w:val="none"/>
          <w:lang w:val="en-US" w:eastAsia="zh-CN" w:bidi="ar-SA"/>
        </w:rPr>
        <w:t>2、</w:t>
      </w:r>
      <w:r>
        <w:rPr>
          <w:rFonts w:hint="eastAsia" w:ascii="宋体" w:hAnsi="宋体"/>
          <w:color w:val="auto"/>
          <w:szCs w:val="21"/>
          <w:highlight w:val="none"/>
        </w:rPr>
        <w:t>项目名称：</w:t>
      </w:r>
      <w:r>
        <w:rPr>
          <w:rFonts w:hint="eastAsia" w:ascii="宋体" w:hAnsi="宋体" w:cs="宋体"/>
          <w:color w:val="auto"/>
          <w:szCs w:val="21"/>
          <w:highlight w:val="none"/>
          <w:lang w:eastAsia="zh-CN"/>
        </w:rPr>
        <w:t>东莞市常平镇司马中学食材配送采购项目</w:t>
      </w:r>
      <w:r>
        <w:rPr>
          <w:rFonts w:hint="eastAsia" w:ascii="宋体" w:hAnsi="宋体"/>
          <w:color w:val="auto"/>
          <w:szCs w:val="21"/>
          <w:highlight w:val="none"/>
        </w:rPr>
        <w:t>；</w:t>
      </w:r>
    </w:p>
    <w:p w14:paraId="6BED565F">
      <w:pPr>
        <w:shd w:val="clear"/>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预算金额：</w:t>
      </w:r>
      <w:r>
        <w:rPr>
          <w:rFonts w:hint="eastAsia" w:ascii="宋体" w:hAnsi="宋体"/>
          <w:color w:val="auto"/>
          <w:szCs w:val="21"/>
          <w:highlight w:val="none"/>
          <w:lang w:val="en-US" w:eastAsia="zh-CN"/>
        </w:rPr>
        <w:t>23,000,000.00</w:t>
      </w:r>
      <w:r>
        <w:rPr>
          <w:rFonts w:hint="eastAsia" w:ascii="宋体" w:hAnsi="宋体"/>
          <w:color w:val="auto"/>
          <w:szCs w:val="21"/>
          <w:highlight w:val="none"/>
        </w:rPr>
        <w:t>元</w:t>
      </w:r>
    </w:p>
    <w:p w14:paraId="33371878">
      <w:pPr>
        <w:shd w:val="clear"/>
        <w:ind w:firstLine="420" w:firstLineChars="200"/>
        <w:rPr>
          <w:rFonts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、项目内容：</w:t>
      </w:r>
    </w:p>
    <w:tbl>
      <w:tblPr>
        <w:tblStyle w:val="25"/>
        <w:tblW w:w="7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2"/>
        <w:gridCol w:w="3300"/>
        <w:gridCol w:w="1134"/>
        <w:gridCol w:w="981"/>
        <w:gridCol w:w="1597"/>
      </w:tblGrid>
      <w:tr w14:paraId="4BB2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82" w:type="dxa"/>
            <w:noWrap/>
            <w:tcMar>
              <w:top w:w="15" w:type="dxa"/>
              <w:left w:w="15" w:type="dxa"/>
              <w:right w:w="15" w:type="dxa"/>
            </w:tcMar>
            <w:vAlign w:val="center"/>
          </w:tcPr>
          <w:p w14:paraId="5D4EEAC5">
            <w:pPr>
              <w:shd w:val="clea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包号</w:t>
            </w:r>
          </w:p>
        </w:tc>
        <w:tc>
          <w:tcPr>
            <w:tcW w:w="3300" w:type="dxa"/>
            <w:noWrap/>
            <w:tcMar>
              <w:top w:w="15" w:type="dxa"/>
              <w:left w:w="15" w:type="dxa"/>
              <w:right w:w="15" w:type="dxa"/>
            </w:tcMar>
            <w:vAlign w:val="center"/>
          </w:tcPr>
          <w:p w14:paraId="42B316D0">
            <w:pPr>
              <w:shd w:val="clea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1134" w:type="dxa"/>
            <w:noWrap/>
            <w:tcMar>
              <w:top w:w="15" w:type="dxa"/>
              <w:left w:w="15" w:type="dxa"/>
              <w:right w:w="15" w:type="dxa"/>
            </w:tcMar>
            <w:vAlign w:val="center"/>
          </w:tcPr>
          <w:p w14:paraId="64C13CBA">
            <w:pPr>
              <w:shd w:val="clear"/>
              <w:spacing w:line="240" w:lineRule="auto"/>
              <w:jc w:val="center"/>
              <w:rPr>
                <w:rFonts w:ascii="宋体" w:hAnsi="宋体"/>
                <w:color w:val="auto"/>
                <w:szCs w:val="21"/>
                <w:highlight w:val="none"/>
              </w:rPr>
            </w:pPr>
            <w:r>
              <w:rPr>
                <w:rFonts w:hint="eastAsia" w:ascii="宋体" w:hAnsi="宋体"/>
                <w:color w:val="auto"/>
                <w:szCs w:val="21"/>
                <w:highlight w:val="none"/>
                <w:lang w:val="en-US" w:eastAsia="zh-CN"/>
              </w:rPr>
              <w:t>采购</w:t>
            </w:r>
            <w:r>
              <w:rPr>
                <w:rFonts w:hint="eastAsia" w:ascii="宋体" w:hAnsi="宋体"/>
                <w:color w:val="auto"/>
                <w:szCs w:val="21"/>
                <w:highlight w:val="none"/>
              </w:rPr>
              <w:t>数量</w:t>
            </w:r>
          </w:p>
        </w:tc>
        <w:tc>
          <w:tcPr>
            <w:tcW w:w="981" w:type="dxa"/>
            <w:noWrap/>
            <w:tcMar>
              <w:top w:w="15" w:type="dxa"/>
              <w:left w:w="15" w:type="dxa"/>
              <w:right w:w="15" w:type="dxa"/>
            </w:tcMar>
            <w:vAlign w:val="center"/>
          </w:tcPr>
          <w:p w14:paraId="144A2822">
            <w:pPr>
              <w:shd w:val="clea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服务期</w:t>
            </w:r>
          </w:p>
        </w:tc>
        <w:tc>
          <w:tcPr>
            <w:tcW w:w="1597" w:type="dxa"/>
            <w:noWrap/>
            <w:tcMar>
              <w:top w:w="15" w:type="dxa"/>
              <w:left w:w="15" w:type="dxa"/>
              <w:right w:w="15" w:type="dxa"/>
            </w:tcMar>
            <w:vAlign w:val="center"/>
          </w:tcPr>
          <w:p w14:paraId="6826443E">
            <w:pPr>
              <w:shd w:val="clea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预算</w:t>
            </w:r>
            <w:r>
              <w:rPr>
                <w:rFonts w:hint="eastAsia" w:ascii="宋体" w:hAnsi="宋体"/>
                <w:color w:val="auto"/>
                <w:szCs w:val="21"/>
                <w:highlight w:val="none"/>
                <w:lang w:val="en-US" w:eastAsia="zh-CN"/>
              </w:rPr>
              <w:t>金额（元）</w:t>
            </w:r>
          </w:p>
        </w:tc>
      </w:tr>
      <w:tr w14:paraId="3582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982" w:type="dxa"/>
            <w:noWrap/>
            <w:tcMar>
              <w:top w:w="15" w:type="dxa"/>
              <w:left w:w="15" w:type="dxa"/>
              <w:right w:w="15" w:type="dxa"/>
            </w:tcMar>
            <w:vAlign w:val="center"/>
          </w:tcPr>
          <w:p w14:paraId="3AC99BBC">
            <w:pPr>
              <w:shd w:val="clear"/>
              <w:spacing w:line="240" w:lineRule="auto"/>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采购包</w:t>
            </w:r>
            <w:r>
              <w:rPr>
                <w:rFonts w:hint="eastAsia" w:ascii="宋体" w:hAnsi="宋体" w:cs="宋体"/>
                <w:color w:val="auto"/>
                <w:szCs w:val="21"/>
                <w:highlight w:val="none"/>
              </w:rPr>
              <w:t>1</w:t>
            </w:r>
          </w:p>
        </w:tc>
        <w:tc>
          <w:tcPr>
            <w:tcW w:w="3300" w:type="dxa"/>
            <w:noWrap/>
            <w:tcMar>
              <w:top w:w="15" w:type="dxa"/>
              <w:left w:w="15" w:type="dxa"/>
              <w:right w:w="15" w:type="dxa"/>
            </w:tcMar>
            <w:vAlign w:val="center"/>
          </w:tcPr>
          <w:p w14:paraId="112B5AC5">
            <w:pPr>
              <w:shd w:val="clear"/>
              <w:spacing w:line="240" w:lineRule="auto"/>
              <w:jc w:val="center"/>
              <w:textAlignment w:val="center"/>
              <w:rPr>
                <w:rFonts w:hint="eastAsia" w:ascii="宋体" w:hAnsi="宋体"/>
                <w:color w:val="auto"/>
                <w:szCs w:val="21"/>
                <w:highlight w:val="none"/>
                <w:lang w:eastAsia="zh-CN"/>
              </w:rPr>
            </w:pPr>
            <w:r>
              <w:rPr>
                <w:rFonts w:hint="eastAsia" w:ascii="宋体" w:hAnsi="宋体"/>
                <w:color w:val="auto"/>
                <w:szCs w:val="21"/>
                <w:highlight w:val="none"/>
                <w:lang w:eastAsia="zh-CN"/>
              </w:rPr>
              <w:t>东莞市常平镇司马中学食材配送采购项目（鲜肉类、家禽类、水产类、冻品类）</w:t>
            </w:r>
          </w:p>
        </w:tc>
        <w:tc>
          <w:tcPr>
            <w:tcW w:w="1134" w:type="dxa"/>
            <w:noWrap/>
            <w:tcMar>
              <w:top w:w="15" w:type="dxa"/>
              <w:left w:w="15" w:type="dxa"/>
              <w:right w:w="15" w:type="dxa"/>
            </w:tcMar>
            <w:vAlign w:val="center"/>
          </w:tcPr>
          <w:p w14:paraId="32A9A05B">
            <w:pPr>
              <w:shd w:val="clear"/>
              <w:spacing w:line="240" w:lineRule="auto"/>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家</w:t>
            </w:r>
          </w:p>
        </w:tc>
        <w:tc>
          <w:tcPr>
            <w:tcW w:w="981" w:type="dxa"/>
            <w:vMerge w:val="restart"/>
            <w:noWrap/>
            <w:tcMar>
              <w:top w:w="15" w:type="dxa"/>
              <w:left w:w="15" w:type="dxa"/>
              <w:right w:w="15" w:type="dxa"/>
            </w:tcMar>
            <w:vAlign w:val="center"/>
          </w:tcPr>
          <w:p w14:paraId="13DB68C5">
            <w:pPr>
              <w:shd w:val="clear"/>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三年</w:t>
            </w:r>
          </w:p>
        </w:tc>
        <w:tc>
          <w:tcPr>
            <w:tcW w:w="1597" w:type="dxa"/>
            <w:noWrap/>
            <w:tcMar>
              <w:top w:w="15" w:type="dxa"/>
              <w:left w:w="15" w:type="dxa"/>
              <w:right w:w="15" w:type="dxa"/>
            </w:tcMar>
            <w:vAlign w:val="center"/>
          </w:tcPr>
          <w:p w14:paraId="6B631D3E">
            <w:pPr>
              <w:shd w:val="clear"/>
              <w:spacing w:line="240" w:lineRule="auto"/>
              <w:jc w:val="center"/>
              <w:textAlignment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11,500,000.00</w:t>
            </w:r>
          </w:p>
        </w:tc>
      </w:tr>
      <w:tr w14:paraId="2802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982" w:type="dxa"/>
            <w:noWrap/>
            <w:tcMar>
              <w:top w:w="15" w:type="dxa"/>
              <w:left w:w="15" w:type="dxa"/>
              <w:right w:w="15" w:type="dxa"/>
            </w:tcMar>
            <w:vAlign w:val="center"/>
          </w:tcPr>
          <w:p w14:paraId="3481FA63">
            <w:pPr>
              <w:shd w:val="clea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lang w:val="en-US" w:eastAsia="zh-CN"/>
              </w:rPr>
              <w:t>采购包2</w:t>
            </w:r>
          </w:p>
        </w:tc>
        <w:tc>
          <w:tcPr>
            <w:tcW w:w="3300" w:type="dxa"/>
            <w:noWrap/>
            <w:tcMar>
              <w:top w:w="15" w:type="dxa"/>
              <w:left w:w="15" w:type="dxa"/>
              <w:right w:w="15" w:type="dxa"/>
            </w:tcMar>
            <w:vAlign w:val="center"/>
          </w:tcPr>
          <w:p w14:paraId="3E05E18B">
            <w:pPr>
              <w:shd w:val="clea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东莞市常平镇司马中学食材配送采购项目（蔬果类、蛋类、调料及干货类、副食类、粮油类、粉面类）</w:t>
            </w:r>
          </w:p>
        </w:tc>
        <w:tc>
          <w:tcPr>
            <w:tcW w:w="1134" w:type="dxa"/>
            <w:noWrap/>
            <w:tcMar>
              <w:top w:w="15" w:type="dxa"/>
              <w:left w:w="15" w:type="dxa"/>
              <w:right w:w="15" w:type="dxa"/>
            </w:tcMar>
            <w:vAlign w:val="center"/>
          </w:tcPr>
          <w:p w14:paraId="3F91BABF">
            <w:pPr>
              <w:shd w:val="clea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家</w:t>
            </w:r>
          </w:p>
        </w:tc>
        <w:tc>
          <w:tcPr>
            <w:tcW w:w="981" w:type="dxa"/>
            <w:vMerge w:val="continue"/>
            <w:noWrap/>
            <w:tcMar>
              <w:top w:w="15" w:type="dxa"/>
              <w:left w:w="15" w:type="dxa"/>
              <w:right w:w="15" w:type="dxa"/>
            </w:tcMar>
            <w:vAlign w:val="center"/>
          </w:tcPr>
          <w:p w14:paraId="3576BBBF">
            <w:pPr>
              <w:shd w:val="clear"/>
              <w:spacing w:line="240" w:lineRule="auto"/>
              <w:jc w:val="center"/>
              <w:textAlignment w:val="center"/>
              <w:rPr>
                <w:rFonts w:hint="eastAsia" w:ascii="宋体" w:hAnsi="宋体" w:eastAsia="宋体" w:cs="宋体"/>
                <w:color w:val="auto"/>
                <w:szCs w:val="21"/>
                <w:highlight w:val="none"/>
                <w:lang w:val="en-US" w:eastAsia="zh-CN"/>
              </w:rPr>
            </w:pPr>
          </w:p>
        </w:tc>
        <w:tc>
          <w:tcPr>
            <w:tcW w:w="1597" w:type="dxa"/>
            <w:noWrap/>
            <w:tcMar>
              <w:top w:w="15" w:type="dxa"/>
              <w:left w:w="15" w:type="dxa"/>
              <w:right w:w="15" w:type="dxa"/>
            </w:tcMar>
            <w:vAlign w:val="center"/>
          </w:tcPr>
          <w:p w14:paraId="7E9C24B5">
            <w:pPr>
              <w:shd w:val="clear"/>
              <w:spacing w:line="240" w:lineRule="auto"/>
              <w:jc w:val="center"/>
              <w:textAlignment w:val="center"/>
              <w:rPr>
                <w:rFonts w:hint="default" w:ascii="宋体" w:hAnsi="宋体" w:eastAsia="宋体"/>
                <w:color w:val="auto"/>
                <w:szCs w:val="21"/>
                <w:highlight w:val="none"/>
                <w:lang w:val="en-US" w:eastAsia="zh-CN"/>
              </w:rPr>
            </w:pPr>
            <w:r>
              <w:rPr>
                <w:rFonts w:hint="default" w:ascii="宋体" w:hAnsi="宋体" w:eastAsia="宋体"/>
                <w:color w:val="auto"/>
                <w:szCs w:val="21"/>
                <w:highlight w:val="none"/>
                <w:lang w:val="en-US" w:eastAsia="zh-CN"/>
              </w:rPr>
              <w:t>11,500,000.00</w:t>
            </w:r>
          </w:p>
        </w:tc>
      </w:tr>
    </w:tbl>
    <w:p w14:paraId="581BEB8B">
      <w:pPr>
        <w:pStyle w:val="8"/>
        <w:shd w:val="clear"/>
        <w:spacing w:before="0"/>
        <w:ind w:left="0"/>
        <w:rPr>
          <w:color w:val="auto"/>
          <w:sz w:val="21"/>
          <w:szCs w:val="21"/>
          <w:highlight w:val="none"/>
        </w:rPr>
      </w:pPr>
    </w:p>
    <w:p w14:paraId="53E4945C">
      <w:pPr>
        <w:shd w:val="clea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0504DC72">
      <w:pPr>
        <w:shd w:val="clea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5D812EE6">
      <w:pPr>
        <w:shd w:val="clea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14:paraId="4560A7B3">
      <w:pPr>
        <w:shd w:val="clea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4315E3B6">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43A72C3B">
      <w:pPr>
        <w:shd w:val="clea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74AE892E">
      <w:pPr>
        <w:shd w:val="clea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14:paraId="305812D7">
      <w:pPr>
        <w:shd w:val="clear"/>
        <w:rPr>
          <w:color w:val="auto"/>
          <w:highlight w:val="none"/>
        </w:rPr>
      </w:pPr>
    </w:p>
    <w:p w14:paraId="7CF1DF8E">
      <w:pPr>
        <w:shd w:val="clear"/>
        <w:ind w:firstLine="411" w:firstLineChars="196"/>
        <w:rPr>
          <w:rFonts w:ascii="宋体" w:hAnsi="宋体"/>
          <w:color w:val="auto"/>
          <w:szCs w:val="21"/>
          <w:highlight w:val="none"/>
        </w:rPr>
      </w:pPr>
      <w:r>
        <w:rPr>
          <w:rFonts w:hint="eastAsia" w:ascii="宋体" w:hAnsi="宋体"/>
          <w:color w:val="auto"/>
          <w:szCs w:val="21"/>
          <w:highlight w:val="none"/>
        </w:rPr>
        <w:t>2、特殊要求：</w:t>
      </w:r>
    </w:p>
    <w:p w14:paraId="1F48F0C2">
      <w:pPr>
        <w:shd w:val="clear"/>
        <w:spacing w:after="0" w:line="360" w:lineRule="auto"/>
        <w:ind w:firstLine="411" w:firstLineChars="196"/>
        <w:rPr>
          <w:rFonts w:hint="default"/>
          <w:color w:val="auto"/>
          <w:highlight w:val="none"/>
          <w:lang w:val="en-US" w:eastAsia="zh-CN"/>
        </w:rPr>
      </w:pPr>
      <w:r>
        <w:rPr>
          <w:rFonts w:hint="eastAsia"/>
          <w:color w:val="auto"/>
          <w:highlight w:val="none"/>
          <w:lang w:val="en-US" w:eastAsia="zh-CN"/>
        </w:rPr>
        <w:t>采购包1：（1）投标人须具有有效期内的《食品经营许可证》或《食品生产许可证》（注：须提供许可证复印件并加盖投标人公章）。</w:t>
      </w: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本</w:t>
      </w:r>
      <w:r>
        <w:rPr>
          <w:rFonts w:hint="eastAsia"/>
          <w:color w:val="auto"/>
          <w:highlight w:val="none"/>
          <w:lang w:val="en-US" w:eastAsia="zh-CN"/>
        </w:rPr>
        <w:t>采购包</w:t>
      </w:r>
      <w:r>
        <w:rPr>
          <w:rFonts w:hint="eastAsia"/>
          <w:color w:val="auto"/>
          <w:highlight w:val="none"/>
        </w:rPr>
        <w:t>整体专门面向中小企业采购。投标人须符合本项目采购标的对应行业（本项目行业为：</w:t>
      </w:r>
      <w:r>
        <w:rPr>
          <w:rFonts w:hint="eastAsia"/>
          <w:color w:val="auto"/>
          <w:highlight w:val="none"/>
          <w:lang w:val="en-US" w:eastAsia="zh-CN"/>
        </w:rPr>
        <w:t>批发业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14:paraId="203CFDE5">
      <w:pPr>
        <w:shd w:val="clear"/>
        <w:spacing w:after="0" w:line="360" w:lineRule="auto"/>
        <w:ind w:firstLine="411" w:firstLineChars="196"/>
        <w:rPr>
          <w:rFonts w:hint="eastAsia"/>
          <w:color w:val="auto"/>
          <w:highlight w:val="none"/>
          <w:lang w:eastAsia="zh-CN"/>
        </w:rPr>
      </w:pPr>
      <w:r>
        <w:rPr>
          <w:rFonts w:hint="eastAsia"/>
          <w:color w:val="auto"/>
          <w:highlight w:val="none"/>
          <w:lang w:val="en-US" w:eastAsia="zh-CN"/>
        </w:rPr>
        <w:t>采购包2：（1）投标人须具有有效期内的《食品经营许可证》或《食品生产许可证》（注：须提供许可证复印件并加盖投标人公章）。</w:t>
      </w: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本</w:t>
      </w:r>
      <w:r>
        <w:rPr>
          <w:rFonts w:hint="eastAsia"/>
          <w:color w:val="auto"/>
          <w:highlight w:val="none"/>
          <w:lang w:val="en-US" w:eastAsia="zh-CN"/>
        </w:rPr>
        <w:t>采购包</w:t>
      </w:r>
      <w:r>
        <w:rPr>
          <w:rFonts w:hint="eastAsia"/>
          <w:color w:val="auto"/>
          <w:highlight w:val="none"/>
        </w:rPr>
        <w:t>整体专门面向中小企业采购。投标人须符合本项目采购标的对应行业（本项目行业为：</w:t>
      </w:r>
      <w:r>
        <w:rPr>
          <w:rFonts w:hint="eastAsia"/>
          <w:color w:val="auto"/>
          <w:highlight w:val="none"/>
          <w:lang w:val="en-US" w:eastAsia="zh-CN"/>
        </w:rPr>
        <w:t>批发业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14:paraId="58E19DCB">
      <w:pPr>
        <w:pStyle w:val="8"/>
        <w:shd w:val="clear"/>
        <w:spacing w:before="0"/>
        <w:ind w:left="0"/>
        <w:rPr>
          <w:color w:val="auto"/>
          <w:sz w:val="21"/>
          <w:szCs w:val="21"/>
          <w:highlight w:val="none"/>
        </w:rPr>
      </w:pPr>
    </w:p>
    <w:p w14:paraId="345CB1C2">
      <w:pPr>
        <w:shd w:val="clea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3C5560D4">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日起至</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日。</w:t>
      </w:r>
    </w:p>
    <w:p w14:paraId="50D45907">
      <w:pPr>
        <w:shd w:val="clea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日起至</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 xml:space="preserve">日（节假日除外），上午9：00～12：00，下午14：30～17：30（北京时间）。 </w:t>
      </w:r>
    </w:p>
    <w:p w14:paraId="6193459F">
      <w:pPr>
        <w:shd w:val="clea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33CEE8C4">
      <w:pPr>
        <w:shd w:val="clea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14:paraId="4C4870C4">
      <w:pPr>
        <w:shd w:val="clea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14:paraId="644E77A6">
      <w:pPr>
        <w:shd w:val="clea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27BC3D51">
      <w:pPr>
        <w:shd w:val="clea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eastAsia="zh-CN"/>
        </w:rPr>
        <w:t>梁先生</w:t>
      </w:r>
    </w:p>
    <w:p w14:paraId="1576715B">
      <w:pPr>
        <w:shd w:val="clea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70C4AF6D">
      <w:pPr>
        <w:shd w:val="clea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68EB3EF7">
      <w:pPr>
        <w:shd w:val="clea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7806E1BF">
      <w:pPr>
        <w:shd w:val="clear"/>
        <w:rPr>
          <w:color w:val="auto"/>
          <w:highlight w:val="none"/>
        </w:rPr>
      </w:pPr>
    </w:p>
    <w:p w14:paraId="2EA27034">
      <w:pPr>
        <w:shd w:val="clea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7F7E5004">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2025年</w:t>
      </w:r>
      <w:r>
        <w:rPr>
          <w:rFonts w:hint="eastAsia" w:ascii="宋体" w:hAnsi="宋体"/>
          <w:bCs/>
          <w:color w:val="auto"/>
          <w:szCs w:val="21"/>
          <w:highlight w:val="non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lang w:val="en-US" w:eastAsia="zh-CN"/>
        </w:rPr>
        <w:t>3</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p>
    <w:p w14:paraId="7CF9DC88">
      <w:pPr>
        <w:shd w:val="clea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2025年</w:t>
      </w:r>
      <w:r>
        <w:rPr>
          <w:rFonts w:hint="eastAsia" w:ascii="宋体" w:hAnsi="宋体"/>
          <w:bCs/>
          <w:color w:val="auto"/>
          <w:szCs w:val="21"/>
          <w:highlight w:val="non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lang w:val="en-US" w:eastAsia="zh-CN"/>
        </w:rPr>
        <w:t>3</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w:t>
      </w:r>
      <w:r>
        <w:rPr>
          <w:rFonts w:hint="eastAsia" w:ascii="宋体" w:hAnsi="宋体"/>
          <w:bCs/>
          <w:color w:val="auto"/>
          <w:szCs w:val="21"/>
          <w:highlight w:val="none"/>
          <w:lang w:val="en-US" w:eastAsia="zh-CN"/>
        </w:rPr>
        <w:t>3</w:t>
      </w:r>
      <w:r>
        <w:rPr>
          <w:rFonts w:hint="eastAsia" w:ascii="宋体" w:hAnsi="宋体"/>
          <w:bCs/>
          <w:color w:val="auto"/>
          <w:szCs w:val="21"/>
          <w:highlight w:val="none"/>
        </w:rPr>
        <w:t>0分。</w:t>
      </w:r>
    </w:p>
    <w:p w14:paraId="11004A8F">
      <w:pPr>
        <w:shd w:val="clea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21714AF6">
      <w:pPr>
        <w:shd w:val="clear"/>
        <w:ind w:firstLine="411" w:firstLineChars="196"/>
        <w:rPr>
          <w:rFonts w:ascii="宋体" w:hAnsi="宋体"/>
          <w:bCs/>
          <w:color w:val="auto"/>
          <w:szCs w:val="21"/>
          <w:highlight w:val="none"/>
        </w:rPr>
      </w:pPr>
    </w:p>
    <w:p w14:paraId="2EB99C34">
      <w:pPr>
        <w:shd w:val="clea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37D0251C">
      <w:pPr>
        <w:shd w:val="clea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采购人联系人：王珂</w:t>
      </w:r>
      <w:r>
        <w:rPr>
          <w:rFonts w:hint="eastAsia" w:ascii="宋体" w:hAnsi="宋体"/>
          <w:bCs/>
          <w:color w:val="auto"/>
          <w:sz w:val="21"/>
          <w:szCs w:val="21"/>
          <w:highlight w:val="none"/>
          <w:lang w:val="en-US" w:eastAsia="zh-CN"/>
        </w:rPr>
        <w:t xml:space="preserve"> </w:t>
      </w:r>
    </w:p>
    <w:p w14:paraId="7E5B2C90">
      <w:pPr>
        <w:shd w:val="clea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地址：广东省东莞市常平镇司马村槎湖二路1号</w:t>
      </w:r>
    </w:p>
    <w:p w14:paraId="659A42D0">
      <w:pPr>
        <w:shd w:val="clea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联系电话：0769-82827583</w:t>
      </w:r>
    </w:p>
    <w:p w14:paraId="53199F1D">
      <w:pPr>
        <w:shd w:val="clear"/>
        <w:ind w:firstLine="420" w:firstLineChars="200"/>
        <w:rPr>
          <w:rFonts w:ascii="宋体" w:hAnsi="宋体"/>
          <w:color w:val="auto"/>
          <w:szCs w:val="21"/>
          <w:highlight w:val="none"/>
        </w:rPr>
      </w:pPr>
    </w:p>
    <w:p w14:paraId="000E739F">
      <w:pPr>
        <w:shd w:val="clea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509F8618">
      <w:pPr>
        <w:shd w:val="clea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19B19FE2">
      <w:pPr>
        <w:shd w:val="clea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576270D5">
      <w:pPr>
        <w:shd w:val="clea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13E2A109">
      <w:pPr>
        <w:shd w:val="clear"/>
        <w:ind w:firstLine="420" w:firstLineChars="200"/>
        <w:rPr>
          <w:color w:val="auto"/>
          <w:highlight w:val="none"/>
        </w:rPr>
      </w:pPr>
      <w:r>
        <w:rPr>
          <w:rFonts w:hint="eastAsia" w:ascii="宋体" w:hAnsi="宋体"/>
          <w:color w:val="auto"/>
          <w:szCs w:val="21"/>
          <w:highlight w:val="none"/>
        </w:rPr>
        <w:t>E－ mail：471539976@qq.com</w:t>
      </w:r>
    </w:p>
    <w:p w14:paraId="7BC0D967">
      <w:pPr>
        <w:shd w:val="clear"/>
        <w:rPr>
          <w:color w:val="auto"/>
          <w:highlight w:val="none"/>
        </w:rPr>
      </w:pPr>
    </w:p>
    <w:p w14:paraId="3EA97AAE">
      <w:pPr>
        <w:shd w:val="clear"/>
        <w:ind w:right="752" w:rightChars="358"/>
        <w:jc w:val="both"/>
        <w:rPr>
          <w:color w:val="auto"/>
          <w:highlight w:val="none"/>
        </w:rPr>
      </w:pPr>
    </w:p>
    <w:p w14:paraId="5EB0F272">
      <w:pPr>
        <w:shd w:val="clea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14:paraId="573BE19D">
      <w:pPr>
        <w:shd w:val="clea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2025年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p>
    <w:p w14:paraId="08F2B4E7">
      <w:pPr>
        <w:pStyle w:val="8"/>
        <w:shd w:val="clear"/>
        <w:rPr>
          <w:color w:val="auto"/>
          <w:sz w:val="21"/>
          <w:szCs w:val="21"/>
          <w:highlight w:val="none"/>
        </w:rPr>
      </w:pPr>
    </w:p>
    <w:p w14:paraId="495468A2">
      <w:pPr>
        <w:pStyle w:val="24"/>
        <w:shd w:val="clear"/>
        <w:ind w:firstLine="210"/>
        <w:rPr>
          <w:rFonts w:ascii="宋体" w:hAnsi="宋体" w:cs="宋体"/>
          <w:color w:val="auto"/>
          <w:sz w:val="21"/>
          <w:szCs w:val="21"/>
          <w:highlight w:val="none"/>
        </w:rPr>
      </w:pPr>
      <w:bookmarkStart w:id="383" w:name="_GoBack"/>
      <w:bookmarkEnd w:id="383"/>
    </w:p>
    <w:p w14:paraId="09DF5745">
      <w:pPr>
        <w:pStyle w:val="24"/>
        <w:shd w:val="clear"/>
        <w:ind w:firstLine="210"/>
        <w:rPr>
          <w:rFonts w:ascii="宋体" w:hAnsi="宋体" w:cs="宋体"/>
          <w:color w:val="auto"/>
          <w:sz w:val="21"/>
          <w:szCs w:val="21"/>
          <w:highlight w:val="none"/>
        </w:rPr>
      </w:pPr>
    </w:p>
    <w:p w14:paraId="206E4E5C">
      <w:pPr>
        <w:pStyle w:val="24"/>
        <w:shd w:val="clear"/>
        <w:ind w:firstLine="210"/>
        <w:rPr>
          <w:rFonts w:ascii="宋体" w:hAnsi="宋体" w:cs="宋体"/>
          <w:color w:val="auto"/>
          <w:sz w:val="21"/>
          <w:szCs w:val="21"/>
          <w:highlight w:val="none"/>
        </w:rPr>
      </w:pPr>
    </w:p>
    <w:p w14:paraId="32B66571">
      <w:pPr>
        <w:pStyle w:val="24"/>
        <w:shd w:val="clear"/>
        <w:ind w:firstLine="210"/>
        <w:rPr>
          <w:rFonts w:ascii="宋体" w:hAnsi="宋体" w:cs="宋体"/>
          <w:color w:val="auto"/>
          <w:sz w:val="21"/>
          <w:szCs w:val="21"/>
          <w:highlight w:val="none"/>
        </w:rPr>
      </w:pPr>
    </w:p>
    <w:p w14:paraId="755FB029">
      <w:pPr>
        <w:pStyle w:val="24"/>
        <w:shd w:val="clear"/>
        <w:ind w:firstLine="210"/>
        <w:rPr>
          <w:rFonts w:ascii="宋体" w:hAnsi="宋体" w:cs="宋体"/>
          <w:color w:val="auto"/>
          <w:sz w:val="21"/>
          <w:szCs w:val="21"/>
          <w:highlight w:val="none"/>
        </w:rPr>
      </w:pPr>
    </w:p>
    <w:p w14:paraId="0EFB7DA4">
      <w:pPr>
        <w:pStyle w:val="24"/>
        <w:shd w:val="clear"/>
        <w:ind w:firstLine="210"/>
        <w:rPr>
          <w:rFonts w:ascii="宋体" w:hAnsi="宋体" w:cs="宋体"/>
          <w:color w:val="auto"/>
          <w:sz w:val="21"/>
          <w:szCs w:val="21"/>
          <w:highlight w:val="none"/>
        </w:rPr>
      </w:pPr>
    </w:p>
    <w:p w14:paraId="38905DF0">
      <w:pPr>
        <w:pStyle w:val="24"/>
        <w:shd w:val="clear"/>
        <w:ind w:firstLine="210"/>
        <w:rPr>
          <w:rFonts w:ascii="宋体" w:hAnsi="宋体" w:cs="宋体"/>
          <w:color w:val="auto"/>
          <w:sz w:val="21"/>
          <w:szCs w:val="21"/>
          <w:highlight w:val="none"/>
        </w:rPr>
      </w:pPr>
    </w:p>
    <w:p w14:paraId="27E608F9">
      <w:pPr>
        <w:pStyle w:val="3"/>
        <w:shd w:val="clear"/>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5"/>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510"/>
        <w:gridCol w:w="98"/>
        <w:gridCol w:w="1158"/>
        <w:gridCol w:w="1254"/>
        <w:gridCol w:w="2512"/>
      </w:tblGrid>
      <w:tr w14:paraId="79887CD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389B662E">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5"/>
            <w:vAlign w:val="center"/>
          </w:tcPr>
          <w:p w14:paraId="10077D17">
            <w:pPr>
              <w:shd w:val="clear"/>
              <w:jc w:val="center"/>
              <w:rPr>
                <w:rFonts w:ascii="宋体" w:hAnsi="宋体"/>
                <w:b/>
                <w:color w:val="auto"/>
                <w:szCs w:val="21"/>
                <w:highlight w:val="none"/>
              </w:rPr>
            </w:pPr>
            <w:r>
              <w:rPr>
                <w:rFonts w:hint="eastAsia" w:ascii="宋体" w:hAnsi="宋体"/>
                <w:b/>
                <w:color w:val="auto"/>
                <w:szCs w:val="21"/>
                <w:highlight w:val="none"/>
              </w:rPr>
              <w:t>内容</w:t>
            </w:r>
          </w:p>
        </w:tc>
      </w:tr>
      <w:tr w14:paraId="1E71B08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6"/>
            <w:vAlign w:val="center"/>
          </w:tcPr>
          <w:p w14:paraId="27F377B8">
            <w:pPr>
              <w:shd w:val="clear"/>
              <w:jc w:val="center"/>
              <w:rPr>
                <w:rFonts w:ascii="宋体" w:hAnsi="宋体"/>
                <w:b/>
                <w:color w:val="auto"/>
                <w:szCs w:val="21"/>
                <w:highlight w:val="none"/>
              </w:rPr>
            </w:pPr>
            <w:r>
              <w:rPr>
                <w:rFonts w:hint="eastAsia" w:ascii="宋体" w:hAnsi="宋体"/>
                <w:b/>
                <w:color w:val="auto"/>
                <w:szCs w:val="21"/>
                <w:highlight w:val="none"/>
              </w:rPr>
              <w:t>一、说明</w:t>
            </w:r>
          </w:p>
        </w:tc>
      </w:tr>
      <w:tr w14:paraId="56B034D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1506D03">
            <w:pPr>
              <w:shd w:val="clea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5"/>
            <w:vAlign w:val="center"/>
          </w:tcPr>
          <w:p w14:paraId="220D2A97">
            <w:pPr>
              <w:shd w:val="clear"/>
              <w:rPr>
                <w:rFonts w:ascii="宋体" w:hAnsi="宋体"/>
                <w:b/>
                <w:bCs/>
                <w:color w:val="auto"/>
                <w:szCs w:val="21"/>
                <w:highlight w:val="none"/>
              </w:rPr>
            </w:pPr>
            <w:r>
              <w:rPr>
                <w:rFonts w:hint="eastAsia" w:ascii="宋体" w:hAnsi="宋体"/>
                <w:b/>
                <w:bCs/>
                <w:color w:val="auto"/>
                <w:szCs w:val="21"/>
                <w:highlight w:val="none"/>
              </w:rPr>
              <w:t>项目类型</w:t>
            </w:r>
          </w:p>
        </w:tc>
      </w:tr>
      <w:tr w14:paraId="3782255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F42D7F6">
            <w:pPr>
              <w:shd w:val="clear"/>
              <w:jc w:val="center"/>
              <w:rPr>
                <w:rFonts w:ascii="宋体" w:hAnsi="宋体"/>
                <w:color w:val="auto"/>
                <w:szCs w:val="21"/>
                <w:highlight w:val="none"/>
              </w:rPr>
            </w:pPr>
          </w:p>
        </w:tc>
        <w:tc>
          <w:tcPr>
            <w:tcW w:w="7532" w:type="dxa"/>
            <w:gridSpan w:val="5"/>
            <w:vAlign w:val="center"/>
          </w:tcPr>
          <w:p w14:paraId="1C776386">
            <w:pPr>
              <w:shd w:val="clea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3F1C720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E778BB4">
            <w:pPr>
              <w:shd w:val="clear"/>
              <w:jc w:val="center"/>
              <w:rPr>
                <w:rFonts w:ascii="宋体" w:hAnsi="宋体"/>
                <w:color w:val="auto"/>
                <w:szCs w:val="21"/>
                <w:highlight w:val="none"/>
              </w:rPr>
            </w:pPr>
          </w:p>
        </w:tc>
        <w:tc>
          <w:tcPr>
            <w:tcW w:w="7532" w:type="dxa"/>
            <w:gridSpan w:val="5"/>
            <w:vAlign w:val="center"/>
          </w:tcPr>
          <w:p w14:paraId="69C568F9">
            <w:pPr>
              <w:shd w:val="clea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批发业</w:t>
            </w:r>
          </w:p>
        </w:tc>
      </w:tr>
      <w:tr w14:paraId="2C96544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719FD12">
            <w:pPr>
              <w:shd w:val="clea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5"/>
            <w:vAlign w:val="center"/>
          </w:tcPr>
          <w:p w14:paraId="597862BB">
            <w:pPr>
              <w:shd w:val="clea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1E8A845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EA1A161">
            <w:pPr>
              <w:shd w:val="clear"/>
              <w:jc w:val="center"/>
              <w:rPr>
                <w:rFonts w:ascii="宋体" w:hAnsi="宋体"/>
                <w:color w:val="auto"/>
                <w:szCs w:val="21"/>
                <w:highlight w:val="none"/>
              </w:rPr>
            </w:pPr>
          </w:p>
        </w:tc>
        <w:tc>
          <w:tcPr>
            <w:tcW w:w="7532" w:type="dxa"/>
            <w:gridSpan w:val="5"/>
            <w:vAlign w:val="center"/>
          </w:tcPr>
          <w:p w14:paraId="444F784A">
            <w:pPr>
              <w:shd w:val="clea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14:paraId="6134062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5AAD5A6">
            <w:pPr>
              <w:shd w:val="clea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5"/>
            <w:vAlign w:val="center"/>
          </w:tcPr>
          <w:p w14:paraId="4ED84AE9">
            <w:pPr>
              <w:shd w:val="clear"/>
              <w:rPr>
                <w:rFonts w:ascii="宋体" w:hAnsi="宋体"/>
                <w:b/>
                <w:color w:val="auto"/>
                <w:szCs w:val="21"/>
                <w:highlight w:val="none"/>
              </w:rPr>
            </w:pPr>
            <w:r>
              <w:rPr>
                <w:rFonts w:hint="eastAsia" w:ascii="宋体" w:hAnsi="宋体"/>
                <w:b/>
                <w:bCs/>
                <w:color w:val="auto"/>
                <w:szCs w:val="21"/>
                <w:highlight w:val="none"/>
              </w:rPr>
              <w:t>资金来源</w:t>
            </w:r>
          </w:p>
        </w:tc>
      </w:tr>
      <w:tr w14:paraId="508EE37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08108648">
            <w:pPr>
              <w:shd w:val="clear"/>
              <w:jc w:val="center"/>
              <w:rPr>
                <w:rFonts w:ascii="宋体" w:hAnsi="宋体"/>
                <w:color w:val="auto"/>
                <w:szCs w:val="21"/>
                <w:highlight w:val="none"/>
              </w:rPr>
            </w:pPr>
          </w:p>
        </w:tc>
        <w:tc>
          <w:tcPr>
            <w:tcW w:w="7532" w:type="dxa"/>
            <w:gridSpan w:val="5"/>
            <w:vAlign w:val="center"/>
          </w:tcPr>
          <w:p w14:paraId="4ABF1A05">
            <w:pPr>
              <w:shd w:val="clear"/>
              <w:rPr>
                <w:rFonts w:hint="eastAsia" w:ascii="宋体" w:hAnsi="宋体" w:eastAsia="宋体"/>
                <w:b/>
                <w:color w:val="auto"/>
                <w:szCs w:val="21"/>
                <w:highlight w:val="none"/>
                <w:lang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14:paraId="5CD68E0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7022694">
            <w:pPr>
              <w:shd w:val="clea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5"/>
            <w:vAlign w:val="center"/>
          </w:tcPr>
          <w:p w14:paraId="70A9E746">
            <w:pPr>
              <w:shd w:val="clear"/>
              <w:rPr>
                <w:rFonts w:ascii="宋体" w:hAnsi="宋体"/>
                <w:color w:val="auto"/>
                <w:szCs w:val="21"/>
                <w:highlight w:val="none"/>
              </w:rPr>
            </w:pPr>
            <w:r>
              <w:rPr>
                <w:rFonts w:hint="eastAsia" w:ascii="宋体" w:hAnsi="宋体"/>
                <w:b/>
                <w:bCs/>
                <w:color w:val="auto"/>
                <w:szCs w:val="21"/>
                <w:highlight w:val="none"/>
              </w:rPr>
              <w:t>项目最高限价（单位：元）</w:t>
            </w:r>
          </w:p>
        </w:tc>
      </w:tr>
      <w:tr w14:paraId="396CB71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50EA5B68">
            <w:pPr>
              <w:shd w:val="clear"/>
              <w:jc w:val="center"/>
              <w:rPr>
                <w:rFonts w:ascii="宋体" w:hAnsi="宋体"/>
                <w:color w:val="auto"/>
                <w:szCs w:val="21"/>
                <w:highlight w:val="none"/>
              </w:rPr>
            </w:pPr>
          </w:p>
        </w:tc>
        <w:tc>
          <w:tcPr>
            <w:tcW w:w="7532" w:type="dxa"/>
            <w:gridSpan w:val="5"/>
            <w:vAlign w:val="center"/>
          </w:tcPr>
          <w:p w14:paraId="0DFCAABD">
            <w:pPr>
              <w:shd w:val="clear"/>
              <w:rPr>
                <w:rFonts w:ascii="宋体" w:hAnsi="宋体"/>
                <w:color w:val="auto"/>
                <w:szCs w:val="21"/>
                <w:highlight w:val="none"/>
              </w:rPr>
            </w:pPr>
            <w:r>
              <w:rPr>
                <w:rFonts w:hint="eastAsia" w:ascii="宋体" w:hAnsi="宋体"/>
                <w:bCs/>
                <w:color w:val="auto"/>
                <w:szCs w:val="21"/>
                <w:highlight w:val="none"/>
              </w:rPr>
              <w:t>与项目预算一致。</w:t>
            </w:r>
          </w:p>
        </w:tc>
      </w:tr>
      <w:tr w14:paraId="63BF989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9EFE1E7">
            <w:pPr>
              <w:shd w:val="clea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5"/>
            <w:vAlign w:val="center"/>
          </w:tcPr>
          <w:p w14:paraId="1F297E6C">
            <w:pPr>
              <w:shd w:val="clear"/>
              <w:rPr>
                <w:rFonts w:ascii="宋体" w:hAnsi="宋体"/>
                <w:b/>
                <w:color w:val="auto"/>
                <w:szCs w:val="21"/>
                <w:highlight w:val="none"/>
              </w:rPr>
            </w:pPr>
            <w:r>
              <w:rPr>
                <w:rFonts w:hint="eastAsia" w:ascii="宋体" w:hAnsi="宋体"/>
                <w:b/>
                <w:color w:val="auto"/>
                <w:szCs w:val="21"/>
                <w:highlight w:val="none"/>
              </w:rPr>
              <w:t>踏勘现场</w:t>
            </w:r>
          </w:p>
        </w:tc>
      </w:tr>
      <w:tr w14:paraId="07B446F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C13AD53">
            <w:pPr>
              <w:shd w:val="clear"/>
              <w:jc w:val="center"/>
              <w:rPr>
                <w:rFonts w:ascii="宋体" w:hAnsi="宋体"/>
                <w:color w:val="auto"/>
                <w:szCs w:val="21"/>
                <w:highlight w:val="none"/>
              </w:rPr>
            </w:pPr>
          </w:p>
        </w:tc>
        <w:tc>
          <w:tcPr>
            <w:tcW w:w="7532" w:type="dxa"/>
            <w:gridSpan w:val="5"/>
            <w:vAlign w:val="center"/>
          </w:tcPr>
          <w:p w14:paraId="1D06BEE9">
            <w:pPr>
              <w:shd w:val="clea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72047A9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045796FA">
            <w:pPr>
              <w:shd w:val="clea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5"/>
            <w:vAlign w:val="center"/>
          </w:tcPr>
          <w:p w14:paraId="1A889BB4">
            <w:pPr>
              <w:shd w:val="clea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736E646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7ADAB0EA">
            <w:pPr>
              <w:shd w:val="clear"/>
              <w:jc w:val="center"/>
              <w:rPr>
                <w:rFonts w:ascii="宋体" w:hAnsi="宋体"/>
                <w:color w:val="auto"/>
                <w:szCs w:val="21"/>
                <w:highlight w:val="none"/>
              </w:rPr>
            </w:pPr>
          </w:p>
        </w:tc>
        <w:tc>
          <w:tcPr>
            <w:tcW w:w="2510" w:type="dxa"/>
            <w:vAlign w:val="center"/>
          </w:tcPr>
          <w:p w14:paraId="494972B0">
            <w:pPr>
              <w:shd w:val="clea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2510" w:type="dxa"/>
            <w:gridSpan w:val="3"/>
            <w:vAlign w:val="center"/>
          </w:tcPr>
          <w:p w14:paraId="7372E7C6">
            <w:pPr>
              <w:shd w:val="clea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中国·东莞常平镇栏目</w:t>
            </w:r>
          </w:p>
        </w:tc>
        <w:tc>
          <w:tcPr>
            <w:tcW w:w="2512" w:type="dxa"/>
            <w:vAlign w:val="center"/>
          </w:tcPr>
          <w:p w14:paraId="0484B09D">
            <w:pPr>
              <w:shd w:val="clear"/>
              <w:jc w:val="center"/>
              <w:rPr>
                <w:rFonts w:ascii="宋体" w:hAnsi="宋体"/>
                <w:b/>
                <w:color w:val="auto"/>
                <w:szCs w:val="21"/>
                <w:highlight w:val="none"/>
              </w:rPr>
            </w:pPr>
            <w:r>
              <w:rPr>
                <w:rFonts w:hint="eastAsia" w:ascii="宋体" w:hAnsi="宋体"/>
                <w:b/>
                <w:color w:val="auto"/>
                <w:szCs w:val="21"/>
                <w:highlight w:val="none"/>
              </w:rPr>
              <w:t>中国采购与招标网</w:t>
            </w:r>
          </w:p>
        </w:tc>
      </w:tr>
      <w:tr w14:paraId="7517E20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1BB0A030">
            <w:pPr>
              <w:shd w:val="clear"/>
              <w:jc w:val="center"/>
              <w:rPr>
                <w:rFonts w:ascii="宋体" w:hAnsi="宋体"/>
                <w:color w:val="auto"/>
                <w:szCs w:val="21"/>
                <w:highlight w:val="none"/>
              </w:rPr>
            </w:pPr>
          </w:p>
        </w:tc>
        <w:tc>
          <w:tcPr>
            <w:tcW w:w="2510" w:type="dxa"/>
            <w:vAlign w:val="center"/>
          </w:tcPr>
          <w:p w14:paraId="3F1D2947">
            <w:pPr>
              <w:shd w:val="clea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2510" w:type="dxa"/>
            <w:gridSpan w:val="3"/>
            <w:vAlign w:val="center"/>
          </w:tcPr>
          <w:p w14:paraId="3880BF98">
            <w:pPr>
              <w:shd w:val="clea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http://www.dg.gov.cn/cp/</w:t>
            </w:r>
          </w:p>
        </w:tc>
        <w:tc>
          <w:tcPr>
            <w:tcW w:w="2512" w:type="dxa"/>
            <w:vAlign w:val="center"/>
          </w:tcPr>
          <w:p w14:paraId="3BD2FBB1">
            <w:pPr>
              <w:shd w:val="clear"/>
              <w:jc w:val="center"/>
              <w:rPr>
                <w:rFonts w:ascii="宋体" w:hAnsi="宋体"/>
                <w:b/>
                <w:color w:val="auto"/>
                <w:szCs w:val="21"/>
                <w:highlight w:val="none"/>
              </w:rPr>
            </w:pPr>
            <w:r>
              <w:rPr>
                <w:rFonts w:hint="eastAsia" w:ascii="宋体" w:hAnsi="宋体"/>
                <w:color w:val="auto"/>
                <w:szCs w:val="21"/>
                <w:highlight w:val="none"/>
              </w:rPr>
              <w:t>https://www.chinabidding.cn/</w:t>
            </w:r>
          </w:p>
        </w:tc>
      </w:tr>
      <w:tr w14:paraId="29B646D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6"/>
            <w:vAlign w:val="center"/>
          </w:tcPr>
          <w:p w14:paraId="6DBB4835">
            <w:pPr>
              <w:shd w:val="clea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2FE0433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56DD800">
            <w:pPr>
              <w:shd w:val="clea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5"/>
            <w:vAlign w:val="center"/>
          </w:tcPr>
          <w:p w14:paraId="45FD2BEF">
            <w:pPr>
              <w:shd w:val="clear"/>
              <w:rPr>
                <w:rFonts w:ascii="宋体" w:hAnsi="宋体"/>
                <w:b/>
                <w:color w:val="auto"/>
                <w:szCs w:val="21"/>
                <w:highlight w:val="none"/>
              </w:rPr>
            </w:pPr>
            <w:r>
              <w:rPr>
                <w:rFonts w:hint="eastAsia" w:ascii="宋体" w:hAnsi="宋体"/>
                <w:b/>
                <w:color w:val="auto"/>
                <w:szCs w:val="21"/>
                <w:highlight w:val="none"/>
              </w:rPr>
              <w:t>投标语言</w:t>
            </w:r>
          </w:p>
        </w:tc>
      </w:tr>
      <w:tr w14:paraId="657856B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D1BB6D7">
            <w:pPr>
              <w:shd w:val="clear"/>
              <w:jc w:val="center"/>
              <w:rPr>
                <w:rFonts w:ascii="宋体" w:hAnsi="宋体"/>
                <w:color w:val="auto"/>
                <w:szCs w:val="21"/>
                <w:highlight w:val="none"/>
              </w:rPr>
            </w:pPr>
          </w:p>
        </w:tc>
        <w:tc>
          <w:tcPr>
            <w:tcW w:w="7532" w:type="dxa"/>
            <w:gridSpan w:val="5"/>
            <w:vAlign w:val="center"/>
          </w:tcPr>
          <w:p w14:paraId="5A98DC6C">
            <w:pPr>
              <w:shd w:val="clear"/>
              <w:rPr>
                <w:rFonts w:ascii="宋体" w:hAnsi="宋体"/>
                <w:b/>
                <w:color w:val="auto"/>
                <w:szCs w:val="21"/>
                <w:highlight w:val="none"/>
              </w:rPr>
            </w:pPr>
            <w:r>
              <w:rPr>
                <w:rFonts w:hint="eastAsia" w:ascii="宋体" w:hAnsi="宋体"/>
                <w:color w:val="auto"/>
                <w:szCs w:val="21"/>
                <w:highlight w:val="none"/>
              </w:rPr>
              <w:t>中文。</w:t>
            </w:r>
          </w:p>
        </w:tc>
      </w:tr>
      <w:tr w14:paraId="4C3167D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E7CB962">
            <w:pPr>
              <w:shd w:val="clea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5"/>
            <w:vAlign w:val="center"/>
          </w:tcPr>
          <w:p w14:paraId="72C4DC01">
            <w:pPr>
              <w:shd w:val="clear"/>
              <w:jc w:val="both"/>
              <w:rPr>
                <w:rFonts w:ascii="宋体" w:hAnsi="宋体"/>
                <w:b/>
                <w:color w:val="auto"/>
                <w:szCs w:val="21"/>
                <w:highlight w:val="none"/>
              </w:rPr>
            </w:pPr>
            <w:r>
              <w:rPr>
                <w:rFonts w:hint="eastAsia" w:ascii="宋体" w:hAnsi="宋体"/>
                <w:b/>
                <w:color w:val="auto"/>
                <w:szCs w:val="21"/>
                <w:highlight w:val="none"/>
              </w:rPr>
              <w:t>投标报价</w:t>
            </w:r>
          </w:p>
        </w:tc>
      </w:tr>
      <w:tr w14:paraId="200DAE9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7BD8E90">
            <w:pPr>
              <w:shd w:val="clear"/>
              <w:jc w:val="center"/>
              <w:rPr>
                <w:rFonts w:ascii="宋体" w:hAnsi="宋体"/>
                <w:color w:val="auto"/>
                <w:szCs w:val="21"/>
                <w:highlight w:val="none"/>
              </w:rPr>
            </w:pPr>
          </w:p>
        </w:tc>
        <w:tc>
          <w:tcPr>
            <w:tcW w:w="7532" w:type="dxa"/>
            <w:gridSpan w:val="5"/>
            <w:vAlign w:val="center"/>
          </w:tcPr>
          <w:p w14:paraId="29EC9D73">
            <w:pPr>
              <w:shd w:val="clear"/>
              <w:jc w:val="both"/>
              <w:rPr>
                <w:rFonts w:ascii="宋体" w:hAnsi="宋体"/>
                <w:b/>
                <w:color w:val="auto"/>
                <w:szCs w:val="21"/>
                <w:highlight w:val="none"/>
              </w:rPr>
            </w:pPr>
            <w:r>
              <w:rPr>
                <w:rFonts w:hint="eastAsia" w:ascii="宋体" w:hAnsi="宋体"/>
                <w:color w:val="auto"/>
                <w:szCs w:val="21"/>
                <w:highlight w:val="none"/>
              </w:rPr>
              <w:t>详见投标人须知。</w:t>
            </w:r>
          </w:p>
        </w:tc>
      </w:tr>
      <w:tr w14:paraId="3FFEFEB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E3EB3E1">
            <w:pPr>
              <w:shd w:val="clea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5"/>
            <w:vAlign w:val="center"/>
          </w:tcPr>
          <w:p w14:paraId="04B67008">
            <w:pPr>
              <w:shd w:val="clear"/>
              <w:jc w:val="both"/>
              <w:rPr>
                <w:rFonts w:ascii="宋体" w:hAnsi="宋体"/>
                <w:b/>
                <w:color w:val="auto"/>
                <w:szCs w:val="21"/>
                <w:highlight w:val="none"/>
              </w:rPr>
            </w:pPr>
            <w:r>
              <w:rPr>
                <w:rFonts w:hint="eastAsia" w:ascii="宋体" w:hAnsi="宋体"/>
                <w:b/>
                <w:color w:val="auto"/>
                <w:szCs w:val="21"/>
                <w:highlight w:val="none"/>
              </w:rPr>
              <w:t>投标样品</w:t>
            </w:r>
          </w:p>
        </w:tc>
      </w:tr>
      <w:tr w14:paraId="71FDC69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DBDE453">
            <w:pPr>
              <w:shd w:val="clear"/>
              <w:jc w:val="center"/>
              <w:rPr>
                <w:rFonts w:ascii="宋体" w:hAnsi="宋体"/>
                <w:color w:val="auto"/>
                <w:szCs w:val="21"/>
                <w:highlight w:val="none"/>
              </w:rPr>
            </w:pPr>
          </w:p>
        </w:tc>
        <w:tc>
          <w:tcPr>
            <w:tcW w:w="7532" w:type="dxa"/>
            <w:gridSpan w:val="5"/>
            <w:vAlign w:val="center"/>
          </w:tcPr>
          <w:p w14:paraId="0DCB0982">
            <w:pPr>
              <w:shd w:val="clear"/>
              <w:jc w:val="both"/>
              <w:rPr>
                <w:rFonts w:ascii="宋体" w:hAnsi="宋体"/>
                <w:b/>
                <w:color w:val="auto"/>
                <w:szCs w:val="21"/>
                <w:highlight w:val="none"/>
              </w:rPr>
            </w:pPr>
            <w:r>
              <w:rPr>
                <w:rFonts w:hint="eastAsia" w:ascii="宋体" w:hAnsi="宋体"/>
                <w:color w:val="auto"/>
                <w:szCs w:val="21"/>
                <w:highlight w:val="none"/>
              </w:rPr>
              <w:t>详见用户需求。</w:t>
            </w:r>
          </w:p>
        </w:tc>
      </w:tr>
      <w:tr w14:paraId="7BF181B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358194CA">
            <w:pPr>
              <w:shd w:val="clea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5"/>
            <w:vAlign w:val="center"/>
          </w:tcPr>
          <w:p w14:paraId="21F1AAD0">
            <w:pPr>
              <w:shd w:val="clea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14:paraId="1D8DEBA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09A237B">
            <w:pPr>
              <w:shd w:val="clear"/>
              <w:jc w:val="both"/>
              <w:rPr>
                <w:rFonts w:ascii="宋体" w:hAnsi="宋体"/>
                <w:color w:val="auto"/>
                <w:szCs w:val="21"/>
                <w:highlight w:val="none"/>
              </w:rPr>
            </w:pPr>
          </w:p>
        </w:tc>
        <w:tc>
          <w:tcPr>
            <w:tcW w:w="7532" w:type="dxa"/>
            <w:gridSpan w:val="5"/>
            <w:vAlign w:val="center"/>
          </w:tcPr>
          <w:p w14:paraId="1E54B61E">
            <w:pPr>
              <w:shd w:val="clear"/>
              <w:jc w:val="both"/>
              <w:rPr>
                <w:rFonts w:ascii="宋体" w:hAnsi="宋体"/>
                <w:color w:val="auto"/>
                <w:szCs w:val="21"/>
                <w:highlight w:val="none"/>
              </w:rPr>
            </w:pPr>
            <w:r>
              <w:rPr>
                <w:rFonts w:hint="eastAsia" w:ascii="宋体" w:hAnsi="宋体"/>
                <w:color w:val="auto"/>
                <w:szCs w:val="21"/>
                <w:highlight w:val="none"/>
              </w:rPr>
              <w:t>“●”为核心产品</w:t>
            </w:r>
          </w:p>
        </w:tc>
      </w:tr>
      <w:tr w14:paraId="194B0A4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21058B37">
            <w:pPr>
              <w:shd w:val="clea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5"/>
            <w:vAlign w:val="center"/>
          </w:tcPr>
          <w:p w14:paraId="4E5905C0">
            <w:pPr>
              <w:shd w:val="clea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14:paraId="2628631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D37995D">
            <w:pPr>
              <w:shd w:val="clea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5"/>
            <w:vAlign w:val="center"/>
          </w:tcPr>
          <w:p w14:paraId="6F8D970E">
            <w:pPr>
              <w:shd w:val="clea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45A1CA2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AE191BD">
            <w:pPr>
              <w:shd w:val="clear"/>
              <w:jc w:val="center"/>
              <w:rPr>
                <w:rFonts w:ascii="宋体" w:hAnsi="宋体"/>
                <w:color w:val="auto"/>
                <w:szCs w:val="21"/>
                <w:highlight w:val="none"/>
              </w:rPr>
            </w:pPr>
          </w:p>
        </w:tc>
        <w:tc>
          <w:tcPr>
            <w:tcW w:w="7532" w:type="dxa"/>
            <w:gridSpan w:val="5"/>
            <w:vAlign w:val="center"/>
          </w:tcPr>
          <w:p w14:paraId="7A1C17ED">
            <w:pPr>
              <w:shd w:val="clear"/>
              <w:jc w:val="both"/>
              <w:rPr>
                <w:rFonts w:ascii="宋体" w:hAnsi="宋体"/>
                <w:b/>
                <w:color w:val="auto"/>
                <w:szCs w:val="21"/>
                <w:highlight w:val="none"/>
              </w:rPr>
            </w:pPr>
            <w:r>
              <w:rPr>
                <w:rFonts w:hint="eastAsia" w:ascii="宋体" w:hAnsi="宋体"/>
                <w:color w:val="auto"/>
                <w:szCs w:val="21"/>
                <w:highlight w:val="none"/>
              </w:rPr>
              <w:t>九十天。</w:t>
            </w:r>
          </w:p>
        </w:tc>
      </w:tr>
      <w:tr w14:paraId="1C76717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11B8AFB9">
            <w:pPr>
              <w:shd w:val="clea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5"/>
            <w:vAlign w:val="center"/>
          </w:tcPr>
          <w:p w14:paraId="681E4E4A">
            <w:pPr>
              <w:shd w:val="clea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0A11FB7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A084C0D">
            <w:pPr>
              <w:shd w:val="clear"/>
              <w:jc w:val="center"/>
              <w:rPr>
                <w:rFonts w:ascii="宋体" w:hAnsi="宋体"/>
                <w:color w:val="auto"/>
                <w:szCs w:val="21"/>
                <w:highlight w:val="none"/>
              </w:rPr>
            </w:pPr>
          </w:p>
        </w:tc>
        <w:tc>
          <w:tcPr>
            <w:tcW w:w="3766" w:type="dxa"/>
            <w:gridSpan w:val="3"/>
            <w:vAlign w:val="center"/>
          </w:tcPr>
          <w:p w14:paraId="6516EE6D">
            <w:pPr>
              <w:shd w:val="clea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1851C2EC">
            <w:pPr>
              <w:shd w:val="clea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2104993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2ABB499">
            <w:pPr>
              <w:shd w:val="clear"/>
              <w:jc w:val="center"/>
              <w:rPr>
                <w:rFonts w:ascii="宋体" w:hAnsi="宋体"/>
                <w:color w:val="auto"/>
                <w:szCs w:val="21"/>
                <w:highlight w:val="none"/>
              </w:rPr>
            </w:pPr>
          </w:p>
        </w:tc>
        <w:tc>
          <w:tcPr>
            <w:tcW w:w="3766" w:type="dxa"/>
            <w:gridSpan w:val="3"/>
            <w:vAlign w:val="center"/>
          </w:tcPr>
          <w:p w14:paraId="5B2867B1">
            <w:pPr>
              <w:shd w:val="clea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79E5BB0F">
            <w:pPr>
              <w:shd w:val="clear"/>
              <w:jc w:val="center"/>
              <w:rPr>
                <w:rFonts w:ascii="宋体" w:hAnsi="宋体"/>
                <w:color w:val="auto"/>
                <w:szCs w:val="21"/>
                <w:highlight w:val="none"/>
              </w:rPr>
            </w:pPr>
            <w:r>
              <w:rPr>
                <w:rFonts w:ascii="宋体" w:hAnsi="宋体"/>
                <w:color w:val="auto"/>
                <w:szCs w:val="21"/>
                <w:highlight w:val="none"/>
              </w:rPr>
              <w:t>http://www.ccgp.gov.cn/</w:t>
            </w:r>
          </w:p>
        </w:tc>
      </w:tr>
      <w:tr w14:paraId="19D42C1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15F941CC">
            <w:pPr>
              <w:shd w:val="clea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5"/>
            <w:vAlign w:val="center"/>
          </w:tcPr>
          <w:p w14:paraId="77261782">
            <w:pPr>
              <w:shd w:val="clea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2B53F02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4689371F">
            <w:pPr>
              <w:shd w:val="clear"/>
              <w:jc w:val="center"/>
              <w:rPr>
                <w:rFonts w:ascii="宋体" w:hAnsi="宋体"/>
                <w:color w:val="auto"/>
                <w:szCs w:val="21"/>
                <w:highlight w:val="none"/>
              </w:rPr>
            </w:pPr>
          </w:p>
        </w:tc>
        <w:tc>
          <w:tcPr>
            <w:tcW w:w="2608" w:type="dxa"/>
            <w:gridSpan w:val="2"/>
            <w:vAlign w:val="center"/>
          </w:tcPr>
          <w:p w14:paraId="02B9031F">
            <w:pPr>
              <w:shd w:val="clea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438B7495">
            <w:pPr>
              <w:shd w:val="clear"/>
              <w:jc w:val="center"/>
              <w:rPr>
                <w:rFonts w:ascii="宋体" w:hAnsi="宋体"/>
                <w:b/>
                <w:color w:val="auto"/>
                <w:szCs w:val="21"/>
                <w:highlight w:val="none"/>
              </w:rPr>
            </w:pPr>
            <w:r>
              <w:rPr>
                <w:rFonts w:hint="eastAsia" w:ascii="宋体" w:hAnsi="宋体"/>
                <w:b/>
                <w:color w:val="auto"/>
                <w:szCs w:val="21"/>
                <w:highlight w:val="none"/>
              </w:rPr>
              <w:t>份数</w:t>
            </w:r>
          </w:p>
        </w:tc>
      </w:tr>
      <w:tr w14:paraId="538C3C7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13ECA20">
            <w:pPr>
              <w:shd w:val="clear"/>
              <w:jc w:val="center"/>
              <w:rPr>
                <w:rFonts w:ascii="宋体" w:hAnsi="宋体"/>
                <w:color w:val="auto"/>
                <w:szCs w:val="21"/>
                <w:highlight w:val="none"/>
              </w:rPr>
            </w:pPr>
          </w:p>
        </w:tc>
        <w:tc>
          <w:tcPr>
            <w:tcW w:w="2608" w:type="dxa"/>
            <w:gridSpan w:val="2"/>
            <w:vAlign w:val="center"/>
          </w:tcPr>
          <w:p w14:paraId="6BD571FD">
            <w:pPr>
              <w:shd w:val="clea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0EDE8ED6">
            <w:pPr>
              <w:shd w:val="clear"/>
              <w:jc w:val="center"/>
              <w:rPr>
                <w:rFonts w:ascii="宋体" w:hAnsi="宋体"/>
                <w:b/>
                <w:color w:val="auto"/>
                <w:szCs w:val="21"/>
                <w:highlight w:val="none"/>
              </w:rPr>
            </w:pPr>
            <w:r>
              <w:rPr>
                <w:rFonts w:hint="eastAsia" w:ascii="宋体" w:hAnsi="宋体"/>
                <w:b/>
                <w:color w:val="auto"/>
                <w:szCs w:val="21"/>
                <w:highlight w:val="none"/>
              </w:rPr>
              <w:t>1</w:t>
            </w:r>
          </w:p>
        </w:tc>
      </w:tr>
      <w:tr w14:paraId="2F52A0C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43A32CA">
            <w:pPr>
              <w:shd w:val="clear"/>
              <w:jc w:val="center"/>
              <w:rPr>
                <w:rFonts w:ascii="宋体" w:hAnsi="宋体"/>
                <w:color w:val="auto"/>
                <w:szCs w:val="21"/>
                <w:highlight w:val="none"/>
              </w:rPr>
            </w:pPr>
          </w:p>
        </w:tc>
        <w:tc>
          <w:tcPr>
            <w:tcW w:w="2608" w:type="dxa"/>
            <w:gridSpan w:val="2"/>
            <w:vAlign w:val="center"/>
          </w:tcPr>
          <w:p w14:paraId="24A92138">
            <w:pPr>
              <w:shd w:val="clea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1DFAE986">
            <w:pPr>
              <w:shd w:val="clear"/>
              <w:jc w:val="center"/>
              <w:rPr>
                <w:rFonts w:ascii="宋体" w:hAnsi="宋体"/>
                <w:b/>
                <w:color w:val="auto"/>
                <w:szCs w:val="21"/>
                <w:highlight w:val="none"/>
              </w:rPr>
            </w:pPr>
            <w:r>
              <w:rPr>
                <w:rFonts w:hint="eastAsia" w:ascii="宋体" w:hAnsi="宋体"/>
                <w:b/>
                <w:color w:val="auto"/>
                <w:szCs w:val="21"/>
                <w:highlight w:val="none"/>
              </w:rPr>
              <w:t>1</w:t>
            </w:r>
          </w:p>
        </w:tc>
      </w:tr>
      <w:tr w14:paraId="57952B5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4F58C54">
            <w:pPr>
              <w:shd w:val="clear"/>
              <w:jc w:val="center"/>
              <w:rPr>
                <w:rFonts w:ascii="宋体" w:hAnsi="宋体"/>
                <w:color w:val="auto"/>
                <w:szCs w:val="21"/>
                <w:highlight w:val="none"/>
              </w:rPr>
            </w:pPr>
          </w:p>
        </w:tc>
        <w:tc>
          <w:tcPr>
            <w:tcW w:w="2608" w:type="dxa"/>
            <w:gridSpan w:val="2"/>
            <w:vAlign w:val="center"/>
          </w:tcPr>
          <w:p w14:paraId="40529459">
            <w:pPr>
              <w:shd w:val="clea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71984A24">
            <w:pPr>
              <w:shd w:val="clear"/>
              <w:jc w:val="center"/>
              <w:rPr>
                <w:rFonts w:hint="eastAsia" w:ascii="宋体" w:hAnsi="宋体" w:eastAsia="宋体"/>
                <w:b/>
                <w:color w:val="auto"/>
                <w:szCs w:val="21"/>
                <w:highlight w:val="none"/>
                <w:lang w:eastAsia="zh-CN"/>
              </w:rPr>
            </w:pPr>
            <w:r>
              <w:rPr>
                <w:rFonts w:hint="eastAsia" w:ascii="宋体" w:hAnsi="宋体"/>
                <w:b/>
                <w:color w:val="auto"/>
                <w:szCs w:val="21"/>
                <w:highlight w:val="none"/>
                <w:lang w:val="en-US" w:eastAsia="zh-CN"/>
              </w:rPr>
              <w:t>7</w:t>
            </w:r>
          </w:p>
        </w:tc>
      </w:tr>
      <w:tr w14:paraId="4A5DD8A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E1BD739">
            <w:pPr>
              <w:shd w:val="clear"/>
              <w:jc w:val="center"/>
              <w:rPr>
                <w:rFonts w:ascii="宋体" w:hAnsi="宋体"/>
                <w:color w:val="auto"/>
                <w:szCs w:val="21"/>
                <w:highlight w:val="none"/>
              </w:rPr>
            </w:pPr>
          </w:p>
        </w:tc>
        <w:tc>
          <w:tcPr>
            <w:tcW w:w="2608" w:type="dxa"/>
            <w:gridSpan w:val="2"/>
            <w:vAlign w:val="center"/>
          </w:tcPr>
          <w:p w14:paraId="2CAEFD18">
            <w:pPr>
              <w:shd w:val="clea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1B7D4D95">
            <w:pPr>
              <w:shd w:val="clear"/>
              <w:jc w:val="center"/>
              <w:rPr>
                <w:rFonts w:ascii="宋体" w:hAnsi="宋体"/>
                <w:b/>
                <w:color w:val="auto"/>
                <w:szCs w:val="21"/>
                <w:highlight w:val="none"/>
              </w:rPr>
            </w:pPr>
            <w:r>
              <w:rPr>
                <w:rFonts w:hint="eastAsia" w:ascii="宋体" w:hAnsi="宋体"/>
                <w:b/>
                <w:color w:val="auto"/>
                <w:szCs w:val="21"/>
                <w:highlight w:val="none"/>
              </w:rPr>
              <w:t>1</w:t>
            </w:r>
          </w:p>
        </w:tc>
      </w:tr>
      <w:tr w14:paraId="0D633F4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6"/>
            <w:vAlign w:val="center"/>
          </w:tcPr>
          <w:p w14:paraId="5EAC7548">
            <w:pPr>
              <w:shd w:val="clea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38D1E29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49BE277">
            <w:pPr>
              <w:shd w:val="clea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5"/>
            <w:vAlign w:val="center"/>
          </w:tcPr>
          <w:p w14:paraId="0BE77FE9">
            <w:pPr>
              <w:shd w:val="clear"/>
              <w:jc w:val="both"/>
              <w:rPr>
                <w:rFonts w:ascii="宋体" w:hAnsi="宋体"/>
                <w:color w:val="auto"/>
                <w:szCs w:val="21"/>
                <w:highlight w:val="none"/>
              </w:rPr>
            </w:pPr>
            <w:r>
              <w:rPr>
                <w:rFonts w:hint="eastAsia" w:ascii="宋体" w:hAnsi="宋体"/>
                <w:b/>
                <w:color w:val="auto"/>
                <w:szCs w:val="21"/>
                <w:highlight w:val="none"/>
              </w:rPr>
              <w:t>本项目评标方法</w:t>
            </w:r>
          </w:p>
        </w:tc>
      </w:tr>
      <w:tr w14:paraId="37E0047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87E16C8">
            <w:pPr>
              <w:shd w:val="clear"/>
              <w:jc w:val="center"/>
              <w:rPr>
                <w:rFonts w:ascii="宋体" w:hAnsi="宋体"/>
                <w:color w:val="auto"/>
                <w:szCs w:val="21"/>
                <w:highlight w:val="none"/>
              </w:rPr>
            </w:pPr>
          </w:p>
        </w:tc>
        <w:tc>
          <w:tcPr>
            <w:tcW w:w="7532" w:type="dxa"/>
            <w:gridSpan w:val="5"/>
            <w:vAlign w:val="center"/>
          </w:tcPr>
          <w:p w14:paraId="6404A5F1">
            <w:pPr>
              <w:shd w:val="clear"/>
              <w:jc w:val="both"/>
              <w:rPr>
                <w:rFonts w:ascii="宋体" w:hAnsi="宋体"/>
                <w:b/>
                <w:color w:val="auto"/>
                <w:szCs w:val="21"/>
                <w:highlight w:val="none"/>
              </w:rPr>
            </w:pPr>
            <w:r>
              <w:rPr>
                <w:rFonts w:hint="eastAsia" w:ascii="宋体" w:hAnsi="宋体"/>
                <w:color w:val="auto"/>
                <w:szCs w:val="21"/>
                <w:highlight w:val="none"/>
              </w:rPr>
              <w:t>综合评分法。</w:t>
            </w:r>
          </w:p>
        </w:tc>
      </w:tr>
      <w:tr w14:paraId="3D75F95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D93DEF7">
            <w:pPr>
              <w:shd w:val="clear"/>
              <w:jc w:val="center"/>
              <w:rPr>
                <w:rFonts w:ascii="宋体" w:hAnsi="宋体"/>
                <w:color w:val="auto"/>
                <w:szCs w:val="21"/>
                <w:highlight w:val="none"/>
              </w:rPr>
            </w:pPr>
          </w:p>
        </w:tc>
        <w:tc>
          <w:tcPr>
            <w:tcW w:w="7532" w:type="dxa"/>
            <w:gridSpan w:val="5"/>
            <w:vAlign w:val="center"/>
          </w:tcPr>
          <w:p w14:paraId="2C1661B7">
            <w:pPr>
              <w:shd w:val="clear"/>
              <w:jc w:val="both"/>
              <w:rPr>
                <w:rFonts w:hint="eastAsia" w:ascii="宋体" w:hAnsi="宋体"/>
                <w:color w:val="auto"/>
                <w:szCs w:val="21"/>
                <w:highlight w:val="none"/>
              </w:rPr>
            </w:pPr>
            <w:r>
              <w:rPr>
                <w:rFonts w:hint="eastAsia" w:ascii="宋体" w:hAnsi="宋体" w:eastAsia="宋体"/>
                <w:b/>
                <w:color w:val="auto"/>
                <w:szCs w:val="21"/>
                <w:highlight w:val="none"/>
              </w:rPr>
              <w:t>项目兼投不兼中规则</w:t>
            </w:r>
          </w:p>
        </w:tc>
      </w:tr>
      <w:tr w14:paraId="6DC0129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0D83C47">
            <w:pPr>
              <w:shd w:val="clear"/>
              <w:jc w:val="center"/>
              <w:rPr>
                <w:rFonts w:ascii="宋体" w:hAnsi="宋体"/>
                <w:color w:val="auto"/>
                <w:szCs w:val="21"/>
                <w:highlight w:val="none"/>
              </w:rPr>
            </w:pPr>
          </w:p>
        </w:tc>
        <w:tc>
          <w:tcPr>
            <w:tcW w:w="7532" w:type="dxa"/>
            <w:gridSpan w:val="5"/>
            <w:vAlign w:val="center"/>
          </w:tcPr>
          <w:p w14:paraId="1C369BB7">
            <w:pPr>
              <w:shd w:val="clear"/>
              <w:jc w:val="both"/>
              <w:rPr>
                <w:rFonts w:hint="eastAsia" w:ascii="宋体" w:hAnsi="宋体"/>
                <w:color w:val="auto"/>
                <w:szCs w:val="21"/>
                <w:highlight w:val="none"/>
              </w:rPr>
            </w:pPr>
            <w:r>
              <w:rPr>
                <w:rFonts w:hint="eastAsia" w:ascii="宋体" w:hAnsi="宋体"/>
                <w:color w:val="auto"/>
                <w:szCs w:val="21"/>
                <w:highlight w:val="none"/>
              </w:rPr>
              <w:t>本项目兼投不兼中。每个投标人最多只能被确定为1个子包的第一中标候选人。本项目采购包(1、2)的顺序进行评审，依次按照评标总得分由高到低的顺序，每包组推荐三名中标候选人。已获得采购包1的第一中标候选人资格的，将不具有采购包2的候选人推荐资格；采购包2从具有中标候选人资格的投标人中，排名最高的投标供应商为第一中标候选人，排名次高的投标供应商为第二中标候选人，以此类推。</w:t>
            </w:r>
          </w:p>
        </w:tc>
      </w:tr>
      <w:tr w14:paraId="15588F2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1442470C">
            <w:pPr>
              <w:shd w:val="clea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5"/>
            <w:vAlign w:val="center"/>
          </w:tcPr>
          <w:p w14:paraId="3D103167">
            <w:pPr>
              <w:shd w:val="clea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089880E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230E303">
            <w:pPr>
              <w:shd w:val="clear"/>
              <w:jc w:val="center"/>
              <w:rPr>
                <w:rFonts w:ascii="宋体" w:hAnsi="宋体"/>
                <w:color w:val="auto"/>
                <w:szCs w:val="21"/>
                <w:highlight w:val="none"/>
              </w:rPr>
            </w:pPr>
          </w:p>
        </w:tc>
        <w:tc>
          <w:tcPr>
            <w:tcW w:w="7532" w:type="dxa"/>
            <w:gridSpan w:val="5"/>
            <w:vAlign w:val="center"/>
          </w:tcPr>
          <w:p w14:paraId="68E6C0A9">
            <w:pPr>
              <w:shd w:val="clea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2F99EE8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6"/>
            <w:vAlign w:val="center"/>
          </w:tcPr>
          <w:p w14:paraId="3DCE4196">
            <w:pPr>
              <w:shd w:val="clear"/>
              <w:jc w:val="center"/>
              <w:rPr>
                <w:rFonts w:ascii="宋体" w:hAnsi="宋体"/>
                <w:b/>
                <w:color w:val="auto"/>
                <w:szCs w:val="21"/>
                <w:highlight w:val="none"/>
              </w:rPr>
            </w:pPr>
            <w:r>
              <w:rPr>
                <w:rFonts w:hint="eastAsia" w:ascii="宋体" w:hAnsi="宋体"/>
                <w:b/>
                <w:color w:val="auto"/>
                <w:szCs w:val="21"/>
                <w:highlight w:val="none"/>
              </w:rPr>
              <w:t>四、授予合同</w:t>
            </w:r>
          </w:p>
        </w:tc>
      </w:tr>
      <w:tr w14:paraId="661F1D9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4FD6BEDC">
            <w:pPr>
              <w:shd w:val="clea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5"/>
            <w:shd w:val="clear" w:color="auto" w:fill="auto"/>
            <w:vAlign w:val="center"/>
          </w:tcPr>
          <w:p w14:paraId="5DBDBDAF">
            <w:pPr>
              <w:shd w:val="clear"/>
              <w:spacing w:after="0"/>
              <w:jc w:val="both"/>
              <w:rPr>
                <w:rFonts w:ascii="宋体" w:hAnsi="宋体"/>
                <w:b/>
                <w:color w:val="auto"/>
                <w:szCs w:val="21"/>
                <w:highlight w:val="none"/>
              </w:rPr>
            </w:pPr>
            <w:r>
              <w:rPr>
                <w:rFonts w:hint="eastAsia" w:ascii="宋体" w:hAnsi="宋体" w:eastAsia="宋体"/>
                <w:b/>
                <w:color w:val="auto"/>
                <w:sz w:val="21"/>
                <w:szCs w:val="21"/>
                <w:highlight w:val="none"/>
              </w:rPr>
              <w:t>履约保证金</w:t>
            </w:r>
          </w:p>
        </w:tc>
      </w:tr>
      <w:tr w14:paraId="7AA0D6E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352D7916">
            <w:pPr>
              <w:shd w:val="clear"/>
              <w:jc w:val="center"/>
              <w:rPr>
                <w:rFonts w:ascii="宋体" w:hAnsi="宋体"/>
                <w:color w:val="auto"/>
                <w:szCs w:val="21"/>
                <w:highlight w:val="none"/>
              </w:rPr>
            </w:pPr>
          </w:p>
        </w:tc>
        <w:tc>
          <w:tcPr>
            <w:tcW w:w="7532" w:type="dxa"/>
            <w:gridSpan w:val="5"/>
            <w:shd w:val="clear" w:color="auto" w:fill="auto"/>
            <w:vAlign w:val="center"/>
          </w:tcPr>
          <w:p w14:paraId="468DB151">
            <w:pPr>
              <w:shd w:val="clear"/>
              <w:spacing w:after="0"/>
              <w:jc w:val="both"/>
              <w:rPr>
                <w:rFonts w:ascii="宋体" w:hAnsi="宋体"/>
                <w:b/>
                <w:color w:val="auto"/>
                <w:szCs w:val="21"/>
                <w:highlight w:val="none"/>
              </w:rPr>
            </w:pPr>
            <w:r>
              <w:rPr>
                <w:rFonts w:hint="eastAsia" w:ascii="宋体" w:hAnsi="宋体" w:eastAsia="宋体"/>
                <w:color w:val="auto"/>
                <w:sz w:val="21"/>
                <w:szCs w:val="21"/>
                <w:highlight w:val="none"/>
              </w:rPr>
              <w:t>履约保证金的数额为政府采购合同金额的5%。</w:t>
            </w:r>
          </w:p>
        </w:tc>
      </w:tr>
      <w:tr w14:paraId="7E54111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59CAC8DE">
            <w:pPr>
              <w:shd w:val="clea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5"/>
            <w:vAlign w:val="center"/>
          </w:tcPr>
          <w:p w14:paraId="1311EBE1">
            <w:pPr>
              <w:shd w:val="clear"/>
              <w:jc w:val="both"/>
              <w:rPr>
                <w:rFonts w:ascii="宋体" w:hAnsi="宋体"/>
                <w:b/>
                <w:color w:val="auto"/>
                <w:szCs w:val="21"/>
                <w:highlight w:val="none"/>
              </w:rPr>
            </w:pPr>
            <w:r>
              <w:rPr>
                <w:rFonts w:hint="eastAsia" w:ascii="宋体" w:hAnsi="宋体"/>
                <w:b/>
                <w:color w:val="auto"/>
                <w:szCs w:val="21"/>
                <w:highlight w:val="none"/>
              </w:rPr>
              <w:t>中标服务费</w:t>
            </w:r>
          </w:p>
        </w:tc>
      </w:tr>
      <w:tr w14:paraId="7D5EDE9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418AA8FE">
            <w:pPr>
              <w:shd w:val="clear"/>
              <w:jc w:val="center"/>
              <w:rPr>
                <w:rFonts w:ascii="宋体" w:hAnsi="宋体"/>
                <w:color w:val="auto"/>
                <w:szCs w:val="21"/>
                <w:highlight w:val="none"/>
              </w:rPr>
            </w:pPr>
          </w:p>
        </w:tc>
        <w:tc>
          <w:tcPr>
            <w:tcW w:w="7532" w:type="dxa"/>
            <w:gridSpan w:val="5"/>
            <w:vAlign w:val="center"/>
          </w:tcPr>
          <w:p w14:paraId="020D31A2">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14:paraId="664D5B3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79DE7DAA">
            <w:pPr>
              <w:shd w:val="clear"/>
              <w:jc w:val="center"/>
              <w:rPr>
                <w:rFonts w:ascii="宋体" w:hAnsi="宋体"/>
                <w:color w:val="auto"/>
                <w:szCs w:val="21"/>
                <w:highlight w:val="none"/>
              </w:rPr>
            </w:pPr>
          </w:p>
        </w:tc>
        <w:tc>
          <w:tcPr>
            <w:tcW w:w="7532" w:type="dxa"/>
            <w:gridSpan w:val="5"/>
            <w:vAlign w:val="center"/>
          </w:tcPr>
          <w:p w14:paraId="6BCE9AAB">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55CD877D">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2044E8C1">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088B55F1">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480BEAA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6"/>
            <w:vAlign w:val="center"/>
          </w:tcPr>
          <w:p w14:paraId="4CC01BF0">
            <w:pPr>
              <w:widowControl w:val="0"/>
              <w:shd w:val="clear"/>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40EB3AF4">
      <w:pPr>
        <w:shd w:val="clear"/>
        <w:bidi w:val="0"/>
        <w:rPr>
          <w:rFonts w:hint="eastAsia"/>
          <w:color w:val="auto"/>
          <w:highlight w:val="none"/>
        </w:rPr>
      </w:pPr>
      <w:bookmarkStart w:id="8" w:name="_Toc13473"/>
      <w:bookmarkStart w:id="9" w:name="_Toc5749"/>
      <w:bookmarkStart w:id="10" w:name="_Hlk55300595"/>
      <w:bookmarkStart w:id="11" w:name="_Toc9572"/>
    </w:p>
    <w:p w14:paraId="716FF2F7">
      <w:pPr>
        <w:pStyle w:val="8"/>
        <w:shd w:val="clear"/>
        <w:rPr>
          <w:rFonts w:hint="eastAsia"/>
          <w:color w:val="auto"/>
          <w:highlight w:val="none"/>
        </w:rPr>
      </w:pPr>
    </w:p>
    <w:p w14:paraId="241461E1">
      <w:pPr>
        <w:shd w:val="clear"/>
        <w:rPr>
          <w:rFonts w:hint="eastAsia"/>
          <w:color w:val="auto"/>
          <w:highlight w:val="none"/>
        </w:rPr>
      </w:pPr>
    </w:p>
    <w:p w14:paraId="50D30EDC">
      <w:pPr>
        <w:pStyle w:val="8"/>
        <w:shd w:val="clear"/>
        <w:rPr>
          <w:rFonts w:hint="eastAsia"/>
          <w:color w:val="auto"/>
          <w:highlight w:val="none"/>
        </w:rPr>
      </w:pPr>
    </w:p>
    <w:p w14:paraId="19500BB9">
      <w:pPr>
        <w:shd w:val="clear"/>
        <w:rPr>
          <w:rFonts w:hint="eastAsia"/>
          <w:color w:val="auto"/>
          <w:highlight w:val="none"/>
        </w:rPr>
      </w:pPr>
    </w:p>
    <w:p w14:paraId="6610765A">
      <w:pPr>
        <w:pStyle w:val="8"/>
        <w:shd w:val="clear"/>
        <w:rPr>
          <w:rFonts w:hint="eastAsia"/>
          <w:color w:val="auto"/>
          <w:highlight w:val="none"/>
        </w:rPr>
      </w:pPr>
    </w:p>
    <w:p w14:paraId="459BF5A4">
      <w:pPr>
        <w:shd w:val="clear"/>
        <w:rPr>
          <w:rFonts w:hint="eastAsia"/>
          <w:color w:val="auto"/>
          <w:highlight w:val="none"/>
        </w:rPr>
      </w:pPr>
    </w:p>
    <w:p w14:paraId="4A3A41B7">
      <w:pPr>
        <w:pStyle w:val="8"/>
        <w:shd w:val="clear"/>
        <w:rPr>
          <w:rFonts w:hint="eastAsia"/>
          <w:color w:val="auto"/>
          <w:highlight w:val="none"/>
        </w:rPr>
      </w:pPr>
    </w:p>
    <w:p w14:paraId="2AA158B9">
      <w:pPr>
        <w:shd w:val="clear"/>
        <w:rPr>
          <w:rFonts w:hint="eastAsia"/>
          <w:color w:val="auto"/>
          <w:highlight w:val="none"/>
        </w:rPr>
      </w:pPr>
    </w:p>
    <w:p w14:paraId="228CD34D">
      <w:pPr>
        <w:pStyle w:val="8"/>
        <w:shd w:val="clear"/>
        <w:rPr>
          <w:rFonts w:hint="eastAsia"/>
          <w:color w:val="auto"/>
          <w:highlight w:val="none"/>
        </w:rPr>
      </w:pPr>
    </w:p>
    <w:p w14:paraId="252EF542">
      <w:pPr>
        <w:shd w:val="clear"/>
        <w:rPr>
          <w:rFonts w:hint="eastAsia"/>
          <w:color w:val="auto"/>
          <w:highlight w:val="none"/>
        </w:rPr>
      </w:pPr>
    </w:p>
    <w:p w14:paraId="563DD3A3">
      <w:pPr>
        <w:pStyle w:val="8"/>
        <w:shd w:val="clear"/>
        <w:rPr>
          <w:rFonts w:hint="eastAsia"/>
          <w:color w:val="auto"/>
          <w:highlight w:val="none"/>
        </w:rPr>
      </w:pPr>
    </w:p>
    <w:p w14:paraId="4D2720AF">
      <w:pPr>
        <w:shd w:val="clear"/>
        <w:rPr>
          <w:rFonts w:hint="eastAsia"/>
          <w:color w:val="auto"/>
          <w:highlight w:val="none"/>
        </w:rPr>
      </w:pPr>
    </w:p>
    <w:p w14:paraId="67C587BC">
      <w:pPr>
        <w:pStyle w:val="8"/>
        <w:shd w:val="clear"/>
        <w:rPr>
          <w:rFonts w:hint="eastAsia"/>
          <w:color w:val="auto"/>
          <w:highlight w:val="none"/>
        </w:rPr>
      </w:pPr>
    </w:p>
    <w:p w14:paraId="28059FBB">
      <w:pPr>
        <w:shd w:val="clear"/>
        <w:rPr>
          <w:rFonts w:hint="eastAsia"/>
          <w:color w:val="auto"/>
          <w:highlight w:val="none"/>
        </w:rPr>
      </w:pPr>
    </w:p>
    <w:p w14:paraId="420CD670">
      <w:pPr>
        <w:pStyle w:val="8"/>
        <w:shd w:val="clear"/>
        <w:rPr>
          <w:rFonts w:hint="eastAsia"/>
          <w:color w:val="auto"/>
          <w:highlight w:val="none"/>
        </w:rPr>
      </w:pPr>
    </w:p>
    <w:p w14:paraId="6B60C677">
      <w:pPr>
        <w:shd w:val="clear"/>
        <w:rPr>
          <w:rFonts w:hint="eastAsia"/>
          <w:color w:val="auto"/>
          <w:highlight w:val="none"/>
        </w:rPr>
      </w:pPr>
    </w:p>
    <w:p w14:paraId="2AF530B2">
      <w:pPr>
        <w:shd w:val="clear"/>
        <w:rPr>
          <w:rFonts w:hint="eastAsia"/>
          <w:color w:val="auto"/>
          <w:highlight w:val="none"/>
        </w:rPr>
      </w:pPr>
    </w:p>
    <w:p w14:paraId="7AE819A1">
      <w:pPr>
        <w:pStyle w:val="3"/>
        <w:shd w:val="clear"/>
        <w:spacing w:before="0" w:after="0" w:line="360" w:lineRule="auto"/>
        <w:rPr>
          <w:color w:val="auto"/>
          <w:highlight w:val="none"/>
        </w:rPr>
      </w:pPr>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2D6D3461">
      <w:pPr>
        <w:pStyle w:val="4"/>
        <w:shd w:val="clear"/>
        <w:spacing w:line="240" w:lineRule="auto"/>
        <w:jc w:val="center"/>
        <w:rPr>
          <w:rFonts w:hint="eastAsia" w:ascii="宋体" w:hAnsi="宋体" w:eastAsia="宋体" w:cs="宋体"/>
          <w:color w:val="auto"/>
          <w:sz w:val="24"/>
          <w:szCs w:val="24"/>
          <w:highlight w:val="none"/>
          <w:lang w:eastAsia="zh-CN"/>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适用于采购包1及采购包2</w:t>
      </w:r>
      <w:r>
        <w:rPr>
          <w:rFonts w:hint="eastAsia" w:ascii="宋体" w:hAnsi="宋体" w:cs="宋体"/>
          <w:color w:val="auto"/>
          <w:sz w:val="24"/>
          <w:szCs w:val="24"/>
          <w:highlight w:val="none"/>
          <w:lang w:eastAsia="zh-CN"/>
        </w:rPr>
        <w:t>）</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3"/>
        <w:gridCol w:w="734"/>
        <w:gridCol w:w="25"/>
        <w:gridCol w:w="5463"/>
      </w:tblGrid>
      <w:tr w14:paraId="1B97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2FBD4F0B">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6762BB7D">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65843C14">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04177D31">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14:paraId="274B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73ECD0B5">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b/>
                <w:bCs/>
                <w:color w:val="auto"/>
                <w:sz w:val="21"/>
                <w:szCs w:val="21"/>
                <w:highlight w:val="none"/>
                <w:lang w:eastAsia="zh-CN"/>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30分</w:t>
            </w:r>
            <w:r>
              <w:rPr>
                <w:rFonts w:hint="eastAsia" w:ascii="宋体" w:eastAsia="宋体" w:cs="宋体"/>
                <w:b/>
                <w:bCs/>
                <w:color w:val="auto"/>
                <w:sz w:val="21"/>
                <w:szCs w:val="21"/>
                <w:highlight w:val="none"/>
                <w:lang w:eastAsia="zh-CN"/>
              </w:rPr>
              <w:t>）</w:t>
            </w:r>
          </w:p>
        </w:tc>
      </w:tr>
      <w:tr w14:paraId="36DA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14:paraId="0C6CEDB7">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noWrap w:val="0"/>
            <w:vAlign w:val="center"/>
          </w:tcPr>
          <w:p w14:paraId="5728B0A9">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zh-CN"/>
              </w:rPr>
              <w:t>企业认证</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4D1485DC">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kern w:val="2"/>
                <w:sz w:val="21"/>
                <w:szCs w:val="21"/>
                <w:highlight w:val="none"/>
                <w:lang w:val="en-US" w:eastAsia="zh-CN" w:bidi="ar-SA"/>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51CE508B">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投标人</w:t>
            </w:r>
            <w:r>
              <w:rPr>
                <w:rFonts w:hint="eastAsia" w:ascii="宋体" w:hAnsi="宋体" w:eastAsia="宋体" w:cs="宋体"/>
                <w:bCs/>
                <w:color w:val="auto"/>
                <w:sz w:val="21"/>
                <w:szCs w:val="21"/>
                <w:highlight w:val="none"/>
                <w:lang w:val="zh-CN"/>
              </w:rPr>
              <w:t>具备国家认证认可监督管理部门批准设立的认证机构颁发并在有限期内以下认证证书的，每提供一个认证证书得</w:t>
            </w:r>
            <w:r>
              <w:rPr>
                <w:rFonts w:hint="eastAsia" w:ascii="宋体" w:hAnsi="宋体" w:eastAsia="宋体" w:cs="宋体"/>
                <w:bCs/>
                <w:color w:val="auto"/>
                <w:sz w:val="21"/>
                <w:szCs w:val="21"/>
                <w:highlight w:val="none"/>
                <w:lang w:val="zh-CN" w:eastAsia="zh-CN"/>
              </w:rPr>
              <w:t>1</w:t>
            </w:r>
            <w:r>
              <w:rPr>
                <w:rFonts w:hint="eastAsia" w:ascii="宋体" w:hAnsi="宋体" w:eastAsia="宋体" w:cs="宋体"/>
                <w:bCs/>
                <w:color w:val="auto"/>
                <w:sz w:val="21"/>
                <w:szCs w:val="21"/>
                <w:highlight w:val="none"/>
                <w:lang w:val="zh-CN"/>
              </w:rPr>
              <w:t xml:space="preserve">分，本项最高得5分： </w:t>
            </w:r>
          </w:p>
          <w:p w14:paraId="5C2D8FAC">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1.</w:t>
            </w:r>
            <w:r>
              <w:rPr>
                <w:rFonts w:hint="eastAsia" w:ascii="宋体" w:hAnsi="宋体" w:eastAsia="宋体" w:cs="宋体"/>
                <w:bCs/>
                <w:color w:val="auto"/>
                <w:sz w:val="21"/>
                <w:szCs w:val="21"/>
                <w:highlight w:val="none"/>
                <w:lang w:val="zh-CN"/>
              </w:rPr>
              <w:t xml:space="preserve">质量管理体系认证； </w:t>
            </w:r>
          </w:p>
          <w:p w14:paraId="52883CB0">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2.</w:t>
            </w:r>
            <w:r>
              <w:rPr>
                <w:rFonts w:hint="eastAsia" w:ascii="宋体" w:hAnsi="宋体" w:eastAsia="宋体" w:cs="宋体"/>
                <w:bCs/>
                <w:color w:val="auto"/>
                <w:sz w:val="21"/>
                <w:szCs w:val="21"/>
                <w:highlight w:val="none"/>
                <w:lang w:val="zh-CN"/>
              </w:rPr>
              <w:t xml:space="preserve">食品安全管理体系认证； </w:t>
            </w:r>
          </w:p>
          <w:p w14:paraId="0B9E3E8A">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3.</w:t>
            </w:r>
            <w:r>
              <w:rPr>
                <w:rFonts w:hint="eastAsia" w:ascii="宋体" w:hAnsi="宋体" w:eastAsia="宋体" w:cs="宋体"/>
                <w:bCs/>
                <w:color w:val="auto"/>
                <w:sz w:val="21"/>
                <w:szCs w:val="21"/>
                <w:highlight w:val="none"/>
                <w:lang w:val="zh-CN"/>
              </w:rPr>
              <w:t xml:space="preserve">环境管理体系认证； </w:t>
            </w:r>
          </w:p>
          <w:p w14:paraId="4DAA120A">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4.</w:t>
            </w:r>
            <w:r>
              <w:rPr>
                <w:rFonts w:hint="eastAsia" w:ascii="宋体" w:hAnsi="宋体" w:eastAsia="宋体" w:cs="宋体"/>
                <w:bCs/>
                <w:color w:val="auto"/>
                <w:sz w:val="21"/>
                <w:szCs w:val="21"/>
                <w:highlight w:val="none"/>
                <w:lang w:val="zh-CN"/>
              </w:rPr>
              <w:t xml:space="preserve">职业健康安全管理体系认证； </w:t>
            </w:r>
          </w:p>
          <w:p w14:paraId="5CC0A597">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5.</w:t>
            </w:r>
            <w:r>
              <w:rPr>
                <w:rFonts w:hint="eastAsia" w:ascii="宋体" w:hAnsi="宋体" w:eastAsia="宋体" w:cs="宋体"/>
                <w:bCs/>
                <w:color w:val="auto"/>
                <w:sz w:val="21"/>
                <w:szCs w:val="21"/>
                <w:highlight w:val="none"/>
                <w:lang w:val="zh-CN"/>
              </w:rPr>
              <w:t xml:space="preserve">危害分析与关键控制点（HACCP）体系认证； </w:t>
            </w:r>
          </w:p>
          <w:p w14:paraId="2E42C5E7">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kern w:val="2"/>
                <w:sz w:val="21"/>
                <w:szCs w:val="21"/>
                <w:highlight w:val="none"/>
                <w:lang w:val="zh-CN" w:eastAsia="zh-CN" w:bidi="ar-SA"/>
              </w:rPr>
            </w:pPr>
            <w:r>
              <w:rPr>
                <w:rFonts w:hint="eastAsia" w:asci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zh-CN"/>
              </w:rPr>
              <w:t>须提供有效证书复印件加盖投标人公章</w:t>
            </w:r>
            <w:r>
              <w:rPr>
                <w:rFonts w:hint="eastAsia" w:ascii="宋体" w:eastAsia="宋体" w:cs="宋体"/>
                <w:bCs/>
                <w:color w:val="auto"/>
                <w:sz w:val="21"/>
                <w:szCs w:val="21"/>
                <w:highlight w:val="none"/>
                <w:lang w:val="zh-CN"/>
              </w:rPr>
              <w:t>，</w:t>
            </w:r>
            <w:r>
              <w:rPr>
                <w:rFonts w:hint="eastAsia" w:ascii="宋体" w:eastAsia="宋体" w:cs="宋体"/>
                <w:bCs/>
                <w:color w:val="auto"/>
                <w:sz w:val="21"/>
                <w:szCs w:val="21"/>
                <w:highlight w:val="none"/>
                <w:lang w:val="en-US" w:eastAsia="zh-CN"/>
              </w:rPr>
              <w:t>否则不得分。</w:t>
            </w:r>
          </w:p>
        </w:tc>
      </w:tr>
      <w:tr w14:paraId="2F59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14:paraId="400BF4F3">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noWrap w:val="0"/>
            <w:vAlign w:val="center"/>
          </w:tcPr>
          <w:p w14:paraId="646D33B7">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zh-CN"/>
              </w:rPr>
              <w:t>业绩情况</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46390CD4">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06CFBAE3">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投标人自</w:t>
            </w:r>
            <w:r>
              <w:rPr>
                <w:rFonts w:hint="eastAsia" w:ascii="宋体" w:hAnsi="宋体" w:eastAsia="宋体" w:cs="宋体"/>
                <w:bCs/>
                <w:color w:val="auto"/>
                <w:sz w:val="21"/>
                <w:szCs w:val="21"/>
                <w:highlight w:val="none"/>
                <w:lang w:val="zh-CN"/>
              </w:rPr>
              <w:t>202</w:t>
            </w:r>
            <w:r>
              <w:rPr>
                <w:rFonts w:hint="eastAsia" w:ascii="宋体" w:hAnsi="宋体" w:eastAsia="宋体" w:cs="宋体"/>
                <w:bCs/>
                <w:color w:val="auto"/>
                <w:sz w:val="21"/>
                <w:szCs w:val="21"/>
                <w:highlight w:val="none"/>
                <w:lang w:val="zh-CN" w:eastAsia="zh-CN"/>
              </w:rPr>
              <w:t>2</w:t>
            </w:r>
            <w:r>
              <w:rPr>
                <w:rFonts w:hint="eastAsia" w:ascii="宋体" w:hAnsi="宋体" w:eastAsia="宋体" w:cs="宋体"/>
                <w:bCs/>
                <w:color w:val="auto"/>
                <w:sz w:val="21"/>
                <w:szCs w:val="21"/>
                <w:highlight w:val="none"/>
                <w:lang w:val="zh-CN"/>
              </w:rPr>
              <w:t>年1月1日以来（以合同签订时间为准）具有食材配送类业绩进行评审，每提供一</w:t>
            </w:r>
            <w:r>
              <w:rPr>
                <w:rFonts w:hint="eastAsia" w:ascii="宋体" w:eastAsia="宋体" w:cs="宋体"/>
                <w:bCs/>
                <w:color w:val="auto"/>
                <w:sz w:val="21"/>
                <w:szCs w:val="21"/>
                <w:highlight w:val="none"/>
                <w:lang w:val="en-US" w:eastAsia="zh-CN"/>
              </w:rPr>
              <w:t>个</w:t>
            </w:r>
            <w:r>
              <w:rPr>
                <w:rFonts w:hint="eastAsia" w:ascii="宋体" w:hAnsi="宋体" w:eastAsia="宋体" w:cs="宋体"/>
                <w:bCs/>
                <w:color w:val="auto"/>
                <w:sz w:val="21"/>
                <w:szCs w:val="21"/>
                <w:highlight w:val="none"/>
                <w:lang w:val="zh-CN"/>
              </w:rPr>
              <w:t>业绩得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分，本项</w:t>
            </w:r>
            <w:r>
              <w:rPr>
                <w:rFonts w:hint="eastAsia" w:ascii="宋体" w:hAnsi="宋体" w:eastAsia="宋体" w:cs="宋体"/>
                <w:bCs/>
                <w:color w:val="auto"/>
                <w:sz w:val="21"/>
                <w:szCs w:val="21"/>
                <w:highlight w:val="none"/>
                <w:lang w:val="zh-CN" w:eastAsia="zh-CN"/>
              </w:rPr>
              <w:t>最高得</w:t>
            </w:r>
            <w:r>
              <w:rPr>
                <w:rFonts w:hint="eastAsia" w:asci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eastAsia="zh-CN"/>
              </w:rPr>
              <w:t>分</w:t>
            </w:r>
            <w:r>
              <w:rPr>
                <w:rFonts w:hint="eastAsia" w:ascii="宋体" w:hAnsi="宋体" w:eastAsia="宋体" w:cs="宋体"/>
                <w:bCs/>
                <w:color w:val="auto"/>
                <w:sz w:val="21"/>
                <w:szCs w:val="21"/>
                <w:highlight w:val="none"/>
                <w:lang w:val="zh-CN"/>
              </w:rPr>
              <w:t xml:space="preserve">。 </w:t>
            </w:r>
          </w:p>
          <w:p w14:paraId="65E3E865">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pt-BR"/>
              </w:rPr>
            </w:pPr>
            <w:r>
              <w:rPr>
                <w:rFonts w:hint="eastAsia" w:asci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zh-CN"/>
              </w:rPr>
              <w:t>须提供合同复印件</w:t>
            </w:r>
            <w:r>
              <w:rPr>
                <w:rFonts w:hint="eastAsia" w:ascii="宋体" w:eastAsia="宋体" w:cs="宋体"/>
                <w:bCs/>
                <w:color w:val="auto"/>
                <w:sz w:val="21"/>
                <w:szCs w:val="21"/>
                <w:highlight w:val="none"/>
                <w:lang w:val="en-US" w:eastAsia="zh-CN"/>
              </w:rPr>
              <w:t>及</w:t>
            </w:r>
            <w:r>
              <w:rPr>
                <w:rFonts w:hint="eastAsia" w:ascii="宋体" w:hAnsi="宋体" w:eastAsia="宋体" w:cs="宋体"/>
                <w:bCs/>
                <w:color w:val="auto"/>
                <w:sz w:val="21"/>
                <w:szCs w:val="21"/>
                <w:highlight w:val="none"/>
                <w:lang w:val="zh-CN"/>
              </w:rPr>
              <w:t>合同期内任意</w:t>
            </w:r>
            <w:r>
              <w:rPr>
                <w:rFonts w:hint="eastAsia" w:asci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eastAsia="zh-CN"/>
              </w:rPr>
              <w:t>张由投标人</w:t>
            </w:r>
            <w:r>
              <w:rPr>
                <w:rFonts w:hint="eastAsia" w:ascii="宋体" w:hAnsi="宋体" w:eastAsia="宋体" w:cs="宋体"/>
                <w:bCs/>
                <w:color w:val="auto"/>
                <w:sz w:val="21"/>
                <w:szCs w:val="21"/>
                <w:highlight w:val="none"/>
                <w:lang w:val="zh-CN"/>
              </w:rPr>
              <w:t>开具的对应供货发票复印件</w:t>
            </w:r>
            <w:r>
              <w:rPr>
                <w:rFonts w:hint="eastAsia" w:ascii="宋体" w:eastAsia="宋体" w:cs="宋体"/>
                <w:bCs/>
                <w:color w:val="auto"/>
                <w:sz w:val="21"/>
                <w:szCs w:val="21"/>
                <w:highlight w:val="none"/>
                <w:lang w:val="en-US" w:eastAsia="zh-CN"/>
              </w:rPr>
              <w:t>并</w:t>
            </w:r>
            <w:r>
              <w:rPr>
                <w:rFonts w:hint="eastAsia" w:ascii="宋体" w:hAnsi="宋体" w:eastAsia="宋体" w:cs="宋体"/>
                <w:bCs/>
                <w:color w:val="auto"/>
                <w:sz w:val="21"/>
                <w:szCs w:val="21"/>
                <w:highlight w:val="none"/>
                <w:lang w:val="zh-CN"/>
              </w:rPr>
              <w:t>加盖</w:t>
            </w:r>
            <w:r>
              <w:rPr>
                <w:rFonts w:hint="eastAsia" w:ascii="宋体" w:hAnsi="宋体" w:eastAsia="宋体" w:cs="宋体"/>
                <w:bCs/>
                <w:color w:val="auto"/>
                <w:sz w:val="21"/>
                <w:szCs w:val="21"/>
                <w:highlight w:val="none"/>
                <w:lang w:val="zh-CN" w:eastAsia="zh-CN"/>
              </w:rPr>
              <w:t>投标人</w:t>
            </w:r>
            <w:r>
              <w:rPr>
                <w:rFonts w:hint="eastAsia" w:ascii="宋体" w:hAnsi="宋体" w:eastAsia="宋体" w:cs="宋体"/>
                <w:bCs/>
                <w:color w:val="auto"/>
                <w:sz w:val="21"/>
                <w:szCs w:val="21"/>
                <w:highlight w:val="none"/>
                <w:lang w:val="zh-CN"/>
              </w:rPr>
              <w:t>公章</w:t>
            </w:r>
            <w:r>
              <w:rPr>
                <w:rFonts w:hint="eastAsia" w:ascii="宋体" w:eastAsia="宋体" w:cs="宋体"/>
                <w:bCs/>
                <w:color w:val="auto"/>
                <w:sz w:val="21"/>
                <w:szCs w:val="21"/>
                <w:highlight w:val="none"/>
                <w:lang w:val="zh-CN"/>
              </w:rPr>
              <w:t>，</w:t>
            </w:r>
            <w:r>
              <w:rPr>
                <w:rFonts w:hint="eastAsia" w:ascii="宋体" w:eastAsia="宋体" w:cs="宋体"/>
                <w:bCs/>
                <w:color w:val="auto"/>
                <w:sz w:val="21"/>
                <w:szCs w:val="21"/>
                <w:highlight w:val="none"/>
                <w:lang w:val="en-US" w:eastAsia="zh-CN"/>
              </w:rPr>
              <w:t>否则不得分。</w:t>
            </w:r>
          </w:p>
        </w:tc>
      </w:tr>
      <w:tr w14:paraId="6ECF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90" w:type="dxa"/>
            <w:tcBorders>
              <w:top w:val="single" w:color="auto" w:sz="4" w:space="0"/>
              <w:left w:val="single" w:color="auto" w:sz="4" w:space="0"/>
              <w:right w:val="single" w:color="auto" w:sz="4" w:space="0"/>
            </w:tcBorders>
            <w:noWrap w:val="0"/>
            <w:vAlign w:val="center"/>
          </w:tcPr>
          <w:p w14:paraId="74D5CF70">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right w:val="single" w:color="auto" w:sz="4" w:space="0"/>
            </w:tcBorders>
            <w:noWrap w:val="0"/>
            <w:vAlign w:val="center"/>
          </w:tcPr>
          <w:p w14:paraId="435E8728">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zh-CN"/>
              </w:rPr>
              <w:t>项目投入人员情况</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24CB1525">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eastAsia="宋体" w:cs="宋体"/>
                <w:color w:val="auto"/>
                <w:sz w:val="21"/>
                <w:szCs w:val="21"/>
                <w:highlight w:val="none"/>
                <w:lang w:val="en-US" w:eastAsia="zh-CN"/>
              </w:rPr>
            </w:pPr>
            <w:r>
              <w:rPr>
                <w:rFonts w:hint="eastAsia" w:ascii="宋体" w:cs="宋体"/>
                <w:color w:val="auto"/>
                <w:sz w:val="21"/>
                <w:szCs w:val="21"/>
                <w:highlight w:val="none"/>
                <w:lang w:val="en-US" w:eastAsia="zh-CN"/>
              </w:rPr>
              <w:t>4</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4F830A67">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en-US" w:eastAsia="zh-CN"/>
              </w:rPr>
              <w:t>根据</w:t>
            </w:r>
            <w:r>
              <w:rPr>
                <w:rFonts w:hint="eastAsia" w:ascii="宋体" w:hAnsi="宋体" w:eastAsia="宋体" w:cs="宋体"/>
                <w:bCs/>
                <w:color w:val="auto"/>
                <w:sz w:val="21"/>
                <w:szCs w:val="21"/>
                <w:highlight w:val="none"/>
                <w:lang w:val="zh-CN" w:eastAsia="zh-CN"/>
              </w:rPr>
              <w:t>投标人为本项目配置食品安全管理人员</w:t>
            </w:r>
            <w:r>
              <w:rPr>
                <w:rFonts w:hint="eastAsia" w:ascii="宋体" w:eastAsia="宋体" w:cs="宋体"/>
                <w:bCs/>
                <w:color w:val="auto"/>
                <w:sz w:val="21"/>
                <w:szCs w:val="21"/>
                <w:highlight w:val="none"/>
                <w:lang w:val="en-US" w:eastAsia="zh-CN"/>
              </w:rPr>
              <w:t>进行评审</w:t>
            </w:r>
            <w:r>
              <w:rPr>
                <w:rFonts w:hint="eastAsia" w:ascii="宋体" w:hAnsi="宋体" w:eastAsia="宋体" w:cs="宋体"/>
                <w:bCs/>
                <w:color w:val="auto"/>
                <w:sz w:val="21"/>
                <w:szCs w:val="21"/>
                <w:highlight w:val="none"/>
                <w:lang w:val="zh-CN" w:eastAsia="zh-CN"/>
              </w:rPr>
              <w:t>：</w:t>
            </w:r>
          </w:p>
          <w:p w14:paraId="3772B2FE">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具有高级食品安全员证书或考试合格证明的，每</w:t>
            </w:r>
            <w:r>
              <w:rPr>
                <w:rFonts w:hint="eastAsia" w:ascii="宋体" w:eastAsia="宋体" w:cs="宋体"/>
                <w:bCs/>
                <w:color w:val="auto"/>
                <w:sz w:val="21"/>
                <w:szCs w:val="21"/>
                <w:highlight w:val="none"/>
                <w:lang w:val="en-US" w:eastAsia="zh-CN"/>
              </w:rPr>
              <w:t>提供一</w:t>
            </w:r>
            <w:r>
              <w:rPr>
                <w:rFonts w:hint="eastAsia" w:ascii="宋体" w:hAnsi="宋体" w:eastAsia="宋体" w:cs="宋体"/>
                <w:bCs/>
                <w:color w:val="auto"/>
                <w:sz w:val="21"/>
                <w:szCs w:val="21"/>
                <w:highlight w:val="none"/>
                <w:lang w:val="zh-CN" w:eastAsia="zh-CN"/>
              </w:rPr>
              <w:t>人得2分，具有中级食品安全员证书或考试合格证明的，每</w:t>
            </w:r>
            <w:r>
              <w:rPr>
                <w:rFonts w:hint="eastAsia" w:ascii="宋体" w:eastAsia="宋体" w:cs="宋体"/>
                <w:bCs/>
                <w:color w:val="auto"/>
                <w:sz w:val="21"/>
                <w:szCs w:val="21"/>
                <w:highlight w:val="none"/>
                <w:lang w:val="en-US" w:eastAsia="zh-CN"/>
              </w:rPr>
              <w:t>提供一</w:t>
            </w:r>
            <w:r>
              <w:rPr>
                <w:rFonts w:hint="eastAsia" w:ascii="宋体" w:hAnsi="宋体" w:eastAsia="宋体" w:cs="宋体"/>
                <w:bCs/>
                <w:color w:val="auto"/>
                <w:sz w:val="21"/>
                <w:szCs w:val="21"/>
                <w:highlight w:val="none"/>
                <w:lang w:val="zh-CN" w:eastAsia="zh-CN"/>
              </w:rPr>
              <w:t>人得1分，</w:t>
            </w:r>
            <w:r>
              <w:rPr>
                <w:rFonts w:hint="eastAsia" w:ascii="宋体" w:eastAsia="宋体" w:cs="宋体"/>
                <w:bCs/>
                <w:color w:val="auto"/>
                <w:sz w:val="21"/>
                <w:szCs w:val="21"/>
                <w:highlight w:val="none"/>
                <w:lang w:val="en-US" w:eastAsia="zh-CN"/>
              </w:rPr>
              <w:t>本项</w:t>
            </w:r>
            <w:r>
              <w:rPr>
                <w:rFonts w:hint="eastAsia" w:ascii="宋体" w:hAnsi="宋体" w:eastAsia="宋体" w:cs="宋体"/>
                <w:bCs/>
                <w:color w:val="auto"/>
                <w:sz w:val="21"/>
                <w:szCs w:val="21"/>
                <w:highlight w:val="none"/>
                <w:lang w:val="zh-CN" w:eastAsia="zh-CN"/>
              </w:rPr>
              <w:t>最高得</w:t>
            </w:r>
            <w:r>
              <w:rPr>
                <w:rFonts w:hint="eastAsia" w:asci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eastAsia="zh-CN"/>
              </w:rPr>
              <w:t>分。</w:t>
            </w:r>
          </w:p>
          <w:p w14:paraId="0D3D63B1">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cs="宋体"/>
                <w:color w:val="auto"/>
                <w:kern w:val="2"/>
                <w:sz w:val="21"/>
                <w:szCs w:val="21"/>
                <w:highlight w:val="none"/>
                <w:lang w:val="en-US" w:eastAsia="zh-CN"/>
              </w:rPr>
            </w:pPr>
            <w:r>
              <w:rPr>
                <w:rFonts w:hint="eastAsia" w:asci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rPr>
              <w:t>须提供有效人员证书复印件</w:t>
            </w:r>
            <w:r>
              <w:rPr>
                <w:rFonts w:hint="eastAsia" w:ascii="宋体" w:eastAsia="宋体" w:cs="宋体"/>
                <w:bCs/>
                <w:color w:val="auto"/>
                <w:sz w:val="21"/>
                <w:szCs w:val="21"/>
                <w:highlight w:val="none"/>
                <w:lang w:val="en-US" w:eastAsia="zh-CN"/>
              </w:rPr>
              <w:t>及</w:t>
            </w:r>
            <w:r>
              <w:rPr>
                <w:rFonts w:hint="eastAsia" w:ascii="宋体" w:hAnsi="宋体" w:eastAsia="宋体" w:cs="宋体"/>
                <w:bCs/>
                <w:color w:val="auto"/>
                <w:sz w:val="21"/>
                <w:szCs w:val="21"/>
                <w:highlight w:val="none"/>
                <w:lang w:val="zh-CN"/>
              </w:rPr>
              <w:t>距</w:t>
            </w:r>
            <w:r>
              <w:rPr>
                <w:rFonts w:hint="eastAsia" w:ascii="宋体" w:hAnsi="宋体" w:eastAsia="宋体" w:cs="宋体"/>
                <w:bCs/>
                <w:color w:val="auto"/>
                <w:sz w:val="21"/>
                <w:szCs w:val="21"/>
                <w:highlight w:val="none"/>
                <w:lang w:val="zh-CN" w:eastAsia="zh-CN"/>
              </w:rPr>
              <w:t>离</w:t>
            </w:r>
            <w:r>
              <w:rPr>
                <w:rFonts w:hint="eastAsia" w:ascii="宋体" w:hAnsi="宋体" w:eastAsia="宋体" w:cs="宋体"/>
                <w:bCs/>
                <w:color w:val="auto"/>
                <w:sz w:val="21"/>
                <w:szCs w:val="21"/>
                <w:highlight w:val="none"/>
                <w:lang w:val="zh-CN"/>
              </w:rPr>
              <w:t>开标时间</w:t>
            </w:r>
            <w:r>
              <w:rPr>
                <w:rFonts w:hint="eastAsia" w:ascii="宋体" w:eastAsia="宋体" w:cs="宋体"/>
                <w:bCs/>
                <w:color w:val="auto"/>
                <w:sz w:val="21"/>
                <w:szCs w:val="21"/>
                <w:highlight w:val="none"/>
                <w:lang w:val="en-US" w:eastAsia="zh-CN"/>
              </w:rPr>
              <w:t>前六个月内</w:t>
            </w:r>
            <w:r>
              <w:rPr>
                <w:rFonts w:hint="eastAsia" w:ascii="宋体" w:hAnsi="宋体" w:eastAsia="宋体" w:cs="宋体"/>
                <w:bCs/>
                <w:color w:val="auto"/>
                <w:sz w:val="21"/>
                <w:szCs w:val="21"/>
                <w:highlight w:val="none"/>
                <w:lang w:val="zh-CN"/>
              </w:rPr>
              <w:t>（不含当月）任意</w:t>
            </w:r>
            <w:r>
              <w:rPr>
                <w:rFonts w:hint="eastAsia" w:ascii="宋体" w:eastAsia="宋体" w:cs="宋体"/>
                <w:bCs/>
                <w:color w:val="auto"/>
                <w:sz w:val="21"/>
                <w:szCs w:val="21"/>
                <w:highlight w:val="none"/>
                <w:lang w:val="en-US" w:eastAsia="zh-CN"/>
              </w:rPr>
              <w:t>一</w:t>
            </w:r>
            <w:r>
              <w:rPr>
                <w:rFonts w:hint="eastAsia" w:ascii="宋体" w:hAnsi="宋体" w:eastAsia="宋体" w:cs="宋体"/>
                <w:bCs/>
                <w:color w:val="auto"/>
                <w:sz w:val="21"/>
                <w:szCs w:val="21"/>
                <w:highlight w:val="none"/>
                <w:lang w:val="zh-CN"/>
              </w:rPr>
              <w:t>个月由社会保障部门出具在</w:t>
            </w:r>
            <w:r>
              <w:rPr>
                <w:rFonts w:hint="eastAsia" w:ascii="宋体" w:hAnsi="宋体" w:eastAsia="宋体" w:cs="宋体"/>
                <w:bCs/>
                <w:color w:val="auto"/>
                <w:sz w:val="21"/>
                <w:szCs w:val="21"/>
                <w:highlight w:val="none"/>
                <w:lang w:val="zh-CN" w:eastAsia="zh-CN"/>
              </w:rPr>
              <w:t>投标人</w:t>
            </w:r>
            <w:r>
              <w:rPr>
                <w:rFonts w:hint="eastAsia" w:ascii="宋体" w:hAnsi="宋体" w:eastAsia="宋体" w:cs="宋体"/>
                <w:bCs/>
                <w:color w:val="auto"/>
                <w:sz w:val="21"/>
                <w:szCs w:val="21"/>
                <w:highlight w:val="none"/>
                <w:lang w:val="zh-CN"/>
              </w:rPr>
              <w:t>缴纳社会保险的有效凭证复印件并加盖</w:t>
            </w:r>
            <w:r>
              <w:rPr>
                <w:rFonts w:hint="eastAsia" w:ascii="宋体" w:hAnsi="宋体" w:eastAsia="宋体" w:cs="宋体"/>
                <w:bCs/>
                <w:color w:val="auto"/>
                <w:sz w:val="21"/>
                <w:szCs w:val="21"/>
                <w:highlight w:val="none"/>
                <w:lang w:val="zh-CN" w:eastAsia="zh-CN"/>
              </w:rPr>
              <w:t>投标人</w:t>
            </w:r>
            <w:r>
              <w:rPr>
                <w:rFonts w:hint="eastAsia" w:ascii="宋体" w:hAnsi="宋体" w:eastAsia="宋体" w:cs="宋体"/>
                <w:bCs/>
                <w:color w:val="auto"/>
                <w:sz w:val="21"/>
                <w:szCs w:val="21"/>
                <w:highlight w:val="none"/>
                <w:lang w:val="zh-CN"/>
              </w:rPr>
              <w:t>公章</w:t>
            </w:r>
            <w:r>
              <w:rPr>
                <w:rFonts w:hint="eastAsia" w:ascii="宋体" w:eastAsia="宋体" w:cs="宋体"/>
                <w:bCs/>
                <w:color w:val="auto"/>
                <w:sz w:val="21"/>
                <w:szCs w:val="21"/>
                <w:highlight w:val="none"/>
                <w:lang w:val="zh-CN"/>
              </w:rPr>
              <w:t>，</w:t>
            </w:r>
            <w:r>
              <w:rPr>
                <w:rFonts w:hint="eastAsia" w:ascii="宋体" w:eastAsia="宋体" w:cs="宋体"/>
                <w:bCs/>
                <w:color w:val="auto"/>
                <w:sz w:val="21"/>
                <w:szCs w:val="21"/>
                <w:highlight w:val="none"/>
                <w:lang w:val="en-US" w:eastAsia="zh-CN"/>
              </w:rPr>
              <w:t>否则不得分</w:t>
            </w:r>
            <w:r>
              <w:rPr>
                <w:rFonts w:hint="eastAsia" w:ascii="宋体" w:hAnsi="宋体" w:eastAsia="宋体" w:cs="宋体"/>
                <w:bCs/>
                <w:color w:val="auto"/>
                <w:sz w:val="21"/>
                <w:szCs w:val="21"/>
                <w:highlight w:val="none"/>
                <w:lang w:val="zh-CN"/>
              </w:rPr>
              <w:t>。</w:t>
            </w:r>
          </w:p>
        </w:tc>
      </w:tr>
      <w:tr w14:paraId="2940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90" w:type="dxa"/>
            <w:tcBorders>
              <w:top w:val="single" w:color="auto" w:sz="4" w:space="0"/>
              <w:left w:val="single" w:color="auto" w:sz="4" w:space="0"/>
              <w:right w:val="single" w:color="auto" w:sz="4" w:space="0"/>
            </w:tcBorders>
            <w:noWrap w:val="0"/>
            <w:vAlign w:val="center"/>
          </w:tcPr>
          <w:p w14:paraId="37B690FC">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right w:val="single" w:color="auto" w:sz="4" w:space="0"/>
            </w:tcBorders>
            <w:noWrap w:val="0"/>
            <w:vAlign w:val="center"/>
          </w:tcPr>
          <w:p w14:paraId="0AC41283">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zh-CN"/>
              </w:rPr>
              <w:t>拟投入配送车辆</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4F10DFCB">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eastAsia="宋体" w:cs="宋体"/>
                <w:color w:val="auto"/>
                <w:sz w:val="21"/>
                <w:szCs w:val="21"/>
                <w:highlight w:val="none"/>
                <w:lang w:val="en-US" w:eastAsia="zh-CN"/>
              </w:rPr>
            </w:pPr>
            <w:r>
              <w:rPr>
                <w:rFonts w:hint="eastAsia" w:ascii="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1CBC7D06">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en-US" w:eastAsia="zh-CN"/>
              </w:rPr>
              <w:t>根据</w:t>
            </w:r>
            <w:r>
              <w:rPr>
                <w:rFonts w:hint="eastAsia" w:ascii="宋体" w:hAnsi="宋体" w:eastAsia="宋体" w:cs="宋体"/>
                <w:bCs/>
                <w:color w:val="auto"/>
                <w:sz w:val="21"/>
                <w:szCs w:val="21"/>
                <w:highlight w:val="none"/>
                <w:lang w:val="zh-CN" w:eastAsia="zh-CN"/>
              </w:rPr>
              <w:t>投标人为本项目配置专业的配送运输车辆</w:t>
            </w:r>
            <w:r>
              <w:rPr>
                <w:rFonts w:hint="eastAsia" w:ascii="宋体" w:eastAsia="宋体" w:cs="宋体"/>
                <w:bCs/>
                <w:color w:val="auto"/>
                <w:sz w:val="21"/>
                <w:szCs w:val="21"/>
                <w:highlight w:val="none"/>
                <w:lang w:val="en-US" w:eastAsia="zh-CN"/>
              </w:rPr>
              <w:t>进行评审</w:t>
            </w:r>
            <w:r>
              <w:rPr>
                <w:rFonts w:hint="eastAsia" w:ascii="宋体" w:hAnsi="宋体" w:eastAsia="宋体" w:cs="宋体"/>
                <w:bCs/>
                <w:color w:val="auto"/>
                <w:sz w:val="21"/>
                <w:szCs w:val="21"/>
                <w:highlight w:val="none"/>
                <w:lang w:val="zh-CN" w:eastAsia="zh-CN"/>
              </w:rPr>
              <w:t>：</w:t>
            </w:r>
          </w:p>
          <w:p w14:paraId="7D7ABB7F">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eastAsia="zh-CN"/>
              </w:rPr>
              <w:t>投标人配置有冷藏（冷链）车辆的：每台得2分，最高得6分。</w:t>
            </w:r>
          </w:p>
          <w:p w14:paraId="1E908B8C">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eastAsia="zh-CN"/>
              </w:rPr>
              <w:t>投标人配置有常温运输车辆的：每台得2分，最高得4分。</w:t>
            </w:r>
          </w:p>
          <w:p w14:paraId="3F4AEFE1">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cs="宋体"/>
                <w:color w:val="auto"/>
                <w:kern w:val="2"/>
                <w:sz w:val="21"/>
                <w:szCs w:val="21"/>
                <w:highlight w:val="none"/>
                <w:lang w:val="en-US" w:eastAsia="zh-CN"/>
              </w:rPr>
            </w:pPr>
            <w:r>
              <w:rPr>
                <w:rFonts w:hint="eastAsia" w:asci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zh-CN" w:eastAsia="zh-CN"/>
              </w:rPr>
              <w:t>：1、如车辆为自有的，</w:t>
            </w:r>
            <w:r>
              <w:rPr>
                <w:rFonts w:hint="eastAsia" w:ascii="宋体" w:eastAsia="宋体" w:cs="宋体"/>
                <w:bCs/>
                <w:color w:val="auto"/>
                <w:sz w:val="21"/>
                <w:szCs w:val="21"/>
                <w:highlight w:val="none"/>
                <w:lang w:val="en-US" w:eastAsia="zh-CN"/>
              </w:rPr>
              <w:t>须</w:t>
            </w:r>
            <w:r>
              <w:rPr>
                <w:rFonts w:hint="eastAsia" w:ascii="宋体" w:hAnsi="宋体" w:eastAsia="宋体" w:cs="宋体"/>
                <w:bCs/>
                <w:color w:val="auto"/>
                <w:sz w:val="21"/>
                <w:szCs w:val="21"/>
                <w:highlight w:val="none"/>
                <w:lang w:val="zh-CN" w:eastAsia="zh-CN"/>
              </w:rPr>
              <w:t>提供车辆行驶证复印件（所有人与投标人</w:t>
            </w: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或投标人法人</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名称一致）、购车发票、带车牌号的车身照片；</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eastAsia="zh-CN"/>
              </w:rPr>
              <w:t>如车辆为租赁的，</w:t>
            </w:r>
            <w:r>
              <w:rPr>
                <w:rFonts w:hint="eastAsia" w:ascii="宋体" w:eastAsia="宋体" w:cs="宋体"/>
                <w:bCs/>
                <w:color w:val="auto"/>
                <w:sz w:val="21"/>
                <w:szCs w:val="21"/>
                <w:highlight w:val="none"/>
                <w:lang w:val="en-US" w:eastAsia="zh-CN"/>
              </w:rPr>
              <w:t>须</w:t>
            </w:r>
            <w:r>
              <w:rPr>
                <w:rFonts w:hint="eastAsia" w:ascii="宋体" w:hAnsi="宋体" w:eastAsia="宋体" w:cs="宋体"/>
                <w:bCs/>
                <w:color w:val="auto"/>
                <w:sz w:val="21"/>
                <w:szCs w:val="21"/>
                <w:highlight w:val="none"/>
                <w:lang w:val="zh-CN" w:eastAsia="zh-CN"/>
              </w:rPr>
              <w:t>提供车辆行驶证复印件、车辆租赁合同、带车牌号的车身照片；3、以上证明材料须加盖投标人公章</w:t>
            </w: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否则不得分</w:t>
            </w:r>
            <w:r>
              <w:rPr>
                <w:rFonts w:hint="eastAsia" w:ascii="宋体" w:hAnsi="宋体" w:eastAsia="宋体" w:cs="宋体"/>
                <w:bCs/>
                <w:color w:val="auto"/>
                <w:sz w:val="21"/>
                <w:szCs w:val="21"/>
                <w:highlight w:val="none"/>
                <w:lang w:val="zh-CN" w:eastAsia="zh-CN"/>
              </w:rPr>
              <w:t>。</w:t>
            </w:r>
          </w:p>
        </w:tc>
      </w:tr>
      <w:tr w14:paraId="716F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90" w:type="dxa"/>
            <w:tcBorders>
              <w:top w:val="single" w:color="auto" w:sz="4" w:space="0"/>
              <w:left w:val="single" w:color="auto" w:sz="4" w:space="0"/>
              <w:right w:val="single" w:color="auto" w:sz="4" w:space="0"/>
            </w:tcBorders>
            <w:noWrap w:val="0"/>
            <w:vAlign w:val="center"/>
          </w:tcPr>
          <w:p w14:paraId="048A07A0">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right w:val="single" w:color="auto" w:sz="4" w:space="0"/>
            </w:tcBorders>
            <w:noWrap w:val="0"/>
            <w:vAlign w:val="center"/>
          </w:tcPr>
          <w:p w14:paraId="29BB1BD3">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售后服务方案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34935695">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eastAsia="宋体" w:cs="宋体"/>
                <w:color w:val="auto"/>
                <w:sz w:val="21"/>
                <w:szCs w:val="21"/>
                <w:highlight w:val="none"/>
                <w:lang w:val="en-US" w:eastAsia="zh-CN"/>
              </w:rPr>
            </w:pPr>
            <w:r>
              <w:rPr>
                <w:rFonts w:hint="eastAsia" w:ascii="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072ED5FF">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根据</w:t>
            </w:r>
            <w:r>
              <w:rPr>
                <w:rFonts w:hint="eastAsia" w:ascii="宋体" w:hAnsi="宋体" w:eastAsia="宋体" w:cs="宋体"/>
                <w:bCs/>
                <w:color w:val="auto"/>
                <w:sz w:val="21"/>
                <w:szCs w:val="21"/>
                <w:highlight w:val="none"/>
                <w:lang w:val="zh-CN" w:eastAsia="zh-CN"/>
              </w:rPr>
              <w:t>投标人提供的售后服务方案（包括但不限于：服务承诺、售后服务点技术力量等）内容</w:t>
            </w:r>
            <w:r>
              <w:rPr>
                <w:rFonts w:hint="eastAsia" w:ascii="宋体" w:eastAsia="宋体" w:cs="宋体"/>
                <w:bCs/>
                <w:color w:val="auto"/>
                <w:sz w:val="21"/>
                <w:szCs w:val="21"/>
                <w:highlight w:val="none"/>
                <w:lang w:val="en-US" w:eastAsia="zh-CN"/>
              </w:rPr>
              <w:t>进行综合评审：</w:t>
            </w:r>
          </w:p>
          <w:p w14:paraId="5F8F6D84">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1、售后服务方案全面、详细具体，服务承诺满足或优于采购需求，售后服务点技术力量强，流程科学合理的，得</w:t>
            </w:r>
            <w:r>
              <w:rPr>
                <w:rFonts w:hint="eastAsia" w:asci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eastAsia="zh-CN"/>
              </w:rPr>
              <w:t xml:space="preserve">分； </w:t>
            </w:r>
          </w:p>
          <w:p w14:paraId="6A6A90A2">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2、售后服务方案较大程度详细概括，服务承诺满足采购需求，售后服务点技术力量较强，流程具备科学性、合理性的，得</w:t>
            </w:r>
            <w:r>
              <w:rPr>
                <w:rFonts w:hint="eastAsia" w:asci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eastAsia="zh-CN"/>
              </w:rPr>
              <w:t xml:space="preserve">分； </w:t>
            </w:r>
          </w:p>
          <w:p w14:paraId="02CEA2F1">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3、售后服务方案部分内容详细，服务承诺满足部分采购需求，售后服务点技术力量较强，但流程不太具备科学性、合理性的，得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eastAsia="zh-CN"/>
              </w:rPr>
              <w:t xml:space="preserve">分； </w:t>
            </w:r>
          </w:p>
          <w:p w14:paraId="38A988F6">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 xml:space="preserve">4、售后服务方案有欠缺，服务承诺不能满足采购需求，售后服务点技术力量较弱，流程缺乏科学性、合理性的，得1分； </w:t>
            </w:r>
          </w:p>
          <w:p w14:paraId="2A979BC4">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cs="宋体"/>
                <w:color w:val="auto"/>
                <w:kern w:val="2"/>
                <w:sz w:val="21"/>
                <w:szCs w:val="21"/>
                <w:highlight w:val="none"/>
                <w:lang w:val="en-US" w:eastAsia="zh-CN"/>
              </w:rPr>
            </w:pPr>
            <w:r>
              <w:rPr>
                <w:rFonts w:hint="eastAsia" w:ascii="宋体" w:hAnsi="宋体" w:eastAsia="宋体" w:cs="宋体"/>
                <w:bCs/>
                <w:color w:val="auto"/>
                <w:sz w:val="21"/>
                <w:szCs w:val="21"/>
                <w:highlight w:val="none"/>
                <w:lang w:val="zh-CN" w:eastAsia="zh-CN"/>
              </w:rPr>
              <w:t>5、未提供对应方案不得分。</w:t>
            </w:r>
          </w:p>
        </w:tc>
      </w:tr>
      <w:tr w14:paraId="4B10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1BD8BFBE">
            <w:pPr>
              <w:pStyle w:val="38"/>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40分</w:t>
            </w:r>
            <w:r>
              <w:rPr>
                <w:rFonts w:hint="eastAsia" w:ascii="宋体" w:eastAsia="宋体" w:cs="宋体"/>
                <w:b/>
                <w:bCs/>
                <w:color w:val="auto"/>
                <w:sz w:val="21"/>
                <w:szCs w:val="21"/>
                <w:highlight w:val="none"/>
                <w:lang w:eastAsia="zh-CN"/>
              </w:rPr>
              <w:t>）</w:t>
            </w:r>
          </w:p>
        </w:tc>
      </w:tr>
      <w:tr w14:paraId="2963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388ABC63">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2B542E15">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lang w:val="zh-CN"/>
              </w:rPr>
              <w:t>配送服务实施方案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2B4B3495">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7F3C4308">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根据</w:t>
            </w:r>
            <w:r>
              <w:rPr>
                <w:rFonts w:hint="eastAsia" w:ascii="宋体" w:hAnsi="宋体" w:eastAsia="宋体" w:cs="宋体"/>
                <w:bCs/>
                <w:color w:val="auto"/>
                <w:sz w:val="21"/>
                <w:szCs w:val="21"/>
                <w:highlight w:val="none"/>
                <w:lang w:val="zh-CN"/>
              </w:rPr>
              <w:t>投标人</w:t>
            </w:r>
            <w:r>
              <w:rPr>
                <w:rFonts w:hint="eastAsia" w:ascii="宋体" w:hAnsi="宋体" w:eastAsia="宋体" w:cs="宋体"/>
                <w:bCs/>
                <w:color w:val="auto"/>
                <w:sz w:val="21"/>
                <w:szCs w:val="21"/>
                <w:highlight w:val="none"/>
                <w:lang w:val="en-US" w:eastAsia="zh-CN"/>
              </w:rPr>
              <w:t>制定</w:t>
            </w:r>
            <w:r>
              <w:rPr>
                <w:rFonts w:hint="eastAsia" w:ascii="宋体" w:hAnsi="宋体" w:eastAsia="宋体" w:cs="宋体"/>
                <w:bCs/>
                <w:color w:val="auto"/>
                <w:sz w:val="21"/>
                <w:szCs w:val="21"/>
                <w:highlight w:val="none"/>
                <w:lang w:val="zh-CN"/>
              </w:rPr>
              <w:t>配送服务实施方案</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lang w:val="zh-CN"/>
              </w:rPr>
              <w:t>包括但不限于：配送货品的</w:t>
            </w:r>
            <w:r>
              <w:rPr>
                <w:rFonts w:hint="eastAsia" w:ascii="宋体" w:hAnsi="宋体" w:eastAsia="宋体" w:cs="宋体"/>
                <w:bCs/>
                <w:color w:val="auto"/>
                <w:sz w:val="21"/>
                <w:szCs w:val="21"/>
                <w:highlight w:val="none"/>
                <w:lang w:val="en-US" w:eastAsia="zh-CN"/>
              </w:rPr>
              <w:t>收集</w:t>
            </w:r>
            <w:r>
              <w:rPr>
                <w:rFonts w:hint="eastAsia" w:ascii="宋体" w:hAnsi="宋体" w:eastAsia="宋体" w:cs="宋体"/>
                <w:bCs/>
                <w:color w:val="auto"/>
                <w:sz w:val="21"/>
                <w:szCs w:val="21"/>
                <w:highlight w:val="none"/>
                <w:lang w:val="zh-CN"/>
              </w:rPr>
              <w:t>、运输、装卸、派发及善后处理</w:t>
            </w:r>
            <w:r>
              <w:rPr>
                <w:rFonts w:hint="eastAsia" w:ascii="宋体" w:hAnsi="宋体" w:eastAsia="宋体" w:cs="宋体"/>
                <w:bCs/>
                <w:color w:val="auto"/>
                <w:sz w:val="21"/>
                <w:szCs w:val="21"/>
                <w:highlight w:val="none"/>
                <w:lang w:val="en-US" w:eastAsia="zh-CN"/>
              </w:rPr>
              <w:t>等内容）进行综合评审</w:t>
            </w:r>
            <w:r>
              <w:rPr>
                <w:rFonts w:hint="eastAsia" w:ascii="宋体" w:hAnsi="宋体" w:eastAsia="宋体" w:cs="宋体"/>
                <w:bCs/>
                <w:color w:val="auto"/>
                <w:sz w:val="21"/>
                <w:szCs w:val="21"/>
                <w:highlight w:val="none"/>
                <w:lang w:val="zh-CN"/>
              </w:rPr>
              <w:t>：</w:t>
            </w:r>
          </w:p>
          <w:p w14:paraId="4B8BEDD2">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方案具体完整，重点明确，针对性强、合理可行，服务全面、科学,完全满足或优于采购需求的，得</w:t>
            </w:r>
            <w:r>
              <w:rPr>
                <w:rFonts w:hint="eastAsia" w:ascii="宋体" w:hAnsi="宋体" w:eastAsia="宋体" w:cs="宋体"/>
                <w:bCs/>
                <w:color w:val="auto"/>
                <w:sz w:val="21"/>
                <w:szCs w:val="21"/>
                <w:highlight w:val="none"/>
                <w:lang w:val="zh-CN" w:eastAsia="zh-CN"/>
              </w:rPr>
              <w:t>10</w:t>
            </w:r>
            <w:r>
              <w:rPr>
                <w:rFonts w:hint="eastAsia" w:ascii="宋体" w:hAnsi="宋体" w:eastAsia="宋体" w:cs="宋体"/>
                <w:bCs/>
                <w:color w:val="auto"/>
                <w:sz w:val="21"/>
                <w:szCs w:val="21"/>
                <w:highlight w:val="none"/>
                <w:lang w:val="zh-CN"/>
              </w:rPr>
              <w:t xml:space="preserve">分； </w:t>
            </w:r>
          </w:p>
          <w:p w14:paraId="6193CA35">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方案</w:t>
            </w:r>
            <w:r>
              <w:rPr>
                <w:rFonts w:hint="eastAsia" w:ascii="宋体" w:hAnsi="宋体" w:eastAsia="宋体" w:cs="宋体"/>
                <w:bCs/>
                <w:color w:val="auto"/>
                <w:sz w:val="21"/>
                <w:szCs w:val="21"/>
                <w:highlight w:val="none"/>
                <w:lang w:val="en-US" w:eastAsia="zh-CN"/>
              </w:rPr>
              <w:t>比较</w:t>
            </w:r>
            <w:r>
              <w:rPr>
                <w:rFonts w:hint="eastAsia" w:ascii="宋体" w:hAnsi="宋体" w:eastAsia="宋体" w:cs="宋体"/>
                <w:bCs/>
                <w:color w:val="auto"/>
                <w:sz w:val="21"/>
                <w:szCs w:val="21"/>
                <w:highlight w:val="none"/>
                <w:lang w:val="zh-CN"/>
              </w:rPr>
              <w:t>完整，重点</w:t>
            </w:r>
            <w:r>
              <w:rPr>
                <w:rFonts w:hint="eastAsia" w:ascii="宋体" w:hAnsi="宋体" w:eastAsia="宋体" w:cs="宋体"/>
                <w:bCs/>
                <w:color w:val="auto"/>
                <w:sz w:val="21"/>
                <w:szCs w:val="21"/>
                <w:highlight w:val="none"/>
                <w:lang w:val="en-US" w:eastAsia="zh-CN"/>
              </w:rPr>
              <w:t>比</w:t>
            </w:r>
            <w:r>
              <w:rPr>
                <w:rFonts w:hint="eastAsia" w:ascii="宋体" w:hAnsi="宋体" w:eastAsia="宋体" w:cs="宋体"/>
                <w:bCs/>
                <w:color w:val="auto"/>
                <w:sz w:val="21"/>
                <w:szCs w:val="21"/>
                <w:highlight w:val="none"/>
                <w:lang w:val="zh-CN"/>
              </w:rPr>
              <w:t>较明确，</w:t>
            </w:r>
            <w:r>
              <w:rPr>
                <w:rFonts w:hint="eastAsia" w:ascii="宋体" w:hAnsi="宋体" w:eastAsia="宋体" w:cs="宋体"/>
                <w:bCs/>
                <w:color w:val="auto"/>
                <w:sz w:val="21"/>
                <w:szCs w:val="21"/>
                <w:highlight w:val="none"/>
                <w:lang w:val="en-US" w:eastAsia="zh-CN"/>
              </w:rPr>
              <w:t>比较</w:t>
            </w:r>
            <w:r>
              <w:rPr>
                <w:rFonts w:hint="eastAsia" w:ascii="宋体" w:hAnsi="宋体" w:eastAsia="宋体" w:cs="宋体"/>
                <w:bCs/>
                <w:color w:val="auto"/>
                <w:sz w:val="21"/>
                <w:szCs w:val="21"/>
                <w:highlight w:val="none"/>
                <w:lang w:val="zh-CN"/>
              </w:rPr>
              <w:t>有针对性、合理性</w:t>
            </w:r>
            <w:r>
              <w:rPr>
                <w:rFonts w:hint="eastAsia" w:ascii="宋体" w:hAns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rPr>
              <w:t>能够满足采购需求的，得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 xml:space="preserve">分； </w:t>
            </w:r>
          </w:p>
          <w:p w14:paraId="5BA6630A">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方案基本完整，</w:t>
            </w:r>
            <w:r>
              <w:rPr>
                <w:rFonts w:hint="eastAsia" w:ascii="宋体" w:hAnsi="宋体" w:eastAsia="宋体" w:cs="宋体"/>
                <w:bCs/>
                <w:color w:val="auto"/>
                <w:sz w:val="21"/>
                <w:szCs w:val="21"/>
                <w:highlight w:val="none"/>
                <w:lang w:val="en-US" w:eastAsia="zh-CN"/>
              </w:rPr>
              <w:t>能够</w:t>
            </w:r>
            <w:r>
              <w:rPr>
                <w:rFonts w:hint="eastAsia" w:ascii="宋体" w:hAnsi="宋体" w:eastAsia="宋体" w:cs="宋体"/>
                <w:bCs/>
                <w:color w:val="auto"/>
                <w:sz w:val="21"/>
                <w:szCs w:val="21"/>
                <w:highlight w:val="none"/>
                <w:lang w:val="zh-CN"/>
              </w:rPr>
              <w:t>明确部分重点，具有一定的针对性、可行性、合理性</w:t>
            </w:r>
            <w:r>
              <w:rPr>
                <w:rFonts w:hint="eastAsia" w:ascii="宋体" w:hAns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rPr>
              <w:t>部分内容满足采购需求的，得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 xml:space="preserve">分； </w:t>
            </w:r>
          </w:p>
          <w:p w14:paraId="7C648418">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 xml:space="preserve">方案不够完整，没有重点，缺乏针对性，合理性和可行性欠缺，服务不全面，不科学，不能满足采购需求的，得1分； </w:t>
            </w:r>
          </w:p>
          <w:p w14:paraId="7ED76171">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rPr>
              <w:t>5、未提供对应方案的不得分。</w:t>
            </w:r>
          </w:p>
        </w:tc>
      </w:tr>
      <w:tr w14:paraId="67EE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right w:val="single" w:color="auto" w:sz="4" w:space="0"/>
            </w:tcBorders>
            <w:noWrap w:val="0"/>
            <w:vAlign w:val="center"/>
          </w:tcPr>
          <w:p w14:paraId="5EF23ECA">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noWrap w:val="0"/>
            <w:vAlign w:val="center"/>
          </w:tcPr>
          <w:p w14:paraId="29A13523">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lang w:val="zh-CN"/>
              </w:rPr>
              <w:t>食材质量、安全保障措施方案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2EF0215E">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6A9EB9DE">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根据投标人制定</w:t>
            </w:r>
            <w:r>
              <w:rPr>
                <w:rFonts w:hint="eastAsia" w:ascii="宋体" w:hAnsi="宋体" w:eastAsia="宋体" w:cs="宋体"/>
                <w:bCs/>
                <w:color w:val="auto"/>
                <w:sz w:val="21"/>
                <w:szCs w:val="21"/>
                <w:highlight w:val="none"/>
                <w:lang w:val="zh-CN"/>
              </w:rPr>
              <w:t>食材质量、安全保障措施方案</w:t>
            </w:r>
            <w:r>
              <w:rPr>
                <w:rFonts w:hint="eastAsia" w:ascii="宋体" w:hAns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rPr>
              <w:t>包括但不限于：食</w:t>
            </w:r>
            <w:r>
              <w:rPr>
                <w:rFonts w:hint="eastAsia" w:ascii="宋体" w:hAnsi="宋体" w:eastAsia="宋体" w:cs="宋体"/>
                <w:bCs/>
                <w:color w:val="auto"/>
                <w:sz w:val="21"/>
                <w:szCs w:val="21"/>
                <w:highlight w:val="none"/>
                <w:lang w:val="en-US" w:eastAsia="zh-CN"/>
              </w:rPr>
              <w:t>品</w:t>
            </w:r>
            <w:r>
              <w:rPr>
                <w:rFonts w:hint="eastAsia" w:ascii="宋体" w:hAnsi="宋体" w:eastAsia="宋体" w:cs="宋体"/>
                <w:bCs/>
                <w:color w:val="auto"/>
                <w:sz w:val="21"/>
                <w:szCs w:val="21"/>
                <w:highlight w:val="none"/>
                <w:lang w:val="zh-CN"/>
              </w:rPr>
              <w:t>卫生、安全标准、控制措施、质量保证措施等</w:t>
            </w:r>
            <w:r>
              <w:rPr>
                <w:rFonts w:hint="eastAsia" w:ascii="宋体" w:hAnsi="宋体" w:eastAsia="宋体" w:cs="宋体"/>
                <w:bCs/>
                <w:color w:val="auto"/>
                <w:sz w:val="21"/>
                <w:szCs w:val="21"/>
                <w:highlight w:val="none"/>
                <w:lang w:val="en-US" w:eastAsia="zh-CN"/>
              </w:rPr>
              <w:t>内容）进行综合评审：</w:t>
            </w:r>
          </w:p>
          <w:p w14:paraId="57AE63DD">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保障措施内容具体详细，控制措施科学性高，质量保证措施具体可行，完全满足或优于采购需求的，得</w:t>
            </w:r>
            <w:r>
              <w:rPr>
                <w:rFonts w:hint="eastAsia" w:ascii="宋体" w:hAnsi="宋体" w:eastAsia="宋体" w:cs="宋体"/>
                <w:bCs/>
                <w:color w:val="auto"/>
                <w:sz w:val="21"/>
                <w:szCs w:val="21"/>
                <w:highlight w:val="none"/>
                <w:lang w:val="zh-CN" w:eastAsia="zh-CN"/>
              </w:rPr>
              <w:t>10</w:t>
            </w:r>
            <w:r>
              <w:rPr>
                <w:rFonts w:hint="eastAsia" w:ascii="宋体" w:hAnsi="宋体" w:eastAsia="宋体" w:cs="宋体"/>
                <w:bCs/>
                <w:color w:val="auto"/>
                <w:sz w:val="21"/>
                <w:szCs w:val="21"/>
                <w:highlight w:val="none"/>
                <w:lang w:val="zh-CN"/>
              </w:rPr>
              <w:t xml:space="preserve">分； </w:t>
            </w:r>
          </w:p>
          <w:p w14:paraId="79DDFFD5">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保障措施内容</w:t>
            </w:r>
            <w:r>
              <w:rPr>
                <w:rFonts w:hint="eastAsia" w:ascii="宋体" w:hAnsi="宋体" w:eastAsia="宋体" w:cs="宋体"/>
                <w:bCs/>
                <w:color w:val="auto"/>
                <w:sz w:val="21"/>
                <w:szCs w:val="21"/>
                <w:highlight w:val="none"/>
                <w:lang w:val="en-US" w:eastAsia="zh-CN"/>
              </w:rPr>
              <w:t>比较</w:t>
            </w:r>
            <w:r>
              <w:rPr>
                <w:rFonts w:hint="eastAsia" w:ascii="宋体" w:hAnsi="宋体" w:eastAsia="宋体" w:cs="宋体"/>
                <w:bCs/>
                <w:color w:val="auto"/>
                <w:sz w:val="21"/>
                <w:szCs w:val="21"/>
                <w:highlight w:val="none"/>
                <w:lang w:val="zh-CN"/>
              </w:rPr>
              <w:t>完整详细，具备科学性，质量保证措施较为具体可行，能够满足采购需求的，得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 xml:space="preserve">分； </w:t>
            </w:r>
          </w:p>
          <w:p w14:paraId="269D8E63">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3、保障措施较</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lang w:val="zh-CN"/>
              </w:rPr>
              <w:t>完整，控制措施具备</w:t>
            </w:r>
            <w:r>
              <w:rPr>
                <w:rFonts w:hint="eastAsia" w:ascii="宋体" w:hAnsi="宋体" w:eastAsia="宋体" w:cs="宋体"/>
                <w:bCs/>
                <w:color w:val="auto"/>
                <w:sz w:val="21"/>
                <w:szCs w:val="21"/>
                <w:highlight w:val="none"/>
                <w:lang w:val="en-US" w:eastAsia="zh-CN"/>
              </w:rPr>
              <w:t>基本的</w:t>
            </w:r>
            <w:r>
              <w:rPr>
                <w:rFonts w:hint="eastAsia" w:ascii="宋体" w:hAnsi="宋体" w:eastAsia="宋体" w:cs="宋体"/>
                <w:bCs/>
                <w:color w:val="auto"/>
                <w:sz w:val="21"/>
                <w:szCs w:val="21"/>
                <w:highlight w:val="none"/>
                <w:lang w:val="zh-CN"/>
              </w:rPr>
              <w:t>科学性，但食品质量保证措施缺乏可行性，部分内容能满足采购需求的，得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 xml:space="preserve">分； </w:t>
            </w:r>
          </w:p>
          <w:p w14:paraId="45FF2C28">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 xml:space="preserve">4、保障措施有欠缺，控制措施缺乏科学性，食品质量保证措施缺乏可行性，不能满足采购需求的，得1分； </w:t>
            </w:r>
          </w:p>
          <w:p w14:paraId="554CC20F">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5、未提供对应方案的不得分。</w:t>
            </w:r>
          </w:p>
        </w:tc>
      </w:tr>
      <w:tr w14:paraId="555C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7DB0633F">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53FEF700">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lang w:val="zh-CN"/>
              </w:rPr>
              <w:t>食材供货保障措施</w:t>
            </w:r>
            <w:r>
              <w:rPr>
                <w:rFonts w:hint="eastAsia" w:ascii="宋体" w:hAnsi="宋体" w:eastAsia="宋体" w:cs="宋体"/>
                <w:bCs/>
                <w:color w:val="auto"/>
                <w:sz w:val="21"/>
                <w:szCs w:val="21"/>
                <w:highlight w:val="none"/>
                <w:lang w:val="en-US" w:eastAsia="zh-CN"/>
              </w:rPr>
              <w:t>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6C7366D1">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52C9ACFB">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根据投标人制定</w:t>
            </w:r>
            <w:r>
              <w:rPr>
                <w:rFonts w:hint="eastAsia" w:ascii="宋体" w:hAnsi="宋体" w:eastAsia="宋体" w:cs="宋体"/>
                <w:bCs/>
                <w:color w:val="auto"/>
                <w:sz w:val="21"/>
                <w:szCs w:val="21"/>
                <w:highlight w:val="none"/>
                <w:lang w:val="zh-CN"/>
              </w:rPr>
              <w:t>食材供货保障措施（包括但不限于：货物的来源、生长环境、加工、包装、保存各环节供给保障措施方案</w:t>
            </w:r>
            <w:r>
              <w:rPr>
                <w:rFonts w:hint="eastAsia" w:ascii="宋体" w:hAnsi="宋体" w:eastAsia="宋体" w:cs="宋体"/>
                <w:bCs/>
                <w:color w:val="auto"/>
                <w:sz w:val="21"/>
                <w:szCs w:val="21"/>
                <w:highlight w:val="none"/>
                <w:lang w:val="en-US" w:eastAsia="zh-CN"/>
              </w:rPr>
              <w:t>等内容）进行综合评审：</w:t>
            </w:r>
          </w:p>
          <w:p w14:paraId="4034EC82">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保障措施详细具体，完整合理，方案结构完善，可行性强的，得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 xml:space="preserve">分； </w:t>
            </w:r>
          </w:p>
          <w:p w14:paraId="35848A49">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保障措施较大程度完整具体，具备合理性，方案结构较为完善，可行性较强的，得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 xml:space="preserve">分； </w:t>
            </w:r>
          </w:p>
          <w:p w14:paraId="03AF7278">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保障措施部分内容详细，具备一定的合理性，但方案结构有欠缺，缺乏可行性的，得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 xml:space="preserve">分； </w:t>
            </w:r>
          </w:p>
          <w:p w14:paraId="2DFC539D">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en-US" w:eastAsia="zh-Hans"/>
              </w:rPr>
            </w:pP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 xml:space="preserve">保障措施内容有欠缺，缺乏合理性，方案结构有疏漏，缺乏可行性的，得1分； </w:t>
            </w:r>
          </w:p>
          <w:p w14:paraId="200BBB42">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5、未提供对应方案的不得分。</w:t>
            </w:r>
          </w:p>
        </w:tc>
      </w:tr>
      <w:tr w14:paraId="3BAD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05DEE86A">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4682585C">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lang w:val="zh-CN"/>
              </w:rPr>
              <w:t>应急处理方案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2F01486E">
            <w:pPr>
              <w:keepNext w:val="0"/>
              <w:keepLines w:val="0"/>
              <w:pageBreakBefore w:val="0"/>
              <w:widowControl w:val="0"/>
              <w:shd w:val="clear"/>
              <w:kinsoku/>
              <w:wordWrap/>
              <w:overflowPunct/>
              <w:topLinePunct w:val="0"/>
              <w:autoSpaceDE/>
              <w:autoSpaceDN/>
              <w:bidi w:val="0"/>
              <w:adjustRightInd w:val="0"/>
              <w:snapToGrid/>
              <w:spacing w:after="0" w:line="360" w:lineRule="auto"/>
              <w:ind w:left="0" w:leftChars="0" w:right="0" w:rightChars="0" w:firstLine="0" w:firstLineChars="0"/>
              <w:jc w:val="center"/>
              <w:textAlignment w:val="auto"/>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75943CDE">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根据</w:t>
            </w:r>
            <w:r>
              <w:rPr>
                <w:rFonts w:hint="eastAsia" w:ascii="宋体" w:hAnsi="宋体" w:eastAsia="宋体" w:cs="宋体"/>
                <w:bCs/>
                <w:color w:val="auto"/>
                <w:sz w:val="21"/>
                <w:szCs w:val="21"/>
                <w:highlight w:val="none"/>
                <w:lang w:val="zh-CN"/>
              </w:rPr>
              <w:t>投标人针</w:t>
            </w:r>
            <w:r>
              <w:rPr>
                <w:rFonts w:hint="eastAsia" w:ascii="宋体" w:hAnsi="宋体" w:eastAsia="宋体" w:cs="宋体"/>
                <w:bCs/>
                <w:color w:val="auto"/>
                <w:sz w:val="21"/>
                <w:szCs w:val="21"/>
                <w:highlight w:val="none"/>
                <w:lang w:val="en-US" w:eastAsia="zh-CN"/>
              </w:rPr>
              <w:t>制定</w:t>
            </w:r>
            <w:r>
              <w:rPr>
                <w:rFonts w:hint="eastAsia" w:ascii="宋体" w:hAnsi="宋体" w:eastAsia="宋体" w:cs="宋体"/>
                <w:bCs/>
                <w:color w:val="auto"/>
                <w:sz w:val="21"/>
                <w:szCs w:val="21"/>
                <w:highlight w:val="none"/>
                <w:lang w:val="zh-CN"/>
              </w:rPr>
              <w:t>的应急方案（包括但不限于：针对台风、暴雨等气象灾害特殊情况制定应急处理方案，包括传达机制、人员和设备调配、责任分工等应急事件）</w:t>
            </w:r>
            <w:r>
              <w:rPr>
                <w:rFonts w:hint="eastAsia" w:ascii="宋体" w:hAnsi="宋体" w:eastAsia="宋体" w:cs="宋体"/>
                <w:bCs/>
                <w:color w:val="auto"/>
                <w:sz w:val="21"/>
                <w:szCs w:val="21"/>
                <w:highlight w:val="none"/>
                <w:lang w:val="en-US" w:eastAsia="zh-CN"/>
              </w:rPr>
              <w:t>进行综合评审</w:t>
            </w:r>
            <w:r>
              <w:rPr>
                <w:rFonts w:hint="eastAsia" w:ascii="宋体" w:hAnsi="宋体" w:eastAsia="宋体" w:cs="宋体"/>
                <w:bCs/>
                <w:color w:val="auto"/>
                <w:sz w:val="21"/>
                <w:szCs w:val="21"/>
                <w:highlight w:val="none"/>
                <w:lang w:val="zh-CN"/>
              </w:rPr>
              <w:t xml:space="preserve">： </w:t>
            </w:r>
          </w:p>
          <w:p w14:paraId="06B35A88">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应急方案完整详细，对台风、暴雨等气象灾害的应急处理方案合理性强、可操作性强，传达机制完善，有足够的人员和设备调配，责任分工方案明确清晰的，得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 xml:space="preserve">分； </w:t>
            </w:r>
          </w:p>
          <w:p w14:paraId="110D01DC">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应急方案较大部分完整概括，对台风、暴雨等气象灾害的应急处理方案具备合理性、可操作性，传达机制较为完善，具有一定的人员和设备调配，责任分工方案可以明确的，得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 xml:space="preserve">分； </w:t>
            </w:r>
          </w:p>
          <w:p w14:paraId="15590255">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应急方案较为完整，对台风、暴雨等气象灾害的应急处理方案具备一定的合理性、可操作性，但传达机制不够完善，缺少足够的人员和设备调配，责任分工方案不够明确的，得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 xml:space="preserve">分； </w:t>
            </w:r>
          </w:p>
          <w:p w14:paraId="349D7763">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 xml:space="preserve">应急方案有欠缺，对台风、暴雨等气象灾害的应急处理方案缺乏合理性、可操作性，传达机制不够完善，缺少人员和设备调配，责任分工方案不明确的，得1分； </w:t>
            </w:r>
          </w:p>
          <w:p w14:paraId="121A3D10">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rPr>
              <w:t>5、未提供对应方案不得分。</w:t>
            </w:r>
          </w:p>
        </w:tc>
      </w:tr>
      <w:tr w14:paraId="6C8D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5A77EFF7">
            <w:pPr>
              <w:keepNext w:val="0"/>
              <w:keepLines w:val="0"/>
              <w:pageBreakBefore w:val="0"/>
              <w:widowControl w:val="0"/>
              <w:shd w:val="clear"/>
              <w:tabs>
                <w:tab w:val="left" w:pos="907"/>
              </w:tabs>
              <w:kinsoku/>
              <w:wordWrap/>
              <w:overflowPunct/>
              <w:topLinePunct w:val="0"/>
              <w:autoSpaceDE/>
              <w:autoSpaceDN/>
              <w:bidi w:val="0"/>
              <w:adjustRightInd/>
              <w:snapToGrid/>
              <w:spacing w:after="0" w:line="240" w:lineRule="auto"/>
              <w:jc w:val="both"/>
              <w:textAlignment w:val="auto"/>
              <w:rPr>
                <w:rFonts w:hint="eastAsia" w:ascii="宋体" w:eastAsia="宋体" w:cs="宋体"/>
                <w:color w:val="auto"/>
                <w:sz w:val="21"/>
                <w:szCs w:val="21"/>
                <w:highlight w:val="none"/>
              </w:rPr>
            </w:pPr>
            <w:r>
              <w:rPr>
                <w:rFonts w:hint="eastAsia" w:ascii="宋体" w:hAnsi="宋体" w:eastAsia="宋体"/>
                <w:b/>
                <w:color w:val="auto"/>
                <w:sz w:val="21"/>
                <w:szCs w:val="21"/>
                <w:highlight w:val="none"/>
              </w:rPr>
              <w:t>注：（1）无特殊说明外，以上评审项，同一证明文件不重复计分。（2）</w:t>
            </w:r>
            <w:r>
              <w:rPr>
                <w:rFonts w:hint="eastAsia" w:ascii="宋体" w:hAnsi="宋体"/>
                <w:b/>
                <w:color w:val="auto"/>
                <w:sz w:val="21"/>
                <w:szCs w:val="21"/>
                <w:highlight w:val="none"/>
                <w:lang w:eastAsia="zh-CN"/>
              </w:rPr>
              <w:t>投标人</w:t>
            </w:r>
            <w:r>
              <w:rPr>
                <w:rFonts w:hint="eastAsia" w:ascii="宋体" w:hAnsi="宋体" w:eastAsia="宋体"/>
                <w:b/>
                <w:color w:val="auto"/>
                <w:sz w:val="21"/>
                <w:szCs w:val="21"/>
                <w:highlight w:val="none"/>
              </w:rPr>
              <w:t>根据以上评分要求提供的</w:t>
            </w:r>
            <w:r>
              <w:rPr>
                <w:rFonts w:hint="eastAsia" w:ascii="宋体" w:hAnsi="宋体"/>
                <w:b/>
                <w:color w:val="auto"/>
                <w:sz w:val="21"/>
                <w:szCs w:val="21"/>
                <w:highlight w:val="none"/>
                <w:lang w:val="en-US" w:eastAsia="zh-CN"/>
              </w:rPr>
              <w:t>投标</w:t>
            </w:r>
            <w:r>
              <w:rPr>
                <w:rFonts w:hint="eastAsia" w:ascii="宋体" w:hAnsi="宋体" w:eastAsia="宋体"/>
                <w:b/>
                <w:color w:val="auto"/>
                <w:sz w:val="21"/>
                <w:szCs w:val="21"/>
                <w:highlight w:val="none"/>
                <w:lang w:eastAsia="zh-CN"/>
              </w:rPr>
              <w:t>材料</w:t>
            </w:r>
            <w:r>
              <w:rPr>
                <w:rFonts w:hint="eastAsia" w:ascii="宋体" w:hAnsi="宋体" w:eastAsia="宋体"/>
                <w:b/>
                <w:color w:val="auto"/>
                <w:sz w:val="21"/>
                <w:szCs w:val="21"/>
                <w:highlight w:val="none"/>
              </w:rPr>
              <w:t>因模糊不清导致评标委员会无法清晰辨认进行评审的，</w:t>
            </w:r>
            <w:r>
              <w:rPr>
                <w:rFonts w:hint="eastAsia" w:ascii="宋体" w:hAnsi="宋体" w:eastAsia="宋体"/>
                <w:b/>
                <w:color w:val="auto"/>
                <w:sz w:val="21"/>
                <w:szCs w:val="21"/>
                <w:highlight w:val="none"/>
                <w:lang w:eastAsia="zh-CN"/>
              </w:rPr>
              <w:t>视为无效材料</w:t>
            </w:r>
            <w:r>
              <w:rPr>
                <w:rFonts w:hint="eastAsia" w:ascii="宋体" w:hAnsi="宋体" w:eastAsia="宋体"/>
                <w:b/>
                <w:color w:val="auto"/>
                <w:sz w:val="21"/>
                <w:szCs w:val="21"/>
                <w:highlight w:val="none"/>
              </w:rPr>
              <w:t>。</w:t>
            </w:r>
          </w:p>
        </w:tc>
      </w:tr>
      <w:tr w14:paraId="1702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349D8C9C">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zh-CN" w:eastAsia="zh-CN"/>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30分</w:t>
            </w:r>
            <w:r>
              <w:rPr>
                <w:rFonts w:hint="eastAsia" w:ascii="宋体" w:eastAsia="宋体" w:cs="宋体"/>
                <w:b/>
                <w:bCs/>
                <w:color w:val="auto"/>
                <w:sz w:val="21"/>
                <w:szCs w:val="21"/>
                <w:highlight w:val="none"/>
                <w:lang w:eastAsia="zh-CN"/>
              </w:rPr>
              <w:t>）</w:t>
            </w:r>
          </w:p>
        </w:tc>
      </w:tr>
      <w:tr w14:paraId="041B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626D9EC7">
            <w:pPr>
              <w:pStyle w:val="38"/>
              <w:keepNext w:val="0"/>
              <w:keepLines w:val="0"/>
              <w:pageBreakBefore w:val="0"/>
              <w:shd w:val="clear"/>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10" w:type="dxa"/>
            <w:gridSpan w:val="2"/>
            <w:tcBorders>
              <w:top w:val="single" w:color="auto" w:sz="4" w:space="0"/>
              <w:left w:val="single" w:color="auto" w:sz="4" w:space="0"/>
              <w:bottom w:val="single" w:color="auto" w:sz="4" w:space="0"/>
              <w:right w:val="single" w:color="auto" w:sz="4" w:space="0"/>
            </w:tcBorders>
            <w:noWrap w:val="0"/>
            <w:vAlign w:val="center"/>
          </w:tcPr>
          <w:p w14:paraId="02C1E5CA">
            <w:pPr>
              <w:keepNext w:val="0"/>
              <w:keepLines w:val="0"/>
              <w:pageBreakBefore w:val="0"/>
              <w:widowControl w:val="0"/>
              <w:shd w:val="clea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投标报价</w:t>
            </w:r>
          </w:p>
        </w:tc>
        <w:tc>
          <w:tcPr>
            <w:tcW w:w="734" w:type="dxa"/>
            <w:tcBorders>
              <w:top w:val="single" w:color="auto" w:sz="4" w:space="0"/>
              <w:left w:val="single" w:color="auto" w:sz="4" w:space="0"/>
              <w:bottom w:val="single" w:color="auto" w:sz="4" w:space="0"/>
              <w:right w:val="single" w:color="auto" w:sz="4" w:space="0"/>
            </w:tcBorders>
            <w:noWrap w:val="0"/>
            <w:vAlign w:val="center"/>
          </w:tcPr>
          <w:p w14:paraId="7A4B9B6B">
            <w:pPr>
              <w:keepNext w:val="0"/>
              <w:keepLines w:val="0"/>
              <w:pageBreakBefore w:val="0"/>
              <w:widowControl w:val="0"/>
              <w:shd w:val="clear"/>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30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14:paraId="4DF60489">
            <w:pPr>
              <w:pStyle w:val="38"/>
              <w:keepNext w:val="0"/>
              <w:keepLines w:val="0"/>
              <w:pageBreakBefore w:val="0"/>
              <w:shd w:val="clear"/>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color w:val="auto"/>
                <w:kern w:val="2"/>
                <w:sz w:val="21"/>
                <w:szCs w:val="21"/>
                <w:highlight w:val="none"/>
                <w:lang w:val="zh-CN"/>
              </w:rPr>
              <w:t>价</w:t>
            </w:r>
            <w:r>
              <w:rPr>
                <w:rFonts w:hint="eastAsia" w:ascii="宋体" w:hAns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14:paraId="4E2F26EA">
            <w:pPr>
              <w:keepNext w:val="0"/>
              <w:keepLines w:val="0"/>
              <w:pageBreakBefore w:val="0"/>
              <w:widowControl w:val="0"/>
              <w:shd w:val="clear"/>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lang w:val="zh-CN"/>
              </w:rPr>
              <w:t>投标报价得分=[(1-最大下浮率)／(1-投标下浮率)] ×价格权重</w:t>
            </w:r>
          </w:p>
        </w:tc>
      </w:tr>
    </w:tbl>
    <w:p w14:paraId="7C3AFE28">
      <w:pPr>
        <w:shd w:val="clear"/>
        <w:rPr>
          <w:color w:val="auto"/>
          <w:highlight w:val="none"/>
        </w:rPr>
      </w:pPr>
    </w:p>
    <w:p w14:paraId="2F92B62C">
      <w:pPr>
        <w:pStyle w:val="8"/>
        <w:shd w:val="clear"/>
        <w:rPr>
          <w:color w:val="auto"/>
          <w:highlight w:val="none"/>
        </w:rPr>
      </w:pPr>
    </w:p>
    <w:p w14:paraId="7F25D004">
      <w:pPr>
        <w:shd w:val="clear"/>
        <w:rPr>
          <w:color w:val="auto"/>
          <w:highlight w:val="none"/>
        </w:rPr>
      </w:pPr>
      <w:r>
        <w:rPr>
          <w:rFonts w:hint="eastAsia"/>
          <w:color w:val="auto"/>
          <w:highlight w:val="none"/>
        </w:rPr>
        <w:br w:type="page"/>
      </w:r>
    </w:p>
    <w:p w14:paraId="1C0F326A">
      <w:pPr>
        <w:pStyle w:val="3"/>
        <w:shd w:val="clear"/>
        <w:spacing w:before="0" w:after="0" w:line="240" w:lineRule="auto"/>
        <w:rPr>
          <w:color w:val="auto"/>
          <w:sz w:val="24"/>
          <w:szCs w:val="24"/>
          <w:highlight w:val="none"/>
        </w:rPr>
      </w:pPr>
      <w:bookmarkStart w:id="17" w:name="_Toc29685"/>
      <w:bookmarkStart w:id="18" w:name="_Toc30638"/>
      <w:bookmarkStart w:id="19" w:name="_Toc2479"/>
      <w:bookmarkStart w:id="20" w:name="_Toc14146"/>
      <w:r>
        <w:rPr>
          <w:rFonts w:hint="eastAsia"/>
          <w:color w:val="auto"/>
          <w:sz w:val="28"/>
          <w:szCs w:val="28"/>
          <w:highlight w:val="none"/>
        </w:rPr>
        <w:t>第四部分 投标人须知</w:t>
      </w:r>
      <w:bookmarkEnd w:id="17"/>
      <w:bookmarkEnd w:id="18"/>
      <w:bookmarkEnd w:id="19"/>
    </w:p>
    <w:p w14:paraId="7BCE62B6">
      <w:pPr>
        <w:pStyle w:val="4"/>
        <w:shd w:val="clear"/>
        <w:spacing w:line="480" w:lineRule="auto"/>
        <w:jc w:val="center"/>
        <w:rPr>
          <w:rFonts w:ascii="宋体" w:hAnsi="宋体"/>
          <w:color w:val="auto"/>
          <w:highlight w:val="none"/>
        </w:rPr>
      </w:pPr>
      <w:bookmarkStart w:id="21" w:name="_Toc11105"/>
      <w:bookmarkStart w:id="22" w:name="_Toc3095"/>
      <w:bookmarkStart w:id="23" w:name="_Toc19746"/>
      <w:r>
        <w:rPr>
          <w:rFonts w:hint="eastAsia" w:ascii="宋体" w:hAnsi="宋体"/>
          <w:color w:val="auto"/>
          <w:highlight w:val="none"/>
        </w:rPr>
        <w:t>第一章说明</w:t>
      </w:r>
      <w:bookmarkEnd w:id="21"/>
      <w:bookmarkEnd w:id="22"/>
      <w:bookmarkEnd w:id="23"/>
    </w:p>
    <w:p w14:paraId="759D03BF">
      <w:pPr>
        <w:pStyle w:val="5"/>
        <w:widowControl w:val="0"/>
        <w:shd w:val="clear"/>
        <w:overflowPunct w:val="0"/>
        <w:spacing w:line="240" w:lineRule="auto"/>
        <w:rPr>
          <w:rFonts w:ascii="宋体" w:hAnsi="宋体"/>
          <w:color w:val="auto"/>
          <w:sz w:val="21"/>
          <w:szCs w:val="21"/>
          <w:highlight w:val="none"/>
        </w:rPr>
      </w:pPr>
      <w:bookmarkStart w:id="24" w:name="_Toc22847"/>
      <w:bookmarkStart w:id="25" w:name="_Toc22803"/>
      <w:bookmarkStart w:id="26" w:name="_Toc18488"/>
      <w:r>
        <w:rPr>
          <w:rFonts w:hint="eastAsia" w:ascii="宋体" w:hAnsi="宋体"/>
          <w:color w:val="auto"/>
          <w:sz w:val="21"/>
          <w:szCs w:val="21"/>
          <w:highlight w:val="none"/>
        </w:rPr>
        <w:t>1.适用范围</w:t>
      </w:r>
      <w:bookmarkEnd w:id="24"/>
      <w:bookmarkEnd w:id="25"/>
      <w:bookmarkEnd w:id="26"/>
    </w:p>
    <w:p w14:paraId="1B4A6DD0">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6E8631EF">
      <w:pPr>
        <w:shd w:val="clear"/>
        <w:rPr>
          <w:color w:val="auto"/>
          <w:highlight w:val="none"/>
        </w:rPr>
      </w:pPr>
    </w:p>
    <w:p w14:paraId="02AE4458">
      <w:pPr>
        <w:pStyle w:val="5"/>
        <w:widowControl w:val="0"/>
        <w:shd w:val="clear"/>
        <w:overflowPunct w:val="0"/>
        <w:spacing w:line="240" w:lineRule="auto"/>
        <w:rPr>
          <w:rFonts w:ascii="宋体" w:hAnsi="宋体"/>
          <w:color w:val="auto"/>
          <w:sz w:val="21"/>
          <w:szCs w:val="21"/>
          <w:highlight w:val="none"/>
        </w:rPr>
      </w:pPr>
      <w:bookmarkStart w:id="27" w:name="_Toc16848"/>
      <w:bookmarkStart w:id="28" w:name="_Toc13400"/>
      <w:bookmarkStart w:id="29" w:name="_Toc21002"/>
      <w:r>
        <w:rPr>
          <w:rFonts w:hint="eastAsia" w:ascii="宋体" w:hAnsi="宋体"/>
          <w:color w:val="auto"/>
          <w:sz w:val="21"/>
          <w:szCs w:val="21"/>
          <w:highlight w:val="none"/>
        </w:rPr>
        <w:t>2.</w:t>
      </w:r>
      <w:bookmarkStart w:id="30" w:name="_Toc382049092"/>
      <w:bookmarkStart w:id="31" w:name="_Toc1530"/>
      <w:bookmarkStart w:id="32" w:name="_Toc303084246"/>
      <w:bookmarkStart w:id="33" w:name="_Toc298847174"/>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239F7617">
      <w:pPr>
        <w:pStyle w:val="35"/>
        <w:widowControl w:val="0"/>
        <w:numPr>
          <w:ilvl w:val="0"/>
          <w:numId w:val="1"/>
        </w:numPr>
        <w:shd w:val="clear"/>
        <w:adjustRightInd/>
        <w:snapToGrid/>
        <w:spacing w:line="360" w:lineRule="exact"/>
        <w:ind w:firstLineChars="0"/>
        <w:jc w:val="both"/>
        <w:rPr>
          <w:rFonts w:ascii="宋体" w:hAnsi="宋体"/>
          <w:vanish/>
          <w:color w:val="auto"/>
          <w:szCs w:val="21"/>
          <w:highlight w:val="none"/>
        </w:rPr>
      </w:pPr>
    </w:p>
    <w:p w14:paraId="39B4A64B">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hint="eastAsia" w:ascii="宋体" w:hAnsi="宋体"/>
          <w:color w:val="auto"/>
          <w:szCs w:val="21"/>
          <w:highlight w:val="none"/>
          <w:lang w:val="en-US" w:eastAsia="zh-CN"/>
        </w:rPr>
        <w:t>详见</w:t>
      </w:r>
      <w:r>
        <w:rPr>
          <w:rFonts w:hint="eastAsia" w:ascii="宋体" w:hAnsi="宋体"/>
          <w:color w:val="auto"/>
          <w:szCs w:val="21"/>
          <w:highlight w:val="none"/>
        </w:rPr>
        <w:t>投标邀请书。</w:t>
      </w:r>
    </w:p>
    <w:p w14:paraId="7546C385">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5B8966F8">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1AC91481">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2A494D66">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792916C9">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14E8FF7E">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54E813B4">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75EB864D">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1A3FEB9F">
      <w:pPr>
        <w:shd w:val="clear"/>
        <w:rPr>
          <w:color w:val="auto"/>
          <w:highlight w:val="none"/>
        </w:rPr>
      </w:pPr>
    </w:p>
    <w:p w14:paraId="59925EBB">
      <w:pPr>
        <w:pStyle w:val="5"/>
        <w:widowControl w:val="0"/>
        <w:shd w:val="clear"/>
        <w:overflowPunct w:val="0"/>
        <w:spacing w:line="240" w:lineRule="auto"/>
        <w:rPr>
          <w:rFonts w:ascii="宋体" w:hAnsi="宋体"/>
          <w:color w:val="auto"/>
          <w:sz w:val="21"/>
          <w:szCs w:val="21"/>
          <w:highlight w:val="none"/>
        </w:rPr>
      </w:pPr>
      <w:bookmarkStart w:id="34" w:name="_Toc9710"/>
      <w:bookmarkStart w:id="35" w:name="_Toc2996"/>
      <w:bookmarkStart w:id="36" w:name="_Toc3780"/>
      <w:r>
        <w:rPr>
          <w:rFonts w:hint="eastAsia" w:ascii="宋体" w:hAnsi="宋体"/>
          <w:color w:val="auto"/>
          <w:sz w:val="21"/>
          <w:szCs w:val="21"/>
          <w:highlight w:val="none"/>
        </w:rPr>
        <w:t>3.货物和服务</w:t>
      </w:r>
      <w:bookmarkEnd w:id="34"/>
      <w:bookmarkEnd w:id="35"/>
      <w:bookmarkEnd w:id="36"/>
    </w:p>
    <w:p w14:paraId="11B1F5BB">
      <w:pPr>
        <w:pStyle w:val="35"/>
        <w:widowControl w:val="0"/>
        <w:numPr>
          <w:ilvl w:val="0"/>
          <w:numId w:val="1"/>
        </w:numPr>
        <w:shd w:val="clear"/>
        <w:adjustRightInd/>
        <w:snapToGrid/>
        <w:spacing w:line="360" w:lineRule="exact"/>
        <w:ind w:firstLineChars="0"/>
        <w:jc w:val="both"/>
        <w:rPr>
          <w:rFonts w:ascii="宋体" w:hAnsi="宋体"/>
          <w:vanish/>
          <w:color w:val="auto"/>
          <w:szCs w:val="21"/>
          <w:highlight w:val="none"/>
        </w:rPr>
      </w:pPr>
    </w:p>
    <w:p w14:paraId="2F871BEA">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526E34E3">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52FBBC97">
      <w:pPr>
        <w:shd w:val="clear"/>
        <w:rPr>
          <w:color w:val="auto"/>
          <w:highlight w:val="none"/>
        </w:rPr>
      </w:pPr>
    </w:p>
    <w:p w14:paraId="3CEA3DDE">
      <w:pPr>
        <w:pStyle w:val="5"/>
        <w:widowControl w:val="0"/>
        <w:shd w:val="clear"/>
        <w:overflowPunct w:val="0"/>
        <w:spacing w:line="240" w:lineRule="auto"/>
        <w:rPr>
          <w:rFonts w:ascii="宋体" w:hAnsi="宋体"/>
          <w:color w:val="auto"/>
          <w:sz w:val="21"/>
          <w:szCs w:val="21"/>
          <w:highlight w:val="none"/>
        </w:rPr>
      </w:pPr>
      <w:bookmarkStart w:id="37" w:name="_Toc13909"/>
      <w:bookmarkStart w:id="38" w:name="_Toc15945"/>
      <w:bookmarkStart w:id="39" w:name="_Toc12536"/>
      <w:r>
        <w:rPr>
          <w:rFonts w:hint="eastAsia" w:ascii="宋体" w:hAnsi="宋体"/>
          <w:color w:val="auto"/>
          <w:sz w:val="21"/>
          <w:szCs w:val="21"/>
          <w:highlight w:val="none"/>
        </w:rPr>
        <w:t>4.投标费用</w:t>
      </w:r>
      <w:bookmarkEnd w:id="37"/>
      <w:bookmarkEnd w:id="38"/>
      <w:bookmarkEnd w:id="39"/>
    </w:p>
    <w:p w14:paraId="6A0373D7">
      <w:pPr>
        <w:pStyle w:val="35"/>
        <w:widowControl w:val="0"/>
        <w:numPr>
          <w:ilvl w:val="0"/>
          <w:numId w:val="1"/>
        </w:numPr>
        <w:shd w:val="clear"/>
        <w:adjustRightInd/>
        <w:snapToGrid/>
        <w:spacing w:line="360" w:lineRule="exact"/>
        <w:ind w:firstLineChars="0"/>
        <w:jc w:val="both"/>
        <w:rPr>
          <w:rFonts w:ascii="宋体" w:hAnsi="宋体"/>
          <w:vanish/>
          <w:color w:val="auto"/>
          <w:szCs w:val="21"/>
          <w:highlight w:val="none"/>
        </w:rPr>
      </w:pPr>
    </w:p>
    <w:p w14:paraId="4111C184">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40BBC877">
      <w:pPr>
        <w:widowControl w:val="0"/>
        <w:shd w:val="clear"/>
        <w:adjustRightInd/>
        <w:snapToGrid/>
        <w:spacing w:line="360" w:lineRule="exact"/>
        <w:jc w:val="both"/>
        <w:rPr>
          <w:rFonts w:ascii="宋体" w:hAnsi="宋体"/>
          <w:color w:val="auto"/>
          <w:szCs w:val="21"/>
          <w:highlight w:val="none"/>
        </w:rPr>
      </w:pPr>
    </w:p>
    <w:p w14:paraId="1110E932">
      <w:pPr>
        <w:pStyle w:val="5"/>
        <w:widowControl w:val="0"/>
        <w:shd w:val="clear"/>
        <w:overflowPunct w:val="0"/>
        <w:spacing w:line="240" w:lineRule="auto"/>
        <w:rPr>
          <w:rFonts w:ascii="宋体" w:hAnsi="宋体"/>
          <w:color w:val="auto"/>
          <w:sz w:val="21"/>
          <w:szCs w:val="21"/>
          <w:highlight w:val="none"/>
        </w:rPr>
      </w:pPr>
      <w:bookmarkStart w:id="40" w:name="_Toc19532"/>
      <w:bookmarkStart w:id="41" w:name="_Toc19094"/>
      <w:bookmarkStart w:id="42" w:name="_Toc25040"/>
      <w:r>
        <w:rPr>
          <w:rFonts w:hint="eastAsia" w:ascii="宋体" w:hAnsi="宋体"/>
          <w:color w:val="auto"/>
          <w:sz w:val="21"/>
          <w:szCs w:val="21"/>
          <w:highlight w:val="none"/>
        </w:rPr>
        <w:t>5.知识产权</w:t>
      </w:r>
      <w:bookmarkEnd w:id="40"/>
      <w:bookmarkEnd w:id="41"/>
      <w:bookmarkEnd w:id="42"/>
    </w:p>
    <w:p w14:paraId="672CE8A9">
      <w:pPr>
        <w:pStyle w:val="35"/>
        <w:widowControl w:val="0"/>
        <w:numPr>
          <w:ilvl w:val="0"/>
          <w:numId w:val="1"/>
        </w:numPr>
        <w:shd w:val="clear"/>
        <w:adjustRightInd/>
        <w:snapToGrid/>
        <w:spacing w:line="360" w:lineRule="exact"/>
        <w:ind w:firstLineChars="0"/>
        <w:jc w:val="both"/>
        <w:rPr>
          <w:rFonts w:ascii="宋体" w:hAnsi="宋体"/>
          <w:vanish/>
          <w:color w:val="auto"/>
          <w:szCs w:val="21"/>
          <w:highlight w:val="none"/>
        </w:rPr>
      </w:pPr>
    </w:p>
    <w:p w14:paraId="50F599B3">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BD5A251">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0191CD13">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1FFD2786">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2EFFC763">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0BCEF0CA">
      <w:pPr>
        <w:widowControl w:val="0"/>
        <w:shd w:val="clear"/>
        <w:adjustRightInd/>
        <w:snapToGrid/>
        <w:spacing w:line="360" w:lineRule="exact"/>
        <w:ind w:left="567"/>
        <w:jc w:val="both"/>
        <w:rPr>
          <w:rFonts w:ascii="宋体" w:hAnsi="宋体"/>
          <w:color w:val="auto"/>
          <w:szCs w:val="21"/>
          <w:highlight w:val="none"/>
        </w:rPr>
      </w:pPr>
    </w:p>
    <w:p w14:paraId="4025B1B1">
      <w:pPr>
        <w:pStyle w:val="5"/>
        <w:widowControl w:val="0"/>
        <w:shd w:val="clear"/>
        <w:overflowPunct w:val="0"/>
        <w:spacing w:line="240" w:lineRule="auto"/>
        <w:rPr>
          <w:rFonts w:ascii="宋体" w:hAnsi="宋体"/>
          <w:color w:val="auto"/>
          <w:sz w:val="21"/>
          <w:szCs w:val="21"/>
          <w:highlight w:val="none"/>
        </w:rPr>
      </w:pPr>
      <w:bookmarkStart w:id="43" w:name="_Toc21930"/>
      <w:bookmarkStart w:id="44" w:name="_Toc8432"/>
      <w:bookmarkStart w:id="45" w:name="_Toc31885"/>
      <w:r>
        <w:rPr>
          <w:rFonts w:hint="eastAsia" w:ascii="宋体" w:hAnsi="宋体"/>
          <w:color w:val="auto"/>
          <w:sz w:val="21"/>
          <w:szCs w:val="21"/>
          <w:highlight w:val="none"/>
        </w:rPr>
        <w:t>6.关于联合体投标</w:t>
      </w:r>
      <w:bookmarkEnd w:id="43"/>
      <w:bookmarkEnd w:id="44"/>
      <w:bookmarkEnd w:id="45"/>
    </w:p>
    <w:p w14:paraId="7D60B731">
      <w:pPr>
        <w:pStyle w:val="35"/>
        <w:widowControl w:val="0"/>
        <w:numPr>
          <w:ilvl w:val="0"/>
          <w:numId w:val="1"/>
        </w:numPr>
        <w:shd w:val="clear"/>
        <w:adjustRightInd/>
        <w:snapToGrid/>
        <w:spacing w:line="360" w:lineRule="exact"/>
        <w:ind w:firstLineChars="0"/>
        <w:jc w:val="both"/>
        <w:rPr>
          <w:rFonts w:ascii="宋体" w:hAnsi="宋体"/>
          <w:vanish/>
          <w:color w:val="auto"/>
          <w:szCs w:val="21"/>
          <w:highlight w:val="none"/>
        </w:rPr>
      </w:pPr>
    </w:p>
    <w:p w14:paraId="34193BAE">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4C67D298">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04433425">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121B3285">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22518AE">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5E60AE60">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732CCC69">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3FC7709C">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036112EF">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36311D08">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3327B0D1">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780B10D0">
      <w:pPr>
        <w:widowControl w:val="0"/>
        <w:shd w:val="clear"/>
        <w:adjustRightInd/>
        <w:snapToGrid/>
        <w:spacing w:line="360" w:lineRule="exact"/>
        <w:ind w:left="567"/>
        <w:jc w:val="both"/>
        <w:rPr>
          <w:rFonts w:ascii="宋体" w:hAnsi="宋体"/>
          <w:color w:val="auto"/>
          <w:szCs w:val="21"/>
          <w:highlight w:val="none"/>
        </w:rPr>
      </w:pPr>
    </w:p>
    <w:p w14:paraId="1D39D927">
      <w:pPr>
        <w:pStyle w:val="5"/>
        <w:widowControl w:val="0"/>
        <w:shd w:val="clear"/>
        <w:overflowPunct w:val="0"/>
        <w:spacing w:line="240" w:lineRule="auto"/>
        <w:rPr>
          <w:rFonts w:ascii="宋体" w:hAnsi="宋体"/>
          <w:color w:val="auto"/>
          <w:sz w:val="21"/>
          <w:szCs w:val="21"/>
          <w:highlight w:val="none"/>
        </w:rPr>
      </w:pPr>
      <w:bookmarkStart w:id="46" w:name="_Toc13811"/>
      <w:bookmarkStart w:id="47" w:name="_Toc3233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14:paraId="42FB523D">
      <w:pPr>
        <w:pStyle w:val="35"/>
        <w:widowControl w:val="0"/>
        <w:numPr>
          <w:ilvl w:val="0"/>
          <w:numId w:val="1"/>
        </w:numPr>
        <w:shd w:val="clea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17A6B243">
      <w:pPr>
        <w:widowControl w:val="0"/>
        <w:numPr>
          <w:ilvl w:val="1"/>
          <w:numId w:val="1"/>
        </w:numPr>
        <w:shd w:val="clea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428C6DA9">
      <w:pPr>
        <w:shd w:val="clear"/>
        <w:rPr>
          <w:color w:val="auto"/>
          <w:highlight w:val="none"/>
        </w:rPr>
      </w:pPr>
    </w:p>
    <w:p w14:paraId="7AFABE46">
      <w:pPr>
        <w:pStyle w:val="4"/>
        <w:shd w:val="clear"/>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14:paraId="2B98D37B">
      <w:pPr>
        <w:pStyle w:val="5"/>
        <w:widowControl w:val="0"/>
        <w:shd w:val="clear"/>
        <w:overflowPunct w:val="0"/>
        <w:spacing w:line="240" w:lineRule="auto"/>
        <w:rPr>
          <w:rFonts w:ascii="宋体" w:hAnsi="宋体"/>
          <w:color w:val="auto"/>
          <w:sz w:val="21"/>
          <w:szCs w:val="21"/>
          <w:highlight w:val="none"/>
        </w:rPr>
      </w:pPr>
      <w:bookmarkStart w:id="53" w:name="_Toc21771"/>
      <w:bookmarkStart w:id="54" w:name="_Toc13494"/>
      <w:bookmarkStart w:id="55" w:name="_Toc1423"/>
      <w:r>
        <w:rPr>
          <w:rFonts w:hint="eastAsia" w:ascii="宋体" w:hAnsi="宋体"/>
          <w:color w:val="auto"/>
          <w:sz w:val="21"/>
          <w:szCs w:val="21"/>
          <w:highlight w:val="none"/>
        </w:rPr>
        <w:t>8.招标文件的组成</w:t>
      </w:r>
      <w:bookmarkEnd w:id="53"/>
      <w:bookmarkEnd w:id="54"/>
      <w:bookmarkEnd w:id="55"/>
    </w:p>
    <w:p w14:paraId="07F86E39">
      <w:pPr>
        <w:pStyle w:val="35"/>
        <w:widowControl w:val="0"/>
        <w:numPr>
          <w:ilvl w:val="0"/>
          <w:numId w:val="1"/>
        </w:numPr>
        <w:shd w:val="clear"/>
        <w:adjustRightInd/>
        <w:snapToGrid/>
        <w:spacing w:line="360" w:lineRule="exact"/>
        <w:ind w:firstLineChars="0"/>
        <w:jc w:val="both"/>
        <w:rPr>
          <w:rFonts w:ascii="宋体" w:hAnsi="宋体"/>
          <w:vanish/>
          <w:color w:val="auto"/>
          <w:szCs w:val="21"/>
          <w:highlight w:val="none"/>
        </w:rPr>
      </w:pPr>
    </w:p>
    <w:p w14:paraId="351A5627">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5C292216">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503D5157">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45FE8C9D">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5417393E">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540A1112">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2BC24559">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1467DDCB">
      <w:pPr>
        <w:shd w:val="clear"/>
        <w:rPr>
          <w:color w:val="auto"/>
          <w:highlight w:val="none"/>
        </w:rPr>
      </w:pPr>
    </w:p>
    <w:p w14:paraId="45762F9E">
      <w:pPr>
        <w:pStyle w:val="5"/>
        <w:widowControl w:val="0"/>
        <w:shd w:val="clear"/>
        <w:overflowPunct w:val="0"/>
        <w:rPr>
          <w:rFonts w:ascii="宋体" w:hAnsi="宋体"/>
          <w:color w:val="auto"/>
          <w:sz w:val="21"/>
          <w:szCs w:val="21"/>
          <w:highlight w:val="none"/>
        </w:rPr>
      </w:pPr>
      <w:bookmarkStart w:id="56" w:name="_Toc7997"/>
      <w:bookmarkStart w:id="57" w:name="_Toc17274"/>
      <w:bookmarkStart w:id="58" w:name="_Toc14217"/>
      <w:r>
        <w:rPr>
          <w:rFonts w:hint="eastAsia" w:ascii="宋体" w:hAnsi="宋体"/>
          <w:color w:val="auto"/>
          <w:sz w:val="21"/>
          <w:szCs w:val="21"/>
          <w:highlight w:val="none"/>
        </w:rPr>
        <w:t>9.招标文件的澄清或修改</w:t>
      </w:r>
      <w:bookmarkEnd w:id="56"/>
      <w:bookmarkEnd w:id="57"/>
      <w:bookmarkEnd w:id="58"/>
    </w:p>
    <w:p w14:paraId="71B33AF5">
      <w:pPr>
        <w:pStyle w:val="35"/>
        <w:widowControl w:val="0"/>
        <w:numPr>
          <w:ilvl w:val="0"/>
          <w:numId w:val="1"/>
        </w:numPr>
        <w:shd w:val="clear"/>
        <w:adjustRightInd/>
        <w:snapToGrid/>
        <w:ind w:firstLineChars="0"/>
        <w:jc w:val="both"/>
        <w:rPr>
          <w:rFonts w:ascii="宋体" w:hAnsi="宋体"/>
          <w:vanish/>
          <w:color w:val="auto"/>
          <w:szCs w:val="21"/>
          <w:highlight w:val="none"/>
        </w:rPr>
      </w:pPr>
    </w:p>
    <w:p w14:paraId="3D0222FC">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383BFA76">
      <w:pPr>
        <w:widowControl w:val="0"/>
        <w:numPr>
          <w:ilvl w:val="1"/>
          <w:numId w:val="1"/>
        </w:numPr>
        <w:shd w:val="clea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032FCB7E">
      <w:pPr>
        <w:widowControl w:val="0"/>
        <w:shd w:val="clear"/>
        <w:adjustRightInd/>
        <w:snapToGrid/>
        <w:spacing w:line="360" w:lineRule="exact"/>
        <w:ind w:left="567"/>
        <w:jc w:val="both"/>
        <w:rPr>
          <w:rFonts w:ascii="宋体" w:hAnsi="宋体"/>
          <w:color w:val="auto"/>
          <w:szCs w:val="21"/>
          <w:highlight w:val="none"/>
        </w:rPr>
      </w:pPr>
    </w:p>
    <w:p w14:paraId="787F8FB4">
      <w:pPr>
        <w:pStyle w:val="4"/>
        <w:shd w:val="clear"/>
        <w:spacing w:line="480" w:lineRule="auto"/>
        <w:jc w:val="center"/>
        <w:rPr>
          <w:rFonts w:ascii="宋体" w:hAnsi="宋体"/>
          <w:color w:val="auto"/>
          <w:highlight w:val="none"/>
        </w:rPr>
      </w:pPr>
      <w:bookmarkStart w:id="59" w:name="_Toc4773"/>
      <w:bookmarkStart w:id="60" w:name="_Toc16712"/>
      <w:bookmarkStart w:id="61" w:name="_Toc23726"/>
      <w:r>
        <w:rPr>
          <w:rFonts w:hint="eastAsia" w:ascii="宋体" w:hAnsi="宋体"/>
          <w:color w:val="auto"/>
          <w:highlight w:val="none"/>
        </w:rPr>
        <w:t>第三章投标文件的编制</w:t>
      </w:r>
      <w:bookmarkEnd w:id="59"/>
      <w:bookmarkEnd w:id="60"/>
      <w:bookmarkEnd w:id="61"/>
    </w:p>
    <w:p w14:paraId="52232F6C">
      <w:pPr>
        <w:pStyle w:val="5"/>
        <w:widowControl w:val="0"/>
        <w:shd w:val="clear"/>
        <w:overflowPunct w:val="0"/>
        <w:rPr>
          <w:rFonts w:ascii="宋体" w:hAnsi="宋体"/>
          <w:color w:val="auto"/>
          <w:sz w:val="21"/>
          <w:szCs w:val="21"/>
          <w:highlight w:val="none"/>
        </w:rPr>
      </w:pPr>
      <w:bookmarkStart w:id="62" w:name="_Toc20623"/>
      <w:bookmarkStart w:id="63" w:name="_Toc28092"/>
      <w:bookmarkStart w:id="64" w:name="_Toc7434"/>
      <w:r>
        <w:rPr>
          <w:rFonts w:hint="eastAsia" w:ascii="宋体" w:hAnsi="宋体"/>
          <w:color w:val="auto"/>
          <w:sz w:val="21"/>
          <w:szCs w:val="21"/>
          <w:highlight w:val="none"/>
        </w:rPr>
        <w:t>10.投标文件的语言及度量衡单位</w:t>
      </w:r>
      <w:bookmarkEnd w:id="62"/>
      <w:bookmarkEnd w:id="63"/>
      <w:bookmarkEnd w:id="64"/>
    </w:p>
    <w:p w14:paraId="1BA599FB">
      <w:pPr>
        <w:pStyle w:val="35"/>
        <w:widowControl w:val="0"/>
        <w:numPr>
          <w:ilvl w:val="0"/>
          <w:numId w:val="1"/>
        </w:numPr>
        <w:shd w:val="clear"/>
        <w:adjustRightInd/>
        <w:snapToGrid/>
        <w:ind w:firstLineChars="0"/>
        <w:jc w:val="both"/>
        <w:rPr>
          <w:rFonts w:ascii="宋体" w:hAnsi="宋体"/>
          <w:vanish/>
          <w:color w:val="auto"/>
          <w:szCs w:val="21"/>
          <w:highlight w:val="none"/>
        </w:rPr>
      </w:pPr>
    </w:p>
    <w:p w14:paraId="3047D9C5">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6BCBD478">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46CD4EAA">
      <w:pPr>
        <w:widowControl w:val="0"/>
        <w:shd w:val="clear"/>
        <w:adjustRightInd/>
        <w:snapToGrid/>
        <w:ind w:left="567"/>
        <w:jc w:val="both"/>
        <w:rPr>
          <w:rFonts w:ascii="宋体" w:hAnsi="宋体"/>
          <w:color w:val="auto"/>
          <w:szCs w:val="21"/>
          <w:highlight w:val="none"/>
        </w:rPr>
      </w:pPr>
    </w:p>
    <w:p w14:paraId="6BB2C867">
      <w:pPr>
        <w:pStyle w:val="5"/>
        <w:widowControl w:val="0"/>
        <w:shd w:val="clear"/>
        <w:overflowPunct w:val="0"/>
        <w:rPr>
          <w:rFonts w:ascii="宋体" w:hAnsi="宋体"/>
          <w:color w:val="auto"/>
          <w:sz w:val="21"/>
          <w:szCs w:val="21"/>
          <w:highlight w:val="none"/>
        </w:rPr>
      </w:pPr>
      <w:bookmarkStart w:id="65" w:name="_Toc307934854"/>
      <w:bookmarkStart w:id="66" w:name="_Toc18999"/>
      <w:bookmarkStart w:id="67" w:name="_Toc12145"/>
      <w:bookmarkStart w:id="68" w:name="_Toc28866"/>
      <w:bookmarkStart w:id="69" w:name="_Toc7728"/>
      <w:bookmarkStart w:id="70" w:name="_Toc303084256"/>
      <w:bookmarkStart w:id="71" w:name="_Toc382049103"/>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04A5D451">
      <w:pPr>
        <w:pStyle w:val="35"/>
        <w:widowControl w:val="0"/>
        <w:numPr>
          <w:ilvl w:val="0"/>
          <w:numId w:val="1"/>
        </w:numPr>
        <w:shd w:val="clear"/>
        <w:adjustRightInd/>
        <w:snapToGrid/>
        <w:ind w:firstLineChars="0"/>
        <w:jc w:val="both"/>
        <w:rPr>
          <w:rFonts w:ascii="宋体" w:hAnsi="宋体"/>
          <w:vanish/>
          <w:color w:val="auto"/>
          <w:szCs w:val="21"/>
          <w:highlight w:val="none"/>
        </w:rPr>
      </w:pPr>
    </w:p>
    <w:p w14:paraId="743D8556">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5194CFC1">
      <w:pPr>
        <w:widowControl w:val="0"/>
        <w:numPr>
          <w:ilvl w:val="1"/>
          <w:numId w:val="1"/>
        </w:numPr>
        <w:shd w:val="clea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65327BAB">
      <w:pPr>
        <w:shd w:val="clear"/>
        <w:rPr>
          <w:color w:val="auto"/>
          <w:highlight w:val="none"/>
        </w:rPr>
      </w:pPr>
    </w:p>
    <w:p w14:paraId="56C9C1D4">
      <w:pPr>
        <w:pStyle w:val="5"/>
        <w:widowControl w:val="0"/>
        <w:shd w:val="clear"/>
        <w:overflowPunct w:val="0"/>
        <w:rPr>
          <w:rFonts w:ascii="宋体" w:hAnsi="宋体"/>
          <w:color w:val="auto"/>
          <w:sz w:val="21"/>
          <w:szCs w:val="21"/>
          <w:highlight w:val="none"/>
        </w:rPr>
      </w:pPr>
      <w:bookmarkStart w:id="72" w:name="_Toc30189"/>
      <w:bookmarkStart w:id="73" w:name="_Toc3882"/>
      <w:bookmarkStart w:id="74" w:name="_Toc21747"/>
      <w:r>
        <w:rPr>
          <w:rFonts w:hint="eastAsia" w:ascii="宋体" w:hAnsi="宋体"/>
          <w:color w:val="auto"/>
          <w:sz w:val="21"/>
          <w:szCs w:val="21"/>
          <w:highlight w:val="none"/>
        </w:rPr>
        <w:t>12.投标文件编制</w:t>
      </w:r>
      <w:bookmarkEnd w:id="72"/>
      <w:bookmarkEnd w:id="73"/>
      <w:bookmarkEnd w:id="74"/>
    </w:p>
    <w:p w14:paraId="5B2596C9">
      <w:pPr>
        <w:pStyle w:val="35"/>
        <w:widowControl w:val="0"/>
        <w:numPr>
          <w:ilvl w:val="0"/>
          <w:numId w:val="1"/>
        </w:numPr>
        <w:shd w:val="clear"/>
        <w:adjustRightInd/>
        <w:snapToGrid/>
        <w:ind w:firstLineChars="0"/>
        <w:jc w:val="both"/>
        <w:rPr>
          <w:rFonts w:ascii="宋体" w:hAnsi="宋体"/>
          <w:vanish/>
          <w:color w:val="auto"/>
          <w:szCs w:val="21"/>
          <w:highlight w:val="none"/>
        </w:rPr>
      </w:pPr>
      <w:bookmarkStart w:id="75" w:name="_Toc303084258"/>
    </w:p>
    <w:p w14:paraId="7BB66A90">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05989052">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1C0C3FF8">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43915ADB">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5800CD3C">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4C4D6555">
      <w:pPr>
        <w:pStyle w:val="35"/>
        <w:widowControl w:val="0"/>
        <w:shd w:val="clear"/>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049A96FB">
      <w:pPr>
        <w:pStyle w:val="35"/>
        <w:widowControl w:val="0"/>
        <w:shd w:val="clear"/>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7BE56C35">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20801652">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6F1DF410">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2B996D5A">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6DC1C220">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1CF8D18D">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257B53CC">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1DE1A880">
      <w:pPr>
        <w:widowControl w:val="0"/>
        <w:shd w:val="clear"/>
        <w:adjustRightInd/>
        <w:snapToGrid/>
        <w:spacing w:line="360" w:lineRule="exact"/>
        <w:jc w:val="both"/>
        <w:rPr>
          <w:color w:val="auto"/>
          <w:highlight w:val="none"/>
        </w:rPr>
      </w:pPr>
    </w:p>
    <w:p w14:paraId="7B4BF9C6">
      <w:pPr>
        <w:pStyle w:val="5"/>
        <w:widowControl w:val="0"/>
        <w:shd w:val="clear"/>
        <w:overflowPunct w:val="0"/>
        <w:rPr>
          <w:rFonts w:ascii="宋体" w:hAnsi="宋体"/>
          <w:color w:val="auto"/>
          <w:sz w:val="21"/>
          <w:szCs w:val="21"/>
          <w:highlight w:val="none"/>
        </w:rPr>
      </w:pPr>
      <w:bookmarkStart w:id="76" w:name="_Toc17188"/>
      <w:bookmarkStart w:id="77" w:name="_Toc259"/>
      <w:bookmarkStart w:id="78" w:name="_Toc7847"/>
      <w:r>
        <w:rPr>
          <w:rFonts w:hint="eastAsia" w:ascii="宋体" w:hAnsi="宋体"/>
          <w:color w:val="auto"/>
          <w:sz w:val="21"/>
          <w:szCs w:val="21"/>
          <w:highlight w:val="none"/>
        </w:rPr>
        <w:t>13.投标报价说明</w:t>
      </w:r>
      <w:bookmarkEnd w:id="76"/>
      <w:bookmarkEnd w:id="77"/>
      <w:bookmarkEnd w:id="78"/>
    </w:p>
    <w:p w14:paraId="3E9337CB">
      <w:pPr>
        <w:pStyle w:val="35"/>
        <w:widowControl w:val="0"/>
        <w:numPr>
          <w:ilvl w:val="0"/>
          <w:numId w:val="1"/>
        </w:numPr>
        <w:shd w:val="clear"/>
        <w:adjustRightInd/>
        <w:snapToGrid/>
        <w:ind w:firstLineChars="0"/>
        <w:jc w:val="both"/>
        <w:rPr>
          <w:rFonts w:ascii="宋体" w:hAnsi="宋体"/>
          <w:vanish/>
          <w:color w:val="auto"/>
          <w:szCs w:val="21"/>
          <w:highlight w:val="none"/>
        </w:rPr>
      </w:pPr>
    </w:p>
    <w:p w14:paraId="74CD12CE">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3D0ED2F9">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7A432480">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1141C3C3">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7191AFB">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03D68371">
      <w:pPr>
        <w:shd w:val="clear"/>
        <w:rPr>
          <w:color w:val="auto"/>
          <w:highlight w:val="none"/>
        </w:rPr>
      </w:pPr>
    </w:p>
    <w:p w14:paraId="50C0A2D2">
      <w:pPr>
        <w:pStyle w:val="5"/>
        <w:widowControl w:val="0"/>
        <w:shd w:val="clear"/>
        <w:overflowPunct w:val="0"/>
        <w:rPr>
          <w:rFonts w:ascii="宋体" w:hAnsi="宋体"/>
          <w:color w:val="auto"/>
          <w:sz w:val="21"/>
          <w:szCs w:val="21"/>
          <w:highlight w:val="none"/>
        </w:rPr>
      </w:pPr>
      <w:bookmarkStart w:id="79" w:name="_Toc18911"/>
      <w:bookmarkStart w:id="80" w:name="_Toc27724"/>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14:paraId="7DFA64C4">
      <w:pPr>
        <w:pStyle w:val="35"/>
        <w:widowControl w:val="0"/>
        <w:numPr>
          <w:ilvl w:val="0"/>
          <w:numId w:val="1"/>
        </w:numPr>
        <w:shd w:val="clear"/>
        <w:adjustRightInd/>
        <w:snapToGrid/>
        <w:ind w:firstLineChars="0"/>
        <w:jc w:val="both"/>
        <w:rPr>
          <w:rFonts w:ascii="宋体" w:hAnsi="宋体"/>
          <w:vanish/>
          <w:color w:val="auto"/>
          <w:szCs w:val="21"/>
          <w:highlight w:val="none"/>
        </w:rPr>
      </w:pPr>
    </w:p>
    <w:p w14:paraId="6AC8D7F2">
      <w:pPr>
        <w:widowControl w:val="0"/>
        <w:numPr>
          <w:ilvl w:val="1"/>
          <w:numId w:val="1"/>
        </w:numPr>
        <w:shd w:val="clea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35CA1D94">
      <w:pPr>
        <w:pStyle w:val="35"/>
        <w:widowControl w:val="0"/>
        <w:shd w:val="clear"/>
        <w:adjustRightInd/>
        <w:snapToGrid/>
        <w:ind w:left="425" w:firstLine="0" w:firstLineChars="0"/>
        <w:jc w:val="both"/>
        <w:rPr>
          <w:color w:val="auto"/>
          <w:highlight w:val="none"/>
        </w:rPr>
      </w:pPr>
    </w:p>
    <w:p w14:paraId="756214F6">
      <w:pPr>
        <w:pStyle w:val="5"/>
        <w:widowControl w:val="0"/>
        <w:shd w:val="clear"/>
        <w:overflowPunct w:val="0"/>
        <w:rPr>
          <w:rFonts w:ascii="宋体" w:hAnsi="宋体"/>
          <w:color w:val="auto"/>
          <w:sz w:val="21"/>
          <w:szCs w:val="21"/>
          <w:highlight w:val="none"/>
        </w:rPr>
      </w:pPr>
      <w:bookmarkStart w:id="84" w:name="_Toc22169"/>
      <w:bookmarkStart w:id="85" w:name="_Toc19520"/>
      <w:bookmarkStart w:id="86" w:name="_Toc30815"/>
      <w:r>
        <w:rPr>
          <w:rFonts w:hint="eastAsia" w:ascii="宋体" w:hAnsi="宋体"/>
          <w:color w:val="auto"/>
          <w:sz w:val="21"/>
          <w:szCs w:val="21"/>
          <w:highlight w:val="none"/>
        </w:rPr>
        <w:t>15.★投标有效期</w:t>
      </w:r>
      <w:bookmarkEnd w:id="84"/>
      <w:bookmarkEnd w:id="85"/>
      <w:bookmarkEnd w:id="86"/>
    </w:p>
    <w:p w14:paraId="4F5928F7">
      <w:pPr>
        <w:pStyle w:val="35"/>
        <w:widowControl w:val="0"/>
        <w:numPr>
          <w:ilvl w:val="0"/>
          <w:numId w:val="1"/>
        </w:numPr>
        <w:shd w:val="clear"/>
        <w:adjustRightInd/>
        <w:snapToGrid/>
        <w:ind w:firstLineChars="0"/>
        <w:jc w:val="both"/>
        <w:rPr>
          <w:rFonts w:ascii="宋体" w:hAnsi="宋体"/>
          <w:vanish/>
          <w:color w:val="auto"/>
          <w:szCs w:val="21"/>
          <w:highlight w:val="none"/>
        </w:rPr>
      </w:pPr>
    </w:p>
    <w:p w14:paraId="11BC1DFA">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6DBE9ABA">
      <w:pPr>
        <w:widowControl w:val="0"/>
        <w:shd w:val="clear"/>
        <w:adjustRightInd/>
        <w:snapToGrid/>
        <w:ind w:left="567"/>
        <w:jc w:val="both"/>
        <w:rPr>
          <w:color w:val="auto"/>
          <w:highlight w:val="none"/>
        </w:rPr>
      </w:pPr>
    </w:p>
    <w:p w14:paraId="6D1738D0">
      <w:pPr>
        <w:pStyle w:val="5"/>
        <w:widowControl w:val="0"/>
        <w:shd w:val="clear"/>
        <w:overflowPunct w:val="0"/>
        <w:rPr>
          <w:rFonts w:ascii="宋体" w:hAnsi="宋体"/>
          <w:color w:val="auto"/>
          <w:sz w:val="21"/>
          <w:szCs w:val="21"/>
          <w:highlight w:val="none"/>
        </w:rPr>
      </w:pPr>
      <w:bookmarkStart w:id="87" w:name="_Toc30257"/>
      <w:bookmarkStart w:id="88" w:name="_Toc25817"/>
      <w:bookmarkStart w:id="89" w:name="_Toc12456"/>
      <w:r>
        <w:rPr>
          <w:rFonts w:hint="eastAsia" w:ascii="宋体" w:hAnsi="宋体"/>
          <w:color w:val="auto"/>
          <w:sz w:val="21"/>
          <w:szCs w:val="21"/>
          <w:highlight w:val="none"/>
        </w:rPr>
        <w:t>16.★投标保证金</w:t>
      </w:r>
      <w:bookmarkEnd w:id="87"/>
      <w:bookmarkEnd w:id="88"/>
      <w:bookmarkEnd w:id="89"/>
    </w:p>
    <w:p w14:paraId="33556B50">
      <w:pPr>
        <w:pStyle w:val="35"/>
        <w:widowControl w:val="0"/>
        <w:numPr>
          <w:ilvl w:val="0"/>
          <w:numId w:val="1"/>
        </w:numPr>
        <w:shd w:val="clear"/>
        <w:adjustRightInd/>
        <w:snapToGrid/>
        <w:ind w:firstLineChars="0"/>
        <w:jc w:val="both"/>
        <w:rPr>
          <w:rFonts w:ascii="宋体" w:hAnsi="宋体"/>
          <w:vanish/>
          <w:color w:val="auto"/>
          <w:szCs w:val="21"/>
          <w:highlight w:val="none"/>
        </w:rPr>
      </w:pPr>
      <w:bookmarkStart w:id="90" w:name="_Ref179619405"/>
    </w:p>
    <w:p w14:paraId="4DA3DD5E">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246BE04B">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485D340D">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63D28FB1">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1D00A5FD">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3AE5CFD6">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6562AA55">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601DACEE">
      <w:pPr>
        <w:shd w:val="clea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4733DFCD">
      <w:pPr>
        <w:shd w:val="clea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1A1C4ED4">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6B0C8CDE">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2A5F5B8C">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19CE98D6">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43DE8934">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2CE54D31">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0BA6A81C">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357CE587">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7F92012F">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5718377C">
      <w:pPr>
        <w:shd w:val="clear"/>
        <w:rPr>
          <w:color w:val="auto"/>
          <w:highlight w:val="none"/>
        </w:rPr>
      </w:pPr>
    </w:p>
    <w:p w14:paraId="66364C4D">
      <w:pPr>
        <w:pStyle w:val="4"/>
        <w:shd w:val="clear"/>
        <w:spacing w:line="480" w:lineRule="auto"/>
        <w:jc w:val="center"/>
        <w:rPr>
          <w:rFonts w:ascii="宋体" w:hAnsi="宋体"/>
          <w:color w:val="auto"/>
          <w:highlight w:val="none"/>
        </w:rPr>
      </w:pPr>
      <w:bookmarkStart w:id="91" w:name="_Toc24109"/>
      <w:bookmarkStart w:id="92" w:name="_Toc31124"/>
      <w:bookmarkStart w:id="93" w:name="_Toc3200"/>
      <w:r>
        <w:rPr>
          <w:rFonts w:hint="eastAsia" w:ascii="宋体" w:hAnsi="宋体"/>
          <w:color w:val="auto"/>
          <w:highlight w:val="none"/>
        </w:rPr>
        <w:t>第四章投标文件的递交</w:t>
      </w:r>
      <w:bookmarkEnd w:id="91"/>
      <w:bookmarkEnd w:id="92"/>
      <w:bookmarkEnd w:id="93"/>
    </w:p>
    <w:p w14:paraId="1FD4D177">
      <w:pPr>
        <w:pStyle w:val="5"/>
        <w:widowControl w:val="0"/>
        <w:shd w:val="clear"/>
        <w:overflowPunct w:val="0"/>
        <w:rPr>
          <w:rFonts w:ascii="宋体" w:hAnsi="宋体"/>
          <w:color w:val="auto"/>
          <w:sz w:val="21"/>
          <w:szCs w:val="21"/>
          <w:highlight w:val="none"/>
        </w:rPr>
      </w:pPr>
      <w:bookmarkStart w:id="94" w:name="_Toc29590"/>
      <w:bookmarkStart w:id="95" w:name="_Toc303084264"/>
      <w:bookmarkStart w:id="96" w:name="_Toc473"/>
      <w:bookmarkStart w:id="97" w:name="_Toc23678"/>
      <w:bookmarkStart w:id="98" w:name="_Toc382049111"/>
      <w:bookmarkStart w:id="99" w:name="_Toc24997"/>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2A728222">
      <w:pPr>
        <w:pStyle w:val="35"/>
        <w:widowControl w:val="0"/>
        <w:numPr>
          <w:ilvl w:val="0"/>
          <w:numId w:val="1"/>
        </w:numPr>
        <w:shd w:val="clear"/>
        <w:adjustRightInd/>
        <w:snapToGrid/>
        <w:ind w:firstLineChars="0"/>
        <w:jc w:val="both"/>
        <w:rPr>
          <w:rFonts w:ascii="宋体" w:hAnsi="宋体"/>
          <w:vanish/>
          <w:color w:val="auto"/>
          <w:szCs w:val="21"/>
          <w:highlight w:val="none"/>
        </w:rPr>
      </w:pPr>
    </w:p>
    <w:p w14:paraId="1FC4239B">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24AC4E99">
      <w:pPr>
        <w:widowControl w:val="0"/>
        <w:numPr>
          <w:ilvl w:val="1"/>
          <w:numId w:val="1"/>
        </w:numPr>
        <w:shd w:val="clea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454672D5">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0EFFB18D">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630E24F7">
      <w:pPr>
        <w:widowControl w:val="0"/>
        <w:numPr>
          <w:ilvl w:val="1"/>
          <w:numId w:val="1"/>
        </w:numPr>
        <w:shd w:val="clea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3C007300">
      <w:pPr>
        <w:widowControl w:val="0"/>
        <w:numPr>
          <w:ilvl w:val="1"/>
          <w:numId w:val="1"/>
        </w:numPr>
        <w:shd w:val="clea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4C98A58F">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14:paraId="62BC2045">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05C62D40">
      <w:pPr>
        <w:widowControl w:val="0"/>
        <w:numPr>
          <w:ilvl w:val="0"/>
          <w:numId w:val="2"/>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34EC1E8D">
      <w:pPr>
        <w:widowControl w:val="0"/>
        <w:numPr>
          <w:ilvl w:val="0"/>
          <w:numId w:val="2"/>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15A4A9C8">
      <w:pPr>
        <w:widowControl w:val="0"/>
        <w:numPr>
          <w:ilvl w:val="0"/>
          <w:numId w:val="2"/>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554AFB53">
      <w:pPr>
        <w:widowControl w:val="0"/>
        <w:numPr>
          <w:ilvl w:val="0"/>
          <w:numId w:val="2"/>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041098F9">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60404586">
      <w:pPr>
        <w:widowControl w:val="0"/>
        <w:numPr>
          <w:ilvl w:val="0"/>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51AE1C3C">
      <w:pPr>
        <w:widowControl w:val="0"/>
        <w:numPr>
          <w:ilvl w:val="0"/>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4DCDE59E">
      <w:pPr>
        <w:widowControl w:val="0"/>
        <w:numPr>
          <w:ilvl w:val="0"/>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466B198F">
      <w:pPr>
        <w:widowControl w:val="0"/>
        <w:numPr>
          <w:ilvl w:val="0"/>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495623BC">
      <w:pPr>
        <w:widowControl w:val="0"/>
        <w:numPr>
          <w:ilvl w:val="0"/>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72F40960">
      <w:pPr>
        <w:widowControl w:val="0"/>
        <w:numPr>
          <w:ilvl w:val="0"/>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5503E015">
      <w:pPr>
        <w:widowControl w:val="0"/>
        <w:numPr>
          <w:ilvl w:val="0"/>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26B07304">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5E48835D">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5006D96A">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726DFD6B">
      <w:pPr>
        <w:shd w:val="clear"/>
        <w:rPr>
          <w:color w:val="auto"/>
          <w:highlight w:val="none"/>
        </w:rPr>
      </w:pPr>
    </w:p>
    <w:p w14:paraId="3ABEDCA1">
      <w:pPr>
        <w:pStyle w:val="5"/>
        <w:widowControl w:val="0"/>
        <w:shd w:val="clear"/>
        <w:overflowPunct w:val="0"/>
        <w:rPr>
          <w:rFonts w:ascii="宋体" w:hAnsi="宋体"/>
          <w:color w:val="auto"/>
          <w:sz w:val="21"/>
          <w:szCs w:val="21"/>
          <w:highlight w:val="none"/>
        </w:rPr>
      </w:pPr>
      <w:bookmarkStart w:id="100" w:name="_Toc7473"/>
      <w:bookmarkStart w:id="101" w:name="_Toc8628"/>
      <w:bookmarkStart w:id="102" w:name="_Toc17417"/>
      <w:r>
        <w:rPr>
          <w:rFonts w:hint="eastAsia" w:ascii="宋体" w:hAnsi="宋体"/>
          <w:color w:val="auto"/>
          <w:sz w:val="21"/>
          <w:szCs w:val="21"/>
          <w:highlight w:val="none"/>
        </w:rPr>
        <w:t>18.迟交的投标文件</w:t>
      </w:r>
      <w:bookmarkEnd w:id="100"/>
      <w:bookmarkEnd w:id="101"/>
      <w:bookmarkEnd w:id="102"/>
    </w:p>
    <w:p w14:paraId="6B30B518">
      <w:pPr>
        <w:pStyle w:val="35"/>
        <w:widowControl w:val="0"/>
        <w:numPr>
          <w:ilvl w:val="0"/>
          <w:numId w:val="1"/>
        </w:numPr>
        <w:shd w:val="clear"/>
        <w:adjustRightInd/>
        <w:snapToGrid/>
        <w:ind w:firstLineChars="0"/>
        <w:jc w:val="both"/>
        <w:rPr>
          <w:rFonts w:ascii="宋体" w:hAnsi="宋体"/>
          <w:vanish/>
          <w:color w:val="auto"/>
          <w:szCs w:val="21"/>
          <w:highlight w:val="none"/>
        </w:rPr>
      </w:pPr>
    </w:p>
    <w:p w14:paraId="023FF226">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3D440177">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28BF4192">
      <w:pPr>
        <w:shd w:val="clear"/>
        <w:rPr>
          <w:color w:val="auto"/>
          <w:highlight w:val="none"/>
        </w:rPr>
      </w:pPr>
    </w:p>
    <w:p w14:paraId="189D28DF">
      <w:pPr>
        <w:pStyle w:val="5"/>
        <w:widowControl w:val="0"/>
        <w:shd w:val="clear"/>
        <w:overflowPunct w:val="0"/>
        <w:rPr>
          <w:rFonts w:ascii="宋体" w:hAnsi="宋体"/>
          <w:color w:val="auto"/>
          <w:sz w:val="21"/>
          <w:szCs w:val="21"/>
          <w:highlight w:val="none"/>
        </w:rPr>
      </w:pPr>
      <w:bookmarkStart w:id="103" w:name="_Toc13212"/>
      <w:bookmarkStart w:id="104" w:name="_Toc8526"/>
      <w:bookmarkStart w:id="105" w:name="_Toc19649"/>
      <w:r>
        <w:rPr>
          <w:rFonts w:hint="eastAsia" w:ascii="宋体" w:hAnsi="宋体"/>
          <w:color w:val="auto"/>
          <w:sz w:val="21"/>
          <w:szCs w:val="21"/>
          <w:highlight w:val="none"/>
        </w:rPr>
        <w:t>19.投标样品（如需提交）</w:t>
      </w:r>
      <w:bookmarkEnd w:id="103"/>
      <w:bookmarkEnd w:id="104"/>
      <w:bookmarkEnd w:id="105"/>
    </w:p>
    <w:p w14:paraId="1BD0F978">
      <w:pPr>
        <w:pStyle w:val="35"/>
        <w:widowControl w:val="0"/>
        <w:numPr>
          <w:ilvl w:val="0"/>
          <w:numId w:val="1"/>
        </w:numPr>
        <w:shd w:val="clear"/>
        <w:adjustRightInd/>
        <w:snapToGrid/>
        <w:ind w:firstLineChars="0"/>
        <w:jc w:val="both"/>
        <w:rPr>
          <w:rFonts w:ascii="宋体" w:hAnsi="宋体"/>
          <w:vanish/>
          <w:color w:val="auto"/>
          <w:szCs w:val="21"/>
          <w:highlight w:val="none"/>
        </w:rPr>
      </w:pPr>
    </w:p>
    <w:p w14:paraId="779F7F82">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2794CB6E">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34BA7FA5">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23F0B095">
      <w:pPr>
        <w:shd w:val="clear"/>
        <w:rPr>
          <w:color w:val="auto"/>
          <w:highlight w:val="none"/>
        </w:rPr>
      </w:pPr>
    </w:p>
    <w:p w14:paraId="7EE4FF15">
      <w:pPr>
        <w:pStyle w:val="5"/>
        <w:widowControl w:val="0"/>
        <w:shd w:val="clear"/>
        <w:overflowPunct w:val="0"/>
        <w:rPr>
          <w:rFonts w:ascii="宋体" w:hAnsi="宋体"/>
          <w:color w:val="auto"/>
          <w:sz w:val="21"/>
          <w:szCs w:val="21"/>
          <w:highlight w:val="none"/>
        </w:rPr>
      </w:pPr>
      <w:bookmarkStart w:id="106" w:name="_Toc303084265"/>
      <w:bookmarkStart w:id="107" w:name="_Toc382049112"/>
      <w:bookmarkStart w:id="108" w:name="_Toc23477"/>
      <w:bookmarkStart w:id="109" w:name="_Toc9777"/>
      <w:bookmarkStart w:id="110" w:name="_Toc7689"/>
      <w:bookmarkStart w:id="111" w:name="_Toc5900"/>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6474DD0C">
      <w:pPr>
        <w:pStyle w:val="35"/>
        <w:widowControl w:val="0"/>
        <w:numPr>
          <w:ilvl w:val="0"/>
          <w:numId w:val="1"/>
        </w:numPr>
        <w:shd w:val="clear"/>
        <w:adjustRightInd/>
        <w:snapToGrid/>
        <w:ind w:firstLineChars="0"/>
        <w:jc w:val="both"/>
        <w:rPr>
          <w:rFonts w:ascii="宋体" w:hAnsi="宋体"/>
          <w:vanish/>
          <w:color w:val="auto"/>
          <w:szCs w:val="21"/>
          <w:highlight w:val="none"/>
        </w:rPr>
      </w:pPr>
    </w:p>
    <w:p w14:paraId="41CC4435">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726C2259">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3AA59488">
      <w:pPr>
        <w:shd w:val="clear"/>
        <w:rPr>
          <w:color w:val="auto"/>
          <w:highlight w:val="none"/>
        </w:rPr>
      </w:pPr>
    </w:p>
    <w:p w14:paraId="5A2FAB2E">
      <w:pPr>
        <w:pStyle w:val="5"/>
        <w:widowControl w:val="0"/>
        <w:shd w:val="clear"/>
        <w:overflowPunct w:val="0"/>
        <w:rPr>
          <w:rFonts w:ascii="宋体" w:hAnsi="宋体"/>
          <w:color w:val="auto"/>
          <w:sz w:val="21"/>
          <w:szCs w:val="21"/>
          <w:highlight w:val="none"/>
        </w:rPr>
      </w:pPr>
      <w:bookmarkStart w:id="112" w:name="_Toc15569"/>
      <w:bookmarkStart w:id="113" w:name="_Toc11133"/>
      <w:bookmarkStart w:id="114" w:name="_Toc6003"/>
      <w:r>
        <w:rPr>
          <w:rFonts w:hint="eastAsia" w:ascii="宋体" w:hAnsi="宋体"/>
          <w:color w:val="auto"/>
          <w:sz w:val="21"/>
          <w:szCs w:val="21"/>
          <w:highlight w:val="none"/>
        </w:rPr>
        <w:t>21.投标文件的补充、修改与撤回</w:t>
      </w:r>
      <w:bookmarkEnd w:id="112"/>
      <w:bookmarkEnd w:id="113"/>
      <w:bookmarkEnd w:id="114"/>
    </w:p>
    <w:p w14:paraId="68339103">
      <w:pPr>
        <w:pStyle w:val="35"/>
        <w:widowControl w:val="0"/>
        <w:numPr>
          <w:ilvl w:val="0"/>
          <w:numId w:val="1"/>
        </w:numPr>
        <w:shd w:val="clear"/>
        <w:adjustRightInd/>
        <w:snapToGrid/>
        <w:ind w:firstLineChars="0"/>
        <w:jc w:val="both"/>
        <w:rPr>
          <w:rFonts w:ascii="宋体" w:hAnsi="宋体"/>
          <w:vanish/>
          <w:color w:val="auto"/>
          <w:szCs w:val="21"/>
          <w:highlight w:val="none"/>
        </w:rPr>
      </w:pPr>
    </w:p>
    <w:p w14:paraId="2E8EFBE4">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56B89DE7">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696156BE">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277E4B37">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3DEAB173">
      <w:pPr>
        <w:pStyle w:val="8"/>
        <w:shd w:val="clear"/>
        <w:rPr>
          <w:color w:val="auto"/>
          <w:highlight w:val="none"/>
        </w:rPr>
      </w:pPr>
    </w:p>
    <w:p w14:paraId="2F166B9D">
      <w:pPr>
        <w:pStyle w:val="4"/>
        <w:shd w:val="clear"/>
        <w:spacing w:line="480" w:lineRule="auto"/>
        <w:jc w:val="center"/>
        <w:rPr>
          <w:rFonts w:ascii="宋体" w:hAnsi="宋体"/>
          <w:color w:val="auto"/>
          <w:highlight w:val="none"/>
        </w:rPr>
      </w:pPr>
      <w:bookmarkStart w:id="115" w:name="_Toc5049"/>
      <w:bookmarkStart w:id="116" w:name="_Toc23466"/>
      <w:bookmarkStart w:id="117" w:name="_Toc29574"/>
      <w:r>
        <w:rPr>
          <w:rFonts w:hint="eastAsia" w:ascii="宋体" w:hAnsi="宋体"/>
          <w:color w:val="auto"/>
          <w:highlight w:val="none"/>
        </w:rPr>
        <w:t>第五章开标与评标</w:t>
      </w:r>
      <w:bookmarkEnd w:id="115"/>
      <w:bookmarkEnd w:id="116"/>
      <w:bookmarkEnd w:id="117"/>
    </w:p>
    <w:p w14:paraId="5F228646">
      <w:pPr>
        <w:pStyle w:val="5"/>
        <w:widowControl w:val="0"/>
        <w:shd w:val="clear"/>
        <w:overflowPunct w:val="0"/>
        <w:rPr>
          <w:rFonts w:ascii="宋体" w:hAnsi="宋体"/>
          <w:color w:val="auto"/>
          <w:sz w:val="21"/>
          <w:szCs w:val="21"/>
          <w:highlight w:val="none"/>
        </w:rPr>
      </w:pPr>
      <w:bookmarkStart w:id="118" w:name="_Toc27700"/>
      <w:bookmarkStart w:id="119" w:name="_Toc28458"/>
      <w:bookmarkStart w:id="120" w:name="_Toc24251"/>
      <w:r>
        <w:rPr>
          <w:rFonts w:hint="eastAsia" w:ascii="宋体" w:hAnsi="宋体"/>
          <w:color w:val="auto"/>
          <w:sz w:val="21"/>
          <w:szCs w:val="21"/>
          <w:highlight w:val="none"/>
        </w:rPr>
        <w:t>22.开标</w:t>
      </w:r>
      <w:bookmarkEnd w:id="118"/>
      <w:bookmarkEnd w:id="119"/>
      <w:bookmarkEnd w:id="120"/>
    </w:p>
    <w:p w14:paraId="70DA5238">
      <w:pPr>
        <w:pStyle w:val="35"/>
        <w:widowControl w:val="0"/>
        <w:numPr>
          <w:ilvl w:val="0"/>
          <w:numId w:val="1"/>
        </w:numPr>
        <w:shd w:val="clear"/>
        <w:adjustRightInd/>
        <w:snapToGrid/>
        <w:ind w:firstLineChars="0"/>
        <w:jc w:val="both"/>
        <w:rPr>
          <w:rFonts w:ascii="宋体" w:hAnsi="宋体"/>
          <w:vanish/>
          <w:color w:val="auto"/>
          <w:szCs w:val="21"/>
          <w:highlight w:val="none"/>
        </w:rPr>
      </w:pPr>
    </w:p>
    <w:p w14:paraId="208F3754">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2AC3FF6E">
      <w:pPr>
        <w:widowControl w:val="0"/>
        <w:numPr>
          <w:ilvl w:val="1"/>
          <w:numId w:val="1"/>
        </w:numPr>
        <w:shd w:val="clear"/>
        <w:adjustRightInd/>
        <w:snapToGrid/>
        <w:jc w:val="both"/>
        <w:rPr>
          <w:rFonts w:ascii="宋体" w:hAnsi="宋体"/>
          <w:color w:val="auto"/>
          <w:szCs w:val="21"/>
          <w:highlight w:val="none"/>
        </w:rPr>
      </w:pPr>
      <w:r>
        <w:rPr>
          <w:rFonts w:ascii="宋体" w:hAnsi="宋体"/>
          <w:color w:val="auto"/>
          <w:szCs w:val="21"/>
          <w:highlight w:val="none"/>
        </w:rPr>
        <w:t>开标程序：</w:t>
      </w:r>
    </w:p>
    <w:p w14:paraId="33B4D20B">
      <w:pPr>
        <w:widowControl w:val="0"/>
        <w:numPr>
          <w:ilvl w:val="2"/>
          <w:numId w:val="1"/>
        </w:numPr>
        <w:shd w:val="clea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29CC149D">
      <w:pPr>
        <w:widowControl w:val="0"/>
        <w:numPr>
          <w:ilvl w:val="2"/>
          <w:numId w:val="1"/>
        </w:numPr>
        <w:shd w:val="clea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54FDB403">
      <w:pPr>
        <w:widowControl w:val="0"/>
        <w:numPr>
          <w:ilvl w:val="2"/>
          <w:numId w:val="1"/>
        </w:numPr>
        <w:shd w:val="clea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0AD99DE4">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61E53C92">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106FD6FF">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43F011E1">
      <w:pPr>
        <w:widowControl w:val="0"/>
        <w:shd w:val="clear"/>
        <w:adjustRightInd/>
        <w:snapToGrid/>
        <w:ind w:left="567"/>
        <w:jc w:val="both"/>
        <w:rPr>
          <w:color w:val="auto"/>
          <w:highlight w:val="none"/>
        </w:rPr>
      </w:pPr>
    </w:p>
    <w:p w14:paraId="44A96F42">
      <w:pPr>
        <w:pStyle w:val="5"/>
        <w:widowControl w:val="0"/>
        <w:shd w:val="clear"/>
        <w:overflowPunct w:val="0"/>
        <w:rPr>
          <w:rFonts w:ascii="宋体" w:hAnsi="宋体"/>
          <w:color w:val="auto"/>
          <w:sz w:val="21"/>
          <w:szCs w:val="21"/>
          <w:highlight w:val="none"/>
        </w:rPr>
      </w:pPr>
      <w:bookmarkStart w:id="121" w:name="_Toc5974"/>
      <w:bookmarkStart w:id="122" w:name="_Toc4921"/>
      <w:bookmarkStart w:id="123" w:name="_Toc5524"/>
      <w:r>
        <w:rPr>
          <w:rFonts w:hint="eastAsia" w:ascii="宋体" w:hAnsi="宋体"/>
          <w:color w:val="auto"/>
          <w:sz w:val="21"/>
          <w:szCs w:val="21"/>
          <w:highlight w:val="none"/>
        </w:rPr>
        <w:t>23.评标委员会及评标方法</w:t>
      </w:r>
      <w:bookmarkEnd w:id="121"/>
      <w:bookmarkEnd w:id="122"/>
      <w:bookmarkEnd w:id="123"/>
    </w:p>
    <w:p w14:paraId="4B2CBEEB">
      <w:pPr>
        <w:pStyle w:val="35"/>
        <w:widowControl w:val="0"/>
        <w:numPr>
          <w:ilvl w:val="0"/>
          <w:numId w:val="1"/>
        </w:numPr>
        <w:shd w:val="clear"/>
        <w:adjustRightInd/>
        <w:snapToGrid/>
        <w:ind w:firstLineChars="0"/>
        <w:jc w:val="both"/>
        <w:rPr>
          <w:rFonts w:ascii="宋体" w:hAnsi="宋体"/>
          <w:vanish/>
          <w:color w:val="auto"/>
          <w:szCs w:val="21"/>
          <w:highlight w:val="none"/>
        </w:rPr>
      </w:pPr>
    </w:p>
    <w:p w14:paraId="1E357D89">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4B66A863">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27EC4ED1">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317C2648">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4D9F4BB1">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74336C7B">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5625C7FA">
      <w:pPr>
        <w:shd w:val="clear"/>
        <w:rPr>
          <w:color w:val="auto"/>
          <w:highlight w:val="none"/>
        </w:rPr>
      </w:pPr>
    </w:p>
    <w:p w14:paraId="495D8B30">
      <w:pPr>
        <w:pStyle w:val="5"/>
        <w:widowControl w:val="0"/>
        <w:shd w:val="clear"/>
        <w:overflowPunct w:val="0"/>
        <w:rPr>
          <w:rFonts w:ascii="宋体" w:hAnsi="宋体"/>
          <w:color w:val="auto"/>
          <w:sz w:val="21"/>
          <w:szCs w:val="21"/>
          <w:highlight w:val="none"/>
        </w:rPr>
      </w:pPr>
      <w:bookmarkStart w:id="124" w:name="_Toc32730"/>
      <w:bookmarkStart w:id="125" w:name="_Toc26402"/>
      <w:bookmarkStart w:id="126" w:name="_Toc15231"/>
      <w:r>
        <w:rPr>
          <w:rFonts w:hint="eastAsia" w:ascii="宋体" w:hAnsi="宋体"/>
          <w:color w:val="auto"/>
          <w:sz w:val="21"/>
          <w:szCs w:val="21"/>
          <w:highlight w:val="none"/>
        </w:rPr>
        <w:t>24.评审原则及评标过程的保密</w:t>
      </w:r>
      <w:bookmarkEnd w:id="124"/>
      <w:bookmarkEnd w:id="125"/>
      <w:bookmarkEnd w:id="126"/>
    </w:p>
    <w:p w14:paraId="5A81DD32">
      <w:pPr>
        <w:pStyle w:val="35"/>
        <w:widowControl w:val="0"/>
        <w:numPr>
          <w:ilvl w:val="0"/>
          <w:numId w:val="1"/>
        </w:numPr>
        <w:shd w:val="clear"/>
        <w:adjustRightInd/>
        <w:snapToGrid/>
        <w:ind w:firstLineChars="0"/>
        <w:jc w:val="both"/>
        <w:rPr>
          <w:rFonts w:ascii="宋体" w:hAnsi="宋体"/>
          <w:vanish/>
          <w:color w:val="auto"/>
          <w:szCs w:val="21"/>
          <w:highlight w:val="none"/>
        </w:rPr>
      </w:pPr>
    </w:p>
    <w:p w14:paraId="1827DC44">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126A8EC7">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4FEAEAC3">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2FB95757">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633687F0">
      <w:pPr>
        <w:shd w:val="clear"/>
        <w:rPr>
          <w:color w:val="auto"/>
          <w:highlight w:val="none"/>
        </w:rPr>
      </w:pPr>
    </w:p>
    <w:p w14:paraId="672E7CAF">
      <w:pPr>
        <w:pStyle w:val="5"/>
        <w:widowControl w:val="0"/>
        <w:shd w:val="clear"/>
        <w:overflowPunct w:val="0"/>
        <w:rPr>
          <w:rFonts w:ascii="宋体" w:hAnsi="宋体"/>
          <w:color w:val="auto"/>
          <w:sz w:val="21"/>
          <w:szCs w:val="21"/>
          <w:highlight w:val="none"/>
        </w:rPr>
      </w:pPr>
      <w:bookmarkStart w:id="127" w:name="_Toc3762"/>
      <w:bookmarkStart w:id="128" w:name="_Toc16745"/>
      <w:bookmarkStart w:id="129" w:name="_Toc18436"/>
      <w:r>
        <w:rPr>
          <w:rFonts w:hint="eastAsia" w:ascii="宋体" w:hAnsi="宋体"/>
          <w:color w:val="auto"/>
          <w:sz w:val="21"/>
          <w:szCs w:val="21"/>
          <w:highlight w:val="none"/>
        </w:rPr>
        <w:t>25.投标文件的初审</w:t>
      </w:r>
      <w:bookmarkEnd w:id="127"/>
      <w:bookmarkEnd w:id="128"/>
      <w:bookmarkEnd w:id="129"/>
    </w:p>
    <w:p w14:paraId="5F72B04C">
      <w:pPr>
        <w:pStyle w:val="35"/>
        <w:widowControl w:val="0"/>
        <w:numPr>
          <w:ilvl w:val="0"/>
          <w:numId w:val="1"/>
        </w:numPr>
        <w:shd w:val="clear"/>
        <w:tabs>
          <w:tab w:val="left" w:pos="907"/>
        </w:tabs>
        <w:adjustRightInd/>
        <w:snapToGrid/>
        <w:ind w:firstLineChars="0"/>
        <w:jc w:val="both"/>
        <w:rPr>
          <w:rFonts w:ascii="宋体" w:hAnsi="宋体"/>
          <w:vanish/>
          <w:color w:val="auto"/>
          <w:szCs w:val="21"/>
          <w:highlight w:val="none"/>
        </w:rPr>
      </w:pPr>
    </w:p>
    <w:p w14:paraId="47202EB3">
      <w:pPr>
        <w:widowControl w:val="0"/>
        <w:numPr>
          <w:ilvl w:val="1"/>
          <w:numId w:val="1"/>
        </w:numPr>
        <w:shd w:val="clea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477B833E">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7156858D">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5BA8ABBC">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14:paraId="513B4E4E">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14:paraId="515115B9">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259B64FD">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40DBEFC8">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15EF758F">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4E301385">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7FA6D4EC">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33DBFEC6">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6EE4C21D">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2C6D3799">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4EA55B51">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58B1C404">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75097BBA">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59395D38">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74D172FC">
      <w:pPr>
        <w:widowControl w:val="0"/>
        <w:numPr>
          <w:ilvl w:val="1"/>
          <w:numId w:val="1"/>
        </w:numPr>
        <w:shd w:val="clea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0362EC83">
      <w:pPr>
        <w:widowControl w:val="0"/>
        <w:numPr>
          <w:ilvl w:val="1"/>
          <w:numId w:val="1"/>
        </w:numPr>
        <w:shd w:val="clea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69CB148B">
      <w:pPr>
        <w:shd w:val="clear"/>
        <w:rPr>
          <w:color w:val="auto"/>
          <w:highlight w:val="none"/>
        </w:rPr>
      </w:pPr>
    </w:p>
    <w:p w14:paraId="6063BA72">
      <w:pPr>
        <w:pStyle w:val="5"/>
        <w:widowControl w:val="0"/>
        <w:shd w:val="clear"/>
        <w:overflowPunct w:val="0"/>
        <w:rPr>
          <w:rFonts w:ascii="宋体" w:hAnsi="宋体"/>
          <w:color w:val="auto"/>
          <w:sz w:val="21"/>
          <w:szCs w:val="21"/>
          <w:highlight w:val="none"/>
        </w:rPr>
      </w:pPr>
      <w:bookmarkStart w:id="130" w:name="_Toc21742"/>
      <w:bookmarkStart w:id="131" w:name="_Toc27673"/>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14:paraId="74BC48E3">
      <w:pPr>
        <w:pStyle w:val="35"/>
        <w:widowControl w:val="0"/>
        <w:numPr>
          <w:ilvl w:val="0"/>
          <w:numId w:val="1"/>
        </w:numPr>
        <w:shd w:val="clear"/>
        <w:tabs>
          <w:tab w:val="left" w:pos="907"/>
        </w:tabs>
        <w:adjustRightInd/>
        <w:snapToGrid/>
        <w:ind w:firstLineChars="0"/>
        <w:jc w:val="both"/>
        <w:rPr>
          <w:rFonts w:ascii="宋体" w:hAnsi="宋体"/>
          <w:vanish/>
          <w:color w:val="auto"/>
          <w:szCs w:val="21"/>
          <w:highlight w:val="none"/>
        </w:rPr>
      </w:pPr>
    </w:p>
    <w:p w14:paraId="595F3693">
      <w:pPr>
        <w:widowControl w:val="0"/>
        <w:numPr>
          <w:ilvl w:val="1"/>
          <w:numId w:val="1"/>
        </w:numPr>
        <w:shd w:val="clea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6A8EDC85">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B9AA8EC">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11387586">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4DDD25C8">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134C306B">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442A6AAC">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0962D6CD">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718E504B">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40D47082">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046D980D">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5F0F9EC3">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CF1CE20">
      <w:pPr>
        <w:widowControl w:val="0"/>
        <w:shd w:val="clear"/>
        <w:tabs>
          <w:tab w:val="left" w:pos="907"/>
        </w:tabs>
        <w:adjustRightInd/>
        <w:snapToGrid/>
        <w:spacing w:line="360" w:lineRule="exact"/>
        <w:ind w:left="567"/>
        <w:jc w:val="both"/>
        <w:rPr>
          <w:rFonts w:ascii="宋体" w:hAnsi="宋体"/>
          <w:color w:val="auto"/>
          <w:szCs w:val="21"/>
          <w:highlight w:val="none"/>
        </w:rPr>
      </w:pPr>
    </w:p>
    <w:p w14:paraId="144E5CDC">
      <w:pPr>
        <w:pStyle w:val="5"/>
        <w:widowControl w:val="0"/>
        <w:shd w:val="clear"/>
        <w:overflowPunct w:val="0"/>
        <w:rPr>
          <w:rFonts w:ascii="宋体" w:hAnsi="宋体"/>
          <w:color w:val="auto"/>
          <w:sz w:val="21"/>
          <w:szCs w:val="21"/>
          <w:highlight w:val="none"/>
        </w:rPr>
      </w:pPr>
      <w:bookmarkStart w:id="133" w:name="_Toc7593"/>
      <w:bookmarkStart w:id="134" w:name="_Toc17683"/>
      <w:bookmarkStart w:id="135" w:name="_Toc22192"/>
      <w:r>
        <w:rPr>
          <w:rFonts w:hint="eastAsia" w:ascii="宋体" w:hAnsi="宋体"/>
          <w:color w:val="auto"/>
          <w:sz w:val="21"/>
          <w:szCs w:val="21"/>
          <w:highlight w:val="none"/>
        </w:rPr>
        <w:t>27.优惠政策</w:t>
      </w:r>
      <w:bookmarkEnd w:id="133"/>
      <w:bookmarkEnd w:id="134"/>
      <w:bookmarkEnd w:id="135"/>
    </w:p>
    <w:p w14:paraId="63D04195">
      <w:pPr>
        <w:pStyle w:val="35"/>
        <w:widowControl w:val="0"/>
        <w:numPr>
          <w:ilvl w:val="0"/>
          <w:numId w:val="1"/>
        </w:numPr>
        <w:shd w:val="clear"/>
        <w:tabs>
          <w:tab w:val="left" w:pos="907"/>
        </w:tabs>
        <w:adjustRightInd/>
        <w:snapToGrid/>
        <w:ind w:firstLineChars="0"/>
        <w:jc w:val="both"/>
        <w:rPr>
          <w:rFonts w:ascii="宋体" w:hAnsi="宋体"/>
          <w:vanish/>
          <w:color w:val="auto"/>
          <w:szCs w:val="21"/>
          <w:highlight w:val="none"/>
        </w:rPr>
      </w:pPr>
    </w:p>
    <w:p w14:paraId="667277D9">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73311E04">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7D724E0B">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14:paraId="2E8DF2E8">
      <w:pPr>
        <w:widowControl w:val="0"/>
        <w:numPr>
          <w:ilvl w:val="1"/>
          <w:numId w:val="1"/>
        </w:numPr>
        <w:shd w:val="clea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5F1073E0">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47B19100">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1770E36E">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37D954AB">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091F0D27">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588690F0">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018451AA">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C749A0C">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583DC6DD">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57223C27">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18400AE7">
      <w:pPr>
        <w:widowControl w:val="0"/>
        <w:numPr>
          <w:ilvl w:val="0"/>
          <w:numId w:val="4"/>
        </w:numPr>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6C1DD061">
      <w:pPr>
        <w:widowControl w:val="0"/>
        <w:numPr>
          <w:ilvl w:val="0"/>
          <w:numId w:val="4"/>
        </w:numPr>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08634599">
      <w:pPr>
        <w:widowControl w:val="0"/>
        <w:numPr>
          <w:ilvl w:val="0"/>
          <w:numId w:val="4"/>
        </w:numPr>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771B337C">
      <w:pPr>
        <w:widowControl w:val="0"/>
        <w:shd w:val="clear"/>
        <w:tabs>
          <w:tab w:val="left" w:pos="907"/>
        </w:tabs>
        <w:adjustRightInd/>
        <w:snapToGrid/>
        <w:ind w:left="567"/>
        <w:jc w:val="both"/>
        <w:rPr>
          <w:rFonts w:ascii="宋体" w:hAnsi="宋体"/>
          <w:color w:val="auto"/>
          <w:szCs w:val="21"/>
          <w:highlight w:val="none"/>
        </w:rPr>
      </w:pPr>
    </w:p>
    <w:p w14:paraId="58D18600">
      <w:pPr>
        <w:pStyle w:val="5"/>
        <w:widowControl w:val="0"/>
        <w:shd w:val="clear"/>
        <w:overflowPunct w:val="0"/>
        <w:rPr>
          <w:rFonts w:ascii="宋体" w:hAnsi="宋体"/>
          <w:color w:val="auto"/>
          <w:sz w:val="21"/>
          <w:szCs w:val="21"/>
          <w:highlight w:val="none"/>
        </w:rPr>
      </w:pPr>
      <w:bookmarkStart w:id="136" w:name="_Toc316375620"/>
      <w:bookmarkStart w:id="137" w:name="_Toc31141"/>
      <w:bookmarkStart w:id="138" w:name="_Toc20328"/>
      <w:bookmarkStart w:id="139" w:name="_Toc382049120"/>
      <w:bookmarkStart w:id="140" w:name="_Toc12115"/>
      <w:bookmarkStart w:id="141" w:name="_Toc2259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496084CB">
      <w:pPr>
        <w:pStyle w:val="35"/>
        <w:widowControl w:val="0"/>
        <w:numPr>
          <w:ilvl w:val="0"/>
          <w:numId w:val="1"/>
        </w:numPr>
        <w:shd w:val="clear"/>
        <w:tabs>
          <w:tab w:val="left" w:pos="907"/>
        </w:tabs>
        <w:adjustRightInd/>
        <w:snapToGrid/>
        <w:ind w:firstLineChars="0"/>
        <w:jc w:val="both"/>
        <w:rPr>
          <w:rFonts w:ascii="宋体" w:hAnsi="宋体"/>
          <w:vanish/>
          <w:color w:val="auto"/>
          <w:szCs w:val="21"/>
          <w:highlight w:val="none"/>
        </w:rPr>
      </w:pPr>
    </w:p>
    <w:p w14:paraId="25E1667E">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3B95DAD7">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5B6EDDEA">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21CBAF4B">
      <w:pPr>
        <w:shd w:val="clear"/>
        <w:rPr>
          <w:color w:val="auto"/>
          <w:highlight w:val="none"/>
        </w:rPr>
      </w:pPr>
    </w:p>
    <w:p w14:paraId="51E02A2C">
      <w:pPr>
        <w:pStyle w:val="4"/>
        <w:shd w:val="clear"/>
        <w:spacing w:line="480" w:lineRule="auto"/>
        <w:jc w:val="center"/>
        <w:rPr>
          <w:rFonts w:ascii="宋体" w:hAnsi="宋体"/>
          <w:color w:val="auto"/>
          <w:highlight w:val="none"/>
        </w:rPr>
      </w:pPr>
      <w:bookmarkStart w:id="142" w:name="_Toc12251"/>
      <w:bookmarkStart w:id="143" w:name="_Toc5528"/>
      <w:bookmarkStart w:id="144" w:name="_Toc29310"/>
      <w:r>
        <w:rPr>
          <w:rFonts w:hint="eastAsia" w:ascii="宋体" w:hAnsi="宋体"/>
          <w:color w:val="auto"/>
          <w:highlight w:val="none"/>
        </w:rPr>
        <w:t>第六章授予合同</w:t>
      </w:r>
      <w:bookmarkEnd w:id="142"/>
      <w:bookmarkEnd w:id="143"/>
      <w:bookmarkEnd w:id="144"/>
    </w:p>
    <w:p w14:paraId="061332D7">
      <w:pPr>
        <w:pStyle w:val="5"/>
        <w:widowControl w:val="0"/>
        <w:shd w:val="clear"/>
        <w:overflowPunct w:val="0"/>
        <w:rPr>
          <w:rFonts w:ascii="宋体" w:hAnsi="宋体"/>
          <w:color w:val="auto"/>
          <w:sz w:val="21"/>
          <w:szCs w:val="21"/>
          <w:highlight w:val="none"/>
        </w:rPr>
      </w:pPr>
      <w:bookmarkStart w:id="145" w:name="_Toc27817"/>
      <w:bookmarkStart w:id="146" w:name="_Toc17778"/>
      <w:bookmarkStart w:id="147" w:name="_Toc6696"/>
      <w:bookmarkStart w:id="148" w:name="_Toc508284011"/>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10BC0BBF">
      <w:pPr>
        <w:pStyle w:val="35"/>
        <w:widowControl w:val="0"/>
        <w:numPr>
          <w:ilvl w:val="0"/>
          <w:numId w:val="1"/>
        </w:numPr>
        <w:shd w:val="clear"/>
        <w:tabs>
          <w:tab w:val="left" w:pos="907"/>
        </w:tabs>
        <w:adjustRightInd/>
        <w:snapToGrid/>
        <w:ind w:firstLineChars="0"/>
        <w:jc w:val="both"/>
        <w:rPr>
          <w:rFonts w:ascii="宋体" w:hAnsi="宋体"/>
          <w:vanish/>
          <w:color w:val="auto"/>
          <w:szCs w:val="21"/>
          <w:highlight w:val="none"/>
        </w:rPr>
      </w:pPr>
    </w:p>
    <w:p w14:paraId="196FBEA4">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20346CFA">
      <w:pPr>
        <w:shd w:val="clear"/>
        <w:rPr>
          <w:color w:val="auto"/>
          <w:highlight w:val="none"/>
        </w:rPr>
      </w:pPr>
    </w:p>
    <w:p w14:paraId="6CF312D7">
      <w:pPr>
        <w:pStyle w:val="5"/>
        <w:widowControl w:val="0"/>
        <w:shd w:val="clear"/>
        <w:overflowPunct w:val="0"/>
        <w:rPr>
          <w:rFonts w:ascii="宋体" w:hAnsi="宋体"/>
          <w:color w:val="auto"/>
          <w:sz w:val="21"/>
          <w:szCs w:val="21"/>
          <w:highlight w:val="none"/>
        </w:rPr>
      </w:pPr>
      <w:bookmarkStart w:id="149" w:name="_Toc508284013"/>
      <w:bookmarkStart w:id="150" w:name="_Toc23136"/>
      <w:bookmarkStart w:id="151" w:name="_Toc12440"/>
      <w:bookmarkStart w:id="152" w:name="_Toc29283"/>
      <w:r>
        <w:rPr>
          <w:rFonts w:hint="eastAsia" w:ascii="宋体" w:hAnsi="宋体"/>
          <w:color w:val="auto"/>
          <w:sz w:val="21"/>
          <w:szCs w:val="21"/>
          <w:highlight w:val="none"/>
        </w:rPr>
        <w:t>30.发布采购结果</w:t>
      </w:r>
      <w:bookmarkEnd w:id="149"/>
      <w:bookmarkEnd w:id="150"/>
      <w:bookmarkEnd w:id="151"/>
      <w:bookmarkEnd w:id="152"/>
    </w:p>
    <w:p w14:paraId="3B450964">
      <w:pPr>
        <w:pStyle w:val="35"/>
        <w:widowControl w:val="0"/>
        <w:numPr>
          <w:ilvl w:val="0"/>
          <w:numId w:val="1"/>
        </w:numPr>
        <w:shd w:val="clear"/>
        <w:tabs>
          <w:tab w:val="left" w:pos="907"/>
        </w:tabs>
        <w:adjustRightInd/>
        <w:snapToGrid/>
        <w:ind w:firstLineChars="0"/>
        <w:jc w:val="both"/>
        <w:rPr>
          <w:rFonts w:ascii="宋体" w:hAnsi="宋体"/>
          <w:vanish/>
          <w:color w:val="auto"/>
          <w:szCs w:val="21"/>
          <w:highlight w:val="none"/>
        </w:rPr>
      </w:pPr>
    </w:p>
    <w:p w14:paraId="2C7ED829">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76259F9D">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14593F03">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7E1E434C">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1C0007B0">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781AAB7A">
      <w:pPr>
        <w:widowControl w:val="0"/>
        <w:numPr>
          <w:ilvl w:val="1"/>
          <w:numId w:val="1"/>
        </w:numPr>
        <w:shd w:val="clea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6744839D">
      <w:pPr>
        <w:widowControl w:val="0"/>
        <w:numPr>
          <w:ilvl w:val="2"/>
          <w:numId w:val="1"/>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6D4D7642">
      <w:pPr>
        <w:widowControl w:val="0"/>
        <w:numPr>
          <w:ilvl w:val="2"/>
          <w:numId w:val="1"/>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28F5E00D">
      <w:pPr>
        <w:widowControl w:val="0"/>
        <w:numPr>
          <w:ilvl w:val="0"/>
          <w:numId w:val="5"/>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46883F05">
      <w:pPr>
        <w:widowControl w:val="0"/>
        <w:numPr>
          <w:ilvl w:val="0"/>
          <w:numId w:val="5"/>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5D61AB75">
      <w:pPr>
        <w:widowControl w:val="0"/>
        <w:numPr>
          <w:ilvl w:val="0"/>
          <w:numId w:val="5"/>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3F8DBC69">
      <w:pPr>
        <w:widowControl w:val="0"/>
        <w:numPr>
          <w:ilvl w:val="0"/>
          <w:numId w:val="5"/>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240C47EC">
      <w:pPr>
        <w:widowControl w:val="0"/>
        <w:numPr>
          <w:ilvl w:val="0"/>
          <w:numId w:val="5"/>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7656ED6C">
      <w:pPr>
        <w:widowControl w:val="0"/>
        <w:numPr>
          <w:ilvl w:val="2"/>
          <w:numId w:val="1"/>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64CAA76E">
      <w:pPr>
        <w:widowControl w:val="0"/>
        <w:numPr>
          <w:ilvl w:val="2"/>
          <w:numId w:val="1"/>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166B715C">
      <w:pPr>
        <w:widowControl w:val="0"/>
        <w:numPr>
          <w:ilvl w:val="0"/>
          <w:numId w:val="6"/>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3478BFA7">
      <w:pPr>
        <w:widowControl w:val="0"/>
        <w:numPr>
          <w:ilvl w:val="0"/>
          <w:numId w:val="6"/>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6A563BB4">
      <w:pPr>
        <w:widowControl w:val="0"/>
        <w:numPr>
          <w:ilvl w:val="0"/>
          <w:numId w:val="6"/>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04F8820D">
      <w:pPr>
        <w:widowControl w:val="0"/>
        <w:numPr>
          <w:ilvl w:val="0"/>
          <w:numId w:val="6"/>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2E88DE8C">
      <w:pPr>
        <w:widowControl w:val="0"/>
        <w:numPr>
          <w:ilvl w:val="0"/>
          <w:numId w:val="6"/>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7A29BD52">
      <w:pPr>
        <w:widowControl w:val="0"/>
        <w:numPr>
          <w:ilvl w:val="2"/>
          <w:numId w:val="1"/>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6836229F">
      <w:pPr>
        <w:widowControl w:val="0"/>
        <w:numPr>
          <w:ilvl w:val="2"/>
          <w:numId w:val="1"/>
        </w:numPr>
        <w:shd w:val="clea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091D949C">
      <w:pPr>
        <w:shd w:val="clear"/>
        <w:rPr>
          <w:color w:val="auto"/>
          <w:highlight w:val="none"/>
        </w:rPr>
      </w:pPr>
    </w:p>
    <w:p w14:paraId="5625C2BF">
      <w:pPr>
        <w:pStyle w:val="5"/>
        <w:widowControl w:val="0"/>
        <w:shd w:val="clear"/>
        <w:overflowPunct w:val="0"/>
        <w:rPr>
          <w:rFonts w:ascii="宋体" w:hAnsi="宋体"/>
          <w:color w:val="auto"/>
          <w:sz w:val="21"/>
          <w:szCs w:val="21"/>
          <w:highlight w:val="none"/>
        </w:rPr>
      </w:pPr>
      <w:bookmarkStart w:id="153" w:name="_Toc27279"/>
      <w:bookmarkStart w:id="154" w:name="_Toc22451"/>
      <w:bookmarkStart w:id="155" w:name="_Toc22262"/>
      <w:r>
        <w:rPr>
          <w:rFonts w:hint="eastAsia" w:ascii="宋体" w:hAnsi="宋体"/>
          <w:color w:val="auto"/>
          <w:sz w:val="21"/>
          <w:szCs w:val="21"/>
          <w:highlight w:val="none"/>
        </w:rPr>
        <w:t>31.合同的签订与履行</w:t>
      </w:r>
      <w:bookmarkEnd w:id="153"/>
      <w:bookmarkEnd w:id="154"/>
      <w:bookmarkEnd w:id="155"/>
    </w:p>
    <w:p w14:paraId="39147F0C">
      <w:pPr>
        <w:pStyle w:val="35"/>
        <w:widowControl w:val="0"/>
        <w:numPr>
          <w:ilvl w:val="0"/>
          <w:numId w:val="1"/>
        </w:numPr>
        <w:shd w:val="clear"/>
        <w:tabs>
          <w:tab w:val="left" w:pos="907"/>
        </w:tabs>
        <w:adjustRightInd/>
        <w:snapToGrid/>
        <w:ind w:firstLineChars="0"/>
        <w:jc w:val="both"/>
        <w:rPr>
          <w:rFonts w:ascii="宋体" w:hAnsi="宋体"/>
          <w:vanish/>
          <w:color w:val="auto"/>
          <w:szCs w:val="21"/>
          <w:highlight w:val="none"/>
        </w:rPr>
      </w:pPr>
    </w:p>
    <w:p w14:paraId="3E27FFDE">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4B470C50">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474D464B">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7176FB2E">
      <w:pPr>
        <w:widowControl w:val="0"/>
        <w:numPr>
          <w:ilvl w:val="1"/>
          <w:numId w:val="1"/>
        </w:numPr>
        <w:shd w:val="clea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36BF4C4E">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378AA084">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64BEF18E">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7749B9ED">
      <w:pPr>
        <w:shd w:val="clear"/>
        <w:rPr>
          <w:color w:val="auto"/>
          <w:highlight w:val="none"/>
        </w:rPr>
      </w:pPr>
    </w:p>
    <w:p w14:paraId="233223AA">
      <w:pPr>
        <w:pStyle w:val="5"/>
        <w:widowControl w:val="0"/>
        <w:shd w:val="clear"/>
        <w:overflowPunct w:val="0"/>
        <w:rPr>
          <w:rFonts w:ascii="宋体" w:hAnsi="宋体"/>
          <w:color w:val="auto"/>
          <w:sz w:val="21"/>
          <w:szCs w:val="21"/>
          <w:highlight w:val="none"/>
        </w:rPr>
      </w:pPr>
      <w:bookmarkStart w:id="156" w:name="_Toc2744"/>
      <w:bookmarkStart w:id="157" w:name="_Toc303084277"/>
      <w:bookmarkStart w:id="158" w:name="_Toc7405"/>
      <w:bookmarkStart w:id="159" w:name="_Toc25756"/>
      <w:bookmarkStart w:id="160" w:name="_Toc29009"/>
      <w:bookmarkStart w:id="161" w:name="_Toc38204912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08CF7C88">
      <w:pPr>
        <w:pStyle w:val="35"/>
        <w:widowControl w:val="0"/>
        <w:numPr>
          <w:ilvl w:val="0"/>
          <w:numId w:val="1"/>
        </w:numPr>
        <w:shd w:val="clear"/>
        <w:tabs>
          <w:tab w:val="left" w:pos="907"/>
        </w:tabs>
        <w:adjustRightInd/>
        <w:snapToGrid/>
        <w:ind w:firstLineChars="0"/>
        <w:jc w:val="both"/>
        <w:rPr>
          <w:rFonts w:ascii="宋体" w:hAnsi="宋体"/>
          <w:vanish/>
          <w:color w:val="auto"/>
          <w:szCs w:val="21"/>
          <w:highlight w:val="none"/>
        </w:rPr>
      </w:pPr>
    </w:p>
    <w:p w14:paraId="5227320B">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252D64E9">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7AD2D6A4">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10C0D26F">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4F52361D">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097410EA">
      <w:pPr>
        <w:shd w:val="clear"/>
        <w:rPr>
          <w:color w:val="auto"/>
          <w:highlight w:val="none"/>
        </w:rPr>
      </w:pPr>
    </w:p>
    <w:p w14:paraId="36C5A493">
      <w:pPr>
        <w:pStyle w:val="4"/>
        <w:shd w:val="clear"/>
        <w:spacing w:line="480" w:lineRule="auto"/>
        <w:jc w:val="center"/>
        <w:rPr>
          <w:rFonts w:ascii="宋体" w:hAnsi="宋体"/>
          <w:color w:val="auto"/>
          <w:highlight w:val="none"/>
        </w:rPr>
      </w:pPr>
      <w:bookmarkStart w:id="162" w:name="_Toc20699"/>
      <w:bookmarkStart w:id="163" w:name="_Toc7360"/>
      <w:bookmarkStart w:id="164" w:name="_Toc13694"/>
      <w:r>
        <w:rPr>
          <w:rFonts w:hint="eastAsia" w:ascii="宋体" w:hAnsi="宋体"/>
          <w:color w:val="auto"/>
          <w:highlight w:val="none"/>
        </w:rPr>
        <w:t>第七章询问或质疑</w:t>
      </w:r>
      <w:bookmarkEnd w:id="162"/>
      <w:bookmarkEnd w:id="163"/>
      <w:bookmarkEnd w:id="164"/>
    </w:p>
    <w:p w14:paraId="591BB1B6">
      <w:pPr>
        <w:pStyle w:val="5"/>
        <w:widowControl w:val="0"/>
        <w:shd w:val="clear"/>
        <w:overflowPunct w:val="0"/>
        <w:rPr>
          <w:rFonts w:ascii="宋体" w:hAnsi="宋体"/>
          <w:color w:val="auto"/>
          <w:sz w:val="21"/>
          <w:szCs w:val="21"/>
          <w:highlight w:val="none"/>
        </w:rPr>
      </w:pPr>
      <w:bookmarkStart w:id="165" w:name="_Toc25498"/>
      <w:bookmarkStart w:id="166" w:name="_Toc22900"/>
      <w:bookmarkStart w:id="167" w:name="_Toc17974"/>
      <w:r>
        <w:rPr>
          <w:rFonts w:hint="eastAsia" w:ascii="宋体" w:hAnsi="宋体"/>
          <w:color w:val="auto"/>
          <w:sz w:val="21"/>
          <w:szCs w:val="21"/>
          <w:highlight w:val="none"/>
        </w:rPr>
        <w:t>33.询问</w:t>
      </w:r>
      <w:bookmarkEnd w:id="165"/>
      <w:bookmarkEnd w:id="166"/>
      <w:bookmarkEnd w:id="167"/>
    </w:p>
    <w:p w14:paraId="43642CE2">
      <w:pPr>
        <w:pStyle w:val="35"/>
        <w:widowControl w:val="0"/>
        <w:numPr>
          <w:ilvl w:val="0"/>
          <w:numId w:val="1"/>
        </w:numPr>
        <w:shd w:val="clear"/>
        <w:tabs>
          <w:tab w:val="left" w:pos="907"/>
        </w:tabs>
        <w:adjustRightInd/>
        <w:snapToGrid/>
        <w:ind w:firstLineChars="0"/>
        <w:jc w:val="both"/>
        <w:rPr>
          <w:rFonts w:ascii="宋体" w:hAnsi="宋体"/>
          <w:vanish/>
          <w:color w:val="auto"/>
          <w:szCs w:val="21"/>
          <w:highlight w:val="none"/>
        </w:rPr>
      </w:pPr>
    </w:p>
    <w:p w14:paraId="479372DC">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3E0DC230">
      <w:pPr>
        <w:widowControl w:val="0"/>
        <w:shd w:val="clear"/>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14:paraId="76BC7AE7">
      <w:pPr>
        <w:pStyle w:val="5"/>
        <w:widowControl w:val="0"/>
        <w:shd w:val="clear"/>
        <w:overflowPunct w:val="0"/>
        <w:rPr>
          <w:rFonts w:ascii="宋体" w:hAnsi="宋体"/>
          <w:color w:val="auto"/>
          <w:sz w:val="21"/>
          <w:szCs w:val="21"/>
          <w:highlight w:val="none"/>
        </w:rPr>
      </w:pPr>
      <w:bookmarkStart w:id="168" w:name="_Toc8234"/>
      <w:bookmarkStart w:id="169" w:name="_Toc11264"/>
      <w:bookmarkStart w:id="170" w:name="_Toc2767"/>
      <w:r>
        <w:rPr>
          <w:rFonts w:hint="eastAsia" w:ascii="宋体" w:hAnsi="宋体"/>
          <w:color w:val="auto"/>
          <w:sz w:val="21"/>
          <w:szCs w:val="21"/>
          <w:highlight w:val="none"/>
        </w:rPr>
        <w:t>34.质疑</w:t>
      </w:r>
      <w:bookmarkEnd w:id="168"/>
      <w:bookmarkEnd w:id="169"/>
      <w:bookmarkEnd w:id="170"/>
    </w:p>
    <w:p w14:paraId="2CA47F9F">
      <w:pPr>
        <w:pStyle w:val="35"/>
        <w:widowControl w:val="0"/>
        <w:numPr>
          <w:ilvl w:val="0"/>
          <w:numId w:val="1"/>
        </w:numPr>
        <w:shd w:val="clear"/>
        <w:tabs>
          <w:tab w:val="left" w:pos="907"/>
        </w:tabs>
        <w:adjustRightInd/>
        <w:snapToGrid/>
        <w:ind w:firstLineChars="0"/>
        <w:jc w:val="both"/>
        <w:rPr>
          <w:rFonts w:ascii="宋体" w:hAnsi="宋体"/>
          <w:vanish/>
          <w:color w:val="auto"/>
          <w:szCs w:val="21"/>
          <w:highlight w:val="none"/>
        </w:rPr>
      </w:pPr>
    </w:p>
    <w:p w14:paraId="002E9382">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24624167">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41EB73AD">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55BFA765">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51DDD3AC">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1CEAE7C7">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0125751B">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18F87432">
      <w:pPr>
        <w:numPr>
          <w:ilvl w:val="1"/>
          <w:numId w:val="1"/>
        </w:numPr>
        <w:shd w:val="clea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14:paraId="5DAE530F">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522BDEC7">
      <w:pPr>
        <w:widowControl w:val="0"/>
        <w:numPr>
          <w:ilvl w:val="1"/>
          <w:numId w:val="1"/>
        </w:numPr>
        <w:shd w:val="clea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20C6396C">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7916A930">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006D5475">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54D0ADBC">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7BD82B6A">
      <w:pPr>
        <w:shd w:val="clear"/>
        <w:rPr>
          <w:color w:val="auto"/>
          <w:highlight w:val="none"/>
        </w:rPr>
      </w:pPr>
    </w:p>
    <w:p w14:paraId="76A644E1">
      <w:pPr>
        <w:pStyle w:val="4"/>
        <w:shd w:val="clear"/>
        <w:spacing w:line="480" w:lineRule="auto"/>
        <w:jc w:val="center"/>
        <w:rPr>
          <w:rFonts w:ascii="宋体" w:hAnsi="宋体"/>
          <w:color w:val="auto"/>
          <w:highlight w:val="none"/>
        </w:rPr>
      </w:pPr>
      <w:bookmarkStart w:id="171" w:name="_Toc5690"/>
      <w:bookmarkStart w:id="172" w:name="_Toc24383"/>
      <w:bookmarkStart w:id="173" w:name="_Toc8919"/>
      <w:r>
        <w:rPr>
          <w:rFonts w:hint="eastAsia" w:ascii="宋体" w:hAnsi="宋体"/>
          <w:color w:val="auto"/>
          <w:highlight w:val="none"/>
        </w:rPr>
        <w:t>第八章其他</w:t>
      </w:r>
      <w:bookmarkEnd w:id="171"/>
      <w:bookmarkEnd w:id="172"/>
      <w:bookmarkEnd w:id="173"/>
    </w:p>
    <w:p w14:paraId="48568028">
      <w:pPr>
        <w:pStyle w:val="5"/>
        <w:widowControl w:val="0"/>
        <w:shd w:val="clear"/>
        <w:overflowPunct w:val="0"/>
        <w:rPr>
          <w:rFonts w:ascii="宋体" w:hAnsi="宋体"/>
          <w:color w:val="auto"/>
          <w:sz w:val="21"/>
          <w:szCs w:val="21"/>
          <w:highlight w:val="none"/>
        </w:rPr>
      </w:pPr>
      <w:bookmarkStart w:id="174" w:name="_Toc21187"/>
      <w:bookmarkStart w:id="175" w:name="_Toc10082"/>
      <w:bookmarkStart w:id="176" w:name="_Toc6548"/>
      <w:r>
        <w:rPr>
          <w:rFonts w:hint="eastAsia" w:ascii="宋体" w:hAnsi="宋体"/>
          <w:color w:val="auto"/>
          <w:sz w:val="21"/>
          <w:szCs w:val="21"/>
          <w:highlight w:val="none"/>
        </w:rPr>
        <w:t>35.招标文件的解释权</w:t>
      </w:r>
      <w:bookmarkEnd w:id="174"/>
      <w:bookmarkEnd w:id="175"/>
      <w:bookmarkEnd w:id="176"/>
    </w:p>
    <w:p w14:paraId="0ED6D0EC">
      <w:pPr>
        <w:pStyle w:val="35"/>
        <w:widowControl w:val="0"/>
        <w:numPr>
          <w:ilvl w:val="0"/>
          <w:numId w:val="1"/>
        </w:numPr>
        <w:shd w:val="clear"/>
        <w:tabs>
          <w:tab w:val="left" w:pos="907"/>
        </w:tabs>
        <w:adjustRightInd/>
        <w:snapToGrid/>
        <w:ind w:firstLineChars="0"/>
        <w:jc w:val="both"/>
        <w:rPr>
          <w:rFonts w:ascii="宋体" w:hAnsi="宋体"/>
          <w:vanish/>
          <w:color w:val="auto"/>
          <w:szCs w:val="21"/>
          <w:highlight w:val="none"/>
        </w:rPr>
      </w:pPr>
    </w:p>
    <w:p w14:paraId="05BFD4A7">
      <w:pPr>
        <w:widowControl w:val="0"/>
        <w:numPr>
          <w:ilvl w:val="1"/>
          <w:numId w:val="1"/>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7AE4D991">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26EC028B">
      <w:pPr>
        <w:shd w:val="clear"/>
        <w:rPr>
          <w:color w:val="auto"/>
          <w:highlight w:val="none"/>
        </w:rPr>
      </w:pPr>
    </w:p>
    <w:bookmarkEnd w:id="20"/>
    <w:p w14:paraId="3AB44B10">
      <w:pPr>
        <w:shd w:val="clear"/>
        <w:jc w:val="center"/>
        <w:rPr>
          <w:color w:val="auto"/>
          <w:highlight w:val="none"/>
        </w:rPr>
      </w:pPr>
      <w:r>
        <w:rPr>
          <w:rFonts w:hint="eastAsia"/>
          <w:color w:val="auto"/>
          <w:highlight w:val="none"/>
        </w:rPr>
        <w:br w:type="page"/>
      </w:r>
    </w:p>
    <w:p w14:paraId="236EF501">
      <w:pPr>
        <w:pStyle w:val="3"/>
        <w:shd w:val="clear"/>
        <w:spacing w:before="0" w:after="0" w:line="240" w:lineRule="auto"/>
        <w:rPr>
          <w:color w:val="auto"/>
          <w:sz w:val="28"/>
          <w:szCs w:val="28"/>
          <w:highlight w:val="none"/>
        </w:rPr>
      </w:pPr>
      <w:bookmarkStart w:id="177" w:name="_Toc7011"/>
      <w:bookmarkStart w:id="178" w:name="_Toc382"/>
      <w:bookmarkStart w:id="179" w:name="_Toc31854"/>
      <w:r>
        <w:rPr>
          <w:rFonts w:hint="eastAsia"/>
          <w:color w:val="auto"/>
          <w:sz w:val="28"/>
          <w:szCs w:val="28"/>
          <w:highlight w:val="none"/>
        </w:rPr>
        <w:t>第五部分 用户需求书</w:t>
      </w:r>
      <w:bookmarkEnd w:id="177"/>
      <w:bookmarkEnd w:id="178"/>
      <w:bookmarkEnd w:id="179"/>
    </w:p>
    <w:p w14:paraId="232F38D8">
      <w:pPr>
        <w:shd w:val="clear"/>
        <w:spacing w:line="360" w:lineRule="auto"/>
        <w:outlineLvl w:val="1"/>
        <w:rPr>
          <w:rFonts w:ascii="宋体" w:hAnsi="宋体" w:eastAsia="宋体" w:cs="宋体"/>
          <w:b/>
          <w:color w:val="auto"/>
          <w:sz w:val="28"/>
          <w:highlight w:val="none"/>
        </w:rPr>
      </w:pPr>
      <w:bookmarkStart w:id="180" w:name="_Toc1593"/>
      <w:r>
        <w:rPr>
          <w:rFonts w:hint="eastAsia" w:ascii="宋体" w:hAnsi="宋体" w:eastAsia="宋体" w:cs="宋体"/>
          <w:b/>
          <w:color w:val="auto"/>
          <w:sz w:val="28"/>
          <w:highlight w:val="none"/>
        </w:rPr>
        <w:t>一、项目概况：</w:t>
      </w:r>
    </w:p>
    <w:p w14:paraId="25E661F0">
      <w:pPr>
        <w:pStyle w:val="5"/>
        <w:shd w:val="clear"/>
        <w:bidi w:val="0"/>
        <w:rPr>
          <w:rFonts w:hint="eastAsia"/>
          <w:color w:val="auto"/>
          <w:highlight w:val="none"/>
          <w:lang w:val="en-US" w:eastAsia="zh-CN"/>
        </w:rPr>
      </w:pPr>
      <w:r>
        <w:rPr>
          <w:rFonts w:hint="eastAsia"/>
          <w:color w:val="auto"/>
          <w:highlight w:val="none"/>
          <w:lang w:val="en-US" w:eastAsia="zh-CN"/>
        </w:rPr>
        <w:t>（一）项目基本情况</w:t>
      </w:r>
    </w:p>
    <w:p w14:paraId="280720B0">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本次采购项目为东莞市常平镇司马中学采购食材配送服务，每天承接教职工用餐人数约</w:t>
      </w:r>
      <w:r>
        <w:rPr>
          <w:rFonts w:hint="eastAsia" w:ascii="宋体" w:hAnsi="宋体" w:cs="宋体"/>
          <w:b w:val="0"/>
          <w:bCs w:val="0"/>
          <w:color w:val="auto"/>
          <w:sz w:val="21"/>
          <w:szCs w:val="21"/>
          <w:highlight w:val="none"/>
          <w:lang w:val="en-US" w:eastAsia="zh-CN"/>
        </w:rPr>
        <w:t>150</w:t>
      </w:r>
      <w:r>
        <w:rPr>
          <w:rFonts w:hint="eastAsia" w:ascii="宋体" w:hAnsi="宋体" w:eastAsia="宋体" w:cs="宋体"/>
          <w:b w:val="0"/>
          <w:bCs w:val="0"/>
          <w:color w:val="auto"/>
          <w:sz w:val="21"/>
          <w:szCs w:val="21"/>
          <w:highlight w:val="none"/>
          <w:lang w:val="en-US" w:eastAsia="zh-CN"/>
        </w:rPr>
        <w:t xml:space="preserve">人（以在校实际教职工人数为准）、学生用餐人数约为 </w:t>
      </w:r>
      <w:r>
        <w:rPr>
          <w:rFonts w:hint="eastAsia" w:ascii="宋体" w:hAnsi="宋体" w:cs="宋体"/>
          <w:b w:val="0"/>
          <w:bCs w:val="0"/>
          <w:color w:val="auto"/>
          <w:sz w:val="21"/>
          <w:szCs w:val="21"/>
          <w:highlight w:val="none"/>
          <w:lang w:val="en-US" w:eastAsia="zh-CN"/>
        </w:rPr>
        <w:t>2400</w:t>
      </w:r>
      <w:r>
        <w:rPr>
          <w:rFonts w:hint="eastAsia" w:ascii="宋体" w:hAnsi="宋体" w:eastAsia="宋体" w:cs="宋体"/>
          <w:b w:val="0"/>
          <w:bCs w:val="0"/>
          <w:color w:val="auto"/>
          <w:sz w:val="21"/>
          <w:szCs w:val="21"/>
          <w:highlight w:val="none"/>
          <w:lang w:val="en-US" w:eastAsia="zh-CN"/>
        </w:rPr>
        <w:t>人（以在校实际学生人数为准），通过公开招标方式，分别确定以下两个包组的食堂物资供应商，具体划分如下：采购包1：鲜肉类、家禽类、水产类、冻品类；采购包2：蔬果类、蛋类、调料及干货类、副食类、粮油类、粉面类。结算金额根据实际用餐人数所送货物数量进行结算。</w:t>
      </w:r>
    </w:p>
    <w:p w14:paraId="3A64F546">
      <w:pPr>
        <w:pStyle w:val="5"/>
        <w:shd w:val="clear"/>
        <w:bidi w:val="0"/>
        <w:rPr>
          <w:rFonts w:hint="eastAsia"/>
          <w:color w:val="auto"/>
          <w:highlight w:val="none"/>
          <w:lang w:val="en-US" w:eastAsia="zh-CN"/>
        </w:rPr>
      </w:pPr>
      <w:r>
        <w:rPr>
          <w:rFonts w:hint="eastAsia"/>
          <w:color w:val="auto"/>
          <w:highlight w:val="none"/>
          <w:lang w:val="en-US" w:eastAsia="zh-CN"/>
        </w:rPr>
        <w:t>（二）项目总体要求</w:t>
      </w:r>
    </w:p>
    <w:p w14:paraId="61ED3788">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本项目为在</w:t>
      </w:r>
      <w:r>
        <w:rPr>
          <w:rFonts w:hint="eastAsia" w:ascii="宋体" w:hAnsi="宋体" w:eastAsia="宋体" w:cs="宋体"/>
          <w:b w:val="0"/>
          <w:bCs w:val="0"/>
          <w:color w:val="auto"/>
          <w:sz w:val="21"/>
          <w:szCs w:val="21"/>
          <w:highlight w:val="none"/>
          <w:lang w:eastAsia="zh-CN"/>
        </w:rPr>
        <w:t>东莞市</w:t>
      </w:r>
      <w:r>
        <w:rPr>
          <w:rFonts w:hint="eastAsia" w:ascii="宋体" w:hAnsi="宋体" w:eastAsia="宋体" w:cs="宋体"/>
          <w:b w:val="0"/>
          <w:bCs w:val="0"/>
          <w:color w:val="auto"/>
          <w:sz w:val="21"/>
          <w:szCs w:val="21"/>
          <w:highlight w:val="none"/>
          <w:lang w:val="en-US" w:eastAsia="zh-CN"/>
        </w:rPr>
        <w:t>常平</w:t>
      </w:r>
      <w:r>
        <w:rPr>
          <w:rFonts w:hint="eastAsia" w:ascii="宋体" w:hAnsi="宋体" w:eastAsia="宋体" w:cs="宋体"/>
          <w:b w:val="0"/>
          <w:bCs w:val="0"/>
          <w:color w:val="auto"/>
          <w:sz w:val="21"/>
          <w:szCs w:val="21"/>
          <w:highlight w:val="none"/>
          <w:lang w:eastAsia="zh-CN"/>
        </w:rPr>
        <w:t>镇</w:t>
      </w:r>
      <w:r>
        <w:rPr>
          <w:rFonts w:hint="eastAsia" w:ascii="宋体" w:hAnsi="宋体" w:eastAsia="宋体" w:cs="宋体"/>
          <w:b w:val="0"/>
          <w:bCs w:val="0"/>
          <w:color w:val="auto"/>
          <w:sz w:val="21"/>
          <w:szCs w:val="21"/>
          <w:highlight w:val="none"/>
          <w:lang w:val="en-US" w:eastAsia="zh-CN"/>
        </w:rPr>
        <w:t>司马中学</w:t>
      </w:r>
      <w:r>
        <w:rPr>
          <w:rFonts w:hint="eastAsia" w:ascii="宋体" w:hAnsi="宋体" w:eastAsia="宋体" w:cs="宋体"/>
          <w:b w:val="0"/>
          <w:bCs w:val="0"/>
          <w:color w:val="auto"/>
          <w:sz w:val="21"/>
          <w:szCs w:val="21"/>
          <w:highlight w:val="none"/>
        </w:rPr>
        <w:t>食堂用餐提供早餐、午餐、晚餐</w:t>
      </w:r>
      <w:r>
        <w:rPr>
          <w:rFonts w:hint="eastAsia" w:ascii="宋体" w:hAnsi="宋体" w:cs="宋体"/>
          <w:b w:val="0"/>
          <w:bCs w:val="0"/>
          <w:color w:val="auto"/>
          <w:sz w:val="21"/>
          <w:szCs w:val="21"/>
          <w:highlight w:val="none"/>
          <w:lang w:val="en-US" w:eastAsia="zh-CN"/>
        </w:rPr>
        <w:t>和宵夜等</w:t>
      </w:r>
      <w:r>
        <w:rPr>
          <w:rFonts w:hint="eastAsia" w:ascii="宋体" w:hAnsi="宋体" w:eastAsia="宋体" w:cs="宋体"/>
          <w:b w:val="0"/>
          <w:bCs w:val="0"/>
          <w:color w:val="auto"/>
          <w:sz w:val="21"/>
          <w:szCs w:val="21"/>
          <w:highlight w:val="none"/>
        </w:rPr>
        <w:t>食材。</w:t>
      </w:r>
    </w:p>
    <w:p w14:paraId="14109851">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由两家</w:t>
      </w:r>
      <w:r>
        <w:rPr>
          <w:rFonts w:hint="eastAsia" w:ascii="宋体" w:hAnsi="宋体" w:eastAsia="宋体" w:cs="宋体"/>
          <w:b w:val="0"/>
          <w:bCs w:val="0"/>
          <w:color w:val="auto"/>
          <w:sz w:val="21"/>
          <w:szCs w:val="21"/>
          <w:highlight w:val="none"/>
        </w:rPr>
        <w:t>中标人</w:t>
      </w:r>
      <w:r>
        <w:rPr>
          <w:rFonts w:hint="eastAsia" w:ascii="宋体" w:hAnsi="宋体" w:cs="宋体"/>
          <w:b w:val="0"/>
          <w:bCs w:val="0"/>
          <w:color w:val="auto"/>
          <w:sz w:val="21"/>
          <w:szCs w:val="21"/>
          <w:highlight w:val="none"/>
          <w:lang w:val="en-US" w:eastAsia="zh-CN"/>
        </w:rPr>
        <w:t>分别</w:t>
      </w:r>
      <w:r>
        <w:rPr>
          <w:rFonts w:hint="eastAsia" w:ascii="宋体" w:hAnsi="宋体" w:eastAsia="宋体" w:cs="宋体"/>
          <w:b w:val="0"/>
          <w:bCs w:val="0"/>
          <w:color w:val="auto"/>
          <w:sz w:val="21"/>
          <w:szCs w:val="21"/>
          <w:highlight w:val="none"/>
        </w:rPr>
        <w:t>为采购人供应</w:t>
      </w:r>
      <w:r>
        <w:rPr>
          <w:rFonts w:hint="eastAsia" w:ascii="宋体" w:hAnsi="宋体" w:cs="宋体"/>
          <w:b w:val="0"/>
          <w:bCs w:val="0"/>
          <w:color w:val="auto"/>
          <w:sz w:val="21"/>
          <w:szCs w:val="21"/>
          <w:highlight w:val="none"/>
          <w:lang w:val="en-US" w:eastAsia="zh-CN"/>
        </w:rPr>
        <w:t>相应包号的食材</w:t>
      </w:r>
      <w:r>
        <w:rPr>
          <w:rFonts w:hint="eastAsia" w:ascii="宋体" w:hAnsi="宋体" w:eastAsia="宋体" w:cs="宋体"/>
          <w:b w:val="0"/>
          <w:bCs w:val="0"/>
          <w:color w:val="auto"/>
          <w:sz w:val="21"/>
          <w:szCs w:val="21"/>
          <w:highlight w:val="none"/>
        </w:rPr>
        <w:t>。</w:t>
      </w:r>
    </w:p>
    <w:p w14:paraId="27A7CF01">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中标人按照采购人提出的物品订货清单，不论数量多少，必须保证在规定的时间（以采购人下达供货通知单为依据</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按照采购人通知的时间送货</w:t>
      </w:r>
      <w:r>
        <w:rPr>
          <w:rFonts w:hint="eastAsia" w:ascii="宋体" w:hAnsi="宋体" w:eastAsia="宋体" w:cs="宋体"/>
          <w:b w:val="0"/>
          <w:bCs w:val="0"/>
          <w:color w:val="auto"/>
          <w:sz w:val="21"/>
          <w:szCs w:val="21"/>
          <w:highlight w:val="none"/>
        </w:rPr>
        <w:t>）、地点（食堂）送货。</w:t>
      </w:r>
    </w:p>
    <w:p w14:paraId="4CD7A61B">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中标人对采购人提出的临时性服务要求应按时、按质、按量将货品送到指定地点。</w:t>
      </w:r>
    </w:p>
    <w:p w14:paraId="5ED7FDCE">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所供的货物必须符合《中华人民共和国食品安全法》要求。</w:t>
      </w:r>
    </w:p>
    <w:p w14:paraId="50F6D074">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中标人不得将中标项目转包、分包，否则采购人有权单方终止合同，由此产生的一</w:t>
      </w:r>
    </w:p>
    <w:p w14:paraId="7850AE75">
      <w:pPr>
        <w:keepNext w:val="0"/>
        <w:keepLines w:val="0"/>
        <w:pageBreakBefore w:val="0"/>
        <w:widowControl/>
        <w:shd w:val="clear"/>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切经济损失由中标人自行承担。</w:t>
      </w:r>
    </w:p>
    <w:p w14:paraId="216E4787">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由于采购人工作的特殊性，中标人应做好本单位工作人员的教育工作，遵守采购人</w:t>
      </w:r>
    </w:p>
    <w:p w14:paraId="3926DA16">
      <w:pPr>
        <w:keepNext w:val="0"/>
        <w:keepLines w:val="0"/>
        <w:pageBreakBefore w:val="0"/>
        <w:widowControl/>
        <w:shd w:val="clear"/>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各项规定，并有明确的服务标准和规范的服务细则。</w:t>
      </w:r>
    </w:p>
    <w:p w14:paraId="595ECB9C">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中标人提供的货物必须出示真实有效的检验合格报告。凡国家有明文规定的必须提</w:t>
      </w:r>
    </w:p>
    <w:p w14:paraId="521D7F63">
      <w:pPr>
        <w:keepNext w:val="0"/>
        <w:keepLines w:val="0"/>
        <w:pageBreakBefore w:val="0"/>
        <w:widowControl/>
        <w:shd w:val="clear"/>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供产品检验报告交采购人存档。</w:t>
      </w:r>
    </w:p>
    <w:p w14:paraId="2FC3ADDD">
      <w:pPr>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★中标人须符合国家相关规定，服从采购人和市场监督部门的监督管理及要求，配 合采购人及时更新所提供的符合市场监督部门的有效证明材料，如营业执照、产品合格证、食品经营许可证、备案等。（须提供承诺函并加盖投标人公章）</w:t>
      </w:r>
    </w:p>
    <w:p w14:paraId="12B33127">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rPr>
        <w:t>本项目执行过程中应遵循国家、省、市有关法律、法规、标准、技术规范和规范性文件的最新规定。如同一参数标准在不同的规定中有不一致的地方，按最高标准执行。</w:t>
      </w:r>
    </w:p>
    <w:p w14:paraId="619293DB">
      <w:pPr>
        <w:pStyle w:val="5"/>
        <w:shd w:val="clear"/>
        <w:bidi w:val="0"/>
        <w:rPr>
          <w:rFonts w:hint="eastAsia"/>
          <w:color w:val="auto"/>
          <w:highlight w:val="none"/>
          <w:lang w:val="en-US" w:eastAsia="zh-CN"/>
        </w:rPr>
      </w:pPr>
      <w:r>
        <w:rPr>
          <w:rFonts w:hint="eastAsia"/>
          <w:color w:val="auto"/>
          <w:highlight w:val="none"/>
          <w:lang w:val="en-US" w:eastAsia="zh-CN"/>
        </w:rPr>
        <w:t>（三）食材安全保障措施</w:t>
      </w:r>
    </w:p>
    <w:p w14:paraId="5B1A6DEA">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中标人必须遵守国家规定的《中华人民共和国食品安全法》、《中华人民共和国农产品质量安全法》等法律和行政法规的规定，提供的货品必须符合国家有关卫生标准，保质、保量、保鲜，严禁配送假冒、变质、过期的农副产品。不合格的货品，中标人必须包退包换。</w:t>
      </w:r>
    </w:p>
    <w:p w14:paraId="385D3397">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中标人应充分理解并认真遵循本招标文件的要求，所提供的货物必须满足招标文件要求。中标人应保证供应的货品均为正规生产的新鲜（冰鲜除外）</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检验合格、无毒、无辐射、 无侵权货品，符合国家有关卫生、质量、包装和保质标准，保质期超过15日的，其剩余保质期不得少于标注保质期的75%。</w:t>
      </w:r>
    </w:p>
    <w:p w14:paraId="27D78627">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中标人提供的鲜鱼、肉类保证每日新鲜，提供的猪肉牛肉羊肉均为东莞市定点屠宰厂（场）经检疫和肉品品质检验合格的产品，具有由定点屠宰厂（场）加盖验讫印章并出具 《畜产品检验证明》或《动物检疫合格证明》，所有产品均可追索。中标人提供的蔬菜必须保证每日新鲜，优先选择取得无公害认证产品，符合《中华人民共和国食品安全法》要求并出具有效的《农产品检验报告》。配送的农副产品经相关检验部门检验超标的，要求中标人无条件换货。</w:t>
      </w:r>
    </w:p>
    <w:p w14:paraId="0BE99026">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中标人保证所提供的鲜肉类、生禽、鲜水产、蔬菜种类的多样性和季节性，以保证</w:t>
      </w:r>
    </w:p>
    <w:p w14:paraId="2B20129E">
      <w:pPr>
        <w:keepNext w:val="0"/>
        <w:keepLines w:val="0"/>
        <w:pageBreakBefore w:val="0"/>
        <w:widowControl/>
        <w:shd w:val="clear"/>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新鲜感。</w:t>
      </w:r>
    </w:p>
    <w:p w14:paraId="700DAC5B">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货物有包装的，货物的包装必须完整清洁（无损、无污、无皱），采购人有权拒收</w:t>
      </w:r>
    </w:p>
    <w:p w14:paraId="7F29ABD9">
      <w:pPr>
        <w:keepNext w:val="0"/>
        <w:keepLines w:val="0"/>
        <w:pageBreakBefore w:val="0"/>
        <w:widowControl/>
        <w:shd w:val="clear"/>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包装不整齐、已拆封的商品。</w:t>
      </w:r>
    </w:p>
    <w:p w14:paraId="1A6B504F">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采购人发现商品出现损坏（包括表面损坏），或出现水渍、串味、受潮等导致货物</w:t>
      </w:r>
    </w:p>
    <w:p w14:paraId="7723783F">
      <w:pPr>
        <w:keepNext w:val="0"/>
        <w:keepLines w:val="0"/>
        <w:pageBreakBefore w:val="0"/>
        <w:widowControl/>
        <w:shd w:val="clear"/>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性质改变的，中标人必须无条件退货或更换商品。</w:t>
      </w:r>
    </w:p>
    <w:p w14:paraId="0350F131">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中标人提供过期、变质的、有毒食材的，一经发现，除按采购人要求无条件退货或换货外，还将受到如下处罚：</w:t>
      </w:r>
    </w:p>
    <w:p w14:paraId="547EBC0B">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（1）中标人提供过期、变质食材的，采购人有权要求无条件退货或换货，中标人将被</w:t>
      </w:r>
    </w:p>
    <w:p w14:paraId="55075895">
      <w:pPr>
        <w:keepNext w:val="0"/>
        <w:keepLines w:val="0"/>
        <w:pageBreakBefore w:val="0"/>
        <w:widowControl/>
        <w:shd w:val="clear"/>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处以当次供应食材货款 2 倍的罚款，罚款由供货结算款内扣除。如提供过期、变质食材的累计达三次，采购人有权单方终止合同，并要求中标人进行任何赔偿。</w:t>
      </w:r>
    </w:p>
    <w:p w14:paraId="13CAD9D9">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中标人若提供有毒食材，造成食材安全事故的，经有关单位鉴定原因后，如确实为中标人提供的食材问题，中标人须负担全数的医药费、精神损害等费用，采购人有权终止合同，中标人同时承担相应的民事及刑事法律责任及放弃先诉抗辩权，并立即终止合同。</w:t>
      </w:r>
    </w:p>
    <w:p w14:paraId="69DAB385">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中标人应做好货物的安全管理工作。</w:t>
      </w:r>
      <w:r>
        <w:rPr>
          <w:rFonts w:hint="eastAsia" w:ascii="宋体" w:hAnsi="宋体" w:eastAsia="宋体" w:cs="宋体"/>
          <w:color w:val="auto"/>
          <w:spacing w:val="-10"/>
          <w:sz w:val="21"/>
          <w:szCs w:val="21"/>
          <w:highlight w:val="none"/>
          <w:lang w:val="en-US" w:eastAsia="zh-CN"/>
        </w:rPr>
        <w:t>并积极</w:t>
      </w:r>
      <w:r>
        <w:rPr>
          <w:rFonts w:hint="eastAsia" w:ascii="宋体" w:hAnsi="宋体" w:eastAsia="宋体" w:cs="宋体"/>
          <w:color w:val="auto"/>
          <w:spacing w:val="-10"/>
          <w:sz w:val="21"/>
          <w:szCs w:val="21"/>
          <w:highlight w:val="none"/>
        </w:rPr>
        <w:t>配合</w:t>
      </w:r>
      <w:r>
        <w:rPr>
          <w:rFonts w:hint="eastAsia" w:ascii="宋体" w:hAnsi="宋体" w:eastAsia="宋体" w:cs="宋体"/>
          <w:color w:val="auto"/>
          <w:spacing w:val="-10"/>
          <w:sz w:val="21"/>
          <w:szCs w:val="21"/>
          <w:highlight w:val="none"/>
          <w:lang w:val="en-US" w:eastAsia="zh-CN"/>
        </w:rPr>
        <w:t>采购人</w:t>
      </w:r>
      <w:r>
        <w:rPr>
          <w:rFonts w:hint="eastAsia" w:ascii="宋体" w:hAnsi="宋体" w:eastAsia="宋体" w:cs="宋体"/>
          <w:color w:val="auto"/>
          <w:spacing w:val="-10"/>
          <w:sz w:val="21"/>
          <w:szCs w:val="21"/>
          <w:highlight w:val="none"/>
          <w:lang w:eastAsia="zh-CN"/>
        </w:rPr>
        <w:t>、</w:t>
      </w:r>
      <w:r>
        <w:rPr>
          <w:rFonts w:hint="eastAsia" w:ascii="宋体" w:hAnsi="宋体" w:eastAsia="宋体" w:cs="宋体"/>
          <w:color w:val="auto"/>
          <w:spacing w:val="-10"/>
          <w:sz w:val="21"/>
          <w:szCs w:val="21"/>
          <w:highlight w:val="none"/>
          <w:lang w:val="en-US" w:eastAsia="zh-CN"/>
        </w:rPr>
        <w:t>市场监管部门、</w:t>
      </w:r>
      <w:r>
        <w:rPr>
          <w:rFonts w:hint="eastAsia" w:ascii="宋体" w:hAnsi="宋体" w:eastAsia="宋体" w:cs="宋体"/>
          <w:color w:val="auto"/>
          <w:spacing w:val="-10"/>
          <w:sz w:val="21"/>
          <w:szCs w:val="21"/>
          <w:highlight w:val="none"/>
        </w:rPr>
        <w:t>审计</w:t>
      </w:r>
      <w:r>
        <w:rPr>
          <w:rFonts w:hint="eastAsia" w:ascii="宋体" w:hAnsi="宋体" w:eastAsia="宋体" w:cs="宋体"/>
          <w:color w:val="auto"/>
          <w:spacing w:val="-10"/>
          <w:sz w:val="21"/>
          <w:szCs w:val="21"/>
          <w:highlight w:val="none"/>
          <w:lang w:val="en-US" w:eastAsia="zh-CN"/>
        </w:rPr>
        <w:t>部门的</w:t>
      </w:r>
      <w:r>
        <w:rPr>
          <w:rFonts w:hint="eastAsia" w:ascii="宋体" w:hAnsi="宋体" w:eastAsia="宋体" w:cs="宋体"/>
          <w:color w:val="auto"/>
          <w:spacing w:val="-10"/>
          <w:sz w:val="21"/>
          <w:szCs w:val="21"/>
          <w:highlight w:val="none"/>
        </w:rPr>
        <w:t>检查。</w:t>
      </w:r>
    </w:p>
    <w:p w14:paraId="6C863C54">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食材配送管理必须建立出入库台账，做到票据溯源，且每</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个月须按照采购人要求整理报表，食材需提供第三方的检测报告。</w:t>
      </w:r>
    </w:p>
    <w:p w14:paraId="0F18BE97">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0.</w:t>
      </w:r>
      <w:r>
        <w:rPr>
          <w:rFonts w:hint="eastAsia" w:ascii="宋体" w:hAnsi="宋体" w:eastAsia="宋体" w:cs="宋体"/>
          <w:b/>
          <w:bCs/>
          <w:color w:val="auto"/>
          <w:sz w:val="21"/>
          <w:szCs w:val="21"/>
          <w:highlight w:val="none"/>
        </w:rPr>
        <w:t>禁止</w:t>
      </w:r>
      <w:r>
        <w:rPr>
          <w:rFonts w:hint="eastAsia" w:ascii="宋体" w:hAnsi="宋体" w:eastAsia="宋体" w:cs="宋体"/>
          <w:b/>
          <w:bCs/>
          <w:color w:val="auto"/>
          <w:sz w:val="21"/>
          <w:szCs w:val="21"/>
          <w:highlight w:val="none"/>
          <w:lang w:val="en-US" w:eastAsia="zh-CN"/>
        </w:rPr>
        <w:t>提供</w:t>
      </w:r>
      <w:r>
        <w:rPr>
          <w:rFonts w:hint="eastAsia" w:ascii="宋体" w:hAnsi="宋体" w:eastAsia="宋体" w:cs="宋体"/>
          <w:b/>
          <w:bCs/>
          <w:color w:val="auto"/>
          <w:sz w:val="21"/>
          <w:szCs w:val="21"/>
          <w:highlight w:val="none"/>
        </w:rPr>
        <w:t>转基因食材、过期</w:t>
      </w:r>
      <w:r>
        <w:rPr>
          <w:rFonts w:hint="eastAsia" w:ascii="宋体" w:hAnsi="宋体" w:eastAsia="宋体" w:cs="宋体"/>
          <w:b/>
          <w:bCs/>
          <w:color w:val="auto"/>
          <w:sz w:val="21"/>
          <w:szCs w:val="21"/>
          <w:highlight w:val="none"/>
          <w:lang w:val="en-US" w:eastAsia="zh-CN"/>
        </w:rPr>
        <w:t>/临期</w:t>
      </w:r>
      <w:r>
        <w:rPr>
          <w:rFonts w:hint="eastAsia" w:ascii="宋体" w:hAnsi="宋体" w:eastAsia="宋体" w:cs="宋体"/>
          <w:b/>
          <w:bCs/>
          <w:color w:val="auto"/>
          <w:sz w:val="21"/>
          <w:szCs w:val="21"/>
          <w:highlight w:val="none"/>
        </w:rPr>
        <w:t>食品或添加剂超标的调味品。</w:t>
      </w:r>
    </w:p>
    <w:p w14:paraId="1B8635F9">
      <w:pPr>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 xml:space="preserve">★因本项目为食材配送服务，可能因疏忽或过失致使食物中毒或其他食源性疾患， 或因食物中掺有异物，造成人身损害或财产损失，为保证采购人权益，中标人须以承诺函  形式承诺：中标后为采购人提供一份以采购人为受益人、额度不低于人民币 </w:t>
      </w:r>
      <w:r>
        <w:rPr>
          <w:rFonts w:hint="eastAsia" w:ascii="宋体" w:hAnsi="宋体" w:eastAsia="宋体" w:cs="宋体"/>
          <w:b/>
          <w:bCs/>
          <w:color w:val="auto"/>
          <w:sz w:val="21"/>
          <w:szCs w:val="21"/>
          <w:highlight w:val="none"/>
          <w:lang w:val="en-US" w:eastAsia="zh-CN"/>
        </w:rPr>
        <w:t>2亿</w:t>
      </w:r>
      <w:r>
        <w:rPr>
          <w:rFonts w:hint="eastAsia" w:ascii="宋体" w:hAnsi="宋体" w:eastAsia="宋体" w:cs="宋体"/>
          <w:b/>
          <w:bCs/>
          <w:color w:val="auto"/>
          <w:sz w:val="21"/>
          <w:szCs w:val="21"/>
          <w:highlight w:val="none"/>
        </w:rPr>
        <w:t xml:space="preserve">元（含 </w:t>
      </w:r>
      <w:r>
        <w:rPr>
          <w:rFonts w:hint="eastAsia" w:ascii="宋体" w:hAnsi="宋体" w:eastAsia="宋体" w:cs="宋体"/>
          <w:b/>
          <w:bCs/>
          <w:color w:val="auto"/>
          <w:sz w:val="21"/>
          <w:szCs w:val="21"/>
          <w:highlight w:val="none"/>
          <w:lang w:val="en-US" w:eastAsia="zh-CN"/>
        </w:rPr>
        <w:t>2亿</w:t>
      </w:r>
      <w:r>
        <w:rPr>
          <w:rFonts w:hint="eastAsia" w:ascii="宋体" w:hAnsi="宋体" w:eastAsia="宋体" w:cs="宋体"/>
          <w:b/>
          <w:bCs/>
          <w:color w:val="auto"/>
          <w:sz w:val="21"/>
          <w:szCs w:val="21"/>
          <w:highlight w:val="none"/>
        </w:rPr>
        <w:t>元）的保险（食品安全责任险或公众责任保险），保险承保期限不短于合同有效期。保单需给采购人保存。（须提供承诺函并加盖投标人公章）</w:t>
      </w:r>
    </w:p>
    <w:p w14:paraId="2DADB6AE">
      <w:pPr>
        <w:pStyle w:val="5"/>
        <w:shd w:val="clear"/>
        <w:bidi w:val="0"/>
        <w:rPr>
          <w:rFonts w:hint="eastAsia"/>
          <w:color w:val="auto"/>
          <w:highlight w:val="none"/>
          <w:lang w:val="en-US" w:eastAsia="zh-CN"/>
        </w:rPr>
      </w:pPr>
      <w:r>
        <w:rPr>
          <w:rFonts w:hint="eastAsia"/>
          <w:color w:val="auto"/>
          <w:highlight w:val="none"/>
          <w:lang w:val="en-US" w:eastAsia="zh-CN"/>
        </w:rPr>
        <w:t>（四）食材服务需求</w:t>
      </w:r>
    </w:p>
    <w:p w14:paraId="29587991">
      <w:pPr>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rPr>
        <w:t>）数量要求：</w:t>
      </w:r>
    </w:p>
    <w:p w14:paraId="65872806">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应保证千克、克的准确性， 以采购人的验收数量为准，中标人每次随货携带一式两联的送货清单，食材经双方验收后须签字确认，双方各持一份，全部作为收货与货款结算的凭证。</w:t>
      </w:r>
    </w:p>
    <w:p w14:paraId="5ACDD1F5">
      <w:pPr>
        <w:keepNext w:val="0"/>
        <w:keepLines w:val="0"/>
        <w:pageBreakBefore w:val="0"/>
        <w:widowControl w:val="0"/>
        <w:numPr>
          <w:ilvl w:val="0"/>
          <w:numId w:val="0"/>
        </w:numPr>
        <w:shd w:val="clear"/>
        <w:kinsoku/>
        <w:wordWrap/>
        <w:overflowPunct/>
        <w:topLinePunct w:val="0"/>
        <w:autoSpaceDE/>
        <w:autoSpaceDN/>
        <w:bidi w:val="0"/>
        <w:adjustRightInd w:val="0"/>
        <w:snapToGrid w:val="0"/>
        <w:spacing w:after="0" w:line="36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二</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配送要求</w:t>
      </w:r>
    </w:p>
    <w:p w14:paraId="105010A7">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b w:val="0"/>
          <w:bCs w:val="0"/>
          <w:color w:val="auto"/>
          <w:sz w:val="21"/>
          <w:szCs w:val="21"/>
          <w:highlight w:val="none"/>
        </w:rPr>
        <w:t>中标人须对采购人购买的食材进行分类并用器具装载，不得混装，运输过程应采取相应的保鲜防护措施。</w:t>
      </w:r>
      <w:r>
        <w:rPr>
          <w:rFonts w:hint="eastAsia" w:ascii="宋体" w:hAnsi="宋体" w:eastAsia="宋体" w:cs="宋体"/>
          <w:color w:val="auto"/>
          <w:sz w:val="21"/>
          <w:szCs w:val="21"/>
          <w:highlight w:val="none"/>
        </w:rPr>
        <w:t>必须采用符合卫生要求的运载工具，要保持清洁和定期消毒。运输车厢的内仓应为抗腐蚀、防潮，防虫、防鼠的设计，车厢内无不良气味、异味。送货车辆应保持清洁，堆放科学合理，避免造成食材的交叉污染；如对温度有要求的应确定食材的温度，记录送货车辆温度，并记录存档。</w:t>
      </w:r>
    </w:p>
    <w:p w14:paraId="2B6476E7">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2.容器要求清洁、干燥、牢固、透气，无污染、无异味、无霉变现象。</w:t>
      </w:r>
    </w:p>
    <w:p w14:paraId="057A65D0">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鲜肉类、冷冻类、</w:t>
      </w:r>
      <w:r>
        <w:rPr>
          <w:rFonts w:hint="eastAsia" w:ascii="宋体" w:hAnsi="宋体" w:eastAsia="宋体" w:cs="宋体"/>
          <w:color w:val="auto"/>
          <w:sz w:val="21"/>
          <w:szCs w:val="21"/>
          <w:highlight w:val="none"/>
        </w:rPr>
        <w:t>冰鲜类水产品必须用专用冷藏、冷冻载具运输，保证运输过程冷链不中断，到达目的地时外包装箱干爽，无软化现象。</w:t>
      </w:r>
    </w:p>
    <w:p w14:paraId="6DF29DAC">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4.蔬菜应小心轻卸，严防机械损伤。</w:t>
      </w:r>
    </w:p>
    <w:p w14:paraId="72A7881A">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5.中标人要免费提供运送及</w:t>
      </w:r>
      <w:r>
        <w:rPr>
          <w:rFonts w:hint="eastAsia" w:ascii="宋体" w:hAnsi="宋体" w:cs="宋体"/>
          <w:color w:val="auto"/>
          <w:sz w:val="21"/>
          <w:szCs w:val="21"/>
          <w:highlight w:val="none"/>
          <w:lang w:eastAsia="zh-CN"/>
        </w:rPr>
        <w:t>卸货入库</w:t>
      </w:r>
      <w:r>
        <w:rPr>
          <w:rFonts w:hint="eastAsia" w:ascii="宋体" w:hAnsi="宋体" w:eastAsia="宋体" w:cs="宋体"/>
          <w:color w:val="auto"/>
          <w:sz w:val="21"/>
          <w:szCs w:val="21"/>
          <w:highlight w:val="none"/>
        </w:rPr>
        <w:t>服务。</w:t>
      </w:r>
    </w:p>
    <w:p w14:paraId="63E65715">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必须按照采购人要求的货品规格、数量、质量配送，如数量不足的，中标人应立即补足；如有10%以下（含10%）货品规格、质量不符合要求的，中标人应对不符合要求的货品进行更换；如有10%以上的货品规格、质量不符合要求的，由采购人选择整批退货或要求中标人按时整批更换。</w:t>
      </w:r>
    </w:p>
    <w:p w14:paraId="0FBD2A5D">
      <w:pPr>
        <w:keepNext w:val="0"/>
        <w:keepLines w:val="0"/>
        <w:pageBreakBefore w:val="0"/>
        <w:widowControl w:val="0"/>
        <w:numPr>
          <w:ilvl w:val="0"/>
          <w:numId w:val="0"/>
        </w:numPr>
        <w:shd w:val="clear"/>
        <w:kinsoku/>
        <w:wordWrap/>
        <w:overflowPunct/>
        <w:topLinePunct w:val="0"/>
        <w:autoSpaceDE/>
        <w:autoSpaceDN/>
        <w:bidi w:val="0"/>
        <w:adjustRightInd w:val="0"/>
        <w:snapToGrid w:val="0"/>
        <w:spacing w:after="0" w:line="36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三</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中标人需设立自有检测室或有固定的送检机构，每种蔬菜每天都要随货提供农药残留的检测报告，食品检测人员或检测机构资料交采购人存档备查。</w:t>
      </w:r>
    </w:p>
    <w:p w14:paraId="758C074C">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1.对食品安全质量问题的处理：</w:t>
      </w:r>
    </w:p>
    <w:p w14:paraId="21112DB7">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(1)对危及人体健康的食品质量问题（如农药残留超标、腐烂变质等）采取零容忍措施，一经发现，当日所送同批次货品全部退货。</w:t>
      </w:r>
    </w:p>
    <w:p w14:paraId="3B44434F">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(2)若验收时未发现问题，而在加工食用前发现部分货品质量有问题，采购人立即通知中标人，将问题货品作退换货处理。</w:t>
      </w:r>
    </w:p>
    <w:p w14:paraId="56F30794">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(3)中标人所供应货品出现质量问题造成食品安全事故，经查实后属中标人责任的，中标人应承担全部责任和经济损失。</w:t>
      </w:r>
    </w:p>
    <w:p w14:paraId="321CC1BC">
      <w:pPr>
        <w:pStyle w:val="5"/>
        <w:shd w:val="clear"/>
        <w:bidi w:val="0"/>
        <w:rPr>
          <w:rFonts w:hint="eastAsia"/>
          <w:color w:val="auto"/>
          <w:highlight w:val="none"/>
          <w:lang w:val="en-US" w:eastAsia="zh-CN"/>
        </w:rPr>
      </w:pPr>
      <w:r>
        <w:rPr>
          <w:rFonts w:hint="eastAsia"/>
          <w:color w:val="auto"/>
          <w:highlight w:val="none"/>
          <w:lang w:val="en-US" w:eastAsia="zh-CN"/>
        </w:rPr>
        <w:t>（五）订货、交货及运输</w:t>
      </w:r>
    </w:p>
    <w:p w14:paraId="2B826462">
      <w:pPr>
        <w:pageBreakBefore w:val="0"/>
        <w:widowControl w:val="0"/>
        <w:shd w:val="clear"/>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应当根据采购人实际情况，按照与采购人的约定，在规定的时间内将预定的货物如数送到指定地点。除发生客观不可抗力的情况外，中标人不得推迟送货。如确需延迟送货的，中标人应在得知情况的同时告知采购人并征得采购人同意，由于中标人延迟造成采购人利益受损的，采购人有权要求中标人赔偿</w:t>
      </w:r>
      <w:r>
        <w:rPr>
          <w:rFonts w:hint="eastAsia" w:ascii="宋体" w:hAnsi="宋体" w:eastAsia="宋体" w:cs="宋体"/>
          <w:bCs/>
          <w:color w:val="auto"/>
          <w:sz w:val="21"/>
          <w:szCs w:val="21"/>
          <w:highlight w:val="none"/>
          <w:lang w:eastAsia="zh-CN"/>
        </w:rPr>
        <w:t>，</w:t>
      </w:r>
      <w:r>
        <w:rPr>
          <w:rFonts w:hint="eastAsia" w:ascii="宋体" w:hAnsi="宋体" w:cs="宋体"/>
          <w:b w:val="0"/>
          <w:bCs w:val="0"/>
          <w:color w:val="auto"/>
          <w:sz w:val="21"/>
          <w:szCs w:val="21"/>
          <w:highlight w:val="none"/>
          <w:lang w:val="en-US" w:eastAsia="zh-CN"/>
        </w:rPr>
        <w:t>合同期内</w:t>
      </w:r>
      <w:r>
        <w:rPr>
          <w:rFonts w:hint="eastAsia" w:ascii="宋体" w:hAnsi="宋体" w:eastAsia="宋体" w:cs="宋体"/>
          <w:b w:val="0"/>
          <w:bCs w:val="0"/>
          <w:color w:val="auto"/>
          <w:sz w:val="21"/>
          <w:szCs w:val="21"/>
          <w:highlight w:val="none"/>
        </w:rPr>
        <w:t>出现3次或以上上述情况的，</w:t>
      </w:r>
      <w:r>
        <w:rPr>
          <w:rFonts w:hint="eastAsia" w:ascii="宋体" w:hAnsi="宋体" w:cs="宋体"/>
          <w:b w:val="0"/>
          <w:bCs w:val="0"/>
          <w:color w:val="auto"/>
          <w:sz w:val="21"/>
          <w:szCs w:val="21"/>
          <w:highlight w:val="none"/>
          <w:lang w:val="en-US" w:eastAsia="zh-CN"/>
        </w:rPr>
        <w:t>从第4次开始，每次</w:t>
      </w:r>
      <w:r>
        <w:rPr>
          <w:rFonts w:hint="eastAsia" w:ascii="宋体" w:hAnsi="宋体" w:eastAsia="宋体" w:cs="宋体"/>
          <w:b w:val="0"/>
          <w:bCs w:val="0"/>
          <w:color w:val="auto"/>
          <w:sz w:val="21"/>
          <w:szCs w:val="21"/>
          <w:highlight w:val="none"/>
        </w:rPr>
        <w:t>处以中标人人民币</w:t>
      </w:r>
      <w:r>
        <w:rPr>
          <w:rFonts w:hint="eastAsia" w:ascii="宋体" w:hAnsi="宋体" w:cs="宋体"/>
          <w:b w:val="0"/>
          <w:bCs w:val="0"/>
          <w:color w:val="auto"/>
          <w:sz w:val="21"/>
          <w:szCs w:val="21"/>
          <w:highlight w:val="none"/>
          <w:lang w:eastAsia="zh-CN"/>
        </w:rPr>
        <w:t>2500元</w:t>
      </w:r>
      <w:r>
        <w:rPr>
          <w:rFonts w:hint="eastAsia" w:ascii="宋体" w:hAnsi="宋体" w:eastAsia="宋体" w:cs="宋体"/>
          <w:b w:val="0"/>
          <w:bCs w:val="0"/>
          <w:color w:val="auto"/>
          <w:sz w:val="21"/>
          <w:szCs w:val="21"/>
          <w:highlight w:val="none"/>
        </w:rPr>
        <w:t>罚款，罚款在供货结算款内扣除。</w:t>
      </w:r>
    </w:p>
    <w:p w14:paraId="77A8B110">
      <w:pPr>
        <w:pageBreakBefore w:val="0"/>
        <w:widowControl w:val="0"/>
        <w:shd w:val="clear"/>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订货。</w:t>
      </w:r>
      <w:r>
        <w:rPr>
          <w:rFonts w:hint="eastAsia" w:ascii="宋体" w:hAnsi="宋体" w:eastAsia="宋体" w:cs="宋体"/>
          <w:b w:val="0"/>
          <w:bCs w:val="0"/>
          <w:color w:val="auto"/>
          <w:sz w:val="21"/>
          <w:szCs w:val="21"/>
          <w:highlight w:val="none"/>
        </w:rPr>
        <w:t>采购人向中标人订购</w:t>
      </w:r>
      <w:r>
        <w:rPr>
          <w:rFonts w:hint="eastAsia" w:ascii="宋体" w:hAnsi="宋体" w:eastAsia="宋体" w:cs="宋体"/>
          <w:b w:val="0"/>
          <w:bCs w:val="0"/>
          <w:color w:val="auto"/>
          <w:sz w:val="21"/>
          <w:szCs w:val="21"/>
          <w:highlight w:val="none"/>
          <w:lang w:val="en-US" w:eastAsia="zh-CN"/>
        </w:rPr>
        <w:t>的食材</w:t>
      </w:r>
      <w:r>
        <w:rPr>
          <w:rFonts w:hint="eastAsia" w:ascii="宋体" w:hAnsi="宋体" w:eastAsia="宋体" w:cs="宋体"/>
          <w:b w:val="0"/>
          <w:bCs w:val="0"/>
          <w:color w:val="auto"/>
          <w:sz w:val="21"/>
          <w:szCs w:val="21"/>
          <w:highlight w:val="none"/>
        </w:rPr>
        <w:t>，以电话、传真或电子邮件或微信等方式下单，订单内容应说明清楚品名、数量、规格、质量和餐次等要求。</w:t>
      </w:r>
    </w:p>
    <w:p w14:paraId="1350880F">
      <w:pPr>
        <w:pageBreakBefore w:val="0"/>
        <w:numPr>
          <w:ilvl w:val="0"/>
          <w:numId w:val="0"/>
        </w:numPr>
        <w:shd w:val="clear"/>
        <w:kinsoku/>
        <w:wordWrap/>
        <w:overflowPunct/>
        <w:topLinePunct w:val="0"/>
        <w:autoSpaceDE/>
        <w:autoSpaceDN/>
        <w:bidi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配送时效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中标人应当根据采购人实际情况，按照与采购人的约定，在规定的时间内将预定的货物如数送到指定地点。</w:t>
      </w:r>
      <w:r>
        <w:rPr>
          <w:rFonts w:hint="eastAsia" w:ascii="宋体" w:hAnsi="宋体" w:eastAsia="宋体" w:cs="宋体"/>
          <w:bCs/>
          <w:color w:val="auto"/>
          <w:sz w:val="21"/>
          <w:szCs w:val="21"/>
          <w:highlight w:val="none"/>
        </w:rPr>
        <w:t>具体配送时间以采购人实际要求为准。</w:t>
      </w:r>
      <w:r>
        <w:rPr>
          <w:rFonts w:hint="eastAsia" w:ascii="宋体" w:hAnsi="宋体" w:eastAsia="宋体" w:cs="宋体"/>
          <w:b w:val="0"/>
          <w:bCs w:val="0"/>
          <w:color w:val="auto"/>
          <w:sz w:val="21"/>
          <w:szCs w:val="21"/>
          <w:highlight w:val="none"/>
          <w:lang w:val="en-US" w:eastAsia="zh-CN"/>
        </w:rPr>
        <w:t>送达时间误差不超过30分钟。</w:t>
      </w:r>
      <w:r>
        <w:rPr>
          <w:rFonts w:hint="eastAsia" w:ascii="宋体" w:hAnsi="宋体" w:eastAsia="宋体" w:cs="宋体"/>
          <w:b/>
          <w:bCs/>
          <w:color w:val="auto"/>
          <w:sz w:val="21"/>
          <w:szCs w:val="21"/>
          <w:highlight w:val="none"/>
        </w:rPr>
        <w:t>对于临时性采购订单</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节假日或学校活动期间需提前协调</w:t>
      </w:r>
      <w:r>
        <w:rPr>
          <w:rFonts w:hint="eastAsia" w:ascii="宋体" w:hAnsi="宋体" w:eastAsia="宋体" w:cs="宋体"/>
          <w:b/>
          <w:bCs/>
          <w:color w:val="auto"/>
          <w:sz w:val="21"/>
          <w:szCs w:val="21"/>
          <w:highlight w:val="none"/>
          <w:lang w:val="en-US" w:eastAsia="zh-CN"/>
        </w:rPr>
        <w:t>增</w:t>
      </w:r>
      <w:r>
        <w:rPr>
          <w:rFonts w:hint="eastAsia" w:ascii="宋体" w:hAnsi="宋体" w:eastAsia="宋体" w:cs="宋体"/>
          <w:b/>
          <w:bCs/>
          <w:color w:val="auto"/>
          <w:sz w:val="21"/>
          <w:szCs w:val="21"/>
          <w:highlight w:val="none"/>
        </w:rPr>
        <w:t>加</w:t>
      </w:r>
      <w:r>
        <w:rPr>
          <w:rFonts w:hint="eastAsia" w:ascii="宋体" w:hAnsi="宋体" w:eastAsia="宋体" w:cs="宋体"/>
          <w:b/>
          <w:bCs/>
          <w:color w:val="auto"/>
          <w:sz w:val="21"/>
          <w:szCs w:val="21"/>
          <w:highlight w:val="none"/>
          <w:lang w:val="en-US" w:eastAsia="zh-CN"/>
        </w:rPr>
        <w:t>或减少</w:t>
      </w:r>
      <w:r>
        <w:rPr>
          <w:rFonts w:hint="eastAsia" w:ascii="宋体" w:hAnsi="宋体" w:eastAsia="宋体" w:cs="宋体"/>
          <w:b/>
          <w:bCs/>
          <w:color w:val="auto"/>
          <w:sz w:val="21"/>
          <w:szCs w:val="21"/>
          <w:highlight w:val="none"/>
        </w:rPr>
        <w:t>配</w:t>
      </w:r>
      <w:r>
        <w:rPr>
          <w:rFonts w:hint="eastAsia" w:ascii="宋体" w:hAnsi="宋体" w:eastAsia="宋体" w:cs="宋体"/>
          <w:b/>
          <w:bCs/>
          <w:color w:val="auto"/>
          <w:sz w:val="21"/>
          <w:szCs w:val="21"/>
          <w:highlight w:val="none"/>
          <w:lang w:val="en-US" w:eastAsia="zh-CN"/>
        </w:rPr>
        <w:t>送</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 xml:space="preserve"> </w:t>
      </w:r>
    </w:p>
    <w:p w14:paraId="0268D660">
      <w:pPr>
        <w:keepNext w:val="0"/>
        <w:keepLines w:val="0"/>
        <w:pageBreakBefore w:val="0"/>
        <w:widowControl/>
        <w:numPr>
          <w:ilvl w:val="0"/>
          <w:numId w:val="0"/>
        </w:numPr>
        <w:shd w:val="clear"/>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b w:val="0"/>
          <w:bCs w:val="0"/>
          <w:color w:val="auto"/>
          <w:sz w:val="21"/>
          <w:szCs w:val="21"/>
          <w:highlight w:val="none"/>
        </w:rPr>
      </w:pPr>
      <w:r>
        <w:rPr>
          <w:rFonts w:hint="default" w:ascii="宋体" w:hAnsi="宋体" w:eastAsia="宋体" w:cs="宋体"/>
          <w:b w:val="0"/>
          <w:bCs w:val="0"/>
          <w:color w:val="auto"/>
          <w:kern w:val="2"/>
          <w:sz w:val="21"/>
          <w:szCs w:val="21"/>
          <w:highlight w:val="none"/>
          <w:lang w:val="en-US" w:eastAsia="zh-CN" w:bidi="ar-SA"/>
        </w:rPr>
        <w:t>4．</w:t>
      </w:r>
      <w:r>
        <w:rPr>
          <w:rFonts w:hint="eastAsia" w:ascii="宋体" w:hAnsi="宋体" w:eastAsia="宋体" w:cs="宋体"/>
          <w:b w:val="0"/>
          <w:bCs w:val="0"/>
          <w:color w:val="auto"/>
          <w:sz w:val="21"/>
          <w:szCs w:val="21"/>
          <w:highlight w:val="none"/>
        </w:rPr>
        <w:t>中标人在发货前，应对货品的外观质量、规格、数量等进行准确和全面的检验。</w:t>
      </w:r>
    </w:p>
    <w:p w14:paraId="7EB0B9F5">
      <w:pPr>
        <w:keepNext w:val="0"/>
        <w:keepLines w:val="0"/>
        <w:pageBreakBefore w:val="0"/>
        <w:widowControl/>
        <w:numPr>
          <w:ilvl w:val="0"/>
          <w:numId w:val="0"/>
        </w:numPr>
        <w:shd w:val="clear"/>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5．</w:t>
      </w:r>
      <w:r>
        <w:rPr>
          <w:rFonts w:hint="eastAsia" w:ascii="宋体" w:hAnsi="宋体" w:eastAsia="宋体" w:cs="宋体"/>
          <w:b w:val="0"/>
          <w:bCs w:val="0"/>
          <w:color w:val="auto"/>
          <w:sz w:val="21"/>
          <w:szCs w:val="21"/>
          <w:highlight w:val="none"/>
        </w:rPr>
        <w:t>中标人的送货单必须详细注明商品的品牌、品种、单价、数量、送货单不得涂改。标记不清的，采购人将拒绝签收。结算期末中标人还应提供送货清单供采购人结算。</w:t>
      </w:r>
    </w:p>
    <w:p w14:paraId="41D613FE">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.中标人负责货品配送前的仓储，采购人不提供仓库。</w:t>
      </w:r>
      <w:r>
        <w:rPr>
          <w:rFonts w:hint="eastAsia" w:ascii="宋体" w:hAnsi="宋体" w:eastAsia="宋体" w:cs="宋体"/>
          <w:b w:val="0"/>
          <w:bCs w:val="0"/>
          <w:color w:val="auto"/>
          <w:sz w:val="21"/>
          <w:szCs w:val="21"/>
          <w:highlight w:val="none"/>
        </w:rPr>
        <w:t>中标人须准时送货到采购人指定地点，采购人不另行支付配送交通费。</w:t>
      </w:r>
    </w:p>
    <w:p w14:paraId="412264FE">
      <w:pPr>
        <w:pageBreakBefore w:val="0"/>
        <w:widowControl w:val="0"/>
        <w:shd w:val="clear"/>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在采购人签收之前，货物的所有权和风险属于中标人，货物发生遗失、损坏由中标人负责。</w:t>
      </w:r>
    </w:p>
    <w:p w14:paraId="47632F76">
      <w:pPr>
        <w:pageBreakBefore w:val="0"/>
        <w:widowControl w:val="0"/>
        <w:shd w:val="clear"/>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须严格按照采购人的订单配送货品，不得随意增减数量或改变品种。如因市场流通问题确实需要变更供货内容的，中标人应在得知情况的同时书面告知采购人并征得采购人同意后方可变更，否则，采购人有权拒收，由此产生的一切损失和费用由中标人承担。</w:t>
      </w:r>
    </w:p>
    <w:p w14:paraId="44783032">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中标人应设专人服务、跟踪、对账、快速处理突发事件。对送货过程中出现货不对</w:t>
      </w:r>
    </w:p>
    <w:p w14:paraId="654D54AB">
      <w:pPr>
        <w:keepNext w:val="0"/>
        <w:keepLines w:val="0"/>
        <w:pageBreakBefore w:val="0"/>
        <w:widowControl/>
        <w:shd w:val="clear"/>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板或达不到订单注明质量要求的品种，以及采购人根据就餐需要临时加补的品种，中标人应在采购人指定的时间补送到位，保证采购人的正常就餐时间。</w:t>
      </w:r>
    </w:p>
    <w:p w14:paraId="51E4B13E">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产品储存及原材料配备要求</w:t>
      </w:r>
    </w:p>
    <w:p w14:paraId="4763FC86">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（1）中标人应做好产品储存方案及原料配备；</w:t>
      </w:r>
    </w:p>
    <w:p w14:paraId="4FEF4C8C">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（2）中标人应具备安全、无害的贮存场所、容器、工具和设备，并保持清洁；</w:t>
      </w:r>
    </w:p>
    <w:p w14:paraId="23314B86">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（3）中标人要确保产品质量，保持食材原材料在储存期间的使用价值。</w:t>
      </w:r>
    </w:p>
    <w:p w14:paraId="5326B7A2">
      <w:pPr>
        <w:pStyle w:val="5"/>
        <w:shd w:val="clear"/>
        <w:bidi w:val="0"/>
        <w:rPr>
          <w:rFonts w:hint="eastAsia"/>
          <w:color w:val="auto"/>
          <w:highlight w:val="none"/>
          <w:lang w:val="en-US" w:eastAsia="zh-CN"/>
        </w:rPr>
      </w:pPr>
      <w:r>
        <w:rPr>
          <w:rFonts w:hint="eastAsia"/>
          <w:color w:val="auto"/>
          <w:highlight w:val="none"/>
          <w:lang w:val="en-US" w:eastAsia="zh-CN"/>
        </w:rPr>
        <w:t>（六）中标人责任</w:t>
      </w:r>
    </w:p>
    <w:p w14:paraId="35CB6C7C">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中标人</w:t>
      </w:r>
      <w:r>
        <w:rPr>
          <w:rFonts w:hint="eastAsia" w:ascii="宋体" w:hAnsi="宋体" w:cs="宋体"/>
          <w:b w:val="0"/>
          <w:bCs w:val="0"/>
          <w:color w:val="auto"/>
          <w:sz w:val="21"/>
          <w:szCs w:val="21"/>
          <w:highlight w:val="none"/>
          <w:lang w:val="en-US" w:eastAsia="zh-CN"/>
        </w:rPr>
        <w:t>负责跟进本采购项目</w:t>
      </w:r>
      <w:r>
        <w:rPr>
          <w:rFonts w:hint="eastAsia" w:ascii="宋体" w:hAnsi="宋体" w:eastAsia="宋体" w:cs="宋体"/>
          <w:b w:val="0"/>
          <w:bCs w:val="0"/>
          <w:color w:val="auto"/>
          <w:sz w:val="21"/>
          <w:szCs w:val="21"/>
          <w:highlight w:val="none"/>
        </w:rPr>
        <w:t>的服务人员必须经卫生防疫部门检查和培训，</w:t>
      </w:r>
      <w:r>
        <w:rPr>
          <w:rFonts w:hint="eastAsia" w:ascii="宋体" w:hAnsi="宋体" w:eastAsia="宋体" w:cs="宋体"/>
          <w:b w:val="0"/>
          <w:bCs w:val="0"/>
          <w:color w:val="auto"/>
          <w:sz w:val="21"/>
          <w:szCs w:val="21"/>
          <w:highlight w:val="none"/>
          <w:lang w:val="en-US" w:eastAsia="zh-CN"/>
        </w:rPr>
        <w:t>没有肝炎、肺结核、皮肤病等传染病，</w:t>
      </w:r>
      <w:r>
        <w:rPr>
          <w:rFonts w:hint="eastAsia" w:ascii="宋体" w:hAnsi="宋体" w:eastAsia="宋体" w:cs="宋体"/>
          <w:b w:val="0"/>
          <w:bCs w:val="0"/>
          <w:color w:val="auto"/>
          <w:sz w:val="21"/>
          <w:szCs w:val="21"/>
          <w:highlight w:val="none"/>
        </w:rPr>
        <w:t>持有健康证上岗，必须穿着便于辨认的工衣和配戴胸卡，送货专员在采购人单位活动必须严格遵守采购人单位各项规章制度，不得做出有损采购人形象和利益的事情。</w:t>
      </w:r>
      <w:r>
        <w:rPr>
          <w:rFonts w:hint="eastAsia" w:ascii="宋体" w:hAnsi="宋体" w:cs="宋体"/>
          <w:b w:val="0"/>
          <w:bCs w:val="0"/>
          <w:color w:val="auto"/>
          <w:sz w:val="21"/>
          <w:szCs w:val="21"/>
          <w:highlight w:val="none"/>
          <w:lang w:val="en-US" w:eastAsia="zh-CN"/>
        </w:rPr>
        <w:t>与从事本项目服务相关的证照在本次采购服务持续期间应保持有效。</w:t>
      </w:r>
    </w:p>
    <w:p w14:paraId="24A02B28">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中标人运送货物时须对场地内的设备、设施有良好保护措施，若中标人在配送过程</w:t>
      </w:r>
    </w:p>
    <w:p w14:paraId="237537B2">
      <w:pPr>
        <w:keepNext w:val="0"/>
        <w:keepLines w:val="0"/>
        <w:pageBreakBefore w:val="0"/>
        <w:widowControl/>
        <w:shd w:val="clear"/>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中损坏采购人的物品，中标人应照价赔偿。</w:t>
      </w:r>
    </w:p>
    <w:p w14:paraId="306FB9C8">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中标人不得泄露采购人的商业秘密。泄密造成采购人损失的或声誉损害的，中标人</w:t>
      </w:r>
    </w:p>
    <w:p w14:paraId="7216A761">
      <w:pPr>
        <w:keepNext w:val="0"/>
        <w:keepLines w:val="0"/>
        <w:pageBreakBefore w:val="0"/>
        <w:widowControl/>
        <w:shd w:val="clear"/>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将承担由此产生的一切损失和法律责任。</w:t>
      </w:r>
    </w:p>
    <w:p w14:paraId="4EA35446">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中标人的采购员不得给采购人负责合约洽谈、价格监督、食材验收的人员任何好处，如查实有上述情况，取消中标人配送资格。中标人可向采购人举报采购人相关人员故意刁难及索取好处的行为，经采购人查实，相关人员</w:t>
      </w:r>
      <w:r>
        <w:rPr>
          <w:rFonts w:hint="eastAsia" w:ascii="宋体" w:hAnsi="宋体" w:cs="宋体"/>
          <w:b w:val="0"/>
          <w:bCs w:val="0"/>
          <w:color w:val="auto"/>
          <w:sz w:val="21"/>
          <w:szCs w:val="21"/>
          <w:highlight w:val="none"/>
          <w:lang w:val="en-US" w:eastAsia="zh-CN"/>
        </w:rPr>
        <w:t>由采购人按照采购人的管理制度处置</w:t>
      </w:r>
      <w:r>
        <w:rPr>
          <w:rFonts w:hint="eastAsia" w:ascii="宋体" w:hAnsi="宋体" w:eastAsia="宋体" w:cs="宋体"/>
          <w:b w:val="0"/>
          <w:bCs w:val="0"/>
          <w:color w:val="auto"/>
          <w:sz w:val="21"/>
          <w:szCs w:val="21"/>
          <w:highlight w:val="none"/>
        </w:rPr>
        <w:t>。</w:t>
      </w:r>
    </w:p>
    <w:p w14:paraId="15377564">
      <w:pPr>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采购人对应急食材及政府扶贫农副产品采购有自主权，采购人有权直接采购，不受中标人和本项目制约。为贯彻落实党中央、国务院和广东省委、省政府关于打赢脱贫攻坚战的有关决策部署，在本项目饭堂食材配送服务期内，采购人或采购人委托中标人通过脱贫地区农副产品网络销售平台（832 平台）预留不少于10%的比例采购脱贫地区农副产品 或通过广东省政府采购扶贫馆平台等政府部门认可的平台采购部分既定预留份额的食堂食材，中标人必须无条件配合，采购人对此不承担任何经济补偿或违约责任。（须提供承诺函加盖投标人公章）</w:t>
      </w:r>
    </w:p>
    <w:p w14:paraId="7D836442">
      <w:pPr>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★中标人须承诺遇台风、暴雨等意外造成停课的，所有已订食材须无条件接受退回。（须提供承诺函加盖投标人公章）</w:t>
      </w:r>
    </w:p>
    <w:p w14:paraId="02E94461">
      <w:pPr>
        <w:pageBreakBefore w:val="0"/>
        <w:widowControl w:val="0"/>
        <w:shd w:val="clear"/>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.中标人必须服从采购人的监督、管理，配合采购人到农场基地、食物配送点进行现场考察。</w:t>
      </w:r>
    </w:p>
    <w:p w14:paraId="45AD551A">
      <w:pPr>
        <w:pageBreakBefore w:val="0"/>
        <w:widowControl w:val="0"/>
        <w:shd w:val="clear"/>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.食品供应链要求：所有食品的来源必须清晰可追溯和追责。</w:t>
      </w:r>
    </w:p>
    <w:p w14:paraId="36534BF2">
      <w:pPr>
        <w:pStyle w:val="5"/>
        <w:shd w:val="clear"/>
        <w:bidi w:val="0"/>
        <w:rPr>
          <w:rFonts w:hint="eastAsia"/>
          <w:color w:val="auto"/>
          <w:highlight w:val="none"/>
          <w:lang w:val="en-US" w:eastAsia="zh-CN"/>
        </w:rPr>
      </w:pPr>
      <w:r>
        <w:rPr>
          <w:rFonts w:hint="eastAsia"/>
          <w:color w:val="auto"/>
          <w:highlight w:val="none"/>
          <w:lang w:val="en-US" w:eastAsia="zh-CN"/>
        </w:rPr>
        <w:t>（七）企业管理制度</w:t>
      </w:r>
    </w:p>
    <w:p w14:paraId="7BD390F7">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中标人应具备有利于本项目实施的管理服务理念与管理模式；</w:t>
      </w:r>
    </w:p>
    <w:p w14:paraId="0BE3AA0F">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中标人应具备完善的组织管理架构及岗位职责；</w:t>
      </w:r>
    </w:p>
    <w:p w14:paraId="3182644A">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中标人应具备健全的各类食材检测制度。</w:t>
      </w:r>
    </w:p>
    <w:p w14:paraId="42D76412">
      <w:pPr>
        <w:pStyle w:val="5"/>
        <w:shd w:val="clear"/>
        <w:bidi w:val="0"/>
        <w:rPr>
          <w:rFonts w:hint="eastAsia"/>
          <w:color w:val="auto"/>
          <w:highlight w:val="none"/>
          <w:lang w:val="en-US" w:eastAsia="zh-CN"/>
        </w:rPr>
      </w:pPr>
      <w:r>
        <w:rPr>
          <w:rFonts w:hint="eastAsia"/>
          <w:color w:val="auto"/>
          <w:highlight w:val="none"/>
          <w:lang w:val="en-US" w:eastAsia="zh-CN"/>
        </w:rPr>
        <w:t>（八）应急处理要求</w:t>
      </w:r>
    </w:p>
    <w:p w14:paraId="46AAC10A">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中标人应具备完善的应急处理方案，包括但不限于下列要求：</w:t>
      </w:r>
    </w:p>
    <w:p w14:paraId="47A2EE34">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针对食材仓储环节中可能出现的导致食材种类、数量不足的紧急情况（如突发火灾、</w:t>
      </w:r>
    </w:p>
    <w:p w14:paraId="5E01B3E3">
      <w:pPr>
        <w:keepNext w:val="0"/>
        <w:keepLines w:val="0"/>
        <w:pageBreakBefore w:val="0"/>
        <w:widowControl/>
        <w:shd w:val="clear"/>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被水淹没等），应有相应的处置措施；</w:t>
      </w:r>
    </w:p>
    <w:p w14:paraId="0212D406">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针对食材流通和使用环节可能会出现的质量问题（如仓储、运具不达标致使食材变</w:t>
      </w:r>
    </w:p>
    <w:p w14:paraId="7A692FB6">
      <w:pPr>
        <w:keepNext w:val="0"/>
        <w:keepLines w:val="0"/>
        <w:pageBreakBefore w:val="0"/>
        <w:widowControl/>
        <w:shd w:val="clear"/>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得不合格等），应有相应的处置措施；</w:t>
      </w:r>
    </w:p>
    <w:p w14:paraId="47A0722C">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针对台风、暴雨等恶劣天气，应有相应的配送保障措施；</w:t>
      </w:r>
    </w:p>
    <w:p w14:paraId="2846084E">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针对配送人员在配送途中突发车辆故障、交通事故等情况，应有相应的人员替换保</w:t>
      </w:r>
    </w:p>
    <w:p w14:paraId="6009959E">
      <w:pPr>
        <w:keepNext w:val="0"/>
        <w:keepLines w:val="0"/>
        <w:pageBreakBefore w:val="0"/>
        <w:widowControl/>
        <w:shd w:val="clear"/>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障措施。</w:t>
      </w:r>
    </w:p>
    <w:p w14:paraId="699DB763">
      <w:pPr>
        <w:pStyle w:val="5"/>
        <w:shd w:val="clear"/>
        <w:bidi w:val="0"/>
        <w:rPr>
          <w:rFonts w:hint="eastAsia"/>
          <w:color w:val="auto"/>
          <w:highlight w:val="none"/>
          <w:lang w:val="en-US" w:eastAsia="zh-CN"/>
        </w:rPr>
      </w:pPr>
      <w:r>
        <w:rPr>
          <w:rFonts w:hint="eastAsia"/>
          <w:color w:val="auto"/>
          <w:highlight w:val="none"/>
          <w:lang w:val="en-US" w:eastAsia="zh-CN"/>
        </w:rPr>
        <w:t>（九）违约责任</w:t>
      </w:r>
    </w:p>
    <w:p w14:paraId="5B115C5A">
      <w:pPr>
        <w:pageBreakBefore w:val="0"/>
        <w:shd w:val="clear"/>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发生以下情形，但未因所供货物发生食品安全事故，经调查属实的，在当月结算费用内扣除500元/次，若当月结算费用不足以扣减的，可在之后的结算费用中进行扣减</w:t>
      </w:r>
      <w:r>
        <w:rPr>
          <w:rFonts w:hint="eastAsia" w:ascii="宋体" w:hAnsi="宋体" w:eastAsia="宋体" w:cs="宋体"/>
          <w:color w:val="auto"/>
          <w:sz w:val="21"/>
          <w:szCs w:val="21"/>
          <w:highlight w:val="none"/>
          <w:lang w:eastAsia="zh-CN"/>
        </w:rPr>
        <w:t>：</w:t>
      </w:r>
    </w:p>
    <w:p w14:paraId="35172DE2">
      <w:pPr>
        <w:pageBreakBefore w:val="0"/>
        <w:shd w:val="clear"/>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未按要求随货提供相关票证。</w:t>
      </w:r>
    </w:p>
    <w:p w14:paraId="506F0212">
      <w:pPr>
        <w:pageBreakBefore w:val="0"/>
        <w:shd w:val="clear"/>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货物质量验收不合格，经沟通仍不同意更换货物；</w:t>
      </w:r>
    </w:p>
    <w:p w14:paraId="48A2675B">
      <w:pPr>
        <w:pageBreakBefore w:val="0"/>
        <w:shd w:val="clear"/>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未按</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采购计划的时间供货（提前一天与</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协商认可的除外），且未影响伙食供应；</w:t>
      </w:r>
    </w:p>
    <w:p w14:paraId="13131495">
      <w:pPr>
        <w:pageBreakBefore w:val="0"/>
        <w:shd w:val="clear"/>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供货数量超于</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采购计划数量的土10%（含本数），且未影响伙食供应；</w:t>
      </w:r>
    </w:p>
    <w:p w14:paraId="5502703F">
      <w:pPr>
        <w:pageBreakBefore w:val="0"/>
        <w:shd w:val="clear"/>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未经</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同意私自更改订单内容；</w:t>
      </w:r>
    </w:p>
    <w:p w14:paraId="2B225293">
      <w:pPr>
        <w:pageBreakBefore w:val="0"/>
        <w:shd w:val="clear"/>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弄虚作假，故意不响应（或不完全响应）</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订单项目和质量要求；</w:t>
      </w:r>
    </w:p>
    <w:p w14:paraId="67FAEFA1">
      <w:pPr>
        <w:pageBreakBefore w:val="0"/>
        <w:shd w:val="clear"/>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货物出现质量问题，</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不积极配合查找原因，不及时反馈处理结果；</w:t>
      </w:r>
    </w:p>
    <w:p w14:paraId="7B339A76">
      <w:pPr>
        <w:pageBreakBefore w:val="0"/>
        <w:shd w:val="clear"/>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及其工作人员不遵守</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各项管理规定；</w:t>
      </w:r>
    </w:p>
    <w:p w14:paraId="28B72F86">
      <w:pPr>
        <w:pageBreakBefore w:val="0"/>
        <w:shd w:val="clear"/>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存在其他违反约定的情形的。</w:t>
      </w:r>
    </w:p>
    <w:p w14:paraId="468C0C2C">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如</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违反合同约定的服务要求，经</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催告后限期内仍不整改，或违反合同约定累计超过3次的，</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有权</w:t>
      </w:r>
      <w:r>
        <w:rPr>
          <w:rFonts w:hint="eastAsia" w:ascii="宋体" w:hAnsi="宋体" w:eastAsia="宋体" w:cs="宋体"/>
          <w:b w:val="0"/>
          <w:bCs w:val="0"/>
          <w:color w:val="auto"/>
          <w:sz w:val="21"/>
          <w:szCs w:val="21"/>
          <w:highlight w:val="none"/>
        </w:rPr>
        <w:t>单方</w:t>
      </w:r>
      <w:r>
        <w:rPr>
          <w:rFonts w:hint="eastAsia" w:ascii="宋体" w:hAnsi="宋体" w:eastAsia="宋体" w:cs="宋体"/>
          <w:color w:val="auto"/>
          <w:sz w:val="21"/>
          <w:szCs w:val="21"/>
          <w:highlight w:val="none"/>
        </w:rPr>
        <w:t>解除合同，并要求</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承担</w:t>
      </w:r>
      <w:r>
        <w:rPr>
          <w:rFonts w:hint="eastAsia" w:ascii="宋体" w:hAnsi="宋体" w:cs="宋体"/>
          <w:color w:val="auto"/>
          <w:sz w:val="21"/>
          <w:szCs w:val="21"/>
          <w:highlight w:val="none"/>
          <w:lang w:val="en-US" w:eastAsia="zh-CN"/>
        </w:rPr>
        <w:t>相应</w:t>
      </w:r>
      <w:r>
        <w:rPr>
          <w:rFonts w:hint="default" w:ascii="宋体" w:hAnsi="宋体" w:eastAsia="宋体" w:cs="宋体"/>
          <w:color w:val="auto"/>
          <w:sz w:val="21"/>
          <w:szCs w:val="21"/>
          <w:highlight w:val="none"/>
          <w:lang w:val="en-US"/>
        </w:rPr>
        <w:t>的</w:t>
      </w:r>
      <w:r>
        <w:rPr>
          <w:rFonts w:hint="eastAsia" w:ascii="宋体" w:hAnsi="宋体" w:eastAsia="宋体" w:cs="宋体"/>
          <w:color w:val="auto"/>
          <w:sz w:val="21"/>
          <w:szCs w:val="21"/>
          <w:highlight w:val="none"/>
        </w:rPr>
        <w:t>违约金；违约金不足以弥补</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损失的，</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有权继续向</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追偿不足的部分。</w:t>
      </w:r>
      <w:r>
        <w:rPr>
          <w:rFonts w:hint="eastAsia" w:ascii="宋体" w:hAnsi="宋体" w:eastAsia="宋体" w:cs="宋体"/>
          <w:b w:val="0"/>
          <w:bCs w:val="0"/>
          <w:color w:val="auto"/>
          <w:sz w:val="21"/>
          <w:szCs w:val="21"/>
          <w:highlight w:val="none"/>
        </w:rPr>
        <w:t>相关经济损失由中标人承担。</w:t>
      </w:r>
    </w:p>
    <w:p w14:paraId="2827C7E6">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如</w:t>
      </w:r>
      <w:r>
        <w:rPr>
          <w:rFonts w:hint="eastAsia" w:ascii="宋体" w:hAnsi="宋体" w:eastAsia="宋体" w:cs="宋体"/>
          <w:color w:val="auto"/>
          <w:sz w:val="21"/>
          <w:szCs w:val="21"/>
          <w:highlight w:val="none"/>
          <w:lang w:val="en-US" w:eastAsia="zh-CN"/>
        </w:rPr>
        <w:t>因</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提供过期、变质、有毒、伪劣、无生产日期、无质量合格证或无生产厂家的</w:t>
      </w:r>
      <w:r>
        <w:rPr>
          <w:rFonts w:hint="eastAsia" w:ascii="宋体" w:hAnsi="宋体" w:eastAsia="宋体" w:cs="宋体"/>
          <w:b w:val="0"/>
          <w:bCs w:val="0"/>
          <w:color w:val="auto"/>
          <w:sz w:val="21"/>
          <w:szCs w:val="21"/>
          <w:highlight w:val="none"/>
        </w:rPr>
        <w:t>食材引起食用的人身体不适、发生食物中毒等问题，经市级</w:t>
      </w:r>
      <w:r>
        <w:rPr>
          <w:rFonts w:hint="eastAsia" w:ascii="宋体" w:hAnsi="宋体" w:eastAsia="宋体" w:cs="宋体"/>
          <w:b w:val="0"/>
          <w:bCs w:val="0"/>
          <w:color w:val="auto"/>
          <w:sz w:val="21"/>
          <w:szCs w:val="21"/>
          <w:highlight w:val="none"/>
          <w:lang w:val="en-US" w:eastAsia="zh-CN"/>
        </w:rPr>
        <w:t>以上</w:t>
      </w:r>
      <w:r>
        <w:rPr>
          <w:rFonts w:hint="eastAsia" w:ascii="宋体" w:hAnsi="宋体" w:eastAsia="宋体" w:cs="宋体"/>
          <w:b w:val="0"/>
          <w:bCs w:val="0"/>
          <w:color w:val="auto"/>
          <w:sz w:val="21"/>
          <w:szCs w:val="21"/>
          <w:highlight w:val="none"/>
        </w:rPr>
        <w:t>质量检验部门确定后是中标人的责任，采购人有权立即单方终止合约</w:t>
      </w:r>
      <w:r>
        <w:rPr>
          <w:rFonts w:hint="eastAsia" w:ascii="宋体" w:hAnsi="宋体" w:eastAsia="宋体" w:cs="宋体"/>
          <w:color w:val="auto"/>
          <w:sz w:val="21"/>
          <w:szCs w:val="21"/>
          <w:highlight w:val="none"/>
        </w:rPr>
        <w:t>，并要求</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承担</w:t>
      </w:r>
      <w:r>
        <w:rPr>
          <w:rFonts w:hint="eastAsia" w:ascii="宋体" w:hAnsi="宋体" w:cs="宋体"/>
          <w:color w:val="auto"/>
          <w:sz w:val="21"/>
          <w:szCs w:val="21"/>
          <w:highlight w:val="none"/>
          <w:lang w:val="en-US" w:eastAsia="zh-CN"/>
        </w:rPr>
        <w:t>相应</w:t>
      </w:r>
      <w:r>
        <w:rPr>
          <w:rFonts w:hint="eastAsia" w:ascii="宋体" w:hAnsi="宋体" w:eastAsia="宋体" w:cs="宋体"/>
          <w:color w:val="auto"/>
          <w:sz w:val="21"/>
          <w:szCs w:val="21"/>
          <w:highlight w:val="none"/>
        </w:rPr>
        <w:t>的违约金。违约金不足以弥补</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损失的，</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有权继续向</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追偿不足的部分。</w:t>
      </w:r>
      <w:r>
        <w:rPr>
          <w:rFonts w:hint="eastAsia" w:ascii="宋体" w:hAnsi="宋体" w:eastAsia="宋体" w:cs="宋体"/>
          <w:b w:val="0"/>
          <w:bCs w:val="0"/>
          <w:color w:val="auto"/>
          <w:sz w:val="21"/>
          <w:szCs w:val="21"/>
          <w:highlight w:val="none"/>
        </w:rPr>
        <w:t>中标人同时承担相应的民事及刑事法律责任及放弃先诉抗辩权，并立即终止合同。</w:t>
      </w:r>
    </w:p>
    <w:p w14:paraId="10D321BE">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因</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原因导致解除合同的，</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无需再向</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支付任何货款，且</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无需向</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进行</w:t>
      </w:r>
      <w:r>
        <w:rPr>
          <w:rFonts w:hint="eastAsia" w:ascii="宋体" w:hAnsi="宋体" w:eastAsia="宋体" w:cs="宋体"/>
          <w:color w:val="auto"/>
          <w:sz w:val="21"/>
          <w:szCs w:val="21"/>
          <w:highlight w:val="none"/>
          <w:lang w:val="en-US" w:eastAsia="zh-CN"/>
        </w:rPr>
        <w:t>赔偿或补偿。</w:t>
      </w:r>
    </w:p>
    <w:p w14:paraId="5EF766BA">
      <w:pPr>
        <w:pStyle w:val="5"/>
        <w:shd w:val="clear"/>
        <w:bidi w:val="0"/>
        <w:rPr>
          <w:rFonts w:hint="eastAsia"/>
          <w:color w:val="auto"/>
          <w:highlight w:val="none"/>
          <w:lang w:val="en-US" w:eastAsia="zh-CN"/>
        </w:rPr>
      </w:pPr>
      <w:r>
        <w:rPr>
          <w:rFonts w:hint="eastAsia"/>
          <w:color w:val="auto"/>
          <w:highlight w:val="none"/>
          <w:lang w:val="en-US" w:eastAsia="zh-CN"/>
        </w:rPr>
        <w:t>（十）考核约定</w:t>
      </w:r>
    </w:p>
    <w:p w14:paraId="5C6D0C7E">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采购人在服务期限内对中标人实行考核制度，每月一次。具体评估考核办法如下:(考核内容见附件:《供应商月度评价表》)</w:t>
      </w:r>
    </w:p>
    <w:p w14:paraId="7C6509F7">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1.当中标人的考核成绩为优(月度考核得分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90分)，当月货款全额支付，</w:t>
      </w:r>
    </w:p>
    <w:p w14:paraId="19DE0C0D">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2.当中标人的考核成绩为良(80</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月度考核得分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90分)，采购人向中标人下达《整改通知书》，不扣款。如中标人连续两个月考核成绩为良时，采购人有权在当月货款中扣除3%作为罚款。</w:t>
      </w:r>
    </w:p>
    <w:p w14:paraId="5A600DFB">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3.当中标人的考核成绩一般(75</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月度考核得分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80分)，采购人向中标人下达《整改通知书》，并在当月货款中扣除4%作为罚款。</w:t>
      </w:r>
    </w:p>
    <w:p w14:paraId="6A4E4686">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4.当中标人的考核成绩为差(月度考核得分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75分)，采购人向中标人下达《整改通知书》并在当月货款中扣除6%作为罚款。合同期内累计3次的，采购人有权单方面终止合同。</w:t>
      </w:r>
    </w:p>
    <w:p w14:paraId="525C4693">
      <w:pPr>
        <w:pStyle w:val="5"/>
        <w:shd w:val="clear"/>
        <w:bidi w:val="0"/>
        <w:rPr>
          <w:rFonts w:hint="eastAsia"/>
          <w:color w:val="auto"/>
          <w:highlight w:val="none"/>
          <w:lang w:val="en-US" w:eastAsia="zh-CN"/>
        </w:rPr>
      </w:pPr>
      <w:r>
        <w:rPr>
          <w:rFonts w:hint="eastAsia"/>
          <w:color w:val="auto"/>
          <w:highlight w:val="none"/>
          <w:lang w:val="en-US" w:eastAsia="zh-CN"/>
        </w:rPr>
        <w:t>（十一）相关说明</w:t>
      </w:r>
    </w:p>
    <w:p w14:paraId="500178E7">
      <w:pPr>
        <w:pStyle w:val="38"/>
        <w:keepNext w:val="0"/>
        <w:keepLines w:val="0"/>
        <w:pageBreakBefore w:val="0"/>
        <w:shd w:val="clear"/>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服务年限内，履行本招标文件约定的义务过程中出现违反国家法律法规、相关主管部门规章制度、擅自提高价格或提供伪劣服务内容、服务质量低劣造成采购人损失等情况的，采购人有权视情节分别给予警告、没收采购履约担保或取消协议服务资格等处罚。</w:t>
      </w:r>
    </w:p>
    <w:p w14:paraId="74BF7C04">
      <w:pPr>
        <w:pStyle w:val="38"/>
        <w:keepNext w:val="0"/>
        <w:keepLines w:val="0"/>
        <w:pageBreakBefore w:val="0"/>
        <w:shd w:val="clear"/>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被取消配送服务资格而造成服务单位数量不能满足正常食堂食材配送工作需求的，采购人有权按顺序递补本次采购排名在</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之后的候选单位，或通过对该项目服务单位进行补充采购或重新采购的方式，以保证服务单位数量的正常需求。</w:t>
      </w:r>
    </w:p>
    <w:p w14:paraId="499862C4">
      <w:pPr>
        <w:pStyle w:val="38"/>
        <w:keepNext w:val="0"/>
        <w:keepLines w:val="0"/>
        <w:pageBreakBefore w:val="0"/>
        <w:shd w:val="clear"/>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必须清楚理解：采购人无法预计也无法保证服务单位所能获得的服务项目数量；对此服务单位不得向采购人追讨任何费用。</w:t>
      </w:r>
    </w:p>
    <w:p w14:paraId="3ADA8DC4">
      <w:pPr>
        <w:shd w:val="clear"/>
        <w:spacing w:after="0" w:line="360" w:lineRule="auto"/>
        <w:rPr>
          <w:rFonts w:ascii="宋体" w:hAnsi="宋体" w:eastAsia="宋体" w:cs="Times New Roman"/>
          <w:b/>
          <w:bCs/>
          <w:color w:val="auto"/>
          <w:sz w:val="21"/>
          <w:szCs w:val="21"/>
          <w:highlight w:val="none"/>
        </w:rPr>
      </w:pPr>
    </w:p>
    <w:p w14:paraId="2FD3A686">
      <w:pPr>
        <w:shd w:val="clea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14:paraId="3E123B81">
      <w:pPr>
        <w:pStyle w:val="8"/>
        <w:shd w:val="clear"/>
        <w:rPr>
          <w:rFonts w:hint="eastAsia" w:ascii="宋体" w:hAnsi="宋体" w:eastAsia="宋体" w:cs="Times New Roman"/>
          <w:b/>
          <w:bCs/>
          <w:color w:val="auto"/>
          <w:sz w:val="21"/>
          <w:szCs w:val="21"/>
          <w:highlight w:val="none"/>
        </w:rPr>
      </w:pPr>
    </w:p>
    <w:p w14:paraId="7B127691">
      <w:pPr>
        <w:shd w:val="clear"/>
        <w:rPr>
          <w:rFonts w:hint="eastAsia" w:ascii="宋体" w:hAnsi="宋体" w:eastAsia="宋体" w:cs="Times New Roman"/>
          <w:b/>
          <w:bCs/>
          <w:color w:val="auto"/>
          <w:sz w:val="21"/>
          <w:szCs w:val="21"/>
          <w:highlight w:val="none"/>
        </w:rPr>
      </w:pPr>
    </w:p>
    <w:p w14:paraId="69A4BEEF">
      <w:pPr>
        <w:shd w:val="clear"/>
        <w:rPr>
          <w:rFonts w:hint="eastAsia" w:ascii="宋体" w:hAnsi="宋体" w:eastAsia="宋体" w:cs="Times New Roman"/>
          <w:b/>
          <w:bCs/>
          <w:color w:val="auto"/>
          <w:sz w:val="21"/>
          <w:szCs w:val="21"/>
          <w:highlight w:val="none"/>
        </w:rPr>
      </w:pPr>
    </w:p>
    <w:p w14:paraId="56296835">
      <w:pPr>
        <w:shd w:val="clear"/>
        <w:rPr>
          <w:rFonts w:hint="eastAsia" w:ascii="宋体" w:hAnsi="宋体" w:eastAsia="宋体" w:cs="Times New Roman"/>
          <w:b/>
          <w:bCs/>
          <w:color w:val="auto"/>
          <w:sz w:val="21"/>
          <w:szCs w:val="21"/>
          <w:highlight w:val="none"/>
        </w:rPr>
      </w:pPr>
    </w:p>
    <w:p w14:paraId="57C16B53">
      <w:pPr>
        <w:shd w:val="clear"/>
        <w:rPr>
          <w:rFonts w:hint="eastAsia" w:ascii="宋体" w:hAnsi="宋体" w:eastAsia="宋体" w:cs="Times New Roman"/>
          <w:b/>
          <w:bCs/>
          <w:color w:val="auto"/>
          <w:sz w:val="21"/>
          <w:szCs w:val="21"/>
          <w:highlight w:val="none"/>
        </w:rPr>
      </w:pPr>
    </w:p>
    <w:p w14:paraId="61E1D49A">
      <w:pPr>
        <w:shd w:val="clear"/>
        <w:rPr>
          <w:rFonts w:hint="eastAsia" w:ascii="宋体" w:hAnsi="宋体" w:eastAsia="宋体" w:cs="Times New Roman"/>
          <w:b/>
          <w:bCs/>
          <w:color w:val="auto"/>
          <w:sz w:val="21"/>
          <w:szCs w:val="21"/>
          <w:highlight w:val="none"/>
        </w:rPr>
      </w:pPr>
    </w:p>
    <w:p w14:paraId="62ABA6F2">
      <w:pPr>
        <w:shd w:val="clear"/>
        <w:rPr>
          <w:rFonts w:hint="eastAsia" w:ascii="宋体" w:hAnsi="宋体" w:eastAsia="宋体" w:cs="Times New Roman"/>
          <w:b/>
          <w:bCs/>
          <w:color w:val="auto"/>
          <w:sz w:val="21"/>
          <w:szCs w:val="21"/>
          <w:highlight w:val="none"/>
        </w:rPr>
      </w:pPr>
    </w:p>
    <w:p w14:paraId="78B52E78">
      <w:pPr>
        <w:shd w:val="clear"/>
        <w:rPr>
          <w:rFonts w:hint="eastAsia" w:ascii="宋体" w:hAnsi="宋体" w:eastAsia="宋体" w:cs="Times New Roman"/>
          <w:b/>
          <w:bCs/>
          <w:color w:val="auto"/>
          <w:sz w:val="21"/>
          <w:szCs w:val="21"/>
          <w:highlight w:val="none"/>
        </w:rPr>
      </w:pPr>
    </w:p>
    <w:p w14:paraId="0CD7CD7A">
      <w:pPr>
        <w:shd w:val="clear"/>
        <w:rPr>
          <w:rFonts w:hint="eastAsia" w:ascii="宋体" w:hAnsi="宋体" w:eastAsia="宋体" w:cs="Times New Roman"/>
          <w:b/>
          <w:bCs/>
          <w:color w:val="auto"/>
          <w:sz w:val="21"/>
          <w:szCs w:val="21"/>
          <w:highlight w:val="none"/>
        </w:rPr>
      </w:pPr>
    </w:p>
    <w:p w14:paraId="2DB3CB27">
      <w:pPr>
        <w:shd w:val="clear"/>
        <w:rPr>
          <w:rFonts w:hint="eastAsia" w:ascii="宋体" w:hAnsi="宋体" w:eastAsia="宋体" w:cs="Times New Roman"/>
          <w:b/>
          <w:bCs/>
          <w:color w:val="auto"/>
          <w:sz w:val="21"/>
          <w:szCs w:val="21"/>
          <w:highlight w:val="none"/>
        </w:rPr>
      </w:pPr>
    </w:p>
    <w:p w14:paraId="0E5D095C">
      <w:pPr>
        <w:shd w:val="clear"/>
        <w:rPr>
          <w:rFonts w:hint="eastAsia" w:ascii="宋体" w:hAnsi="宋体" w:eastAsia="宋体" w:cs="Times New Roman"/>
          <w:b/>
          <w:bCs/>
          <w:color w:val="auto"/>
          <w:sz w:val="21"/>
          <w:szCs w:val="21"/>
          <w:highlight w:val="none"/>
        </w:rPr>
      </w:pPr>
    </w:p>
    <w:p w14:paraId="15BA63DA">
      <w:pPr>
        <w:shd w:val="clear"/>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br w:type="page"/>
      </w:r>
    </w:p>
    <w:p w14:paraId="19CA0115">
      <w:pPr>
        <w:pStyle w:val="23"/>
        <w:shd w:val="clear"/>
        <w:spacing w:line="560" w:lineRule="exact"/>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附件一：</w:t>
      </w:r>
    </w:p>
    <w:p w14:paraId="1B265009">
      <w:pPr>
        <w:pStyle w:val="23"/>
        <w:shd w:val="clear"/>
        <w:spacing w:line="560" w:lineRule="exact"/>
        <w:jc w:val="center"/>
        <w:rPr>
          <w:rFonts w:hint="default" w:ascii="宋体" w:hAnsi="宋体" w:eastAsia="宋体" w:cs="Times New Roman"/>
          <w:color w:val="auto"/>
          <w:highlight w:val="none"/>
          <w:lang w:val="en-US" w:eastAsia="zh-CN"/>
        </w:rPr>
      </w:pPr>
      <w:r>
        <w:rPr>
          <w:rFonts w:hint="default" w:ascii="宋体" w:hAnsi="宋体" w:eastAsia="宋体" w:cs="Times New Roman"/>
          <w:b/>
          <w:bCs/>
          <w:color w:val="auto"/>
          <w:sz w:val="30"/>
          <w:szCs w:val="30"/>
          <w:highlight w:val="none"/>
          <w:lang w:val="en-US" w:eastAsia="zh-CN"/>
        </w:rPr>
        <w:t>供应商月度评价表</w:t>
      </w:r>
    </w:p>
    <w:p w14:paraId="68392174">
      <w:pPr>
        <w:pStyle w:val="23"/>
        <w:shd w:val="clear"/>
        <w:spacing w:line="560" w:lineRule="exac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评价部门：</w:t>
      </w:r>
    </w:p>
    <w:tbl>
      <w:tblPr>
        <w:tblStyle w:val="25"/>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63"/>
        <w:gridCol w:w="1140"/>
        <w:gridCol w:w="5595"/>
        <w:gridCol w:w="459"/>
        <w:gridCol w:w="459"/>
      </w:tblGrid>
      <w:tr w14:paraId="36F0AD1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9A0C938">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一级</w:t>
            </w:r>
          </w:p>
          <w:p w14:paraId="4D75B3ED">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指标</w:t>
            </w:r>
          </w:p>
        </w:tc>
        <w:tc>
          <w:tcPr>
            <w:tcW w:w="1140"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F9DD9CE">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二级指标</w:t>
            </w:r>
          </w:p>
        </w:tc>
        <w:tc>
          <w:tcPr>
            <w:tcW w:w="5595"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E0310AA">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考核要素和评估内容及其标准</w:t>
            </w: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914F755">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扣分</w:t>
            </w: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8385564">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70FEB6F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restar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86324C6">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流程管理</w:t>
            </w:r>
          </w:p>
          <w:p w14:paraId="2AADFD9F">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（分值30）</w:t>
            </w: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0E85710">
            <w:pPr>
              <w:pStyle w:val="67"/>
              <w:shd w:val="clear"/>
              <w:jc w:val="center"/>
              <w:rPr>
                <w:rFonts w:hint="eastAsia" w:ascii="宋体" w:hAnsi="宋体" w:cs="宋体"/>
                <w:color w:val="auto"/>
                <w:sz w:val="21"/>
                <w:szCs w:val="21"/>
                <w:highlight w:val="none"/>
                <w:lang w:val="en-US" w:eastAsia="zh-CN"/>
              </w:rPr>
            </w:pPr>
          </w:p>
          <w:p w14:paraId="081DF230">
            <w:pPr>
              <w:pStyle w:val="67"/>
              <w:shd w:val="clear"/>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送货时间</w:t>
            </w:r>
            <w:r>
              <w:rPr>
                <w:rFonts w:hint="eastAsia" w:ascii="宋体" w:hAnsi="宋体" w:eastAsia="宋体" w:cs="宋体"/>
                <w:color w:val="auto"/>
                <w:sz w:val="21"/>
                <w:szCs w:val="21"/>
                <w:highlight w:val="none"/>
              </w:rPr>
              <w:t>（分值6）</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4EF4C91">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不准时（超30分钟）但能与采购人及时沟通的，每发生一次扣1分；不准时（超30分钟）送达且不沟通或沟通不及时的，每发生一次扣2分。（出现影响饭堂工作的情况，按招标文件或合同条款的相关条款处罚）。</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DCF9A2F">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C36FCAE">
            <w:pPr>
              <w:shd w:val="clear"/>
              <w:rPr>
                <w:rFonts w:hint="eastAsia" w:ascii="宋体" w:hAnsi="宋体" w:eastAsia="宋体" w:cs="宋体"/>
                <w:color w:val="auto"/>
                <w:sz w:val="21"/>
                <w:szCs w:val="21"/>
                <w:highlight w:val="none"/>
              </w:rPr>
            </w:pPr>
          </w:p>
        </w:tc>
      </w:tr>
      <w:tr w14:paraId="7811ECB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863" w:type="dxa"/>
            <w:vMerge w:val="continue"/>
            <w:tcBorders>
              <w:top w:val="nil"/>
              <w:left w:val="single" w:color="000000" w:sz="4" w:space="0"/>
              <w:bottom w:val="single" w:color="000000" w:sz="4" w:space="0"/>
              <w:right w:val="single" w:color="000000" w:sz="4" w:space="0"/>
            </w:tcBorders>
            <w:noWrap w:val="0"/>
            <w:vAlign w:val="top"/>
          </w:tcPr>
          <w:p w14:paraId="6FE40851">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7636CAE">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检验证明（分值6）</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FFD41C1">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相应批次的食材未能提供对应合格检验证明或对提供资料弄虚作假的，每次</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BBEF2A5">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84B236A">
            <w:pPr>
              <w:shd w:val="clear"/>
              <w:rPr>
                <w:rFonts w:hint="eastAsia" w:ascii="宋体" w:hAnsi="宋体" w:eastAsia="宋体" w:cs="宋体"/>
                <w:color w:val="auto"/>
                <w:sz w:val="21"/>
                <w:szCs w:val="21"/>
                <w:highlight w:val="none"/>
              </w:rPr>
            </w:pPr>
          </w:p>
        </w:tc>
      </w:tr>
      <w:tr w14:paraId="6E0674A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00646C17">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635F618">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人员管理</w:t>
            </w:r>
          </w:p>
          <w:p w14:paraId="4A917E04">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（分值6）</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0B15E65">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服务人员没有出示健康证，没有穿着工衣和佩戴胸卡的，每次扣2分。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4619728">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8696E14">
            <w:pPr>
              <w:shd w:val="clear"/>
              <w:rPr>
                <w:rFonts w:hint="eastAsia" w:ascii="宋体" w:hAnsi="宋体" w:eastAsia="宋体" w:cs="宋体"/>
                <w:color w:val="auto"/>
                <w:sz w:val="21"/>
                <w:szCs w:val="21"/>
                <w:highlight w:val="none"/>
              </w:rPr>
            </w:pPr>
          </w:p>
        </w:tc>
      </w:tr>
      <w:tr w14:paraId="09A5E7F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3B112710">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793E838">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车辆整洁（分值4）</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9A8A146">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配送车辆、实际运输符合招标文件及合同约定的，干净整洁，无异味。不符合每次扣2分。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6068DA4">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B18CBDA">
            <w:pPr>
              <w:shd w:val="clear"/>
              <w:rPr>
                <w:rFonts w:hint="eastAsia" w:ascii="宋体" w:hAnsi="宋体" w:eastAsia="宋体" w:cs="宋体"/>
                <w:color w:val="auto"/>
                <w:sz w:val="21"/>
                <w:szCs w:val="21"/>
                <w:highlight w:val="none"/>
              </w:rPr>
            </w:pPr>
          </w:p>
        </w:tc>
      </w:tr>
      <w:tr w14:paraId="4578325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5CCC9457">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A8D3750">
            <w:pPr>
              <w:pStyle w:val="67"/>
              <w:shd w:val="clear"/>
              <w:jc w:val="center"/>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rPr>
              <w:t>单据清晰（分值4）</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457CC86">
            <w:pPr>
              <w:pStyle w:val="67"/>
              <w:shd w:val="clear"/>
              <w:jc w:val="both"/>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rPr>
              <w:t>送货单（结算凭证）详细注明商品的品牌、品种、单价、数量，打印清晰，无错漏。不符合每次扣2分。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CF93061">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09474FC">
            <w:pPr>
              <w:shd w:val="clear"/>
              <w:rPr>
                <w:rFonts w:hint="eastAsia" w:ascii="宋体" w:hAnsi="宋体" w:eastAsia="宋体" w:cs="宋体"/>
                <w:color w:val="auto"/>
                <w:sz w:val="21"/>
                <w:szCs w:val="21"/>
                <w:highlight w:val="none"/>
              </w:rPr>
            </w:pPr>
          </w:p>
        </w:tc>
      </w:tr>
      <w:tr w14:paraId="4E13DBC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5EDAEDA3">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3FC6E7E">
            <w:pPr>
              <w:pStyle w:val="67"/>
              <w:shd w:val="clear"/>
              <w:jc w:val="center"/>
              <w:rPr>
                <w:rFonts w:hint="eastAsia" w:ascii="宋体" w:hAnsi="宋体" w:eastAsia="宋体" w:cs="宋体"/>
                <w:color w:val="auto"/>
                <w:sz w:val="21"/>
                <w:szCs w:val="21"/>
                <w:highlight w:val="none"/>
              </w:rPr>
            </w:pPr>
          </w:p>
          <w:p w14:paraId="58EFF585">
            <w:pPr>
              <w:pStyle w:val="67"/>
              <w:shd w:val="clear"/>
              <w:jc w:val="center"/>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rPr>
              <w:t>服务态度（分值4）</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7CE2C6A">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送货人工作认真负责，运送搬装文明，与食堂人员良好沟通。不文明行为每次扣2分。</w:t>
            </w:r>
          </w:p>
          <w:p w14:paraId="62F4E1DD">
            <w:pPr>
              <w:pStyle w:val="67"/>
              <w:shd w:val="clear"/>
              <w:jc w:val="both"/>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rPr>
              <w:t>采购人提出扣分及整改意见</w:t>
            </w:r>
            <w:r>
              <w:rPr>
                <w:rFonts w:hint="eastAsia" w:ascii="宋体" w:hAnsi="宋体" w:cs="宋体"/>
                <w:color w:val="auto"/>
                <w:sz w:val="21"/>
                <w:szCs w:val="21"/>
                <w:highlight w:val="none"/>
                <w:lang w:val="en-US" w:eastAsia="zh-CN"/>
              </w:rPr>
              <w:t>后</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必须虚心接受，</w:t>
            </w:r>
            <w:r>
              <w:rPr>
                <w:rFonts w:hint="eastAsia" w:ascii="宋体" w:hAnsi="宋体" w:cs="宋体"/>
                <w:color w:val="auto"/>
                <w:sz w:val="21"/>
                <w:szCs w:val="21"/>
                <w:highlight w:val="none"/>
                <w:lang w:val="en-US" w:eastAsia="zh-CN"/>
              </w:rPr>
              <w:t>未在规定时间内完成</w:t>
            </w:r>
            <w:r>
              <w:rPr>
                <w:rFonts w:hint="eastAsia" w:ascii="宋体" w:hAnsi="宋体" w:eastAsia="宋体" w:cs="宋体"/>
                <w:color w:val="auto"/>
                <w:sz w:val="21"/>
                <w:szCs w:val="21"/>
                <w:highlight w:val="none"/>
              </w:rPr>
              <w:t>整改</w:t>
            </w:r>
            <w:r>
              <w:rPr>
                <w:rFonts w:hint="eastAsia" w:ascii="宋体" w:hAnsi="宋体" w:cs="宋体"/>
                <w:color w:val="auto"/>
                <w:sz w:val="21"/>
                <w:szCs w:val="21"/>
                <w:highlight w:val="none"/>
                <w:lang w:val="en-US" w:eastAsia="zh-CN"/>
              </w:rPr>
              <w:t>的每次</w:t>
            </w:r>
            <w:r>
              <w:rPr>
                <w:rFonts w:hint="eastAsia" w:ascii="宋体" w:hAnsi="宋体" w:eastAsia="宋体" w:cs="宋体"/>
                <w:color w:val="auto"/>
                <w:sz w:val="21"/>
                <w:szCs w:val="21"/>
                <w:highlight w:val="none"/>
              </w:rPr>
              <w:t>扣</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1F3674E">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6E136F6">
            <w:pPr>
              <w:shd w:val="clear"/>
              <w:rPr>
                <w:rFonts w:hint="eastAsia" w:ascii="宋体" w:hAnsi="宋体" w:eastAsia="宋体" w:cs="宋体"/>
                <w:color w:val="auto"/>
                <w:sz w:val="21"/>
                <w:szCs w:val="21"/>
                <w:highlight w:val="none"/>
              </w:rPr>
            </w:pPr>
          </w:p>
        </w:tc>
      </w:tr>
      <w:tr w14:paraId="199AFA7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restar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A8762C7">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质量管理</w:t>
            </w:r>
          </w:p>
          <w:p w14:paraId="1872D002">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（分值50）</w:t>
            </w: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408D3BE">
            <w:pPr>
              <w:pStyle w:val="67"/>
              <w:shd w:val="clear"/>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安全</w:t>
            </w:r>
          </w:p>
          <w:p w14:paraId="0B8437E1">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r>
              <w:rPr>
                <w:rFonts w:hint="eastAsia" w:ascii="宋体" w:hAnsi="宋体" w:cs="宋体"/>
                <w:color w:val="auto"/>
                <w:sz w:val="21"/>
                <w:szCs w:val="21"/>
                <w:highlight w:val="none"/>
                <w:lang w:val="en-US" w:eastAsia="zh-CN"/>
              </w:rPr>
              <w:t>20</w:t>
            </w:r>
            <w:r>
              <w:rPr>
                <w:rFonts w:hint="eastAsia" w:ascii="宋体" w:hAnsi="宋体" w:eastAsia="宋体" w:cs="宋体"/>
                <w:color w:val="auto"/>
                <w:sz w:val="21"/>
                <w:szCs w:val="21"/>
                <w:highlight w:val="none"/>
              </w:rPr>
              <w:t>）</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B81D286">
            <w:pPr>
              <w:pStyle w:val="67"/>
              <w:shd w:val="clear"/>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因配送食材出现质量问题而造成食物中毒，每次扣</w:t>
            </w:r>
            <w:r>
              <w:rPr>
                <w:rFonts w:hint="eastAsia" w:ascii="宋体" w:hAnsi="宋体" w:cs="宋体"/>
                <w:color w:val="auto"/>
                <w:sz w:val="21"/>
                <w:szCs w:val="21"/>
                <w:highlight w:val="none"/>
                <w:lang w:val="en-US" w:eastAsia="zh-CN"/>
              </w:rPr>
              <w:t>20</w:t>
            </w:r>
            <w:r>
              <w:rPr>
                <w:rFonts w:hint="eastAsia" w:ascii="宋体" w:hAnsi="宋体" w:eastAsia="宋体" w:cs="宋体"/>
                <w:color w:val="auto"/>
                <w:sz w:val="21"/>
                <w:szCs w:val="21"/>
                <w:highlight w:val="none"/>
              </w:rPr>
              <w:t>分。并承担由此造成的全部法律责任及经济损失赔偿责任（包括但不限于食物中毒人员医疗费、误工费、事故处理费等）</w:t>
            </w:r>
          </w:p>
          <w:p w14:paraId="00EA8198">
            <w:pPr>
              <w:pStyle w:val="67"/>
              <w:shd w:val="clear"/>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没有建立、健全本单位安全生产责任制，制定安全生产规章制度和操作规程，或违反制度操作的，每次扣2分。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D17CB8B">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8956BEB">
            <w:pPr>
              <w:shd w:val="clear"/>
              <w:rPr>
                <w:rFonts w:hint="eastAsia" w:ascii="宋体" w:hAnsi="宋体" w:eastAsia="宋体" w:cs="宋体"/>
                <w:color w:val="auto"/>
                <w:sz w:val="21"/>
                <w:szCs w:val="21"/>
                <w:highlight w:val="none"/>
              </w:rPr>
            </w:pPr>
          </w:p>
        </w:tc>
      </w:tr>
      <w:tr w14:paraId="2826B29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72091B6C">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D481DB0">
            <w:pPr>
              <w:pStyle w:val="23"/>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货品数量</w:t>
            </w:r>
            <w:r>
              <w:rPr>
                <w:rFonts w:hint="eastAsia" w:ascii="宋体" w:hAnsi="宋体" w:cs="宋体"/>
                <w:color w:val="auto"/>
                <w:sz w:val="21"/>
                <w:szCs w:val="21"/>
                <w:highlight w:val="none"/>
                <w:lang w:val="en-US" w:eastAsia="zh-CN"/>
              </w:rPr>
              <w:t>、重量</w:t>
            </w:r>
          </w:p>
          <w:p w14:paraId="36A42AF6">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5DD3CBA">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要求按订单供应准确数量</w:t>
            </w:r>
            <w:r>
              <w:rPr>
                <w:rFonts w:hint="eastAsia" w:ascii="宋体" w:hAnsi="宋体" w:cs="宋体"/>
                <w:color w:val="auto"/>
                <w:sz w:val="21"/>
                <w:szCs w:val="21"/>
                <w:highlight w:val="none"/>
                <w:lang w:val="en-US" w:eastAsia="zh-CN"/>
              </w:rPr>
              <w:t>、重量</w:t>
            </w:r>
            <w:r>
              <w:rPr>
                <w:rFonts w:hint="eastAsia" w:ascii="宋体" w:hAnsi="宋体" w:eastAsia="宋体" w:cs="宋体"/>
                <w:color w:val="auto"/>
                <w:sz w:val="21"/>
                <w:szCs w:val="21"/>
                <w:highlight w:val="none"/>
                <w:lang w:val="en-US" w:eastAsia="zh-CN"/>
              </w:rPr>
              <w:t>（误差</w:t>
            </w:r>
            <w:r>
              <w:rPr>
                <w:rFonts w:hint="eastAsia" w:ascii="宋体" w:hAnsi="宋体" w:cs="宋体"/>
                <w:color w:val="auto"/>
                <w:sz w:val="21"/>
                <w:szCs w:val="21"/>
                <w:highlight w:val="none"/>
                <w:lang w:val="en-US" w:eastAsia="zh-CN"/>
              </w:rPr>
              <w:t>应控制在</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%内）。</w:t>
            </w:r>
          </w:p>
          <w:p w14:paraId="0E297CAB">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%≤供货数量</w:t>
            </w:r>
            <w:r>
              <w:rPr>
                <w:rFonts w:hint="eastAsia" w:ascii="宋体" w:hAnsi="宋体" w:cs="宋体"/>
                <w:color w:val="auto"/>
                <w:sz w:val="21"/>
                <w:szCs w:val="21"/>
                <w:highlight w:val="none"/>
                <w:lang w:val="en-US" w:eastAsia="zh-CN"/>
              </w:rPr>
              <w:t>、重量</w:t>
            </w:r>
            <w:r>
              <w:rPr>
                <w:rFonts w:hint="eastAsia" w:ascii="宋体" w:hAnsi="宋体" w:eastAsia="宋体" w:cs="宋体"/>
                <w:color w:val="auto"/>
                <w:sz w:val="21"/>
                <w:szCs w:val="21"/>
                <w:highlight w:val="none"/>
                <w:lang w:val="en-US" w:eastAsia="zh-CN"/>
              </w:rPr>
              <w:t>误差≤±</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%，每次扣1分；</w:t>
            </w:r>
          </w:p>
          <w:p w14:paraId="7B4221E0">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%&lt;供货数量</w:t>
            </w:r>
            <w:r>
              <w:rPr>
                <w:rFonts w:hint="eastAsia" w:ascii="宋体" w:hAnsi="宋体" w:cs="宋体"/>
                <w:color w:val="auto"/>
                <w:sz w:val="21"/>
                <w:szCs w:val="21"/>
                <w:highlight w:val="none"/>
                <w:lang w:val="en-US" w:eastAsia="zh-CN"/>
              </w:rPr>
              <w:t>、重量</w:t>
            </w:r>
            <w:r>
              <w:rPr>
                <w:rFonts w:hint="eastAsia" w:ascii="宋体" w:hAnsi="宋体" w:eastAsia="宋体" w:cs="宋体"/>
                <w:color w:val="auto"/>
                <w:sz w:val="21"/>
                <w:szCs w:val="21"/>
                <w:highlight w:val="none"/>
                <w:lang w:val="en-US" w:eastAsia="zh-CN"/>
              </w:rPr>
              <w:t>误差≤±</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0%，每次扣2分</w:t>
            </w:r>
            <w:r>
              <w:rPr>
                <w:rFonts w:hint="eastAsia" w:ascii="宋体" w:hAnsi="宋体" w:cs="宋体"/>
                <w:color w:val="auto"/>
                <w:sz w:val="21"/>
                <w:szCs w:val="21"/>
                <w:highlight w:val="none"/>
                <w:lang w:val="en-US" w:eastAsia="zh-CN"/>
              </w:rPr>
              <w:t>；</w:t>
            </w:r>
          </w:p>
          <w:p w14:paraId="6243AD8C">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供货数量</w:t>
            </w:r>
            <w:r>
              <w:rPr>
                <w:rFonts w:hint="eastAsia" w:ascii="宋体" w:hAnsi="宋体" w:cs="宋体"/>
                <w:color w:val="auto"/>
                <w:sz w:val="21"/>
                <w:szCs w:val="21"/>
                <w:highlight w:val="none"/>
                <w:lang w:val="en-US" w:eastAsia="zh-CN"/>
              </w:rPr>
              <w:t>、重量</w:t>
            </w:r>
            <w:r>
              <w:rPr>
                <w:rFonts w:hint="eastAsia" w:ascii="宋体" w:hAnsi="宋体" w:eastAsia="宋体" w:cs="宋体"/>
                <w:color w:val="auto"/>
                <w:sz w:val="21"/>
                <w:szCs w:val="21"/>
                <w:highlight w:val="none"/>
                <w:lang w:val="en-US" w:eastAsia="zh-CN"/>
              </w:rPr>
              <w:t>误差&gt;±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0%，每次扣3分。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BF49FD6">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E4D354C">
            <w:pPr>
              <w:shd w:val="clear"/>
              <w:rPr>
                <w:rFonts w:hint="eastAsia" w:ascii="宋体" w:hAnsi="宋体" w:eastAsia="宋体" w:cs="宋体"/>
                <w:color w:val="auto"/>
                <w:sz w:val="21"/>
                <w:szCs w:val="21"/>
                <w:highlight w:val="none"/>
              </w:rPr>
            </w:pPr>
          </w:p>
        </w:tc>
      </w:tr>
      <w:tr w14:paraId="31D72A8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7A46B409">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47F8C09">
            <w:pPr>
              <w:pStyle w:val="67"/>
              <w:shd w:val="clear"/>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货品质量</w:t>
            </w:r>
            <w:r>
              <w:rPr>
                <w:rFonts w:hint="eastAsia" w:ascii="宋体" w:hAnsi="宋体" w:eastAsia="宋体" w:cs="宋体"/>
                <w:color w:val="auto"/>
                <w:sz w:val="21"/>
                <w:szCs w:val="21"/>
                <w:highlight w:val="none"/>
              </w:rPr>
              <w:t>（分值</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BE3726C">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要求货品新鲜、质优。</w:t>
            </w:r>
          </w:p>
          <w:p w14:paraId="608A2A81">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1、送来货品，品相一般，但都可使用，未变质，每次扣1分；</w:t>
            </w:r>
          </w:p>
          <w:p w14:paraId="5A4630B2">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2、送来货品，品相较差，但都可使用，未变质，每次扣2分；</w:t>
            </w:r>
          </w:p>
          <w:p w14:paraId="2060FCE8">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3、送来货品，剩余保质期短于该货品标明保质期75%的，每次扣5分；</w:t>
            </w:r>
          </w:p>
          <w:p w14:paraId="272A9E61">
            <w:pPr>
              <w:pStyle w:val="67"/>
              <w:shd w:val="clear"/>
              <w:jc w:val="both"/>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CN"/>
              </w:rPr>
              <w:t>4、送来货品，未按照要求进行冷链运输，过期或变质，每次扣15分。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A556AFD">
            <w:pPr>
              <w:pStyle w:val="67"/>
              <w:shd w:val="clear"/>
              <w:jc w:val="both"/>
              <w:rPr>
                <w:rFonts w:hint="eastAsia" w:ascii="宋体" w:hAnsi="宋体" w:eastAsia="宋体" w:cs="宋体"/>
                <w:color w:val="auto"/>
                <w:sz w:val="21"/>
                <w:szCs w:val="21"/>
                <w:highlight w:val="none"/>
                <w:lang w:val="en-US" w:eastAsia="zh-Hans"/>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5B595AD">
            <w:pPr>
              <w:shd w:val="clear"/>
              <w:rPr>
                <w:rFonts w:hint="eastAsia" w:ascii="宋体" w:hAnsi="宋体" w:eastAsia="宋体" w:cs="宋体"/>
                <w:color w:val="auto"/>
                <w:sz w:val="21"/>
                <w:szCs w:val="21"/>
                <w:highlight w:val="none"/>
              </w:rPr>
            </w:pPr>
          </w:p>
        </w:tc>
      </w:tr>
      <w:tr w14:paraId="5F6B4E0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restar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F6F6B4C">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科学管理</w:t>
            </w:r>
          </w:p>
          <w:p w14:paraId="4BD70DEC">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（分值20）</w:t>
            </w: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E98C908">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价格公道</w:t>
            </w:r>
          </w:p>
          <w:p w14:paraId="58ADE2C4">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78A5E25">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以①东莞市发展和改革局最新公布的“东莞市菜篮子价格监测表”当期价格作为基准价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②“东莞市菜篮子价格监测表”</w:t>
            </w:r>
            <w:r>
              <w:rPr>
                <w:rFonts w:hint="eastAsia" w:ascii="宋体" w:hAnsi="宋体" w:cs="宋体"/>
                <w:color w:val="auto"/>
                <w:sz w:val="21"/>
                <w:szCs w:val="21"/>
                <w:highlight w:val="none"/>
                <w:lang w:val="en-US" w:eastAsia="zh-CN"/>
              </w:rPr>
              <w:t>未公布的品种，</w:t>
            </w:r>
            <w:r>
              <w:rPr>
                <w:rFonts w:hint="eastAsia" w:ascii="宋体" w:hAnsi="宋体" w:eastAsia="宋体" w:cs="宋体"/>
                <w:color w:val="auto"/>
                <w:sz w:val="21"/>
                <w:szCs w:val="21"/>
                <w:highlight w:val="none"/>
              </w:rPr>
              <w:t>以附近三个市场</w:t>
            </w:r>
            <w:r>
              <w:rPr>
                <w:rFonts w:hint="eastAsia" w:ascii="宋体" w:hAnsi="宋体" w:cs="宋体"/>
                <w:color w:val="auto"/>
                <w:sz w:val="21"/>
                <w:szCs w:val="21"/>
                <w:highlight w:val="none"/>
                <w:lang w:eastAsia="zh-CN"/>
              </w:rPr>
              <w:t>（</w:t>
            </w:r>
            <w:r>
              <w:rPr>
                <w:rFonts w:hint="eastAsia" w:cs="宋体"/>
                <w:color w:val="auto"/>
                <w:spacing w:val="-6"/>
                <w:sz w:val="21"/>
                <w:szCs w:val="21"/>
                <w:highlight w:val="none"/>
                <w:lang w:val="en-US" w:eastAsia="zh-CN"/>
              </w:rPr>
              <w:t>常平镇木伦市场、常平镇横江厦市场、常平镇金美市场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的</w:t>
            </w:r>
            <w:r>
              <w:rPr>
                <w:rFonts w:hint="eastAsia" w:ascii="宋体" w:hAnsi="宋体" w:cs="宋体"/>
                <w:color w:val="auto"/>
                <w:sz w:val="21"/>
                <w:szCs w:val="21"/>
                <w:highlight w:val="none"/>
                <w:lang w:val="en-US" w:eastAsia="zh-CN"/>
              </w:rPr>
              <w:t>市场</w:t>
            </w:r>
            <w:r>
              <w:rPr>
                <w:rFonts w:hint="eastAsia" w:ascii="宋体" w:hAnsi="宋体" w:eastAsia="宋体" w:cs="宋体"/>
                <w:color w:val="auto"/>
                <w:sz w:val="21"/>
                <w:szCs w:val="21"/>
                <w:highlight w:val="none"/>
              </w:rPr>
              <w:t>平均价</w:t>
            </w:r>
            <w:r>
              <w:rPr>
                <w:rFonts w:hint="eastAsia" w:ascii="宋体" w:hAnsi="宋体" w:cs="宋体"/>
                <w:color w:val="auto"/>
                <w:sz w:val="21"/>
                <w:szCs w:val="21"/>
                <w:highlight w:val="none"/>
                <w:lang w:val="en-US" w:eastAsia="zh-CN"/>
              </w:rPr>
              <w:t>格</w:t>
            </w:r>
            <w:r>
              <w:rPr>
                <w:rFonts w:hint="eastAsia" w:ascii="宋体" w:hAnsi="宋体" w:eastAsia="宋体" w:cs="宋体"/>
                <w:color w:val="auto"/>
                <w:sz w:val="21"/>
                <w:szCs w:val="21"/>
                <w:highlight w:val="none"/>
              </w:rPr>
              <w:t>作为基准价）。对价格不符合市场价或未及时更新价格表的，每次扣</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85238DE">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D228EEC">
            <w:pPr>
              <w:shd w:val="clear"/>
              <w:rPr>
                <w:rFonts w:hint="eastAsia" w:ascii="宋体" w:hAnsi="宋体" w:eastAsia="宋体" w:cs="宋体"/>
                <w:color w:val="auto"/>
                <w:sz w:val="21"/>
                <w:szCs w:val="21"/>
                <w:highlight w:val="none"/>
              </w:rPr>
            </w:pPr>
          </w:p>
        </w:tc>
      </w:tr>
      <w:tr w14:paraId="52DF22D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1CB93FA7">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1627E51">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廉洁自律</w:t>
            </w:r>
          </w:p>
          <w:p w14:paraId="7CF0C6DA">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（分值10）</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6AACEE3">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廉洁自律，严禁向主管人员或收货人进行物质、金钱行贿。经发现，每次扣10分。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B528F3B">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387837C">
            <w:pPr>
              <w:shd w:val="clear"/>
              <w:rPr>
                <w:rFonts w:hint="eastAsia" w:ascii="宋体" w:hAnsi="宋体" w:eastAsia="宋体" w:cs="宋体"/>
                <w:color w:val="auto"/>
                <w:sz w:val="21"/>
                <w:szCs w:val="21"/>
                <w:highlight w:val="none"/>
              </w:rPr>
            </w:pPr>
          </w:p>
        </w:tc>
      </w:tr>
      <w:tr w14:paraId="4910C90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0" w:type="auto"/>
            <w:gridSpan w:val="3"/>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3735A33">
            <w:pPr>
              <w:pStyle w:val="67"/>
              <w:shd w:val="clea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合计得分（满分100分）</w:t>
            </w:r>
          </w:p>
          <w:p w14:paraId="244A96F1">
            <w:pPr>
              <w:pStyle w:val="67"/>
              <w:shd w:val="clear"/>
              <w:jc w:val="left"/>
              <w:rPr>
                <w:rFonts w:hint="eastAsia" w:ascii="宋体" w:hAnsi="宋体" w:eastAsia="宋体" w:cs="宋体"/>
                <w:color w:val="auto"/>
                <w:sz w:val="21"/>
                <w:szCs w:val="21"/>
                <w:highlight w:val="none"/>
              </w:rPr>
            </w:pPr>
          </w:p>
          <w:p w14:paraId="70893B5E">
            <w:pPr>
              <w:pStyle w:val="67"/>
              <w:shd w:val="clear"/>
              <w:jc w:val="left"/>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6C50675">
            <w:pPr>
              <w:pStyle w:val="67"/>
              <w:shd w:val="clear"/>
              <w:jc w:val="left"/>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ECF245E">
            <w:pPr>
              <w:shd w:val="clear"/>
              <w:jc w:val="left"/>
              <w:rPr>
                <w:rFonts w:hint="eastAsia" w:ascii="宋体" w:hAnsi="宋体" w:eastAsia="宋体" w:cs="宋体"/>
                <w:color w:val="auto"/>
                <w:sz w:val="21"/>
                <w:szCs w:val="21"/>
                <w:highlight w:val="none"/>
              </w:rPr>
            </w:pPr>
          </w:p>
        </w:tc>
      </w:tr>
      <w:tr w14:paraId="2095F98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0" w:type="auto"/>
            <w:gridSpan w:val="5"/>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5C572D8">
            <w:pPr>
              <w:pStyle w:val="67"/>
              <w:shd w:val="clear"/>
              <w:jc w:val="left"/>
              <w:rPr>
                <w:rFonts w:hint="eastAsia" w:ascii="宋体" w:hAnsi="宋体" w:eastAsia="宋体" w:cs="宋体"/>
                <w:color w:val="auto"/>
                <w:sz w:val="21"/>
                <w:szCs w:val="21"/>
                <w:highlight w:val="none"/>
              </w:rPr>
            </w:pPr>
          </w:p>
          <w:p w14:paraId="7A018634">
            <w:pPr>
              <w:pStyle w:val="67"/>
              <w:shd w:val="clea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考核月份：     年  月  评分时间：     年</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w:t>
            </w:r>
          </w:p>
          <w:p w14:paraId="3179A981">
            <w:pPr>
              <w:pStyle w:val="67"/>
              <w:shd w:val="clear"/>
              <w:jc w:val="left"/>
              <w:rPr>
                <w:rFonts w:hint="eastAsia" w:ascii="宋体" w:hAnsi="宋体" w:eastAsia="宋体" w:cs="宋体"/>
                <w:color w:val="auto"/>
                <w:sz w:val="21"/>
                <w:szCs w:val="21"/>
                <w:highlight w:val="none"/>
              </w:rPr>
            </w:pPr>
          </w:p>
        </w:tc>
      </w:tr>
      <w:tr w14:paraId="5BEAC7B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0" w:type="auto"/>
            <w:gridSpan w:val="5"/>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2358F90">
            <w:pPr>
              <w:pStyle w:val="67"/>
              <w:shd w:val="clear"/>
              <w:jc w:val="left"/>
              <w:rPr>
                <w:rFonts w:hint="eastAsia" w:ascii="宋体" w:hAnsi="宋体" w:eastAsia="宋体" w:cs="宋体"/>
                <w:color w:val="auto"/>
                <w:sz w:val="21"/>
                <w:szCs w:val="21"/>
                <w:highlight w:val="none"/>
              </w:rPr>
            </w:pPr>
          </w:p>
          <w:p w14:paraId="32F270CA">
            <w:pPr>
              <w:pStyle w:val="67"/>
              <w:shd w:val="clea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采购人评分人员（不少于5人）签名（盖公章）：</w:t>
            </w:r>
          </w:p>
          <w:p w14:paraId="3F43EA02">
            <w:pPr>
              <w:pStyle w:val="67"/>
              <w:shd w:val="clear"/>
              <w:jc w:val="left"/>
              <w:rPr>
                <w:rFonts w:hint="eastAsia" w:ascii="宋体" w:hAnsi="宋体" w:eastAsia="宋体" w:cs="宋体"/>
                <w:color w:val="auto"/>
                <w:sz w:val="21"/>
                <w:szCs w:val="21"/>
                <w:highlight w:val="none"/>
              </w:rPr>
            </w:pPr>
          </w:p>
          <w:p w14:paraId="23004564">
            <w:pPr>
              <w:pStyle w:val="67"/>
              <w:shd w:val="clea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中标人责任人员签名（盖公章）：</w:t>
            </w:r>
          </w:p>
          <w:p w14:paraId="28EEEF52">
            <w:pPr>
              <w:pStyle w:val="67"/>
              <w:shd w:val="clear"/>
              <w:jc w:val="left"/>
              <w:rPr>
                <w:rFonts w:hint="eastAsia" w:ascii="宋体" w:hAnsi="宋体" w:eastAsia="宋体" w:cs="宋体"/>
                <w:color w:val="auto"/>
                <w:sz w:val="21"/>
                <w:szCs w:val="21"/>
                <w:highlight w:val="none"/>
              </w:rPr>
            </w:pPr>
          </w:p>
        </w:tc>
      </w:tr>
    </w:tbl>
    <w:p w14:paraId="08C833FD">
      <w:pPr>
        <w:shd w:val="clear"/>
        <w:rPr>
          <w:rFonts w:hint="eastAsia" w:ascii="宋体" w:hAnsi="宋体"/>
          <w:color w:val="auto"/>
          <w:highlight w:val="none"/>
        </w:rPr>
      </w:pPr>
      <w:r>
        <w:rPr>
          <w:rFonts w:hint="eastAsia" w:ascii="宋体" w:hAnsi="宋体"/>
          <w:color w:val="auto"/>
          <w:highlight w:val="none"/>
        </w:rPr>
        <w:br w:type="page"/>
      </w:r>
    </w:p>
    <w:p w14:paraId="5A479227">
      <w:pPr>
        <w:pStyle w:val="4"/>
        <w:shd w:val="clear"/>
        <w:jc w:val="center"/>
        <w:rPr>
          <w:rFonts w:hint="eastAsia" w:ascii="宋体" w:hAnsi="宋体" w:eastAsia="宋体"/>
          <w:color w:val="auto"/>
          <w:highlight w:val="none"/>
          <w:lang w:eastAsia="zh-CN"/>
        </w:rPr>
      </w:pPr>
      <w:r>
        <w:rPr>
          <w:rFonts w:hint="eastAsia" w:ascii="宋体" w:hAnsi="宋体"/>
          <w:color w:val="auto"/>
          <w:highlight w:val="none"/>
        </w:rPr>
        <w:t>第一章 商务需求书</w:t>
      </w:r>
      <w:bookmarkEnd w:id="180"/>
      <w:r>
        <w:rPr>
          <w:rFonts w:hint="eastAsia" w:ascii="宋体" w:hAnsi="宋体"/>
          <w:color w:val="auto"/>
          <w:highlight w:val="none"/>
          <w:lang w:eastAsia="zh-CN"/>
        </w:rPr>
        <w:t>（</w:t>
      </w:r>
      <w:r>
        <w:rPr>
          <w:rFonts w:hint="eastAsia" w:ascii="宋体" w:hAnsi="宋体"/>
          <w:color w:val="auto"/>
          <w:highlight w:val="none"/>
          <w:lang w:val="en-US" w:eastAsia="zh-CN"/>
        </w:rPr>
        <w:t>采购包1</w:t>
      </w:r>
      <w:r>
        <w:rPr>
          <w:rFonts w:hint="eastAsia" w:ascii="宋体" w:hAnsi="宋体"/>
          <w:color w:val="auto"/>
          <w:highlight w:val="none"/>
          <w:lang w:eastAsia="zh-CN"/>
        </w:rPr>
        <w:t>）</w:t>
      </w:r>
    </w:p>
    <w:tbl>
      <w:tblPr>
        <w:tblStyle w:val="25"/>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74"/>
        <w:gridCol w:w="7245"/>
      </w:tblGrid>
      <w:tr w14:paraId="097205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8" w:type="pct"/>
            <w:noWrap w:val="0"/>
            <w:vAlign w:val="center"/>
          </w:tcPr>
          <w:p w14:paraId="4F9CED60">
            <w:pPr>
              <w:keepNext w:val="0"/>
              <w:keepLines w:val="0"/>
              <w:pageBreakBefore w:val="0"/>
              <w:shd w:val="clear"/>
              <w:kinsoku/>
              <w:wordWrap/>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标的提供的时间</w:t>
            </w:r>
          </w:p>
        </w:tc>
        <w:tc>
          <w:tcPr>
            <w:tcW w:w="4251" w:type="pct"/>
            <w:noWrap w:val="0"/>
            <w:vAlign w:val="center"/>
          </w:tcPr>
          <w:p w14:paraId="7A188D4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自合同签订之日起</w:t>
            </w:r>
            <w:r>
              <w:rPr>
                <w:rFonts w:hint="eastAsia" w:ascii="宋体" w:hAnsi="宋体" w:cs="宋体"/>
                <w:color w:val="auto"/>
                <w:sz w:val="21"/>
                <w:szCs w:val="21"/>
                <w:highlight w:val="none"/>
                <w:lang w:eastAsia="zh-CN"/>
              </w:rPr>
              <w:t>35个月</w:t>
            </w:r>
            <w:r>
              <w:rPr>
                <w:rFonts w:hint="eastAsia" w:ascii="宋体" w:hAnsi="宋体" w:eastAsia="宋体" w:cs="宋体"/>
                <w:color w:val="auto"/>
                <w:sz w:val="21"/>
                <w:szCs w:val="21"/>
                <w:highlight w:val="none"/>
                <w:lang w:eastAsia="zh-CN"/>
              </w:rPr>
              <w:t>。（具体以合同签订时间为准）</w:t>
            </w:r>
          </w:p>
        </w:tc>
      </w:tr>
      <w:tr w14:paraId="104DF4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8" w:type="pct"/>
            <w:noWrap w:val="0"/>
            <w:vAlign w:val="center"/>
          </w:tcPr>
          <w:p w14:paraId="64768832">
            <w:pPr>
              <w:keepNext w:val="0"/>
              <w:keepLines w:val="0"/>
              <w:pageBreakBefore w:val="0"/>
              <w:shd w:val="clear"/>
              <w:kinsoku/>
              <w:wordWrap/>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标的提供的地点</w:t>
            </w:r>
          </w:p>
        </w:tc>
        <w:tc>
          <w:tcPr>
            <w:tcW w:w="4251" w:type="pct"/>
            <w:noWrap w:val="0"/>
            <w:vAlign w:val="center"/>
          </w:tcPr>
          <w:p w14:paraId="6905C06F">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东莞市常平镇</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如有变化另行通知</w:t>
            </w:r>
            <w:r>
              <w:rPr>
                <w:rFonts w:hint="eastAsia" w:ascii="宋体" w:hAnsi="宋体" w:cs="宋体"/>
                <w:color w:val="auto"/>
                <w:sz w:val="21"/>
                <w:szCs w:val="21"/>
                <w:highlight w:val="none"/>
                <w:lang w:eastAsia="zh-CN"/>
              </w:rPr>
              <w:t>）</w:t>
            </w:r>
          </w:p>
        </w:tc>
      </w:tr>
      <w:tr w14:paraId="38DEE9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8" w:type="pct"/>
            <w:noWrap w:val="0"/>
            <w:vAlign w:val="center"/>
          </w:tcPr>
          <w:p w14:paraId="3F3BFAF9">
            <w:pPr>
              <w:keepNext w:val="0"/>
              <w:keepLines w:val="0"/>
              <w:pageBreakBefore w:val="0"/>
              <w:shd w:val="clear"/>
              <w:kinsoku/>
              <w:wordWrap/>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4251" w:type="pct"/>
            <w:noWrap w:val="0"/>
            <w:vAlign w:val="center"/>
          </w:tcPr>
          <w:p w14:paraId="36B7A446">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1.按月结算费用</w:t>
            </w:r>
            <w:r>
              <w:rPr>
                <w:rFonts w:hint="eastAsia" w:ascii="宋体" w:hAnsi="宋体" w:eastAsia="宋体" w:cs="宋体"/>
                <w:color w:val="auto"/>
                <w:sz w:val="21"/>
                <w:szCs w:val="21"/>
                <w:highlight w:val="none"/>
                <w:lang w:eastAsia="zh-CN"/>
              </w:rPr>
              <w:t>，按实支付，本合同的每笔款项均以银行电汇方式支付，具体付款要求如下：双方采取先送货后结款的方式，</w:t>
            </w:r>
            <w:r>
              <w:rPr>
                <w:rFonts w:hint="eastAsia" w:ascii="宋体" w:hAnsi="宋体" w:cs="宋体"/>
                <w:color w:val="auto"/>
                <w:sz w:val="21"/>
                <w:szCs w:val="21"/>
                <w:highlight w:val="none"/>
                <w:lang w:val="en-US" w:eastAsia="zh-CN"/>
              </w:rPr>
              <w:t>当月结算上月货款</w:t>
            </w:r>
            <w:r>
              <w:rPr>
                <w:rFonts w:hint="eastAsia" w:ascii="宋体" w:hAnsi="宋体" w:eastAsia="宋体" w:cs="宋体"/>
                <w:color w:val="auto"/>
                <w:sz w:val="21"/>
                <w:szCs w:val="21"/>
                <w:highlight w:val="none"/>
                <w:lang w:eastAsia="zh-CN"/>
              </w:rPr>
              <w:t>。双方应在每月10日前核对上期货款</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遇节假日顺延</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中标人核对货款时应当提交双方确认的送货单、报价单、《供应商月度评价表》，</w:t>
            </w:r>
            <w:r>
              <w:rPr>
                <w:rFonts w:hint="eastAsia" w:ascii="宋体" w:hAnsi="宋体" w:eastAsia="宋体" w:cs="宋体"/>
                <w:color w:val="auto"/>
                <w:sz w:val="21"/>
                <w:szCs w:val="21"/>
                <w:highlight w:val="none"/>
                <w:lang w:eastAsia="zh-CN"/>
              </w:rPr>
              <w:t>中标人根据双方核对无误确认好的金额开具发票给采购人请款，采购人应在收到中标人发票后的30个工作日内支付上月的货款，采购人以银行转账方式将货款一次性转入中标人书面指定的银行账户</w:t>
            </w:r>
            <w:r>
              <w:rPr>
                <w:rFonts w:hint="eastAsia" w:ascii="宋体" w:hAnsi="宋体" w:cs="宋体"/>
                <w:color w:val="auto"/>
                <w:sz w:val="21"/>
                <w:szCs w:val="21"/>
                <w:highlight w:val="none"/>
                <w:lang w:eastAsia="zh-CN"/>
              </w:rPr>
              <w:t>【</w:t>
            </w:r>
            <w:r>
              <w:rPr>
                <w:rFonts w:hint="eastAsia" w:ascii="宋体" w:hAnsi="宋体" w:eastAsia="宋体" w:cs="宋体"/>
                <w:color w:val="auto"/>
                <w:spacing w:val="-3"/>
                <w:sz w:val="21"/>
                <w:szCs w:val="21"/>
                <w:highlight w:val="none"/>
              </w:rPr>
              <w:t>其中：货品结算价格=经采</w:t>
            </w:r>
            <w:r>
              <w:rPr>
                <w:rFonts w:hint="eastAsia" w:ascii="宋体" w:hAnsi="宋体" w:eastAsia="宋体" w:cs="宋体"/>
                <w:color w:val="auto"/>
                <w:spacing w:val="-4"/>
                <w:sz w:val="21"/>
                <w:szCs w:val="21"/>
                <w:highlight w:val="none"/>
              </w:rPr>
              <w:t>购人核定确认的基准价×（1-中标下浮率）</w:t>
            </w:r>
            <w:r>
              <w:rPr>
                <w:rFonts w:hint="eastAsia" w:ascii="宋体" w:hAnsi="宋体" w:cs="宋体"/>
                <w:color w:val="auto"/>
                <w:spacing w:val="-4"/>
                <w:sz w:val="21"/>
                <w:szCs w:val="21"/>
                <w:highlight w:val="none"/>
                <w:lang w:eastAsia="zh-CN"/>
              </w:rPr>
              <w:t>；</w:t>
            </w:r>
            <w:r>
              <w:rPr>
                <w:rFonts w:hint="eastAsia" w:ascii="宋体" w:hAnsi="宋体" w:cs="宋体"/>
                <w:color w:val="auto"/>
                <w:spacing w:val="-4"/>
                <w:sz w:val="21"/>
                <w:szCs w:val="21"/>
                <w:highlight w:val="none"/>
                <w:lang w:val="en-US" w:eastAsia="zh-CN"/>
              </w:rPr>
              <w:t>货款结算额=</w:t>
            </w:r>
            <w:r>
              <w:rPr>
                <w:rFonts w:hint="eastAsia" w:ascii="宋体" w:hAnsi="宋体" w:eastAsia="宋体" w:cs="宋体"/>
                <w:color w:val="auto"/>
                <w:spacing w:val="-3"/>
                <w:sz w:val="21"/>
                <w:szCs w:val="21"/>
                <w:highlight w:val="none"/>
              </w:rPr>
              <w:t>货品结算价</w:t>
            </w:r>
            <w:r>
              <w:rPr>
                <w:rFonts w:hint="eastAsia" w:ascii="宋体" w:hAnsi="宋体" w:eastAsia="宋体" w:cs="宋体"/>
                <w:color w:val="auto"/>
                <w:spacing w:val="-3"/>
                <w:sz w:val="21"/>
                <w:szCs w:val="21"/>
                <w:highlight w:val="none"/>
                <w:lang w:val="en-US" w:eastAsia="zh-CN"/>
              </w:rPr>
              <w:t>×实际采购量-扣款（如有）</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w:t>
            </w:r>
          </w:p>
          <w:p w14:paraId="52E15A92">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00" w:firstLineChars="200"/>
              <w:textAlignment w:val="auto"/>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 w:val="21"/>
                <w:szCs w:val="21"/>
                <w:highlight w:val="none"/>
              </w:rPr>
              <w:t>2</w:t>
            </w:r>
            <w:r>
              <w:rPr>
                <w:rFonts w:hint="eastAsia" w:cs="宋体"/>
                <w:color w:val="auto"/>
                <w:spacing w:val="-5"/>
                <w:sz w:val="21"/>
                <w:szCs w:val="21"/>
                <w:highlight w:val="none"/>
                <w:lang w:val="en-US" w:eastAsia="zh-CN"/>
              </w:rPr>
              <w:t>.</w:t>
            </w:r>
            <w:r>
              <w:rPr>
                <w:rFonts w:hint="eastAsia" w:ascii="宋体" w:hAnsi="宋体" w:eastAsia="宋体" w:cs="宋体"/>
                <w:color w:val="auto"/>
                <w:spacing w:val="-5"/>
                <w:sz w:val="21"/>
                <w:szCs w:val="21"/>
                <w:highlight w:val="none"/>
              </w:rPr>
              <w:t>收款方、发票的销售方、合同</w:t>
            </w:r>
            <w:r>
              <w:rPr>
                <w:rFonts w:hint="eastAsia" w:cs="宋体"/>
                <w:color w:val="auto"/>
                <w:spacing w:val="-5"/>
                <w:sz w:val="21"/>
                <w:szCs w:val="21"/>
                <w:highlight w:val="none"/>
                <w:lang w:eastAsia="zh-CN"/>
              </w:rPr>
              <w:t>中标人</w:t>
            </w:r>
            <w:r>
              <w:rPr>
                <w:rFonts w:hint="eastAsia" w:ascii="宋体" w:hAnsi="宋体" w:eastAsia="宋体" w:cs="宋体"/>
                <w:color w:val="auto"/>
                <w:spacing w:val="-5"/>
                <w:sz w:val="21"/>
                <w:szCs w:val="21"/>
                <w:highlight w:val="none"/>
              </w:rPr>
              <w:t xml:space="preserve">均必须与中标人名称一致。 </w:t>
            </w:r>
            <w:r>
              <w:rPr>
                <w:rFonts w:hint="eastAsia" w:ascii="宋体" w:hAnsi="宋体" w:eastAsia="宋体" w:cs="宋体"/>
                <w:color w:val="auto"/>
                <w:spacing w:val="-5"/>
                <w:sz w:val="21"/>
                <w:szCs w:val="21"/>
                <w:highlight w:val="none"/>
                <w:lang w:val="en-US" w:eastAsia="zh-CN"/>
              </w:rPr>
              <w:t>若中标人递交材料不符合上述约定的，采购人有权顺延付款时间。如果中标人怠于或者拒绝提供资料或者办理手续的，则因此产生的付款迟延的责任全部由中标人承担。</w:t>
            </w:r>
          </w:p>
          <w:p w14:paraId="0B48E4A7">
            <w:pPr>
              <w:shd w:val="clear"/>
              <w:rPr>
                <w:color w:val="auto"/>
                <w:highlight w:val="none"/>
              </w:rPr>
            </w:pPr>
          </w:p>
          <w:p w14:paraId="593D5F2B">
            <w:pPr>
              <w:keepNext w:val="0"/>
              <w:keepLines w:val="0"/>
              <w:pageBreakBefore w:val="0"/>
              <w:widowControl w:val="0"/>
              <w:shd w:val="clear"/>
              <w:kinsoku/>
              <w:wordWrap/>
              <w:overflowPunct/>
              <w:topLinePunct w:val="0"/>
              <w:autoSpaceDE/>
              <w:autoSpaceDN/>
              <w:bidi w:val="0"/>
              <w:adjustRightInd/>
              <w:snapToGrid/>
              <w:spacing w:line="360" w:lineRule="auto"/>
              <w:ind w:firstLine="412" w:firstLineChars="200"/>
              <w:jc w:val="left"/>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2"/>
                <w:sz w:val="21"/>
                <w:szCs w:val="21"/>
                <w:highlight w:val="none"/>
              </w:rPr>
              <w:t>3</w:t>
            </w:r>
            <w:r>
              <w:rPr>
                <w:rFonts w:hint="eastAsia" w:cs="宋体"/>
                <w:color w:val="auto"/>
                <w:spacing w:val="-2"/>
                <w:sz w:val="21"/>
                <w:szCs w:val="21"/>
                <w:highlight w:val="none"/>
                <w:lang w:val="en-US" w:eastAsia="zh-CN"/>
              </w:rPr>
              <w:t>.</w:t>
            </w:r>
            <w:r>
              <w:rPr>
                <w:rFonts w:hint="eastAsia" w:ascii="宋体" w:hAnsi="宋体" w:eastAsia="宋体" w:cs="宋体"/>
                <w:color w:val="auto"/>
                <w:spacing w:val="-2"/>
                <w:sz w:val="21"/>
                <w:szCs w:val="21"/>
                <w:highlight w:val="none"/>
              </w:rPr>
              <w:t>因特殊原因需要提早或延迟结算的，经采购人</w:t>
            </w:r>
            <w:r>
              <w:rPr>
                <w:rFonts w:hint="eastAsia" w:ascii="宋体" w:hAnsi="宋体" w:eastAsia="宋体" w:cs="宋体"/>
                <w:color w:val="auto"/>
                <w:spacing w:val="-3"/>
                <w:sz w:val="21"/>
                <w:szCs w:val="21"/>
                <w:highlight w:val="none"/>
              </w:rPr>
              <w:t>和中标人双方协商一</w:t>
            </w:r>
            <w:r>
              <w:rPr>
                <w:rFonts w:hint="eastAsia" w:ascii="宋体" w:hAnsi="宋体" w:eastAsia="宋体" w:cs="宋体"/>
                <w:color w:val="auto"/>
                <w:spacing w:val="-8"/>
                <w:sz w:val="21"/>
                <w:szCs w:val="21"/>
                <w:highlight w:val="none"/>
              </w:rPr>
              <w:t>致后执行。</w:t>
            </w:r>
            <w:r>
              <w:rPr>
                <w:rFonts w:hint="eastAsia" w:ascii="宋体" w:hAnsi="宋体" w:eastAsia="宋体" w:cs="宋体"/>
                <w:color w:val="auto"/>
                <w:spacing w:val="-8"/>
                <w:sz w:val="21"/>
                <w:szCs w:val="21"/>
                <w:highlight w:val="none"/>
                <w:lang w:val="en-US" w:eastAsia="zh-CN"/>
              </w:rPr>
              <w:t>因非采购人原因干预无法在约定期限内结算的，不视为采购人违约。</w:t>
            </w:r>
          </w:p>
          <w:p w14:paraId="13CE282B">
            <w:pPr>
              <w:keepNext w:val="0"/>
              <w:keepLines w:val="0"/>
              <w:pageBreakBefore w:val="0"/>
              <w:widowControl w:val="0"/>
              <w:shd w:val="clear"/>
              <w:kinsoku/>
              <w:wordWrap/>
              <w:overflowPunct/>
              <w:topLinePunct w:val="0"/>
              <w:autoSpaceDE/>
              <w:autoSpaceDN/>
              <w:bidi w:val="0"/>
              <w:adjustRightInd/>
              <w:snapToGrid/>
              <w:spacing w:line="360" w:lineRule="auto"/>
              <w:ind w:firstLine="388"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pacing w:val="-8"/>
                <w:sz w:val="21"/>
                <w:szCs w:val="21"/>
                <w:highlight w:val="none"/>
                <w:lang w:val="en-US" w:eastAsia="zh-CN"/>
              </w:rPr>
              <w:t>注：</w:t>
            </w:r>
            <w:r>
              <w:rPr>
                <w:rFonts w:hint="eastAsia" w:ascii="宋体" w:hAnsi="宋体" w:eastAsia="宋体" w:cs="宋体"/>
                <w:color w:val="auto"/>
                <w:spacing w:val="-8"/>
                <w:sz w:val="21"/>
                <w:szCs w:val="21"/>
                <w:highlight w:val="none"/>
              </w:rPr>
              <w:t>因政策的影响，</w:t>
            </w:r>
            <w:r>
              <w:rPr>
                <w:rFonts w:hint="eastAsia" w:ascii="宋体" w:hAnsi="宋体" w:eastAsia="宋体" w:cs="宋体"/>
                <w:color w:val="auto"/>
                <w:spacing w:val="-8"/>
                <w:sz w:val="21"/>
                <w:szCs w:val="21"/>
                <w:highlight w:val="none"/>
                <w:lang w:val="en-US" w:eastAsia="zh-CN"/>
              </w:rPr>
              <w:t>采购人</w:t>
            </w:r>
            <w:r>
              <w:rPr>
                <w:rFonts w:hint="eastAsia" w:ascii="宋体" w:hAnsi="宋体" w:eastAsia="宋体" w:cs="宋体"/>
                <w:color w:val="auto"/>
                <w:spacing w:val="-8"/>
                <w:sz w:val="21"/>
                <w:szCs w:val="21"/>
                <w:highlight w:val="none"/>
              </w:rPr>
              <w:t>拨款未能及时到位，</w:t>
            </w:r>
            <w:r>
              <w:rPr>
                <w:rFonts w:hint="eastAsia" w:ascii="宋体" w:hAnsi="宋体" w:eastAsia="宋体" w:cs="宋体"/>
                <w:color w:val="auto"/>
                <w:spacing w:val="-8"/>
                <w:sz w:val="21"/>
                <w:szCs w:val="21"/>
                <w:highlight w:val="none"/>
                <w:lang w:val="en-US" w:eastAsia="zh-CN"/>
              </w:rPr>
              <w:t>中标人</w:t>
            </w:r>
            <w:r>
              <w:rPr>
                <w:rFonts w:hint="eastAsia" w:ascii="宋体" w:hAnsi="宋体" w:eastAsia="宋体" w:cs="宋体"/>
                <w:color w:val="auto"/>
                <w:spacing w:val="-8"/>
                <w:sz w:val="21"/>
                <w:szCs w:val="21"/>
                <w:highlight w:val="none"/>
              </w:rPr>
              <w:t>不得以此为由不履行本合同规定的义务或者追究</w:t>
            </w:r>
            <w:r>
              <w:rPr>
                <w:rFonts w:hint="eastAsia" w:ascii="宋体" w:hAnsi="宋体" w:eastAsia="宋体" w:cs="宋体"/>
                <w:color w:val="auto"/>
                <w:spacing w:val="-8"/>
                <w:sz w:val="21"/>
                <w:szCs w:val="21"/>
                <w:highlight w:val="none"/>
                <w:lang w:val="en-US" w:eastAsia="zh-CN"/>
              </w:rPr>
              <w:t>采购人</w:t>
            </w:r>
            <w:r>
              <w:rPr>
                <w:rFonts w:hint="eastAsia" w:ascii="宋体" w:hAnsi="宋体" w:eastAsia="宋体" w:cs="宋体"/>
                <w:color w:val="auto"/>
                <w:spacing w:val="-8"/>
                <w:sz w:val="21"/>
                <w:szCs w:val="21"/>
                <w:highlight w:val="none"/>
              </w:rPr>
              <w:t>的违约责任。</w:t>
            </w:r>
          </w:p>
        </w:tc>
      </w:tr>
      <w:tr w14:paraId="69E9A0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8" w:type="pct"/>
            <w:noWrap w:val="0"/>
            <w:vAlign w:val="center"/>
          </w:tcPr>
          <w:p w14:paraId="444DD301">
            <w:pPr>
              <w:keepNext w:val="0"/>
              <w:keepLines w:val="0"/>
              <w:pageBreakBefore w:val="0"/>
              <w:shd w:val="clear"/>
              <w:kinsoku/>
              <w:wordWrap/>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验收要求</w:t>
            </w:r>
          </w:p>
        </w:tc>
        <w:tc>
          <w:tcPr>
            <w:tcW w:w="4251" w:type="pct"/>
            <w:noWrap w:val="0"/>
            <w:vAlign w:val="center"/>
          </w:tcPr>
          <w:p w14:paraId="4FB9BE9D">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12" w:firstLineChars="200"/>
              <w:jc w:val="both"/>
              <w:textAlignment w:val="auto"/>
              <w:rPr>
                <w:rFonts w:hint="eastAsia" w:ascii="宋体" w:hAnsi="宋体" w:eastAsia="宋体" w:cs="宋体"/>
                <w:color w:val="auto"/>
                <w:sz w:val="21"/>
                <w:szCs w:val="21"/>
                <w:highlight w:val="none"/>
              </w:rPr>
            </w:pPr>
            <w:r>
              <w:rPr>
                <w:rFonts w:hint="eastAsia" w:cs="宋体"/>
                <w:color w:val="auto"/>
                <w:spacing w:val="-2"/>
                <w:sz w:val="21"/>
                <w:szCs w:val="21"/>
                <w:highlight w:val="none"/>
                <w:lang w:val="en-US" w:eastAsia="zh-CN"/>
              </w:rPr>
              <w:t>1.</w:t>
            </w:r>
            <w:r>
              <w:rPr>
                <w:rFonts w:hint="eastAsia" w:ascii="宋体" w:hAnsi="宋体" w:eastAsia="宋体" w:cs="宋体"/>
                <w:color w:val="auto"/>
                <w:spacing w:val="-2"/>
                <w:sz w:val="21"/>
                <w:szCs w:val="21"/>
                <w:highlight w:val="none"/>
              </w:rPr>
              <w:t>中标人所供应的货品需要符合国家、广东省和东莞市的相</w:t>
            </w:r>
            <w:r>
              <w:rPr>
                <w:rFonts w:hint="eastAsia" w:ascii="宋体" w:hAnsi="宋体" w:eastAsia="宋体" w:cs="宋体"/>
                <w:color w:val="auto"/>
                <w:spacing w:val="-12"/>
                <w:sz w:val="21"/>
                <w:szCs w:val="21"/>
                <w:highlight w:val="none"/>
              </w:rPr>
              <w:t>关安全质量标准、卫生标准等，同时符合采购人</w:t>
            </w:r>
            <w:r>
              <w:rPr>
                <w:rFonts w:hint="eastAsia" w:ascii="宋体" w:hAnsi="宋体" w:eastAsia="宋体" w:cs="宋体"/>
                <w:color w:val="auto"/>
                <w:spacing w:val="-13"/>
                <w:sz w:val="21"/>
                <w:szCs w:val="21"/>
                <w:highlight w:val="none"/>
              </w:rPr>
              <w:t>的使用要求，包括但</w:t>
            </w:r>
            <w:r>
              <w:rPr>
                <w:rFonts w:hint="eastAsia" w:ascii="宋体" w:hAnsi="宋体" w:eastAsia="宋体" w:cs="宋体"/>
                <w:color w:val="auto"/>
                <w:spacing w:val="-2"/>
                <w:sz w:val="21"/>
                <w:szCs w:val="21"/>
                <w:highlight w:val="none"/>
              </w:rPr>
              <w:t>不限于各类所列的货品质量要求。中标人在接受订单时需要确认采购</w:t>
            </w:r>
            <w:r>
              <w:rPr>
                <w:rFonts w:hint="eastAsia" w:ascii="宋体" w:hAnsi="宋体" w:eastAsia="宋体" w:cs="宋体"/>
                <w:color w:val="auto"/>
                <w:spacing w:val="-11"/>
                <w:sz w:val="21"/>
                <w:szCs w:val="21"/>
                <w:highlight w:val="none"/>
              </w:rPr>
              <w:t>人对货品的使用要求，对于不符合采购人要求的货品，采购人有权拒</w:t>
            </w:r>
            <w:r>
              <w:rPr>
                <w:rFonts w:hint="eastAsia" w:ascii="宋体" w:hAnsi="宋体" w:eastAsia="宋体" w:cs="宋体"/>
                <w:color w:val="auto"/>
                <w:spacing w:val="-6"/>
                <w:sz w:val="21"/>
                <w:szCs w:val="21"/>
                <w:highlight w:val="none"/>
              </w:rPr>
              <w:t>收或要求更换。</w:t>
            </w:r>
          </w:p>
          <w:p w14:paraId="0963CBF2">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16" w:firstLineChars="200"/>
              <w:jc w:val="both"/>
              <w:textAlignment w:val="auto"/>
              <w:rPr>
                <w:rFonts w:hint="eastAsia" w:ascii="宋体" w:hAnsi="宋体" w:eastAsia="宋体" w:cs="宋体"/>
                <w:color w:val="auto"/>
                <w:sz w:val="21"/>
                <w:szCs w:val="21"/>
                <w:highlight w:val="none"/>
              </w:rPr>
            </w:pPr>
            <w:r>
              <w:rPr>
                <w:rFonts w:hint="eastAsia" w:cs="宋体"/>
                <w:color w:val="auto"/>
                <w:spacing w:val="-1"/>
                <w:sz w:val="21"/>
                <w:szCs w:val="21"/>
                <w:highlight w:val="none"/>
                <w:lang w:val="en-US" w:eastAsia="zh-CN"/>
              </w:rPr>
              <w:t>2.</w:t>
            </w:r>
            <w:r>
              <w:rPr>
                <w:rFonts w:hint="eastAsia" w:ascii="宋体" w:hAnsi="宋体" w:eastAsia="宋体" w:cs="宋体"/>
                <w:color w:val="auto"/>
                <w:spacing w:val="-1"/>
                <w:sz w:val="21"/>
                <w:szCs w:val="21"/>
                <w:highlight w:val="none"/>
              </w:rPr>
              <w:t>退（补）货流程：对不符合采购要求的食材由验收人员提</w:t>
            </w:r>
            <w:r>
              <w:rPr>
                <w:rFonts w:hint="eastAsia" w:ascii="宋体" w:hAnsi="宋体" w:eastAsia="宋体" w:cs="宋体"/>
                <w:color w:val="auto"/>
                <w:spacing w:val="-10"/>
                <w:sz w:val="21"/>
                <w:szCs w:val="21"/>
                <w:highlight w:val="none"/>
              </w:rPr>
              <w:t>出清退，退货前应实行留板备案，如双方对质量争议可送国家质监部</w:t>
            </w:r>
            <w:r>
              <w:rPr>
                <w:rFonts w:hint="eastAsia" w:ascii="宋体" w:hAnsi="宋体" w:eastAsia="宋体" w:cs="宋体"/>
                <w:color w:val="auto"/>
                <w:spacing w:val="-7"/>
                <w:sz w:val="21"/>
                <w:szCs w:val="21"/>
                <w:highlight w:val="none"/>
              </w:rPr>
              <w:t>门检测。对缺斤短两（或含水量超标）的应按实际重量扣减。出现退</w:t>
            </w:r>
            <w:r>
              <w:rPr>
                <w:rFonts w:hint="eastAsia" w:ascii="宋体" w:hAnsi="宋体" w:eastAsia="宋体" w:cs="宋体"/>
                <w:color w:val="auto"/>
                <w:spacing w:val="-13"/>
                <w:sz w:val="21"/>
                <w:szCs w:val="21"/>
                <w:highlight w:val="none"/>
              </w:rPr>
              <w:t>（补）</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3"/>
                <w:sz w:val="21"/>
                <w:szCs w:val="21"/>
                <w:highlight w:val="none"/>
              </w:rPr>
              <w:t>货情况，应及时报告。在退货过程中，对有碍公共卫生安全的</w:t>
            </w:r>
            <w:r>
              <w:rPr>
                <w:rFonts w:hint="eastAsia" w:cs="宋体"/>
                <w:color w:val="auto"/>
                <w:spacing w:val="-9"/>
                <w:sz w:val="21"/>
                <w:szCs w:val="21"/>
                <w:highlight w:val="none"/>
                <w:lang w:val="en-US" w:eastAsia="zh-CN"/>
              </w:rPr>
              <w:t>食材</w:t>
            </w:r>
            <w:r>
              <w:rPr>
                <w:rFonts w:hint="eastAsia" w:ascii="宋体" w:hAnsi="宋体" w:eastAsia="宋体" w:cs="宋体"/>
                <w:color w:val="auto"/>
                <w:spacing w:val="-9"/>
                <w:sz w:val="21"/>
                <w:szCs w:val="21"/>
                <w:highlight w:val="none"/>
              </w:rPr>
              <w:t>，应按国家有关规定处理或进行协议销毁，</w:t>
            </w:r>
            <w:r>
              <w:rPr>
                <w:rFonts w:hint="eastAsia" w:ascii="宋体" w:hAnsi="宋体" w:eastAsia="宋体" w:cs="宋体"/>
                <w:color w:val="auto"/>
                <w:spacing w:val="-10"/>
                <w:sz w:val="21"/>
                <w:szCs w:val="21"/>
                <w:highlight w:val="none"/>
              </w:rPr>
              <w:t>所产生的费用经济法</w:t>
            </w:r>
            <w:r>
              <w:rPr>
                <w:rFonts w:hint="eastAsia" w:ascii="宋体" w:hAnsi="宋体" w:eastAsia="宋体" w:cs="宋体"/>
                <w:color w:val="auto"/>
                <w:spacing w:val="-3"/>
                <w:sz w:val="21"/>
                <w:szCs w:val="21"/>
                <w:highlight w:val="none"/>
              </w:rPr>
              <w:t>律责任由中标人自行承担。</w:t>
            </w:r>
          </w:p>
          <w:p w14:paraId="01C1163E">
            <w:pPr>
              <w:keepNext w:val="0"/>
              <w:keepLines w:val="0"/>
              <w:pageBreakBefore w:val="0"/>
              <w:widowControl w:val="0"/>
              <w:shd w:val="clear"/>
              <w:kinsoku/>
              <w:wordWrap/>
              <w:overflowPunct/>
              <w:topLinePunct w:val="0"/>
              <w:autoSpaceDE/>
              <w:autoSpaceDN/>
              <w:bidi w:val="0"/>
              <w:adjustRightInd/>
              <w:snapToGrid/>
              <w:spacing w:line="360" w:lineRule="auto"/>
              <w:ind w:firstLine="38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pacing w:val="-10"/>
                <w:sz w:val="21"/>
                <w:szCs w:val="21"/>
                <w:highlight w:val="none"/>
                <w:lang w:val="en-US" w:eastAsia="zh-CN"/>
              </w:rPr>
              <w:t>3.</w:t>
            </w:r>
            <w:r>
              <w:rPr>
                <w:rFonts w:hint="eastAsia" w:ascii="宋体" w:hAnsi="宋体" w:eastAsia="宋体" w:cs="宋体"/>
                <w:color w:val="auto"/>
                <w:spacing w:val="-10"/>
                <w:sz w:val="21"/>
                <w:szCs w:val="21"/>
                <w:highlight w:val="none"/>
              </w:rPr>
              <w:t>验收记录：</w:t>
            </w:r>
            <w:r>
              <w:rPr>
                <w:rFonts w:hint="eastAsia" w:ascii="宋体" w:hAnsi="宋体" w:eastAsia="宋体" w:cs="宋体"/>
                <w:color w:val="auto"/>
                <w:sz w:val="21"/>
                <w:szCs w:val="21"/>
                <w:highlight w:val="none"/>
              </w:rPr>
              <w:t>到货时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w:t>
            </w:r>
            <w:r>
              <w:rPr>
                <w:rFonts w:hint="eastAsia" w:ascii="宋体" w:hAnsi="宋体" w:eastAsia="宋体" w:cs="宋体"/>
                <w:color w:val="auto"/>
                <w:sz w:val="21"/>
                <w:szCs w:val="21"/>
                <w:highlight w:val="none"/>
                <w:lang w:val="en-US" w:eastAsia="zh-CN"/>
              </w:rPr>
              <w:t>采购人组织人员进行</w:t>
            </w:r>
            <w:r>
              <w:rPr>
                <w:rFonts w:hint="eastAsia" w:ascii="宋体" w:hAnsi="宋体" w:eastAsia="宋体" w:cs="宋体"/>
                <w:color w:val="auto"/>
                <w:sz w:val="21"/>
                <w:szCs w:val="21"/>
                <w:highlight w:val="none"/>
              </w:rPr>
              <w:t>验收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pacing w:val="-10"/>
                <w:sz w:val="21"/>
                <w:szCs w:val="21"/>
                <w:highlight w:val="none"/>
              </w:rPr>
              <w:t>每次采购的食材都要登记记录，注明名称、数量等事项</w:t>
            </w:r>
            <w:r>
              <w:rPr>
                <w:rFonts w:hint="eastAsia" w:ascii="宋体" w:hAnsi="宋体" w:cs="宋体"/>
                <w:color w:val="auto"/>
                <w:spacing w:val="-10"/>
                <w:sz w:val="21"/>
                <w:szCs w:val="21"/>
                <w:highlight w:val="none"/>
                <w:lang w:eastAsia="zh-CN"/>
              </w:rPr>
              <w:t>，</w:t>
            </w:r>
            <w:r>
              <w:rPr>
                <w:rFonts w:hint="eastAsia" w:ascii="宋体" w:hAnsi="宋体" w:eastAsia="宋体" w:cs="宋体"/>
                <w:color w:val="auto"/>
                <w:spacing w:val="-10"/>
                <w:sz w:val="21"/>
                <w:szCs w:val="21"/>
                <w:highlight w:val="none"/>
              </w:rPr>
              <w:t>并在采购登记记录上签明意见和验收人的名字及日期。</w:t>
            </w:r>
          </w:p>
        </w:tc>
      </w:tr>
      <w:tr w14:paraId="402871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8" w:type="pct"/>
            <w:noWrap w:val="0"/>
            <w:vAlign w:val="center"/>
          </w:tcPr>
          <w:p w14:paraId="050C7D60">
            <w:pPr>
              <w:keepNext w:val="0"/>
              <w:keepLines w:val="0"/>
              <w:pageBreakBefore w:val="0"/>
              <w:shd w:val="clear"/>
              <w:kinsoku/>
              <w:wordWrap/>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4251" w:type="pct"/>
            <w:noWrap w:val="0"/>
            <w:vAlign w:val="center"/>
          </w:tcPr>
          <w:p w14:paraId="17F148EC">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1"/>
                <w:highlight w:val="none"/>
                <w:lang w:bidi="zh-CN"/>
              </w:rPr>
            </w:pPr>
            <w:r>
              <w:rPr>
                <w:rFonts w:hint="eastAsia" w:ascii="宋体" w:hAnsi="宋体" w:eastAsia="宋体" w:cs="宋体"/>
                <w:color w:val="auto"/>
                <w:szCs w:val="21"/>
                <w:highlight w:val="none"/>
                <w:lang w:val="zh-CN" w:bidi="zh-CN"/>
              </w:rPr>
              <w:t>本项目收取履约保证金，收取比例为：</w:t>
            </w:r>
            <w:r>
              <w:rPr>
                <w:rFonts w:hint="eastAsia" w:ascii="宋体" w:hAnsi="宋体" w:eastAsia="宋体" w:cs="宋体"/>
                <w:color w:val="auto"/>
                <w:szCs w:val="21"/>
                <w:highlight w:val="none"/>
                <w:lang w:val="en-US" w:bidi="zh-CN"/>
              </w:rPr>
              <w:t>5</w:t>
            </w:r>
            <w:r>
              <w:rPr>
                <w:rFonts w:hint="eastAsia" w:ascii="宋体" w:hAnsi="宋体" w:eastAsia="宋体" w:cs="宋体"/>
                <w:color w:val="auto"/>
                <w:szCs w:val="21"/>
                <w:highlight w:val="none"/>
                <w:lang w:bidi="zh-CN"/>
              </w:rPr>
              <w:t>%。</w:t>
            </w:r>
          </w:p>
          <w:p w14:paraId="5A098FDC">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说明：</w:t>
            </w:r>
            <w:r>
              <w:rPr>
                <w:rFonts w:hint="eastAsia" w:ascii="宋体" w:hAnsi="宋体" w:eastAsia="宋体" w:cs="宋体"/>
                <w:color w:val="auto"/>
                <w:szCs w:val="21"/>
                <w:highlight w:val="none"/>
              </w:rPr>
              <w:t>中标人应在领取中标通知书之后签订合同之前递交履约保证金，履约保证金可采用保证金（银行转账、电汇）方式，或采用履约保函方式。履约保证金在合同期满后或产品验收合格后，中标人向采购人提交退回履约保证金的申请、履约保证金汇款凭证复印件、采购合同、采购项目验收报告原件、中标通知书复印件，前往采购人办理履约保证金退还手续。</w:t>
            </w:r>
          </w:p>
          <w:p w14:paraId="2B285F6B">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中标人不缴纳履约保证金或不提供履约保函的，不予签署合同。</w:t>
            </w:r>
          </w:p>
          <w:p w14:paraId="6F08D8A4">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中标人造成采购人损失或存在违约行为依据约定应当支付违约金的，采购人有权从履约保证金中扣除。存在以下严重违约行为的，采购人有权没收履约保证金：</w:t>
            </w:r>
          </w:p>
          <w:p w14:paraId="0F850043">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cs="宋体"/>
                <w:color w:val="auto"/>
                <w:szCs w:val="21"/>
                <w:highlight w:val="none"/>
                <w:lang w:val="en-US" w:eastAsia="zh-CN"/>
              </w:rPr>
            </w:pPr>
            <w:r>
              <w:rPr>
                <w:rFonts w:hint="eastAsia"/>
                <w:color w:val="auto"/>
                <w:highlight w:val="none"/>
                <w:lang w:val="en-US" w:eastAsia="zh-CN"/>
              </w:rPr>
              <w:t>中标人同意当存在上述可处没收保证金的违约行为，采购人有权不论实际损失金额依约定行使权利没收保证金，中标人不得以损失低于保证金为由提出异议。</w:t>
            </w:r>
          </w:p>
        </w:tc>
      </w:tr>
      <w:tr w14:paraId="782B46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8" w:type="pct"/>
            <w:noWrap w:val="0"/>
            <w:vAlign w:val="center"/>
          </w:tcPr>
          <w:p w14:paraId="6CE79DA1">
            <w:pPr>
              <w:keepNext w:val="0"/>
              <w:keepLines w:val="0"/>
              <w:pageBreakBefore w:val="0"/>
              <w:shd w:val="clear"/>
              <w:kinsoku/>
              <w:wordWrap/>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4251" w:type="pct"/>
            <w:noWrap w:val="0"/>
            <w:vAlign w:val="center"/>
          </w:tcPr>
          <w:p w14:paraId="19AC87CD">
            <w:pPr>
              <w:shd w:val="clear"/>
              <w:autoSpaceDE w:val="0"/>
              <w:autoSpaceDN w:val="0"/>
              <w:spacing w:line="288"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报价要求：</w:t>
            </w:r>
          </w:p>
          <w:p w14:paraId="0899FF09">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olor w:val="auto"/>
                <w:sz w:val="21"/>
                <w:szCs w:val="21"/>
                <w:highlight w:val="none"/>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pacing w:val="-6"/>
                <w:sz w:val="21"/>
                <w:szCs w:val="21"/>
                <w:highlight w:val="none"/>
              </w:rPr>
              <w:t>本项目采用下浮率报价，报价范围：</w:t>
            </w:r>
            <w:r>
              <w:rPr>
                <w:rFonts w:hint="eastAsia" w:cs="宋体"/>
                <w:color w:val="auto"/>
                <w:spacing w:val="-6"/>
                <w:sz w:val="21"/>
                <w:szCs w:val="21"/>
                <w:highlight w:val="none"/>
                <w:lang w:val="en-US" w:eastAsia="zh-CN"/>
              </w:rPr>
              <w:t>10</w:t>
            </w:r>
            <w:r>
              <w:rPr>
                <w:rFonts w:hint="eastAsia" w:ascii="宋体" w:hAnsi="宋体" w:eastAsia="宋体" w:cs="宋体"/>
                <w:color w:val="auto"/>
                <w:spacing w:val="-6"/>
                <w:sz w:val="21"/>
                <w:szCs w:val="21"/>
                <w:highlight w:val="none"/>
              </w:rPr>
              <w:t>%</w:t>
            </w:r>
            <w:r>
              <w:rPr>
                <w:rFonts w:hint="eastAsia" w:cs="宋体"/>
                <w:color w:val="auto"/>
                <w:spacing w:val="-6"/>
                <w:sz w:val="21"/>
                <w:szCs w:val="21"/>
                <w:highlight w:val="none"/>
                <w:lang w:val="en-US" w:eastAsia="zh-CN"/>
              </w:rPr>
              <w:t>≤</w:t>
            </w:r>
            <w:r>
              <w:rPr>
                <w:rFonts w:hint="eastAsia" w:ascii="宋体" w:hAnsi="宋体" w:eastAsia="宋体" w:cs="宋体"/>
                <w:color w:val="auto"/>
                <w:spacing w:val="-6"/>
                <w:sz w:val="21"/>
                <w:szCs w:val="21"/>
                <w:highlight w:val="none"/>
              </w:rPr>
              <w:t>投标下浮</w:t>
            </w:r>
            <w:r>
              <w:rPr>
                <w:rFonts w:hint="eastAsia" w:ascii="宋体" w:hAnsi="宋体" w:eastAsia="宋体" w:cs="宋体"/>
                <w:color w:val="auto"/>
                <w:spacing w:val="-2"/>
                <w:sz w:val="21"/>
                <w:szCs w:val="21"/>
                <w:highlight w:val="none"/>
              </w:rPr>
              <w:t>率</w:t>
            </w:r>
            <w:r>
              <w:rPr>
                <w:rFonts w:hint="eastAsia" w:cs="宋体"/>
                <w:color w:val="auto"/>
                <w:spacing w:val="-27"/>
                <w:sz w:val="21"/>
                <w:szCs w:val="21"/>
                <w:highlight w:val="none"/>
                <w:lang w:val="en-US" w:eastAsia="zh-CN"/>
              </w:rPr>
              <w:t>＜</w:t>
            </w:r>
            <w:r>
              <w:rPr>
                <w:rFonts w:hint="eastAsia" w:cs="宋体"/>
                <w:color w:val="auto"/>
                <w:spacing w:val="-2"/>
                <w:sz w:val="21"/>
                <w:szCs w:val="21"/>
                <w:highlight w:val="none"/>
                <w:lang w:val="en-US" w:eastAsia="zh-CN"/>
              </w:rPr>
              <w:t xml:space="preserve"> </w:t>
            </w:r>
            <w:r>
              <w:rPr>
                <w:rFonts w:hint="eastAsia" w:ascii="宋体" w:hAnsi="宋体" w:eastAsia="宋体" w:cs="宋体"/>
                <w:color w:val="auto"/>
                <w:spacing w:val="-2"/>
                <w:sz w:val="21"/>
                <w:szCs w:val="21"/>
                <w:highlight w:val="none"/>
              </w:rPr>
              <w:t>100%，</w:t>
            </w:r>
            <w:r>
              <w:rPr>
                <w:rFonts w:hint="eastAsia" w:ascii="宋体" w:hAnsi="宋体" w:eastAsia="宋体" w:cs="宋体"/>
                <w:color w:val="auto"/>
                <w:spacing w:val="-3"/>
                <w:sz w:val="21"/>
                <w:szCs w:val="21"/>
                <w:highlight w:val="none"/>
              </w:rPr>
              <w:t>且是固定唯一值。例：</w:t>
            </w:r>
            <w:r>
              <w:rPr>
                <w:rFonts w:hint="eastAsia" w:ascii="宋体" w:hAnsi="宋体" w:eastAsia="宋体" w:cs="宋体"/>
                <w:color w:val="auto"/>
                <w:spacing w:val="-9"/>
                <w:sz w:val="21"/>
                <w:szCs w:val="21"/>
                <w:highlight w:val="none"/>
              </w:rPr>
              <w:t>若投标人打八折，即投标下浮率为：20%</w:t>
            </w:r>
            <w:r>
              <w:rPr>
                <w:rFonts w:hint="eastAsia" w:cs="宋体"/>
                <w:color w:val="auto"/>
                <w:spacing w:val="-9"/>
                <w:sz w:val="21"/>
                <w:szCs w:val="21"/>
                <w:highlight w:val="none"/>
                <w:lang w:eastAsia="zh-CN"/>
              </w:rPr>
              <w:t>。</w:t>
            </w:r>
            <w:r>
              <w:rPr>
                <w:rFonts w:hint="eastAsia" w:ascii="宋体" w:hAnsi="宋体" w:cs="宋体"/>
                <w:color w:val="auto"/>
                <w:sz w:val="21"/>
                <w:szCs w:val="21"/>
                <w:highlight w:val="none"/>
                <w:lang w:val="en-US" w:eastAsia="zh-CN"/>
              </w:rPr>
              <w:t>下浮率报价</w:t>
            </w:r>
            <w:r>
              <w:rPr>
                <w:rFonts w:hint="eastAsia" w:ascii="宋体" w:hAnsi="宋体" w:eastAsia="宋体" w:cs="宋体"/>
                <w:bCs/>
                <w:color w:val="auto"/>
                <w:sz w:val="21"/>
                <w:szCs w:val="21"/>
                <w:highlight w:val="none"/>
              </w:rPr>
              <w:t>应当适用于所有产品单品</w:t>
            </w:r>
            <w:r>
              <w:rPr>
                <w:rFonts w:hint="eastAsia" w:ascii="宋体" w:hAnsi="宋体" w:eastAsia="宋体" w:cs="宋体"/>
                <w:color w:val="auto"/>
                <w:sz w:val="21"/>
                <w:szCs w:val="21"/>
                <w:highlight w:val="none"/>
              </w:rPr>
              <w:t>。报价应包含完成本次招标所有服务内容的费用，包括人工费、食材采购费、食材运输费、材料费、设备使用费、</w:t>
            </w:r>
            <w:r>
              <w:rPr>
                <w:rFonts w:hint="eastAsia" w:ascii="宋体" w:hAnsi="宋体" w:eastAsia="宋体" w:cs="宋体"/>
                <w:color w:val="auto"/>
                <w:sz w:val="21"/>
                <w:szCs w:val="21"/>
                <w:highlight w:val="none"/>
                <w:lang w:val="en-US" w:eastAsia="zh-CN"/>
              </w:rPr>
              <w:t>保险费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各种税务费、必须的辅助材料费及合同实施过程中不可预见费用等全部费用，采购人不向中标人另行支付任何费用。</w:t>
            </w:r>
          </w:p>
          <w:p w14:paraId="51936BA6">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cs="宋体"/>
                <w:bCs/>
                <w:color w:val="auto"/>
                <w:sz w:val="21"/>
                <w:szCs w:val="21"/>
                <w:highlight w:val="none"/>
                <w:lang w:val="en-US" w:eastAsia="zh-CN"/>
              </w:rPr>
              <w:t>基准价</w:t>
            </w:r>
            <w:r>
              <w:rPr>
                <w:rFonts w:hint="eastAsia" w:cs="宋体"/>
                <w:bCs/>
                <w:color w:val="auto"/>
                <w:sz w:val="21"/>
                <w:szCs w:val="21"/>
                <w:highlight w:val="none"/>
                <w:lang w:val="en-US" w:eastAsia="zh-CN"/>
              </w:rPr>
              <w:t>的确定方式</w:t>
            </w:r>
            <w:r>
              <w:rPr>
                <w:rFonts w:hint="eastAsia" w:ascii="宋体" w:hAnsi="宋体" w:cs="宋体"/>
                <w:bCs/>
                <w:color w:val="auto"/>
                <w:sz w:val="21"/>
                <w:szCs w:val="21"/>
                <w:highlight w:val="none"/>
                <w:lang w:val="en-US" w:eastAsia="zh-CN"/>
              </w:rPr>
              <w:t>：</w:t>
            </w:r>
            <w:r>
              <w:rPr>
                <w:rFonts w:hint="eastAsia" w:cs="宋体"/>
                <w:bCs/>
                <w:color w:val="auto"/>
                <w:sz w:val="21"/>
                <w:szCs w:val="21"/>
                <w:highlight w:val="none"/>
                <w:lang w:val="en-US" w:eastAsia="zh-CN"/>
              </w:rPr>
              <w:t>双方</w:t>
            </w:r>
            <w:r>
              <w:rPr>
                <w:rFonts w:hint="eastAsia" w:ascii="宋体" w:hAnsi="宋体" w:eastAsia="宋体" w:cs="宋体"/>
                <w:bCs/>
                <w:color w:val="auto"/>
                <w:sz w:val="21"/>
                <w:szCs w:val="21"/>
                <w:highlight w:val="none"/>
                <w:shd w:val="clear" w:color="FFFFFF"/>
              </w:rPr>
              <w:t>按照</w:t>
            </w:r>
            <w:r>
              <w:rPr>
                <w:rFonts w:hint="eastAsia" w:cs="宋体"/>
                <w:color w:val="auto"/>
                <w:spacing w:val="-6"/>
                <w:sz w:val="21"/>
                <w:szCs w:val="21"/>
                <w:highlight w:val="none"/>
                <w:shd w:val="clear" w:color="FFFFFF"/>
                <w:lang w:val="en-US" w:eastAsia="zh-CN"/>
              </w:rPr>
              <w:t>定价更新时</w:t>
            </w:r>
            <w:r>
              <w:rPr>
                <w:rFonts w:hint="eastAsia" w:ascii="宋体" w:hAnsi="宋体" w:eastAsia="宋体" w:cs="宋体"/>
                <w:color w:val="auto"/>
                <w:spacing w:val="-6"/>
                <w:sz w:val="21"/>
                <w:szCs w:val="21"/>
                <w:highlight w:val="none"/>
                <w:shd w:val="clear" w:color="FFFFFF"/>
              </w:rPr>
              <w:t>东莞市发展和改革局公布最新一期的“东莞市菜篮子价格监测表”的价格</w:t>
            </w:r>
            <w:r>
              <w:rPr>
                <w:rFonts w:hint="eastAsia" w:cs="宋体"/>
                <w:color w:val="auto"/>
                <w:spacing w:val="-6"/>
                <w:sz w:val="21"/>
                <w:szCs w:val="21"/>
                <w:highlight w:val="none"/>
                <w:shd w:val="clear" w:color="FFFFFF"/>
                <w:lang w:val="en-US" w:eastAsia="zh-CN"/>
              </w:rPr>
              <w:t>作为基准价</w:t>
            </w:r>
            <w:r>
              <w:rPr>
                <w:rFonts w:hint="eastAsia" w:ascii="宋体" w:hAnsi="宋体" w:eastAsia="宋体" w:cs="宋体"/>
                <w:color w:val="auto"/>
                <w:spacing w:val="-6"/>
                <w:sz w:val="21"/>
                <w:szCs w:val="21"/>
                <w:highlight w:val="none"/>
                <w:shd w:val="clear"/>
              </w:rPr>
              <w:t>，</w:t>
            </w:r>
            <w:r>
              <w:rPr>
                <w:rFonts w:hint="eastAsia" w:ascii="宋体" w:hAnsi="宋体" w:eastAsia="宋体" w:cs="宋体"/>
                <w:color w:val="auto"/>
                <w:spacing w:val="-6"/>
                <w:sz w:val="21"/>
                <w:szCs w:val="21"/>
                <w:highlight w:val="none"/>
              </w:rPr>
              <w:t>若“</w:t>
            </w:r>
            <w:r>
              <w:rPr>
                <w:rFonts w:hint="eastAsia" w:cs="宋体"/>
                <w:color w:val="auto"/>
                <w:spacing w:val="-6"/>
                <w:sz w:val="21"/>
                <w:szCs w:val="21"/>
                <w:highlight w:val="none"/>
                <w:lang w:val="en-US" w:eastAsia="zh-CN"/>
              </w:rPr>
              <w:t>东莞市</w:t>
            </w:r>
            <w:r>
              <w:rPr>
                <w:rFonts w:hint="eastAsia" w:ascii="宋体" w:hAnsi="宋体" w:eastAsia="宋体" w:cs="宋体"/>
                <w:color w:val="auto"/>
                <w:spacing w:val="-6"/>
                <w:sz w:val="21"/>
                <w:szCs w:val="21"/>
                <w:highlight w:val="none"/>
              </w:rPr>
              <w:t>菜篮子价格监测表”无采购人所需的货品，则</w:t>
            </w:r>
            <w:r>
              <w:rPr>
                <w:rFonts w:hint="eastAsia" w:cs="宋体"/>
                <w:color w:val="auto"/>
                <w:spacing w:val="-6"/>
                <w:sz w:val="21"/>
                <w:szCs w:val="21"/>
                <w:highlight w:val="none"/>
                <w:lang w:val="en-US" w:eastAsia="zh-CN"/>
              </w:rPr>
              <w:t>由</w:t>
            </w:r>
            <w:r>
              <w:rPr>
                <w:rFonts w:hint="eastAsia" w:ascii="宋体" w:hAnsi="宋体" w:eastAsia="宋体" w:cs="宋体"/>
                <w:color w:val="auto"/>
                <w:spacing w:val="-6"/>
                <w:sz w:val="21"/>
                <w:szCs w:val="21"/>
                <w:highlight w:val="none"/>
              </w:rPr>
              <w:t>采购人和中标人双方共同</w:t>
            </w:r>
            <w:r>
              <w:rPr>
                <w:rFonts w:hint="eastAsia" w:cs="宋体"/>
                <w:color w:val="auto"/>
                <w:spacing w:val="-6"/>
                <w:sz w:val="21"/>
                <w:szCs w:val="21"/>
                <w:highlight w:val="none"/>
                <w:lang w:val="en-US" w:eastAsia="zh-CN"/>
              </w:rPr>
              <w:t>对东莞市常平镇三个</w:t>
            </w:r>
            <w:r>
              <w:rPr>
                <w:rFonts w:hint="eastAsia" w:ascii="宋体" w:hAnsi="宋体" w:eastAsia="宋体" w:cs="宋体"/>
                <w:color w:val="auto"/>
                <w:spacing w:val="-6"/>
                <w:sz w:val="21"/>
                <w:szCs w:val="21"/>
                <w:highlight w:val="none"/>
              </w:rPr>
              <w:t>市场</w:t>
            </w:r>
            <w:r>
              <w:rPr>
                <w:rFonts w:hint="eastAsia" w:cs="宋体"/>
                <w:color w:val="auto"/>
                <w:spacing w:val="-6"/>
                <w:sz w:val="21"/>
                <w:szCs w:val="21"/>
                <w:highlight w:val="none"/>
                <w:lang w:eastAsia="zh-CN"/>
              </w:rPr>
              <w:t>（</w:t>
            </w:r>
            <w:r>
              <w:rPr>
                <w:rFonts w:hint="eastAsia" w:cs="宋体"/>
                <w:color w:val="auto"/>
                <w:spacing w:val="-6"/>
                <w:sz w:val="21"/>
                <w:szCs w:val="21"/>
                <w:highlight w:val="none"/>
                <w:lang w:val="en-US" w:eastAsia="zh-CN"/>
              </w:rPr>
              <w:t>常平镇木伦市场、横江厦市场、常平镇金美市场</w:t>
            </w:r>
            <w:r>
              <w:rPr>
                <w:rFonts w:hint="eastAsia" w:cs="宋体"/>
                <w:color w:val="auto"/>
                <w:spacing w:val="-6"/>
                <w:sz w:val="21"/>
                <w:szCs w:val="21"/>
                <w:highlight w:val="none"/>
                <w:lang w:eastAsia="zh-CN"/>
              </w:rPr>
              <w:t>）</w:t>
            </w:r>
            <w:r>
              <w:rPr>
                <w:rFonts w:hint="eastAsia" w:cs="宋体"/>
                <w:color w:val="auto"/>
                <w:spacing w:val="-6"/>
                <w:sz w:val="21"/>
                <w:szCs w:val="21"/>
                <w:highlight w:val="none"/>
                <w:lang w:val="en-US" w:eastAsia="zh-CN"/>
              </w:rPr>
              <w:t>抽样调查，核实相同品种的市场平均价格为基准价（</w:t>
            </w:r>
            <w:r>
              <w:rPr>
                <w:rFonts w:hint="eastAsia" w:ascii="宋体" w:hAnsi="宋体" w:eastAsia="宋体" w:cs="宋体"/>
                <w:bCs/>
                <w:color w:val="auto"/>
                <w:sz w:val="21"/>
                <w:szCs w:val="21"/>
                <w:highlight w:val="none"/>
              </w:rPr>
              <w:t>基准价=市场平均价=</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个市场抽样价格之和÷</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w:t>
            </w:r>
            <w:r>
              <w:rPr>
                <w:rFonts w:hint="eastAsia" w:ascii="宋体" w:hAnsi="宋体" w:eastAsia="宋体" w:cs="宋体"/>
                <w:bCs/>
                <w:color w:val="auto"/>
                <w:sz w:val="21"/>
                <w:szCs w:val="21"/>
                <w:highlight w:val="none"/>
              </w:rPr>
              <w:t>当</w:t>
            </w:r>
            <w:r>
              <w:rPr>
                <w:rFonts w:hint="eastAsia" w:ascii="宋体" w:hAnsi="宋体" w:cs="宋体"/>
                <w:bCs/>
                <w:color w:val="auto"/>
                <w:sz w:val="21"/>
                <w:szCs w:val="21"/>
                <w:highlight w:val="none"/>
                <w:lang w:val="en-US" w:eastAsia="zh-CN"/>
              </w:rPr>
              <w:t>期</w:t>
            </w:r>
            <w:r>
              <w:rPr>
                <w:rFonts w:hint="eastAsia" w:ascii="宋体" w:hAnsi="宋体" w:eastAsia="宋体" w:cs="宋体"/>
                <w:bCs/>
                <w:color w:val="auto"/>
                <w:sz w:val="21"/>
                <w:szCs w:val="21"/>
                <w:highlight w:val="none"/>
              </w:rPr>
              <w:t>基准价格一经确定，双方须严格执行，不受市场物价波动影响，不得调价。</w:t>
            </w:r>
          </w:p>
          <w:p w14:paraId="13757396">
            <w:pPr>
              <w:widowControl w:val="0"/>
              <w:shd w:val="clear"/>
              <w:tabs>
                <w:tab w:val="left" w:pos="709"/>
              </w:tabs>
              <w:adjustRightInd/>
              <w:snapToGrid/>
              <w:spacing w:after="0" w:line="360" w:lineRule="auto"/>
              <w:ind w:firstLine="420" w:firstLineChars="200"/>
              <w:jc w:val="both"/>
              <w:rPr>
                <w:rFonts w:hint="eastAsia" w:ascii="宋体" w:hAnsi="宋体" w:eastAsia="宋体" w:cs="宋体"/>
                <w:color w:val="auto"/>
                <w:spacing w:val="-6"/>
                <w:sz w:val="21"/>
                <w:szCs w:val="21"/>
                <w:highlight w:val="none"/>
              </w:rPr>
            </w:pPr>
            <w:r>
              <w:rPr>
                <w:rFonts w:hint="eastAsia" w:ascii="宋体" w:hAnsi="宋体" w:cs="宋体"/>
                <w:bCs/>
                <w:color w:val="auto"/>
                <w:sz w:val="21"/>
                <w:szCs w:val="21"/>
                <w:highlight w:val="none"/>
                <w:lang w:val="en-US" w:eastAsia="zh-CN"/>
              </w:rPr>
              <w:t>3.定价周期：</w:t>
            </w:r>
            <w:r>
              <w:rPr>
                <w:rFonts w:hint="eastAsia" w:ascii="宋体" w:hAnsi="宋体" w:eastAsia="宋体" w:cs="宋体"/>
                <w:color w:val="auto"/>
                <w:spacing w:val="-6"/>
                <w:sz w:val="21"/>
                <w:szCs w:val="21"/>
                <w:highlight w:val="none"/>
              </w:rPr>
              <w:t>每15日更新一次，中标人须每次至少提前2天提交下次报价清单给采购人审核</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一般是每月13日前、28日前</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rPr>
              <w:t>，双方签字后生效。</w:t>
            </w:r>
          </w:p>
          <w:p w14:paraId="67A8FA4F">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 w:val="0"/>
                <w:bCs w:val="0"/>
                <w:color w:val="auto"/>
                <w:szCs w:val="21"/>
                <w:highlight w:val="none"/>
              </w:rPr>
              <w:t>中标人的供货价应包含交给采购人之前的一切可预见及不可预见的费用，包括购置费、 包装费、运输费、装卸费、搬运费、储存费、人工费、保险费、各种税费等，并承担送货途中的一切风险。</w:t>
            </w:r>
          </w:p>
          <w:p w14:paraId="2C3EB24E">
            <w:pPr>
              <w:widowControl w:val="0"/>
              <w:shd w:val="clear"/>
              <w:tabs>
                <w:tab w:val="left" w:pos="709"/>
              </w:tabs>
              <w:adjustRightInd/>
              <w:snapToGrid/>
              <w:spacing w:after="0" w:line="360" w:lineRule="auto"/>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在项目的实施过程中，中标人必须充分考虑在本项目实施期间的一切可能产生的风险和相关费用，采购人无需支付合同约定货款之外的任何费用和补偿。</w:t>
            </w:r>
          </w:p>
          <w:p w14:paraId="5317F83A">
            <w:pPr>
              <w:widowControl w:val="0"/>
              <w:shd w:val="clear"/>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.采购人有权随时抽查中标人的供货食材入货台账或进行市场调查，发现中标人有虚报或隐瞒供货食材市场价存在欺骗行为，采购人有权取消其中标资格，终止合同。</w:t>
            </w:r>
          </w:p>
          <w:p w14:paraId="78D7B7FC">
            <w:pPr>
              <w:widowControl w:val="0"/>
              <w:shd w:val="clear"/>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.采购人临时需求货品不在核定的供货价格清单内的，中标人必须按采购人要求供货，供货价格由双方临时确定。下次该货品应纳入报价清单，并按上述定价原则确定供货价格。</w:t>
            </w:r>
          </w:p>
          <w:p w14:paraId="3BA15CF2">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.若遇台风、暴雨等意外原因造成的个别品种价格需临时调整，应通知采购人，并征得采购人同意后方可调整，</w:t>
            </w:r>
            <w:r>
              <w:rPr>
                <w:rFonts w:hint="eastAsia" w:ascii="宋体" w:hAnsi="宋体" w:eastAsia="宋体" w:cs="宋体"/>
                <w:bCs/>
                <w:color w:val="auto"/>
                <w:sz w:val="21"/>
                <w:szCs w:val="21"/>
                <w:highlight w:val="none"/>
                <w:lang w:val="en-US" w:eastAsia="zh-CN"/>
              </w:rPr>
              <w:t>调整后的价格仅对当次送货订单有效，后续其他送货订单仍应按该周期确认的报价执行。采购人认为无需调整的，中标人仍应按该周期确认的报价送货结算</w:t>
            </w:r>
            <w:r>
              <w:rPr>
                <w:rFonts w:hint="eastAsia" w:ascii="宋体" w:hAnsi="宋体" w:cs="宋体"/>
                <w:bCs/>
                <w:color w:val="auto"/>
                <w:sz w:val="21"/>
                <w:szCs w:val="21"/>
                <w:highlight w:val="none"/>
                <w:lang w:val="en-US" w:eastAsia="zh-CN"/>
              </w:rPr>
              <w:t>。</w:t>
            </w:r>
          </w:p>
          <w:p w14:paraId="617F8790">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二、保质期：</w:t>
            </w:r>
          </w:p>
          <w:p w14:paraId="541F76F5">
            <w:pPr>
              <w:keepNext w:val="0"/>
              <w:keepLines w:val="0"/>
              <w:pageBreakBefore w:val="0"/>
              <w:widowControl w:val="0"/>
              <w:shd w:val="clear"/>
              <w:kinsoku/>
              <w:wordWrap/>
              <w:overflowPunct/>
              <w:topLinePunct w:val="0"/>
              <w:autoSpaceDE/>
              <w:autoSpaceDN/>
              <w:bidi w:val="0"/>
              <w:adjustRightInd/>
              <w:snapToGrid/>
              <w:spacing w:line="360" w:lineRule="auto"/>
              <w:ind w:firstLine="380" w:firstLineChars="200"/>
              <w:jc w:val="left"/>
              <w:textAlignment w:val="auto"/>
              <w:rPr>
                <w:rFonts w:hint="eastAsia" w:ascii="宋体" w:hAnsi="宋体" w:eastAsia="宋体" w:cs="宋体"/>
                <w:color w:val="auto"/>
                <w:spacing w:val="-10"/>
                <w:sz w:val="21"/>
                <w:szCs w:val="21"/>
                <w:highlight w:val="none"/>
              </w:rPr>
            </w:pPr>
            <w:r>
              <w:rPr>
                <w:rFonts w:hint="eastAsia" w:ascii="宋体" w:hAnsi="宋体" w:eastAsia="宋体" w:cs="宋体"/>
                <w:color w:val="auto"/>
                <w:spacing w:val="-10"/>
                <w:sz w:val="21"/>
                <w:szCs w:val="21"/>
                <w:highlight w:val="none"/>
              </w:rPr>
              <w:t>保质期超过15日的，投标人拟提供货品的剩余保质期不得短于货品标记保质期的75%；保质期低于或等于15日的，投标人拟提供货品必须为送货当日屠宰或制作的货品。</w:t>
            </w:r>
          </w:p>
          <w:p w14:paraId="58CF38A5">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w:t>
            </w:r>
            <w:r>
              <w:rPr>
                <w:rFonts w:hint="eastAsia" w:ascii="宋体" w:hAnsi="宋体" w:eastAsia="宋体" w:cs="宋体"/>
                <w:color w:val="auto"/>
                <w:sz w:val="21"/>
                <w:szCs w:val="21"/>
                <w:highlight w:val="none"/>
              </w:rPr>
              <w:t>食品安全责任保险</w:t>
            </w:r>
            <w:r>
              <w:rPr>
                <w:rFonts w:hint="eastAsia" w:ascii="宋体" w:hAnsi="宋体" w:eastAsia="宋体" w:cs="宋体"/>
                <w:color w:val="auto"/>
                <w:sz w:val="21"/>
                <w:szCs w:val="21"/>
                <w:highlight w:val="none"/>
                <w:lang w:val="en-US" w:eastAsia="zh-CN"/>
              </w:rPr>
              <w:t>要求</w:t>
            </w:r>
            <w:r>
              <w:rPr>
                <w:rFonts w:hint="eastAsia" w:ascii="宋体" w:hAnsi="宋体" w:cs="宋体"/>
                <w:color w:val="auto"/>
                <w:sz w:val="21"/>
                <w:szCs w:val="21"/>
                <w:highlight w:val="none"/>
                <w:lang w:val="en-US" w:eastAsia="zh-CN"/>
              </w:rPr>
              <w:t>：</w:t>
            </w:r>
          </w:p>
          <w:p w14:paraId="215187EA">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bCs/>
                <w:color w:val="auto"/>
                <w:szCs w:val="21"/>
                <w:highlight w:val="none"/>
              </w:rPr>
            </w:pPr>
            <w:r>
              <w:rPr>
                <w:rFonts w:hint="default" w:ascii="宋体" w:hAnsi="宋体" w:eastAsia="宋体" w:cs="宋体"/>
                <w:bCs/>
                <w:color w:val="auto"/>
                <w:sz w:val="21"/>
                <w:szCs w:val="21"/>
                <w:highlight w:val="none"/>
                <w:lang w:val="en-US" w:eastAsia="zh-CN"/>
              </w:rPr>
              <w:t>中标人须为采购人提供一份采购人为受益人、额度为</w:t>
            </w:r>
            <w:r>
              <w:rPr>
                <w:rFonts w:hint="eastAsia" w:ascii="宋体" w:hAnsi="宋体" w:cs="宋体"/>
                <w:bCs/>
                <w:color w:val="auto"/>
                <w:sz w:val="21"/>
                <w:szCs w:val="21"/>
                <w:highlight w:val="none"/>
                <w:lang w:val="en-US" w:eastAsia="zh-CN"/>
              </w:rPr>
              <w:t>2亿</w:t>
            </w:r>
            <w:r>
              <w:rPr>
                <w:rFonts w:hint="default" w:ascii="宋体" w:hAnsi="宋体" w:eastAsia="宋体" w:cs="宋体"/>
                <w:bCs/>
                <w:color w:val="auto"/>
                <w:sz w:val="21"/>
                <w:szCs w:val="21"/>
                <w:highlight w:val="none"/>
                <w:lang w:val="en-US" w:eastAsia="zh-CN"/>
              </w:rPr>
              <w:t>元的保险（食品安全责任险），</w:t>
            </w:r>
            <w:r>
              <w:rPr>
                <w:rFonts w:hint="eastAsia" w:ascii="宋体" w:hAnsi="宋体" w:eastAsia="宋体" w:cs="宋体"/>
                <w:b/>
                <w:bCs/>
                <w:color w:val="auto"/>
                <w:szCs w:val="21"/>
                <w:highlight w:val="none"/>
              </w:rPr>
              <w:t>保险承保期限不短于合同有效期。</w:t>
            </w:r>
          </w:p>
          <w:p w14:paraId="7CADCB49">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四、</w:t>
            </w:r>
            <w:r>
              <w:rPr>
                <w:rFonts w:hint="eastAsia" w:ascii="宋体" w:hAnsi="宋体" w:eastAsia="宋体" w:cs="宋体"/>
                <w:color w:val="auto"/>
                <w:sz w:val="21"/>
                <w:szCs w:val="21"/>
                <w:highlight w:val="none"/>
              </w:rPr>
              <w:t>保密条款</w:t>
            </w:r>
            <w:r>
              <w:rPr>
                <w:rFonts w:hint="eastAsia" w:ascii="宋体" w:hAnsi="宋体" w:cs="宋体"/>
                <w:color w:val="auto"/>
                <w:sz w:val="21"/>
                <w:szCs w:val="21"/>
                <w:highlight w:val="none"/>
                <w:lang w:val="en-US" w:eastAsia="zh-CN"/>
              </w:rPr>
              <w:t>：</w:t>
            </w:r>
          </w:p>
          <w:p w14:paraId="62941E02">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在实施货物供货期间，不得将供货的实际数量及供货地点泄露给其他企业或者个人，</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必须指派相对固定的人员完成货物配送服务，并需将配送人员的详细资料报采购人备案，货物配送人员必须遵纪守法、品行良好，无违法犯罪记录。如需要更换配送人员，必须事先通知采购人并将其个人资料送采购人审批，审批合格者才能更换。</w:t>
            </w:r>
          </w:p>
          <w:p w14:paraId="1345863A">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五、</w:t>
            </w:r>
            <w:r>
              <w:rPr>
                <w:rFonts w:hint="eastAsia" w:ascii="宋体" w:hAnsi="宋体" w:eastAsia="宋体" w:cs="宋体"/>
                <w:color w:val="auto"/>
                <w:sz w:val="21"/>
                <w:szCs w:val="21"/>
                <w:highlight w:val="none"/>
                <w:lang w:val="en-US" w:eastAsia="zh-CN"/>
              </w:rPr>
              <w:t>售后服务</w:t>
            </w:r>
            <w:r>
              <w:rPr>
                <w:rFonts w:hint="eastAsia" w:ascii="宋体" w:hAnsi="宋体" w:cs="宋体"/>
                <w:color w:val="auto"/>
                <w:sz w:val="21"/>
                <w:szCs w:val="21"/>
                <w:highlight w:val="none"/>
                <w:lang w:val="en-US" w:eastAsia="zh-CN"/>
              </w:rPr>
              <w:t>：</w:t>
            </w:r>
          </w:p>
          <w:p w14:paraId="2229299A">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color w:val="auto"/>
                <w:spacing w:val="-10"/>
                <w:sz w:val="21"/>
                <w:szCs w:val="21"/>
                <w:highlight w:val="none"/>
              </w:rPr>
            </w:pPr>
            <w:r>
              <w:rPr>
                <w:rFonts w:hint="eastAsia" w:cs="宋体"/>
                <w:color w:val="auto"/>
                <w:spacing w:val="-10"/>
                <w:sz w:val="21"/>
                <w:szCs w:val="21"/>
                <w:highlight w:val="none"/>
                <w:lang w:val="en-US" w:eastAsia="zh-CN"/>
              </w:rPr>
              <w:t>1.</w:t>
            </w:r>
            <w:r>
              <w:rPr>
                <w:rFonts w:hint="eastAsia" w:ascii="宋体" w:hAnsi="宋体" w:eastAsia="宋体" w:cs="宋体"/>
                <w:color w:val="auto"/>
                <w:spacing w:val="-10"/>
                <w:sz w:val="21"/>
                <w:szCs w:val="21"/>
                <w:highlight w:val="none"/>
              </w:rPr>
              <w:t>售后服务方式均为中标人上门服务。</w:t>
            </w:r>
          </w:p>
          <w:p w14:paraId="2FE56889">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color w:val="auto"/>
                <w:spacing w:val="-10"/>
                <w:sz w:val="21"/>
                <w:szCs w:val="21"/>
                <w:highlight w:val="none"/>
              </w:rPr>
            </w:pPr>
            <w:r>
              <w:rPr>
                <w:rFonts w:hint="eastAsia" w:cs="宋体"/>
                <w:color w:val="auto"/>
                <w:spacing w:val="-10"/>
                <w:sz w:val="21"/>
                <w:szCs w:val="21"/>
                <w:highlight w:val="none"/>
                <w:lang w:val="en-US" w:eastAsia="zh-CN"/>
              </w:rPr>
              <w:t>2.</w:t>
            </w:r>
            <w:r>
              <w:rPr>
                <w:rFonts w:hint="eastAsia" w:ascii="宋体" w:hAnsi="宋体" w:eastAsia="宋体" w:cs="宋体"/>
                <w:color w:val="auto"/>
                <w:spacing w:val="-10"/>
                <w:sz w:val="21"/>
                <w:szCs w:val="21"/>
                <w:highlight w:val="none"/>
              </w:rPr>
              <w:t>非</w:t>
            </w:r>
            <w:r>
              <w:rPr>
                <w:rFonts w:hint="eastAsia" w:cs="宋体"/>
                <w:color w:val="auto"/>
                <w:spacing w:val="-10"/>
                <w:sz w:val="21"/>
                <w:szCs w:val="21"/>
                <w:highlight w:val="none"/>
                <w:lang w:val="en-US" w:eastAsia="zh-CN"/>
              </w:rPr>
              <w:t>采购人</w:t>
            </w:r>
            <w:r>
              <w:rPr>
                <w:rFonts w:hint="eastAsia" w:ascii="宋体" w:hAnsi="宋体" w:eastAsia="宋体" w:cs="宋体"/>
                <w:color w:val="auto"/>
                <w:spacing w:val="-10"/>
                <w:sz w:val="21"/>
                <w:szCs w:val="21"/>
                <w:highlight w:val="none"/>
              </w:rPr>
              <w:t>的人为原因而出现产品质量问题，</w:t>
            </w:r>
            <w:r>
              <w:rPr>
                <w:rFonts w:hint="eastAsia" w:cs="宋体"/>
                <w:color w:val="auto"/>
                <w:spacing w:val="-10"/>
                <w:sz w:val="21"/>
                <w:szCs w:val="21"/>
                <w:highlight w:val="none"/>
                <w:lang w:val="en-US" w:eastAsia="zh-CN"/>
              </w:rPr>
              <w:t>中标人</w:t>
            </w:r>
            <w:r>
              <w:rPr>
                <w:rFonts w:hint="eastAsia" w:ascii="宋体" w:hAnsi="宋体" w:eastAsia="宋体" w:cs="宋体"/>
                <w:color w:val="auto"/>
                <w:spacing w:val="-10"/>
                <w:sz w:val="21"/>
                <w:szCs w:val="21"/>
                <w:highlight w:val="none"/>
              </w:rPr>
              <w:t>应根据</w:t>
            </w:r>
            <w:r>
              <w:rPr>
                <w:rFonts w:hint="eastAsia" w:cs="宋体"/>
                <w:color w:val="auto"/>
                <w:spacing w:val="-10"/>
                <w:sz w:val="21"/>
                <w:szCs w:val="21"/>
                <w:highlight w:val="none"/>
                <w:lang w:val="en-US" w:eastAsia="zh-CN"/>
              </w:rPr>
              <w:t>采购人</w:t>
            </w:r>
            <w:r>
              <w:rPr>
                <w:rFonts w:hint="eastAsia" w:ascii="宋体" w:hAnsi="宋体" w:eastAsia="宋体" w:cs="宋体"/>
                <w:color w:val="auto"/>
                <w:spacing w:val="-10"/>
                <w:sz w:val="21"/>
                <w:szCs w:val="21"/>
                <w:highlight w:val="none"/>
              </w:rPr>
              <w:t>要求，在规定时间内完成退换，并承担因此而产生的一切费用。</w:t>
            </w:r>
          </w:p>
          <w:p w14:paraId="7F417928">
            <w:pPr>
              <w:keepNext w:val="0"/>
              <w:keepLines w:val="0"/>
              <w:pageBreakBefore w:val="0"/>
              <w:widowControl w:val="0"/>
              <w:shd w:val="clear"/>
              <w:kinsoku/>
              <w:wordWrap/>
              <w:overflowPunct/>
              <w:topLinePunct w:val="0"/>
              <w:autoSpaceDE/>
              <w:autoSpaceDN/>
              <w:bidi w:val="0"/>
              <w:adjustRightInd/>
              <w:snapToGrid/>
              <w:spacing w:line="360" w:lineRule="auto"/>
              <w:ind w:firstLine="380" w:firstLineChars="200"/>
              <w:jc w:val="left"/>
              <w:textAlignment w:val="auto"/>
              <w:rPr>
                <w:rFonts w:hint="eastAsia" w:ascii="宋体" w:hAnsi="宋体" w:eastAsia="宋体" w:cs="宋体"/>
                <w:color w:val="auto"/>
                <w:spacing w:val="-10"/>
                <w:sz w:val="21"/>
                <w:szCs w:val="21"/>
                <w:highlight w:val="none"/>
              </w:rPr>
            </w:pPr>
            <w:r>
              <w:rPr>
                <w:rFonts w:hint="eastAsia" w:ascii="宋体" w:hAnsi="宋体" w:cs="宋体"/>
                <w:color w:val="auto"/>
                <w:spacing w:val="-10"/>
                <w:sz w:val="21"/>
                <w:szCs w:val="21"/>
                <w:highlight w:val="none"/>
                <w:lang w:val="en-US" w:eastAsia="zh-CN"/>
              </w:rPr>
              <w:t>3.</w:t>
            </w:r>
            <w:r>
              <w:rPr>
                <w:rFonts w:hint="eastAsia" w:ascii="宋体" w:hAnsi="宋体" w:eastAsia="宋体" w:cs="宋体"/>
                <w:color w:val="auto"/>
                <w:spacing w:val="-10"/>
                <w:sz w:val="21"/>
                <w:szCs w:val="21"/>
                <w:highlight w:val="none"/>
              </w:rPr>
              <w:t>中标人应具备完善的售后服务体系和客户投诉处理机制， 有专门负责售后的服务人员，能够满足服务过程中采购人的响应需求。</w:t>
            </w:r>
          </w:p>
          <w:p w14:paraId="359B69E4">
            <w:pPr>
              <w:keepNext w:val="0"/>
              <w:keepLines w:val="0"/>
              <w:pageBreakBefore w:val="0"/>
              <w:widowControl w:val="0"/>
              <w:shd w:val="clear"/>
              <w:kinsoku/>
              <w:wordWrap/>
              <w:overflowPunct/>
              <w:topLinePunct w:val="0"/>
              <w:autoSpaceDE/>
              <w:autoSpaceDN/>
              <w:bidi w:val="0"/>
              <w:adjustRightInd/>
              <w:snapToGrid/>
              <w:spacing w:line="360" w:lineRule="auto"/>
              <w:ind w:firstLine="380" w:firstLineChars="200"/>
              <w:jc w:val="left"/>
              <w:textAlignment w:val="auto"/>
              <w:rPr>
                <w:rFonts w:hint="eastAsia" w:ascii="宋体" w:hAnsi="宋体" w:eastAsia="宋体" w:cs="宋体"/>
                <w:color w:val="auto"/>
                <w:spacing w:val="-10"/>
                <w:sz w:val="21"/>
                <w:szCs w:val="21"/>
                <w:highlight w:val="none"/>
                <w:lang w:val="en-US" w:eastAsia="zh-CN"/>
              </w:rPr>
            </w:pPr>
            <w:r>
              <w:rPr>
                <w:rFonts w:hint="eastAsia" w:ascii="宋体" w:hAnsi="宋体" w:eastAsia="宋体" w:cs="宋体"/>
                <w:color w:val="auto"/>
                <w:spacing w:val="-10"/>
                <w:sz w:val="21"/>
                <w:szCs w:val="21"/>
                <w:highlight w:val="none"/>
                <w:lang w:val="en-US" w:eastAsia="zh-CN"/>
              </w:rPr>
              <w:t>六、</w:t>
            </w:r>
            <w:r>
              <w:rPr>
                <w:rFonts w:hint="eastAsia" w:ascii="宋体" w:hAnsi="宋体" w:eastAsia="宋体" w:cs="宋体"/>
                <w:color w:val="auto"/>
                <w:spacing w:val="-10"/>
                <w:sz w:val="21"/>
                <w:szCs w:val="21"/>
                <w:highlight w:val="none"/>
              </w:rPr>
              <w:t>合同条款</w:t>
            </w:r>
            <w:r>
              <w:rPr>
                <w:rFonts w:hint="eastAsia" w:ascii="宋体" w:hAnsi="宋体" w:eastAsia="宋体" w:cs="宋体"/>
                <w:color w:val="auto"/>
                <w:spacing w:val="-10"/>
                <w:sz w:val="21"/>
                <w:szCs w:val="21"/>
                <w:highlight w:val="none"/>
                <w:lang w:eastAsia="zh-CN"/>
              </w:rPr>
              <w:t>：</w:t>
            </w:r>
            <w:r>
              <w:rPr>
                <w:rFonts w:hint="eastAsia" w:ascii="宋体" w:hAnsi="宋体" w:cs="宋体"/>
                <w:color w:val="auto"/>
                <w:spacing w:val="-10"/>
                <w:sz w:val="21"/>
                <w:szCs w:val="21"/>
                <w:highlight w:val="none"/>
                <w:lang w:val="en-US" w:eastAsia="zh-CN"/>
              </w:rPr>
              <w:t>供应商</w:t>
            </w:r>
            <w:r>
              <w:rPr>
                <w:rFonts w:hint="eastAsia" w:ascii="宋体" w:hAnsi="宋体" w:eastAsia="宋体" w:cs="宋体"/>
                <w:color w:val="auto"/>
                <w:spacing w:val="-10"/>
                <w:sz w:val="21"/>
                <w:szCs w:val="21"/>
                <w:highlight w:val="none"/>
              </w:rPr>
              <w:t>实质响应合同各条款。</w:t>
            </w:r>
          </w:p>
          <w:p w14:paraId="234798E8">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投标人应充分结合本招标文件上下文了解项目招标需求、采购文件未尽事宜，将在合同签订或项目执行过程中双方协商确定，供应商须无条件满足采购单位的合理要求。</w:t>
            </w:r>
          </w:p>
        </w:tc>
      </w:tr>
    </w:tbl>
    <w:p w14:paraId="38E287CE">
      <w:pPr>
        <w:shd w:val="clear"/>
        <w:rPr>
          <w:color w:val="auto"/>
          <w:highlight w:val="none"/>
        </w:rPr>
      </w:pPr>
    </w:p>
    <w:p w14:paraId="45A4CD5A">
      <w:pPr>
        <w:pStyle w:val="8"/>
        <w:shd w:val="clear"/>
        <w:rPr>
          <w:color w:val="auto"/>
          <w:highlight w:val="none"/>
          <w:lang w:val="en-US"/>
        </w:rPr>
      </w:pPr>
    </w:p>
    <w:p w14:paraId="5AAEAF16">
      <w:pPr>
        <w:shd w:val="clear"/>
        <w:rPr>
          <w:color w:val="auto"/>
          <w:highlight w:val="none"/>
          <w:lang w:val="en-US"/>
        </w:rPr>
      </w:pPr>
    </w:p>
    <w:p w14:paraId="66ABF76E">
      <w:pPr>
        <w:shd w:val="clear"/>
        <w:bidi w:val="0"/>
        <w:rPr>
          <w:color w:val="auto"/>
          <w:highlight w:val="none"/>
          <w:lang w:val="en-US"/>
        </w:rPr>
      </w:pPr>
    </w:p>
    <w:p w14:paraId="64EF76DB">
      <w:pPr>
        <w:shd w:val="clear"/>
        <w:bidi w:val="0"/>
        <w:rPr>
          <w:color w:val="auto"/>
          <w:highlight w:val="none"/>
          <w:lang w:val="en-US"/>
        </w:rPr>
      </w:pPr>
    </w:p>
    <w:p w14:paraId="3D478908">
      <w:pPr>
        <w:shd w:val="clear"/>
        <w:bidi w:val="0"/>
        <w:rPr>
          <w:color w:val="auto"/>
          <w:highlight w:val="none"/>
          <w:lang w:val="en-US"/>
        </w:rPr>
      </w:pPr>
    </w:p>
    <w:p w14:paraId="1BEE87EF">
      <w:pPr>
        <w:pStyle w:val="8"/>
        <w:shd w:val="clear"/>
        <w:rPr>
          <w:color w:val="auto"/>
          <w:highlight w:val="none"/>
          <w:lang w:val="en-US"/>
        </w:rPr>
      </w:pPr>
    </w:p>
    <w:p w14:paraId="3CA52C47">
      <w:pPr>
        <w:shd w:val="clear"/>
        <w:rPr>
          <w:color w:val="auto"/>
          <w:highlight w:val="none"/>
        </w:rPr>
      </w:pPr>
    </w:p>
    <w:p w14:paraId="11B42BE6">
      <w:pPr>
        <w:pStyle w:val="8"/>
        <w:shd w:val="clear"/>
        <w:rPr>
          <w:color w:val="auto"/>
          <w:highlight w:val="none"/>
        </w:rPr>
      </w:pPr>
    </w:p>
    <w:p w14:paraId="111F1B88">
      <w:pPr>
        <w:shd w:val="clear"/>
        <w:rPr>
          <w:color w:val="auto"/>
          <w:highlight w:val="none"/>
        </w:rPr>
      </w:pPr>
    </w:p>
    <w:p w14:paraId="72D80849">
      <w:pPr>
        <w:shd w:val="clear"/>
        <w:rPr>
          <w:rFonts w:hint="eastAsia" w:ascii="宋体" w:hAnsi="宋体"/>
          <w:color w:val="auto"/>
          <w:highlight w:val="none"/>
        </w:rPr>
      </w:pPr>
      <w:bookmarkStart w:id="181" w:name="_Toc19316"/>
      <w:r>
        <w:rPr>
          <w:rFonts w:hint="eastAsia" w:ascii="宋体" w:hAnsi="宋体"/>
          <w:color w:val="auto"/>
          <w:highlight w:val="none"/>
        </w:rPr>
        <w:br w:type="page"/>
      </w:r>
    </w:p>
    <w:p w14:paraId="1F7895C1">
      <w:pPr>
        <w:pStyle w:val="4"/>
        <w:shd w:val="clear"/>
        <w:jc w:val="center"/>
        <w:rPr>
          <w:rFonts w:hint="eastAsia" w:ascii="宋体" w:hAnsi="宋体" w:eastAsia="宋体"/>
          <w:color w:val="auto"/>
          <w:sz w:val="24"/>
          <w:highlight w:val="none"/>
          <w:lang w:eastAsia="zh-CN"/>
        </w:rPr>
      </w:pPr>
      <w:r>
        <w:rPr>
          <w:rFonts w:hint="eastAsia" w:ascii="宋体" w:hAnsi="宋体"/>
          <w:color w:val="auto"/>
          <w:highlight w:val="none"/>
        </w:rPr>
        <w:t>第二章 技术需求书</w:t>
      </w:r>
      <w:bookmarkEnd w:id="181"/>
      <w:r>
        <w:rPr>
          <w:rFonts w:hint="eastAsia" w:ascii="宋体" w:hAnsi="宋体"/>
          <w:color w:val="auto"/>
          <w:highlight w:val="none"/>
          <w:lang w:eastAsia="zh-CN"/>
        </w:rPr>
        <w:t>（</w:t>
      </w:r>
      <w:r>
        <w:rPr>
          <w:rFonts w:hint="eastAsia" w:ascii="宋体" w:hAnsi="宋体"/>
          <w:color w:val="auto"/>
          <w:highlight w:val="none"/>
          <w:lang w:val="en-US" w:eastAsia="zh-CN"/>
        </w:rPr>
        <w:t>采购包1</w:t>
      </w:r>
      <w:r>
        <w:rPr>
          <w:rFonts w:hint="eastAsia" w:ascii="宋体" w:hAnsi="宋体"/>
          <w:color w:val="auto"/>
          <w:highlight w:val="none"/>
          <w:lang w:eastAsia="zh-CN"/>
        </w:rPr>
        <w:t>）</w:t>
      </w:r>
    </w:p>
    <w:p w14:paraId="1DF2D79D">
      <w:pPr>
        <w:pStyle w:val="5"/>
        <w:shd w:val="clear"/>
        <w:bidi w:val="0"/>
        <w:rPr>
          <w:rFonts w:hint="eastAsia"/>
          <w:color w:val="auto"/>
          <w:highlight w:val="none"/>
          <w:lang w:val="en-US" w:eastAsia="zh-CN"/>
        </w:rPr>
      </w:pPr>
      <w:bookmarkStart w:id="182" w:name="_Toc31278"/>
      <w:bookmarkStart w:id="183" w:name="_Toc14462"/>
      <w:bookmarkStart w:id="184" w:name="_Toc13112"/>
      <w:bookmarkStart w:id="185" w:name="_Toc24679"/>
      <w:r>
        <w:rPr>
          <w:rFonts w:hint="eastAsia"/>
          <w:color w:val="auto"/>
          <w:highlight w:val="none"/>
          <w:lang w:val="en-US" w:eastAsia="zh-CN"/>
        </w:rPr>
        <w:t>一、项目具体要求</w:t>
      </w:r>
    </w:p>
    <w:p w14:paraId="4B060015">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color w:val="auto"/>
          <w:szCs w:val="21"/>
          <w:highlight w:val="none"/>
        </w:rPr>
        <w:t>详见</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用户需求书》</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项目概况</w:t>
      </w:r>
    </w:p>
    <w:p w14:paraId="4118185A">
      <w:pPr>
        <w:pStyle w:val="5"/>
        <w:shd w:val="clear"/>
        <w:bidi w:val="0"/>
        <w:rPr>
          <w:rFonts w:hint="eastAsia"/>
          <w:color w:val="auto"/>
          <w:highlight w:val="none"/>
          <w:lang w:val="en-US" w:eastAsia="zh-CN"/>
        </w:rPr>
      </w:pPr>
      <w:r>
        <w:rPr>
          <w:rFonts w:hint="eastAsia"/>
          <w:color w:val="auto"/>
          <w:highlight w:val="none"/>
          <w:lang w:val="en-US" w:eastAsia="zh-CN"/>
        </w:rPr>
        <w:t>二、食材质量及包装要求</w:t>
      </w:r>
    </w:p>
    <w:p w14:paraId="1011C013">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jc w:val="both"/>
        <w:textAlignment w:val="auto"/>
        <w:rPr>
          <w:rFonts w:hint="eastAsia" w:ascii="宋体" w:hAnsi="宋体" w:cs="Times New Roman"/>
          <w:b/>
          <w:bCs/>
          <w:color w:val="auto"/>
          <w:szCs w:val="21"/>
          <w:highlight w:val="none"/>
        </w:rPr>
      </w:pPr>
      <w:r>
        <w:rPr>
          <w:rFonts w:hint="eastAsia" w:ascii="宋体" w:hAnsi="宋体" w:cs="Times New Roman"/>
          <w:b/>
          <w:bCs/>
          <w:color w:val="auto"/>
          <w:szCs w:val="21"/>
          <w:highlight w:val="none"/>
          <w:lang w:val="en-US" w:eastAsia="zh-CN"/>
        </w:rPr>
        <w:t>1</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val="en-US" w:eastAsia="zh-CN"/>
        </w:rPr>
        <w:t>鲜</w:t>
      </w:r>
      <w:r>
        <w:rPr>
          <w:rFonts w:hint="eastAsia" w:ascii="宋体" w:hAnsi="宋体" w:cs="Times New Roman"/>
          <w:b/>
          <w:bCs/>
          <w:color w:val="auto"/>
          <w:szCs w:val="21"/>
          <w:highlight w:val="none"/>
        </w:rPr>
        <w:t>肉类（猪、牛、羊等）供应货品质量要求</w:t>
      </w:r>
    </w:p>
    <w:p w14:paraId="0C452A91">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1</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鲜肉类全部来源于正规肉联厂，保证为当日新鲜肉，并提供政府检疫部门出示的检疫合格证明。（鲜肉类利用率不低于98%）</w:t>
      </w:r>
    </w:p>
    <w:p w14:paraId="7B16FBB0">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具有当天卫生监督部门发放的“动物检疫合格证明”，肉体印有检疫章。</w:t>
      </w:r>
    </w:p>
    <w:p w14:paraId="4086D035">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表皮干爽、肌体结实、肉质紧密、肉色淡红新鲜，肥肉洁白而细腻。</w:t>
      </w:r>
    </w:p>
    <w:p w14:paraId="7962788C">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外观检测无异味、无寄生虫、无粘液、无渗出液体、指压反弹迅速、具有猪肉自然气味。</w:t>
      </w:r>
    </w:p>
    <w:p w14:paraId="2F0EA8F3">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5</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运输设备具备恒温保鲜（5度），存放容器保持清洁卫生，包装合理且材料无污染。</w:t>
      </w:r>
    </w:p>
    <w:p w14:paraId="5BF251BF">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6</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来源可靠放心，无毒、无害、无污染。</w:t>
      </w:r>
    </w:p>
    <w:p w14:paraId="4E380D3E">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7</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按照规格要求进行分割、砍件、分条等。分割肉具有分割肉销售凭据。</w:t>
      </w:r>
    </w:p>
    <w:p w14:paraId="0BDC46A4">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8</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鲜肉：颜色均匀，肌肉呈淡红色或鲜红色（牛肉），脂肪洁白或淡黄色（牛、羊肉）；外表微干或微湿，触摸不粘手，切面有湿润而无黏性，有各种畜肉的特有光泽；肉质紧密，纤维清晰，鲜肉有坚韧性，指压后凹陷立即恢复；具有鲜肉的正常气味，无异味；无泥污、血污，肉边整齐，无碎肉、碎骨；按标准部位分割，精肉无多余脂肪。</w:t>
      </w:r>
    </w:p>
    <w:p w14:paraId="08091DB9">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9</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猪蹄：去蹄壳，不带蹄筋，无毛、趾间黑垢，无松香等异味。</w:t>
      </w:r>
    </w:p>
    <w:p w14:paraId="4EB56C17">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10</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鲜骨：骨管内充满骨髓，质硬，色黄，骨的折断处有光泽，骨髓与骨腔边缘紧密结合。</w:t>
      </w:r>
    </w:p>
    <w:p w14:paraId="414E89E5">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jc w:val="both"/>
        <w:textAlignment w:val="auto"/>
        <w:rPr>
          <w:rFonts w:hint="eastAsia" w:ascii="宋体" w:hAnsi="宋体" w:cs="Times New Roman"/>
          <w:b/>
          <w:bCs/>
          <w:color w:val="auto"/>
          <w:szCs w:val="21"/>
          <w:highlight w:val="none"/>
        </w:rPr>
      </w:pPr>
      <w:r>
        <w:rPr>
          <w:rFonts w:hint="eastAsia" w:ascii="宋体" w:hAnsi="宋体" w:cs="Times New Roman"/>
          <w:b/>
          <w:bCs/>
          <w:color w:val="auto"/>
          <w:szCs w:val="21"/>
          <w:highlight w:val="none"/>
        </w:rPr>
        <w:t>2.</w:t>
      </w:r>
      <w:r>
        <w:rPr>
          <w:rFonts w:hint="eastAsia" w:ascii="宋体" w:hAnsi="宋体" w:cs="Times New Roman"/>
          <w:b/>
          <w:bCs/>
          <w:color w:val="auto"/>
          <w:szCs w:val="21"/>
          <w:highlight w:val="none"/>
          <w:lang w:eastAsia="zh-CN"/>
        </w:rPr>
        <w:t>家</w:t>
      </w:r>
      <w:r>
        <w:rPr>
          <w:rFonts w:hint="eastAsia" w:ascii="宋体" w:hAnsi="宋体" w:cs="Times New Roman"/>
          <w:b/>
          <w:bCs/>
          <w:color w:val="auto"/>
          <w:szCs w:val="21"/>
          <w:highlight w:val="none"/>
        </w:rPr>
        <w:t>禽</w:t>
      </w:r>
      <w:r>
        <w:rPr>
          <w:rFonts w:hint="eastAsia" w:ascii="宋体" w:hAnsi="宋体" w:cs="Times New Roman"/>
          <w:b/>
          <w:bCs/>
          <w:color w:val="auto"/>
          <w:szCs w:val="21"/>
          <w:highlight w:val="none"/>
          <w:lang w:eastAsia="zh-CN"/>
        </w:rPr>
        <w:t>类</w:t>
      </w:r>
      <w:r>
        <w:rPr>
          <w:rFonts w:hint="eastAsia" w:ascii="宋体" w:hAnsi="宋体" w:cs="Times New Roman"/>
          <w:b/>
          <w:bCs/>
          <w:color w:val="auto"/>
          <w:szCs w:val="21"/>
          <w:highlight w:val="none"/>
        </w:rPr>
        <w:t>（鸡、鸭、鹅等）供应货品质量要求</w:t>
      </w:r>
    </w:p>
    <w:p w14:paraId="5A74F4B4">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1</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外观和质量等级符合国家食品部门的有关标准，品质新鲜，无霉烂变质。</w:t>
      </w:r>
    </w:p>
    <w:p w14:paraId="33E2B05A">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鲜禽：有头颈，有腿翅，无内脏；喙有光泽、干燥、无粘液；眼球饱满，角膜有光泽；口腔粘膜呈淡玫瑰色，有光泽、洁净、无异味；口腔及宰刀口无血污、杂质，无紫斑瘀血；腹内无过多脂肪，腹下刀口整齐、不过长；皮肤有光泽，微干或微湿，紧缩、不粘手；毛孔隆起，无长毛及毛、毛根；肌肉有光泽，呈鲜禽肉正常颜色，稍带微红；脂肪呈淡黄色或黄色；肌肉结实有弹性，指压后凹陷立即恢复，有光泽，颈、腿部肌肉呈玫瑰红色；有鲜禽肉正常气味，无异味。</w:t>
      </w:r>
    </w:p>
    <w:p w14:paraId="03ECB9A8">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鸡壳：整鸡去肉，即鸡骨架，有颈无头，无内脏，骨架颜色纯正，外表微湿润，不粘手，具有鸡的正常气味。</w:t>
      </w:r>
    </w:p>
    <w:p w14:paraId="6247466E">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鸡腿：无残羽，无血水、血污、残骨，无伤斑、溃烂、炎症，允许有少量红斑，无多余皮和脂肪。按部位分割，全腿300g 左右，下腿 15g 左右，周边修整齐，形如琵琶。</w:t>
      </w:r>
    </w:p>
    <w:p w14:paraId="06873B4C">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5</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鸡翅：无残羽，无黄衣，无伤斑和溃烂，无血水，允许有少量红斑点，允许修剪但最大范围不超弯关节处，全翅200g 左右，翅中 100g 左右，按部位分割。</w:t>
      </w:r>
    </w:p>
    <w:p w14:paraId="2AF09F16">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6</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鸡脚：白色或灰白色无黄衣趾壳，外形完整，无断骨，脚垫上无黑斑或黄斑，无血污、血水。</w:t>
      </w:r>
    </w:p>
    <w:p w14:paraId="23991677">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jc w:val="both"/>
        <w:textAlignment w:val="auto"/>
        <w:rPr>
          <w:rFonts w:hint="eastAsia" w:ascii="宋体" w:hAnsi="宋体" w:cs="Times New Roman"/>
          <w:b/>
          <w:bCs/>
          <w:color w:val="auto"/>
          <w:szCs w:val="21"/>
          <w:highlight w:val="none"/>
        </w:rPr>
      </w:pPr>
      <w:r>
        <w:rPr>
          <w:rFonts w:hint="eastAsia" w:ascii="宋体" w:hAnsi="宋体" w:cs="Times New Roman"/>
          <w:b/>
          <w:bCs/>
          <w:color w:val="auto"/>
          <w:szCs w:val="21"/>
          <w:highlight w:val="none"/>
          <w:lang w:val="en-US" w:eastAsia="zh-CN"/>
        </w:rPr>
        <w:t>3</w:t>
      </w:r>
      <w:r>
        <w:rPr>
          <w:rFonts w:hint="eastAsia" w:ascii="宋体" w:hAnsi="宋体" w:cs="Times New Roman"/>
          <w:b/>
          <w:bCs/>
          <w:color w:val="auto"/>
          <w:szCs w:val="21"/>
          <w:highlight w:val="none"/>
        </w:rPr>
        <w:t>.水产品类供应货品质量要求</w:t>
      </w:r>
    </w:p>
    <w:p w14:paraId="319F721D">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1</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海鲜、河鲜类水产必须鲜活。</w:t>
      </w:r>
    </w:p>
    <w:p w14:paraId="0F789687">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非冰鲜类必须鲜活，利用率不低于95%。</w:t>
      </w:r>
    </w:p>
    <w:p w14:paraId="57E0442A">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鲜鱼鳞片完整，有光泽无脱落，鳃口紧闭，眼球光亮透明，鱼鳃鲜红，鳍尾完整，确保新鲜。</w:t>
      </w:r>
    </w:p>
    <w:p w14:paraId="5AF2A9D0">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身体饱满结实，无腐烂异味，肉质紧密有弹性，无离骨脱刺现象。</w:t>
      </w:r>
    </w:p>
    <w:p w14:paraId="1EFBA6C3">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5</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来源可靠放心，无毒、无害、无污染。</w:t>
      </w:r>
    </w:p>
    <w:p w14:paraId="4AA41360">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jc w:val="both"/>
        <w:textAlignment w:val="auto"/>
        <w:rPr>
          <w:rFonts w:hint="eastAsia" w:ascii="宋体" w:hAnsi="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4.冻品类</w:t>
      </w:r>
      <w:r>
        <w:rPr>
          <w:rFonts w:hint="eastAsia" w:ascii="宋体" w:hAnsi="宋体" w:cs="Times New Roman"/>
          <w:b/>
          <w:bCs/>
          <w:color w:val="auto"/>
          <w:szCs w:val="21"/>
          <w:highlight w:val="none"/>
        </w:rPr>
        <w:t>供应货品质量要求</w:t>
      </w:r>
    </w:p>
    <w:p w14:paraId="2F38B6A8">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1</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中标人</w:t>
      </w:r>
      <w:r>
        <w:rPr>
          <w:rFonts w:hint="eastAsia" w:ascii="宋体" w:hAnsi="宋体" w:cs="Times New Roman"/>
          <w:color w:val="auto"/>
          <w:szCs w:val="21"/>
          <w:highlight w:val="none"/>
        </w:rPr>
        <w:t>提供的冷冻产品须源于合格的生产厂家，生产厂家拥有标准化作业流程、可溯源，立品包装上须清晰标注生产日期和保质期，严禁将三无作坊、变质、过期等不合格的产品配送给</w:t>
      </w:r>
      <w:r>
        <w:rPr>
          <w:rFonts w:hint="eastAsia" w:ascii="宋体" w:hAnsi="宋体" w:cs="Times New Roman"/>
          <w:color w:val="auto"/>
          <w:szCs w:val="21"/>
          <w:highlight w:val="none"/>
          <w:lang w:eastAsia="zh-CN"/>
        </w:rPr>
        <w:t>采购人</w:t>
      </w:r>
      <w:r>
        <w:rPr>
          <w:rFonts w:hint="eastAsia" w:ascii="宋体" w:hAnsi="宋体" w:cs="Times New Roman"/>
          <w:color w:val="auto"/>
          <w:szCs w:val="21"/>
          <w:highlight w:val="none"/>
        </w:rPr>
        <w:t>。冻品如为进口产品，须提供相关中文检疫检验报告。（从收货之日起计算剩余保质期不得低于标注保质期的</w:t>
      </w:r>
      <w:r>
        <w:rPr>
          <w:rFonts w:hint="eastAsia" w:ascii="宋体" w:hAnsi="宋体" w:cs="Times New Roman"/>
          <w:color w:val="auto"/>
          <w:szCs w:val="21"/>
          <w:highlight w:val="none"/>
          <w:lang w:val="en-US" w:eastAsia="zh-CN"/>
        </w:rPr>
        <w:t>75</w:t>
      </w:r>
      <w:r>
        <w:rPr>
          <w:rFonts w:hint="eastAsia" w:ascii="宋体" w:hAnsi="宋体" w:cs="Times New Roman"/>
          <w:color w:val="auto"/>
          <w:szCs w:val="21"/>
          <w:highlight w:val="none"/>
        </w:rPr>
        <w:t>%）。</w:t>
      </w:r>
    </w:p>
    <w:p w14:paraId="736E1209">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冷冻肉要求肉体冻实而坚硬，无化冻现象，肉质紧密而有弹性，色泽均匀，不粘手，交货时干净、新鲜、无异味。</w:t>
      </w:r>
    </w:p>
    <w:p w14:paraId="32ECDEC1">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冷冻鱼类要求鱼眼睛清亮，角膜透明，鳞片上覆有冻结的透明黏液层，皮肤天然色泽明显。</w:t>
      </w:r>
    </w:p>
    <w:p w14:paraId="1302C660">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冷冻禽类食品解冻后净重量不少于92%，冷冻肉类食品解冻后净重量不少于95%，冷冻水产类食品解冻后净重量不少于85%，解冻时间为4小时以内（室温20℃）。</w:t>
      </w:r>
    </w:p>
    <w:p w14:paraId="51593E51">
      <w:pPr>
        <w:shd w:val="clear"/>
        <w:ind w:firstLine="422" w:firstLineChars="200"/>
        <w:rPr>
          <w:rFonts w:hint="eastAsia" w:ascii="宋体" w:hAnsi="宋体" w:eastAsia="宋体" w:cs="Times New Roman"/>
          <w:b/>
          <w:bCs/>
          <w:color w:val="auto"/>
          <w:sz w:val="21"/>
          <w:szCs w:val="21"/>
          <w:highlight w:val="none"/>
        </w:rPr>
      </w:pPr>
    </w:p>
    <w:p w14:paraId="40759B71">
      <w:pPr>
        <w:shd w:val="clear"/>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14:paraId="5CC21F0A">
      <w:pPr>
        <w:pStyle w:val="8"/>
        <w:shd w:val="clear"/>
        <w:ind w:left="0" w:leftChars="0" w:firstLine="0" w:firstLineChars="0"/>
        <w:rPr>
          <w:color w:val="auto"/>
          <w:highlight w:val="none"/>
        </w:rPr>
      </w:pPr>
    </w:p>
    <w:p w14:paraId="7B46EDE4">
      <w:pPr>
        <w:shd w:val="clear"/>
        <w:rPr>
          <w:rFonts w:hint="eastAsia" w:ascii="宋体" w:hAnsi="宋体"/>
          <w:color w:val="auto"/>
          <w:highlight w:val="none"/>
        </w:rPr>
      </w:pPr>
      <w:r>
        <w:rPr>
          <w:rFonts w:hint="eastAsia" w:ascii="宋体" w:hAnsi="宋体"/>
          <w:color w:val="auto"/>
          <w:highlight w:val="none"/>
        </w:rPr>
        <w:br w:type="page"/>
      </w:r>
    </w:p>
    <w:p w14:paraId="4959CF02">
      <w:pPr>
        <w:pStyle w:val="4"/>
        <w:shd w:val="clear"/>
        <w:jc w:val="center"/>
        <w:rPr>
          <w:rFonts w:hint="eastAsia" w:ascii="宋体" w:hAnsi="宋体" w:eastAsia="宋体"/>
          <w:color w:val="auto"/>
          <w:highlight w:val="none"/>
          <w:lang w:eastAsia="zh-CN"/>
        </w:rPr>
      </w:pPr>
      <w:r>
        <w:rPr>
          <w:rFonts w:hint="eastAsia" w:ascii="宋体" w:hAnsi="宋体"/>
          <w:color w:val="auto"/>
          <w:highlight w:val="none"/>
        </w:rPr>
        <w:t>第一章 商务需求书</w:t>
      </w:r>
      <w:r>
        <w:rPr>
          <w:rFonts w:hint="eastAsia" w:ascii="宋体" w:hAnsi="宋体"/>
          <w:color w:val="auto"/>
          <w:highlight w:val="none"/>
          <w:lang w:eastAsia="zh-CN"/>
        </w:rPr>
        <w:t>（</w:t>
      </w:r>
      <w:r>
        <w:rPr>
          <w:rFonts w:hint="eastAsia" w:ascii="宋体" w:hAnsi="宋体"/>
          <w:color w:val="auto"/>
          <w:highlight w:val="none"/>
          <w:lang w:val="en-US" w:eastAsia="zh-CN"/>
        </w:rPr>
        <w:t>采购包2</w:t>
      </w:r>
      <w:r>
        <w:rPr>
          <w:rFonts w:hint="eastAsia" w:ascii="宋体" w:hAnsi="宋体"/>
          <w:color w:val="auto"/>
          <w:highlight w:val="none"/>
          <w:lang w:eastAsia="zh-CN"/>
        </w:rPr>
        <w:t>）</w:t>
      </w:r>
    </w:p>
    <w:tbl>
      <w:tblPr>
        <w:tblStyle w:val="25"/>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74"/>
        <w:gridCol w:w="7245"/>
      </w:tblGrid>
      <w:tr w14:paraId="2D4FFC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8" w:type="pct"/>
            <w:noWrap w:val="0"/>
            <w:vAlign w:val="center"/>
          </w:tcPr>
          <w:p w14:paraId="3AE59936">
            <w:pPr>
              <w:keepNext w:val="0"/>
              <w:keepLines w:val="0"/>
              <w:pageBreakBefore w:val="0"/>
              <w:shd w:val="clear"/>
              <w:kinsoku/>
              <w:wordWrap/>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标的提供的时间</w:t>
            </w:r>
          </w:p>
        </w:tc>
        <w:tc>
          <w:tcPr>
            <w:tcW w:w="4251" w:type="pct"/>
            <w:noWrap w:val="0"/>
            <w:vAlign w:val="center"/>
          </w:tcPr>
          <w:p w14:paraId="51BC950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自合同签订之日起</w:t>
            </w:r>
            <w:r>
              <w:rPr>
                <w:rFonts w:hint="eastAsia" w:ascii="宋体" w:hAnsi="宋体" w:cs="宋体"/>
                <w:color w:val="auto"/>
                <w:sz w:val="21"/>
                <w:szCs w:val="21"/>
                <w:highlight w:val="none"/>
                <w:lang w:eastAsia="zh-CN"/>
              </w:rPr>
              <w:t>35个月</w:t>
            </w:r>
            <w:r>
              <w:rPr>
                <w:rFonts w:hint="eastAsia" w:ascii="宋体" w:hAnsi="宋体" w:eastAsia="宋体" w:cs="宋体"/>
                <w:color w:val="auto"/>
                <w:sz w:val="21"/>
                <w:szCs w:val="21"/>
                <w:highlight w:val="none"/>
                <w:lang w:eastAsia="zh-CN"/>
              </w:rPr>
              <w:t>。（具体以合同签订时间为准）</w:t>
            </w:r>
          </w:p>
        </w:tc>
      </w:tr>
      <w:tr w14:paraId="21A50A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8" w:type="pct"/>
            <w:noWrap w:val="0"/>
            <w:vAlign w:val="center"/>
          </w:tcPr>
          <w:p w14:paraId="04B7F8DA">
            <w:pPr>
              <w:keepNext w:val="0"/>
              <w:keepLines w:val="0"/>
              <w:pageBreakBefore w:val="0"/>
              <w:shd w:val="clear"/>
              <w:kinsoku/>
              <w:wordWrap/>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标的提供的地点</w:t>
            </w:r>
          </w:p>
        </w:tc>
        <w:tc>
          <w:tcPr>
            <w:tcW w:w="4251" w:type="pct"/>
            <w:noWrap w:val="0"/>
            <w:vAlign w:val="center"/>
          </w:tcPr>
          <w:p w14:paraId="74D6C27E">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东莞市常平镇</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如有变化另行通知</w:t>
            </w:r>
            <w:r>
              <w:rPr>
                <w:rFonts w:hint="eastAsia" w:ascii="宋体" w:hAnsi="宋体" w:cs="宋体"/>
                <w:color w:val="auto"/>
                <w:sz w:val="21"/>
                <w:szCs w:val="21"/>
                <w:highlight w:val="none"/>
                <w:lang w:eastAsia="zh-CN"/>
              </w:rPr>
              <w:t>）</w:t>
            </w:r>
          </w:p>
        </w:tc>
      </w:tr>
      <w:tr w14:paraId="08D354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8" w:type="pct"/>
            <w:noWrap w:val="0"/>
            <w:vAlign w:val="center"/>
          </w:tcPr>
          <w:p w14:paraId="66002771">
            <w:pPr>
              <w:keepNext w:val="0"/>
              <w:keepLines w:val="0"/>
              <w:pageBreakBefore w:val="0"/>
              <w:shd w:val="clear"/>
              <w:kinsoku/>
              <w:wordWrap/>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4251" w:type="pct"/>
            <w:noWrap w:val="0"/>
            <w:vAlign w:val="center"/>
          </w:tcPr>
          <w:p w14:paraId="72A59E10">
            <w:pPr>
              <w:keepNext w:val="0"/>
              <w:keepLines w:val="0"/>
              <w:pageBreakBefore w:val="0"/>
              <w:widowControl/>
              <w:shd w:val="clea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1.按月结算费用</w:t>
            </w:r>
            <w:r>
              <w:rPr>
                <w:rFonts w:hint="eastAsia" w:ascii="宋体" w:hAnsi="宋体" w:eastAsia="宋体" w:cs="宋体"/>
                <w:color w:val="auto"/>
                <w:sz w:val="21"/>
                <w:szCs w:val="21"/>
                <w:highlight w:val="none"/>
                <w:lang w:eastAsia="zh-CN"/>
              </w:rPr>
              <w:t>，按实支付，本合同的每笔款项均以银行电汇方式支付，具体付款要求如下：双方采取先送货后结款的方式，</w:t>
            </w:r>
            <w:r>
              <w:rPr>
                <w:rFonts w:hint="eastAsia" w:ascii="宋体" w:hAnsi="宋体" w:cs="宋体"/>
                <w:color w:val="auto"/>
                <w:sz w:val="21"/>
                <w:szCs w:val="21"/>
                <w:highlight w:val="none"/>
                <w:lang w:val="en-US" w:eastAsia="zh-CN"/>
              </w:rPr>
              <w:t>当月结算上月货款</w:t>
            </w:r>
            <w:r>
              <w:rPr>
                <w:rFonts w:hint="eastAsia" w:ascii="宋体" w:hAnsi="宋体" w:eastAsia="宋体" w:cs="宋体"/>
                <w:color w:val="auto"/>
                <w:sz w:val="21"/>
                <w:szCs w:val="21"/>
                <w:highlight w:val="none"/>
                <w:lang w:eastAsia="zh-CN"/>
              </w:rPr>
              <w:t>。双方应在每月10日前核对上期货款</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遇节假日顺延</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中标人核对货款时应当提交双方确认的送货单、报价单、《供应商月度评价表》，</w:t>
            </w:r>
            <w:r>
              <w:rPr>
                <w:rFonts w:hint="eastAsia" w:ascii="宋体" w:hAnsi="宋体" w:eastAsia="宋体" w:cs="宋体"/>
                <w:color w:val="auto"/>
                <w:sz w:val="21"/>
                <w:szCs w:val="21"/>
                <w:highlight w:val="none"/>
                <w:lang w:eastAsia="zh-CN"/>
              </w:rPr>
              <w:t>中标人根据双方核对无误确认好的金额开具发票给采购人请款，采购人应在收到中标人发票后的30个工作日内支付上月的货款，采购人以银行转账方式将货款一次性转入中标人书面指定的银行账户</w:t>
            </w:r>
            <w:r>
              <w:rPr>
                <w:rFonts w:hint="eastAsia" w:ascii="宋体" w:hAnsi="宋体" w:cs="宋体"/>
                <w:color w:val="auto"/>
                <w:sz w:val="21"/>
                <w:szCs w:val="21"/>
                <w:highlight w:val="none"/>
                <w:lang w:eastAsia="zh-CN"/>
              </w:rPr>
              <w:t>【</w:t>
            </w:r>
            <w:r>
              <w:rPr>
                <w:rFonts w:hint="eastAsia" w:ascii="宋体" w:hAnsi="宋体" w:eastAsia="宋体" w:cs="宋体"/>
                <w:color w:val="auto"/>
                <w:spacing w:val="-3"/>
                <w:sz w:val="21"/>
                <w:szCs w:val="21"/>
                <w:highlight w:val="none"/>
              </w:rPr>
              <w:t>其中：货品结算价格=经采</w:t>
            </w:r>
            <w:r>
              <w:rPr>
                <w:rFonts w:hint="eastAsia" w:ascii="宋体" w:hAnsi="宋体" w:eastAsia="宋体" w:cs="宋体"/>
                <w:color w:val="auto"/>
                <w:spacing w:val="-4"/>
                <w:sz w:val="21"/>
                <w:szCs w:val="21"/>
                <w:highlight w:val="none"/>
              </w:rPr>
              <w:t>购人核定确认的基准价×（1-中标下浮率）</w:t>
            </w:r>
            <w:r>
              <w:rPr>
                <w:rFonts w:hint="eastAsia" w:ascii="宋体" w:hAnsi="宋体" w:cs="宋体"/>
                <w:color w:val="auto"/>
                <w:spacing w:val="-4"/>
                <w:sz w:val="21"/>
                <w:szCs w:val="21"/>
                <w:highlight w:val="none"/>
                <w:lang w:eastAsia="zh-CN"/>
              </w:rPr>
              <w:t>；</w:t>
            </w:r>
            <w:r>
              <w:rPr>
                <w:rFonts w:hint="eastAsia" w:ascii="宋体" w:hAnsi="宋体" w:cs="宋体"/>
                <w:color w:val="auto"/>
                <w:spacing w:val="-4"/>
                <w:sz w:val="21"/>
                <w:szCs w:val="21"/>
                <w:highlight w:val="none"/>
                <w:lang w:val="en-US" w:eastAsia="zh-CN"/>
              </w:rPr>
              <w:t>货款结算额=</w:t>
            </w:r>
            <w:r>
              <w:rPr>
                <w:rFonts w:hint="eastAsia" w:ascii="宋体" w:hAnsi="宋体" w:eastAsia="宋体" w:cs="宋体"/>
                <w:color w:val="auto"/>
                <w:spacing w:val="-3"/>
                <w:sz w:val="21"/>
                <w:szCs w:val="21"/>
                <w:highlight w:val="none"/>
              </w:rPr>
              <w:t>货品结算价</w:t>
            </w:r>
            <w:r>
              <w:rPr>
                <w:rFonts w:hint="eastAsia" w:ascii="宋体" w:hAnsi="宋体" w:eastAsia="宋体" w:cs="宋体"/>
                <w:color w:val="auto"/>
                <w:spacing w:val="-3"/>
                <w:sz w:val="21"/>
                <w:szCs w:val="21"/>
                <w:highlight w:val="none"/>
                <w:lang w:val="en-US" w:eastAsia="zh-CN"/>
              </w:rPr>
              <w:t>×实际采购量-扣款（如有）</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w:t>
            </w:r>
          </w:p>
          <w:p w14:paraId="50925CF9">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00" w:firstLineChars="200"/>
              <w:textAlignment w:val="auto"/>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 w:val="21"/>
                <w:szCs w:val="21"/>
                <w:highlight w:val="none"/>
              </w:rPr>
              <w:t>2</w:t>
            </w:r>
            <w:r>
              <w:rPr>
                <w:rFonts w:hint="eastAsia" w:cs="宋体"/>
                <w:color w:val="auto"/>
                <w:spacing w:val="-5"/>
                <w:sz w:val="21"/>
                <w:szCs w:val="21"/>
                <w:highlight w:val="none"/>
                <w:lang w:val="en-US" w:eastAsia="zh-CN"/>
              </w:rPr>
              <w:t>.</w:t>
            </w:r>
            <w:r>
              <w:rPr>
                <w:rFonts w:hint="eastAsia" w:ascii="宋体" w:hAnsi="宋体" w:eastAsia="宋体" w:cs="宋体"/>
                <w:color w:val="auto"/>
                <w:spacing w:val="-5"/>
                <w:sz w:val="21"/>
                <w:szCs w:val="21"/>
                <w:highlight w:val="none"/>
              </w:rPr>
              <w:t>收款方、发票的销售方、合同</w:t>
            </w:r>
            <w:r>
              <w:rPr>
                <w:rFonts w:hint="eastAsia" w:cs="宋体"/>
                <w:color w:val="auto"/>
                <w:spacing w:val="-5"/>
                <w:sz w:val="21"/>
                <w:szCs w:val="21"/>
                <w:highlight w:val="none"/>
                <w:lang w:eastAsia="zh-CN"/>
              </w:rPr>
              <w:t>中标人</w:t>
            </w:r>
            <w:r>
              <w:rPr>
                <w:rFonts w:hint="eastAsia" w:ascii="宋体" w:hAnsi="宋体" w:eastAsia="宋体" w:cs="宋体"/>
                <w:color w:val="auto"/>
                <w:spacing w:val="-5"/>
                <w:sz w:val="21"/>
                <w:szCs w:val="21"/>
                <w:highlight w:val="none"/>
              </w:rPr>
              <w:t xml:space="preserve">均必须与中标人名称一致。 </w:t>
            </w:r>
            <w:r>
              <w:rPr>
                <w:rFonts w:hint="eastAsia" w:ascii="宋体" w:hAnsi="宋体" w:eastAsia="宋体" w:cs="宋体"/>
                <w:color w:val="auto"/>
                <w:spacing w:val="-5"/>
                <w:sz w:val="21"/>
                <w:szCs w:val="21"/>
                <w:highlight w:val="none"/>
                <w:lang w:val="en-US" w:eastAsia="zh-CN"/>
              </w:rPr>
              <w:t>若中标人递交材料不符合上述约定的，采购人有权顺延付款时间。如果中标人怠于或者拒绝提供资料或者办理手续的，则因此产生的付款迟延的责任全部由中标人承担。</w:t>
            </w:r>
          </w:p>
          <w:p w14:paraId="290D4194">
            <w:pPr>
              <w:shd w:val="clear"/>
              <w:rPr>
                <w:color w:val="auto"/>
                <w:highlight w:val="none"/>
              </w:rPr>
            </w:pPr>
          </w:p>
          <w:p w14:paraId="74CF61C4">
            <w:pPr>
              <w:keepNext w:val="0"/>
              <w:keepLines w:val="0"/>
              <w:pageBreakBefore w:val="0"/>
              <w:widowControl w:val="0"/>
              <w:shd w:val="clear"/>
              <w:kinsoku/>
              <w:wordWrap/>
              <w:overflowPunct/>
              <w:topLinePunct w:val="0"/>
              <w:autoSpaceDE/>
              <w:autoSpaceDN/>
              <w:bidi w:val="0"/>
              <w:adjustRightInd/>
              <w:snapToGrid/>
              <w:spacing w:line="360" w:lineRule="auto"/>
              <w:ind w:firstLine="412" w:firstLineChars="200"/>
              <w:jc w:val="left"/>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2"/>
                <w:sz w:val="21"/>
                <w:szCs w:val="21"/>
                <w:highlight w:val="none"/>
              </w:rPr>
              <w:t>3</w:t>
            </w:r>
            <w:r>
              <w:rPr>
                <w:rFonts w:hint="eastAsia" w:cs="宋体"/>
                <w:color w:val="auto"/>
                <w:spacing w:val="-2"/>
                <w:sz w:val="21"/>
                <w:szCs w:val="21"/>
                <w:highlight w:val="none"/>
                <w:lang w:val="en-US" w:eastAsia="zh-CN"/>
              </w:rPr>
              <w:t>.</w:t>
            </w:r>
            <w:r>
              <w:rPr>
                <w:rFonts w:hint="eastAsia" w:ascii="宋体" w:hAnsi="宋体" w:eastAsia="宋体" w:cs="宋体"/>
                <w:color w:val="auto"/>
                <w:spacing w:val="-2"/>
                <w:sz w:val="21"/>
                <w:szCs w:val="21"/>
                <w:highlight w:val="none"/>
              </w:rPr>
              <w:t>因特殊原因需要提早或延迟结算的，经采购人</w:t>
            </w:r>
            <w:r>
              <w:rPr>
                <w:rFonts w:hint="eastAsia" w:ascii="宋体" w:hAnsi="宋体" w:eastAsia="宋体" w:cs="宋体"/>
                <w:color w:val="auto"/>
                <w:spacing w:val="-3"/>
                <w:sz w:val="21"/>
                <w:szCs w:val="21"/>
                <w:highlight w:val="none"/>
              </w:rPr>
              <w:t>和中标人双方协商一</w:t>
            </w:r>
            <w:r>
              <w:rPr>
                <w:rFonts w:hint="eastAsia" w:ascii="宋体" w:hAnsi="宋体" w:eastAsia="宋体" w:cs="宋体"/>
                <w:color w:val="auto"/>
                <w:spacing w:val="-8"/>
                <w:sz w:val="21"/>
                <w:szCs w:val="21"/>
                <w:highlight w:val="none"/>
              </w:rPr>
              <w:t>致后执行。</w:t>
            </w:r>
            <w:r>
              <w:rPr>
                <w:rFonts w:hint="eastAsia" w:ascii="宋体" w:hAnsi="宋体" w:eastAsia="宋体" w:cs="宋体"/>
                <w:color w:val="auto"/>
                <w:spacing w:val="-8"/>
                <w:sz w:val="21"/>
                <w:szCs w:val="21"/>
                <w:highlight w:val="none"/>
                <w:lang w:val="en-US" w:eastAsia="zh-CN"/>
              </w:rPr>
              <w:t>因非采购人原因干预无法在约定期限内结算的，不视为采购人违约。</w:t>
            </w:r>
          </w:p>
          <w:p w14:paraId="4027DDB6">
            <w:pPr>
              <w:keepNext w:val="0"/>
              <w:keepLines w:val="0"/>
              <w:pageBreakBefore w:val="0"/>
              <w:widowControl w:val="0"/>
              <w:shd w:val="clear"/>
              <w:kinsoku/>
              <w:wordWrap/>
              <w:overflowPunct/>
              <w:topLinePunct w:val="0"/>
              <w:autoSpaceDE/>
              <w:autoSpaceDN/>
              <w:bidi w:val="0"/>
              <w:adjustRightInd/>
              <w:snapToGrid/>
              <w:spacing w:line="360" w:lineRule="auto"/>
              <w:ind w:firstLine="388"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pacing w:val="-8"/>
                <w:sz w:val="21"/>
                <w:szCs w:val="21"/>
                <w:highlight w:val="none"/>
                <w:lang w:val="en-US" w:eastAsia="zh-CN"/>
              </w:rPr>
              <w:t>注：</w:t>
            </w:r>
            <w:r>
              <w:rPr>
                <w:rFonts w:hint="eastAsia" w:ascii="宋体" w:hAnsi="宋体" w:eastAsia="宋体" w:cs="宋体"/>
                <w:color w:val="auto"/>
                <w:spacing w:val="-8"/>
                <w:sz w:val="21"/>
                <w:szCs w:val="21"/>
                <w:highlight w:val="none"/>
              </w:rPr>
              <w:t>因政策的影响，</w:t>
            </w:r>
            <w:r>
              <w:rPr>
                <w:rFonts w:hint="eastAsia" w:ascii="宋体" w:hAnsi="宋体" w:eastAsia="宋体" w:cs="宋体"/>
                <w:color w:val="auto"/>
                <w:spacing w:val="-8"/>
                <w:sz w:val="21"/>
                <w:szCs w:val="21"/>
                <w:highlight w:val="none"/>
                <w:lang w:val="en-US" w:eastAsia="zh-CN"/>
              </w:rPr>
              <w:t>采购人</w:t>
            </w:r>
            <w:r>
              <w:rPr>
                <w:rFonts w:hint="eastAsia" w:ascii="宋体" w:hAnsi="宋体" w:eastAsia="宋体" w:cs="宋体"/>
                <w:color w:val="auto"/>
                <w:spacing w:val="-8"/>
                <w:sz w:val="21"/>
                <w:szCs w:val="21"/>
                <w:highlight w:val="none"/>
              </w:rPr>
              <w:t>拨款未能及时到位，</w:t>
            </w:r>
            <w:r>
              <w:rPr>
                <w:rFonts w:hint="eastAsia" w:ascii="宋体" w:hAnsi="宋体" w:eastAsia="宋体" w:cs="宋体"/>
                <w:color w:val="auto"/>
                <w:spacing w:val="-8"/>
                <w:sz w:val="21"/>
                <w:szCs w:val="21"/>
                <w:highlight w:val="none"/>
                <w:lang w:val="en-US" w:eastAsia="zh-CN"/>
              </w:rPr>
              <w:t>中标人</w:t>
            </w:r>
            <w:r>
              <w:rPr>
                <w:rFonts w:hint="eastAsia" w:ascii="宋体" w:hAnsi="宋体" w:eastAsia="宋体" w:cs="宋体"/>
                <w:color w:val="auto"/>
                <w:spacing w:val="-8"/>
                <w:sz w:val="21"/>
                <w:szCs w:val="21"/>
                <w:highlight w:val="none"/>
              </w:rPr>
              <w:t>不得以此为由不履行本合同规定的义务或者追究</w:t>
            </w:r>
            <w:r>
              <w:rPr>
                <w:rFonts w:hint="eastAsia" w:ascii="宋体" w:hAnsi="宋体" w:eastAsia="宋体" w:cs="宋体"/>
                <w:color w:val="auto"/>
                <w:spacing w:val="-8"/>
                <w:sz w:val="21"/>
                <w:szCs w:val="21"/>
                <w:highlight w:val="none"/>
                <w:lang w:val="en-US" w:eastAsia="zh-CN"/>
              </w:rPr>
              <w:t>采购人</w:t>
            </w:r>
            <w:r>
              <w:rPr>
                <w:rFonts w:hint="eastAsia" w:ascii="宋体" w:hAnsi="宋体" w:eastAsia="宋体" w:cs="宋体"/>
                <w:color w:val="auto"/>
                <w:spacing w:val="-8"/>
                <w:sz w:val="21"/>
                <w:szCs w:val="21"/>
                <w:highlight w:val="none"/>
              </w:rPr>
              <w:t>的违约责任。</w:t>
            </w:r>
          </w:p>
        </w:tc>
      </w:tr>
      <w:tr w14:paraId="68FBEF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8" w:type="pct"/>
            <w:noWrap w:val="0"/>
            <w:vAlign w:val="center"/>
          </w:tcPr>
          <w:p w14:paraId="77033B83">
            <w:pPr>
              <w:keepNext w:val="0"/>
              <w:keepLines w:val="0"/>
              <w:pageBreakBefore w:val="0"/>
              <w:shd w:val="clear"/>
              <w:kinsoku/>
              <w:wordWrap/>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验收要求</w:t>
            </w:r>
          </w:p>
        </w:tc>
        <w:tc>
          <w:tcPr>
            <w:tcW w:w="4251" w:type="pct"/>
            <w:noWrap w:val="0"/>
            <w:vAlign w:val="center"/>
          </w:tcPr>
          <w:p w14:paraId="2730CED4">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12" w:firstLineChars="200"/>
              <w:jc w:val="both"/>
              <w:textAlignment w:val="auto"/>
              <w:rPr>
                <w:rFonts w:hint="eastAsia" w:ascii="宋体" w:hAnsi="宋体" w:eastAsia="宋体" w:cs="宋体"/>
                <w:color w:val="auto"/>
                <w:sz w:val="21"/>
                <w:szCs w:val="21"/>
                <w:highlight w:val="none"/>
              </w:rPr>
            </w:pPr>
            <w:r>
              <w:rPr>
                <w:rFonts w:hint="eastAsia" w:cs="宋体"/>
                <w:color w:val="auto"/>
                <w:spacing w:val="-2"/>
                <w:sz w:val="21"/>
                <w:szCs w:val="21"/>
                <w:highlight w:val="none"/>
                <w:lang w:val="en-US" w:eastAsia="zh-CN"/>
              </w:rPr>
              <w:t>1.</w:t>
            </w:r>
            <w:r>
              <w:rPr>
                <w:rFonts w:hint="eastAsia" w:ascii="宋体" w:hAnsi="宋体" w:eastAsia="宋体" w:cs="宋体"/>
                <w:color w:val="auto"/>
                <w:spacing w:val="-2"/>
                <w:sz w:val="21"/>
                <w:szCs w:val="21"/>
                <w:highlight w:val="none"/>
              </w:rPr>
              <w:t>中标人所供应的货品需要符合国家、广东省和东莞市的相</w:t>
            </w:r>
            <w:r>
              <w:rPr>
                <w:rFonts w:hint="eastAsia" w:ascii="宋体" w:hAnsi="宋体" w:eastAsia="宋体" w:cs="宋体"/>
                <w:color w:val="auto"/>
                <w:spacing w:val="-12"/>
                <w:sz w:val="21"/>
                <w:szCs w:val="21"/>
                <w:highlight w:val="none"/>
              </w:rPr>
              <w:t>关安全质量标准、卫生标准等，同时符合采购人</w:t>
            </w:r>
            <w:r>
              <w:rPr>
                <w:rFonts w:hint="eastAsia" w:ascii="宋体" w:hAnsi="宋体" w:eastAsia="宋体" w:cs="宋体"/>
                <w:color w:val="auto"/>
                <w:spacing w:val="-13"/>
                <w:sz w:val="21"/>
                <w:szCs w:val="21"/>
                <w:highlight w:val="none"/>
              </w:rPr>
              <w:t>的使用要求，包括但</w:t>
            </w:r>
            <w:r>
              <w:rPr>
                <w:rFonts w:hint="eastAsia" w:ascii="宋体" w:hAnsi="宋体" w:eastAsia="宋体" w:cs="宋体"/>
                <w:color w:val="auto"/>
                <w:spacing w:val="-2"/>
                <w:sz w:val="21"/>
                <w:szCs w:val="21"/>
                <w:highlight w:val="none"/>
              </w:rPr>
              <w:t>不限于各类所列的货品质量要求。中标人在接受订单时需要确认采购</w:t>
            </w:r>
            <w:r>
              <w:rPr>
                <w:rFonts w:hint="eastAsia" w:ascii="宋体" w:hAnsi="宋体" w:eastAsia="宋体" w:cs="宋体"/>
                <w:color w:val="auto"/>
                <w:spacing w:val="-11"/>
                <w:sz w:val="21"/>
                <w:szCs w:val="21"/>
                <w:highlight w:val="none"/>
              </w:rPr>
              <w:t>人对货品的使用要求，对于不符合采购人要求的货品，采购人有权拒</w:t>
            </w:r>
            <w:r>
              <w:rPr>
                <w:rFonts w:hint="eastAsia" w:ascii="宋体" w:hAnsi="宋体" w:eastAsia="宋体" w:cs="宋体"/>
                <w:color w:val="auto"/>
                <w:spacing w:val="-6"/>
                <w:sz w:val="21"/>
                <w:szCs w:val="21"/>
                <w:highlight w:val="none"/>
              </w:rPr>
              <w:t>收或要求更换。</w:t>
            </w:r>
          </w:p>
          <w:p w14:paraId="07971D62">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16" w:firstLineChars="200"/>
              <w:jc w:val="both"/>
              <w:textAlignment w:val="auto"/>
              <w:rPr>
                <w:rFonts w:hint="eastAsia" w:ascii="宋体" w:hAnsi="宋体" w:eastAsia="宋体" w:cs="宋体"/>
                <w:color w:val="auto"/>
                <w:sz w:val="21"/>
                <w:szCs w:val="21"/>
                <w:highlight w:val="none"/>
              </w:rPr>
            </w:pPr>
            <w:r>
              <w:rPr>
                <w:rFonts w:hint="eastAsia" w:cs="宋体"/>
                <w:color w:val="auto"/>
                <w:spacing w:val="-1"/>
                <w:sz w:val="21"/>
                <w:szCs w:val="21"/>
                <w:highlight w:val="none"/>
                <w:lang w:val="en-US" w:eastAsia="zh-CN"/>
              </w:rPr>
              <w:t>2.</w:t>
            </w:r>
            <w:r>
              <w:rPr>
                <w:rFonts w:hint="eastAsia" w:ascii="宋体" w:hAnsi="宋体" w:eastAsia="宋体" w:cs="宋体"/>
                <w:color w:val="auto"/>
                <w:spacing w:val="-1"/>
                <w:sz w:val="21"/>
                <w:szCs w:val="21"/>
                <w:highlight w:val="none"/>
              </w:rPr>
              <w:t>退（补）货流程：对不符合采购要求的食材由验收人员提</w:t>
            </w:r>
            <w:r>
              <w:rPr>
                <w:rFonts w:hint="eastAsia" w:ascii="宋体" w:hAnsi="宋体" w:eastAsia="宋体" w:cs="宋体"/>
                <w:color w:val="auto"/>
                <w:spacing w:val="-10"/>
                <w:sz w:val="21"/>
                <w:szCs w:val="21"/>
                <w:highlight w:val="none"/>
              </w:rPr>
              <w:t>出清退，退货前应实行留板备案，如双方对质量争议可送国家质监部</w:t>
            </w:r>
            <w:r>
              <w:rPr>
                <w:rFonts w:hint="eastAsia" w:ascii="宋体" w:hAnsi="宋体" w:eastAsia="宋体" w:cs="宋体"/>
                <w:color w:val="auto"/>
                <w:spacing w:val="-7"/>
                <w:sz w:val="21"/>
                <w:szCs w:val="21"/>
                <w:highlight w:val="none"/>
              </w:rPr>
              <w:t>门检测。对缺斤短两（或含水量超标）的应按实际重量扣减。出现退</w:t>
            </w:r>
            <w:r>
              <w:rPr>
                <w:rFonts w:hint="eastAsia" w:ascii="宋体" w:hAnsi="宋体" w:eastAsia="宋体" w:cs="宋体"/>
                <w:color w:val="auto"/>
                <w:spacing w:val="-13"/>
                <w:sz w:val="21"/>
                <w:szCs w:val="21"/>
                <w:highlight w:val="none"/>
              </w:rPr>
              <w:t>（补）</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3"/>
                <w:sz w:val="21"/>
                <w:szCs w:val="21"/>
                <w:highlight w:val="none"/>
              </w:rPr>
              <w:t>货情况，应及时报告。在退货过程中，对有碍公共卫生安全的</w:t>
            </w:r>
            <w:r>
              <w:rPr>
                <w:rFonts w:hint="eastAsia" w:cs="宋体"/>
                <w:color w:val="auto"/>
                <w:spacing w:val="-9"/>
                <w:sz w:val="21"/>
                <w:szCs w:val="21"/>
                <w:highlight w:val="none"/>
                <w:lang w:val="en-US" w:eastAsia="zh-CN"/>
              </w:rPr>
              <w:t>食材</w:t>
            </w:r>
            <w:r>
              <w:rPr>
                <w:rFonts w:hint="eastAsia" w:ascii="宋体" w:hAnsi="宋体" w:eastAsia="宋体" w:cs="宋体"/>
                <w:color w:val="auto"/>
                <w:spacing w:val="-9"/>
                <w:sz w:val="21"/>
                <w:szCs w:val="21"/>
                <w:highlight w:val="none"/>
              </w:rPr>
              <w:t>，应按国家有关规定处理或进行协议销毁，</w:t>
            </w:r>
            <w:r>
              <w:rPr>
                <w:rFonts w:hint="eastAsia" w:ascii="宋体" w:hAnsi="宋体" w:eastAsia="宋体" w:cs="宋体"/>
                <w:color w:val="auto"/>
                <w:spacing w:val="-10"/>
                <w:sz w:val="21"/>
                <w:szCs w:val="21"/>
                <w:highlight w:val="none"/>
              </w:rPr>
              <w:t>所产生的费用经济法</w:t>
            </w:r>
            <w:r>
              <w:rPr>
                <w:rFonts w:hint="eastAsia" w:ascii="宋体" w:hAnsi="宋体" w:eastAsia="宋体" w:cs="宋体"/>
                <w:color w:val="auto"/>
                <w:spacing w:val="-3"/>
                <w:sz w:val="21"/>
                <w:szCs w:val="21"/>
                <w:highlight w:val="none"/>
              </w:rPr>
              <w:t>律责任由中标人自行承担。</w:t>
            </w:r>
          </w:p>
          <w:p w14:paraId="693CE281">
            <w:pPr>
              <w:keepNext w:val="0"/>
              <w:keepLines w:val="0"/>
              <w:pageBreakBefore w:val="0"/>
              <w:widowControl w:val="0"/>
              <w:shd w:val="clear"/>
              <w:kinsoku/>
              <w:wordWrap/>
              <w:overflowPunct/>
              <w:topLinePunct w:val="0"/>
              <w:autoSpaceDE/>
              <w:autoSpaceDN/>
              <w:bidi w:val="0"/>
              <w:adjustRightInd/>
              <w:snapToGrid/>
              <w:spacing w:line="360" w:lineRule="auto"/>
              <w:ind w:firstLine="38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pacing w:val="-10"/>
                <w:sz w:val="21"/>
                <w:szCs w:val="21"/>
                <w:highlight w:val="none"/>
                <w:lang w:val="en-US" w:eastAsia="zh-CN"/>
              </w:rPr>
              <w:t>3.</w:t>
            </w:r>
            <w:r>
              <w:rPr>
                <w:rFonts w:hint="eastAsia" w:ascii="宋体" w:hAnsi="宋体" w:eastAsia="宋体" w:cs="宋体"/>
                <w:color w:val="auto"/>
                <w:spacing w:val="-10"/>
                <w:sz w:val="21"/>
                <w:szCs w:val="21"/>
                <w:highlight w:val="none"/>
              </w:rPr>
              <w:t>验收记录：</w:t>
            </w:r>
            <w:r>
              <w:rPr>
                <w:rFonts w:hint="eastAsia" w:ascii="宋体" w:hAnsi="宋体" w:eastAsia="宋体" w:cs="宋体"/>
                <w:color w:val="auto"/>
                <w:sz w:val="21"/>
                <w:szCs w:val="21"/>
                <w:highlight w:val="none"/>
              </w:rPr>
              <w:t>到货时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w:t>
            </w:r>
            <w:r>
              <w:rPr>
                <w:rFonts w:hint="eastAsia" w:ascii="宋体" w:hAnsi="宋体" w:eastAsia="宋体" w:cs="宋体"/>
                <w:color w:val="auto"/>
                <w:sz w:val="21"/>
                <w:szCs w:val="21"/>
                <w:highlight w:val="none"/>
                <w:lang w:val="en-US" w:eastAsia="zh-CN"/>
              </w:rPr>
              <w:t>采购人组织人员进行</w:t>
            </w:r>
            <w:r>
              <w:rPr>
                <w:rFonts w:hint="eastAsia" w:ascii="宋体" w:hAnsi="宋体" w:eastAsia="宋体" w:cs="宋体"/>
                <w:color w:val="auto"/>
                <w:sz w:val="21"/>
                <w:szCs w:val="21"/>
                <w:highlight w:val="none"/>
              </w:rPr>
              <w:t>验收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pacing w:val="-10"/>
                <w:sz w:val="21"/>
                <w:szCs w:val="21"/>
                <w:highlight w:val="none"/>
              </w:rPr>
              <w:t>每次采购的食材都要登记记录，注明名称、数量等事项</w:t>
            </w:r>
            <w:r>
              <w:rPr>
                <w:rFonts w:hint="eastAsia" w:ascii="宋体" w:hAnsi="宋体" w:cs="宋体"/>
                <w:color w:val="auto"/>
                <w:spacing w:val="-10"/>
                <w:sz w:val="21"/>
                <w:szCs w:val="21"/>
                <w:highlight w:val="none"/>
                <w:lang w:eastAsia="zh-CN"/>
              </w:rPr>
              <w:t>，</w:t>
            </w:r>
            <w:r>
              <w:rPr>
                <w:rFonts w:hint="eastAsia" w:ascii="宋体" w:hAnsi="宋体" w:eastAsia="宋体" w:cs="宋体"/>
                <w:color w:val="auto"/>
                <w:spacing w:val="-10"/>
                <w:sz w:val="21"/>
                <w:szCs w:val="21"/>
                <w:highlight w:val="none"/>
              </w:rPr>
              <w:t>并在采购登记记录上签明意见和验收人的名字及日期。</w:t>
            </w:r>
          </w:p>
        </w:tc>
      </w:tr>
      <w:tr w14:paraId="0E0917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8" w:type="pct"/>
            <w:noWrap w:val="0"/>
            <w:vAlign w:val="center"/>
          </w:tcPr>
          <w:p w14:paraId="4D9956AE">
            <w:pPr>
              <w:keepNext w:val="0"/>
              <w:keepLines w:val="0"/>
              <w:pageBreakBefore w:val="0"/>
              <w:shd w:val="clear"/>
              <w:kinsoku/>
              <w:wordWrap/>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4251" w:type="pct"/>
            <w:noWrap w:val="0"/>
            <w:vAlign w:val="center"/>
          </w:tcPr>
          <w:p w14:paraId="3ADEA67B">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1"/>
                <w:highlight w:val="none"/>
                <w:lang w:bidi="zh-CN"/>
              </w:rPr>
            </w:pPr>
            <w:r>
              <w:rPr>
                <w:rFonts w:hint="eastAsia" w:ascii="宋体" w:hAnsi="宋体" w:eastAsia="宋体" w:cs="宋体"/>
                <w:color w:val="auto"/>
                <w:szCs w:val="21"/>
                <w:highlight w:val="none"/>
                <w:lang w:val="zh-CN" w:bidi="zh-CN"/>
              </w:rPr>
              <w:t>本项目收取履约保证金，收取比例为：</w:t>
            </w:r>
            <w:r>
              <w:rPr>
                <w:rFonts w:hint="eastAsia" w:ascii="宋体" w:hAnsi="宋体" w:eastAsia="宋体" w:cs="宋体"/>
                <w:color w:val="auto"/>
                <w:szCs w:val="21"/>
                <w:highlight w:val="none"/>
                <w:lang w:val="en-US" w:bidi="zh-CN"/>
              </w:rPr>
              <w:t>5</w:t>
            </w:r>
            <w:r>
              <w:rPr>
                <w:rFonts w:hint="eastAsia" w:ascii="宋体" w:hAnsi="宋体" w:eastAsia="宋体" w:cs="宋体"/>
                <w:color w:val="auto"/>
                <w:szCs w:val="21"/>
                <w:highlight w:val="none"/>
                <w:lang w:bidi="zh-CN"/>
              </w:rPr>
              <w:t>%。</w:t>
            </w:r>
          </w:p>
          <w:p w14:paraId="0404FFB8">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说明：</w:t>
            </w:r>
            <w:r>
              <w:rPr>
                <w:rFonts w:hint="eastAsia" w:ascii="宋体" w:hAnsi="宋体" w:eastAsia="宋体" w:cs="宋体"/>
                <w:color w:val="auto"/>
                <w:szCs w:val="21"/>
                <w:highlight w:val="none"/>
              </w:rPr>
              <w:t>中标人应在领取中标通知书之后签订合同之前递交履约保证金，履约保证金可采用保证金（银行转账、电汇）方式，或采用履约保函方式。履约保证金在合同期满后或产品验收合格后，中标人向采购人提交退回履约保证金的申请、履约保证金汇款凭证复印件、采购合同、采购项目验收报告原件、中标通知书复印件，前往采购人办理履约保证金退还手续。</w:t>
            </w:r>
          </w:p>
          <w:p w14:paraId="7BD9ED05">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中标人不缴纳履约保证金或不提供履约保函的，不予签署合同。</w:t>
            </w:r>
          </w:p>
          <w:p w14:paraId="0EA35224">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中标人造成采购人损失或存在违约行为依据约定应当支付违约金的，采购人有权从履约保证金中扣除。存在以下严重违约行为的，采购人有权没收履约保证金：</w:t>
            </w:r>
          </w:p>
          <w:p w14:paraId="3CB83382">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cs="宋体"/>
                <w:color w:val="auto"/>
                <w:szCs w:val="21"/>
                <w:highlight w:val="none"/>
                <w:lang w:val="en-US" w:eastAsia="zh-CN"/>
              </w:rPr>
            </w:pPr>
            <w:r>
              <w:rPr>
                <w:rFonts w:hint="eastAsia"/>
                <w:color w:val="auto"/>
                <w:highlight w:val="none"/>
                <w:lang w:val="en-US" w:eastAsia="zh-CN"/>
              </w:rPr>
              <w:t>中标人同意当存在上述可处没收保证金的违约行为，采购人有权不论实际损失金额依约定行使权利没收保证金，中标人不得以损失低于保证金为由提出异议。</w:t>
            </w:r>
          </w:p>
        </w:tc>
      </w:tr>
      <w:tr w14:paraId="75ECC9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8" w:type="pct"/>
            <w:noWrap w:val="0"/>
            <w:vAlign w:val="center"/>
          </w:tcPr>
          <w:p w14:paraId="78D9A93C">
            <w:pPr>
              <w:keepNext w:val="0"/>
              <w:keepLines w:val="0"/>
              <w:pageBreakBefore w:val="0"/>
              <w:shd w:val="clear"/>
              <w:kinsoku/>
              <w:wordWrap/>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4251" w:type="pct"/>
            <w:noWrap w:val="0"/>
            <w:vAlign w:val="center"/>
          </w:tcPr>
          <w:p w14:paraId="51FD1D42">
            <w:pPr>
              <w:shd w:val="clear"/>
              <w:autoSpaceDE w:val="0"/>
              <w:autoSpaceDN w:val="0"/>
              <w:spacing w:line="288"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报价要求：</w:t>
            </w:r>
          </w:p>
          <w:p w14:paraId="21EFBBA6">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olor w:val="auto"/>
                <w:sz w:val="21"/>
                <w:szCs w:val="21"/>
                <w:highlight w:val="none"/>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pacing w:val="-6"/>
                <w:sz w:val="21"/>
                <w:szCs w:val="21"/>
                <w:highlight w:val="none"/>
              </w:rPr>
              <w:t>本项目采用下浮率报价，报价范围：</w:t>
            </w:r>
            <w:r>
              <w:rPr>
                <w:rFonts w:hint="eastAsia" w:cs="宋体"/>
                <w:color w:val="auto"/>
                <w:spacing w:val="-6"/>
                <w:sz w:val="21"/>
                <w:szCs w:val="21"/>
                <w:highlight w:val="none"/>
                <w:lang w:val="en-US" w:eastAsia="zh-CN"/>
              </w:rPr>
              <w:t>10</w:t>
            </w:r>
            <w:r>
              <w:rPr>
                <w:rFonts w:hint="eastAsia" w:ascii="宋体" w:hAnsi="宋体" w:eastAsia="宋体" w:cs="宋体"/>
                <w:color w:val="auto"/>
                <w:spacing w:val="-6"/>
                <w:sz w:val="21"/>
                <w:szCs w:val="21"/>
                <w:highlight w:val="none"/>
              </w:rPr>
              <w:t>%</w:t>
            </w:r>
            <w:r>
              <w:rPr>
                <w:rFonts w:hint="eastAsia" w:cs="宋体"/>
                <w:color w:val="auto"/>
                <w:spacing w:val="-6"/>
                <w:sz w:val="21"/>
                <w:szCs w:val="21"/>
                <w:highlight w:val="none"/>
                <w:lang w:val="en-US" w:eastAsia="zh-CN"/>
              </w:rPr>
              <w:t>≤</w:t>
            </w:r>
            <w:r>
              <w:rPr>
                <w:rFonts w:hint="eastAsia" w:ascii="宋体" w:hAnsi="宋体" w:eastAsia="宋体" w:cs="宋体"/>
                <w:color w:val="auto"/>
                <w:spacing w:val="-6"/>
                <w:sz w:val="21"/>
                <w:szCs w:val="21"/>
                <w:highlight w:val="none"/>
              </w:rPr>
              <w:t>投标下浮</w:t>
            </w:r>
            <w:r>
              <w:rPr>
                <w:rFonts w:hint="eastAsia" w:ascii="宋体" w:hAnsi="宋体" w:eastAsia="宋体" w:cs="宋体"/>
                <w:color w:val="auto"/>
                <w:spacing w:val="-2"/>
                <w:sz w:val="21"/>
                <w:szCs w:val="21"/>
                <w:highlight w:val="none"/>
              </w:rPr>
              <w:t>率</w:t>
            </w:r>
            <w:r>
              <w:rPr>
                <w:rFonts w:hint="eastAsia" w:cs="宋体"/>
                <w:color w:val="auto"/>
                <w:spacing w:val="-27"/>
                <w:sz w:val="21"/>
                <w:szCs w:val="21"/>
                <w:highlight w:val="none"/>
                <w:lang w:val="en-US" w:eastAsia="zh-CN"/>
              </w:rPr>
              <w:t>＜</w:t>
            </w:r>
            <w:r>
              <w:rPr>
                <w:rFonts w:hint="eastAsia" w:cs="宋体"/>
                <w:color w:val="auto"/>
                <w:spacing w:val="-2"/>
                <w:sz w:val="21"/>
                <w:szCs w:val="21"/>
                <w:highlight w:val="none"/>
                <w:lang w:val="en-US" w:eastAsia="zh-CN"/>
              </w:rPr>
              <w:t xml:space="preserve"> </w:t>
            </w:r>
            <w:r>
              <w:rPr>
                <w:rFonts w:hint="eastAsia" w:ascii="宋体" w:hAnsi="宋体" w:eastAsia="宋体" w:cs="宋体"/>
                <w:color w:val="auto"/>
                <w:spacing w:val="-2"/>
                <w:sz w:val="21"/>
                <w:szCs w:val="21"/>
                <w:highlight w:val="none"/>
              </w:rPr>
              <w:t>100%，</w:t>
            </w:r>
            <w:r>
              <w:rPr>
                <w:rFonts w:hint="eastAsia" w:ascii="宋体" w:hAnsi="宋体" w:eastAsia="宋体" w:cs="宋体"/>
                <w:color w:val="auto"/>
                <w:spacing w:val="-3"/>
                <w:sz w:val="21"/>
                <w:szCs w:val="21"/>
                <w:highlight w:val="none"/>
              </w:rPr>
              <w:t>且是固定唯一值。例：</w:t>
            </w:r>
            <w:r>
              <w:rPr>
                <w:rFonts w:hint="eastAsia" w:ascii="宋体" w:hAnsi="宋体" w:eastAsia="宋体" w:cs="宋体"/>
                <w:color w:val="auto"/>
                <w:spacing w:val="-9"/>
                <w:sz w:val="21"/>
                <w:szCs w:val="21"/>
                <w:highlight w:val="none"/>
              </w:rPr>
              <w:t>若投标人打八折，即投标下浮率为：20%</w:t>
            </w:r>
            <w:r>
              <w:rPr>
                <w:rFonts w:hint="eastAsia" w:cs="宋体"/>
                <w:color w:val="auto"/>
                <w:spacing w:val="-9"/>
                <w:sz w:val="21"/>
                <w:szCs w:val="21"/>
                <w:highlight w:val="none"/>
                <w:lang w:eastAsia="zh-CN"/>
              </w:rPr>
              <w:t>。</w:t>
            </w:r>
            <w:r>
              <w:rPr>
                <w:rFonts w:hint="eastAsia" w:ascii="宋体" w:hAnsi="宋体" w:cs="宋体"/>
                <w:color w:val="auto"/>
                <w:sz w:val="21"/>
                <w:szCs w:val="21"/>
                <w:highlight w:val="none"/>
                <w:lang w:val="en-US" w:eastAsia="zh-CN"/>
              </w:rPr>
              <w:t>下浮率报价</w:t>
            </w:r>
            <w:r>
              <w:rPr>
                <w:rFonts w:hint="eastAsia" w:ascii="宋体" w:hAnsi="宋体" w:eastAsia="宋体" w:cs="宋体"/>
                <w:bCs/>
                <w:color w:val="auto"/>
                <w:sz w:val="21"/>
                <w:szCs w:val="21"/>
                <w:highlight w:val="none"/>
              </w:rPr>
              <w:t>应当适用于所有产品单品</w:t>
            </w:r>
            <w:r>
              <w:rPr>
                <w:rFonts w:hint="eastAsia" w:ascii="宋体" w:hAnsi="宋体" w:eastAsia="宋体" w:cs="宋体"/>
                <w:color w:val="auto"/>
                <w:sz w:val="21"/>
                <w:szCs w:val="21"/>
                <w:highlight w:val="none"/>
              </w:rPr>
              <w:t>。报价应包含完成本次招标所有服务内容的费用，包括人工费、食材采购费、食材运输费、材料费、设备使用费、</w:t>
            </w:r>
            <w:r>
              <w:rPr>
                <w:rFonts w:hint="eastAsia" w:ascii="宋体" w:hAnsi="宋体" w:eastAsia="宋体" w:cs="宋体"/>
                <w:color w:val="auto"/>
                <w:sz w:val="21"/>
                <w:szCs w:val="21"/>
                <w:highlight w:val="none"/>
                <w:lang w:val="en-US" w:eastAsia="zh-CN"/>
              </w:rPr>
              <w:t>保险费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各种税务费、必须的辅助材料费及合同实施过程中不可预见费用等全部费用，采购人不向中标人另行支付任何费用。</w:t>
            </w:r>
          </w:p>
          <w:p w14:paraId="41B8C711">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cs="宋体"/>
                <w:bCs/>
                <w:color w:val="auto"/>
                <w:sz w:val="21"/>
                <w:szCs w:val="21"/>
                <w:highlight w:val="none"/>
                <w:lang w:val="en-US" w:eastAsia="zh-CN"/>
              </w:rPr>
              <w:t>基准价</w:t>
            </w:r>
            <w:r>
              <w:rPr>
                <w:rFonts w:hint="eastAsia" w:cs="宋体"/>
                <w:bCs/>
                <w:color w:val="auto"/>
                <w:sz w:val="21"/>
                <w:szCs w:val="21"/>
                <w:highlight w:val="none"/>
                <w:lang w:val="en-US" w:eastAsia="zh-CN"/>
              </w:rPr>
              <w:t>的确定方式</w:t>
            </w:r>
            <w:r>
              <w:rPr>
                <w:rFonts w:hint="eastAsia" w:ascii="宋体" w:hAnsi="宋体" w:cs="宋体"/>
                <w:bCs/>
                <w:color w:val="auto"/>
                <w:sz w:val="21"/>
                <w:szCs w:val="21"/>
                <w:highlight w:val="none"/>
                <w:lang w:val="en-US" w:eastAsia="zh-CN"/>
              </w:rPr>
              <w:t>：</w:t>
            </w:r>
            <w:r>
              <w:rPr>
                <w:rFonts w:hint="eastAsia" w:cs="宋体"/>
                <w:bCs/>
                <w:color w:val="auto"/>
                <w:sz w:val="21"/>
                <w:szCs w:val="21"/>
                <w:highlight w:val="none"/>
                <w:lang w:val="en-US" w:eastAsia="zh-CN"/>
              </w:rPr>
              <w:t>双</w:t>
            </w:r>
            <w:r>
              <w:rPr>
                <w:rFonts w:hint="eastAsia" w:cs="宋体"/>
                <w:bCs/>
                <w:color w:val="auto"/>
                <w:sz w:val="21"/>
                <w:szCs w:val="21"/>
                <w:highlight w:val="none"/>
                <w:shd w:val="clear"/>
                <w:lang w:val="en-US" w:eastAsia="zh-CN"/>
              </w:rPr>
              <w:t>方</w:t>
            </w:r>
            <w:r>
              <w:rPr>
                <w:rFonts w:hint="eastAsia" w:ascii="宋体" w:hAnsi="宋体" w:eastAsia="宋体" w:cs="宋体"/>
                <w:bCs/>
                <w:color w:val="auto"/>
                <w:sz w:val="21"/>
                <w:szCs w:val="21"/>
                <w:highlight w:val="none"/>
                <w:shd w:val="clear" w:color="FFFFFF"/>
              </w:rPr>
              <w:t>按照</w:t>
            </w:r>
            <w:r>
              <w:rPr>
                <w:rFonts w:hint="eastAsia" w:cs="宋体"/>
                <w:color w:val="auto"/>
                <w:spacing w:val="-6"/>
                <w:sz w:val="21"/>
                <w:szCs w:val="21"/>
                <w:highlight w:val="none"/>
                <w:shd w:val="clear" w:color="FFFFFF"/>
                <w:lang w:val="en-US" w:eastAsia="zh-CN"/>
              </w:rPr>
              <w:t>定价更新时</w:t>
            </w:r>
            <w:r>
              <w:rPr>
                <w:rFonts w:hint="eastAsia" w:ascii="宋体" w:hAnsi="宋体" w:eastAsia="宋体" w:cs="宋体"/>
                <w:color w:val="auto"/>
                <w:spacing w:val="-6"/>
                <w:sz w:val="21"/>
                <w:szCs w:val="21"/>
                <w:highlight w:val="none"/>
                <w:shd w:val="clear" w:color="FFFFFF"/>
              </w:rPr>
              <w:t>东莞市发展和改革局公布最新一期的“东莞市菜篮子价格监测表”的价格</w:t>
            </w:r>
            <w:r>
              <w:rPr>
                <w:rFonts w:hint="eastAsia" w:cs="宋体"/>
                <w:color w:val="auto"/>
                <w:spacing w:val="-6"/>
                <w:sz w:val="21"/>
                <w:szCs w:val="21"/>
                <w:highlight w:val="none"/>
                <w:shd w:val="clear" w:color="FFFFFF"/>
                <w:lang w:val="en-US" w:eastAsia="zh-CN"/>
              </w:rPr>
              <w:t>作为基准价</w:t>
            </w:r>
            <w:r>
              <w:rPr>
                <w:rFonts w:hint="eastAsia" w:ascii="宋体" w:hAnsi="宋体" w:eastAsia="宋体" w:cs="宋体"/>
                <w:color w:val="auto"/>
                <w:spacing w:val="-6"/>
                <w:sz w:val="21"/>
                <w:szCs w:val="21"/>
                <w:highlight w:val="none"/>
              </w:rPr>
              <w:t>，若“</w:t>
            </w:r>
            <w:r>
              <w:rPr>
                <w:rFonts w:hint="eastAsia" w:cs="宋体"/>
                <w:color w:val="auto"/>
                <w:spacing w:val="-6"/>
                <w:sz w:val="21"/>
                <w:szCs w:val="21"/>
                <w:highlight w:val="none"/>
                <w:lang w:val="en-US" w:eastAsia="zh-CN"/>
              </w:rPr>
              <w:t>东莞市</w:t>
            </w:r>
            <w:r>
              <w:rPr>
                <w:rFonts w:hint="eastAsia" w:ascii="宋体" w:hAnsi="宋体" w:eastAsia="宋体" w:cs="宋体"/>
                <w:color w:val="auto"/>
                <w:spacing w:val="-6"/>
                <w:sz w:val="21"/>
                <w:szCs w:val="21"/>
                <w:highlight w:val="none"/>
              </w:rPr>
              <w:t>菜篮子价格监测表”无采购人所需的货品，则</w:t>
            </w:r>
            <w:r>
              <w:rPr>
                <w:rFonts w:hint="eastAsia" w:cs="宋体"/>
                <w:color w:val="auto"/>
                <w:spacing w:val="-6"/>
                <w:sz w:val="21"/>
                <w:szCs w:val="21"/>
                <w:highlight w:val="none"/>
                <w:lang w:val="en-US" w:eastAsia="zh-CN"/>
              </w:rPr>
              <w:t>由</w:t>
            </w:r>
            <w:r>
              <w:rPr>
                <w:rFonts w:hint="eastAsia" w:ascii="宋体" w:hAnsi="宋体" w:eastAsia="宋体" w:cs="宋体"/>
                <w:color w:val="auto"/>
                <w:spacing w:val="-6"/>
                <w:sz w:val="21"/>
                <w:szCs w:val="21"/>
                <w:highlight w:val="none"/>
              </w:rPr>
              <w:t>采购人和中标人双方共同</w:t>
            </w:r>
            <w:r>
              <w:rPr>
                <w:rFonts w:hint="eastAsia" w:cs="宋体"/>
                <w:color w:val="auto"/>
                <w:spacing w:val="-6"/>
                <w:sz w:val="21"/>
                <w:szCs w:val="21"/>
                <w:highlight w:val="none"/>
                <w:lang w:val="en-US" w:eastAsia="zh-CN"/>
              </w:rPr>
              <w:t>对东莞市常平镇三个</w:t>
            </w:r>
            <w:r>
              <w:rPr>
                <w:rFonts w:hint="eastAsia" w:ascii="宋体" w:hAnsi="宋体" w:eastAsia="宋体" w:cs="宋体"/>
                <w:color w:val="auto"/>
                <w:spacing w:val="-6"/>
                <w:sz w:val="21"/>
                <w:szCs w:val="21"/>
                <w:highlight w:val="none"/>
              </w:rPr>
              <w:t>市场</w:t>
            </w:r>
            <w:r>
              <w:rPr>
                <w:rFonts w:hint="eastAsia" w:cs="宋体"/>
                <w:color w:val="auto"/>
                <w:spacing w:val="-6"/>
                <w:sz w:val="21"/>
                <w:szCs w:val="21"/>
                <w:highlight w:val="none"/>
                <w:lang w:eastAsia="zh-CN"/>
              </w:rPr>
              <w:t>（</w:t>
            </w:r>
            <w:r>
              <w:rPr>
                <w:rFonts w:hint="eastAsia" w:cs="宋体"/>
                <w:color w:val="auto"/>
                <w:spacing w:val="-6"/>
                <w:sz w:val="21"/>
                <w:szCs w:val="21"/>
                <w:highlight w:val="none"/>
                <w:lang w:val="en-US" w:eastAsia="zh-CN"/>
              </w:rPr>
              <w:t>常平镇木伦市场、横江厦市场、常平镇金美市场</w:t>
            </w:r>
            <w:r>
              <w:rPr>
                <w:rFonts w:hint="eastAsia" w:cs="宋体"/>
                <w:color w:val="auto"/>
                <w:spacing w:val="-6"/>
                <w:sz w:val="21"/>
                <w:szCs w:val="21"/>
                <w:highlight w:val="none"/>
                <w:lang w:eastAsia="zh-CN"/>
              </w:rPr>
              <w:t>）</w:t>
            </w:r>
            <w:r>
              <w:rPr>
                <w:rFonts w:hint="eastAsia" w:cs="宋体"/>
                <w:color w:val="auto"/>
                <w:spacing w:val="-6"/>
                <w:sz w:val="21"/>
                <w:szCs w:val="21"/>
                <w:highlight w:val="none"/>
                <w:lang w:val="en-US" w:eastAsia="zh-CN"/>
              </w:rPr>
              <w:t>抽样调查，核实相同品种的市场平均价格为基准价（</w:t>
            </w:r>
            <w:r>
              <w:rPr>
                <w:rFonts w:hint="eastAsia" w:ascii="宋体" w:hAnsi="宋体" w:eastAsia="宋体" w:cs="宋体"/>
                <w:bCs/>
                <w:color w:val="auto"/>
                <w:sz w:val="21"/>
                <w:szCs w:val="21"/>
                <w:highlight w:val="none"/>
              </w:rPr>
              <w:t>基准价=市场平均价=</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个市场抽样价格之和÷</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w:t>
            </w:r>
            <w:r>
              <w:rPr>
                <w:rFonts w:hint="eastAsia" w:ascii="宋体" w:hAnsi="宋体" w:eastAsia="宋体" w:cs="宋体"/>
                <w:bCs/>
                <w:color w:val="auto"/>
                <w:sz w:val="21"/>
                <w:szCs w:val="21"/>
                <w:highlight w:val="none"/>
              </w:rPr>
              <w:t>当</w:t>
            </w:r>
            <w:r>
              <w:rPr>
                <w:rFonts w:hint="eastAsia" w:ascii="宋体" w:hAnsi="宋体" w:cs="宋体"/>
                <w:bCs/>
                <w:color w:val="auto"/>
                <w:sz w:val="21"/>
                <w:szCs w:val="21"/>
                <w:highlight w:val="none"/>
                <w:lang w:val="en-US" w:eastAsia="zh-CN"/>
              </w:rPr>
              <w:t>期</w:t>
            </w:r>
            <w:r>
              <w:rPr>
                <w:rFonts w:hint="eastAsia" w:ascii="宋体" w:hAnsi="宋体" w:eastAsia="宋体" w:cs="宋体"/>
                <w:bCs/>
                <w:color w:val="auto"/>
                <w:sz w:val="21"/>
                <w:szCs w:val="21"/>
                <w:highlight w:val="none"/>
              </w:rPr>
              <w:t>基准价格一经确定，双方须严格执行，不受市场物价波动影响，不得调价。</w:t>
            </w:r>
          </w:p>
          <w:p w14:paraId="7E0F1A30">
            <w:pPr>
              <w:widowControl w:val="0"/>
              <w:shd w:val="clear"/>
              <w:tabs>
                <w:tab w:val="left" w:pos="709"/>
              </w:tabs>
              <w:adjustRightInd/>
              <w:snapToGrid/>
              <w:spacing w:after="0" w:line="360" w:lineRule="auto"/>
              <w:ind w:firstLine="420" w:firstLineChars="200"/>
              <w:jc w:val="both"/>
              <w:rPr>
                <w:rFonts w:hint="eastAsia" w:ascii="宋体" w:hAnsi="宋体" w:eastAsia="宋体" w:cs="宋体"/>
                <w:color w:val="auto"/>
                <w:spacing w:val="-6"/>
                <w:sz w:val="21"/>
                <w:szCs w:val="21"/>
                <w:highlight w:val="none"/>
              </w:rPr>
            </w:pPr>
            <w:r>
              <w:rPr>
                <w:rFonts w:hint="eastAsia" w:ascii="宋体" w:hAnsi="宋体" w:cs="宋体"/>
                <w:bCs/>
                <w:color w:val="auto"/>
                <w:sz w:val="21"/>
                <w:szCs w:val="21"/>
                <w:highlight w:val="none"/>
                <w:lang w:val="en-US" w:eastAsia="zh-CN"/>
              </w:rPr>
              <w:t>3.定价周期：</w:t>
            </w:r>
            <w:r>
              <w:rPr>
                <w:rFonts w:hint="eastAsia" w:ascii="宋体" w:hAnsi="宋体" w:eastAsia="宋体" w:cs="宋体"/>
                <w:color w:val="auto"/>
                <w:spacing w:val="-6"/>
                <w:sz w:val="21"/>
                <w:szCs w:val="21"/>
                <w:highlight w:val="none"/>
              </w:rPr>
              <w:t>每15日更新一次，中标人须每次至少提前2天提交下次报价清单给采购人审核</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一般是每月13日前、28日前</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rPr>
              <w:t>，双方签字后生效。</w:t>
            </w:r>
          </w:p>
          <w:p w14:paraId="4F065AFE">
            <w:pPr>
              <w:keepNext w:val="0"/>
              <w:keepLines w:val="0"/>
              <w:pageBreakBefore w:val="0"/>
              <w:widowControl/>
              <w:shd w:val="clear"/>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 w:val="0"/>
                <w:bCs w:val="0"/>
                <w:color w:val="auto"/>
                <w:szCs w:val="21"/>
                <w:highlight w:val="none"/>
              </w:rPr>
              <w:t>中标人的供货价应包含交给采购人之前的一切可预见及不可预见的费用，包括购置费、 包装费、运输费、装卸费、搬运费、储存费、人工费、保险费、各种税费等，并承担送货途中的一切风险。</w:t>
            </w:r>
          </w:p>
          <w:p w14:paraId="01EABD5B">
            <w:pPr>
              <w:widowControl w:val="0"/>
              <w:shd w:val="clear"/>
              <w:tabs>
                <w:tab w:val="left" w:pos="709"/>
              </w:tabs>
              <w:adjustRightInd/>
              <w:snapToGrid/>
              <w:spacing w:after="0" w:line="360" w:lineRule="auto"/>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在项目的实施过程中，中标人必须充分考虑在本项目实施期间的一切可能产生的风险和相关费用，采购人无需支付合同约定货款之外的任何费用和补偿。</w:t>
            </w:r>
          </w:p>
          <w:p w14:paraId="124AC573">
            <w:pPr>
              <w:widowControl w:val="0"/>
              <w:shd w:val="clear"/>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.采购人有权随时抽查中标人的供货食材入货台账或进行市场调查，发现中标人有虚报或隐瞒供货食材市场价存在欺骗行为，采购人有权取消其中标资格，终止合同。</w:t>
            </w:r>
          </w:p>
          <w:p w14:paraId="5245BFBD">
            <w:pPr>
              <w:widowControl w:val="0"/>
              <w:shd w:val="clear"/>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.采购人临时需求货品不在核定的供货价格清单内的，中标人必须按采购人要求供货，供货价格由双方临时确定。下次该货品应纳入报价清单，并按上述定价原则确定供货价格。</w:t>
            </w:r>
          </w:p>
          <w:p w14:paraId="1419538C">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.若遇台风、暴雨等意外原因造成的个别品种价格需临时调整，应通知采购人，并征得采购人同意后方可调整，</w:t>
            </w:r>
            <w:r>
              <w:rPr>
                <w:rFonts w:hint="eastAsia" w:ascii="宋体" w:hAnsi="宋体" w:eastAsia="宋体" w:cs="宋体"/>
                <w:bCs/>
                <w:color w:val="auto"/>
                <w:sz w:val="21"/>
                <w:szCs w:val="21"/>
                <w:highlight w:val="none"/>
                <w:lang w:val="en-US" w:eastAsia="zh-CN"/>
              </w:rPr>
              <w:t>调整后的价格仅对当次送货订单有效，后续其他送货订单仍应按该周期确认的报价执行。采购人认为无需调整的，中标人仍应按该周期确认的报价送货结算</w:t>
            </w:r>
            <w:r>
              <w:rPr>
                <w:rFonts w:hint="eastAsia" w:ascii="宋体" w:hAnsi="宋体" w:cs="宋体"/>
                <w:bCs/>
                <w:color w:val="auto"/>
                <w:sz w:val="21"/>
                <w:szCs w:val="21"/>
                <w:highlight w:val="none"/>
                <w:lang w:val="en-US" w:eastAsia="zh-CN"/>
              </w:rPr>
              <w:t>。</w:t>
            </w:r>
          </w:p>
          <w:p w14:paraId="2716FC2F">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二、保质期：</w:t>
            </w:r>
          </w:p>
          <w:p w14:paraId="1645A92D">
            <w:pPr>
              <w:keepNext w:val="0"/>
              <w:keepLines w:val="0"/>
              <w:pageBreakBefore w:val="0"/>
              <w:widowControl w:val="0"/>
              <w:shd w:val="clear"/>
              <w:kinsoku/>
              <w:wordWrap/>
              <w:overflowPunct/>
              <w:topLinePunct w:val="0"/>
              <w:autoSpaceDE/>
              <w:autoSpaceDN/>
              <w:bidi w:val="0"/>
              <w:adjustRightInd/>
              <w:snapToGrid/>
              <w:spacing w:line="360" w:lineRule="auto"/>
              <w:ind w:firstLine="380" w:firstLineChars="200"/>
              <w:jc w:val="left"/>
              <w:textAlignment w:val="auto"/>
              <w:rPr>
                <w:rFonts w:hint="eastAsia" w:ascii="宋体" w:hAnsi="宋体" w:eastAsia="宋体" w:cs="宋体"/>
                <w:color w:val="auto"/>
                <w:spacing w:val="-10"/>
                <w:sz w:val="21"/>
                <w:szCs w:val="21"/>
                <w:highlight w:val="none"/>
              </w:rPr>
            </w:pPr>
            <w:r>
              <w:rPr>
                <w:rFonts w:hint="eastAsia" w:ascii="宋体" w:hAnsi="宋体" w:eastAsia="宋体" w:cs="宋体"/>
                <w:color w:val="auto"/>
                <w:spacing w:val="-10"/>
                <w:sz w:val="21"/>
                <w:szCs w:val="21"/>
                <w:highlight w:val="none"/>
              </w:rPr>
              <w:t>保质期超过15日的，投标人拟提供货品的剩余保质期不得短于货品标记保质期的75%；保质期低于或等于15日的，投标人拟提供货品必须为送货当日屠宰或制作的货品。</w:t>
            </w:r>
          </w:p>
          <w:p w14:paraId="630C4FB5">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w:t>
            </w:r>
            <w:r>
              <w:rPr>
                <w:rFonts w:hint="eastAsia" w:ascii="宋体" w:hAnsi="宋体" w:eastAsia="宋体" w:cs="宋体"/>
                <w:color w:val="auto"/>
                <w:sz w:val="21"/>
                <w:szCs w:val="21"/>
                <w:highlight w:val="none"/>
              </w:rPr>
              <w:t>食品安全责任保险</w:t>
            </w:r>
            <w:r>
              <w:rPr>
                <w:rFonts w:hint="eastAsia" w:ascii="宋体" w:hAnsi="宋体" w:eastAsia="宋体" w:cs="宋体"/>
                <w:color w:val="auto"/>
                <w:sz w:val="21"/>
                <w:szCs w:val="21"/>
                <w:highlight w:val="none"/>
                <w:lang w:val="en-US" w:eastAsia="zh-CN"/>
              </w:rPr>
              <w:t>要求</w:t>
            </w:r>
            <w:r>
              <w:rPr>
                <w:rFonts w:hint="eastAsia" w:ascii="宋体" w:hAnsi="宋体" w:cs="宋体"/>
                <w:color w:val="auto"/>
                <w:sz w:val="21"/>
                <w:szCs w:val="21"/>
                <w:highlight w:val="none"/>
                <w:lang w:val="en-US" w:eastAsia="zh-CN"/>
              </w:rPr>
              <w:t>：</w:t>
            </w:r>
          </w:p>
          <w:p w14:paraId="6C9F4F67">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bCs/>
                <w:color w:val="auto"/>
                <w:szCs w:val="21"/>
                <w:highlight w:val="none"/>
              </w:rPr>
            </w:pPr>
            <w:r>
              <w:rPr>
                <w:rFonts w:hint="default" w:ascii="宋体" w:hAnsi="宋体" w:eastAsia="宋体" w:cs="宋体"/>
                <w:bCs/>
                <w:color w:val="auto"/>
                <w:sz w:val="21"/>
                <w:szCs w:val="21"/>
                <w:highlight w:val="none"/>
                <w:lang w:val="en-US" w:eastAsia="zh-CN"/>
              </w:rPr>
              <w:t>中标人须为采购人提供一份采购人为受益人、额度为</w:t>
            </w:r>
            <w:r>
              <w:rPr>
                <w:rFonts w:hint="eastAsia" w:ascii="宋体" w:hAnsi="宋体" w:cs="宋体"/>
                <w:bCs/>
                <w:color w:val="auto"/>
                <w:sz w:val="21"/>
                <w:szCs w:val="21"/>
                <w:highlight w:val="none"/>
                <w:lang w:val="en-US" w:eastAsia="zh-CN"/>
              </w:rPr>
              <w:t>2亿</w:t>
            </w:r>
            <w:r>
              <w:rPr>
                <w:rFonts w:hint="default" w:ascii="宋体" w:hAnsi="宋体" w:eastAsia="宋体" w:cs="宋体"/>
                <w:bCs/>
                <w:color w:val="auto"/>
                <w:sz w:val="21"/>
                <w:szCs w:val="21"/>
                <w:highlight w:val="none"/>
                <w:lang w:val="en-US" w:eastAsia="zh-CN"/>
              </w:rPr>
              <w:t>元的保险（食品安全责任险），</w:t>
            </w:r>
            <w:r>
              <w:rPr>
                <w:rFonts w:hint="eastAsia" w:ascii="宋体" w:hAnsi="宋体" w:eastAsia="宋体" w:cs="宋体"/>
                <w:b/>
                <w:bCs/>
                <w:color w:val="auto"/>
                <w:szCs w:val="21"/>
                <w:highlight w:val="none"/>
              </w:rPr>
              <w:t>保险承保期限不短于合同有效期。</w:t>
            </w:r>
          </w:p>
          <w:p w14:paraId="3039B01A">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四、</w:t>
            </w:r>
            <w:r>
              <w:rPr>
                <w:rFonts w:hint="eastAsia" w:ascii="宋体" w:hAnsi="宋体" w:eastAsia="宋体" w:cs="宋体"/>
                <w:color w:val="auto"/>
                <w:sz w:val="21"/>
                <w:szCs w:val="21"/>
                <w:highlight w:val="none"/>
              </w:rPr>
              <w:t>保密条款</w:t>
            </w:r>
            <w:r>
              <w:rPr>
                <w:rFonts w:hint="eastAsia" w:ascii="宋体" w:hAnsi="宋体" w:cs="宋体"/>
                <w:color w:val="auto"/>
                <w:sz w:val="21"/>
                <w:szCs w:val="21"/>
                <w:highlight w:val="none"/>
                <w:lang w:val="en-US" w:eastAsia="zh-CN"/>
              </w:rPr>
              <w:t>：</w:t>
            </w:r>
          </w:p>
          <w:p w14:paraId="2DC24D1B">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在实施货物供货期间，不得将供货的实际数量及供货地点泄露给其他企业或者个人，</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必须指派相对固定的人员完成货物配送服务，并需将配送人员的详细资料报采购人备案，货物配送人员必须遵纪守法、品行良好，无违法犯罪记录。如需要更换配送人员，必须事先通知采购人并将其个人资料送采购人审批，审批合格者才能更换。</w:t>
            </w:r>
          </w:p>
          <w:p w14:paraId="3196EA59">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五、</w:t>
            </w:r>
            <w:r>
              <w:rPr>
                <w:rFonts w:hint="eastAsia" w:ascii="宋体" w:hAnsi="宋体" w:eastAsia="宋体" w:cs="宋体"/>
                <w:color w:val="auto"/>
                <w:sz w:val="21"/>
                <w:szCs w:val="21"/>
                <w:highlight w:val="none"/>
                <w:lang w:val="en-US" w:eastAsia="zh-CN"/>
              </w:rPr>
              <w:t>售后服务</w:t>
            </w:r>
            <w:r>
              <w:rPr>
                <w:rFonts w:hint="eastAsia" w:ascii="宋体" w:hAnsi="宋体" w:cs="宋体"/>
                <w:color w:val="auto"/>
                <w:sz w:val="21"/>
                <w:szCs w:val="21"/>
                <w:highlight w:val="none"/>
                <w:lang w:val="en-US" w:eastAsia="zh-CN"/>
              </w:rPr>
              <w:t>：</w:t>
            </w:r>
          </w:p>
          <w:p w14:paraId="0614BC1B">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color w:val="auto"/>
                <w:spacing w:val="-10"/>
                <w:sz w:val="21"/>
                <w:szCs w:val="21"/>
                <w:highlight w:val="none"/>
              </w:rPr>
            </w:pPr>
            <w:r>
              <w:rPr>
                <w:rFonts w:hint="eastAsia" w:cs="宋体"/>
                <w:color w:val="auto"/>
                <w:spacing w:val="-10"/>
                <w:sz w:val="21"/>
                <w:szCs w:val="21"/>
                <w:highlight w:val="none"/>
                <w:lang w:val="en-US" w:eastAsia="zh-CN"/>
              </w:rPr>
              <w:t>1.</w:t>
            </w:r>
            <w:r>
              <w:rPr>
                <w:rFonts w:hint="eastAsia" w:ascii="宋体" w:hAnsi="宋体" w:eastAsia="宋体" w:cs="宋体"/>
                <w:color w:val="auto"/>
                <w:spacing w:val="-10"/>
                <w:sz w:val="21"/>
                <w:szCs w:val="21"/>
                <w:highlight w:val="none"/>
              </w:rPr>
              <w:t>售后服务方式均为中标人上门服务。</w:t>
            </w:r>
          </w:p>
          <w:p w14:paraId="567064C6">
            <w:pPr>
              <w:pStyle w:val="68"/>
              <w:keepNext w:val="0"/>
              <w:keepLines w:val="0"/>
              <w:pageBreakBefore w:val="0"/>
              <w:widowControl/>
              <w:shd w:val="clear"/>
              <w:kinsoku/>
              <w:wordWrap/>
              <w:overflowPunct/>
              <w:topLinePunct w:val="0"/>
              <w:autoSpaceDE/>
              <w:autoSpaceDN/>
              <w:bidi w:val="0"/>
              <w:adjustRightInd w:val="0"/>
              <w:snapToGrid w:val="0"/>
              <w:spacing w:line="360" w:lineRule="auto"/>
              <w:ind w:left="0" w:right="0" w:firstLine="380" w:firstLineChars="200"/>
              <w:textAlignment w:val="auto"/>
              <w:rPr>
                <w:rFonts w:hint="eastAsia" w:ascii="宋体" w:hAnsi="宋体" w:eastAsia="宋体" w:cs="宋体"/>
                <w:color w:val="auto"/>
                <w:spacing w:val="-10"/>
                <w:sz w:val="21"/>
                <w:szCs w:val="21"/>
                <w:highlight w:val="none"/>
              </w:rPr>
            </w:pPr>
            <w:r>
              <w:rPr>
                <w:rFonts w:hint="eastAsia" w:cs="宋体"/>
                <w:color w:val="auto"/>
                <w:spacing w:val="-10"/>
                <w:sz w:val="21"/>
                <w:szCs w:val="21"/>
                <w:highlight w:val="none"/>
                <w:lang w:val="en-US" w:eastAsia="zh-CN"/>
              </w:rPr>
              <w:t>2.</w:t>
            </w:r>
            <w:r>
              <w:rPr>
                <w:rFonts w:hint="eastAsia" w:ascii="宋体" w:hAnsi="宋体" w:eastAsia="宋体" w:cs="宋体"/>
                <w:color w:val="auto"/>
                <w:spacing w:val="-10"/>
                <w:sz w:val="21"/>
                <w:szCs w:val="21"/>
                <w:highlight w:val="none"/>
              </w:rPr>
              <w:t>非采购人的人为原因而出现产品质量问题，</w:t>
            </w:r>
            <w:r>
              <w:rPr>
                <w:rFonts w:hint="eastAsia" w:cs="宋体"/>
                <w:color w:val="auto"/>
                <w:spacing w:val="-10"/>
                <w:sz w:val="21"/>
                <w:szCs w:val="21"/>
                <w:highlight w:val="none"/>
                <w:lang w:val="en-US" w:eastAsia="zh-CN"/>
              </w:rPr>
              <w:t>中标人</w:t>
            </w:r>
            <w:r>
              <w:rPr>
                <w:rFonts w:hint="eastAsia" w:ascii="宋体" w:hAnsi="宋体" w:eastAsia="宋体" w:cs="宋体"/>
                <w:color w:val="auto"/>
                <w:spacing w:val="-10"/>
                <w:sz w:val="21"/>
                <w:szCs w:val="21"/>
                <w:highlight w:val="none"/>
              </w:rPr>
              <w:t>根据</w:t>
            </w:r>
            <w:r>
              <w:rPr>
                <w:rFonts w:hint="eastAsia" w:cs="宋体"/>
                <w:color w:val="auto"/>
                <w:spacing w:val="-10"/>
                <w:sz w:val="21"/>
                <w:szCs w:val="21"/>
                <w:highlight w:val="none"/>
                <w:lang w:val="en-US" w:eastAsia="zh-CN"/>
              </w:rPr>
              <w:t>采购人</w:t>
            </w:r>
            <w:r>
              <w:rPr>
                <w:rFonts w:hint="eastAsia" w:ascii="宋体" w:hAnsi="宋体" w:eastAsia="宋体" w:cs="宋体"/>
                <w:color w:val="auto"/>
                <w:spacing w:val="-10"/>
                <w:sz w:val="21"/>
                <w:szCs w:val="21"/>
                <w:highlight w:val="none"/>
              </w:rPr>
              <w:t>规定时间内完成退换，</w:t>
            </w:r>
            <w:r>
              <w:rPr>
                <w:rFonts w:hint="eastAsia" w:cs="宋体"/>
                <w:color w:val="auto"/>
                <w:spacing w:val="-10"/>
                <w:sz w:val="21"/>
                <w:szCs w:val="21"/>
                <w:highlight w:val="none"/>
                <w:lang w:val="en-US" w:eastAsia="zh-CN"/>
              </w:rPr>
              <w:t>中标人</w:t>
            </w:r>
            <w:r>
              <w:rPr>
                <w:rFonts w:hint="eastAsia" w:ascii="宋体" w:hAnsi="宋体" w:eastAsia="宋体" w:cs="宋体"/>
                <w:color w:val="auto"/>
                <w:spacing w:val="-10"/>
                <w:sz w:val="21"/>
                <w:szCs w:val="21"/>
                <w:highlight w:val="none"/>
              </w:rPr>
              <w:t>承担因此而产生的一切费用。</w:t>
            </w:r>
          </w:p>
          <w:p w14:paraId="0BEF099B">
            <w:pPr>
              <w:keepNext w:val="0"/>
              <w:keepLines w:val="0"/>
              <w:pageBreakBefore w:val="0"/>
              <w:widowControl w:val="0"/>
              <w:shd w:val="clear"/>
              <w:kinsoku/>
              <w:wordWrap/>
              <w:overflowPunct/>
              <w:topLinePunct w:val="0"/>
              <w:autoSpaceDE/>
              <w:autoSpaceDN/>
              <w:bidi w:val="0"/>
              <w:adjustRightInd/>
              <w:snapToGrid/>
              <w:spacing w:line="360" w:lineRule="auto"/>
              <w:ind w:firstLine="380" w:firstLineChars="200"/>
              <w:jc w:val="left"/>
              <w:textAlignment w:val="auto"/>
              <w:rPr>
                <w:rFonts w:hint="eastAsia" w:ascii="宋体" w:hAnsi="宋体" w:eastAsia="宋体" w:cs="宋体"/>
                <w:color w:val="auto"/>
                <w:spacing w:val="-10"/>
                <w:sz w:val="21"/>
                <w:szCs w:val="21"/>
                <w:highlight w:val="none"/>
              </w:rPr>
            </w:pPr>
            <w:r>
              <w:rPr>
                <w:rFonts w:hint="eastAsia" w:ascii="宋体" w:hAnsi="宋体" w:cs="宋体"/>
                <w:color w:val="auto"/>
                <w:spacing w:val="-10"/>
                <w:sz w:val="21"/>
                <w:szCs w:val="21"/>
                <w:highlight w:val="none"/>
                <w:lang w:val="en-US" w:eastAsia="zh-CN"/>
              </w:rPr>
              <w:t>3.</w:t>
            </w:r>
            <w:r>
              <w:rPr>
                <w:rFonts w:hint="eastAsia" w:ascii="宋体" w:hAnsi="宋体" w:eastAsia="宋体" w:cs="宋体"/>
                <w:color w:val="auto"/>
                <w:spacing w:val="-10"/>
                <w:sz w:val="21"/>
                <w:szCs w:val="21"/>
                <w:highlight w:val="none"/>
              </w:rPr>
              <w:t>中标人应具备完善的售后服务体系和客户投诉处理机制， 有专门负责售后的服务人员，能够满足服务过程中采购人的响应需求。</w:t>
            </w:r>
          </w:p>
          <w:p w14:paraId="0F0725A9">
            <w:pPr>
              <w:keepNext w:val="0"/>
              <w:keepLines w:val="0"/>
              <w:pageBreakBefore w:val="0"/>
              <w:widowControl w:val="0"/>
              <w:shd w:val="clear"/>
              <w:kinsoku/>
              <w:wordWrap/>
              <w:overflowPunct/>
              <w:topLinePunct w:val="0"/>
              <w:autoSpaceDE/>
              <w:autoSpaceDN/>
              <w:bidi w:val="0"/>
              <w:adjustRightInd/>
              <w:snapToGrid/>
              <w:spacing w:line="360" w:lineRule="auto"/>
              <w:ind w:firstLine="380" w:firstLineChars="200"/>
              <w:jc w:val="left"/>
              <w:textAlignment w:val="auto"/>
              <w:rPr>
                <w:rFonts w:hint="eastAsia" w:ascii="宋体" w:hAnsi="宋体" w:eastAsia="宋体" w:cs="宋体"/>
                <w:color w:val="auto"/>
                <w:spacing w:val="-10"/>
                <w:sz w:val="21"/>
                <w:szCs w:val="21"/>
                <w:highlight w:val="none"/>
                <w:lang w:val="en-US" w:eastAsia="zh-CN"/>
              </w:rPr>
            </w:pPr>
            <w:r>
              <w:rPr>
                <w:rFonts w:hint="eastAsia" w:ascii="宋体" w:hAnsi="宋体" w:eastAsia="宋体" w:cs="宋体"/>
                <w:color w:val="auto"/>
                <w:spacing w:val="-10"/>
                <w:sz w:val="21"/>
                <w:szCs w:val="21"/>
                <w:highlight w:val="none"/>
                <w:lang w:val="en-US" w:eastAsia="zh-CN"/>
              </w:rPr>
              <w:t>六、</w:t>
            </w:r>
            <w:r>
              <w:rPr>
                <w:rFonts w:hint="eastAsia" w:ascii="宋体" w:hAnsi="宋体" w:eastAsia="宋体" w:cs="宋体"/>
                <w:color w:val="auto"/>
                <w:spacing w:val="-10"/>
                <w:sz w:val="21"/>
                <w:szCs w:val="21"/>
                <w:highlight w:val="none"/>
              </w:rPr>
              <w:t>合同条款</w:t>
            </w:r>
            <w:r>
              <w:rPr>
                <w:rFonts w:hint="eastAsia" w:ascii="宋体" w:hAnsi="宋体" w:eastAsia="宋体" w:cs="宋体"/>
                <w:color w:val="auto"/>
                <w:spacing w:val="-10"/>
                <w:sz w:val="21"/>
                <w:szCs w:val="21"/>
                <w:highlight w:val="none"/>
                <w:lang w:eastAsia="zh-CN"/>
              </w:rPr>
              <w:t>：</w:t>
            </w:r>
            <w:r>
              <w:rPr>
                <w:rFonts w:hint="eastAsia" w:ascii="宋体" w:hAnsi="宋体" w:cs="宋体"/>
                <w:color w:val="auto"/>
                <w:spacing w:val="-10"/>
                <w:sz w:val="21"/>
                <w:szCs w:val="21"/>
                <w:highlight w:val="none"/>
                <w:lang w:val="en-US" w:eastAsia="zh-CN"/>
              </w:rPr>
              <w:t>供应商</w:t>
            </w:r>
            <w:r>
              <w:rPr>
                <w:rFonts w:hint="eastAsia" w:ascii="宋体" w:hAnsi="宋体" w:eastAsia="宋体" w:cs="宋体"/>
                <w:color w:val="auto"/>
                <w:spacing w:val="-10"/>
                <w:sz w:val="21"/>
                <w:szCs w:val="21"/>
                <w:highlight w:val="none"/>
              </w:rPr>
              <w:t>实质响应合同各条款。</w:t>
            </w:r>
          </w:p>
          <w:p w14:paraId="2BCDB3ED">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投标人应充分结合本招标文件上下文了解项目招标需求、采购文件未尽事宜，将在合同签订或项目执行过程中双方协商确定，供应商须无条件满足采购单位的合理要求。</w:t>
            </w:r>
          </w:p>
        </w:tc>
      </w:tr>
    </w:tbl>
    <w:p w14:paraId="3D1FF322">
      <w:pPr>
        <w:shd w:val="clear"/>
        <w:rPr>
          <w:color w:val="auto"/>
          <w:highlight w:val="none"/>
        </w:rPr>
      </w:pPr>
    </w:p>
    <w:p w14:paraId="1BB12131">
      <w:pPr>
        <w:pStyle w:val="8"/>
        <w:shd w:val="clear"/>
        <w:rPr>
          <w:color w:val="auto"/>
          <w:highlight w:val="none"/>
          <w:lang w:val="en-US"/>
        </w:rPr>
      </w:pPr>
    </w:p>
    <w:p w14:paraId="44A4B4D6">
      <w:pPr>
        <w:shd w:val="clear"/>
        <w:rPr>
          <w:color w:val="auto"/>
          <w:highlight w:val="none"/>
          <w:lang w:val="en-US"/>
        </w:rPr>
      </w:pPr>
    </w:p>
    <w:p w14:paraId="05962116">
      <w:pPr>
        <w:shd w:val="clear"/>
        <w:bidi w:val="0"/>
        <w:rPr>
          <w:color w:val="auto"/>
          <w:highlight w:val="none"/>
          <w:lang w:val="en-US"/>
        </w:rPr>
      </w:pPr>
    </w:p>
    <w:p w14:paraId="6F86EF59">
      <w:pPr>
        <w:shd w:val="clear"/>
        <w:bidi w:val="0"/>
        <w:rPr>
          <w:color w:val="auto"/>
          <w:highlight w:val="none"/>
          <w:lang w:val="en-US"/>
        </w:rPr>
      </w:pPr>
    </w:p>
    <w:p w14:paraId="1E1E349E">
      <w:pPr>
        <w:shd w:val="clear"/>
        <w:bidi w:val="0"/>
        <w:rPr>
          <w:color w:val="auto"/>
          <w:highlight w:val="none"/>
          <w:lang w:val="en-US"/>
        </w:rPr>
      </w:pPr>
    </w:p>
    <w:p w14:paraId="3FB803C6">
      <w:pPr>
        <w:pStyle w:val="8"/>
        <w:shd w:val="clear"/>
        <w:rPr>
          <w:color w:val="auto"/>
          <w:highlight w:val="none"/>
          <w:lang w:val="en-US"/>
        </w:rPr>
      </w:pPr>
    </w:p>
    <w:p w14:paraId="40B941DC">
      <w:pPr>
        <w:shd w:val="clear"/>
        <w:rPr>
          <w:color w:val="auto"/>
          <w:highlight w:val="none"/>
        </w:rPr>
      </w:pPr>
    </w:p>
    <w:p w14:paraId="62045B77">
      <w:pPr>
        <w:pStyle w:val="8"/>
        <w:shd w:val="clear"/>
        <w:rPr>
          <w:color w:val="auto"/>
          <w:highlight w:val="none"/>
        </w:rPr>
      </w:pPr>
    </w:p>
    <w:p w14:paraId="1CE26BD5">
      <w:pPr>
        <w:shd w:val="clear"/>
        <w:rPr>
          <w:color w:val="auto"/>
          <w:highlight w:val="none"/>
        </w:rPr>
      </w:pPr>
    </w:p>
    <w:p w14:paraId="4CEE09A2">
      <w:pPr>
        <w:shd w:val="clear"/>
        <w:rPr>
          <w:rFonts w:hint="eastAsia" w:ascii="宋体" w:hAnsi="宋体"/>
          <w:color w:val="auto"/>
          <w:highlight w:val="none"/>
        </w:rPr>
      </w:pPr>
      <w:r>
        <w:rPr>
          <w:rFonts w:hint="eastAsia" w:ascii="宋体" w:hAnsi="宋体"/>
          <w:color w:val="auto"/>
          <w:highlight w:val="none"/>
        </w:rPr>
        <w:br w:type="page"/>
      </w:r>
    </w:p>
    <w:p w14:paraId="58305481">
      <w:pPr>
        <w:pStyle w:val="4"/>
        <w:shd w:val="clear"/>
        <w:jc w:val="center"/>
        <w:rPr>
          <w:rFonts w:hint="eastAsia" w:ascii="宋体" w:hAnsi="宋体" w:eastAsia="宋体"/>
          <w:color w:val="auto"/>
          <w:sz w:val="24"/>
          <w:highlight w:val="none"/>
          <w:lang w:eastAsia="zh-CN"/>
        </w:rPr>
      </w:pPr>
      <w:r>
        <w:rPr>
          <w:rFonts w:hint="eastAsia" w:ascii="宋体" w:hAnsi="宋体"/>
          <w:color w:val="auto"/>
          <w:highlight w:val="none"/>
        </w:rPr>
        <w:t>第二章 技术需求书</w:t>
      </w:r>
      <w:r>
        <w:rPr>
          <w:rFonts w:hint="eastAsia" w:ascii="宋体" w:hAnsi="宋体"/>
          <w:color w:val="auto"/>
          <w:highlight w:val="none"/>
          <w:lang w:eastAsia="zh-CN"/>
        </w:rPr>
        <w:t>（</w:t>
      </w:r>
      <w:r>
        <w:rPr>
          <w:rFonts w:hint="eastAsia" w:ascii="宋体" w:hAnsi="宋体"/>
          <w:color w:val="auto"/>
          <w:highlight w:val="none"/>
          <w:lang w:val="en-US" w:eastAsia="zh-CN"/>
        </w:rPr>
        <w:t>采购包2</w:t>
      </w:r>
      <w:r>
        <w:rPr>
          <w:rFonts w:hint="eastAsia" w:ascii="宋体" w:hAnsi="宋体"/>
          <w:color w:val="auto"/>
          <w:highlight w:val="none"/>
          <w:lang w:eastAsia="zh-CN"/>
        </w:rPr>
        <w:t>）</w:t>
      </w:r>
    </w:p>
    <w:p w14:paraId="3266ACA6">
      <w:pPr>
        <w:pStyle w:val="5"/>
        <w:shd w:val="clear"/>
        <w:bidi w:val="0"/>
        <w:rPr>
          <w:rFonts w:hint="eastAsia"/>
          <w:color w:val="auto"/>
          <w:highlight w:val="none"/>
          <w:lang w:val="en-US" w:eastAsia="zh-CN"/>
        </w:rPr>
      </w:pPr>
      <w:r>
        <w:rPr>
          <w:rFonts w:hint="eastAsia"/>
          <w:color w:val="auto"/>
          <w:highlight w:val="none"/>
          <w:lang w:val="en-US" w:eastAsia="zh-CN"/>
        </w:rPr>
        <w:t>一、项目具体要求</w:t>
      </w:r>
    </w:p>
    <w:p w14:paraId="00FEF090">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color w:val="auto"/>
          <w:szCs w:val="21"/>
          <w:highlight w:val="none"/>
        </w:rPr>
        <w:t>详见</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用户需求书》</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项目概况</w:t>
      </w:r>
    </w:p>
    <w:p w14:paraId="782FDB61">
      <w:pPr>
        <w:pStyle w:val="5"/>
        <w:shd w:val="clear"/>
        <w:bidi w:val="0"/>
        <w:rPr>
          <w:rFonts w:hint="eastAsia"/>
          <w:color w:val="auto"/>
          <w:highlight w:val="none"/>
          <w:lang w:val="en-US" w:eastAsia="zh-CN"/>
        </w:rPr>
      </w:pPr>
      <w:r>
        <w:rPr>
          <w:rFonts w:hint="eastAsia"/>
          <w:color w:val="auto"/>
          <w:highlight w:val="none"/>
          <w:lang w:val="en-US" w:eastAsia="zh-CN"/>
        </w:rPr>
        <w:t>二、食材质量及包装要求</w:t>
      </w:r>
    </w:p>
    <w:p w14:paraId="45E55202">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jc w:val="both"/>
        <w:textAlignment w:val="auto"/>
        <w:rPr>
          <w:rFonts w:hint="eastAsia" w:ascii="宋体" w:hAnsi="宋体" w:cs="Times New Roman"/>
          <w:b/>
          <w:bCs/>
          <w:color w:val="auto"/>
          <w:szCs w:val="21"/>
          <w:highlight w:val="none"/>
          <w:lang w:val="en-US" w:eastAsia="zh-CN"/>
        </w:rPr>
      </w:pPr>
      <w:r>
        <w:rPr>
          <w:rFonts w:hint="default" w:ascii="宋体" w:hAnsi="宋体" w:cs="Times New Roman"/>
          <w:b/>
          <w:bCs/>
          <w:color w:val="auto"/>
          <w:szCs w:val="21"/>
          <w:highlight w:val="none"/>
          <w:lang w:val="en-US" w:eastAsia="zh-CN"/>
        </w:rPr>
        <w:t>1．</w:t>
      </w:r>
      <w:r>
        <w:rPr>
          <w:rFonts w:hint="eastAsia" w:ascii="宋体" w:hAnsi="宋体" w:cs="Times New Roman"/>
          <w:b/>
          <w:bCs/>
          <w:color w:val="auto"/>
          <w:szCs w:val="21"/>
          <w:highlight w:val="none"/>
          <w:lang w:val="en-US" w:eastAsia="zh-CN"/>
        </w:rPr>
        <w:t>蔬菜瓜果供应货品质量要求</w:t>
      </w:r>
    </w:p>
    <w:p w14:paraId="0BD3186C">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1）中标人提供的蔬菜须确保鲜嫩度，符合国家食品安全标准，不得有黄叶、斑点、腐烂、泥沙或有异常味道，利用率不得低于95%，且不含有残留农药或污染物，并出具有效的《农产品检验报告》蔬菜需提供农残检测报告。卫生质量指标，应符合我国无公害蔬菜上的卫生指标规定。采购人对所配送蔬菜进行二次农残检测，如含量超标采购人有权要求中标人无条件退货或换货，同时做好相关记录。</w:t>
      </w:r>
    </w:p>
    <w:p w14:paraId="1DA98CBF">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（2）水果须保证新鲜，做到种类多、营养搭配，符合中小学膳食服务要求。</w:t>
      </w:r>
    </w:p>
    <w:p w14:paraId="05DA12BA">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（3）中标人需设自检测室或有固定的送检机构，每天所供蔬菜类都要提供农药残留的检测报告，并交采购人存档备查。</w:t>
      </w:r>
    </w:p>
    <w:p w14:paraId="7F593399">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4）验收时未发现问题，而在加工食用前发现部分货品存在质量问题的，采购人立即通知中标人将问题货品进行退换货处理。如中标人所供应货品出现质量问题造成食品安全事故，中标人应承担全部责任和经济损失。</w:t>
      </w:r>
    </w:p>
    <w:p w14:paraId="0443E285">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jc w:val="both"/>
        <w:textAlignment w:val="auto"/>
        <w:rPr>
          <w:rFonts w:hint="eastAsia" w:ascii="宋体" w:hAnsi="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2.蛋类供应货品质量要求</w:t>
      </w:r>
    </w:p>
    <w:p w14:paraId="5E3F395F">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（1）新鲜、蛋黄完整、非人造蛋。</w:t>
      </w:r>
    </w:p>
    <w:p w14:paraId="6119BFCE">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（2）应符合《食品安全国家标准 蛋与蛋制品》（GB 2749-2015）。灯光诱视时，整个蛋呈微红色；去壳后蛋黄呈橘黄色至橙色，蛋白澄清、透明，无其他异常颜色。气味：蛋液具有固有的蛋腥味，无异味。状态：蛋壳清洁完整，无裂纹，无霜斑，灯光诱视时蛋内无黑点及异物。去壳后蛋黄凸起完整并带有韧性，蛋白稀稠分明，无正常视力可见外来异物。</w:t>
      </w:r>
    </w:p>
    <w:p w14:paraId="69BD2371">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jc w:val="both"/>
        <w:textAlignment w:val="auto"/>
        <w:rPr>
          <w:rFonts w:hint="eastAsia" w:ascii="宋体" w:hAnsi="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3.调料及干货类</w:t>
      </w:r>
    </w:p>
    <w:p w14:paraId="30F99A0D">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1）干货制品的质量基本标准要求符合国家相关行业标准，干爽，不霉烂、整齐、均匀、完整，无虫蛀、无杂质，保持应有的色泽。确保产品质量稳定，保证营养丰富、绿色安全、海味浓郁、易存放、食用方便，保质期长。从加工、包装、运输、贮存到销售全部符合国家规定标准。尤其是二氧化硫残留量、总砷含量不超过国家卫生标准；木耳类的水分含量不能超过国家标准要求，招标人可根据实际情况对需要的干货制品进行品质抽检，对质量未达到国家标准的干货制品甲方有权拒绝接受。</w:t>
      </w:r>
    </w:p>
    <w:p w14:paraId="68C8AEA4">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（2）确保食材无毒、无害、无污染、无辐射，符合国家、行业及地方的食品卫生及安全标准，外包装完好，具有“SC”标识，标明品名、厂名、重量、生产日期、保质期或保存期、执行标准，具有产品合格证。</w:t>
      </w:r>
    </w:p>
    <w:p w14:paraId="7A8BA99C">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（3）确保包装的食材外包装完整，包装材料清洁、卫生，符合国家食品卫生标准的规定；在有效质保期内，供货时的剩余质保期不得少于标注有效期的三分之二。</w:t>
      </w:r>
    </w:p>
    <w:p w14:paraId="6EFD0261">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（4）食材不得含硫酸铝钾、硫酸铝铵等，不得使用或掺入对人体有害的添加剂。</w:t>
      </w:r>
    </w:p>
    <w:p w14:paraId="7FBDC1A3">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（5）所供干货类商品应保持较好的外观，达到相应的等级，必须是在保质期内，无变质。</w:t>
      </w:r>
    </w:p>
    <w:p w14:paraId="4C8BF296">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（6）调味品</w:t>
      </w:r>
    </w:p>
    <w:p w14:paraId="1300868D">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1)调味品的指标。</w:t>
      </w:r>
    </w:p>
    <w:p w14:paraId="135CE7EE">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不得含有人工合成着色剂，酱油、食醋应为酿造酱油和酿造食醋，不得供应配制酱油或食醋，其中酱油氨基酸态氮含量不得低于 0.7g/100mL。</w:t>
      </w:r>
    </w:p>
    <w:p w14:paraId="586CFE1D">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2)酱油</w:t>
      </w:r>
    </w:p>
    <w:p w14:paraId="20DFFAC9">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色泽红褐，光亮清透，无霉花、浮沫、沉淀物；香气浓郁，滋味鲜美醇厚，咸度适中，无酸、苦、涩等异味和霉味。摇动瓶子产生的泡沫细腻、持久，挂碗现象好。</w:t>
      </w:r>
    </w:p>
    <w:p w14:paraId="15F027C5">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3)味精</w:t>
      </w:r>
    </w:p>
    <w:p w14:paraId="56552C2E">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无色至白色结晶或粉末，具有特殊的鲜味，无异味，无肉眼可见杂质。</w:t>
      </w:r>
    </w:p>
    <w:p w14:paraId="47B5564F">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4)食醋</w:t>
      </w:r>
    </w:p>
    <w:p w14:paraId="228DE9C7">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具有正常酿造食醋的色泽、气味和滋味，不涩，无不良气味与异味；不浑浊，无悬浮物或沉淀物，无霉花、浮沫，无醋鳗、醋虱。</w:t>
      </w:r>
    </w:p>
    <w:p w14:paraId="7B64F7E5">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5)酒</w:t>
      </w:r>
    </w:p>
    <w:p w14:paraId="3A89F2F3">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无色、透明、无悬浮物和沉淀物。</w:t>
      </w:r>
    </w:p>
    <w:p w14:paraId="105BE1EE">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6)生粉</w:t>
      </w:r>
    </w:p>
    <w:p w14:paraId="5B19F4BC">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色泽呈白色或微黄色，不发暗，无杂质的颜色，呈细粉末状，不含杂质，手指捻捏时无粗粒感，无虫子和结块，置于手中紧捏后放开不成团，具有生粉的正常气味，无其他异味。</w:t>
      </w:r>
    </w:p>
    <w:p w14:paraId="47072E5C">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7)食盐</w:t>
      </w:r>
    </w:p>
    <w:p w14:paraId="70AB0C02">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必须是碘盐；结晶整齐一致，粗细均匀；洁白，呈透明或半透明，坚硬光滑，干燥、不结块，无反卤吸潮现象，无杂质；咸味正，无苦、涩等异味。</w:t>
      </w:r>
    </w:p>
    <w:p w14:paraId="7D46EC51">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8)辛辣料</w:t>
      </w:r>
    </w:p>
    <w:p w14:paraId="1DBC027D">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辛辣料是采用植物果实和种子粉碎而配制成的天然植物香料，如五香粉、胡椒粉、花椒粉、咖喱粉、芥末粉等，辛辣料的主要原料有八角、花椒、胡椒、桂皮、小茴香、大茴香、辣椒、孜然等。辛辣料呈干燥状，具有该种香料植物所特有的色、香、味，没有不纯正的气味和味道，无发霉味或其他异味。</w:t>
      </w:r>
    </w:p>
    <w:p w14:paraId="639966B1">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jc w:val="both"/>
        <w:textAlignment w:val="auto"/>
        <w:rPr>
          <w:rFonts w:hint="eastAsia" w:ascii="宋体" w:hAnsi="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4.副食品供应货品质量要求</w:t>
      </w:r>
    </w:p>
    <w:p w14:paraId="68AF82FD">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副食品包括但不限于食糖、糖果、罐头、乳制品、蜜制品、豆制品、饮料、饼干、包点、糕点、小食品以及果品等。</w:t>
      </w:r>
    </w:p>
    <w:p w14:paraId="76D2292D">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1）副食品须选用符合国家食品卫生法规相关标准的商品，选用无毒、无害、无污染、可朔源的食品。掺假、掺杂食品坚决不能使用。副食品表面外观新鲜、完整，无霉变异味，无砂粒杂质，无虫尸鼠粪等不洁卫生问题。奶制品色泽乳白，口味鲜香，包装完整，无破损，符合国家规定的质量卫生标准。</w:t>
      </w:r>
    </w:p>
    <w:p w14:paraId="38D9375C">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副食品外包装清晰标注生产厂家名称、厂址、厂家电话号码、出厂日期、保质期限、产品成份等，并符合国家食品卫生标准，坚决杜绝假冒、变质、过期的产品（从收货之日起计算剩余保质期不得低于标注保质期的50%），供货时并提供QS认证、及产品相关的检验合格证书。</w:t>
      </w:r>
    </w:p>
    <w:p w14:paraId="13A6CC55">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(3)中标人提供的豆制品须确保色泽均匀，呈块状、硬度适中、富有弹性、持水性好、无霉点。有主料应有的香气，无异味，无肉眼可见外来异物。</w:t>
      </w:r>
    </w:p>
    <w:p w14:paraId="32640652">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（4）豆制品来源于政府许可的正规厂商，有相应的合格证明。</w:t>
      </w:r>
    </w:p>
    <w:p w14:paraId="58841147">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jc w:val="both"/>
        <w:textAlignment w:val="auto"/>
        <w:rPr>
          <w:rFonts w:hint="eastAsia" w:ascii="宋体" w:hAnsi="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5.粮油类配送采购要求</w:t>
      </w:r>
    </w:p>
    <w:p w14:paraId="1EAFB6AF">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 xml:space="preserve">（1）供应产品的质量要求： </w:t>
      </w:r>
    </w:p>
    <w:p w14:paraId="7DBD8565">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①米、油货物必须符合卫生，不得有腐烂、变质、油脂酸败、霉变、生虫、污秽不结、混有异物或者其他感官性状异常，并可能对人体健康有害的物质。</w:t>
      </w:r>
    </w:p>
    <w:p w14:paraId="3CEBC5F7">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②米、油要提供QS认证、国家机关发出的产品检验合格证书。包装食品：包装箱完整，同时包装箱要印有注册商标、生产厂家名称、厂址、出厂日期、产品合格证、保质期限、产品成份、厂家电话号码。散装豆类：提供生产厂家营业执照、卫生许可证、国家机关发出的产品检验合格证书。中标人所提供产品质量必须要符合行业标准要求，不得有掺假、变质、变味、过期等现象出现，严禁伪劣、假冒、无证不合格物品进入仓库。</w:t>
      </w:r>
    </w:p>
    <w:p w14:paraId="6F8AA397">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③中标人在供应过程中，如果发生出现质量问题或造成食物中毒,如变质等情况，经查实后确属中标人责任，中标人应承担全部责任，主要包括食物中毒人员医疗费、误工费、事故处理费等，直至追究刑事责任。</w:t>
      </w:r>
    </w:p>
    <w:p w14:paraId="52A373B4">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（2）执行标准：</w:t>
      </w:r>
    </w:p>
    <w:p w14:paraId="28C0DCF4">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①米类执行标准：GB/T 1354-2018　 标准一等米 不含添加剂</w:t>
      </w:r>
    </w:p>
    <w:p w14:paraId="4593DD4E">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②大米的质量标准：除符合标准一等米外，要求：</w:t>
      </w:r>
    </w:p>
    <w:p w14:paraId="603CB843">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 xml:space="preserve">碎米总量≤17% （国家标准：≤35%） </w:t>
      </w:r>
    </w:p>
    <w:p w14:paraId="08D095C7">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 xml:space="preserve">小碎米总量≤2%（国家标准：≤2.5%） </w:t>
      </w:r>
    </w:p>
    <w:p w14:paraId="694C8E4A">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 xml:space="preserve">不完善粒≤3.5%（国家标准：≤4.0%） </w:t>
      </w:r>
    </w:p>
    <w:p w14:paraId="191CCEFF">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黄米粒按国家标准执行 。</w:t>
      </w:r>
    </w:p>
    <w:p w14:paraId="5D4DEE42">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③油类执行标准：SB/T 10292-1998</w:t>
      </w:r>
    </w:p>
    <w:p w14:paraId="0CAECC8F">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④油类质量要求：</w:t>
      </w:r>
    </w:p>
    <w:p w14:paraId="1241EAD2">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每个食用油品种必须色泽好，透明度高，无浑浊，无沉淀和悬浮物，粘度小，无分层现象，气味正常，无酸臭异味。严格执行国家相关质量标准及卫生安全标准，色泽、气味、霉变、真菌毒素、重金属污染物、农药等严格控制在国家标准范围内（原粮及成品粮色泽、气味必须正常。  霉变粒不得超过2％。 真菌毒素：黄曲霉毒素B1 （5μg/kg～20μg/kg）、脱氧雪腐镰刀菌烯醇（≤1000μg/kg）、玉米赤霉烯酮（≤60μg/kg）、赭曲霉毒素A（5μg/kg）。重金属污染物：铅（≤0.2mg/kg）、镉(0.1 mg/kg～0.2 mg/kg)、汞（0.02 mg/kg）、无机砷（0.1 mg/kg～0.2 mg/kg）。 农药：对磷化物、马拉硫磷等140余种农药规定了最大残留限量）。并根据用户需求的食用油等级保质保量完成供货。要求提供的食用油生产厂家信誉良好，有明确的商品标签，有生产日期、保质期、质量等级，并标明初制油的工艺(即用浸出法生产，还是用压榨法生产的)和是否用转基因油料生产，不许以次充好、以假充真。如将毛油当一级或二级油进行销售，将低价位的植物油掺入高价位植物油中进行销售，牟取暴利，一经查处，中标人将承担全部责任。</w:t>
      </w:r>
    </w:p>
    <w:p w14:paraId="110FA4C9">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（3）★食用油不能使用含有转基因食品，调和油、棕榈油等含量不能超过总含量的 30%。（须提供承诺函并加盖投标人公章）</w:t>
      </w:r>
    </w:p>
    <w:p w14:paraId="3345AE64">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（4）★投标人须保证提供的食材及其它副食等所有用于本项目的材料不使用转基因食</w:t>
      </w:r>
    </w:p>
    <w:p w14:paraId="3A7148BD">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材或由转基因原料制作的产品。（须提供承诺函并加盖投标人公章）</w:t>
      </w:r>
    </w:p>
    <w:p w14:paraId="637A3125">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2" w:firstLineChars="200"/>
        <w:jc w:val="both"/>
        <w:textAlignment w:val="auto"/>
        <w:rPr>
          <w:rFonts w:hint="default" w:ascii="宋体" w:hAnsi="宋体" w:cs="Times New Roman"/>
          <w:b/>
          <w:bCs/>
          <w:color w:val="auto"/>
          <w:szCs w:val="21"/>
          <w:highlight w:val="none"/>
          <w:lang w:val="en-US" w:eastAsia="zh-CN"/>
        </w:rPr>
      </w:pPr>
      <w:r>
        <w:rPr>
          <w:rFonts w:hint="eastAsia" w:ascii="宋体" w:hAnsi="宋体" w:cs="Times New Roman"/>
          <w:b/>
          <w:bCs/>
          <w:color w:val="auto"/>
          <w:szCs w:val="21"/>
          <w:highlight w:val="none"/>
          <w:lang w:val="en-US" w:eastAsia="zh-CN"/>
        </w:rPr>
        <w:t>6.粉面类</w:t>
      </w:r>
    </w:p>
    <w:p w14:paraId="651444AB">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（1）外包装完好，具有SC标志，标明商品名称、净含量、生产商、产地、产品标准号、质量等级、生产许可证号、产品批号、生产日期、保质期，所有商品须具有《产品质量检验报告》和《出厂检验报告》。</w:t>
      </w:r>
    </w:p>
    <w:p w14:paraId="221A882C">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（2）须新鲜、色泽呈现乳白或微黄色、手感细腻、颗粒均匀、有自然浓郁的麦香味、手抓后自然流出、松开手后不成团，用它制成的成品如馒头有麦香味、香甜入口不粘牙。</w:t>
      </w:r>
    </w:p>
    <w:p w14:paraId="54F5E1BA">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（3）面条、面饼、方便面等面制成品符合食品安全国家标准。</w:t>
      </w:r>
    </w:p>
    <w:p w14:paraId="73132FA1">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（4）（面类、粉类）质量标准及常规检验：</w:t>
      </w:r>
    </w:p>
    <w:p w14:paraId="5B37879C">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1）外观：片形大致均匀，平直，松散，无结疤，无并条，无酥脆及霉变现象的米粉为上品；否则为劣质品。</w:t>
      </w:r>
    </w:p>
    <w:p w14:paraId="59431671">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2）色泽：色泽光洁、有透明感、无斑点的米粉为上品；否则为劣质品。</w:t>
      </w:r>
    </w:p>
    <w:p w14:paraId="0DB3D40B">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3）嗅昧：无霉味、无酸味及异味的米粉为上品；否则为变质米粉。</w:t>
      </w:r>
    </w:p>
    <w:p w14:paraId="33D0ED8D">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4）烹调性：煮熟后有韧性，不粘条，不糊汤，无严重断条、无杂质的米粉为上品；否则为劣质品。</w:t>
      </w:r>
    </w:p>
    <w:p w14:paraId="689A45CD">
      <w:pPr>
        <w:pStyle w:val="9"/>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5）包装：产品的包装可根据销售的要求，采用食品塑料袋密封或其他包装形式，也可以散装。包装的米粉、河粉应标明厂名、品名、重(质)量、生产日期、检验员代号及出厂合格证等。</w:t>
      </w:r>
    </w:p>
    <w:p w14:paraId="0F38763F">
      <w:pPr>
        <w:shd w:val="clear"/>
        <w:bidi w:val="0"/>
        <w:rPr>
          <w:rFonts w:hint="eastAsia" w:ascii="宋体" w:hAnsi="宋体" w:eastAsia="宋体" w:cs="Times New Roman"/>
          <w:b/>
          <w:bCs/>
          <w:color w:val="auto"/>
          <w:sz w:val="21"/>
          <w:szCs w:val="21"/>
          <w:highlight w:val="none"/>
        </w:rPr>
      </w:pPr>
    </w:p>
    <w:p w14:paraId="6923C0F4">
      <w:pPr>
        <w:shd w:val="clear"/>
        <w:bidi w:val="0"/>
        <w:ind w:firstLine="422" w:firstLineChars="200"/>
        <w:rPr>
          <w:color w:val="auto"/>
          <w:highlight w:val="none"/>
        </w:rPr>
        <w:sectPr>
          <w:pgSz w:w="11906" w:h="16838"/>
          <w:pgMar w:top="1440" w:right="1800" w:bottom="1440" w:left="1800" w:header="851" w:footer="992" w:gutter="0"/>
          <w:pgNumType w:fmt="decimal"/>
          <w:cols w:space="720" w:num="1"/>
          <w:docGrid w:type="lines" w:linePitch="312" w:charSpace="0"/>
        </w:sectPr>
      </w:pPr>
      <w:r>
        <w:rPr>
          <w:rFonts w:hint="eastAsia" w:ascii="宋体" w:hAnsi="宋体" w:eastAsia="宋体" w:cs="Times New Roman"/>
          <w:b/>
          <w:bCs/>
          <w:color w:val="auto"/>
          <w:sz w:val="21"/>
          <w:szCs w:val="21"/>
          <w:highlight w:val="none"/>
        </w:rPr>
        <w:t>注：不满足招标文件中 “★”条款的投标文件将作无效投标处理。</w:t>
      </w:r>
    </w:p>
    <w:bookmarkEnd w:id="182"/>
    <w:bookmarkEnd w:id="183"/>
    <w:bookmarkEnd w:id="184"/>
    <w:bookmarkEnd w:id="185"/>
    <w:p w14:paraId="1BEC66AA">
      <w:pPr>
        <w:pStyle w:val="3"/>
        <w:shd w:val="clear"/>
        <w:spacing w:before="0" w:after="0" w:line="240" w:lineRule="auto"/>
        <w:rPr>
          <w:color w:val="auto"/>
          <w:sz w:val="28"/>
          <w:szCs w:val="28"/>
          <w:highlight w:val="none"/>
        </w:rPr>
      </w:pPr>
      <w:bookmarkStart w:id="186" w:name="_Toc12485"/>
      <w:bookmarkStart w:id="187" w:name="_Toc12014"/>
      <w:bookmarkStart w:id="188" w:name="_Toc21448"/>
      <w:r>
        <w:rPr>
          <w:rFonts w:hint="eastAsia"/>
          <w:color w:val="auto"/>
          <w:sz w:val="28"/>
          <w:szCs w:val="28"/>
          <w:highlight w:val="none"/>
        </w:rPr>
        <w:t>第六部分 合同格式（仅供参考）</w:t>
      </w:r>
      <w:bookmarkEnd w:id="186"/>
      <w:bookmarkEnd w:id="187"/>
      <w:bookmarkEnd w:id="188"/>
      <w:bookmarkStart w:id="189" w:name="_Toc1534"/>
      <w:bookmarkStart w:id="190" w:name="_Toc13430"/>
      <w:bookmarkStart w:id="191" w:name="_Toc21155"/>
    </w:p>
    <w:bookmarkEnd w:id="189"/>
    <w:bookmarkEnd w:id="190"/>
    <w:bookmarkEnd w:id="191"/>
    <w:p w14:paraId="17BDA6A7">
      <w:pPr>
        <w:shd w:val="clear" w:color="auto"/>
        <w:rPr>
          <w:color w:val="auto"/>
          <w:highlight w:val="none"/>
        </w:rPr>
      </w:pPr>
    </w:p>
    <w:p w14:paraId="7EB1F428">
      <w:pPr>
        <w:shd w:val="clear" w:color="auto"/>
        <w:jc w:val="center"/>
        <w:rPr>
          <w:rFonts w:ascii="宋体" w:hAnsi="宋体"/>
          <w:b/>
          <w:color w:val="auto"/>
          <w:sz w:val="48"/>
          <w:highlight w:val="none"/>
        </w:rPr>
      </w:pPr>
      <w:r>
        <w:rPr>
          <w:rFonts w:ascii="宋体" w:hAnsi="宋体"/>
          <w:b/>
          <w:color w:val="auto"/>
          <w:sz w:val="48"/>
          <w:highlight w:val="none"/>
        </w:rPr>
        <w:t>合　同　书</w:t>
      </w:r>
    </w:p>
    <w:p w14:paraId="568CA739">
      <w:pPr>
        <w:shd w:val="clear" w:color="auto"/>
        <w:jc w:val="center"/>
        <w:rPr>
          <w:rFonts w:hint="eastAsia" w:eastAsia="宋体"/>
          <w:color w:val="auto"/>
          <w:highlight w:val="none"/>
          <w:lang w:eastAsia="zh-CN"/>
        </w:rPr>
      </w:pPr>
      <w:r>
        <w:rPr>
          <w:rFonts w:hint="eastAsia" w:ascii="宋体" w:hAnsi="宋体"/>
          <w:b/>
          <w:color w:val="auto"/>
          <w:sz w:val="48"/>
          <w:highlight w:val="none"/>
          <w:lang w:eastAsia="zh-CN"/>
        </w:rPr>
        <w:t>（</w:t>
      </w:r>
      <w:r>
        <w:rPr>
          <w:rFonts w:hint="eastAsia" w:ascii="宋体" w:hAnsi="宋体"/>
          <w:b/>
          <w:color w:val="auto"/>
          <w:sz w:val="48"/>
          <w:highlight w:val="none"/>
          <w:lang w:val="en-US" w:eastAsia="zh-CN"/>
        </w:rPr>
        <w:t>采购包1</w:t>
      </w:r>
      <w:r>
        <w:rPr>
          <w:rFonts w:hint="eastAsia" w:ascii="宋体" w:hAnsi="宋体"/>
          <w:b/>
          <w:color w:val="auto"/>
          <w:sz w:val="48"/>
          <w:highlight w:val="none"/>
          <w:lang w:eastAsia="zh-CN"/>
        </w:rPr>
        <w:t>）</w:t>
      </w:r>
    </w:p>
    <w:p w14:paraId="7B5B9967">
      <w:pPr>
        <w:shd w:val="clear" w:color="auto"/>
        <w:jc w:val="center"/>
        <w:rPr>
          <w:color w:val="auto"/>
          <w:highlight w:val="none"/>
        </w:rPr>
      </w:pPr>
    </w:p>
    <w:p w14:paraId="6AF7E8A1">
      <w:pPr>
        <w:shd w:val="clear" w:color="auto"/>
        <w:jc w:val="center"/>
        <w:rPr>
          <w:color w:val="auto"/>
          <w:highlight w:val="none"/>
        </w:rPr>
      </w:pPr>
    </w:p>
    <w:p w14:paraId="0FD58A82">
      <w:pPr>
        <w:shd w:val="clear" w:color="auto"/>
        <w:jc w:val="center"/>
        <w:rPr>
          <w:color w:val="auto"/>
          <w:highlight w:val="none"/>
        </w:rPr>
      </w:pPr>
    </w:p>
    <w:p w14:paraId="31D2FA50">
      <w:pPr>
        <w:shd w:val="clear" w:color="auto"/>
        <w:jc w:val="center"/>
        <w:rPr>
          <w:color w:val="auto"/>
          <w:highlight w:val="none"/>
        </w:rPr>
      </w:pPr>
    </w:p>
    <w:p w14:paraId="47F7871B">
      <w:pPr>
        <w:shd w:val="clear" w:color="auto"/>
        <w:jc w:val="center"/>
        <w:rPr>
          <w:color w:val="auto"/>
          <w:highlight w:val="none"/>
        </w:rPr>
      </w:pPr>
    </w:p>
    <w:p w14:paraId="1D6AF336">
      <w:pPr>
        <w:shd w:val="clear" w:color="auto"/>
        <w:jc w:val="center"/>
        <w:rPr>
          <w:color w:val="auto"/>
          <w:highlight w:val="none"/>
        </w:rPr>
      </w:pPr>
    </w:p>
    <w:p w14:paraId="776C0FBB">
      <w:pPr>
        <w:shd w:val="clear" w:color="auto"/>
        <w:jc w:val="center"/>
        <w:rPr>
          <w:color w:val="auto"/>
          <w:highlight w:val="none"/>
        </w:rPr>
      </w:pPr>
    </w:p>
    <w:p w14:paraId="5B81C86A">
      <w:pPr>
        <w:shd w:val="clear" w:color="auto"/>
        <w:jc w:val="center"/>
        <w:rPr>
          <w:color w:val="auto"/>
          <w:highlight w:val="none"/>
        </w:rPr>
      </w:pPr>
    </w:p>
    <w:p w14:paraId="17748D52">
      <w:pPr>
        <w:shd w:val="clear" w:color="auto"/>
        <w:jc w:val="center"/>
        <w:rPr>
          <w:color w:val="auto"/>
          <w:highlight w:val="none"/>
        </w:rPr>
      </w:pPr>
      <w:r>
        <w:rPr>
          <w:rFonts w:ascii="Helvetica" w:hAnsi="Helvetica" w:eastAsia="Helvetica" w:cs="Helvetica"/>
          <w:color w:val="auto"/>
          <w:sz w:val="27"/>
          <w:highlight w:val="none"/>
        </w:rPr>
        <w:t xml:space="preserve"> </w:t>
      </w:r>
    </w:p>
    <w:p w14:paraId="65A95B7C">
      <w:pPr>
        <w:shd w:val="clear" w:color="auto"/>
        <w:jc w:val="center"/>
        <w:rPr>
          <w:color w:val="auto"/>
          <w:highlight w:val="none"/>
        </w:rPr>
      </w:pPr>
      <w:r>
        <w:rPr>
          <w:rFonts w:ascii="宋体" w:hAnsi="宋体"/>
          <w:color w:val="auto"/>
          <w:sz w:val="28"/>
          <w:highlight w:val="none"/>
        </w:rPr>
        <w:t>采购计划编号：</w:t>
      </w:r>
      <w:r>
        <w:rPr>
          <w:rFonts w:ascii="Helvetica" w:hAnsi="Helvetica" w:eastAsia="Helvetica" w:cs="Helvetica"/>
          <w:color w:val="auto"/>
          <w:sz w:val="27"/>
          <w:highlight w:val="none"/>
        </w:rPr>
        <w:t xml:space="preserve">                          </w:t>
      </w:r>
    </w:p>
    <w:p w14:paraId="5A39F147">
      <w:pPr>
        <w:shd w:val="clear" w:color="auto"/>
        <w:rPr>
          <w:color w:val="auto"/>
          <w:highlight w:val="none"/>
        </w:rPr>
      </w:pPr>
    </w:p>
    <w:p w14:paraId="0FC42F3F">
      <w:pPr>
        <w:shd w:val="clear" w:color="auto"/>
        <w:jc w:val="center"/>
        <w:rPr>
          <w:color w:val="auto"/>
          <w:highlight w:val="none"/>
        </w:rPr>
      </w:pPr>
      <w:r>
        <w:rPr>
          <w:rFonts w:ascii="宋体" w:hAnsi="宋体"/>
          <w:color w:val="auto"/>
          <w:sz w:val="28"/>
          <w:highlight w:val="none"/>
        </w:rPr>
        <w:t>项目编号：</w:t>
      </w:r>
      <w:r>
        <w:rPr>
          <w:rFonts w:ascii="Helvetica" w:hAnsi="Helvetica" w:eastAsia="Helvetica" w:cs="Helvetica"/>
          <w:color w:val="auto"/>
          <w:sz w:val="27"/>
          <w:highlight w:val="none"/>
        </w:rPr>
        <w:t xml:space="preserve">                              </w:t>
      </w:r>
    </w:p>
    <w:p w14:paraId="13403845">
      <w:pPr>
        <w:shd w:val="clear" w:color="auto"/>
        <w:rPr>
          <w:color w:val="auto"/>
          <w:highlight w:val="none"/>
        </w:rPr>
      </w:pPr>
    </w:p>
    <w:p w14:paraId="4AB5CA85">
      <w:pPr>
        <w:shd w:val="clear" w:color="auto"/>
        <w:jc w:val="center"/>
        <w:rPr>
          <w:color w:val="auto"/>
          <w:highlight w:val="none"/>
        </w:rPr>
      </w:pPr>
      <w:r>
        <w:rPr>
          <w:rFonts w:ascii="宋体" w:hAnsi="宋体"/>
          <w:color w:val="auto"/>
          <w:sz w:val="28"/>
          <w:highlight w:val="none"/>
        </w:rPr>
        <w:t>项目名称：</w:t>
      </w:r>
      <w:r>
        <w:rPr>
          <w:rFonts w:ascii="Helvetica" w:hAnsi="Helvetica" w:eastAsia="Helvetica" w:cs="Helvetica"/>
          <w:color w:val="auto"/>
          <w:sz w:val="27"/>
          <w:highlight w:val="none"/>
        </w:rPr>
        <w:t xml:space="preserve">                             </w:t>
      </w:r>
    </w:p>
    <w:p w14:paraId="5ED4F089">
      <w:pPr>
        <w:shd w:val="clear" w:color="auto"/>
        <w:rPr>
          <w:color w:val="auto"/>
          <w:highlight w:val="none"/>
        </w:rPr>
      </w:pPr>
    </w:p>
    <w:p w14:paraId="7C04A054">
      <w:pPr>
        <w:shd w:val="clear" w:color="auto"/>
        <w:rPr>
          <w:color w:val="auto"/>
          <w:highlight w:val="none"/>
        </w:rPr>
      </w:pPr>
    </w:p>
    <w:p w14:paraId="7E2AD5F9">
      <w:pPr>
        <w:shd w:val="clear" w:color="auto"/>
        <w:rPr>
          <w:color w:val="auto"/>
          <w:highlight w:val="none"/>
        </w:rPr>
      </w:pPr>
    </w:p>
    <w:p w14:paraId="79A25F3E">
      <w:pPr>
        <w:shd w:val="clear" w:color="auto"/>
        <w:rPr>
          <w:color w:val="auto"/>
          <w:highlight w:val="none"/>
        </w:rPr>
      </w:pPr>
    </w:p>
    <w:p w14:paraId="5021845D">
      <w:pPr>
        <w:shd w:val="clear" w:color="auto"/>
        <w:rPr>
          <w:color w:val="auto"/>
          <w:highlight w:val="none"/>
        </w:rPr>
      </w:pPr>
    </w:p>
    <w:p w14:paraId="2C0C850E">
      <w:pPr>
        <w:shd w:val="clear" w:color="auto"/>
        <w:rPr>
          <w:color w:val="auto"/>
          <w:highlight w:val="none"/>
        </w:rPr>
      </w:pPr>
    </w:p>
    <w:p w14:paraId="3542C946">
      <w:pPr>
        <w:shd w:val="clear" w:color="auto"/>
        <w:rPr>
          <w:color w:val="auto"/>
          <w:highlight w:val="none"/>
        </w:rPr>
      </w:pPr>
    </w:p>
    <w:p w14:paraId="3C21306F">
      <w:pPr>
        <w:shd w:val="clear" w:color="auto"/>
        <w:rPr>
          <w:color w:val="auto"/>
          <w:highlight w:val="none"/>
        </w:rPr>
      </w:pPr>
    </w:p>
    <w:p w14:paraId="603E3C66">
      <w:pPr>
        <w:shd w:val="clear" w:color="auto"/>
        <w:rPr>
          <w:color w:val="auto"/>
          <w:highlight w:val="none"/>
        </w:rPr>
      </w:pPr>
    </w:p>
    <w:p w14:paraId="122B254E">
      <w:pPr>
        <w:shd w:val="clear" w:color="auto"/>
        <w:rPr>
          <w:rFonts w:ascii="Helvetica" w:hAnsi="Helvetica" w:cs="Helvetica"/>
          <w:color w:val="auto"/>
          <w:sz w:val="27"/>
          <w:highlight w:val="none"/>
        </w:rPr>
      </w:pPr>
    </w:p>
    <w:p w14:paraId="0968B3F2">
      <w:pPr>
        <w:shd w:val="clear" w:color="auto"/>
        <w:rPr>
          <w:color w:val="auto"/>
          <w:highlight w:val="none"/>
        </w:rPr>
      </w:pPr>
    </w:p>
    <w:p w14:paraId="24E4FA9C">
      <w:pPr>
        <w:shd w:val="clea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742714D0">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合同编号： </w:t>
      </w:r>
    </w:p>
    <w:p w14:paraId="705EEA7F">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甲方：</w:t>
      </w:r>
      <w:r>
        <w:rPr>
          <w:rFonts w:hint="eastAsia" w:ascii="宋体" w:hAnsi="宋体" w:eastAsia="宋体" w:cs="宋体"/>
          <w:b/>
          <w:bCs/>
          <w:color w:val="auto"/>
          <w:sz w:val="21"/>
          <w:szCs w:val="21"/>
          <w:highlight w:val="none"/>
          <w:u w:val="single"/>
          <w:shd w:val="clear" w:color="auto" w:fill="FFFFFF"/>
          <w:lang w:eastAsia="zh-CN"/>
        </w:rPr>
        <w:t>东莞市常平镇司马中学</w:t>
      </w:r>
    </w:p>
    <w:p w14:paraId="727CA4E0">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b/>
          <w:bCs/>
          <w:color w:val="auto"/>
          <w:sz w:val="21"/>
          <w:szCs w:val="21"/>
          <w:highlight w:val="none"/>
          <w:u w:val="single"/>
          <w:shd w:val="clear" w:color="auto" w:fill="FFFFFF"/>
          <w:lang w:val="en-US"/>
        </w:rPr>
        <w:t xml:space="preserve">                      </w:t>
      </w:r>
      <w:r>
        <w:rPr>
          <w:rFonts w:hint="eastAsia" w:ascii="宋体" w:hAnsi="宋体" w:eastAsia="宋体" w:cs="宋体"/>
          <w:color w:val="auto"/>
          <w:sz w:val="21"/>
          <w:szCs w:val="21"/>
          <w:highlight w:val="none"/>
        </w:rPr>
        <w:t>”为中标单位</w:t>
      </w:r>
    </w:p>
    <w:p w14:paraId="2DEAD207">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受甲方委托，广东政通招标有限公司组织对</w:t>
      </w:r>
      <w:r>
        <w:rPr>
          <w:rFonts w:hint="eastAsia" w:ascii="宋体" w:hAnsi="宋体" w:eastAsia="宋体" w:cs="宋体"/>
          <w:b/>
          <w:bCs/>
          <w:color w:val="auto"/>
          <w:sz w:val="21"/>
          <w:szCs w:val="21"/>
          <w:highlight w:val="none"/>
          <w:u w:val="single"/>
          <w:lang w:eastAsia="zh-CN"/>
        </w:rPr>
        <w:t>东莞市常平镇司马中学食材配送采购项目</w:t>
      </w:r>
      <w:r>
        <w:rPr>
          <w:rFonts w:hint="eastAsia" w:ascii="宋体" w:hAnsi="宋体" w:eastAsia="宋体" w:cs="宋体"/>
          <w:b/>
          <w:bCs/>
          <w:color w:val="auto"/>
          <w:sz w:val="21"/>
          <w:szCs w:val="21"/>
          <w:highlight w:val="none"/>
          <w:u w:val="single"/>
          <w:lang w:val="en-US" w:eastAsia="zh-CN"/>
        </w:rPr>
        <w:t>/采购包1</w:t>
      </w:r>
      <w:r>
        <w:rPr>
          <w:rFonts w:hint="eastAsia" w:ascii="宋体" w:hAnsi="宋体" w:eastAsia="宋体" w:cs="宋体"/>
          <w:color w:val="auto"/>
          <w:sz w:val="21"/>
          <w:szCs w:val="21"/>
          <w:highlight w:val="none"/>
        </w:rPr>
        <w:t>（采购项目编号为</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color w:val="auto"/>
          <w:sz w:val="21"/>
          <w:szCs w:val="21"/>
          <w:highlight w:val="none"/>
        </w:rPr>
        <w:t>）进行采购，于202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rPr>
        <w:t xml:space="preserve">   </w:t>
      </w:r>
      <w:r>
        <w:rPr>
          <w:rFonts w:hint="eastAsia" w:ascii="宋体" w:hAnsi="宋体" w:eastAsia="宋体" w:cs="宋体"/>
          <w:color w:val="auto"/>
          <w:sz w:val="21"/>
          <w:szCs w:val="21"/>
          <w:highlight w:val="none"/>
        </w:rPr>
        <w:t>日通过公开招标，经评标委员会评定乙方</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color w:val="auto"/>
          <w:sz w:val="21"/>
          <w:szCs w:val="21"/>
          <w:highlight w:val="none"/>
        </w:rPr>
        <w:t>为中标单位。为了保护甲、乙双方合法权益，根据《中华人民共和国政府采购法》及其实施条例、《中华人民共和国民法典》，在平等自愿的基础上，按照下面的条款和条件，签署本合同。</w:t>
      </w:r>
    </w:p>
    <w:p w14:paraId="1F3BA5D3">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第一条 合同项目</w:t>
      </w:r>
    </w:p>
    <w:p w14:paraId="1ABEA2A0">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1、项目名称：</w:t>
      </w:r>
      <w:r>
        <w:rPr>
          <w:rFonts w:hint="eastAsia" w:ascii="宋体" w:hAnsi="宋体" w:eastAsia="宋体" w:cs="宋体"/>
          <w:b/>
          <w:bCs/>
          <w:color w:val="auto"/>
          <w:sz w:val="21"/>
          <w:szCs w:val="21"/>
          <w:highlight w:val="none"/>
          <w:u w:val="single"/>
          <w:lang w:eastAsia="zh-CN"/>
        </w:rPr>
        <w:t>东莞市常平镇司马中学食材配送采购项目</w:t>
      </w:r>
      <w:r>
        <w:rPr>
          <w:rFonts w:hint="eastAsia" w:ascii="宋体" w:hAnsi="宋体" w:eastAsia="宋体" w:cs="宋体"/>
          <w:color w:val="auto"/>
          <w:sz w:val="21"/>
          <w:szCs w:val="21"/>
          <w:highlight w:val="none"/>
        </w:rPr>
        <w:t>；</w:t>
      </w:r>
    </w:p>
    <w:p w14:paraId="401D9877">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2、采购项目编号：</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color w:val="auto"/>
          <w:sz w:val="21"/>
          <w:szCs w:val="21"/>
          <w:highlight w:val="none"/>
        </w:rPr>
        <w:t>。</w:t>
      </w:r>
    </w:p>
    <w:p w14:paraId="5CE8C28B">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第二条 合同组成</w:t>
      </w:r>
    </w:p>
    <w:p w14:paraId="1EE86873">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1、合同文件组成内容包括：本合同书、中标通知书、投标文件（含澄清内容）、招标文件（含招标文件澄清通知）等。</w:t>
      </w:r>
    </w:p>
    <w:p w14:paraId="1DFF20B9">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第三条 服务内容、标准及要求</w:t>
      </w:r>
    </w:p>
    <w:p w14:paraId="2E811B70">
      <w:pPr>
        <w:shd w:val="clear" w:color="auto"/>
        <w:spacing w:line="360" w:lineRule="auto"/>
        <w:ind w:firstLine="422" w:firstLineChars="200"/>
        <w:outlineLvl w:val="1"/>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1</w:t>
      </w:r>
      <w:r>
        <w:rPr>
          <w:rFonts w:hint="eastAsia" w:ascii="宋体" w:hAnsi="宋体" w:eastAsia="宋体" w:cs="宋体"/>
          <w:b/>
          <w:color w:val="auto"/>
          <w:sz w:val="21"/>
          <w:szCs w:val="21"/>
          <w:highlight w:val="none"/>
        </w:rPr>
        <w:t>项目概况：</w:t>
      </w:r>
    </w:p>
    <w:p w14:paraId="740F5363">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lang w:val="en-US" w:eastAsia="zh-CN"/>
        </w:rPr>
        <w:t>项目基本情况</w:t>
      </w:r>
    </w:p>
    <w:p w14:paraId="2C42B974">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本次采购项目为</w:t>
      </w:r>
      <w:r>
        <w:rPr>
          <w:rFonts w:hint="eastAsia" w:ascii="宋体" w:hAnsi="宋体" w:cs="宋体"/>
          <w:b w:val="0"/>
          <w:bCs w:val="0"/>
          <w:color w:val="auto"/>
          <w:sz w:val="21"/>
          <w:szCs w:val="21"/>
          <w:highlight w:val="none"/>
          <w:lang w:val="en-US" w:eastAsia="zh-CN"/>
        </w:rPr>
        <w:t>乙方为甲方提供</w:t>
      </w:r>
      <w:r>
        <w:rPr>
          <w:rFonts w:hint="eastAsia" w:ascii="宋体" w:hAnsi="宋体" w:eastAsia="宋体" w:cs="宋体"/>
          <w:b w:val="0"/>
          <w:bCs w:val="0"/>
          <w:color w:val="auto"/>
          <w:sz w:val="21"/>
          <w:szCs w:val="21"/>
          <w:highlight w:val="none"/>
          <w:lang w:val="en-US" w:eastAsia="zh-CN"/>
        </w:rPr>
        <w:t>食材配送服务，</w:t>
      </w:r>
      <w:r>
        <w:rPr>
          <w:rFonts w:hint="eastAsia" w:ascii="宋体" w:hAnsi="宋体" w:cs="宋体"/>
          <w:b w:val="0"/>
          <w:bCs w:val="0"/>
          <w:color w:val="auto"/>
          <w:sz w:val="21"/>
          <w:szCs w:val="21"/>
          <w:highlight w:val="none"/>
          <w:lang w:val="en-US" w:eastAsia="zh-CN"/>
        </w:rPr>
        <w:t>配送以下类别食材：</w:t>
      </w:r>
      <w:r>
        <w:rPr>
          <w:rFonts w:hint="eastAsia" w:ascii="宋体" w:hAnsi="宋体"/>
          <w:color w:val="auto"/>
          <w:szCs w:val="21"/>
          <w:highlight w:val="none"/>
          <w:lang w:eastAsia="zh-CN"/>
        </w:rPr>
        <w:t>鲜肉类、家禽类、水产类、冻品类。</w:t>
      </w:r>
      <w:r>
        <w:rPr>
          <w:rFonts w:hint="eastAsia" w:ascii="宋体" w:hAnsi="宋体" w:cs="宋体"/>
          <w:b w:val="0"/>
          <w:bCs w:val="0"/>
          <w:color w:val="auto"/>
          <w:sz w:val="21"/>
          <w:szCs w:val="21"/>
          <w:highlight w:val="none"/>
          <w:lang w:val="en-US" w:eastAsia="zh-CN"/>
        </w:rPr>
        <w:t>甲方食堂</w:t>
      </w:r>
      <w:r>
        <w:rPr>
          <w:rFonts w:hint="eastAsia" w:ascii="宋体" w:hAnsi="宋体" w:eastAsia="宋体" w:cs="宋体"/>
          <w:b w:val="0"/>
          <w:bCs w:val="0"/>
          <w:color w:val="auto"/>
          <w:sz w:val="21"/>
          <w:szCs w:val="21"/>
          <w:highlight w:val="none"/>
          <w:lang w:val="en-US" w:eastAsia="zh-CN"/>
        </w:rPr>
        <w:t>教职工用餐人数约150人（以在校实际教职工人数为准）、学生用餐人数约为 2400人（以在校实际学生人数为准），上述用餐规模仅供乙方参考，结算金额根据核定供货价及实际配送货物量进行结算</w:t>
      </w:r>
      <w:r>
        <w:rPr>
          <w:rFonts w:hint="eastAsia" w:ascii="宋体" w:hAnsi="宋体" w:cs="宋体"/>
          <w:b w:val="0"/>
          <w:bCs w:val="0"/>
          <w:color w:val="auto"/>
          <w:sz w:val="21"/>
          <w:szCs w:val="21"/>
          <w:highlight w:val="none"/>
          <w:lang w:val="en-US" w:eastAsia="zh-CN"/>
        </w:rPr>
        <w:t>。</w:t>
      </w:r>
    </w:p>
    <w:p w14:paraId="01BEED26">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val="en-US" w:eastAsia="zh-CN"/>
        </w:rPr>
        <w:t>项目总体要求</w:t>
      </w:r>
    </w:p>
    <w:p w14:paraId="4542B2B0">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2.1</w:t>
      </w:r>
      <w:r>
        <w:rPr>
          <w:rFonts w:hint="eastAsia" w:ascii="宋体" w:hAnsi="宋体" w:eastAsia="宋体" w:cs="宋体"/>
          <w:b w:val="0"/>
          <w:bCs w:val="0"/>
          <w:color w:val="auto"/>
          <w:sz w:val="21"/>
          <w:szCs w:val="21"/>
          <w:highlight w:val="none"/>
        </w:rPr>
        <w:t>本项目为在</w:t>
      </w:r>
      <w:r>
        <w:rPr>
          <w:rFonts w:hint="eastAsia" w:ascii="宋体" w:hAnsi="宋体" w:eastAsia="宋体" w:cs="宋体"/>
          <w:b w:val="0"/>
          <w:bCs w:val="0"/>
          <w:color w:val="auto"/>
          <w:sz w:val="21"/>
          <w:szCs w:val="21"/>
          <w:highlight w:val="none"/>
          <w:lang w:eastAsia="zh-CN"/>
        </w:rPr>
        <w:t>东莞市</w:t>
      </w:r>
      <w:r>
        <w:rPr>
          <w:rFonts w:hint="eastAsia" w:ascii="宋体" w:hAnsi="宋体" w:eastAsia="宋体" w:cs="宋体"/>
          <w:b w:val="0"/>
          <w:bCs w:val="0"/>
          <w:color w:val="auto"/>
          <w:sz w:val="21"/>
          <w:szCs w:val="21"/>
          <w:highlight w:val="none"/>
          <w:lang w:val="en-US" w:eastAsia="zh-CN"/>
        </w:rPr>
        <w:t>常平</w:t>
      </w:r>
      <w:r>
        <w:rPr>
          <w:rFonts w:hint="eastAsia" w:ascii="宋体" w:hAnsi="宋体" w:eastAsia="宋体" w:cs="宋体"/>
          <w:b w:val="0"/>
          <w:bCs w:val="0"/>
          <w:color w:val="auto"/>
          <w:sz w:val="21"/>
          <w:szCs w:val="21"/>
          <w:highlight w:val="none"/>
          <w:lang w:eastAsia="zh-CN"/>
        </w:rPr>
        <w:t>镇</w:t>
      </w:r>
      <w:r>
        <w:rPr>
          <w:rFonts w:hint="eastAsia" w:ascii="宋体" w:hAnsi="宋体" w:eastAsia="宋体" w:cs="宋体"/>
          <w:b w:val="0"/>
          <w:bCs w:val="0"/>
          <w:color w:val="auto"/>
          <w:sz w:val="21"/>
          <w:szCs w:val="21"/>
          <w:highlight w:val="none"/>
          <w:lang w:val="en-US" w:eastAsia="zh-CN"/>
        </w:rPr>
        <w:t>司马中学</w:t>
      </w:r>
      <w:r>
        <w:rPr>
          <w:rFonts w:hint="eastAsia" w:ascii="宋体" w:hAnsi="宋体" w:eastAsia="宋体" w:cs="宋体"/>
          <w:b w:val="0"/>
          <w:bCs w:val="0"/>
          <w:color w:val="auto"/>
          <w:sz w:val="21"/>
          <w:szCs w:val="21"/>
          <w:highlight w:val="none"/>
        </w:rPr>
        <w:t>食堂用餐提供早餐、午餐、晚餐</w:t>
      </w:r>
      <w:r>
        <w:rPr>
          <w:rFonts w:hint="eastAsia" w:ascii="宋体" w:hAnsi="宋体" w:eastAsia="宋体" w:cs="宋体"/>
          <w:b w:val="0"/>
          <w:bCs w:val="0"/>
          <w:color w:val="auto"/>
          <w:sz w:val="21"/>
          <w:szCs w:val="21"/>
          <w:highlight w:val="none"/>
          <w:lang w:val="en-US" w:eastAsia="zh-CN"/>
        </w:rPr>
        <w:t>和宵夜等</w:t>
      </w:r>
      <w:r>
        <w:rPr>
          <w:rFonts w:hint="eastAsia" w:ascii="宋体" w:hAnsi="宋体" w:eastAsia="宋体" w:cs="宋体"/>
          <w:b w:val="0"/>
          <w:bCs w:val="0"/>
          <w:color w:val="auto"/>
          <w:sz w:val="21"/>
          <w:szCs w:val="21"/>
          <w:highlight w:val="none"/>
        </w:rPr>
        <w:t>食材。</w:t>
      </w:r>
    </w:p>
    <w:p w14:paraId="433FAA33">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由</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为</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供应</w:t>
      </w:r>
      <w:r>
        <w:rPr>
          <w:rFonts w:hint="eastAsia" w:ascii="宋体" w:hAnsi="宋体" w:eastAsia="宋体" w:cs="宋体"/>
          <w:b w:val="0"/>
          <w:bCs w:val="0"/>
          <w:color w:val="auto"/>
          <w:sz w:val="21"/>
          <w:szCs w:val="21"/>
          <w:highlight w:val="none"/>
          <w:lang w:val="en-US" w:eastAsia="zh-CN"/>
        </w:rPr>
        <w:t>相应</w:t>
      </w:r>
      <w:r>
        <w:rPr>
          <w:rFonts w:hint="eastAsia" w:ascii="宋体" w:hAnsi="宋体" w:cs="宋体"/>
          <w:b w:val="0"/>
          <w:bCs w:val="0"/>
          <w:color w:val="auto"/>
          <w:sz w:val="21"/>
          <w:szCs w:val="21"/>
          <w:highlight w:val="none"/>
          <w:lang w:val="en-US" w:eastAsia="zh-CN"/>
        </w:rPr>
        <w:t>种类</w:t>
      </w:r>
      <w:r>
        <w:rPr>
          <w:rFonts w:hint="eastAsia" w:ascii="宋体" w:hAnsi="宋体" w:eastAsia="宋体" w:cs="宋体"/>
          <w:b w:val="0"/>
          <w:bCs w:val="0"/>
          <w:color w:val="auto"/>
          <w:sz w:val="21"/>
          <w:szCs w:val="21"/>
          <w:highlight w:val="none"/>
          <w:lang w:val="en-US" w:eastAsia="zh-CN"/>
        </w:rPr>
        <w:t>的食材</w:t>
      </w:r>
      <w:r>
        <w:rPr>
          <w:rFonts w:hint="eastAsia" w:ascii="宋体" w:hAnsi="宋体" w:eastAsia="宋体" w:cs="宋体"/>
          <w:b w:val="0"/>
          <w:bCs w:val="0"/>
          <w:color w:val="auto"/>
          <w:sz w:val="21"/>
          <w:szCs w:val="21"/>
          <w:highlight w:val="none"/>
        </w:rPr>
        <w:t>。</w:t>
      </w:r>
    </w:p>
    <w:p w14:paraId="4E2D775D">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1.2.3</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按照</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提出的物品订货清单，不论数量多少，必须保证在规定的时间（以</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下达供货通知单为依据</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按照甲方通知的时间送货</w:t>
      </w:r>
      <w:r>
        <w:rPr>
          <w:rFonts w:hint="eastAsia" w:ascii="宋体" w:hAnsi="宋体" w:eastAsia="宋体" w:cs="宋体"/>
          <w:b w:val="0"/>
          <w:bCs w:val="0"/>
          <w:color w:val="auto"/>
          <w:sz w:val="21"/>
          <w:szCs w:val="21"/>
          <w:highlight w:val="none"/>
        </w:rPr>
        <w:t>）、地点（食堂）送货。</w:t>
      </w:r>
    </w:p>
    <w:p w14:paraId="1BE73E2F">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1.2.4</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对</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提出的临时性服务要求应按时、按质、按量将货品送到指定地点。</w:t>
      </w:r>
    </w:p>
    <w:p w14:paraId="6BAD6BCE">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1.2.5</w:t>
      </w:r>
      <w:r>
        <w:rPr>
          <w:rFonts w:hint="eastAsia" w:ascii="宋体" w:hAnsi="宋体" w:eastAsia="宋体" w:cs="宋体"/>
          <w:b w:val="0"/>
          <w:bCs w:val="0"/>
          <w:color w:val="auto"/>
          <w:sz w:val="21"/>
          <w:szCs w:val="21"/>
          <w:highlight w:val="none"/>
        </w:rPr>
        <w:t>所供的货物必须符合《中华人民共和国食品安全法》要求。</w:t>
      </w:r>
    </w:p>
    <w:p w14:paraId="323F2BBC">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6</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不得将中标项目转包、分包，否则</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有权单方终止合同，由此产生的一</w:t>
      </w:r>
    </w:p>
    <w:p w14:paraId="09379604">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切经济损失由</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自行承担。</w:t>
      </w:r>
    </w:p>
    <w:p w14:paraId="31421A59">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7由于</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工作的特殊性，</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应做好本单位工作人员的教育工作，遵守</w:t>
      </w:r>
      <w:r>
        <w:rPr>
          <w:rFonts w:hint="eastAsia" w:ascii="宋体" w:hAnsi="宋体" w:eastAsia="宋体" w:cs="宋体"/>
          <w:b w:val="0"/>
          <w:bCs w:val="0"/>
          <w:color w:val="auto"/>
          <w:sz w:val="21"/>
          <w:szCs w:val="21"/>
          <w:highlight w:val="none"/>
          <w:lang w:eastAsia="zh-CN"/>
        </w:rPr>
        <w:t>甲方</w:t>
      </w:r>
    </w:p>
    <w:p w14:paraId="10A855D0">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各项规定，并有明确的服务标准和规范的服务细则。</w:t>
      </w:r>
    </w:p>
    <w:p w14:paraId="7E31DDC9">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8</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提供的货物必须出示真实有效的检验合格报告。凡国家有明文规定的必须提</w:t>
      </w:r>
    </w:p>
    <w:p w14:paraId="4FCD2B86">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供产品检验报告交</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存档。</w:t>
      </w:r>
    </w:p>
    <w:p w14:paraId="40E44B5A">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bCs/>
          <w:color w:val="auto"/>
          <w:sz w:val="21"/>
          <w:szCs w:val="21"/>
          <w:highlight w:val="none"/>
        </w:rPr>
      </w:pPr>
      <w:r>
        <w:rPr>
          <w:rFonts w:hint="eastAsia" w:ascii="宋体" w:hAnsi="宋体" w:cs="宋体"/>
          <w:b w:val="0"/>
          <w:bCs w:val="0"/>
          <w:color w:val="auto"/>
          <w:sz w:val="21"/>
          <w:szCs w:val="21"/>
          <w:highlight w:val="none"/>
          <w:lang w:val="en-US" w:eastAsia="zh-CN"/>
        </w:rPr>
        <w:t>1.2.</w:t>
      </w:r>
      <w:r>
        <w:rPr>
          <w:rFonts w:hint="eastAsia" w:ascii="宋体" w:hAnsi="宋体" w:eastAsia="宋体" w:cs="宋体"/>
          <w:b/>
          <w:bCs/>
          <w:color w:val="auto"/>
          <w:sz w:val="21"/>
          <w:szCs w:val="21"/>
          <w:highlight w:val="none"/>
        </w:rPr>
        <w:t>9★</w:t>
      </w:r>
      <w:r>
        <w:rPr>
          <w:rFonts w:hint="eastAsia" w:ascii="宋体" w:hAnsi="宋体" w:eastAsia="宋体" w:cs="宋体"/>
          <w:b/>
          <w:bCs/>
          <w:color w:val="auto"/>
          <w:sz w:val="21"/>
          <w:szCs w:val="21"/>
          <w:highlight w:val="none"/>
          <w:lang w:eastAsia="zh-CN"/>
        </w:rPr>
        <w:t>乙方</w:t>
      </w:r>
      <w:r>
        <w:rPr>
          <w:rFonts w:hint="eastAsia" w:ascii="宋体" w:hAnsi="宋体" w:eastAsia="宋体" w:cs="宋体"/>
          <w:b/>
          <w:bCs/>
          <w:color w:val="auto"/>
          <w:sz w:val="21"/>
          <w:szCs w:val="21"/>
          <w:highlight w:val="none"/>
        </w:rPr>
        <w:t>须符合国家相关规定，服从</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和市场监督部门的监督管理及要求，配 合</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及时更新所提供的符合市场监督部门的有效证明材料，如营业执照、产品合格证、食品经营许可证、备案等。</w:t>
      </w:r>
    </w:p>
    <w:p w14:paraId="12267569">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rPr>
        <w:t>本项目执行过程中应遵循国家、省、市有关法律、法规、标准、技术规范和规范性文件的最新规定。如同一参数标准在不同的规定中有不一致的地方，按最高标准执行。</w:t>
      </w:r>
    </w:p>
    <w:p w14:paraId="6AD36C40">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r>
        <w:rPr>
          <w:rFonts w:hint="eastAsia" w:ascii="宋体" w:hAnsi="宋体" w:eastAsia="宋体" w:cs="宋体"/>
          <w:color w:val="auto"/>
          <w:sz w:val="21"/>
          <w:szCs w:val="21"/>
          <w:highlight w:val="none"/>
          <w:lang w:val="en-US" w:eastAsia="zh-CN"/>
        </w:rPr>
        <w:t>食材安全保障措施</w:t>
      </w:r>
    </w:p>
    <w:p w14:paraId="12482B05">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必须遵守国家规定的《中华人民共和国食品安全法》、《中华人民共和国农产品质量安全法》等法律和行政法规的规定，提供的货品必须符合国家有关卫生标准，保质、保量、保鲜，严禁配送假冒、变质、过期的农副产品。不合格的货品，</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必须包退包换。</w:t>
      </w:r>
    </w:p>
    <w:p w14:paraId="046763C1">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应充分理解并认真遵循本招标文件的要求，所提供的货物必须满足招标文件要求。</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应保证供应的货品均为正规生产的新鲜（冰鲜除外）</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检验合格、无毒、无辐射、 无侵权货品，符合国家有关卫生、质量、包装和保质标准，保质期超过15日的，其剩余保质期不得少于标注保质期的75%。</w:t>
      </w:r>
    </w:p>
    <w:p w14:paraId="5721475E">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提供的鲜鱼、肉类保证每日新鲜，提供的猪肉牛肉羊肉均为东莞市定点屠宰厂（场）经检疫和肉品品质检验合格的产品，具有由定点屠宰厂（场）加盖验讫印章并出具 《畜产品检验证明》或《动物检疫合格证明》，所有产品均可追索。</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提供的蔬菜必须保证每日新鲜，优先选择取得无公害认证产品，符合《中华人民共和国食品安全法》要求并出具有效的《农产品检验报告》。配送的农副产品经相关检验部门检验超标的，要求</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无条件换货。</w:t>
      </w:r>
    </w:p>
    <w:p w14:paraId="6537317E">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保证所提供的鲜肉类、生禽、鲜水产、蔬菜种类的多样性和季节性，以保证</w:t>
      </w:r>
    </w:p>
    <w:p w14:paraId="6B953723">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新鲜感。</w:t>
      </w:r>
    </w:p>
    <w:p w14:paraId="0EF155A8">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货物有包装的，货物的包装必须完整清洁（无损、无污、无皱），</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有权拒收</w:t>
      </w:r>
    </w:p>
    <w:p w14:paraId="6CAB4A71">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包装不整齐、已拆封的商品。</w:t>
      </w:r>
    </w:p>
    <w:p w14:paraId="045A86D2">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发现商品出现损坏（包括表面损坏），或出现水渍、串味、受潮等导致货物</w:t>
      </w:r>
    </w:p>
    <w:p w14:paraId="3B3E8046">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性质改变的，</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必须无条件退货或更换商品。</w:t>
      </w:r>
    </w:p>
    <w:p w14:paraId="07D2832E">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提供过期、变质的、有毒食材的，一经发现，除按</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要求无条件退货或换货外，还将受到如下处罚：</w:t>
      </w:r>
    </w:p>
    <w:p w14:paraId="3C1E1518">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1.3.7.1</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提供过期、变质食材的，</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有权要求无条件退货或换货，</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将被</w:t>
      </w:r>
    </w:p>
    <w:p w14:paraId="0ACF46C2">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处以当次供应食材货款 2 倍的罚款，罚款由供货结算款内扣除。如提供过期、变质食材的累计达三次，</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有权单方终止合同，并要求</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进行任何赔偿。</w:t>
      </w:r>
    </w:p>
    <w:p w14:paraId="1089DB14">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1.3.7.2</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若提供有毒食材，造成食材安全事故的，经有关单位鉴定原因后，如确实为</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提供的食材问题，</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须负担全数的医药费、精神损害等费用，</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有权终止合同，</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同时承担相应的民事及刑事法律责任及放弃先诉抗辩权，并立即终止合同。</w:t>
      </w:r>
    </w:p>
    <w:p w14:paraId="4D3632D0">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应做好货物的安全管理工作。</w:t>
      </w:r>
      <w:r>
        <w:rPr>
          <w:rFonts w:hint="eastAsia" w:ascii="宋体" w:hAnsi="宋体" w:eastAsia="宋体" w:cs="宋体"/>
          <w:color w:val="auto"/>
          <w:spacing w:val="-10"/>
          <w:sz w:val="21"/>
          <w:szCs w:val="21"/>
          <w:highlight w:val="none"/>
          <w:lang w:val="en-US" w:eastAsia="zh-CN"/>
        </w:rPr>
        <w:t>并积极</w:t>
      </w:r>
      <w:r>
        <w:rPr>
          <w:rFonts w:hint="eastAsia" w:ascii="宋体" w:hAnsi="宋体" w:eastAsia="宋体" w:cs="宋体"/>
          <w:color w:val="auto"/>
          <w:spacing w:val="-10"/>
          <w:sz w:val="21"/>
          <w:szCs w:val="21"/>
          <w:highlight w:val="none"/>
        </w:rPr>
        <w:t>配合</w:t>
      </w:r>
      <w:r>
        <w:rPr>
          <w:rFonts w:hint="eastAsia" w:ascii="宋体" w:hAnsi="宋体" w:eastAsia="宋体" w:cs="宋体"/>
          <w:color w:val="auto"/>
          <w:spacing w:val="-10"/>
          <w:sz w:val="21"/>
          <w:szCs w:val="21"/>
          <w:highlight w:val="none"/>
          <w:lang w:val="en-US" w:eastAsia="zh-CN"/>
        </w:rPr>
        <w:t>甲方</w:t>
      </w:r>
      <w:r>
        <w:rPr>
          <w:rFonts w:hint="eastAsia" w:ascii="宋体" w:hAnsi="宋体" w:eastAsia="宋体" w:cs="宋体"/>
          <w:color w:val="auto"/>
          <w:spacing w:val="-10"/>
          <w:sz w:val="21"/>
          <w:szCs w:val="21"/>
          <w:highlight w:val="none"/>
          <w:lang w:eastAsia="zh-CN"/>
        </w:rPr>
        <w:t>、</w:t>
      </w:r>
      <w:r>
        <w:rPr>
          <w:rFonts w:hint="eastAsia" w:ascii="宋体" w:hAnsi="宋体" w:eastAsia="宋体" w:cs="宋体"/>
          <w:color w:val="auto"/>
          <w:spacing w:val="-10"/>
          <w:sz w:val="21"/>
          <w:szCs w:val="21"/>
          <w:highlight w:val="none"/>
          <w:lang w:val="en-US" w:eastAsia="zh-CN"/>
        </w:rPr>
        <w:t>市场监管部门、</w:t>
      </w:r>
      <w:r>
        <w:rPr>
          <w:rFonts w:hint="eastAsia" w:ascii="宋体" w:hAnsi="宋体" w:eastAsia="宋体" w:cs="宋体"/>
          <w:color w:val="auto"/>
          <w:spacing w:val="-10"/>
          <w:sz w:val="21"/>
          <w:szCs w:val="21"/>
          <w:highlight w:val="none"/>
        </w:rPr>
        <w:t>审计</w:t>
      </w:r>
      <w:r>
        <w:rPr>
          <w:rFonts w:hint="eastAsia" w:ascii="宋体" w:hAnsi="宋体" w:eastAsia="宋体" w:cs="宋体"/>
          <w:color w:val="auto"/>
          <w:spacing w:val="-10"/>
          <w:sz w:val="21"/>
          <w:szCs w:val="21"/>
          <w:highlight w:val="none"/>
          <w:lang w:val="en-US" w:eastAsia="zh-CN"/>
        </w:rPr>
        <w:t>部门的</w:t>
      </w:r>
      <w:r>
        <w:rPr>
          <w:rFonts w:hint="eastAsia" w:ascii="宋体" w:hAnsi="宋体" w:eastAsia="宋体" w:cs="宋体"/>
          <w:color w:val="auto"/>
          <w:spacing w:val="-10"/>
          <w:sz w:val="21"/>
          <w:szCs w:val="21"/>
          <w:highlight w:val="none"/>
        </w:rPr>
        <w:t>检查。</w:t>
      </w:r>
    </w:p>
    <w:p w14:paraId="6D31E949">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食材配送管理必须建立出入库台账，做到票据溯源，且每</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个月须按照</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要求整理报表，食材需提供第三方的检测报告。</w:t>
      </w:r>
    </w:p>
    <w:p w14:paraId="6293430F">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0</w:t>
      </w:r>
      <w:r>
        <w:rPr>
          <w:rFonts w:hint="eastAsia" w:ascii="宋体" w:hAnsi="宋体" w:eastAsia="宋体" w:cs="宋体"/>
          <w:b/>
          <w:bCs/>
          <w:color w:val="auto"/>
          <w:sz w:val="21"/>
          <w:szCs w:val="21"/>
          <w:highlight w:val="none"/>
        </w:rPr>
        <w:t>禁止</w:t>
      </w:r>
      <w:r>
        <w:rPr>
          <w:rFonts w:hint="eastAsia" w:ascii="宋体" w:hAnsi="宋体" w:eastAsia="宋体" w:cs="宋体"/>
          <w:b/>
          <w:bCs/>
          <w:color w:val="auto"/>
          <w:sz w:val="21"/>
          <w:szCs w:val="21"/>
          <w:highlight w:val="none"/>
          <w:lang w:val="en-US" w:eastAsia="zh-CN"/>
        </w:rPr>
        <w:t>提供</w:t>
      </w:r>
      <w:r>
        <w:rPr>
          <w:rFonts w:hint="eastAsia" w:ascii="宋体" w:hAnsi="宋体" w:eastAsia="宋体" w:cs="宋体"/>
          <w:b/>
          <w:bCs/>
          <w:color w:val="auto"/>
          <w:sz w:val="21"/>
          <w:szCs w:val="21"/>
          <w:highlight w:val="none"/>
        </w:rPr>
        <w:t>转基因食材、过期</w:t>
      </w:r>
      <w:r>
        <w:rPr>
          <w:rFonts w:hint="eastAsia" w:ascii="宋体" w:hAnsi="宋体" w:eastAsia="宋体" w:cs="宋体"/>
          <w:b/>
          <w:bCs/>
          <w:color w:val="auto"/>
          <w:sz w:val="21"/>
          <w:szCs w:val="21"/>
          <w:highlight w:val="none"/>
          <w:lang w:val="en-US" w:eastAsia="zh-CN"/>
        </w:rPr>
        <w:t>/临期</w:t>
      </w:r>
      <w:r>
        <w:rPr>
          <w:rFonts w:hint="eastAsia" w:ascii="宋体" w:hAnsi="宋体" w:eastAsia="宋体" w:cs="宋体"/>
          <w:b/>
          <w:bCs/>
          <w:color w:val="auto"/>
          <w:sz w:val="21"/>
          <w:szCs w:val="21"/>
          <w:highlight w:val="none"/>
        </w:rPr>
        <w:t>食品或添加剂超标的调味品。</w:t>
      </w:r>
    </w:p>
    <w:p w14:paraId="5BD54D58">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★因本项目为食材配送服务，可能因疏忽或过失致使食物中毒或其他食源性疾患， 或因食物中掺有异物，造成人身损害或财产损失，为保证</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权益，</w:t>
      </w:r>
      <w:r>
        <w:rPr>
          <w:rFonts w:hint="eastAsia" w:ascii="宋体" w:hAnsi="宋体" w:eastAsia="宋体" w:cs="宋体"/>
          <w:b/>
          <w:bCs/>
          <w:color w:val="auto"/>
          <w:sz w:val="21"/>
          <w:szCs w:val="21"/>
          <w:highlight w:val="none"/>
          <w:lang w:eastAsia="zh-CN"/>
        </w:rPr>
        <w:t>乙方</w:t>
      </w:r>
      <w:r>
        <w:rPr>
          <w:rFonts w:hint="eastAsia" w:ascii="宋体" w:hAnsi="宋体" w:eastAsia="宋体" w:cs="宋体"/>
          <w:b/>
          <w:bCs/>
          <w:color w:val="auto"/>
          <w:sz w:val="21"/>
          <w:szCs w:val="21"/>
          <w:highlight w:val="none"/>
        </w:rPr>
        <w:t>须以承诺函  形式承诺：中标后为</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提供一份以</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 xml:space="preserve">为受益人、额度不低于人民币 </w:t>
      </w:r>
      <w:r>
        <w:rPr>
          <w:rFonts w:hint="eastAsia" w:ascii="宋体" w:hAnsi="宋体" w:eastAsia="宋体" w:cs="宋体"/>
          <w:b/>
          <w:bCs/>
          <w:color w:val="auto"/>
          <w:sz w:val="21"/>
          <w:szCs w:val="21"/>
          <w:highlight w:val="none"/>
          <w:lang w:val="en-US" w:eastAsia="zh-CN"/>
        </w:rPr>
        <w:t>2亿</w:t>
      </w:r>
      <w:r>
        <w:rPr>
          <w:rFonts w:hint="eastAsia" w:ascii="宋体" w:hAnsi="宋体" w:eastAsia="宋体" w:cs="宋体"/>
          <w:b/>
          <w:bCs/>
          <w:color w:val="auto"/>
          <w:sz w:val="21"/>
          <w:szCs w:val="21"/>
          <w:highlight w:val="none"/>
        </w:rPr>
        <w:t xml:space="preserve">元（含 </w:t>
      </w:r>
      <w:r>
        <w:rPr>
          <w:rFonts w:hint="eastAsia" w:ascii="宋体" w:hAnsi="宋体" w:eastAsia="宋体" w:cs="宋体"/>
          <w:b/>
          <w:bCs/>
          <w:color w:val="auto"/>
          <w:sz w:val="21"/>
          <w:szCs w:val="21"/>
          <w:highlight w:val="none"/>
          <w:lang w:val="en-US" w:eastAsia="zh-CN"/>
        </w:rPr>
        <w:t>2亿</w:t>
      </w:r>
      <w:r>
        <w:rPr>
          <w:rFonts w:hint="eastAsia" w:ascii="宋体" w:hAnsi="宋体" w:eastAsia="宋体" w:cs="宋体"/>
          <w:b/>
          <w:bCs/>
          <w:color w:val="auto"/>
          <w:sz w:val="21"/>
          <w:szCs w:val="21"/>
          <w:highlight w:val="none"/>
        </w:rPr>
        <w:t>元）的保险（食品安全责任险或公众责任保险），保险承保期限不短于合同有效期。保单需给</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保存。</w:t>
      </w:r>
    </w:p>
    <w:p w14:paraId="16504A69">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lang w:val="en-US" w:eastAsia="zh-CN"/>
        </w:rPr>
        <w:t>食材服务需求</w:t>
      </w:r>
    </w:p>
    <w:p w14:paraId="574184F8">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1.4.1</w:t>
      </w:r>
      <w:r>
        <w:rPr>
          <w:rFonts w:hint="eastAsia" w:ascii="宋体" w:hAnsi="宋体" w:eastAsia="宋体" w:cs="宋体"/>
          <w:b/>
          <w:bCs/>
          <w:color w:val="auto"/>
          <w:sz w:val="21"/>
          <w:szCs w:val="21"/>
          <w:highlight w:val="none"/>
        </w:rPr>
        <w:t>数量要求：</w:t>
      </w:r>
    </w:p>
    <w:p w14:paraId="201DB723">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应保证千克、克的准确性， 以</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的验收数量为准，</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每次随货携带一式两联的送货清单，食材经双方验收后须签字确认，双方各持一份，全部作为收货与货款结算的凭证。</w:t>
      </w:r>
    </w:p>
    <w:p w14:paraId="4F16D90E">
      <w:pPr>
        <w:keepNext w:val="0"/>
        <w:keepLines w:val="0"/>
        <w:pageBreakBefore w:val="0"/>
        <w:widowControl w:val="0"/>
        <w:numPr>
          <w:ilvl w:val="0"/>
          <w:numId w:val="0"/>
        </w:numPr>
        <w:shd w:val="clear" w:color="auto"/>
        <w:kinsoku/>
        <w:wordWrap/>
        <w:overflowPunct/>
        <w:topLinePunct w:val="0"/>
        <w:autoSpaceDE/>
        <w:autoSpaceDN/>
        <w:bidi w:val="0"/>
        <w:adjustRightInd w:val="0"/>
        <w:snapToGrid w:val="0"/>
        <w:spacing w:after="0" w:line="36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cs="宋体"/>
          <w:b/>
          <w:bCs/>
          <w:color w:val="auto"/>
          <w:sz w:val="21"/>
          <w:szCs w:val="21"/>
          <w:highlight w:val="none"/>
          <w:lang w:val="en-US" w:eastAsia="zh-CN"/>
        </w:rPr>
        <w:t>1.4.2</w:t>
      </w:r>
      <w:r>
        <w:rPr>
          <w:rFonts w:hint="eastAsia" w:ascii="宋体" w:hAnsi="宋体" w:eastAsia="宋体" w:cs="宋体"/>
          <w:b/>
          <w:color w:val="auto"/>
          <w:sz w:val="21"/>
          <w:szCs w:val="21"/>
          <w:highlight w:val="none"/>
        </w:rPr>
        <w:t>配送要求</w:t>
      </w:r>
    </w:p>
    <w:p w14:paraId="773A37EA">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1.4.2.</w:t>
      </w:r>
      <w:r>
        <w:rPr>
          <w:rFonts w:hint="eastAsia" w:ascii="宋体" w:hAnsi="宋体" w:eastAsia="宋体" w:cs="宋体"/>
          <w:color w:val="auto"/>
          <w:sz w:val="21"/>
          <w:szCs w:val="21"/>
          <w:highlight w:val="none"/>
        </w:rPr>
        <w:t>1</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须对</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购买的食材进行分类并用器具装载，不得混装，运输过程应采取相应的保鲜防护措施。</w:t>
      </w:r>
      <w:r>
        <w:rPr>
          <w:rFonts w:hint="eastAsia" w:ascii="宋体" w:hAnsi="宋体" w:eastAsia="宋体" w:cs="宋体"/>
          <w:color w:val="auto"/>
          <w:sz w:val="21"/>
          <w:szCs w:val="21"/>
          <w:highlight w:val="none"/>
        </w:rPr>
        <w:t>必须采用符合卫生要求的运载工具，要保持清洁和定期消毒。运输车厢的内仓应为抗腐蚀、防潮，防虫、防鼠的设计，车厢内无不良气味、异味。送货车辆应保持清洁，堆放科学合理，避免造成食材的交叉污染；如对温度有要求的应确定食材的温度，记录送货车辆温度，并记录存档。</w:t>
      </w:r>
    </w:p>
    <w:p w14:paraId="4BC07E96">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1.4.2.</w:t>
      </w:r>
      <w:r>
        <w:rPr>
          <w:rFonts w:hint="eastAsia" w:ascii="宋体" w:hAnsi="宋体" w:eastAsia="宋体" w:cs="宋体"/>
          <w:color w:val="auto"/>
          <w:sz w:val="21"/>
          <w:szCs w:val="21"/>
          <w:highlight w:val="none"/>
        </w:rPr>
        <w:t>2容器要求清洁、干燥、牢固、透气，无污染、无异味、无霉变现象。</w:t>
      </w:r>
    </w:p>
    <w:p w14:paraId="3AD57CC7">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1.4.2.</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鲜肉类、冷冻类、</w:t>
      </w:r>
      <w:r>
        <w:rPr>
          <w:rFonts w:hint="eastAsia" w:ascii="宋体" w:hAnsi="宋体" w:eastAsia="宋体" w:cs="宋体"/>
          <w:color w:val="auto"/>
          <w:sz w:val="21"/>
          <w:szCs w:val="21"/>
          <w:highlight w:val="none"/>
        </w:rPr>
        <w:t>冰鲜类水产品必须用专用冷藏、冷冻载具运输，保证运输过程冷链不中断，到达目的地时外包装箱干爽，无软化现象。</w:t>
      </w:r>
    </w:p>
    <w:p w14:paraId="67D1199D">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1.4.2.</w:t>
      </w:r>
      <w:r>
        <w:rPr>
          <w:rFonts w:hint="eastAsia" w:ascii="宋体" w:hAnsi="宋体" w:eastAsia="宋体" w:cs="宋体"/>
          <w:color w:val="auto"/>
          <w:sz w:val="21"/>
          <w:szCs w:val="21"/>
          <w:highlight w:val="none"/>
        </w:rPr>
        <w:t>4蔬菜应小心轻卸，严防机械损伤。</w:t>
      </w:r>
    </w:p>
    <w:p w14:paraId="036917B3">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1.4.2.</w:t>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要免费提供运送及</w:t>
      </w:r>
      <w:r>
        <w:rPr>
          <w:rFonts w:hint="eastAsia" w:ascii="宋体" w:hAnsi="宋体" w:cs="宋体"/>
          <w:color w:val="auto"/>
          <w:sz w:val="21"/>
          <w:szCs w:val="21"/>
          <w:highlight w:val="none"/>
          <w:lang w:eastAsia="zh-CN"/>
        </w:rPr>
        <w:t>卸货入库</w:t>
      </w:r>
      <w:r>
        <w:rPr>
          <w:rFonts w:hint="eastAsia" w:ascii="宋体" w:hAnsi="宋体" w:eastAsia="宋体" w:cs="宋体"/>
          <w:color w:val="auto"/>
          <w:sz w:val="21"/>
          <w:szCs w:val="21"/>
          <w:highlight w:val="none"/>
        </w:rPr>
        <w:t>服务。</w:t>
      </w:r>
    </w:p>
    <w:p w14:paraId="7C50D4F0">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1.4.2.</w:t>
      </w:r>
      <w:r>
        <w:rPr>
          <w:rFonts w:hint="eastAsia" w:ascii="宋体" w:hAnsi="宋体" w:eastAsia="宋体" w:cs="宋体"/>
          <w:color w:val="auto"/>
          <w:sz w:val="21"/>
          <w:szCs w:val="21"/>
          <w:highlight w:val="none"/>
        </w:rPr>
        <w:t>6必须按照</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要求的货品规格、数量、质量配送，如数量不足的，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应立即补足；如有10%以下（含10%）货品规格、质量不符合要求的，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应对不符合要求的货品进行更换；如有10%以上的货品规格、质量不符合要求的，由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选择整批退货或要求</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按时整批更换。</w:t>
      </w:r>
    </w:p>
    <w:p w14:paraId="714F4373">
      <w:pPr>
        <w:keepNext w:val="0"/>
        <w:keepLines w:val="0"/>
        <w:pageBreakBefore w:val="0"/>
        <w:widowControl w:val="0"/>
        <w:numPr>
          <w:ilvl w:val="0"/>
          <w:numId w:val="0"/>
        </w:numPr>
        <w:shd w:val="clear" w:color="auto"/>
        <w:kinsoku/>
        <w:wordWrap/>
        <w:overflowPunct/>
        <w:topLinePunct w:val="0"/>
        <w:autoSpaceDE/>
        <w:autoSpaceDN/>
        <w:bidi w:val="0"/>
        <w:adjustRightInd w:val="0"/>
        <w:snapToGrid w:val="0"/>
        <w:spacing w:after="0" w:line="36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cs="宋体"/>
          <w:b/>
          <w:bCs/>
          <w:color w:val="auto"/>
          <w:sz w:val="21"/>
          <w:szCs w:val="21"/>
          <w:highlight w:val="none"/>
          <w:lang w:val="en-US" w:eastAsia="zh-CN"/>
        </w:rPr>
        <w:t>1.4.3</w:t>
      </w:r>
      <w:r>
        <w:rPr>
          <w:rFonts w:hint="eastAsia" w:ascii="宋体" w:hAnsi="宋体" w:eastAsia="宋体" w:cs="宋体"/>
          <w:b/>
          <w:color w:val="auto"/>
          <w:sz w:val="21"/>
          <w:szCs w:val="21"/>
          <w:highlight w:val="none"/>
          <w:lang w:eastAsia="zh-CN"/>
        </w:rPr>
        <w:t>乙方</w:t>
      </w:r>
      <w:r>
        <w:rPr>
          <w:rFonts w:hint="eastAsia" w:ascii="宋体" w:hAnsi="宋体" w:eastAsia="宋体" w:cs="宋体"/>
          <w:b/>
          <w:color w:val="auto"/>
          <w:sz w:val="21"/>
          <w:szCs w:val="21"/>
          <w:highlight w:val="none"/>
        </w:rPr>
        <w:t>需设立自有检测室或有固定的送检机构，每种蔬菜每天都要随货提供农药残留的检测报告，食品检测人员或检测机构资料交</w:t>
      </w:r>
      <w:r>
        <w:rPr>
          <w:rFonts w:hint="eastAsia" w:ascii="宋体" w:hAnsi="宋体" w:eastAsia="宋体" w:cs="宋体"/>
          <w:b/>
          <w:color w:val="auto"/>
          <w:sz w:val="21"/>
          <w:szCs w:val="21"/>
          <w:highlight w:val="none"/>
          <w:lang w:eastAsia="zh-CN"/>
        </w:rPr>
        <w:t>甲方</w:t>
      </w:r>
      <w:r>
        <w:rPr>
          <w:rFonts w:hint="eastAsia" w:ascii="宋体" w:hAnsi="宋体" w:eastAsia="宋体" w:cs="宋体"/>
          <w:b/>
          <w:color w:val="auto"/>
          <w:sz w:val="21"/>
          <w:szCs w:val="21"/>
          <w:highlight w:val="none"/>
        </w:rPr>
        <w:t>存档备查。</w:t>
      </w:r>
    </w:p>
    <w:p w14:paraId="5615E52C">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1.4.3.</w:t>
      </w:r>
      <w:r>
        <w:rPr>
          <w:rFonts w:hint="eastAsia" w:ascii="宋体" w:hAnsi="宋体" w:eastAsia="宋体" w:cs="宋体"/>
          <w:color w:val="auto"/>
          <w:sz w:val="21"/>
          <w:szCs w:val="21"/>
          <w:highlight w:val="none"/>
        </w:rPr>
        <w:t>1对食品安全质量问题的处理：</w:t>
      </w:r>
    </w:p>
    <w:p w14:paraId="09653C26">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1.4.3.</w:t>
      </w: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对危及人体健康的食品质量问题（如农药残留超标、腐烂变质等）采取零容忍措施，一经发现，当日所送同批次货品全部退货。</w:t>
      </w:r>
    </w:p>
    <w:p w14:paraId="43A898F6">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1.4.3.</w:t>
      </w: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若验收时未发现问题，而在加工食用前发现部分货品质量有问题，</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立即通知</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，将问题货品作退换货处理。</w:t>
      </w:r>
    </w:p>
    <w:p w14:paraId="5E041D3F">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1.4.3.</w:t>
      </w: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所供应货品出现质量问题造成食品安全事故，经查实后属</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责任的，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应承担全部责任和经济损失。</w:t>
      </w:r>
    </w:p>
    <w:p w14:paraId="35619273">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lang w:val="en-US" w:eastAsia="zh-CN"/>
        </w:rPr>
        <w:t>订货、交货及运输</w:t>
      </w:r>
    </w:p>
    <w:p w14:paraId="71F79A83">
      <w:pPr>
        <w:pageBreakBefore w:val="0"/>
        <w:widowControl w:val="0"/>
        <w:shd w:val="clear" w:color="auto"/>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5.1</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应当根据</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实际情况，按照与</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的约定，在规定的时间内将预定的货物如数送到指定地点。除发生客观不可抗力的情况外，</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不得推迟送货。如确需延迟送货的，</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应在得知情况的同时告知</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并征得</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同意，由于</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延迟造成</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利益受损的，</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有权要求</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赔偿</w:t>
      </w:r>
      <w:r>
        <w:rPr>
          <w:rFonts w:hint="eastAsia" w:ascii="宋体" w:hAnsi="宋体" w:eastAsia="宋体" w:cs="宋体"/>
          <w:bCs/>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合同期内</w:t>
      </w:r>
      <w:r>
        <w:rPr>
          <w:rFonts w:hint="eastAsia" w:ascii="宋体" w:hAnsi="宋体" w:eastAsia="宋体" w:cs="宋体"/>
          <w:b w:val="0"/>
          <w:bCs w:val="0"/>
          <w:color w:val="auto"/>
          <w:sz w:val="21"/>
          <w:szCs w:val="21"/>
          <w:highlight w:val="none"/>
        </w:rPr>
        <w:t>出现3次或以上上述情况的，</w:t>
      </w:r>
      <w:r>
        <w:rPr>
          <w:rFonts w:hint="eastAsia" w:ascii="宋体" w:hAnsi="宋体" w:eastAsia="宋体" w:cs="宋体"/>
          <w:b w:val="0"/>
          <w:bCs w:val="0"/>
          <w:color w:val="auto"/>
          <w:sz w:val="21"/>
          <w:szCs w:val="21"/>
          <w:highlight w:val="none"/>
          <w:lang w:val="en-US" w:eastAsia="zh-CN"/>
        </w:rPr>
        <w:t>从第4次开始，每次</w:t>
      </w:r>
      <w:r>
        <w:rPr>
          <w:rFonts w:hint="eastAsia" w:ascii="宋体" w:hAnsi="宋体" w:eastAsia="宋体" w:cs="宋体"/>
          <w:b w:val="0"/>
          <w:bCs w:val="0"/>
          <w:color w:val="auto"/>
          <w:sz w:val="21"/>
          <w:szCs w:val="21"/>
          <w:highlight w:val="none"/>
        </w:rPr>
        <w:t>处以</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人民币</w:t>
      </w:r>
      <w:r>
        <w:rPr>
          <w:rFonts w:hint="eastAsia" w:ascii="宋体" w:hAnsi="宋体" w:cs="宋体"/>
          <w:b w:val="0"/>
          <w:bCs w:val="0"/>
          <w:color w:val="auto"/>
          <w:sz w:val="21"/>
          <w:szCs w:val="21"/>
          <w:highlight w:val="none"/>
          <w:lang w:eastAsia="zh-CN"/>
        </w:rPr>
        <w:t>2500元</w:t>
      </w:r>
      <w:r>
        <w:rPr>
          <w:rFonts w:hint="eastAsia" w:ascii="宋体" w:hAnsi="宋体" w:eastAsia="宋体" w:cs="宋体"/>
          <w:b w:val="0"/>
          <w:bCs w:val="0"/>
          <w:color w:val="auto"/>
          <w:sz w:val="21"/>
          <w:szCs w:val="21"/>
          <w:highlight w:val="none"/>
        </w:rPr>
        <w:t>罚款，罚款在供货结算款内扣除。</w:t>
      </w:r>
    </w:p>
    <w:p w14:paraId="5F25B1EA">
      <w:pPr>
        <w:pageBreakBefore w:val="0"/>
        <w:widowControl w:val="0"/>
        <w:shd w:val="clear" w:color="auto"/>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订货。</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向</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订购</w:t>
      </w:r>
      <w:r>
        <w:rPr>
          <w:rFonts w:hint="eastAsia" w:ascii="宋体" w:hAnsi="宋体" w:eastAsia="宋体" w:cs="宋体"/>
          <w:b w:val="0"/>
          <w:bCs w:val="0"/>
          <w:color w:val="auto"/>
          <w:sz w:val="21"/>
          <w:szCs w:val="21"/>
          <w:highlight w:val="none"/>
          <w:lang w:val="en-US" w:eastAsia="zh-CN"/>
        </w:rPr>
        <w:t>的食材</w:t>
      </w:r>
      <w:r>
        <w:rPr>
          <w:rFonts w:hint="eastAsia" w:ascii="宋体" w:hAnsi="宋体" w:eastAsia="宋体" w:cs="宋体"/>
          <w:b w:val="0"/>
          <w:bCs w:val="0"/>
          <w:color w:val="auto"/>
          <w:sz w:val="21"/>
          <w:szCs w:val="21"/>
          <w:highlight w:val="none"/>
        </w:rPr>
        <w:t>，以电话、传真或电子邮件或微信等方式下单，订单内容应说明清楚品名、数量、规格、质量和餐次等要求。</w:t>
      </w:r>
    </w:p>
    <w:p w14:paraId="2FB858F8">
      <w:pPr>
        <w:pageBreakBefore w:val="0"/>
        <w:numPr>
          <w:ilvl w:val="0"/>
          <w:numId w:val="0"/>
        </w:numPr>
        <w:shd w:val="clear" w:color="auto"/>
        <w:kinsoku/>
        <w:wordWrap/>
        <w:overflowPunct/>
        <w:topLinePunct w:val="0"/>
        <w:autoSpaceDE/>
        <w:autoSpaceDN/>
        <w:bidi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配送时效</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应当根据</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实际情况，按照与</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的约定，在规定的时间内将预定的货物如数送到指定地点。</w:t>
      </w:r>
      <w:r>
        <w:rPr>
          <w:rFonts w:hint="eastAsia" w:ascii="宋体" w:hAnsi="宋体" w:eastAsia="宋体" w:cs="宋体"/>
          <w:bCs/>
          <w:color w:val="auto"/>
          <w:sz w:val="21"/>
          <w:szCs w:val="21"/>
          <w:highlight w:val="none"/>
        </w:rPr>
        <w:t>具体配送时间以</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实际要求为准。</w:t>
      </w:r>
      <w:r>
        <w:rPr>
          <w:rFonts w:hint="eastAsia" w:ascii="宋体" w:hAnsi="宋体" w:eastAsia="宋体" w:cs="宋体"/>
          <w:b w:val="0"/>
          <w:bCs w:val="0"/>
          <w:color w:val="auto"/>
          <w:sz w:val="21"/>
          <w:szCs w:val="21"/>
          <w:highlight w:val="none"/>
          <w:lang w:val="en-US" w:eastAsia="zh-CN"/>
        </w:rPr>
        <w:t>送达时间误差不超过30分钟。</w:t>
      </w:r>
      <w:r>
        <w:rPr>
          <w:rFonts w:hint="eastAsia" w:ascii="宋体" w:hAnsi="宋体" w:eastAsia="宋体" w:cs="宋体"/>
          <w:b/>
          <w:bCs/>
          <w:color w:val="auto"/>
          <w:sz w:val="21"/>
          <w:szCs w:val="21"/>
          <w:highlight w:val="none"/>
        </w:rPr>
        <w:t>对于临时性采购订单</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节假日或学校活动期间需提前协调</w:t>
      </w:r>
      <w:r>
        <w:rPr>
          <w:rFonts w:hint="eastAsia" w:ascii="宋体" w:hAnsi="宋体" w:eastAsia="宋体" w:cs="宋体"/>
          <w:b/>
          <w:bCs/>
          <w:color w:val="auto"/>
          <w:sz w:val="21"/>
          <w:szCs w:val="21"/>
          <w:highlight w:val="none"/>
          <w:lang w:val="en-US" w:eastAsia="zh-CN"/>
        </w:rPr>
        <w:t>增</w:t>
      </w:r>
      <w:r>
        <w:rPr>
          <w:rFonts w:hint="eastAsia" w:ascii="宋体" w:hAnsi="宋体" w:eastAsia="宋体" w:cs="宋体"/>
          <w:b/>
          <w:bCs/>
          <w:color w:val="auto"/>
          <w:sz w:val="21"/>
          <w:szCs w:val="21"/>
          <w:highlight w:val="none"/>
        </w:rPr>
        <w:t>加</w:t>
      </w:r>
      <w:r>
        <w:rPr>
          <w:rFonts w:hint="eastAsia" w:ascii="宋体" w:hAnsi="宋体" w:eastAsia="宋体" w:cs="宋体"/>
          <w:b/>
          <w:bCs/>
          <w:color w:val="auto"/>
          <w:sz w:val="21"/>
          <w:szCs w:val="21"/>
          <w:highlight w:val="none"/>
          <w:lang w:val="en-US" w:eastAsia="zh-CN"/>
        </w:rPr>
        <w:t>或减少</w:t>
      </w:r>
      <w:r>
        <w:rPr>
          <w:rFonts w:hint="eastAsia" w:ascii="宋体" w:hAnsi="宋体" w:eastAsia="宋体" w:cs="宋体"/>
          <w:b/>
          <w:bCs/>
          <w:color w:val="auto"/>
          <w:sz w:val="21"/>
          <w:szCs w:val="21"/>
          <w:highlight w:val="none"/>
        </w:rPr>
        <w:t>配</w:t>
      </w:r>
      <w:r>
        <w:rPr>
          <w:rFonts w:hint="eastAsia" w:ascii="宋体" w:hAnsi="宋体" w:eastAsia="宋体" w:cs="宋体"/>
          <w:b/>
          <w:bCs/>
          <w:color w:val="auto"/>
          <w:sz w:val="21"/>
          <w:szCs w:val="21"/>
          <w:highlight w:val="none"/>
          <w:lang w:val="en-US" w:eastAsia="zh-CN"/>
        </w:rPr>
        <w:t>送</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 xml:space="preserve"> </w:t>
      </w:r>
    </w:p>
    <w:p w14:paraId="5C16671E">
      <w:pPr>
        <w:keepNext w:val="0"/>
        <w:keepLines w:val="0"/>
        <w:pageBreakBefore w:val="0"/>
        <w:widowControl/>
        <w:numPr>
          <w:ilvl w:val="0"/>
          <w:numId w:val="0"/>
        </w:numPr>
        <w:shd w:val="clear" w:color="auto"/>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kern w:val="2"/>
          <w:sz w:val="21"/>
          <w:szCs w:val="21"/>
          <w:highlight w:val="none"/>
          <w:lang w:val="en-US" w:eastAsia="zh-CN" w:bidi="ar-SA"/>
        </w:rPr>
        <w:t>4</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在发货前，应对货品的外观质量、规格、数量等进行准确和全面的检验。</w:t>
      </w:r>
    </w:p>
    <w:p w14:paraId="265BE2F9">
      <w:pPr>
        <w:keepNext w:val="0"/>
        <w:keepLines w:val="0"/>
        <w:pageBreakBefore w:val="0"/>
        <w:widowControl/>
        <w:numPr>
          <w:ilvl w:val="0"/>
          <w:numId w:val="0"/>
        </w:numPr>
        <w:shd w:val="clear" w:color="auto"/>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color w:val="auto"/>
          <w:kern w:val="2"/>
          <w:sz w:val="21"/>
          <w:szCs w:val="21"/>
          <w:highlight w:val="none"/>
          <w:lang w:val="en-US" w:eastAsia="zh-CN" w:bidi="ar-SA"/>
        </w:rPr>
        <w:t>5</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的送货单必须详细注明商品的品牌、品种、单价、数量、送货单不得涂改。标记不清的，</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将拒绝签收。结算期末</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还应提供送货清单供</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结算。</w:t>
      </w:r>
    </w:p>
    <w:p w14:paraId="3EBBBB4F">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负责货品配送前的仓储，</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不提供仓库。</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须准时送货到</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指定地点，</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不另行支付配送交通费。</w:t>
      </w:r>
    </w:p>
    <w:p w14:paraId="42B088B7">
      <w:pPr>
        <w:pageBreakBefore w:val="0"/>
        <w:widowControl w:val="0"/>
        <w:shd w:val="clear" w:color="auto"/>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在</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签收之前，货物的所有权和风险属于</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，货物发生遗失、损坏由</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负责。</w:t>
      </w:r>
    </w:p>
    <w:p w14:paraId="6FF2321B">
      <w:pPr>
        <w:pageBreakBefore w:val="0"/>
        <w:widowControl w:val="0"/>
        <w:shd w:val="clear" w:color="auto"/>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须严格按照</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的订单配送货品，不得随意增减数量或改变品种。如因市场流通问题确实需要变更供货内容的，</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应在得知情况的同时书面告知</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并征得</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同意后方可变更，否则，</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有权拒收，由此产生的一切损失和费用由</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承担。</w:t>
      </w:r>
    </w:p>
    <w:p w14:paraId="7EACF6FF">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应设专人服务、跟踪、对账、快速处理突发事件。对送货过程中出现货不对</w:t>
      </w:r>
    </w:p>
    <w:p w14:paraId="648C318B">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板或达不到订单注明质量要求的品种，以及</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根据就餐需要临时加补的品种，</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应在</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指定的时间补送到位，保证</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的正常就餐时间。</w:t>
      </w:r>
    </w:p>
    <w:p w14:paraId="3095943B">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产品储存及原材料配备要求</w:t>
      </w:r>
    </w:p>
    <w:p w14:paraId="1EF9D21D">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10</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应做好产品储存方案及原料配备；</w:t>
      </w:r>
    </w:p>
    <w:p w14:paraId="14AABF87">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10</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应具备安全、无害的贮存场所、容器、工具和设备，并保持清洁；</w:t>
      </w:r>
    </w:p>
    <w:p w14:paraId="230D4BD0">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10</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要确保产品质量，保持食材原材料在储存期间的使用价值。</w:t>
      </w:r>
    </w:p>
    <w:p w14:paraId="60457934">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w:t>
      </w:r>
      <w:r>
        <w:rPr>
          <w:rFonts w:hint="eastAsia" w:ascii="宋体" w:hAnsi="宋体" w:eastAsia="宋体" w:cs="宋体"/>
          <w:color w:val="auto"/>
          <w:sz w:val="21"/>
          <w:szCs w:val="21"/>
          <w:highlight w:val="none"/>
          <w:lang w:val="en-US" w:eastAsia="zh-CN"/>
        </w:rPr>
        <w:t>乙方责任</w:t>
      </w:r>
    </w:p>
    <w:p w14:paraId="288BA841">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lang w:val="en-US" w:eastAsia="zh-CN"/>
        </w:rPr>
        <w:t>负责跟进本采购项目</w:t>
      </w:r>
      <w:r>
        <w:rPr>
          <w:rFonts w:hint="eastAsia" w:ascii="宋体" w:hAnsi="宋体" w:eastAsia="宋体" w:cs="宋体"/>
          <w:b w:val="0"/>
          <w:bCs w:val="0"/>
          <w:color w:val="auto"/>
          <w:sz w:val="21"/>
          <w:szCs w:val="21"/>
          <w:highlight w:val="none"/>
        </w:rPr>
        <w:t>的服务人员必须经卫生防疫部门检查和培训，</w:t>
      </w:r>
      <w:r>
        <w:rPr>
          <w:rFonts w:hint="eastAsia" w:ascii="宋体" w:hAnsi="宋体" w:eastAsia="宋体" w:cs="宋体"/>
          <w:b w:val="0"/>
          <w:bCs w:val="0"/>
          <w:color w:val="auto"/>
          <w:sz w:val="21"/>
          <w:szCs w:val="21"/>
          <w:highlight w:val="none"/>
          <w:lang w:val="en-US" w:eastAsia="zh-CN"/>
        </w:rPr>
        <w:t>没有肝炎、肺结核、皮肤病等传染病，</w:t>
      </w:r>
      <w:r>
        <w:rPr>
          <w:rFonts w:hint="eastAsia" w:ascii="宋体" w:hAnsi="宋体" w:eastAsia="宋体" w:cs="宋体"/>
          <w:b w:val="0"/>
          <w:bCs w:val="0"/>
          <w:color w:val="auto"/>
          <w:sz w:val="21"/>
          <w:szCs w:val="21"/>
          <w:highlight w:val="none"/>
        </w:rPr>
        <w:t>持有健康证上岗，必须穿着便于辨认的工衣和配戴胸卡，送货专员在</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单位活动必须严格遵守</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单位各项规章制度，不得做出有损</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形象和利益的事情。</w:t>
      </w:r>
      <w:r>
        <w:rPr>
          <w:rFonts w:hint="eastAsia" w:ascii="宋体" w:hAnsi="宋体" w:eastAsia="宋体" w:cs="宋体"/>
          <w:b w:val="0"/>
          <w:bCs w:val="0"/>
          <w:color w:val="auto"/>
          <w:sz w:val="21"/>
          <w:szCs w:val="21"/>
          <w:highlight w:val="none"/>
          <w:lang w:val="en-US" w:eastAsia="zh-CN"/>
        </w:rPr>
        <w:t>与从事本项目服务相关的证照在本次采购服务持续期间应保持有效。</w:t>
      </w:r>
    </w:p>
    <w:p w14:paraId="06612AF2">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运送货物时须对场地内的设备、设施有良好保护措施，若</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在配送过程</w:t>
      </w:r>
    </w:p>
    <w:p w14:paraId="10355F62">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中损坏</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的物品，</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应照价赔偿。</w:t>
      </w:r>
    </w:p>
    <w:p w14:paraId="1540742B">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 w:val="0"/>
          <w:bCs w:val="0"/>
          <w:color w:val="auto"/>
          <w:sz w:val="21"/>
          <w:szCs w:val="21"/>
          <w:highlight w:val="none"/>
        </w:rPr>
        <w:t>3</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不得泄露</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的商业秘密。泄密造成</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损失的或声誉损害的，</w:t>
      </w:r>
      <w:r>
        <w:rPr>
          <w:rFonts w:hint="eastAsia" w:ascii="宋体" w:hAnsi="宋体" w:eastAsia="宋体" w:cs="宋体"/>
          <w:b w:val="0"/>
          <w:bCs w:val="0"/>
          <w:color w:val="auto"/>
          <w:sz w:val="21"/>
          <w:szCs w:val="21"/>
          <w:highlight w:val="none"/>
          <w:lang w:eastAsia="zh-CN"/>
        </w:rPr>
        <w:t>乙方</w:t>
      </w:r>
    </w:p>
    <w:p w14:paraId="330BB35C">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将承担由此产生的一切损失和法律责任。</w:t>
      </w:r>
    </w:p>
    <w:p w14:paraId="157A1229">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的</w:t>
      </w:r>
      <w:r>
        <w:rPr>
          <w:rFonts w:hint="eastAsia" w:ascii="宋体" w:hAnsi="宋体" w:cs="宋体"/>
          <w:b w:val="0"/>
          <w:bCs w:val="0"/>
          <w:color w:val="auto"/>
          <w:sz w:val="21"/>
          <w:szCs w:val="21"/>
          <w:highlight w:val="none"/>
          <w:lang w:val="en-US" w:eastAsia="zh-CN"/>
        </w:rPr>
        <w:t>采购</w:t>
      </w:r>
      <w:r>
        <w:rPr>
          <w:rFonts w:hint="eastAsia" w:ascii="宋体" w:hAnsi="宋体" w:eastAsia="宋体" w:cs="宋体"/>
          <w:b w:val="0"/>
          <w:bCs w:val="0"/>
          <w:color w:val="auto"/>
          <w:sz w:val="21"/>
          <w:szCs w:val="21"/>
          <w:highlight w:val="none"/>
        </w:rPr>
        <w:t>员不得给</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负责合约洽谈、价格监督、食材验收的人员任何好处，如查实有上述情况，取消</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配送资格。</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可向</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举报</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相关人员故意刁难及索取好处的行为，经</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查实，相关人员</w:t>
      </w:r>
      <w:r>
        <w:rPr>
          <w:rFonts w:hint="eastAsia" w:ascii="宋体" w:hAnsi="宋体" w:eastAsia="宋体" w:cs="宋体"/>
          <w:b w:val="0"/>
          <w:bCs w:val="0"/>
          <w:color w:val="auto"/>
          <w:sz w:val="21"/>
          <w:szCs w:val="21"/>
          <w:highlight w:val="none"/>
          <w:lang w:val="en-US" w:eastAsia="zh-CN"/>
        </w:rPr>
        <w:t>由甲方按照甲方的管理制度处置</w:t>
      </w:r>
      <w:r>
        <w:rPr>
          <w:rFonts w:hint="eastAsia" w:ascii="宋体" w:hAnsi="宋体" w:eastAsia="宋体" w:cs="宋体"/>
          <w:b w:val="0"/>
          <w:bCs w:val="0"/>
          <w:color w:val="auto"/>
          <w:sz w:val="21"/>
          <w:szCs w:val="21"/>
          <w:highlight w:val="none"/>
        </w:rPr>
        <w:t>。</w:t>
      </w:r>
    </w:p>
    <w:p w14:paraId="369FFB62">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bCs/>
          <w:color w:val="auto"/>
          <w:sz w:val="21"/>
          <w:szCs w:val="21"/>
          <w:highlight w:val="none"/>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对应急食材及政府扶贫农副产品采购有自主权，</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有权直接采购，不受</w:t>
      </w:r>
      <w:r>
        <w:rPr>
          <w:rFonts w:hint="eastAsia" w:ascii="宋体" w:hAnsi="宋体" w:eastAsia="宋体" w:cs="宋体"/>
          <w:b/>
          <w:bCs/>
          <w:color w:val="auto"/>
          <w:sz w:val="21"/>
          <w:szCs w:val="21"/>
          <w:highlight w:val="none"/>
          <w:lang w:eastAsia="zh-CN"/>
        </w:rPr>
        <w:t>乙方</w:t>
      </w:r>
      <w:r>
        <w:rPr>
          <w:rFonts w:hint="eastAsia" w:ascii="宋体" w:hAnsi="宋体" w:eastAsia="宋体" w:cs="宋体"/>
          <w:b/>
          <w:bCs/>
          <w:color w:val="auto"/>
          <w:sz w:val="21"/>
          <w:szCs w:val="21"/>
          <w:highlight w:val="none"/>
        </w:rPr>
        <w:t>和本项目制约。为贯彻落实党中央、国务院和广东省委、省政府关于打赢脱贫攻坚战的有关决策部署，在本项目饭堂食材配送服务期内，</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或</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委托</w:t>
      </w:r>
      <w:r>
        <w:rPr>
          <w:rFonts w:hint="eastAsia" w:ascii="宋体" w:hAnsi="宋体" w:eastAsia="宋体" w:cs="宋体"/>
          <w:b/>
          <w:bCs/>
          <w:color w:val="auto"/>
          <w:sz w:val="21"/>
          <w:szCs w:val="21"/>
          <w:highlight w:val="none"/>
          <w:lang w:eastAsia="zh-CN"/>
        </w:rPr>
        <w:t>乙方</w:t>
      </w:r>
      <w:r>
        <w:rPr>
          <w:rFonts w:hint="eastAsia" w:ascii="宋体" w:hAnsi="宋体" w:eastAsia="宋体" w:cs="宋体"/>
          <w:b/>
          <w:bCs/>
          <w:color w:val="auto"/>
          <w:sz w:val="21"/>
          <w:szCs w:val="21"/>
          <w:highlight w:val="none"/>
        </w:rPr>
        <w:t>通过脱贫地区农副产品网络销售平台（832 平台）预留不少于10%的比例采购脱贫地区农副产品 或通过广东省政府采购扶贫馆平台等政府部门认可的平台采购部分既定预留份额的食堂食材，</w:t>
      </w:r>
      <w:r>
        <w:rPr>
          <w:rFonts w:hint="eastAsia" w:ascii="宋体" w:hAnsi="宋体" w:eastAsia="宋体" w:cs="宋体"/>
          <w:b/>
          <w:bCs/>
          <w:color w:val="auto"/>
          <w:sz w:val="21"/>
          <w:szCs w:val="21"/>
          <w:highlight w:val="none"/>
          <w:lang w:eastAsia="zh-CN"/>
        </w:rPr>
        <w:t>乙方</w:t>
      </w:r>
      <w:r>
        <w:rPr>
          <w:rFonts w:hint="eastAsia" w:ascii="宋体" w:hAnsi="宋体" w:eastAsia="宋体" w:cs="宋体"/>
          <w:b/>
          <w:bCs/>
          <w:color w:val="auto"/>
          <w:sz w:val="21"/>
          <w:szCs w:val="21"/>
          <w:highlight w:val="none"/>
        </w:rPr>
        <w:t>必须无条件配合，</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对此不承担任何经济补偿或违约责任。</w:t>
      </w:r>
    </w:p>
    <w:p w14:paraId="06EEDEB3">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乙方</w:t>
      </w:r>
      <w:r>
        <w:rPr>
          <w:rFonts w:hint="eastAsia" w:ascii="宋体" w:hAnsi="宋体" w:eastAsia="宋体" w:cs="宋体"/>
          <w:b/>
          <w:bCs/>
          <w:color w:val="auto"/>
          <w:sz w:val="21"/>
          <w:szCs w:val="21"/>
          <w:highlight w:val="none"/>
        </w:rPr>
        <w:t>须承诺遇台风、暴雨等意外造成停课的，所有已订食材须无条件接受退回。</w:t>
      </w:r>
    </w:p>
    <w:p w14:paraId="1D039165">
      <w:pPr>
        <w:pageBreakBefore w:val="0"/>
        <w:widowControl w:val="0"/>
        <w:shd w:val="clear" w:color="auto"/>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必须服从</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的监督、管理，配合</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到农场基地、食物配送点进行现场考察。</w:t>
      </w:r>
    </w:p>
    <w:p w14:paraId="5E1CAD3A">
      <w:pPr>
        <w:pageBreakBefore w:val="0"/>
        <w:widowControl w:val="0"/>
        <w:shd w:val="clear" w:color="auto"/>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食品供应链要求：所有食品的来源必须清晰可追溯和追责。</w:t>
      </w:r>
    </w:p>
    <w:p w14:paraId="45157308">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w:t>
      </w:r>
      <w:r>
        <w:rPr>
          <w:rFonts w:hint="eastAsia" w:ascii="宋体" w:hAnsi="宋体" w:eastAsia="宋体" w:cs="宋体"/>
          <w:color w:val="auto"/>
          <w:sz w:val="21"/>
          <w:szCs w:val="21"/>
          <w:highlight w:val="none"/>
          <w:lang w:val="en-US" w:eastAsia="zh-CN"/>
        </w:rPr>
        <w:t>企业管理制度</w:t>
      </w:r>
    </w:p>
    <w:p w14:paraId="09E88A4C">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1.7.</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应具备有利于本项目实施的管理服务理念与管理模式；</w:t>
      </w:r>
    </w:p>
    <w:p w14:paraId="29C206B5">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1.7.</w:t>
      </w: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应具备完善的组织管理架构及岗位职责；</w:t>
      </w:r>
    </w:p>
    <w:p w14:paraId="2BA138C8">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1.8应急处理要求</w:t>
      </w:r>
    </w:p>
    <w:p w14:paraId="768C285C">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应具备完善的应急处理方案，包括但不限于下列要求：</w:t>
      </w:r>
    </w:p>
    <w:p w14:paraId="35F031B7">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1针对食材仓储环节中可能出现的导致食材种类、数量不足的紧急情况（如突发火灾、</w:t>
      </w:r>
    </w:p>
    <w:p w14:paraId="1130CDAD">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被水淹没等），应有相应的处置措施；</w:t>
      </w:r>
    </w:p>
    <w:p w14:paraId="61960041">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2针对食材流通和使用环节可能会出现的质量问题（如仓储、运具不达标致使食材变</w:t>
      </w:r>
    </w:p>
    <w:p w14:paraId="6870577D">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得不合格等），应有相应的处置措施；</w:t>
      </w:r>
    </w:p>
    <w:p w14:paraId="24602DB1">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3针对台风、暴雨等恶劣天气，应有相应的配送保障措施；</w:t>
      </w:r>
    </w:p>
    <w:p w14:paraId="49461194">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4针对配送人员在配送途中突发车辆故障、交通事故等情况，应有相应的人员替换保</w:t>
      </w:r>
    </w:p>
    <w:p w14:paraId="056AC734">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障措施。</w:t>
      </w:r>
    </w:p>
    <w:p w14:paraId="17D6F7B3">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r>
        <w:rPr>
          <w:rFonts w:hint="eastAsia" w:ascii="宋体" w:hAnsi="宋体" w:eastAsia="宋体" w:cs="宋体"/>
          <w:color w:val="auto"/>
          <w:sz w:val="21"/>
          <w:szCs w:val="21"/>
          <w:highlight w:val="none"/>
          <w:lang w:val="en-US" w:eastAsia="zh-CN"/>
        </w:rPr>
        <w:t>违约责任</w:t>
      </w:r>
    </w:p>
    <w:p w14:paraId="40F3F580">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详见本合同第十四款。</w:t>
      </w:r>
    </w:p>
    <w:p w14:paraId="1FD19BEF">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1.10</w:t>
      </w:r>
      <w:r>
        <w:rPr>
          <w:rFonts w:hint="eastAsia" w:ascii="宋体" w:hAnsi="宋体" w:eastAsia="宋体" w:cs="宋体"/>
          <w:color w:val="auto"/>
          <w:sz w:val="21"/>
          <w:szCs w:val="21"/>
          <w:highlight w:val="none"/>
          <w:lang w:val="en-US" w:eastAsia="zh-CN"/>
        </w:rPr>
        <w:t>考核约定</w:t>
      </w:r>
    </w:p>
    <w:p w14:paraId="2C4F430E">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在服务期限内对</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实行考核制度，每月一次。具体评估考核办法如下:(考核内容见附件:《供应商月度评价表》)</w:t>
      </w:r>
    </w:p>
    <w:p w14:paraId="4B69E4E2">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1.10.</w:t>
      </w:r>
      <w:r>
        <w:rPr>
          <w:rFonts w:hint="eastAsia" w:ascii="宋体" w:hAnsi="宋体" w:eastAsia="宋体" w:cs="宋体"/>
          <w:b w:val="0"/>
          <w:bCs w:val="0"/>
          <w:color w:val="auto"/>
          <w:sz w:val="21"/>
          <w:szCs w:val="21"/>
          <w:highlight w:val="none"/>
          <w:lang w:val="en-US" w:eastAsia="zh-CN"/>
        </w:rPr>
        <w:t>1当</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的考核成绩为优(月度考核得分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90分)，当月货款全额支付，</w:t>
      </w:r>
    </w:p>
    <w:p w14:paraId="37BBB368">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1.10.</w:t>
      </w:r>
      <w:r>
        <w:rPr>
          <w:rFonts w:hint="eastAsia" w:ascii="宋体" w:hAnsi="宋体" w:eastAsia="宋体" w:cs="宋体"/>
          <w:b w:val="0"/>
          <w:bCs w:val="0"/>
          <w:color w:val="auto"/>
          <w:sz w:val="21"/>
          <w:szCs w:val="21"/>
          <w:highlight w:val="none"/>
          <w:lang w:val="en-US" w:eastAsia="zh-CN"/>
        </w:rPr>
        <w:t>2当</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的考核成绩为良(80</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月度考核得分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90分)，</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向</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下达《整改通知书》，不扣款。如</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连续两个月考核成绩为良时，</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有权在当月货款中扣除3%作为罚款。</w:t>
      </w:r>
    </w:p>
    <w:p w14:paraId="56FB6E7C">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1.10.</w:t>
      </w:r>
      <w:r>
        <w:rPr>
          <w:rFonts w:hint="eastAsia" w:ascii="宋体" w:hAnsi="宋体" w:eastAsia="宋体" w:cs="宋体"/>
          <w:b w:val="0"/>
          <w:bCs w:val="0"/>
          <w:color w:val="auto"/>
          <w:sz w:val="21"/>
          <w:szCs w:val="21"/>
          <w:highlight w:val="none"/>
          <w:lang w:val="en-US" w:eastAsia="zh-CN"/>
        </w:rPr>
        <w:t>3当</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的考核成绩一般(75</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月度考核得分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80分)，</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向</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下达《整改通知书》，并在当月货款中扣除4%作为罚款。</w:t>
      </w:r>
    </w:p>
    <w:p w14:paraId="7900107B">
      <w:pPr>
        <w:shd w:val="clear"/>
        <w:ind w:firstLine="420" w:firstLineChars="200"/>
        <w:rPr>
          <w:color w:val="auto"/>
          <w:highlight w:val="none"/>
        </w:rPr>
      </w:pPr>
      <w:r>
        <w:rPr>
          <w:rFonts w:hint="eastAsia" w:ascii="宋体" w:hAnsi="宋体" w:cs="宋体"/>
          <w:b w:val="0"/>
          <w:bCs w:val="0"/>
          <w:color w:val="auto"/>
          <w:sz w:val="21"/>
          <w:szCs w:val="21"/>
          <w:highlight w:val="none"/>
          <w:lang w:val="en-US" w:eastAsia="zh-CN"/>
        </w:rPr>
        <w:t>1.10.</w:t>
      </w:r>
      <w:r>
        <w:rPr>
          <w:rFonts w:hint="eastAsia" w:ascii="宋体" w:hAnsi="宋体" w:eastAsia="宋体" w:cs="宋体"/>
          <w:b w:val="0"/>
          <w:bCs w:val="0"/>
          <w:color w:val="auto"/>
          <w:sz w:val="21"/>
          <w:szCs w:val="21"/>
          <w:highlight w:val="none"/>
          <w:lang w:val="en-US" w:eastAsia="zh-CN"/>
        </w:rPr>
        <w:t>4当</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的考核成绩为差(月度考核得分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75分)，</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向</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下达《整改通知书》并在当月货款中扣除6%作为罚款。合同期内累计3次的，</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有权单方面终止合同。</w:t>
      </w:r>
    </w:p>
    <w:p w14:paraId="2DF91467">
      <w:pPr>
        <w:pStyle w:val="5"/>
        <w:shd w:val="clear" w:color="auto"/>
        <w:bidi w:val="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1.11</w:t>
      </w:r>
      <w:r>
        <w:rPr>
          <w:rFonts w:hint="eastAsia" w:ascii="宋体" w:hAnsi="宋体" w:eastAsia="宋体" w:cs="宋体"/>
          <w:color w:val="auto"/>
          <w:sz w:val="21"/>
          <w:szCs w:val="21"/>
          <w:highlight w:val="none"/>
          <w:lang w:val="en-US" w:eastAsia="zh-CN"/>
        </w:rPr>
        <w:t>相关说明</w:t>
      </w:r>
    </w:p>
    <w:p w14:paraId="678A5AE7">
      <w:pPr>
        <w:pStyle w:val="38"/>
        <w:keepNext w:val="0"/>
        <w:keepLines w:val="0"/>
        <w:pageBreakBefore w:val="0"/>
        <w:shd w:val="clear" w:color="auto"/>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1.11.</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在服务年限内，履行本招标文件约定的义务过程中出现违反国家法律法规、相关主管部门规章制度、擅自提高价格或提供伪劣服务内容、服务质量低劣造成</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损失等情况的，</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有权视情节分别给予警告、没收采购履约担保或取消协议服务资格等处罚。</w:t>
      </w:r>
    </w:p>
    <w:p w14:paraId="7952604C">
      <w:pPr>
        <w:pStyle w:val="38"/>
        <w:keepNext w:val="0"/>
        <w:keepLines w:val="0"/>
        <w:pageBreakBefore w:val="0"/>
        <w:shd w:val="clear" w:color="auto"/>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1.11.</w:t>
      </w:r>
      <w:r>
        <w:rPr>
          <w:rFonts w:hint="eastAsia" w:ascii="宋体" w:hAnsi="宋体" w:eastAsia="宋体" w:cs="宋体"/>
          <w:color w:val="auto"/>
          <w:sz w:val="21"/>
          <w:szCs w:val="21"/>
          <w:highlight w:val="none"/>
        </w:rPr>
        <w:t>2因</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被取消配送服务资格而造成服务单位数量不能满足正常食堂食材配送工作需求的，</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有权按顺序递补本次采购排名在</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之后的候选单位，或通过对该项目服务单位进行补充采购或重新采购的方式，以保证服务单位数量的正常需求。</w:t>
      </w:r>
    </w:p>
    <w:p w14:paraId="624CE7F6">
      <w:pPr>
        <w:pStyle w:val="38"/>
        <w:keepNext w:val="0"/>
        <w:keepLines w:val="0"/>
        <w:pageBreakBefore w:val="0"/>
        <w:shd w:val="clear" w:color="auto"/>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1.11.</w:t>
      </w:r>
      <w:r>
        <w:rPr>
          <w:rFonts w:hint="eastAsia" w:ascii="宋体" w:hAnsi="宋体" w:eastAsia="宋体" w:cs="宋体"/>
          <w:color w:val="auto"/>
          <w:sz w:val="21"/>
          <w:szCs w:val="21"/>
          <w:highlight w:val="none"/>
        </w:rPr>
        <w:t>3</w:t>
      </w:r>
      <w:r>
        <w:rPr>
          <w:rFonts w:hint="eastAsia" w:asci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必须清楚理解：</w:t>
      </w:r>
      <w:r>
        <w:rPr>
          <w:rFonts w:hint="eastAsia" w:asci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无法预计也无法保证服务单位所能获得的服务项目数量；对此服务单位不得向</w:t>
      </w:r>
      <w:r>
        <w:rPr>
          <w:rFonts w:hint="eastAsia" w:asci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追讨任何费用。</w:t>
      </w:r>
    </w:p>
    <w:p w14:paraId="2E37DD5D">
      <w:pPr>
        <w:shd w:val="clear" w:color="auto"/>
        <w:spacing w:line="360" w:lineRule="auto"/>
        <w:outlineLvl w:val="1"/>
        <w:rPr>
          <w:rFonts w:hint="eastAsia" w:ascii="宋体" w:hAnsi="宋体" w:eastAsia="宋体" w:cs="宋体"/>
          <w:b/>
          <w:color w:val="auto"/>
          <w:sz w:val="21"/>
          <w:szCs w:val="21"/>
          <w:highlight w:val="none"/>
        </w:rPr>
      </w:pPr>
      <w:r>
        <w:rPr>
          <w:rFonts w:hint="eastAsia" w:cs="宋体"/>
          <w:b/>
          <w:color w:val="auto"/>
          <w:sz w:val="21"/>
          <w:szCs w:val="21"/>
          <w:highlight w:val="none"/>
          <w:lang w:val="en-US" w:eastAsia="zh-CN"/>
        </w:rPr>
        <w:t>2</w:t>
      </w:r>
      <w:r>
        <w:rPr>
          <w:rFonts w:hint="eastAsia" w:ascii="宋体" w:hAnsi="宋体" w:eastAsia="宋体" w:cs="宋体"/>
          <w:b/>
          <w:color w:val="auto"/>
          <w:sz w:val="21"/>
          <w:szCs w:val="21"/>
          <w:highlight w:val="none"/>
          <w:lang w:val="en-US" w:eastAsia="zh-CN"/>
        </w:rPr>
        <w:t>食材质量及包装要求</w:t>
      </w:r>
      <w:r>
        <w:rPr>
          <w:rFonts w:hint="eastAsia" w:cs="宋体"/>
          <w:b/>
          <w:color w:val="auto"/>
          <w:sz w:val="21"/>
          <w:szCs w:val="21"/>
          <w:highlight w:val="none"/>
          <w:lang w:val="en-US" w:eastAsia="zh-CN"/>
        </w:rPr>
        <w:t>：</w:t>
      </w:r>
    </w:p>
    <w:p w14:paraId="2B39C117">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lang w:val="en-US" w:eastAsia="zh-CN"/>
        </w:rPr>
        <w:t>鲜</w:t>
      </w:r>
      <w:r>
        <w:rPr>
          <w:rFonts w:hint="eastAsia" w:ascii="宋体" w:hAnsi="宋体" w:eastAsia="宋体" w:cs="宋体"/>
          <w:b/>
          <w:bCs/>
          <w:color w:val="auto"/>
          <w:sz w:val="21"/>
          <w:szCs w:val="21"/>
          <w:highlight w:val="none"/>
        </w:rPr>
        <w:t>肉类</w:t>
      </w:r>
      <w:r>
        <w:rPr>
          <w:rFonts w:hint="eastAsia" w:ascii="宋体" w:hAnsi="宋体" w:eastAsia="宋体" w:cs="宋体"/>
          <w:b/>
          <w:color w:val="auto"/>
          <w:sz w:val="21"/>
          <w:szCs w:val="21"/>
          <w:highlight w:val="none"/>
        </w:rPr>
        <w:t>（猪、牛、羊等）</w:t>
      </w:r>
      <w:r>
        <w:rPr>
          <w:rFonts w:hint="eastAsia" w:ascii="宋体" w:hAnsi="宋体" w:eastAsia="宋体" w:cs="宋体"/>
          <w:b/>
          <w:bCs/>
          <w:color w:val="auto"/>
          <w:sz w:val="21"/>
          <w:szCs w:val="21"/>
          <w:highlight w:val="none"/>
        </w:rPr>
        <w:t>供应货品质量要求</w:t>
      </w:r>
    </w:p>
    <w:p w14:paraId="14D73798">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鲜肉类全部来源于正规肉联厂，保证为当日新鲜肉，并提供政府检疫部门出示的检疫合格证明。（鲜肉类利用率不低于98%）</w:t>
      </w:r>
    </w:p>
    <w:p w14:paraId="515449E9">
      <w:pPr>
        <w:keepNext w:val="0"/>
        <w:keepLines w:val="0"/>
        <w:pageBreakBefore w:val="0"/>
        <w:widowControl/>
        <w:numPr>
          <w:ilvl w:val="0"/>
          <w:numId w:val="0"/>
        </w:numPr>
        <w:shd w:val="clear" w:color="auto"/>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具有当天卫生监督部门发放的“动物检疫合格证明”，肉体印有检疫章。</w:t>
      </w:r>
    </w:p>
    <w:p w14:paraId="1D4074ED">
      <w:pPr>
        <w:keepNext w:val="0"/>
        <w:keepLines w:val="0"/>
        <w:pageBreakBefore w:val="0"/>
        <w:widowControl/>
        <w:numPr>
          <w:ilvl w:val="0"/>
          <w:numId w:val="0"/>
        </w:numPr>
        <w:shd w:val="clear" w:color="auto"/>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表皮干爽、肌体结实、肉质紧密、肉色淡红新鲜，肥肉洁白而细腻。</w:t>
      </w:r>
    </w:p>
    <w:p w14:paraId="730B90C7">
      <w:pPr>
        <w:keepNext w:val="0"/>
        <w:keepLines w:val="0"/>
        <w:pageBreakBefore w:val="0"/>
        <w:widowControl/>
        <w:numPr>
          <w:ilvl w:val="0"/>
          <w:numId w:val="0"/>
        </w:numPr>
        <w:shd w:val="clear" w:color="auto"/>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外观检测无异味、无寄生虫、无粘液、无渗出液体、指压反弹迅速、具有猪肉自然气味。</w:t>
      </w:r>
    </w:p>
    <w:p w14:paraId="4B9A9ACA">
      <w:pPr>
        <w:keepNext w:val="0"/>
        <w:keepLines w:val="0"/>
        <w:pageBreakBefore w:val="0"/>
        <w:widowControl/>
        <w:numPr>
          <w:ilvl w:val="0"/>
          <w:numId w:val="0"/>
        </w:numPr>
        <w:shd w:val="clear" w:color="auto"/>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运输设备具备恒温保鲜（5度），存放容器保持清洁卫生，包装合理且材料无污染。</w:t>
      </w:r>
    </w:p>
    <w:p w14:paraId="5ED7EE70">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来源可靠放心，无毒、无害、无污染。</w:t>
      </w:r>
    </w:p>
    <w:p w14:paraId="4C518A8D">
      <w:pPr>
        <w:pStyle w:val="67"/>
        <w:keepNext w:val="0"/>
        <w:keepLines w:val="0"/>
        <w:pageBreakBefore w:val="0"/>
        <w:widowControl/>
        <w:shd w:val="clear" w:color="auto"/>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按照规格要求进行分割、砍件、分条等。分割肉具有分割肉销售凭据。</w:t>
      </w:r>
    </w:p>
    <w:p w14:paraId="62EABEC8">
      <w:pPr>
        <w:pStyle w:val="67"/>
        <w:keepNext w:val="0"/>
        <w:keepLines w:val="0"/>
        <w:pageBreakBefore w:val="0"/>
        <w:widowControl/>
        <w:shd w:val="clear" w:color="auto"/>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鲜肉：颜色均匀，肌肉呈淡红色或鲜红色（牛肉），脂肪洁白或淡黄色（牛、羊肉）；外表微干或微湿，触摸不粘手，切面有湿润而无黏性，有各种畜肉的特有光泽；肉质紧密，纤维清晰，鲜肉有坚韧性，指压后凹陷立即恢复；具有鲜肉的正常气味，无异味；无泥污、血污，肉边整齐，无碎肉、碎骨；按标准部位分割，精肉无多余脂肪。</w:t>
      </w:r>
    </w:p>
    <w:p w14:paraId="7BB39541">
      <w:pPr>
        <w:pStyle w:val="67"/>
        <w:keepNext w:val="0"/>
        <w:keepLines w:val="0"/>
        <w:pageBreakBefore w:val="0"/>
        <w:widowControl/>
        <w:shd w:val="clear" w:color="auto"/>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猪蹄：去蹄壳，不带蹄筋，无毛、趾间黑垢，无松香等异味。</w:t>
      </w:r>
    </w:p>
    <w:p w14:paraId="2981663E">
      <w:pPr>
        <w:pStyle w:val="67"/>
        <w:keepNext w:val="0"/>
        <w:keepLines w:val="0"/>
        <w:pageBreakBefore w:val="0"/>
        <w:widowControl/>
        <w:shd w:val="clear" w:color="auto"/>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鲜骨：骨管内充满骨髓，质硬，色黄，骨的折断处有光泽，骨髓与骨腔边缘紧密结合。</w:t>
      </w:r>
    </w:p>
    <w:p w14:paraId="77568CE1">
      <w:pPr>
        <w:pStyle w:val="67"/>
        <w:keepNext w:val="0"/>
        <w:keepLines w:val="0"/>
        <w:pageBreakBefore w:val="0"/>
        <w:widowControl/>
        <w:shd w:val="clear" w:color="auto"/>
        <w:kinsoku/>
        <w:wordWrap/>
        <w:overflowPunct/>
        <w:topLinePunct w:val="0"/>
        <w:autoSpaceDE/>
        <w:autoSpaceDN/>
        <w:bidi w:val="0"/>
        <w:adjustRightInd/>
        <w:snapToGrid/>
        <w:spacing w:line="360" w:lineRule="auto"/>
        <w:ind w:firstLine="422"/>
        <w:jc w:val="both"/>
        <w:textAlignment w:val="auto"/>
        <w:rPr>
          <w:rFonts w:hint="eastAsia" w:ascii="宋体" w:hAnsi="宋体" w:eastAsia="宋体" w:cs="宋体"/>
          <w:color w:val="auto"/>
          <w:sz w:val="21"/>
          <w:szCs w:val="21"/>
          <w:highlight w:val="none"/>
        </w:rPr>
      </w:pP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家</w:t>
      </w:r>
      <w:r>
        <w:rPr>
          <w:rFonts w:hint="eastAsia" w:ascii="宋体" w:hAnsi="宋体" w:eastAsia="宋体" w:cs="宋体"/>
          <w:b/>
          <w:color w:val="auto"/>
          <w:sz w:val="21"/>
          <w:szCs w:val="21"/>
          <w:highlight w:val="none"/>
        </w:rPr>
        <w:t>禽</w:t>
      </w:r>
      <w:r>
        <w:rPr>
          <w:rFonts w:hint="eastAsia" w:ascii="宋体" w:hAnsi="宋体" w:cs="宋体"/>
          <w:b/>
          <w:color w:val="auto"/>
          <w:sz w:val="21"/>
          <w:szCs w:val="21"/>
          <w:highlight w:val="none"/>
          <w:lang w:eastAsia="zh-CN"/>
        </w:rPr>
        <w:t>类</w:t>
      </w:r>
      <w:r>
        <w:rPr>
          <w:rFonts w:hint="eastAsia" w:ascii="宋体" w:hAnsi="宋体" w:eastAsia="宋体" w:cs="宋体"/>
          <w:b/>
          <w:color w:val="auto"/>
          <w:sz w:val="21"/>
          <w:szCs w:val="21"/>
          <w:highlight w:val="none"/>
        </w:rPr>
        <w:t>（鸡、鸭、鹅等）</w:t>
      </w:r>
      <w:r>
        <w:rPr>
          <w:rFonts w:hint="eastAsia" w:ascii="宋体" w:hAnsi="宋体" w:eastAsia="宋体" w:cs="宋体"/>
          <w:b/>
          <w:bCs/>
          <w:color w:val="auto"/>
          <w:sz w:val="21"/>
          <w:szCs w:val="21"/>
          <w:highlight w:val="none"/>
        </w:rPr>
        <w:t>供应货品质量要求</w:t>
      </w:r>
    </w:p>
    <w:p w14:paraId="62CD7FE7">
      <w:pPr>
        <w:pStyle w:val="67"/>
        <w:keepNext w:val="0"/>
        <w:keepLines w:val="0"/>
        <w:pageBreakBefore w:val="0"/>
        <w:widowControl/>
        <w:shd w:val="clear" w:color="auto"/>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外观和质量等级符合国家食品部门的有关标准，品质新鲜，无霉烂变质。</w:t>
      </w:r>
    </w:p>
    <w:p w14:paraId="4D1F54BF">
      <w:pPr>
        <w:pStyle w:val="67"/>
        <w:keepNext w:val="0"/>
        <w:keepLines w:val="0"/>
        <w:pageBreakBefore w:val="0"/>
        <w:widowControl/>
        <w:shd w:val="clear" w:color="auto"/>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鲜禽：有头颈，有腿翅，无内脏；喙有光泽、干燥、无粘液；眼球饱满，角膜有光泽；口腔粘膜呈淡玫瑰色，有光泽、洁净、无异味；口腔及宰刀口无血污、杂质，无紫斑瘀血；腹内无过多脂肪，腹下刀口整齐、不过长；皮肤有光泽，微干或微湿，紧缩、不粘手；毛孔隆起，无长毛及毛、毛根；肌肉有光泽，呈鲜禽肉正常颜色，稍带微红；脂肪呈淡黄色或黄色；肌肉结实有弹性，指压后凹陷立即恢复，有光泽，颈、腿部肌肉呈玫瑰红色；有鲜禽肉正常气味，无异味。</w:t>
      </w:r>
    </w:p>
    <w:p w14:paraId="0A5F9123">
      <w:pPr>
        <w:pStyle w:val="67"/>
        <w:keepNext w:val="0"/>
        <w:keepLines w:val="0"/>
        <w:pageBreakBefore w:val="0"/>
        <w:widowControl/>
        <w:shd w:val="clear" w:color="auto"/>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鸡壳：整鸡去肉，即鸡骨架，有颈无头，无内脏，骨架颜色纯正，外表微湿润，不粘手，具有鸡的正常气味。</w:t>
      </w:r>
    </w:p>
    <w:p w14:paraId="0228F6A9">
      <w:pPr>
        <w:pStyle w:val="67"/>
        <w:keepNext w:val="0"/>
        <w:keepLines w:val="0"/>
        <w:pageBreakBefore w:val="0"/>
        <w:widowControl/>
        <w:shd w:val="clear" w:color="auto"/>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鸡腿：无残羽，无血水、血污、残骨，无伤斑、溃烂、炎症，允许有少量红斑，无多余皮和脂肪。按部位分割，全腿300g 左右，下腿 15g 左右，周边修整齐，形如琵琶。</w:t>
      </w:r>
    </w:p>
    <w:p w14:paraId="11C82B9C">
      <w:pPr>
        <w:pStyle w:val="67"/>
        <w:keepNext w:val="0"/>
        <w:keepLines w:val="0"/>
        <w:pageBreakBefore w:val="0"/>
        <w:widowControl/>
        <w:shd w:val="clear" w:color="auto"/>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鸡翅：无残羽，无黄衣，无伤斑和溃烂，无血水，允许有少量红斑点，允许修剪但最大范围不超弯关节处，全翅200g 左右，翅中 100g 左右，按部位分割。</w:t>
      </w:r>
    </w:p>
    <w:p w14:paraId="2FD282F7">
      <w:pPr>
        <w:pStyle w:val="67"/>
        <w:keepNext w:val="0"/>
        <w:keepLines w:val="0"/>
        <w:pageBreakBefore w:val="0"/>
        <w:widowControl/>
        <w:shd w:val="clear" w:color="auto"/>
        <w:kinsoku/>
        <w:wordWrap/>
        <w:overflowPunct/>
        <w:topLinePunct w:val="0"/>
        <w:autoSpaceDE/>
        <w:autoSpaceDN/>
        <w:bidi w:val="0"/>
        <w:adjustRightInd/>
        <w:snapToGrid/>
        <w:spacing w:line="360" w:lineRule="auto"/>
        <w:ind w:firstLine="420"/>
        <w:jc w:val="both"/>
        <w:textAlignment w:val="auto"/>
        <w:rPr>
          <w:rFonts w:hint="eastAsia"/>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鸡脚：白色或灰白色无黄衣趾壳，外形完整，无断骨，脚垫上无黑斑或黄斑，无血污、血水。</w:t>
      </w:r>
    </w:p>
    <w:p w14:paraId="0A29C8C6">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2.3</w:t>
      </w:r>
      <w:r>
        <w:rPr>
          <w:rFonts w:hint="eastAsia" w:ascii="宋体" w:hAnsi="宋体" w:eastAsia="宋体" w:cs="宋体"/>
          <w:b/>
          <w:bCs/>
          <w:color w:val="auto"/>
          <w:sz w:val="21"/>
          <w:szCs w:val="21"/>
          <w:highlight w:val="none"/>
        </w:rPr>
        <w:t>水产品类供应货品质量要求</w:t>
      </w:r>
    </w:p>
    <w:p w14:paraId="0346FCF9">
      <w:pPr>
        <w:keepNext w:val="0"/>
        <w:keepLines w:val="0"/>
        <w:pageBreakBefore w:val="0"/>
        <w:widowControl/>
        <w:numPr>
          <w:ilvl w:val="0"/>
          <w:numId w:val="0"/>
        </w:numPr>
        <w:shd w:val="clear" w:color="auto"/>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sz w:val="21"/>
          <w:szCs w:val="21"/>
          <w:highlight w:val="none"/>
        </w:rPr>
        <w:t>海鲜、河鲜类水产必须鲜活。</w:t>
      </w:r>
    </w:p>
    <w:p w14:paraId="4D0DFB5B">
      <w:pPr>
        <w:keepNext w:val="0"/>
        <w:keepLines w:val="0"/>
        <w:pageBreakBefore w:val="0"/>
        <w:widowControl/>
        <w:numPr>
          <w:ilvl w:val="0"/>
          <w:numId w:val="0"/>
        </w:numPr>
        <w:shd w:val="clear" w:color="auto"/>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非冰鲜类必须鲜活，利用率不低于95%。</w:t>
      </w:r>
    </w:p>
    <w:p w14:paraId="6CF3AFFF">
      <w:pPr>
        <w:keepNext w:val="0"/>
        <w:keepLines w:val="0"/>
        <w:pageBreakBefore w:val="0"/>
        <w:widowControl/>
        <w:numPr>
          <w:ilvl w:val="0"/>
          <w:numId w:val="0"/>
        </w:numPr>
        <w:shd w:val="clear" w:color="auto"/>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鲜鱼鳞片完整，有光泽无脱落，鳃口紧闭，眼球光亮透明，鱼鳃鲜红，鳍尾完整，确保新鲜。</w:t>
      </w:r>
    </w:p>
    <w:p w14:paraId="64AA67A1">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身体饱满结实，无腐烂异味，肉质紧密有弹性，无离骨脱刺现象。</w:t>
      </w:r>
    </w:p>
    <w:p w14:paraId="66AF3F5C">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来源可靠放心，无毒、无害、无污染。</w:t>
      </w:r>
    </w:p>
    <w:p w14:paraId="2663B6B9">
      <w:pPr>
        <w:pStyle w:val="6"/>
        <w:keepNext w:val="0"/>
        <w:keepLines w:val="0"/>
        <w:pageBreakBefore w:val="0"/>
        <w:shd w:val="clear" w:color="auto"/>
        <w:kinsoku/>
        <w:wordWrap/>
        <w:overflowPunct/>
        <w:topLinePunct w:val="0"/>
        <w:autoSpaceDE/>
        <w:autoSpaceDN/>
        <w:bidi w:val="0"/>
        <w:spacing w:line="360" w:lineRule="auto"/>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2.4冻品类</w:t>
      </w:r>
      <w:r>
        <w:rPr>
          <w:rFonts w:hint="eastAsia" w:ascii="宋体" w:hAnsi="宋体" w:eastAsia="宋体" w:cs="宋体"/>
          <w:b/>
          <w:bCs/>
          <w:color w:val="auto"/>
          <w:sz w:val="21"/>
          <w:szCs w:val="21"/>
          <w:highlight w:val="none"/>
        </w:rPr>
        <w:t>供应货品质量要求</w:t>
      </w:r>
    </w:p>
    <w:p w14:paraId="2A2E437E">
      <w:pPr>
        <w:keepNext w:val="0"/>
        <w:keepLines w:val="0"/>
        <w:pageBreakBefore w:val="0"/>
        <w:shd w:val="clear" w:color="auto"/>
        <w:kinsoku/>
        <w:wordWrap/>
        <w:overflowPunct/>
        <w:topLinePunct w:val="0"/>
        <w:autoSpaceDE/>
        <w:autoSpaceDN/>
        <w:bidi w:val="0"/>
        <w:spacing w:line="360" w:lineRule="auto"/>
        <w:ind w:firstLine="420" w:firstLineChars="200"/>
        <w:textAlignment w:val="auto"/>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w:t>
      </w:r>
      <w:r>
        <w:rPr>
          <w:rFonts w:hint="eastAsia"/>
          <w:color w:val="auto"/>
          <w:sz w:val="21"/>
          <w:szCs w:val="21"/>
          <w:highlight w:val="none"/>
          <w:lang w:val="en-US" w:eastAsia="zh-CN"/>
        </w:rPr>
        <w:t>乙方</w:t>
      </w:r>
      <w:r>
        <w:rPr>
          <w:color w:val="auto"/>
          <w:sz w:val="21"/>
          <w:szCs w:val="21"/>
          <w:highlight w:val="none"/>
        </w:rPr>
        <w:t>提供的冷冻产品须源于合格的生产厂家，生产厂家拥有标准化作业流程、可溯源，立品包装上须清晰标注生产日期和保质期，严禁将三无作坊、变质、过期等不合格的产品配送给</w:t>
      </w:r>
      <w:r>
        <w:rPr>
          <w:rFonts w:hint="eastAsia"/>
          <w:color w:val="auto"/>
          <w:sz w:val="21"/>
          <w:szCs w:val="21"/>
          <w:highlight w:val="none"/>
          <w:lang w:eastAsia="zh-CN"/>
        </w:rPr>
        <w:t>甲方</w:t>
      </w:r>
      <w:r>
        <w:rPr>
          <w:color w:val="auto"/>
          <w:sz w:val="21"/>
          <w:szCs w:val="21"/>
          <w:highlight w:val="none"/>
        </w:rPr>
        <w:t>。冻品如为进口产品，须提供相关中文检疫检验报告。（从收货之日起计算剩余保质期不得低于标注保质期的</w:t>
      </w:r>
      <w:r>
        <w:rPr>
          <w:rFonts w:hint="eastAsia"/>
          <w:color w:val="auto"/>
          <w:sz w:val="21"/>
          <w:szCs w:val="21"/>
          <w:highlight w:val="none"/>
          <w:lang w:val="en-US" w:eastAsia="zh-CN"/>
        </w:rPr>
        <w:t>75</w:t>
      </w:r>
      <w:r>
        <w:rPr>
          <w:color w:val="auto"/>
          <w:sz w:val="21"/>
          <w:szCs w:val="21"/>
          <w:highlight w:val="none"/>
        </w:rPr>
        <w:t>%）。</w:t>
      </w:r>
    </w:p>
    <w:p w14:paraId="7A91BF1E">
      <w:pPr>
        <w:keepNext w:val="0"/>
        <w:keepLines w:val="0"/>
        <w:pageBreakBefore w:val="0"/>
        <w:shd w:val="clear" w:color="auto"/>
        <w:kinsoku/>
        <w:wordWrap/>
        <w:overflowPunct/>
        <w:topLinePunct w:val="0"/>
        <w:autoSpaceDE/>
        <w:autoSpaceDN/>
        <w:bidi w:val="0"/>
        <w:spacing w:line="360" w:lineRule="auto"/>
        <w:ind w:firstLine="420" w:firstLineChars="200"/>
        <w:textAlignment w:val="auto"/>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color w:val="auto"/>
          <w:sz w:val="21"/>
          <w:szCs w:val="21"/>
          <w:highlight w:val="none"/>
        </w:rPr>
        <w:t>冷冻肉要求肉体冻实而坚硬，无化冻现象，肉质紧密而有弹性，色泽均匀，不粘手，交货时干净、新鲜、无异味。</w:t>
      </w:r>
    </w:p>
    <w:p w14:paraId="67292705">
      <w:pPr>
        <w:keepNext w:val="0"/>
        <w:keepLines w:val="0"/>
        <w:pageBreakBefore w:val="0"/>
        <w:shd w:val="clear" w:color="auto"/>
        <w:kinsoku/>
        <w:wordWrap/>
        <w:overflowPunct/>
        <w:topLinePunct w:val="0"/>
        <w:autoSpaceDE/>
        <w:autoSpaceDN/>
        <w:bidi w:val="0"/>
        <w:spacing w:line="360" w:lineRule="auto"/>
        <w:ind w:firstLine="420" w:firstLineChars="200"/>
        <w:textAlignment w:val="auto"/>
        <w:rPr>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color w:val="auto"/>
          <w:sz w:val="21"/>
          <w:szCs w:val="21"/>
          <w:highlight w:val="none"/>
        </w:rPr>
        <w:t>冷冻鱼类要求鱼眼睛清亮，角膜透明，鳞片上覆有冻结的透明黏液层，皮肤天然色泽明显。</w:t>
      </w:r>
    </w:p>
    <w:p w14:paraId="1A9404C8">
      <w:pPr>
        <w:keepNext w:val="0"/>
        <w:keepLines w:val="0"/>
        <w:pageBreakBefore w:val="0"/>
        <w:shd w:val="clear" w:color="auto"/>
        <w:kinsoku/>
        <w:wordWrap/>
        <w:overflowPunct/>
        <w:topLinePunct w:val="0"/>
        <w:bidi w:val="0"/>
        <w:ind w:firstLine="420" w:firstLineChars="200"/>
        <w:textAlignment w:val="auto"/>
        <w:rPr>
          <w:rFonts w:hint="eastAsia" w:ascii="宋体" w:hAnsi="宋体" w:eastAsia="宋体" w:cs="宋体"/>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4</w:t>
      </w:r>
      <w:r>
        <w:rPr>
          <w:rFonts w:hint="eastAsia"/>
          <w:color w:val="auto"/>
          <w:sz w:val="21"/>
          <w:szCs w:val="21"/>
          <w:highlight w:val="none"/>
          <w:lang w:eastAsia="zh-CN"/>
        </w:rPr>
        <w:t>）</w:t>
      </w:r>
      <w:r>
        <w:rPr>
          <w:color w:val="auto"/>
          <w:sz w:val="21"/>
          <w:szCs w:val="21"/>
          <w:highlight w:val="none"/>
        </w:rPr>
        <w:t>冷冻禽类食品解冻后净重量不少于92%，冷冻肉类食品解冻后净重量不少于95%，冷冻水产类食品解冻后净重量不少于85%，解冻时间为4小时以内（室温20℃）。</w:t>
      </w:r>
    </w:p>
    <w:p w14:paraId="2A1ACD1C">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第四条</w:t>
      </w:r>
      <w:r>
        <w:rPr>
          <w:rFonts w:hint="eastAsia" w:ascii="宋体" w:hAnsi="宋体" w:eastAsia="宋体" w:cs="宋体"/>
          <w:b/>
          <w:bCs/>
          <w:color w:val="auto"/>
          <w:sz w:val="21"/>
          <w:szCs w:val="21"/>
          <w:highlight w:val="none"/>
          <w:lang w:val="en-US"/>
        </w:rPr>
        <w:t xml:space="preserve"> </w:t>
      </w:r>
      <w:r>
        <w:rPr>
          <w:rFonts w:hint="eastAsia" w:ascii="宋体" w:hAnsi="宋体" w:eastAsia="宋体" w:cs="宋体"/>
          <w:b/>
          <w:bCs/>
          <w:color w:val="auto"/>
          <w:sz w:val="21"/>
          <w:szCs w:val="21"/>
          <w:highlight w:val="none"/>
        </w:rPr>
        <w:t>价格</w:t>
      </w:r>
    </w:p>
    <w:p w14:paraId="1A2F5B03">
      <w:pPr>
        <w:pStyle w:val="68"/>
        <w:keepNext w:val="0"/>
        <w:keepLines w:val="0"/>
        <w:pageBreakBefore w:val="0"/>
        <w:widowControl/>
        <w:shd w:val="clear" w:color="auto"/>
        <w:kinsoku/>
        <w:wordWrap/>
        <w:overflowPunct/>
        <w:topLinePunct w:val="0"/>
        <w:autoSpaceDE/>
        <w:autoSpaceDN/>
        <w:bidi w:val="0"/>
        <w:adjustRightInd w:val="0"/>
        <w:snapToGrid w:val="0"/>
        <w:spacing w:line="360" w:lineRule="auto"/>
        <w:ind w:left="0" w:right="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olor w:val="auto"/>
          <w:sz w:val="21"/>
          <w:szCs w:val="21"/>
          <w:highlight w:val="none"/>
          <w:lang w:val="zh-CN"/>
        </w:rPr>
        <w:t>1.</w:t>
      </w:r>
      <w:r>
        <w:rPr>
          <w:rFonts w:hint="eastAsia" w:ascii="宋体" w:hAnsi="宋体"/>
          <w:color w:val="auto"/>
          <w:sz w:val="21"/>
          <w:szCs w:val="21"/>
          <w:highlight w:val="none"/>
          <w:lang w:val="zh-CN" w:eastAsia="zh-CN"/>
        </w:rPr>
        <w:t>本合同中标下浮率</w:t>
      </w:r>
      <w:r>
        <w:rPr>
          <w:rFonts w:hint="eastAsia" w:ascii="宋体" w:hAnsi="宋体"/>
          <w:color w:val="auto"/>
          <w:sz w:val="21"/>
          <w:szCs w:val="21"/>
          <w:highlight w:val="none"/>
          <w:lang w:val="zh-CN"/>
        </w:rPr>
        <w:t>为</w:t>
      </w:r>
      <w:r>
        <w:rPr>
          <w:rFonts w:hint="eastAsia" w:ascii="宋体" w:hAnsi="宋体"/>
          <w:color w:val="auto"/>
          <w:sz w:val="21"/>
          <w:szCs w:val="21"/>
          <w:highlight w:val="none"/>
          <w:u w:val="single"/>
          <w:lang w:val="zh-CN"/>
        </w:rPr>
        <w:t xml:space="preserve">   </w:t>
      </w:r>
      <w:r>
        <w:rPr>
          <w:rFonts w:hint="eastAsia" w:ascii="宋体" w:hAnsi="宋体"/>
          <w:color w:val="auto"/>
          <w:sz w:val="21"/>
          <w:szCs w:val="21"/>
          <w:highlight w:val="none"/>
          <w:lang w:val="zh-CN"/>
        </w:rPr>
        <w:t>%（</w:t>
      </w:r>
      <w:r>
        <w:rPr>
          <w:rFonts w:hint="eastAsia"/>
          <w:color w:val="auto"/>
          <w:sz w:val="21"/>
          <w:szCs w:val="21"/>
          <w:highlight w:val="none"/>
          <w:lang w:val="en-US" w:eastAsia="zh-CN"/>
        </w:rPr>
        <w:t>下浮</w:t>
      </w:r>
      <w:r>
        <w:rPr>
          <w:rFonts w:hint="eastAsia" w:ascii="宋体" w:hAnsi="宋体"/>
          <w:color w:val="auto"/>
          <w:sz w:val="21"/>
          <w:szCs w:val="21"/>
          <w:highlight w:val="none"/>
          <w:lang w:val="zh-CN"/>
        </w:rPr>
        <w:t>率）。</w:t>
      </w:r>
      <w:r>
        <w:rPr>
          <w:rFonts w:hint="eastAsia"/>
          <w:color w:val="auto"/>
          <w:sz w:val="21"/>
          <w:szCs w:val="21"/>
          <w:highlight w:val="none"/>
          <w:lang w:val="en-US" w:eastAsia="zh-CN"/>
        </w:rPr>
        <w:t>价格</w:t>
      </w:r>
      <w:r>
        <w:rPr>
          <w:rFonts w:hint="eastAsia" w:ascii="宋体" w:hAnsi="宋体" w:eastAsia="宋体" w:cs="宋体"/>
          <w:color w:val="auto"/>
          <w:sz w:val="21"/>
          <w:szCs w:val="21"/>
          <w:highlight w:val="none"/>
        </w:rPr>
        <w:t>包含完成本次招标所有服务内容的费用，包括人工费、食材采购费、食材运输费、材料费、设备使用费、</w:t>
      </w:r>
      <w:r>
        <w:rPr>
          <w:rFonts w:hint="eastAsia" w:ascii="宋体" w:hAnsi="宋体" w:eastAsia="宋体" w:cs="宋体"/>
          <w:color w:val="auto"/>
          <w:sz w:val="21"/>
          <w:szCs w:val="21"/>
          <w:highlight w:val="none"/>
          <w:lang w:val="en-US" w:eastAsia="zh-CN"/>
        </w:rPr>
        <w:t>保险费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各种税务费、必须的辅助材料费及合同实施过程中不可预见费用等全部费用，</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不向</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另行支付任何费用。</w:t>
      </w:r>
    </w:p>
    <w:p w14:paraId="60AF5D9A">
      <w:pPr>
        <w:pStyle w:val="68"/>
        <w:keepNext w:val="0"/>
        <w:keepLines w:val="0"/>
        <w:pageBreakBefore w:val="0"/>
        <w:widowControl/>
        <w:shd w:val="clear" w:color="auto"/>
        <w:kinsoku/>
        <w:wordWrap/>
        <w:overflowPunct/>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cs="宋体"/>
          <w:bCs/>
          <w:color w:val="auto"/>
          <w:sz w:val="21"/>
          <w:szCs w:val="21"/>
          <w:highlight w:val="none"/>
          <w:lang w:val="en-US" w:eastAsia="zh-CN"/>
        </w:rPr>
        <w:t>基准价</w:t>
      </w:r>
      <w:r>
        <w:rPr>
          <w:rFonts w:hint="eastAsia" w:cs="宋体"/>
          <w:bCs/>
          <w:color w:val="auto"/>
          <w:sz w:val="21"/>
          <w:szCs w:val="21"/>
          <w:highlight w:val="none"/>
          <w:lang w:val="en-US" w:eastAsia="zh-CN"/>
        </w:rPr>
        <w:t>的确定方式</w:t>
      </w:r>
      <w:r>
        <w:rPr>
          <w:rFonts w:hint="eastAsia" w:ascii="宋体" w:hAnsi="宋体" w:cs="宋体"/>
          <w:bCs/>
          <w:color w:val="auto"/>
          <w:sz w:val="21"/>
          <w:szCs w:val="21"/>
          <w:highlight w:val="none"/>
          <w:lang w:val="en-US" w:eastAsia="zh-CN"/>
        </w:rPr>
        <w:t>：</w:t>
      </w:r>
      <w:r>
        <w:rPr>
          <w:rFonts w:hint="eastAsia" w:cs="宋体"/>
          <w:bCs/>
          <w:color w:val="auto"/>
          <w:sz w:val="21"/>
          <w:szCs w:val="21"/>
          <w:highlight w:val="none"/>
          <w:lang w:val="en-US" w:eastAsia="zh-CN"/>
        </w:rPr>
        <w:t>双方</w:t>
      </w:r>
      <w:r>
        <w:rPr>
          <w:rFonts w:hint="eastAsia" w:ascii="宋体" w:hAnsi="宋体" w:eastAsia="宋体" w:cs="宋体"/>
          <w:bCs/>
          <w:color w:val="auto"/>
          <w:sz w:val="21"/>
          <w:szCs w:val="21"/>
          <w:highlight w:val="none"/>
          <w:shd w:val="clear" w:color="FFFFFF" w:fill="auto"/>
        </w:rPr>
        <w:t>按照</w:t>
      </w:r>
      <w:r>
        <w:rPr>
          <w:rFonts w:hint="eastAsia" w:cs="宋体"/>
          <w:color w:val="auto"/>
          <w:spacing w:val="-6"/>
          <w:sz w:val="21"/>
          <w:szCs w:val="21"/>
          <w:highlight w:val="none"/>
          <w:shd w:val="clear" w:color="FFFFFF" w:fill="auto"/>
          <w:lang w:val="en-US" w:eastAsia="zh-CN"/>
        </w:rPr>
        <w:t>定价更新时</w:t>
      </w:r>
      <w:r>
        <w:rPr>
          <w:rFonts w:hint="eastAsia" w:ascii="宋体" w:hAnsi="宋体" w:eastAsia="宋体" w:cs="宋体"/>
          <w:color w:val="auto"/>
          <w:spacing w:val="-6"/>
          <w:sz w:val="21"/>
          <w:szCs w:val="21"/>
          <w:highlight w:val="none"/>
          <w:shd w:val="clear" w:color="FFFFFF" w:fill="auto"/>
        </w:rPr>
        <w:t>东莞市发展和改革局公布最新一期的“东莞市菜篮子价格监测表”的价格</w:t>
      </w:r>
      <w:r>
        <w:rPr>
          <w:rFonts w:hint="eastAsia" w:cs="宋体"/>
          <w:color w:val="auto"/>
          <w:spacing w:val="-6"/>
          <w:sz w:val="21"/>
          <w:szCs w:val="21"/>
          <w:highlight w:val="none"/>
          <w:shd w:val="clear" w:color="FFFFFF" w:fill="auto"/>
          <w:lang w:val="en-US" w:eastAsia="zh-CN"/>
        </w:rPr>
        <w:t>作为基准价</w:t>
      </w:r>
      <w:r>
        <w:rPr>
          <w:rFonts w:hint="eastAsia" w:ascii="宋体" w:hAnsi="宋体" w:eastAsia="宋体" w:cs="宋体"/>
          <w:color w:val="auto"/>
          <w:spacing w:val="-6"/>
          <w:sz w:val="21"/>
          <w:szCs w:val="21"/>
          <w:highlight w:val="none"/>
        </w:rPr>
        <w:t>，若“</w:t>
      </w:r>
      <w:r>
        <w:rPr>
          <w:rFonts w:hint="eastAsia" w:cs="宋体"/>
          <w:color w:val="auto"/>
          <w:spacing w:val="-6"/>
          <w:sz w:val="21"/>
          <w:szCs w:val="21"/>
          <w:highlight w:val="none"/>
          <w:lang w:val="en-US" w:eastAsia="zh-CN"/>
        </w:rPr>
        <w:t>东莞市</w:t>
      </w:r>
      <w:r>
        <w:rPr>
          <w:rFonts w:hint="eastAsia" w:ascii="宋体" w:hAnsi="宋体" w:eastAsia="宋体" w:cs="宋体"/>
          <w:color w:val="auto"/>
          <w:spacing w:val="-6"/>
          <w:sz w:val="21"/>
          <w:szCs w:val="21"/>
          <w:highlight w:val="none"/>
        </w:rPr>
        <w:t>菜篮子价格监测表”无</w:t>
      </w:r>
      <w:r>
        <w:rPr>
          <w:rFonts w:hint="eastAsia" w:cs="宋体"/>
          <w:color w:val="auto"/>
          <w:spacing w:val="-6"/>
          <w:sz w:val="21"/>
          <w:szCs w:val="21"/>
          <w:highlight w:val="none"/>
          <w:lang w:eastAsia="zh-CN"/>
        </w:rPr>
        <w:t>甲方</w:t>
      </w:r>
      <w:r>
        <w:rPr>
          <w:rFonts w:hint="eastAsia" w:ascii="宋体" w:hAnsi="宋体" w:eastAsia="宋体" w:cs="宋体"/>
          <w:color w:val="auto"/>
          <w:spacing w:val="-6"/>
          <w:sz w:val="21"/>
          <w:szCs w:val="21"/>
          <w:highlight w:val="none"/>
        </w:rPr>
        <w:t>所需的货品，则</w:t>
      </w:r>
      <w:r>
        <w:rPr>
          <w:rFonts w:hint="eastAsia" w:cs="宋体"/>
          <w:color w:val="auto"/>
          <w:spacing w:val="-6"/>
          <w:sz w:val="21"/>
          <w:szCs w:val="21"/>
          <w:highlight w:val="none"/>
          <w:lang w:val="en-US" w:eastAsia="zh-CN"/>
        </w:rPr>
        <w:t>由</w:t>
      </w:r>
      <w:r>
        <w:rPr>
          <w:rFonts w:hint="eastAsia" w:cs="宋体"/>
          <w:color w:val="auto"/>
          <w:spacing w:val="-6"/>
          <w:sz w:val="21"/>
          <w:szCs w:val="21"/>
          <w:highlight w:val="none"/>
          <w:lang w:eastAsia="zh-CN"/>
        </w:rPr>
        <w:t>甲方</w:t>
      </w:r>
      <w:r>
        <w:rPr>
          <w:rFonts w:hint="eastAsia" w:ascii="宋体" w:hAnsi="宋体" w:eastAsia="宋体" w:cs="宋体"/>
          <w:color w:val="auto"/>
          <w:spacing w:val="-6"/>
          <w:sz w:val="21"/>
          <w:szCs w:val="21"/>
          <w:highlight w:val="none"/>
        </w:rPr>
        <w:t>和</w:t>
      </w:r>
      <w:r>
        <w:rPr>
          <w:rFonts w:hint="eastAsia" w:cs="宋体"/>
          <w:color w:val="auto"/>
          <w:spacing w:val="-6"/>
          <w:sz w:val="21"/>
          <w:szCs w:val="21"/>
          <w:highlight w:val="none"/>
          <w:lang w:eastAsia="zh-CN"/>
        </w:rPr>
        <w:t>乙方</w:t>
      </w:r>
      <w:r>
        <w:rPr>
          <w:rFonts w:hint="eastAsia" w:ascii="宋体" w:hAnsi="宋体" w:eastAsia="宋体" w:cs="宋体"/>
          <w:color w:val="auto"/>
          <w:spacing w:val="-6"/>
          <w:sz w:val="21"/>
          <w:szCs w:val="21"/>
          <w:highlight w:val="none"/>
        </w:rPr>
        <w:t>双方共同</w:t>
      </w:r>
      <w:r>
        <w:rPr>
          <w:rFonts w:hint="eastAsia" w:cs="宋体"/>
          <w:color w:val="auto"/>
          <w:spacing w:val="-6"/>
          <w:sz w:val="21"/>
          <w:szCs w:val="21"/>
          <w:highlight w:val="none"/>
          <w:lang w:val="en-US" w:eastAsia="zh-CN"/>
        </w:rPr>
        <w:t>对东莞市常平镇三个</w:t>
      </w:r>
      <w:r>
        <w:rPr>
          <w:rFonts w:hint="eastAsia" w:ascii="宋体" w:hAnsi="宋体" w:eastAsia="宋体" w:cs="宋体"/>
          <w:color w:val="auto"/>
          <w:spacing w:val="-6"/>
          <w:sz w:val="21"/>
          <w:szCs w:val="21"/>
          <w:highlight w:val="none"/>
        </w:rPr>
        <w:t>市场</w:t>
      </w:r>
      <w:r>
        <w:rPr>
          <w:rFonts w:hint="eastAsia" w:cs="宋体"/>
          <w:color w:val="auto"/>
          <w:spacing w:val="-6"/>
          <w:sz w:val="21"/>
          <w:szCs w:val="21"/>
          <w:highlight w:val="none"/>
          <w:lang w:eastAsia="zh-CN"/>
        </w:rPr>
        <w:t>（</w:t>
      </w:r>
      <w:r>
        <w:rPr>
          <w:rFonts w:hint="eastAsia" w:cs="宋体"/>
          <w:color w:val="auto"/>
          <w:spacing w:val="-6"/>
          <w:sz w:val="21"/>
          <w:szCs w:val="21"/>
          <w:highlight w:val="none"/>
          <w:lang w:val="en-US" w:eastAsia="zh-CN"/>
        </w:rPr>
        <w:t>常平镇木伦市场、横江厦市场、常平镇金美市场</w:t>
      </w:r>
      <w:r>
        <w:rPr>
          <w:rFonts w:hint="eastAsia" w:cs="宋体"/>
          <w:color w:val="auto"/>
          <w:spacing w:val="-6"/>
          <w:sz w:val="21"/>
          <w:szCs w:val="21"/>
          <w:highlight w:val="none"/>
          <w:lang w:eastAsia="zh-CN"/>
        </w:rPr>
        <w:t>）</w:t>
      </w:r>
      <w:r>
        <w:rPr>
          <w:rFonts w:hint="eastAsia" w:cs="宋体"/>
          <w:color w:val="auto"/>
          <w:spacing w:val="-6"/>
          <w:sz w:val="21"/>
          <w:szCs w:val="21"/>
          <w:highlight w:val="none"/>
          <w:lang w:val="en-US" w:eastAsia="zh-CN"/>
        </w:rPr>
        <w:t>抽样调查，核实相同品种的市场平均价格为基准价（</w:t>
      </w:r>
      <w:r>
        <w:rPr>
          <w:rFonts w:hint="eastAsia" w:ascii="宋体" w:hAnsi="宋体" w:eastAsia="宋体" w:cs="宋体"/>
          <w:bCs/>
          <w:color w:val="auto"/>
          <w:sz w:val="21"/>
          <w:szCs w:val="21"/>
          <w:highlight w:val="none"/>
        </w:rPr>
        <w:t>基准价=市场平均价=</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个市场抽样价格之和÷</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w:t>
      </w:r>
      <w:r>
        <w:rPr>
          <w:rFonts w:hint="eastAsia" w:ascii="宋体" w:hAnsi="宋体" w:eastAsia="宋体" w:cs="宋体"/>
          <w:bCs/>
          <w:color w:val="auto"/>
          <w:sz w:val="21"/>
          <w:szCs w:val="21"/>
          <w:highlight w:val="none"/>
        </w:rPr>
        <w:t>当</w:t>
      </w:r>
      <w:r>
        <w:rPr>
          <w:rFonts w:hint="eastAsia" w:ascii="宋体" w:hAnsi="宋体" w:cs="宋体"/>
          <w:bCs/>
          <w:color w:val="auto"/>
          <w:sz w:val="21"/>
          <w:szCs w:val="21"/>
          <w:highlight w:val="none"/>
          <w:lang w:val="en-US" w:eastAsia="zh-CN"/>
        </w:rPr>
        <w:t>期</w:t>
      </w:r>
      <w:r>
        <w:rPr>
          <w:rFonts w:hint="eastAsia" w:ascii="宋体" w:hAnsi="宋体" w:eastAsia="宋体" w:cs="宋体"/>
          <w:bCs/>
          <w:color w:val="auto"/>
          <w:sz w:val="21"/>
          <w:szCs w:val="21"/>
          <w:highlight w:val="none"/>
        </w:rPr>
        <w:t>基准价格一经确定，双方须严格执行，不受市场物价波动影响，不得调价。</w:t>
      </w:r>
    </w:p>
    <w:p w14:paraId="40298B3C">
      <w:pPr>
        <w:widowControl w:val="0"/>
        <w:shd w:val="clear" w:color="auto"/>
        <w:tabs>
          <w:tab w:val="left" w:pos="709"/>
        </w:tabs>
        <w:adjustRightInd/>
        <w:snapToGrid/>
        <w:spacing w:after="0" w:line="360" w:lineRule="auto"/>
        <w:ind w:firstLine="420" w:firstLineChars="200"/>
        <w:jc w:val="both"/>
        <w:rPr>
          <w:rFonts w:hint="eastAsia" w:ascii="宋体" w:hAnsi="宋体" w:eastAsia="宋体" w:cs="宋体"/>
          <w:color w:val="auto"/>
          <w:spacing w:val="-6"/>
          <w:sz w:val="21"/>
          <w:szCs w:val="21"/>
          <w:highlight w:val="none"/>
        </w:rPr>
      </w:pPr>
      <w:r>
        <w:rPr>
          <w:rFonts w:hint="eastAsia" w:ascii="宋体" w:hAnsi="宋体" w:cs="宋体"/>
          <w:bCs/>
          <w:color w:val="auto"/>
          <w:sz w:val="21"/>
          <w:szCs w:val="21"/>
          <w:highlight w:val="none"/>
          <w:lang w:val="en-US" w:eastAsia="zh-CN"/>
        </w:rPr>
        <w:t>3.定价周期：</w:t>
      </w:r>
      <w:r>
        <w:rPr>
          <w:rFonts w:hint="eastAsia" w:ascii="宋体" w:hAnsi="宋体" w:eastAsia="宋体" w:cs="宋体"/>
          <w:color w:val="auto"/>
          <w:spacing w:val="-6"/>
          <w:sz w:val="21"/>
          <w:szCs w:val="21"/>
          <w:highlight w:val="none"/>
        </w:rPr>
        <w:t>每15日更新一次，</w:t>
      </w:r>
      <w:r>
        <w:rPr>
          <w:rFonts w:hint="eastAsia" w:cs="宋体"/>
          <w:color w:val="auto"/>
          <w:spacing w:val="-6"/>
          <w:sz w:val="21"/>
          <w:szCs w:val="21"/>
          <w:highlight w:val="none"/>
          <w:lang w:eastAsia="zh-CN"/>
        </w:rPr>
        <w:t>乙方</w:t>
      </w:r>
      <w:r>
        <w:rPr>
          <w:rFonts w:hint="eastAsia" w:ascii="宋体" w:hAnsi="宋体" w:eastAsia="宋体" w:cs="宋体"/>
          <w:color w:val="auto"/>
          <w:spacing w:val="-6"/>
          <w:sz w:val="21"/>
          <w:szCs w:val="21"/>
          <w:highlight w:val="none"/>
        </w:rPr>
        <w:t>须每次至少提前2天提交下次报价清单给</w:t>
      </w:r>
      <w:r>
        <w:rPr>
          <w:rFonts w:hint="eastAsia" w:cs="宋体"/>
          <w:color w:val="auto"/>
          <w:spacing w:val="-6"/>
          <w:sz w:val="21"/>
          <w:szCs w:val="21"/>
          <w:highlight w:val="none"/>
          <w:lang w:eastAsia="zh-CN"/>
        </w:rPr>
        <w:t>甲方</w:t>
      </w:r>
      <w:r>
        <w:rPr>
          <w:rFonts w:hint="eastAsia" w:ascii="宋体" w:hAnsi="宋体" w:eastAsia="宋体" w:cs="宋体"/>
          <w:color w:val="auto"/>
          <w:spacing w:val="-6"/>
          <w:sz w:val="21"/>
          <w:szCs w:val="21"/>
          <w:highlight w:val="none"/>
        </w:rPr>
        <w:t>审核</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一般是每月13日前、28日前</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rPr>
        <w:t>，双方签字后生效。</w:t>
      </w:r>
    </w:p>
    <w:p w14:paraId="691F7203">
      <w:pPr>
        <w:keepNext w:val="0"/>
        <w:keepLines w:val="0"/>
        <w:pageBreakBefore w:val="0"/>
        <w:widowControl/>
        <w:shd w:val="clear" w:color="auto"/>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Cs/>
          <w:color w:val="auto"/>
          <w:sz w:val="21"/>
          <w:szCs w:val="21"/>
          <w:highlight w:val="none"/>
        </w:rPr>
        <w:t>4.</w:t>
      </w:r>
      <w:r>
        <w:rPr>
          <w:rFonts w:hint="eastAsia" w:cs="宋体"/>
          <w:b w:val="0"/>
          <w:bCs w:val="0"/>
          <w:color w:val="auto"/>
          <w:szCs w:val="21"/>
          <w:highlight w:val="none"/>
          <w:lang w:eastAsia="zh-CN"/>
        </w:rPr>
        <w:t>乙方</w:t>
      </w:r>
      <w:r>
        <w:rPr>
          <w:rFonts w:hint="eastAsia" w:ascii="宋体" w:hAnsi="宋体" w:eastAsia="宋体" w:cs="宋体"/>
          <w:b w:val="0"/>
          <w:bCs w:val="0"/>
          <w:color w:val="auto"/>
          <w:szCs w:val="21"/>
          <w:highlight w:val="none"/>
        </w:rPr>
        <w:t>的供货价应包含交给</w:t>
      </w:r>
      <w:r>
        <w:rPr>
          <w:rFonts w:hint="eastAsia" w:cs="宋体"/>
          <w:b w:val="0"/>
          <w:bCs w:val="0"/>
          <w:color w:val="auto"/>
          <w:szCs w:val="21"/>
          <w:highlight w:val="none"/>
          <w:lang w:eastAsia="zh-CN"/>
        </w:rPr>
        <w:t>甲方</w:t>
      </w:r>
      <w:r>
        <w:rPr>
          <w:rFonts w:hint="eastAsia" w:ascii="宋体" w:hAnsi="宋体" w:eastAsia="宋体" w:cs="宋体"/>
          <w:b w:val="0"/>
          <w:bCs w:val="0"/>
          <w:color w:val="auto"/>
          <w:szCs w:val="21"/>
          <w:highlight w:val="none"/>
        </w:rPr>
        <w:t>之前的一切可预见及不可预见的费用，包括购置费、 包装费、运输费、装卸费、搬运费、储存费、人工费、保险费、各种税费等，并承担送货途中的一切风险。</w:t>
      </w:r>
    </w:p>
    <w:p w14:paraId="2A9B0B24">
      <w:pPr>
        <w:widowControl w:val="0"/>
        <w:shd w:val="clear" w:color="auto"/>
        <w:tabs>
          <w:tab w:val="left" w:pos="709"/>
        </w:tabs>
        <w:adjustRightInd/>
        <w:snapToGrid/>
        <w:spacing w:after="0" w:line="360" w:lineRule="auto"/>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在项目的实施过程中，</w:t>
      </w:r>
      <w:r>
        <w:rPr>
          <w:rFonts w:hint="eastAsia" w:cs="宋体"/>
          <w:bCs/>
          <w:color w:val="auto"/>
          <w:sz w:val="21"/>
          <w:szCs w:val="21"/>
          <w:highlight w:val="none"/>
          <w:lang w:eastAsia="zh-CN"/>
        </w:rPr>
        <w:t>乙方</w:t>
      </w:r>
      <w:r>
        <w:rPr>
          <w:rFonts w:hint="eastAsia" w:ascii="宋体" w:hAnsi="宋体" w:eastAsia="宋体" w:cs="宋体"/>
          <w:bCs/>
          <w:color w:val="auto"/>
          <w:sz w:val="21"/>
          <w:szCs w:val="21"/>
          <w:highlight w:val="none"/>
        </w:rPr>
        <w:t>必须充分考虑在本项目实施期间的一切可能产生的风险和相关费用，</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无需支付合同约定货款之外的任何费用和补偿。</w:t>
      </w:r>
    </w:p>
    <w:p w14:paraId="27F50D7C">
      <w:pPr>
        <w:widowControl w:val="0"/>
        <w:shd w:val="clear" w:color="auto"/>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有权随时抽查</w:t>
      </w:r>
      <w:r>
        <w:rPr>
          <w:rFonts w:hint="eastAsia" w:cs="宋体"/>
          <w:bCs/>
          <w:color w:val="auto"/>
          <w:sz w:val="21"/>
          <w:szCs w:val="21"/>
          <w:highlight w:val="none"/>
          <w:lang w:eastAsia="zh-CN"/>
        </w:rPr>
        <w:t>乙方</w:t>
      </w:r>
      <w:r>
        <w:rPr>
          <w:rFonts w:hint="eastAsia" w:ascii="宋体" w:hAnsi="宋体" w:eastAsia="宋体" w:cs="宋体"/>
          <w:bCs/>
          <w:color w:val="auto"/>
          <w:sz w:val="21"/>
          <w:szCs w:val="21"/>
          <w:highlight w:val="none"/>
        </w:rPr>
        <w:t>的供货食材入货台账或进行市场调查，发现</w:t>
      </w:r>
      <w:r>
        <w:rPr>
          <w:rFonts w:hint="eastAsia" w:cs="宋体"/>
          <w:bCs/>
          <w:color w:val="auto"/>
          <w:sz w:val="21"/>
          <w:szCs w:val="21"/>
          <w:highlight w:val="none"/>
          <w:lang w:eastAsia="zh-CN"/>
        </w:rPr>
        <w:t>乙方</w:t>
      </w:r>
      <w:r>
        <w:rPr>
          <w:rFonts w:hint="eastAsia" w:ascii="宋体" w:hAnsi="宋体" w:eastAsia="宋体" w:cs="宋体"/>
          <w:bCs/>
          <w:color w:val="auto"/>
          <w:sz w:val="21"/>
          <w:szCs w:val="21"/>
          <w:highlight w:val="none"/>
        </w:rPr>
        <w:t>有虚报或隐瞒供货食材市场价存在欺骗行为，</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有权取消其中标资格，终止合同。</w:t>
      </w:r>
    </w:p>
    <w:p w14:paraId="1441133C">
      <w:pPr>
        <w:widowControl w:val="0"/>
        <w:shd w:val="clear" w:color="auto"/>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临时需求货品不在核定的供货价格清单内的，</w:t>
      </w:r>
      <w:r>
        <w:rPr>
          <w:rFonts w:hint="eastAsia" w:cs="宋体"/>
          <w:bCs/>
          <w:color w:val="auto"/>
          <w:sz w:val="21"/>
          <w:szCs w:val="21"/>
          <w:highlight w:val="none"/>
          <w:lang w:eastAsia="zh-CN"/>
        </w:rPr>
        <w:t>乙方</w:t>
      </w:r>
      <w:r>
        <w:rPr>
          <w:rFonts w:hint="eastAsia" w:ascii="宋体" w:hAnsi="宋体" w:eastAsia="宋体" w:cs="宋体"/>
          <w:bCs/>
          <w:color w:val="auto"/>
          <w:sz w:val="21"/>
          <w:szCs w:val="21"/>
          <w:highlight w:val="none"/>
        </w:rPr>
        <w:t>必须按</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要求供货，供货价格由双方临时确定。下次该货品应纳入报价清单，并按上述定价原则确定供货价格。</w:t>
      </w:r>
    </w:p>
    <w:p w14:paraId="3C462ED6">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.若遇台风、暴雨等意外原因造成的个别品种价格需临时调整，应通知</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，并征得</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同意后方可调整，</w:t>
      </w:r>
      <w:r>
        <w:rPr>
          <w:rFonts w:hint="eastAsia" w:ascii="宋体" w:hAnsi="宋体" w:eastAsia="宋体" w:cs="宋体"/>
          <w:bCs/>
          <w:color w:val="auto"/>
          <w:sz w:val="21"/>
          <w:szCs w:val="21"/>
          <w:highlight w:val="none"/>
          <w:lang w:val="en-US" w:eastAsia="zh-CN"/>
        </w:rPr>
        <w:t>调整后的价格仅对当次送货订单有效，后续其他送货订单仍应按该周期确认的报价执行。</w:t>
      </w:r>
      <w:r>
        <w:rPr>
          <w:rFonts w:hint="eastAsia" w:cs="宋体"/>
          <w:bCs/>
          <w:color w:val="auto"/>
          <w:sz w:val="21"/>
          <w:szCs w:val="21"/>
          <w:highlight w:val="none"/>
          <w:lang w:val="en-US" w:eastAsia="zh-CN"/>
        </w:rPr>
        <w:t>甲方</w:t>
      </w:r>
      <w:r>
        <w:rPr>
          <w:rFonts w:hint="eastAsia" w:ascii="宋体" w:hAnsi="宋体" w:eastAsia="宋体" w:cs="宋体"/>
          <w:bCs/>
          <w:color w:val="auto"/>
          <w:sz w:val="21"/>
          <w:szCs w:val="21"/>
          <w:highlight w:val="none"/>
          <w:lang w:val="en-US" w:eastAsia="zh-CN"/>
        </w:rPr>
        <w:t>认为无需调整的，</w:t>
      </w: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仍应按该周期确认的报价送货结算</w:t>
      </w:r>
      <w:r>
        <w:rPr>
          <w:rFonts w:hint="eastAsia" w:ascii="宋体" w:hAnsi="宋体" w:cs="宋体"/>
          <w:bCs/>
          <w:color w:val="auto"/>
          <w:sz w:val="21"/>
          <w:szCs w:val="21"/>
          <w:highlight w:val="none"/>
          <w:lang w:val="en-US" w:eastAsia="zh-CN"/>
        </w:rPr>
        <w:t>。</w:t>
      </w:r>
    </w:p>
    <w:p w14:paraId="3FB0AFEA">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第五条</w:t>
      </w:r>
      <w:r>
        <w:rPr>
          <w:rFonts w:hint="eastAsia" w:ascii="宋体" w:hAnsi="宋体" w:eastAsia="宋体" w:cs="宋体"/>
          <w:b/>
          <w:bCs/>
          <w:color w:val="auto"/>
          <w:sz w:val="21"/>
          <w:szCs w:val="21"/>
          <w:highlight w:val="none"/>
          <w:lang w:val="en-US" w:eastAsia="zh-CN"/>
        </w:rPr>
        <w:t>保质期：</w:t>
      </w:r>
    </w:p>
    <w:p w14:paraId="6FC24C15">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保质期超过15日的，</w:t>
      </w: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拟提供货品的剩余保质期不得短于货品标记保质期的75%；保质期低于或等于15日的，</w:t>
      </w: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拟提供货品必须为送货当日屠宰或制作的货品。</w:t>
      </w:r>
    </w:p>
    <w:p w14:paraId="0EA74E86">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第</w:t>
      </w:r>
      <w:r>
        <w:rPr>
          <w:rFonts w:hint="eastAsia" w:cs="宋体"/>
          <w:b/>
          <w:bCs/>
          <w:color w:val="auto"/>
          <w:sz w:val="21"/>
          <w:szCs w:val="21"/>
          <w:highlight w:val="none"/>
          <w:lang w:val="en-US" w:eastAsia="zh-CN"/>
        </w:rPr>
        <w:t>六</w:t>
      </w:r>
      <w:r>
        <w:rPr>
          <w:rFonts w:hint="eastAsia" w:ascii="宋体" w:hAnsi="宋体" w:eastAsia="宋体" w:cs="宋体"/>
          <w:b/>
          <w:bCs/>
          <w:color w:val="auto"/>
          <w:sz w:val="21"/>
          <w:szCs w:val="21"/>
          <w:highlight w:val="none"/>
        </w:rPr>
        <w:t>条食品安全责任保险</w:t>
      </w:r>
      <w:r>
        <w:rPr>
          <w:rFonts w:hint="eastAsia" w:ascii="宋体" w:hAnsi="宋体" w:eastAsia="宋体" w:cs="宋体"/>
          <w:b/>
          <w:bCs/>
          <w:color w:val="auto"/>
          <w:sz w:val="21"/>
          <w:szCs w:val="21"/>
          <w:highlight w:val="none"/>
          <w:lang w:val="en-US" w:eastAsia="zh-CN"/>
        </w:rPr>
        <w:t>要求：</w:t>
      </w:r>
    </w:p>
    <w:p w14:paraId="06050976">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cs="宋体"/>
          <w:bCs/>
          <w:color w:val="auto"/>
          <w:sz w:val="21"/>
          <w:szCs w:val="21"/>
          <w:highlight w:val="none"/>
          <w:lang w:val="en-US" w:eastAsia="zh-CN"/>
        </w:rPr>
        <w:t>乙方</w:t>
      </w:r>
      <w:r>
        <w:rPr>
          <w:rFonts w:hint="default" w:ascii="宋体" w:hAnsi="宋体" w:eastAsia="宋体" w:cs="宋体"/>
          <w:bCs/>
          <w:color w:val="auto"/>
          <w:sz w:val="21"/>
          <w:szCs w:val="21"/>
          <w:highlight w:val="none"/>
          <w:lang w:val="en-US" w:eastAsia="zh-CN"/>
        </w:rPr>
        <w:t>须为</w:t>
      </w:r>
      <w:r>
        <w:rPr>
          <w:rFonts w:hint="eastAsia" w:cs="宋体"/>
          <w:bCs/>
          <w:color w:val="auto"/>
          <w:sz w:val="21"/>
          <w:szCs w:val="21"/>
          <w:highlight w:val="none"/>
          <w:lang w:val="en-US" w:eastAsia="zh-CN"/>
        </w:rPr>
        <w:t>甲方</w:t>
      </w:r>
      <w:r>
        <w:rPr>
          <w:rFonts w:hint="default" w:ascii="宋体" w:hAnsi="宋体" w:eastAsia="宋体" w:cs="宋体"/>
          <w:bCs/>
          <w:color w:val="auto"/>
          <w:sz w:val="21"/>
          <w:szCs w:val="21"/>
          <w:highlight w:val="none"/>
          <w:lang w:val="en-US" w:eastAsia="zh-CN"/>
        </w:rPr>
        <w:t>提供一份</w:t>
      </w:r>
      <w:r>
        <w:rPr>
          <w:rFonts w:hint="eastAsia" w:cs="宋体"/>
          <w:bCs/>
          <w:color w:val="auto"/>
          <w:sz w:val="21"/>
          <w:szCs w:val="21"/>
          <w:highlight w:val="none"/>
          <w:lang w:val="en-US" w:eastAsia="zh-CN"/>
        </w:rPr>
        <w:t>甲方</w:t>
      </w:r>
      <w:r>
        <w:rPr>
          <w:rFonts w:hint="default" w:ascii="宋体" w:hAnsi="宋体" w:eastAsia="宋体" w:cs="宋体"/>
          <w:bCs/>
          <w:color w:val="auto"/>
          <w:sz w:val="21"/>
          <w:szCs w:val="21"/>
          <w:highlight w:val="none"/>
          <w:lang w:val="en-US" w:eastAsia="zh-CN"/>
        </w:rPr>
        <w:t>为受益人、额度为</w:t>
      </w:r>
      <w:r>
        <w:rPr>
          <w:rFonts w:hint="eastAsia" w:ascii="宋体" w:hAnsi="宋体" w:eastAsia="宋体" w:cs="宋体"/>
          <w:bCs/>
          <w:color w:val="auto"/>
          <w:sz w:val="21"/>
          <w:szCs w:val="21"/>
          <w:highlight w:val="none"/>
          <w:lang w:val="en-US" w:eastAsia="zh-CN"/>
        </w:rPr>
        <w:t>2亿</w:t>
      </w:r>
      <w:r>
        <w:rPr>
          <w:rFonts w:hint="default" w:ascii="宋体" w:hAnsi="宋体" w:eastAsia="宋体" w:cs="宋体"/>
          <w:bCs/>
          <w:color w:val="auto"/>
          <w:sz w:val="21"/>
          <w:szCs w:val="21"/>
          <w:highlight w:val="none"/>
          <w:lang w:val="en-US" w:eastAsia="zh-CN"/>
        </w:rPr>
        <w:t>元的保险（食品安全责任险），</w:t>
      </w:r>
      <w:r>
        <w:rPr>
          <w:rFonts w:hint="eastAsia" w:ascii="宋体" w:hAnsi="宋体" w:eastAsia="宋体" w:cs="宋体"/>
          <w:bCs/>
          <w:color w:val="auto"/>
          <w:sz w:val="21"/>
          <w:szCs w:val="21"/>
          <w:highlight w:val="none"/>
          <w:lang w:val="en-US" w:eastAsia="zh-CN"/>
        </w:rPr>
        <w:t>保险承保期限不短于合同有效期。</w:t>
      </w:r>
    </w:p>
    <w:p w14:paraId="2F6D531C">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第</w:t>
      </w:r>
      <w:r>
        <w:rPr>
          <w:rFonts w:hint="eastAsia"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条保密条款</w:t>
      </w:r>
      <w:r>
        <w:rPr>
          <w:rFonts w:hint="eastAsia" w:ascii="宋体" w:hAnsi="宋体" w:eastAsia="宋体" w:cs="宋体"/>
          <w:b/>
          <w:bCs/>
          <w:color w:val="auto"/>
          <w:sz w:val="21"/>
          <w:szCs w:val="21"/>
          <w:highlight w:val="none"/>
          <w:lang w:val="en-US" w:eastAsia="zh-CN"/>
        </w:rPr>
        <w:t>：</w:t>
      </w:r>
    </w:p>
    <w:p w14:paraId="1BFE20F5">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在实施货物供货期间，不得将供货的实际数量及供货地点泄露给其他企业或者个人，</w:t>
      </w: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必须指派相对固定的人员完成货物配送服务，并需将配送人员的详细资料报</w:t>
      </w:r>
      <w:r>
        <w:rPr>
          <w:rFonts w:hint="eastAsia" w:cs="宋体"/>
          <w:bCs/>
          <w:color w:val="auto"/>
          <w:sz w:val="21"/>
          <w:szCs w:val="21"/>
          <w:highlight w:val="none"/>
          <w:lang w:val="en-US" w:eastAsia="zh-CN"/>
        </w:rPr>
        <w:t>甲方</w:t>
      </w:r>
      <w:r>
        <w:rPr>
          <w:rFonts w:hint="eastAsia" w:ascii="宋体" w:hAnsi="宋体" w:eastAsia="宋体" w:cs="宋体"/>
          <w:bCs/>
          <w:color w:val="auto"/>
          <w:sz w:val="21"/>
          <w:szCs w:val="21"/>
          <w:highlight w:val="none"/>
          <w:lang w:val="en-US" w:eastAsia="zh-CN"/>
        </w:rPr>
        <w:t>备案，货物配送人员必须遵纪守法、品行良好，无违法犯罪记录。如需要更换配送人员，必须事先通知</w:t>
      </w:r>
      <w:r>
        <w:rPr>
          <w:rFonts w:hint="eastAsia" w:cs="宋体"/>
          <w:bCs/>
          <w:color w:val="auto"/>
          <w:sz w:val="21"/>
          <w:szCs w:val="21"/>
          <w:highlight w:val="none"/>
          <w:lang w:val="en-US" w:eastAsia="zh-CN"/>
        </w:rPr>
        <w:t>甲方</w:t>
      </w:r>
      <w:r>
        <w:rPr>
          <w:rFonts w:hint="eastAsia" w:ascii="宋体" w:hAnsi="宋体" w:eastAsia="宋体" w:cs="宋体"/>
          <w:bCs/>
          <w:color w:val="auto"/>
          <w:sz w:val="21"/>
          <w:szCs w:val="21"/>
          <w:highlight w:val="none"/>
          <w:lang w:val="en-US" w:eastAsia="zh-CN"/>
        </w:rPr>
        <w:t>并将其个人资料送</w:t>
      </w:r>
      <w:r>
        <w:rPr>
          <w:rFonts w:hint="eastAsia" w:cs="宋体"/>
          <w:bCs/>
          <w:color w:val="auto"/>
          <w:sz w:val="21"/>
          <w:szCs w:val="21"/>
          <w:highlight w:val="none"/>
          <w:lang w:val="en-US" w:eastAsia="zh-CN"/>
        </w:rPr>
        <w:t>甲方</w:t>
      </w:r>
      <w:r>
        <w:rPr>
          <w:rFonts w:hint="eastAsia" w:ascii="宋体" w:hAnsi="宋体" w:eastAsia="宋体" w:cs="宋体"/>
          <w:bCs/>
          <w:color w:val="auto"/>
          <w:sz w:val="21"/>
          <w:szCs w:val="21"/>
          <w:highlight w:val="none"/>
          <w:lang w:val="en-US" w:eastAsia="zh-CN"/>
        </w:rPr>
        <w:t>审批，审批合格者才能更换。</w:t>
      </w:r>
    </w:p>
    <w:p w14:paraId="51A79BE4">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第</w:t>
      </w:r>
      <w:r>
        <w:rPr>
          <w:rFonts w:hint="eastAsia" w:cs="宋体"/>
          <w:b/>
          <w:bCs/>
          <w:color w:val="auto"/>
          <w:sz w:val="21"/>
          <w:szCs w:val="21"/>
          <w:highlight w:val="none"/>
          <w:lang w:val="en-US" w:eastAsia="zh-CN"/>
        </w:rPr>
        <w:t>八</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val="en-US" w:eastAsia="zh-CN"/>
        </w:rPr>
        <w:t>售后服务：</w:t>
      </w:r>
    </w:p>
    <w:p w14:paraId="5615C9E4">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1.售后服务方式均为</w:t>
      </w: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上门服务。</w:t>
      </w:r>
    </w:p>
    <w:p w14:paraId="7C54344C">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2.非甲方的人为原因而出现产品质量问题，乙方应根据甲方要求，在规定时间内完成退换，并承担因此而产生的一切费用。</w:t>
      </w:r>
    </w:p>
    <w:p w14:paraId="15DC5AAC">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应具备完善的售后服务体系和客户投诉处理机制， 有专门负责售后的服务人员，能够满足服务过程中</w:t>
      </w:r>
      <w:r>
        <w:rPr>
          <w:rFonts w:hint="eastAsia" w:cs="宋体"/>
          <w:bCs/>
          <w:color w:val="auto"/>
          <w:sz w:val="21"/>
          <w:szCs w:val="21"/>
          <w:highlight w:val="none"/>
          <w:lang w:val="en-US" w:eastAsia="zh-CN"/>
        </w:rPr>
        <w:t>甲方</w:t>
      </w:r>
      <w:r>
        <w:rPr>
          <w:rFonts w:hint="eastAsia" w:ascii="宋体" w:hAnsi="宋体" w:eastAsia="宋体" w:cs="宋体"/>
          <w:bCs/>
          <w:color w:val="auto"/>
          <w:sz w:val="21"/>
          <w:szCs w:val="21"/>
          <w:highlight w:val="none"/>
          <w:lang w:val="en-US" w:eastAsia="zh-CN"/>
        </w:rPr>
        <w:t>的响应需求。</w:t>
      </w:r>
    </w:p>
    <w:p w14:paraId="750128D6">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九</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val="en-US"/>
        </w:rPr>
        <w:t xml:space="preserve"> </w:t>
      </w:r>
      <w:r>
        <w:rPr>
          <w:rFonts w:hint="eastAsia" w:ascii="宋体" w:hAnsi="宋体" w:eastAsia="宋体" w:cs="宋体"/>
          <w:b/>
          <w:bCs/>
          <w:color w:val="auto"/>
          <w:sz w:val="21"/>
          <w:szCs w:val="21"/>
          <w:highlight w:val="none"/>
        </w:rPr>
        <w:t>服务期限及地点</w:t>
      </w:r>
    </w:p>
    <w:p w14:paraId="0C59D989">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1、服务期：</w:t>
      </w:r>
      <w:r>
        <w:rPr>
          <w:rFonts w:hint="eastAsia" w:ascii="宋体" w:hAnsi="宋体" w:eastAsia="宋体" w:cs="宋体"/>
          <w:color w:val="auto"/>
          <w:sz w:val="21"/>
          <w:szCs w:val="21"/>
          <w:highlight w:val="none"/>
          <w:lang w:eastAsia="zh-CN"/>
        </w:rPr>
        <w:t>自合同签订之日起</w:t>
      </w:r>
      <w:r>
        <w:rPr>
          <w:rFonts w:hint="eastAsia" w:ascii="宋体" w:hAnsi="宋体" w:cs="宋体"/>
          <w:color w:val="auto"/>
          <w:sz w:val="21"/>
          <w:szCs w:val="21"/>
          <w:highlight w:val="none"/>
          <w:lang w:eastAsia="zh-CN"/>
        </w:rPr>
        <w:t>35个月</w:t>
      </w:r>
      <w:r>
        <w:rPr>
          <w:rFonts w:hint="eastAsia" w:ascii="宋体" w:hAnsi="宋体" w:eastAsia="宋体" w:cs="宋体"/>
          <w:color w:val="auto"/>
          <w:sz w:val="21"/>
          <w:szCs w:val="21"/>
          <w:highlight w:val="none"/>
        </w:rPr>
        <w:t>，合同生效之日自</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b/>
          <w:bCs/>
          <w:color w:val="auto"/>
          <w:sz w:val="21"/>
          <w:szCs w:val="21"/>
          <w:highlight w:val="none"/>
          <w:u w:val="single"/>
        </w:rPr>
        <w:t xml:space="preserve">年 </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b/>
          <w:bCs/>
          <w:color w:val="auto"/>
          <w:sz w:val="21"/>
          <w:szCs w:val="21"/>
          <w:highlight w:val="none"/>
          <w:u w:val="single"/>
        </w:rPr>
        <w:t xml:space="preserve">月 </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b/>
          <w:bCs/>
          <w:color w:val="auto"/>
          <w:sz w:val="21"/>
          <w:szCs w:val="21"/>
          <w:highlight w:val="none"/>
          <w:u w:val="single"/>
        </w:rPr>
        <w:t>日</w:t>
      </w:r>
      <w:r>
        <w:rPr>
          <w:rFonts w:hint="eastAsia" w:ascii="宋体" w:hAnsi="宋体" w:eastAsia="宋体" w:cs="宋体"/>
          <w:color w:val="auto"/>
          <w:sz w:val="21"/>
          <w:szCs w:val="21"/>
          <w:highlight w:val="none"/>
        </w:rPr>
        <w:t>至</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b/>
          <w:bCs/>
          <w:color w:val="auto"/>
          <w:sz w:val="21"/>
          <w:szCs w:val="21"/>
          <w:highlight w:val="none"/>
          <w:u w:val="single"/>
        </w:rPr>
        <w:t xml:space="preserve">年 </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b/>
          <w:bCs/>
          <w:color w:val="auto"/>
          <w:sz w:val="21"/>
          <w:szCs w:val="21"/>
          <w:highlight w:val="none"/>
          <w:u w:val="single"/>
        </w:rPr>
        <w:t xml:space="preserve">月 </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b/>
          <w:bCs/>
          <w:color w:val="auto"/>
          <w:sz w:val="21"/>
          <w:szCs w:val="21"/>
          <w:highlight w:val="none"/>
          <w:u w:val="single"/>
        </w:rPr>
        <w:t>日</w:t>
      </w:r>
      <w:r>
        <w:rPr>
          <w:rFonts w:hint="eastAsia" w:ascii="宋体" w:hAnsi="宋体" w:eastAsia="宋体" w:cs="宋体"/>
          <w:color w:val="auto"/>
          <w:sz w:val="21"/>
          <w:szCs w:val="21"/>
          <w:highlight w:val="none"/>
        </w:rPr>
        <w:t>止。</w:t>
      </w:r>
    </w:p>
    <w:p w14:paraId="1C9FCBFF">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2、服务地点：</w:t>
      </w:r>
      <w:r>
        <w:rPr>
          <w:rFonts w:hint="eastAsia" w:ascii="宋体" w:hAnsi="宋体" w:eastAsia="宋体" w:cs="宋体"/>
          <w:color w:val="auto"/>
          <w:sz w:val="21"/>
          <w:szCs w:val="21"/>
          <w:highlight w:val="none"/>
          <w:lang w:val="en-US" w:eastAsia="zh-CN"/>
        </w:rPr>
        <w:t>东莞市常平镇</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如有变化另行通知</w:t>
      </w:r>
      <w:r>
        <w:rPr>
          <w:rFonts w:hint="eastAsia" w:ascii="宋体" w:hAnsi="宋体" w:eastAsia="宋体" w:cs="宋体"/>
          <w:color w:val="auto"/>
          <w:sz w:val="21"/>
          <w:szCs w:val="21"/>
          <w:highlight w:val="none"/>
          <w:lang w:eastAsia="zh-CN"/>
        </w:rPr>
        <w:t>）</w:t>
      </w:r>
    </w:p>
    <w:p w14:paraId="6BAFBAC1">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十</w:t>
      </w:r>
      <w:r>
        <w:rPr>
          <w:rFonts w:hint="eastAsia" w:ascii="宋体" w:hAnsi="宋体" w:eastAsia="宋体" w:cs="宋体"/>
          <w:b/>
          <w:bCs/>
          <w:color w:val="auto"/>
          <w:sz w:val="21"/>
          <w:szCs w:val="21"/>
          <w:highlight w:val="none"/>
        </w:rPr>
        <w:t>条 付款方式</w:t>
      </w:r>
    </w:p>
    <w:p w14:paraId="6C9BC2A1">
      <w:pPr>
        <w:keepNext w:val="0"/>
        <w:keepLines w:val="0"/>
        <w:pageBreakBefore w:val="0"/>
        <w:widowControl/>
        <w:shd w:val="clear" w:color="auto"/>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1.按月结算费用</w:t>
      </w:r>
      <w:r>
        <w:rPr>
          <w:rFonts w:hint="eastAsia" w:ascii="宋体" w:hAnsi="宋体" w:eastAsia="宋体" w:cs="宋体"/>
          <w:color w:val="auto"/>
          <w:sz w:val="21"/>
          <w:szCs w:val="21"/>
          <w:highlight w:val="none"/>
          <w:lang w:eastAsia="zh-CN"/>
        </w:rPr>
        <w:t>，按实支付，本合同的每笔款项均以银行电汇方式支付，具体付款要求如下：双方采取先送货后结款的方式，</w:t>
      </w:r>
      <w:r>
        <w:rPr>
          <w:rFonts w:hint="eastAsia" w:ascii="宋体" w:hAnsi="宋体" w:cs="宋体"/>
          <w:color w:val="auto"/>
          <w:sz w:val="21"/>
          <w:szCs w:val="21"/>
          <w:highlight w:val="none"/>
          <w:lang w:val="en-US" w:eastAsia="zh-CN"/>
        </w:rPr>
        <w:t>当月结算上月货款</w:t>
      </w:r>
      <w:r>
        <w:rPr>
          <w:rFonts w:hint="eastAsia" w:ascii="宋体" w:hAnsi="宋体" w:eastAsia="宋体" w:cs="宋体"/>
          <w:color w:val="auto"/>
          <w:sz w:val="21"/>
          <w:szCs w:val="21"/>
          <w:highlight w:val="none"/>
          <w:lang w:eastAsia="zh-CN"/>
        </w:rPr>
        <w:t>。双方应在每月10日前核对上期货款</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遇节假日顺延</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w:t>
      </w:r>
      <w:r>
        <w:rPr>
          <w:rFonts w:hint="eastAsia"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核对货款时应当提交双方确认的送货单、报价单、《供应商月度评价表》，</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lang w:eastAsia="zh-CN"/>
        </w:rPr>
        <w:t>根据双方核对无误确认好的金额开具发票给</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lang w:eastAsia="zh-CN"/>
        </w:rPr>
        <w:t>请款，</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lang w:eastAsia="zh-CN"/>
        </w:rPr>
        <w:t>应在收到</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lang w:eastAsia="zh-CN"/>
        </w:rPr>
        <w:t>发票后的30个工作日内支付上月的货款，</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lang w:eastAsia="zh-CN"/>
        </w:rPr>
        <w:t>以银行转账方式将货款一次性转入</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lang w:eastAsia="zh-CN"/>
        </w:rPr>
        <w:t>书面指定的银行账户</w:t>
      </w:r>
      <w:r>
        <w:rPr>
          <w:rFonts w:hint="eastAsia" w:ascii="宋体" w:hAnsi="宋体" w:cs="宋体"/>
          <w:color w:val="auto"/>
          <w:sz w:val="21"/>
          <w:szCs w:val="21"/>
          <w:highlight w:val="none"/>
          <w:lang w:eastAsia="zh-CN"/>
        </w:rPr>
        <w:t>【</w:t>
      </w:r>
      <w:r>
        <w:rPr>
          <w:rFonts w:hint="eastAsia" w:ascii="宋体" w:hAnsi="宋体" w:eastAsia="宋体" w:cs="宋体"/>
          <w:color w:val="auto"/>
          <w:spacing w:val="-3"/>
          <w:sz w:val="21"/>
          <w:szCs w:val="21"/>
          <w:highlight w:val="none"/>
        </w:rPr>
        <w:t>其中：货品结算价格=经</w:t>
      </w:r>
      <w:r>
        <w:rPr>
          <w:rFonts w:hint="eastAsia" w:cs="宋体"/>
          <w:color w:val="auto"/>
          <w:spacing w:val="-3"/>
          <w:sz w:val="21"/>
          <w:szCs w:val="21"/>
          <w:highlight w:val="none"/>
          <w:lang w:eastAsia="zh-CN"/>
        </w:rPr>
        <w:t>甲方</w:t>
      </w:r>
      <w:r>
        <w:rPr>
          <w:rFonts w:hint="eastAsia" w:ascii="宋体" w:hAnsi="宋体" w:eastAsia="宋体" w:cs="宋体"/>
          <w:color w:val="auto"/>
          <w:spacing w:val="-4"/>
          <w:sz w:val="21"/>
          <w:szCs w:val="21"/>
          <w:highlight w:val="none"/>
        </w:rPr>
        <w:t>核定确认的基准价×（1-中标下浮率）</w:t>
      </w:r>
      <w:r>
        <w:rPr>
          <w:rFonts w:hint="eastAsia" w:ascii="宋体" w:hAnsi="宋体" w:cs="宋体"/>
          <w:color w:val="auto"/>
          <w:spacing w:val="-4"/>
          <w:sz w:val="21"/>
          <w:szCs w:val="21"/>
          <w:highlight w:val="none"/>
          <w:lang w:eastAsia="zh-CN"/>
        </w:rPr>
        <w:t>；</w:t>
      </w:r>
      <w:r>
        <w:rPr>
          <w:rFonts w:hint="eastAsia" w:ascii="宋体" w:hAnsi="宋体" w:cs="宋体"/>
          <w:color w:val="auto"/>
          <w:spacing w:val="-4"/>
          <w:sz w:val="21"/>
          <w:szCs w:val="21"/>
          <w:highlight w:val="none"/>
          <w:lang w:val="en-US" w:eastAsia="zh-CN"/>
        </w:rPr>
        <w:t>货款结算额=</w:t>
      </w:r>
      <w:r>
        <w:rPr>
          <w:rFonts w:hint="eastAsia" w:ascii="宋体" w:hAnsi="宋体" w:eastAsia="宋体" w:cs="宋体"/>
          <w:color w:val="auto"/>
          <w:spacing w:val="-3"/>
          <w:sz w:val="21"/>
          <w:szCs w:val="21"/>
          <w:highlight w:val="none"/>
        </w:rPr>
        <w:t>货品结算价</w:t>
      </w:r>
      <w:r>
        <w:rPr>
          <w:rFonts w:hint="eastAsia" w:ascii="宋体" w:hAnsi="宋体" w:eastAsia="宋体" w:cs="宋体"/>
          <w:color w:val="auto"/>
          <w:spacing w:val="-3"/>
          <w:sz w:val="21"/>
          <w:szCs w:val="21"/>
          <w:highlight w:val="none"/>
          <w:lang w:val="en-US" w:eastAsia="zh-CN"/>
        </w:rPr>
        <w:t>×实际采购量-扣款（如有）</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w:t>
      </w:r>
    </w:p>
    <w:p w14:paraId="4E175E92">
      <w:pPr>
        <w:pStyle w:val="68"/>
        <w:keepNext w:val="0"/>
        <w:keepLines w:val="0"/>
        <w:pageBreakBefore w:val="0"/>
        <w:widowControl/>
        <w:shd w:val="clear" w:color="auto"/>
        <w:kinsoku/>
        <w:wordWrap/>
        <w:overflowPunct/>
        <w:topLinePunct w:val="0"/>
        <w:autoSpaceDE/>
        <w:autoSpaceDN/>
        <w:bidi w:val="0"/>
        <w:adjustRightInd w:val="0"/>
        <w:snapToGrid w:val="0"/>
        <w:spacing w:line="360" w:lineRule="auto"/>
        <w:ind w:left="0" w:right="0" w:firstLine="400" w:firstLineChars="200"/>
        <w:textAlignment w:val="auto"/>
        <w:rPr>
          <w:color w:val="auto"/>
          <w:highlight w:val="none"/>
        </w:rPr>
      </w:pPr>
      <w:r>
        <w:rPr>
          <w:rFonts w:hint="eastAsia" w:ascii="宋体" w:hAnsi="宋体" w:eastAsia="宋体" w:cs="宋体"/>
          <w:color w:val="auto"/>
          <w:spacing w:val="-5"/>
          <w:sz w:val="21"/>
          <w:szCs w:val="21"/>
          <w:highlight w:val="none"/>
        </w:rPr>
        <w:t>2</w:t>
      </w:r>
      <w:r>
        <w:rPr>
          <w:rFonts w:hint="eastAsia" w:cs="宋体"/>
          <w:color w:val="auto"/>
          <w:spacing w:val="-5"/>
          <w:sz w:val="21"/>
          <w:szCs w:val="21"/>
          <w:highlight w:val="none"/>
          <w:lang w:val="en-US" w:eastAsia="zh-CN"/>
        </w:rPr>
        <w:t>.</w:t>
      </w:r>
      <w:r>
        <w:rPr>
          <w:rFonts w:hint="eastAsia" w:ascii="宋体" w:hAnsi="宋体" w:eastAsia="宋体" w:cs="宋体"/>
          <w:color w:val="auto"/>
          <w:spacing w:val="-5"/>
          <w:sz w:val="21"/>
          <w:szCs w:val="21"/>
          <w:highlight w:val="none"/>
        </w:rPr>
        <w:t>收款方、发票的销售方、合同</w:t>
      </w:r>
      <w:r>
        <w:rPr>
          <w:rFonts w:hint="eastAsia" w:cs="宋体"/>
          <w:color w:val="auto"/>
          <w:spacing w:val="-5"/>
          <w:sz w:val="21"/>
          <w:szCs w:val="21"/>
          <w:highlight w:val="none"/>
          <w:lang w:eastAsia="zh-CN"/>
        </w:rPr>
        <w:t>乙方</w:t>
      </w:r>
      <w:r>
        <w:rPr>
          <w:rFonts w:hint="eastAsia" w:ascii="宋体" w:hAnsi="宋体" w:eastAsia="宋体" w:cs="宋体"/>
          <w:color w:val="auto"/>
          <w:spacing w:val="-5"/>
          <w:sz w:val="21"/>
          <w:szCs w:val="21"/>
          <w:highlight w:val="none"/>
        </w:rPr>
        <w:t>均必须与</w:t>
      </w:r>
      <w:r>
        <w:rPr>
          <w:rFonts w:hint="eastAsia" w:cs="宋体"/>
          <w:color w:val="auto"/>
          <w:spacing w:val="-5"/>
          <w:sz w:val="21"/>
          <w:szCs w:val="21"/>
          <w:highlight w:val="none"/>
          <w:lang w:eastAsia="zh-CN"/>
        </w:rPr>
        <w:t>乙方</w:t>
      </w:r>
      <w:r>
        <w:rPr>
          <w:rFonts w:hint="eastAsia" w:ascii="宋体" w:hAnsi="宋体" w:eastAsia="宋体" w:cs="宋体"/>
          <w:color w:val="auto"/>
          <w:spacing w:val="-5"/>
          <w:sz w:val="21"/>
          <w:szCs w:val="21"/>
          <w:highlight w:val="none"/>
        </w:rPr>
        <w:t xml:space="preserve">名称一致。 </w:t>
      </w:r>
      <w:r>
        <w:rPr>
          <w:rFonts w:hint="eastAsia" w:ascii="宋体" w:hAnsi="宋体" w:eastAsia="宋体" w:cs="宋体"/>
          <w:color w:val="auto"/>
          <w:spacing w:val="-5"/>
          <w:sz w:val="21"/>
          <w:szCs w:val="21"/>
          <w:highlight w:val="none"/>
          <w:lang w:val="en-US" w:eastAsia="zh-CN"/>
        </w:rPr>
        <w:t>若</w:t>
      </w:r>
      <w:r>
        <w:rPr>
          <w:rFonts w:hint="eastAsia" w:cs="宋体"/>
          <w:color w:val="auto"/>
          <w:spacing w:val="-5"/>
          <w:sz w:val="21"/>
          <w:szCs w:val="21"/>
          <w:highlight w:val="none"/>
          <w:lang w:val="en-US" w:eastAsia="zh-CN"/>
        </w:rPr>
        <w:t>乙方</w:t>
      </w:r>
      <w:r>
        <w:rPr>
          <w:rFonts w:hint="eastAsia" w:ascii="宋体" w:hAnsi="宋体" w:eastAsia="宋体" w:cs="宋体"/>
          <w:color w:val="auto"/>
          <w:spacing w:val="-5"/>
          <w:sz w:val="21"/>
          <w:szCs w:val="21"/>
          <w:highlight w:val="none"/>
          <w:lang w:val="en-US" w:eastAsia="zh-CN"/>
        </w:rPr>
        <w:t>递交材料不符合上述约定的，</w:t>
      </w:r>
      <w:r>
        <w:rPr>
          <w:rFonts w:hint="eastAsia" w:cs="宋体"/>
          <w:color w:val="auto"/>
          <w:spacing w:val="-5"/>
          <w:sz w:val="21"/>
          <w:szCs w:val="21"/>
          <w:highlight w:val="none"/>
          <w:lang w:val="en-US" w:eastAsia="zh-CN"/>
        </w:rPr>
        <w:t>甲方</w:t>
      </w:r>
      <w:r>
        <w:rPr>
          <w:rFonts w:hint="eastAsia" w:ascii="宋体" w:hAnsi="宋体" w:eastAsia="宋体" w:cs="宋体"/>
          <w:color w:val="auto"/>
          <w:spacing w:val="-5"/>
          <w:sz w:val="21"/>
          <w:szCs w:val="21"/>
          <w:highlight w:val="none"/>
          <w:lang w:val="en-US" w:eastAsia="zh-CN"/>
        </w:rPr>
        <w:t>有权顺延付款时间。如果</w:t>
      </w:r>
      <w:r>
        <w:rPr>
          <w:rFonts w:hint="eastAsia" w:cs="宋体"/>
          <w:color w:val="auto"/>
          <w:spacing w:val="-5"/>
          <w:sz w:val="21"/>
          <w:szCs w:val="21"/>
          <w:highlight w:val="none"/>
          <w:lang w:val="en-US" w:eastAsia="zh-CN"/>
        </w:rPr>
        <w:t>乙方</w:t>
      </w:r>
      <w:r>
        <w:rPr>
          <w:rFonts w:hint="eastAsia" w:ascii="宋体" w:hAnsi="宋体" w:eastAsia="宋体" w:cs="宋体"/>
          <w:color w:val="auto"/>
          <w:spacing w:val="-5"/>
          <w:sz w:val="21"/>
          <w:szCs w:val="21"/>
          <w:highlight w:val="none"/>
          <w:lang w:val="en-US" w:eastAsia="zh-CN"/>
        </w:rPr>
        <w:t>怠于或者拒绝提供资料或者办理手续的，则因此产生的付款迟延的责任全部由</w:t>
      </w:r>
      <w:r>
        <w:rPr>
          <w:rFonts w:hint="eastAsia" w:cs="宋体"/>
          <w:color w:val="auto"/>
          <w:spacing w:val="-5"/>
          <w:sz w:val="21"/>
          <w:szCs w:val="21"/>
          <w:highlight w:val="none"/>
          <w:lang w:val="en-US" w:eastAsia="zh-CN"/>
        </w:rPr>
        <w:t>乙方</w:t>
      </w:r>
      <w:r>
        <w:rPr>
          <w:rFonts w:hint="eastAsia" w:ascii="宋体" w:hAnsi="宋体" w:eastAsia="宋体" w:cs="宋体"/>
          <w:color w:val="auto"/>
          <w:spacing w:val="-5"/>
          <w:sz w:val="21"/>
          <w:szCs w:val="21"/>
          <w:highlight w:val="none"/>
          <w:lang w:val="en-US" w:eastAsia="zh-CN"/>
        </w:rPr>
        <w:t>承担。</w:t>
      </w:r>
    </w:p>
    <w:p w14:paraId="37056CD7">
      <w:pPr>
        <w:keepNext w:val="0"/>
        <w:keepLines w:val="0"/>
        <w:pageBreakBefore w:val="0"/>
        <w:widowControl w:val="0"/>
        <w:shd w:val="clear" w:color="auto"/>
        <w:kinsoku/>
        <w:wordWrap/>
        <w:overflowPunct/>
        <w:topLinePunct w:val="0"/>
        <w:autoSpaceDE/>
        <w:autoSpaceDN/>
        <w:bidi w:val="0"/>
        <w:adjustRightInd/>
        <w:snapToGrid/>
        <w:spacing w:line="360" w:lineRule="auto"/>
        <w:ind w:firstLine="412" w:firstLineChars="200"/>
        <w:jc w:val="left"/>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2"/>
          <w:sz w:val="21"/>
          <w:szCs w:val="21"/>
          <w:highlight w:val="none"/>
        </w:rPr>
        <w:t>3</w:t>
      </w:r>
      <w:r>
        <w:rPr>
          <w:rFonts w:hint="eastAsia" w:cs="宋体"/>
          <w:color w:val="auto"/>
          <w:spacing w:val="-2"/>
          <w:sz w:val="21"/>
          <w:szCs w:val="21"/>
          <w:highlight w:val="none"/>
          <w:lang w:val="en-US" w:eastAsia="zh-CN"/>
        </w:rPr>
        <w:t>.</w:t>
      </w:r>
      <w:r>
        <w:rPr>
          <w:rFonts w:hint="eastAsia" w:ascii="宋体" w:hAnsi="宋体" w:eastAsia="宋体" w:cs="宋体"/>
          <w:color w:val="auto"/>
          <w:spacing w:val="-2"/>
          <w:sz w:val="21"/>
          <w:szCs w:val="21"/>
          <w:highlight w:val="none"/>
        </w:rPr>
        <w:t>因特殊原因需要提早或延迟结算的，经</w:t>
      </w:r>
      <w:r>
        <w:rPr>
          <w:rFonts w:hint="eastAsia" w:cs="宋体"/>
          <w:color w:val="auto"/>
          <w:spacing w:val="-2"/>
          <w:sz w:val="21"/>
          <w:szCs w:val="21"/>
          <w:highlight w:val="none"/>
          <w:lang w:eastAsia="zh-CN"/>
        </w:rPr>
        <w:t>甲方</w:t>
      </w:r>
      <w:r>
        <w:rPr>
          <w:rFonts w:hint="eastAsia" w:ascii="宋体" w:hAnsi="宋体" w:eastAsia="宋体" w:cs="宋体"/>
          <w:color w:val="auto"/>
          <w:spacing w:val="-3"/>
          <w:sz w:val="21"/>
          <w:szCs w:val="21"/>
          <w:highlight w:val="none"/>
        </w:rPr>
        <w:t>和</w:t>
      </w:r>
      <w:r>
        <w:rPr>
          <w:rFonts w:hint="eastAsia" w:cs="宋体"/>
          <w:color w:val="auto"/>
          <w:spacing w:val="-3"/>
          <w:sz w:val="21"/>
          <w:szCs w:val="21"/>
          <w:highlight w:val="none"/>
          <w:lang w:eastAsia="zh-CN"/>
        </w:rPr>
        <w:t>乙方</w:t>
      </w:r>
      <w:r>
        <w:rPr>
          <w:rFonts w:hint="eastAsia" w:ascii="宋体" w:hAnsi="宋体" w:eastAsia="宋体" w:cs="宋体"/>
          <w:color w:val="auto"/>
          <w:spacing w:val="-3"/>
          <w:sz w:val="21"/>
          <w:szCs w:val="21"/>
          <w:highlight w:val="none"/>
        </w:rPr>
        <w:t>双方协商一</w:t>
      </w:r>
      <w:r>
        <w:rPr>
          <w:rFonts w:hint="eastAsia" w:ascii="宋体" w:hAnsi="宋体" w:eastAsia="宋体" w:cs="宋体"/>
          <w:color w:val="auto"/>
          <w:spacing w:val="-8"/>
          <w:sz w:val="21"/>
          <w:szCs w:val="21"/>
          <w:highlight w:val="none"/>
        </w:rPr>
        <w:t>致后执行。</w:t>
      </w:r>
      <w:r>
        <w:rPr>
          <w:rFonts w:hint="eastAsia" w:ascii="宋体" w:hAnsi="宋体" w:eastAsia="宋体" w:cs="宋体"/>
          <w:color w:val="auto"/>
          <w:spacing w:val="-8"/>
          <w:sz w:val="21"/>
          <w:szCs w:val="21"/>
          <w:highlight w:val="none"/>
          <w:lang w:val="en-US" w:eastAsia="zh-CN"/>
        </w:rPr>
        <w:t>因非</w:t>
      </w:r>
      <w:r>
        <w:rPr>
          <w:rFonts w:hint="eastAsia" w:cs="宋体"/>
          <w:color w:val="auto"/>
          <w:spacing w:val="-8"/>
          <w:sz w:val="21"/>
          <w:szCs w:val="21"/>
          <w:highlight w:val="none"/>
          <w:lang w:val="en-US" w:eastAsia="zh-CN"/>
        </w:rPr>
        <w:t>甲方</w:t>
      </w:r>
      <w:r>
        <w:rPr>
          <w:rFonts w:hint="eastAsia" w:ascii="宋体" w:hAnsi="宋体" w:eastAsia="宋体" w:cs="宋体"/>
          <w:color w:val="auto"/>
          <w:spacing w:val="-8"/>
          <w:sz w:val="21"/>
          <w:szCs w:val="21"/>
          <w:highlight w:val="none"/>
          <w:lang w:val="en-US" w:eastAsia="zh-CN"/>
        </w:rPr>
        <w:t>原因干预无法在约定期限内结算的，不视为</w:t>
      </w:r>
      <w:r>
        <w:rPr>
          <w:rFonts w:hint="eastAsia" w:cs="宋体"/>
          <w:color w:val="auto"/>
          <w:spacing w:val="-8"/>
          <w:sz w:val="21"/>
          <w:szCs w:val="21"/>
          <w:highlight w:val="none"/>
          <w:lang w:val="en-US" w:eastAsia="zh-CN"/>
        </w:rPr>
        <w:t>甲方</w:t>
      </w:r>
      <w:r>
        <w:rPr>
          <w:rFonts w:hint="eastAsia" w:ascii="宋体" w:hAnsi="宋体" w:eastAsia="宋体" w:cs="宋体"/>
          <w:color w:val="auto"/>
          <w:spacing w:val="-8"/>
          <w:sz w:val="21"/>
          <w:szCs w:val="21"/>
          <w:highlight w:val="none"/>
          <w:lang w:val="en-US" w:eastAsia="zh-CN"/>
        </w:rPr>
        <w:t>违约。</w:t>
      </w:r>
    </w:p>
    <w:p w14:paraId="0E479472">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因政策的影响，</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拨款未能及时到位，</w:t>
      </w:r>
      <w:r>
        <w:rPr>
          <w:rFonts w:hint="eastAsia" w:cs="宋体"/>
          <w:color w:val="auto"/>
          <w:sz w:val="21"/>
          <w:szCs w:val="21"/>
          <w:highlight w:val="none"/>
          <w:lang w:val="en-US" w:eastAsia="zh-CN"/>
        </w:rPr>
        <w:t>乙方</w:t>
      </w:r>
      <w:r>
        <w:rPr>
          <w:rFonts w:hint="eastAsia" w:ascii="宋体" w:hAnsi="宋体" w:eastAsia="宋体" w:cs="宋体"/>
          <w:color w:val="auto"/>
          <w:sz w:val="21"/>
          <w:szCs w:val="21"/>
          <w:highlight w:val="none"/>
        </w:rPr>
        <w:t>不得以此为由不履行本合同规定的义务或者追究</w:t>
      </w:r>
      <w:r>
        <w:rPr>
          <w:rFonts w:hint="eastAsia" w:cs="宋体"/>
          <w:color w:val="auto"/>
          <w:sz w:val="21"/>
          <w:szCs w:val="21"/>
          <w:highlight w:val="none"/>
          <w:lang w:val="en-US" w:eastAsia="zh-CN"/>
        </w:rPr>
        <w:t>甲方</w:t>
      </w:r>
      <w:r>
        <w:rPr>
          <w:rFonts w:hint="eastAsia" w:ascii="宋体" w:hAnsi="宋体" w:eastAsia="宋体" w:cs="宋体"/>
          <w:color w:val="auto"/>
          <w:sz w:val="21"/>
          <w:szCs w:val="21"/>
          <w:highlight w:val="none"/>
        </w:rPr>
        <w:t>的违约责任。</w:t>
      </w:r>
    </w:p>
    <w:p w14:paraId="70BEE988">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十一</w:t>
      </w:r>
      <w:r>
        <w:rPr>
          <w:rFonts w:hint="eastAsia" w:ascii="宋体" w:hAnsi="宋体" w:eastAsia="宋体" w:cs="宋体"/>
          <w:b/>
          <w:bCs/>
          <w:color w:val="auto"/>
          <w:sz w:val="21"/>
          <w:szCs w:val="21"/>
          <w:highlight w:val="none"/>
        </w:rPr>
        <w:t>条 验收</w:t>
      </w:r>
      <w:r>
        <w:rPr>
          <w:rFonts w:hint="eastAsia" w:ascii="宋体" w:hAnsi="宋体" w:eastAsia="宋体" w:cs="宋体"/>
          <w:b/>
          <w:bCs/>
          <w:color w:val="auto"/>
          <w:sz w:val="21"/>
          <w:szCs w:val="21"/>
          <w:highlight w:val="none"/>
          <w:lang w:val="en-US" w:eastAsia="zh-CN"/>
        </w:rPr>
        <w:t>要求</w:t>
      </w:r>
    </w:p>
    <w:p w14:paraId="797F0A97">
      <w:pPr>
        <w:pStyle w:val="68"/>
        <w:keepNext w:val="0"/>
        <w:keepLines w:val="0"/>
        <w:pageBreakBefore w:val="0"/>
        <w:widowControl/>
        <w:shd w:val="clear" w:color="auto"/>
        <w:kinsoku/>
        <w:wordWrap/>
        <w:overflowPunct/>
        <w:topLinePunct w:val="0"/>
        <w:autoSpaceDE/>
        <w:autoSpaceDN/>
        <w:bidi w:val="0"/>
        <w:adjustRightInd w:val="0"/>
        <w:snapToGrid w:val="0"/>
        <w:spacing w:line="360" w:lineRule="auto"/>
        <w:ind w:left="0" w:right="0" w:firstLine="412" w:firstLineChars="200"/>
        <w:jc w:val="both"/>
        <w:textAlignment w:val="auto"/>
        <w:rPr>
          <w:rFonts w:hint="eastAsia" w:ascii="宋体" w:hAnsi="宋体" w:eastAsia="宋体" w:cs="宋体"/>
          <w:color w:val="auto"/>
          <w:sz w:val="21"/>
          <w:szCs w:val="21"/>
          <w:highlight w:val="none"/>
        </w:rPr>
      </w:pPr>
      <w:r>
        <w:rPr>
          <w:rFonts w:hint="eastAsia" w:cs="宋体"/>
          <w:color w:val="auto"/>
          <w:spacing w:val="-2"/>
          <w:sz w:val="21"/>
          <w:szCs w:val="21"/>
          <w:highlight w:val="none"/>
          <w:lang w:val="en-US" w:eastAsia="zh-CN"/>
        </w:rPr>
        <w:t>1.</w:t>
      </w:r>
      <w:r>
        <w:rPr>
          <w:rFonts w:hint="eastAsia" w:cs="宋体"/>
          <w:color w:val="auto"/>
          <w:spacing w:val="-2"/>
          <w:sz w:val="21"/>
          <w:szCs w:val="21"/>
          <w:highlight w:val="none"/>
          <w:lang w:eastAsia="zh-CN"/>
        </w:rPr>
        <w:t>乙方</w:t>
      </w:r>
      <w:r>
        <w:rPr>
          <w:rFonts w:hint="eastAsia" w:ascii="宋体" w:hAnsi="宋体" w:eastAsia="宋体" w:cs="宋体"/>
          <w:color w:val="auto"/>
          <w:spacing w:val="-2"/>
          <w:sz w:val="21"/>
          <w:szCs w:val="21"/>
          <w:highlight w:val="none"/>
        </w:rPr>
        <w:t>所供应的货品需要符合国家、广东省和东莞市的相</w:t>
      </w:r>
      <w:r>
        <w:rPr>
          <w:rFonts w:hint="eastAsia" w:ascii="宋体" w:hAnsi="宋体" w:eastAsia="宋体" w:cs="宋体"/>
          <w:color w:val="auto"/>
          <w:spacing w:val="-12"/>
          <w:sz w:val="21"/>
          <w:szCs w:val="21"/>
          <w:highlight w:val="none"/>
        </w:rPr>
        <w:t>关安全质量标准、卫生标准等，同时符合</w:t>
      </w:r>
      <w:r>
        <w:rPr>
          <w:rFonts w:hint="eastAsia" w:cs="宋体"/>
          <w:color w:val="auto"/>
          <w:spacing w:val="-12"/>
          <w:sz w:val="21"/>
          <w:szCs w:val="21"/>
          <w:highlight w:val="none"/>
          <w:lang w:eastAsia="zh-CN"/>
        </w:rPr>
        <w:t>甲方</w:t>
      </w:r>
      <w:r>
        <w:rPr>
          <w:rFonts w:hint="eastAsia" w:ascii="宋体" w:hAnsi="宋体" w:eastAsia="宋体" w:cs="宋体"/>
          <w:color w:val="auto"/>
          <w:spacing w:val="-13"/>
          <w:sz w:val="21"/>
          <w:szCs w:val="21"/>
          <w:highlight w:val="none"/>
        </w:rPr>
        <w:t>的使用要求，包括但</w:t>
      </w:r>
      <w:r>
        <w:rPr>
          <w:rFonts w:hint="eastAsia" w:ascii="宋体" w:hAnsi="宋体" w:eastAsia="宋体" w:cs="宋体"/>
          <w:color w:val="auto"/>
          <w:spacing w:val="-2"/>
          <w:sz w:val="21"/>
          <w:szCs w:val="21"/>
          <w:highlight w:val="none"/>
        </w:rPr>
        <w:t>不限于各类所列的货品质量要求。</w:t>
      </w:r>
      <w:r>
        <w:rPr>
          <w:rFonts w:hint="eastAsia" w:cs="宋体"/>
          <w:color w:val="auto"/>
          <w:spacing w:val="-2"/>
          <w:sz w:val="21"/>
          <w:szCs w:val="21"/>
          <w:highlight w:val="none"/>
          <w:lang w:eastAsia="zh-CN"/>
        </w:rPr>
        <w:t>乙方</w:t>
      </w:r>
      <w:r>
        <w:rPr>
          <w:rFonts w:hint="eastAsia" w:ascii="宋体" w:hAnsi="宋体" w:eastAsia="宋体" w:cs="宋体"/>
          <w:color w:val="auto"/>
          <w:spacing w:val="-2"/>
          <w:sz w:val="21"/>
          <w:szCs w:val="21"/>
          <w:highlight w:val="none"/>
        </w:rPr>
        <w:t>在接受订单时需要确认</w:t>
      </w:r>
      <w:r>
        <w:rPr>
          <w:rFonts w:hint="eastAsia" w:cs="宋体"/>
          <w:color w:val="auto"/>
          <w:spacing w:val="-2"/>
          <w:sz w:val="21"/>
          <w:szCs w:val="21"/>
          <w:highlight w:val="none"/>
          <w:lang w:eastAsia="zh-CN"/>
        </w:rPr>
        <w:t>甲方</w:t>
      </w:r>
      <w:r>
        <w:rPr>
          <w:rFonts w:hint="eastAsia" w:ascii="宋体" w:hAnsi="宋体" w:eastAsia="宋体" w:cs="宋体"/>
          <w:color w:val="auto"/>
          <w:spacing w:val="-11"/>
          <w:sz w:val="21"/>
          <w:szCs w:val="21"/>
          <w:highlight w:val="none"/>
        </w:rPr>
        <w:t>对货品的使用要求，对于不符合</w:t>
      </w:r>
      <w:r>
        <w:rPr>
          <w:rFonts w:hint="eastAsia" w:cs="宋体"/>
          <w:color w:val="auto"/>
          <w:spacing w:val="-11"/>
          <w:sz w:val="21"/>
          <w:szCs w:val="21"/>
          <w:highlight w:val="none"/>
          <w:lang w:eastAsia="zh-CN"/>
        </w:rPr>
        <w:t>甲方</w:t>
      </w:r>
      <w:r>
        <w:rPr>
          <w:rFonts w:hint="eastAsia" w:ascii="宋体" w:hAnsi="宋体" w:eastAsia="宋体" w:cs="宋体"/>
          <w:color w:val="auto"/>
          <w:spacing w:val="-11"/>
          <w:sz w:val="21"/>
          <w:szCs w:val="21"/>
          <w:highlight w:val="none"/>
        </w:rPr>
        <w:t>要求的货品，</w:t>
      </w:r>
      <w:r>
        <w:rPr>
          <w:rFonts w:hint="eastAsia" w:cs="宋体"/>
          <w:color w:val="auto"/>
          <w:spacing w:val="-11"/>
          <w:sz w:val="21"/>
          <w:szCs w:val="21"/>
          <w:highlight w:val="none"/>
          <w:lang w:eastAsia="zh-CN"/>
        </w:rPr>
        <w:t>甲方</w:t>
      </w:r>
      <w:r>
        <w:rPr>
          <w:rFonts w:hint="eastAsia" w:ascii="宋体" w:hAnsi="宋体" w:eastAsia="宋体" w:cs="宋体"/>
          <w:color w:val="auto"/>
          <w:spacing w:val="-11"/>
          <w:sz w:val="21"/>
          <w:szCs w:val="21"/>
          <w:highlight w:val="none"/>
        </w:rPr>
        <w:t>有权拒</w:t>
      </w:r>
      <w:r>
        <w:rPr>
          <w:rFonts w:hint="eastAsia" w:ascii="宋体" w:hAnsi="宋体" w:eastAsia="宋体" w:cs="宋体"/>
          <w:color w:val="auto"/>
          <w:spacing w:val="-6"/>
          <w:sz w:val="21"/>
          <w:szCs w:val="21"/>
          <w:highlight w:val="none"/>
        </w:rPr>
        <w:t>收或要求更换。</w:t>
      </w:r>
    </w:p>
    <w:p w14:paraId="2DDB95B7">
      <w:pPr>
        <w:keepNext w:val="0"/>
        <w:keepLines w:val="0"/>
        <w:pageBreakBefore w:val="0"/>
        <w:shd w:val="clear" w:color="auto"/>
        <w:kinsoku/>
        <w:wordWrap/>
        <w:overflowPunct/>
        <w:topLinePunct w:val="0"/>
        <w:autoSpaceDE w:val="0"/>
        <w:autoSpaceDN w:val="0"/>
        <w:bidi w:val="0"/>
        <w:adjustRightInd/>
        <w:snapToGrid/>
        <w:ind w:firstLine="416" w:firstLineChars="200"/>
        <w:rPr>
          <w:rFonts w:hint="eastAsia" w:ascii="宋体" w:hAnsi="宋体" w:eastAsia="宋体" w:cs="宋体"/>
          <w:color w:val="auto"/>
          <w:sz w:val="21"/>
          <w:szCs w:val="21"/>
          <w:highlight w:val="none"/>
        </w:rPr>
      </w:pPr>
      <w:r>
        <w:rPr>
          <w:rFonts w:hint="eastAsia" w:cs="宋体"/>
          <w:color w:val="auto"/>
          <w:spacing w:val="-1"/>
          <w:sz w:val="21"/>
          <w:szCs w:val="21"/>
          <w:highlight w:val="none"/>
          <w:lang w:val="en-US" w:eastAsia="zh-CN"/>
        </w:rPr>
        <w:t>2.</w:t>
      </w:r>
      <w:r>
        <w:rPr>
          <w:rFonts w:hint="eastAsia" w:ascii="宋体" w:hAnsi="宋体" w:eastAsia="宋体" w:cs="宋体"/>
          <w:color w:val="auto"/>
          <w:spacing w:val="-1"/>
          <w:sz w:val="21"/>
          <w:szCs w:val="21"/>
          <w:highlight w:val="none"/>
        </w:rPr>
        <w:t>退（补）货流程：对不符合采购要求的食材由验收人员提</w:t>
      </w:r>
      <w:r>
        <w:rPr>
          <w:rFonts w:hint="eastAsia" w:ascii="宋体" w:hAnsi="宋体" w:eastAsia="宋体" w:cs="宋体"/>
          <w:color w:val="auto"/>
          <w:spacing w:val="-10"/>
          <w:sz w:val="21"/>
          <w:szCs w:val="21"/>
          <w:highlight w:val="none"/>
        </w:rPr>
        <w:t>出清退，退货前应实行留板备案，如双方对质量争议可送国家质监部</w:t>
      </w:r>
      <w:r>
        <w:rPr>
          <w:rFonts w:hint="eastAsia" w:ascii="宋体" w:hAnsi="宋体" w:eastAsia="宋体" w:cs="宋体"/>
          <w:color w:val="auto"/>
          <w:spacing w:val="-7"/>
          <w:sz w:val="21"/>
          <w:szCs w:val="21"/>
          <w:highlight w:val="none"/>
        </w:rPr>
        <w:t>门检测。对缺斤短两（或含水量超标）的应按实际重量扣减。出现退</w:t>
      </w:r>
      <w:r>
        <w:rPr>
          <w:rFonts w:hint="eastAsia" w:ascii="宋体" w:hAnsi="宋体" w:eastAsia="宋体" w:cs="宋体"/>
          <w:color w:val="auto"/>
          <w:spacing w:val="-13"/>
          <w:sz w:val="21"/>
          <w:szCs w:val="21"/>
          <w:highlight w:val="none"/>
        </w:rPr>
        <w:t>（补）</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3"/>
          <w:sz w:val="21"/>
          <w:szCs w:val="21"/>
          <w:highlight w:val="none"/>
        </w:rPr>
        <w:t>货情况，应及时报告。在退货过程中，对有碍公共卫生安全的</w:t>
      </w:r>
      <w:r>
        <w:rPr>
          <w:rFonts w:hint="eastAsia" w:cs="宋体"/>
          <w:color w:val="auto"/>
          <w:spacing w:val="-9"/>
          <w:sz w:val="21"/>
          <w:szCs w:val="21"/>
          <w:highlight w:val="none"/>
          <w:lang w:val="en-US" w:eastAsia="zh-CN"/>
        </w:rPr>
        <w:t>食材</w:t>
      </w:r>
      <w:r>
        <w:rPr>
          <w:rFonts w:hint="eastAsia" w:ascii="宋体" w:hAnsi="宋体" w:eastAsia="宋体" w:cs="宋体"/>
          <w:color w:val="auto"/>
          <w:spacing w:val="-9"/>
          <w:sz w:val="21"/>
          <w:szCs w:val="21"/>
          <w:highlight w:val="none"/>
        </w:rPr>
        <w:t>，应按国家有关规定处</w:t>
      </w:r>
      <w:r>
        <w:rPr>
          <w:rFonts w:hint="eastAsia" w:ascii="宋体" w:hAnsi="宋体" w:eastAsia="宋体" w:cs="宋体"/>
          <w:color w:val="auto"/>
          <w:sz w:val="21"/>
          <w:szCs w:val="21"/>
          <w:highlight w:val="none"/>
        </w:rPr>
        <w:t>理或进行协议销毁，所产生的费用经济法律责任由</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自行承担。</w:t>
      </w:r>
    </w:p>
    <w:p w14:paraId="4F3A10A6">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验收记录：到货时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w:t>
      </w:r>
      <w:r>
        <w:rPr>
          <w:rFonts w:hint="eastAsia"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组织人员进行</w:t>
      </w:r>
      <w:r>
        <w:rPr>
          <w:rFonts w:hint="eastAsia" w:ascii="宋体" w:hAnsi="宋体" w:eastAsia="宋体" w:cs="宋体"/>
          <w:color w:val="auto"/>
          <w:sz w:val="21"/>
          <w:szCs w:val="21"/>
          <w:highlight w:val="none"/>
        </w:rPr>
        <w:t>验收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每次采购的食材都要登记记录，注明名称、数量等事项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并在采购登记记录上签明意见和验收人的名字及日期。</w:t>
      </w:r>
    </w:p>
    <w:p w14:paraId="49E740E3">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十二</w:t>
      </w:r>
      <w:r>
        <w:rPr>
          <w:rFonts w:hint="eastAsia" w:ascii="宋体" w:hAnsi="宋体" w:eastAsia="宋体" w:cs="宋体"/>
          <w:b/>
          <w:bCs/>
          <w:color w:val="auto"/>
          <w:sz w:val="21"/>
          <w:szCs w:val="21"/>
          <w:highlight w:val="none"/>
        </w:rPr>
        <w:t>条 税和关税</w:t>
      </w:r>
    </w:p>
    <w:p w14:paraId="240CBB37">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、中国政府根据现行税法规定对乙方或其雇员征收的与本合同有关的一切税费应由乙方承担。</w:t>
      </w:r>
    </w:p>
    <w:p w14:paraId="4310C2EB">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、在中国境外发生的与本合同执行有关的一切税费均应由乙方承担。</w:t>
      </w:r>
    </w:p>
    <w:p w14:paraId="7B63D21F">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十三</w:t>
      </w:r>
      <w:r>
        <w:rPr>
          <w:rFonts w:hint="eastAsia" w:ascii="宋体" w:hAnsi="宋体" w:eastAsia="宋体" w:cs="宋体"/>
          <w:b/>
          <w:bCs/>
          <w:color w:val="auto"/>
          <w:sz w:val="21"/>
          <w:szCs w:val="21"/>
          <w:highlight w:val="none"/>
        </w:rPr>
        <w:t>条 其它约定</w:t>
      </w:r>
    </w:p>
    <w:p w14:paraId="59EC1B9F">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1、严禁转包，未经甲方书面同意不得分包。</w:t>
      </w:r>
    </w:p>
    <w:p w14:paraId="698AF863">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2、乙方全部工作人员，须符合东莞市政府用工标准要求。</w:t>
      </w:r>
    </w:p>
    <w:p w14:paraId="4E512FBE">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3、乙方服务人员进行服务期间的过失或故意行为，造成甲方经济损失的，由乙方负责赔偿。</w:t>
      </w:r>
    </w:p>
    <w:p w14:paraId="0F61A8B6">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乙方服务人员的劳动关系隶属乙方，乙方负责服务人员的工资、节假日和超时加班补助费、社会保险、住宿、伙食等。乙方负责为本项目服务人 员购买工伤保险或商业意外险，如乙方人员服务期间发生工伤意外事故，由乙方负责办理一切保险赔偿等善后手续。如因此造成甲方承担责任，甲方赔偿后有权向乙方追偿。</w:t>
      </w:r>
    </w:p>
    <w:p w14:paraId="3FEE4A28">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因乙方自身原因造成负面社会影响（包括但不限于被公开讨薪维权、在其他项目出现重大食品安全事故等），甲方有权单方解除合同。</w:t>
      </w:r>
    </w:p>
    <w:p w14:paraId="4B2C94F2">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b/>
          <w:bCs/>
          <w:color w:val="auto"/>
          <w:sz w:val="21"/>
          <w:szCs w:val="21"/>
          <w:highlight w:val="none"/>
        </w:rPr>
      </w:pPr>
      <w:r>
        <w:rPr>
          <w:rFonts w:hint="default"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en-US"/>
        </w:rPr>
        <w:t>、对本合同工作成果、甲方提供的资料以及其它在签订或履行合同过程中所获取的甲方非公开资料(包括本合同内容),乙方负有保密义务。未经甲方书面同意，乙方及其工作人员不得将上述资料复制、泄露、公开、转让或使用于本合同之外的其它用途。否则，视为乙方违约，甲方有权要求乙方赔偿一切损失。</w:t>
      </w:r>
    </w:p>
    <w:p w14:paraId="2E67313C">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rPr>
        <w:t>条 违约责任</w:t>
      </w:r>
    </w:p>
    <w:p w14:paraId="5253FD9C">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1、除本合同另有约定外，合同双方任何一方不履行合同条款或不按合同约定履行条款的其它情况，均属违约，由违约方赔偿因其违约造成的损失，并承担相应的违约责任。</w:t>
      </w:r>
    </w:p>
    <w:p w14:paraId="46F41F0E">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2、由于乙方的原因，导致双方签订的合同终止，</w:t>
      </w:r>
      <w:r>
        <w:rPr>
          <w:rFonts w:hint="eastAsia" w:ascii="宋体" w:hAnsi="宋体" w:eastAsia="宋体" w:cs="宋体"/>
          <w:color w:val="auto"/>
          <w:sz w:val="21"/>
          <w:szCs w:val="21"/>
          <w:highlight w:val="none"/>
          <w:lang w:val="en-US"/>
        </w:rPr>
        <w:t>没收乙方履约保证金，</w:t>
      </w:r>
      <w:r>
        <w:rPr>
          <w:rFonts w:hint="eastAsia" w:ascii="宋体" w:hAnsi="宋体" w:eastAsia="宋体" w:cs="宋体"/>
          <w:color w:val="auto"/>
          <w:sz w:val="21"/>
          <w:szCs w:val="21"/>
          <w:highlight w:val="none"/>
        </w:rPr>
        <w:t>乙方因此而遭受的损失，将由乙方独立承担，甲方对此不负任何责任，也不作任何赔偿。</w:t>
      </w:r>
    </w:p>
    <w:p w14:paraId="1641E759">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rPr>
        <w:t>3、</w:t>
      </w:r>
      <w:r>
        <w:rPr>
          <w:rFonts w:hint="eastAsia" w:ascii="宋体" w:hAnsi="宋体" w:eastAsia="宋体" w:cs="宋体"/>
          <w:bCs/>
          <w:color w:val="auto"/>
          <w:sz w:val="21"/>
          <w:szCs w:val="21"/>
          <w:highlight w:val="none"/>
          <w:lang w:val="en-US"/>
        </w:rPr>
        <w:t>无论合同是否履行完毕，乙方未按照合同约定履行或者验收后被甲方、财政部门或审计部门发现相关问题的，均视为乙方违约，</w:t>
      </w:r>
      <w:r>
        <w:rPr>
          <w:rFonts w:hint="eastAsia" w:ascii="宋体" w:hAnsi="宋体" w:eastAsia="宋体" w:cs="宋体"/>
          <w:color w:val="auto"/>
          <w:sz w:val="21"/>
          <w:szCs w:val="21"/>
          <w:highlight w:val="none"/>
        </w:rPr>
        <w:t>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赔偿因其违约造成的损失，承担相应的违约责任</w:t>
      </w:r>
      <w:r>
        <w:rPr>
          <w:rFonts w:hint="eastAsia" w:ascii="宋体" w:hAnsi="宋体" w:eastAsia="宋体" w:cs="宋体"/>
          <w:bCs/>
          <w:color w:val="auto"/>
          <w:sz w:val="21"/>
          <w:szCs w:val="21"/>
          <w:highlight w:val="none"/>
          <w:lang w:val="en-US"/>
        </w:rPr>
        <w:t>，并承担给甲方造成的损失。同时，甲方有权随时解除合同。本合同所述之损失、经济赔偿包括但不限于甲方的直接经济损失、向第三方支付的赔偿金/违约金、诉讼费、律师费、担保费及保全费、公证费、鉴定费、评估费、拍卖费、差旅费等全部损失。</w:t>
      </w:r>
    </w:p>
    <w:p w14:paraId="3B71AE30">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4、如因乙方违反本合同项下之义务，或未及时处理相关纠纷导致甲方垫付人员工资、经济补偿金、赔偿金、供应商货款等款项的，乙方除应向甲方返还相应款项外，还应自垫付发生之日起按垫付款每日1</w:t>
      </w:r>
      <w:r>
        <w:rPr>
          <w:rFonts w:hint="default" w:ascii="Arial" w:hAnsi="Arial" w:eastAsia="宋体" w:cs="Arial"/>
          <w:bCs/>
          <w:color w:val="auto"/>
          <w:sz w:val="21"/>
          <w:szCs w:val="21"/>
          <w:highlight w:val="none"/>
          <w:lang w:val="en-US"/>
        </w:rPr>
        <w:t>‰</w:t>
      </w:r>
      <w:r>
        <w:rPr>
          <w:rFonts w:hint="eastAsia" w:ascii="宋体" w:hAnsi="宋体" w:eastAsia="宋体" w:cs="宋体"/>
          <w:bCs/>
          <w:color w:val="auto"/>
          <w:sz w:val="21"/>
          <w:szCs w:val="21"/>
          <w:highlight w:val="none"/>
          <w:lang w:val="en-US"/>
        </w:rPr>
        <w:t>的标准向甲方支付违约金。</w:t>
      </w:r>
    </w:p>
    <w:p w14:paraId="30AB5263">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5、甲方有权从应支付给乙方的费用中直接扣减上述违约金、垫付款等乙方应付款项，乙方对此不持异议。</w:t>
      </w:r>
    </w:p>
    <w:p w14:paraId="7BC38988">
      <w:pPr>
        <w:pageBreakBefore w:val="0"/>
        <w:shd w:val="clear" w:color="auto"/>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6、</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发生以下情形，但未因所供货物发生食品安全事故，经调查属实的，在当月结算费用内扣除500元/次，若当月结算费用不足以扣减的，可在之后的结算费用中进行扣减</w:t>
      </w:r>
      <w:r>
        <w:rPr>
          <w:rFonts w:hint="eastAsia" w:ascii="宋体" w:hAnsi="宋体" w:eastAsia="宋体" w:cs="宋体"/>
          <w:color w:val="auto"/>
          <w:sz w:val="21"/>
          <w:szCs w:val="21"/>
          <w:highlight w:val="none"/>
          <w:lang w:eastAsia="zh-CN"/>
        </w:rPr>
        <w:t>：</w:t>
      </w:r>
    </w:p>
    <w:p w14:paraId="05C9B80A">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未按要求随货提供相关票证。</w:t>
      </w:r>
    </w:p>
    <w:p w14:paraId="37CAE46F">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货物质量验收不合格，经沟通仍不同意更换货物；</w:t>
      </w:r>
    </w:p>
    <w:p w14:paraId="7973403E">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未按</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采购计划的时间供货（提前一天与</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协商认可的除外），且未影响伙食供应；</w:t>
      </w:r>
    </w:p>
    <w:p w14:paraId="34CD8206">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供货数量超于</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采购计划数量的土10%（含本数），且未影响伙食供应；</w:t>
      </w:r>
    </w:p>
    <w:p w14:paraId="2E01E8F6">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未经</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同意私自更改订单内容；</w:t>
      </w:r>
    </w:p>
    <w:p w14:paraId="6E800E48">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弄虚作假，故意不响应（或不完全响应）</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订单项目和质量要求；</w:t>
      </w:r>
    </w:p>
    <w:p w14:paraId="45B14A02">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货物出现质量问题，</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不积极配合查找原因，不及时反馈处理结果；</w:t>
      </w:r>
    </w:p>
    <w:p w14:paraId="67AB0F14">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及其工作人员不遵守</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各项管理规定；</w:t>
      </w:r>
    </w:p>
    <w:p w14:paraId="1FD4709C">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存在其他违反约定的情形的。</w:t>
      </w:r>
    </w:p>
    <w:p w14:paraId="30A0955F">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w:t>
      </w:r>
      <w:r>
        <w:rPr>
          <w:rFonts w:hint="eastAsia" w:ascii="宋体" w:hAnsi="宋体" w:eastAsia="宋体" w:cs="宋体"/>
          <w:color w:val="auto"/>
          <w:sz w:val="21"/>
          <w:szCs w:val="21"/>
          <w:highlight w:val="none"/>
        </w:rPr>
        <w:t>如</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违反合同约定的服务要求，经</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催告后限期内仍不整改，或违反合同约定累计超过3次的，</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有权</w:t>
      </w:r>
      <w:r>
        <w:rPr>
          <w:rFonts w:hint="eastAsia" w:ascii="宋体" w:hAnsi="宋体" w:eastAsia="宋体" w:cs="宋体"/>
          <w:b w:val="0"/>
          <w:bCs w:val="0"/>
          <w:color w:val="auto"/>
          <w:sz w:val="21"/>
          <w:szCs w:val="21"/>
          <w:highlight w:val="none"/>
        </w:rPr>
        <w:t>单方</w:t>
      </w:r>
      <w:r>
        <w:rPr>
          <w:rFonts w:hint="eastAsia" w:ascii="宋体" w:hAnsi="宋体" w:eastAsia="宋体" w:cs="宋体"/>
          <w:color w:val="auto"/>
          <w:sz w:val="21"/>
          <w:szCs w:val="21"/>
          <w:highlight w:val="none"/>
        </w:rPr>
        <w:t>解除合同，并要求</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承担</w:t>
      </w:r>
      <w:r>
        <w:rPr>
          <w:rFonts w:hint="eastAsia" w:ascii="宋体" w:hAnsi="宋体" w:cs="宋体"/>
          <w:color w:val="auto"/>
          <w:sz w:val="21"/>
          <w:szCs w:val="21"/>
          <w:highlight w:val="none"/>
          <w:lang w:val="en-US" w:eastAsia="zh-CN"/>
        </w:rPr>
        <w:t>相应</w:t>
      </w:r>
      <w:r>
        <w:rPr>
          <w:rFonts w:hint="default" w:ascii="宋体" w:hAnsi="宋体" w:eastAsia="宋体" w:cs="宋体"/>
          <w:color w:val="auto"/>
          <w:sz w:val="21"/>
          <w:szCs w:val="21"/>
          <w:highlight w:val="none"/>
          <w:lang w:val="en-US"/>
        </w:rPr>
        <w:t>的</w:t>
      </w:r>
      <w:r>
        <w:rPr>
          <w:rFonts w:hint="eastAsia" w:ascii="宋体" w:hAnsi="宋体" w:eastAsia="宋体" w:cs="宋体"/>
          <w:color w:val="auto"/>
          <w:sz w:val="21"/>
          <w:szCs w:val="21"/>
          <w:highlight w:val="none"/>
        </w:rPr>
        <w:t>违约金；违约金不足以弥补</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损失的，</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有权继续向</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追偿不足的部分。</w:t>
      </w:r>
      <w:r>
        <w:rPr>
          <w:rFonts w:hint="eastAsia" w:ascii="宋体" w:hAnsi="宋体" w:eastAsia="宋体" w:cs="宋体"/>
          <w:b w:val="0"/>
          <w:bCs w:val="0"/>
          <w:color w:val="auto"/>
          <w:sz w:val="21"/>
          <w:szCs w:val="21"/>
          <w:highlight w:val="none"/>
        </w:rPr>
        <w:t>相关经济损失由</w:t>
      </w:r>
      <w:r>
        <w:rPr>
          <w:rFonts w:hint="eastAsia"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承担。</w:t>
      </w:r>
    </w:p>
    <w:p w14:paraId="55236971">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rPr>
        <w:t>如</w:t>
      </w:r>
      <w:r>
        <w:rPr>
          <w:rFonts w:hint="eastAsia" w:ascii="宋体" w:hAnsi="宋体" w:eastAsia="宋体" w:cs="宋体"/>
          <w:color w:val="auto"/>
          <w:sz w:val="21"/>
          <w:szCs w:val="21"/>
          <w:highlight w:val="none"/>
          <w:lang w:val="en-US" w:eastAsia="zh-CN"/>
        </w:rPr>
        <w:t>因</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提供过期、变质、有毒、伪劣、无生产日期、无质量合格证或无生产厂家的</w:t>
      </w:r>
      <w:r>
        <w:rPr>
          <w:rFonts w:hint="eastAsia" w:ascii="宋体" w:hAnsi="宋体" w:eastAsia="宋体" w:cs="宋体"/>
          <w:b w:val="0"/>
          <w:bCs w:val="0"/>
          <w:color w:val="auto"/>
          <w:sz w:val="21"/>
          <w:szCs w:val="21"/>
          <w:highlight w:val="none"/>
        </w:rPr>
        <w:t>食材引起食用的人身体不适、发生食物中毒等问题，经市级</w:t>
      </w:r>
      <w:r>
        <w:rPr>
          <w:rFonts w:hint="eastAsia" w:ascii="宋体" w:hAnsi="宋体" w:eastAsia="宋体" w:cs="宋体"/>
          <w:b w:val="0"/>
          <w:bCs w:val="0"/>
          <w:color w:val="auto"/>
          <w:sz w:val="21"/>
          <w:szCs w:val="21"/>
          <w:highlight w:val="none"/>
          <w:lang w:val="en-US" w:eastAsia="zh-CN"/>
        </w:rPr>
        <w:t>以上</w:t>
      </w:r>
      <w:r>
        <w:rPr>
          <w:rFonts w:hint="eastAsia" w:ascii="宋体" w:hAnsi="宋体" w:eastAsia="宋体" w:cs="宋体"/>
          <w:b w:val="0"/>
          <w:bCs w:val="0"/>
          <w:color w:val="auto"/>
          <w:sz w:val="21"/>
          <w:szCs w:val="21"/>
          <w:highlight w:val="none"/>
        </w:rPr>
        <w:t>质量检验部门确定后是</w:t>
      </w:r>
      <w:r>
        <w:rPr>
          <w:rFonts w:hint="eastAsia"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的责任，</w:t>
      </w:r>
      <w:r>
        <w:rPr>
          <w:rFonts w:hint="eastAsia"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有权立即单方终止合约</w:t>
      </w:r>
      <w:r>
        <w:rPr>
          <w:rFonts w:hint="eastAsia" w:ascii="宋体" w:hAnsi="宋体" w:eastAsia="宋体" w:cs="宋体"/>
          <w:color w:val="auto"/>
          <w:sz w:val="21"/>
          <w:szCs w:val="21"/>
          <w:highlight w:val="none"/>
        </w:rPr>
        <w:t>，并要求</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承担</w:t>
      </w:r>
      <w:r>
        <w:rPr>
          <w:rFonts w:hint="eastAsia" w:ascii="宋体" w:hAnsi="宋体" w:cs="宋体"/>
          <w:color w:val="auto"/>
          <w:sz w:val="21"/>
          <w:szCs w:val="21"/>
          <w:highlight w:val="none"/>
          <w:lang w:val="en-US" w:eastAsia="zh-CN"/>
        </w:rPr>
        <w:t>相应</w:t>
      </w:r>
      <w:r>
        <w:rPr>
          <w:rFonts w:hint="eastAsia" w:ascii="宋体" w:hAnsi="宋体" w:eastAsia="宋体" w:cs="宋体"/>
          <w:color w:val="auto"/>
          <w:sz w:val="21"/>
          <w:szCs w:val="21"/>
          <w:highlight w:val="none"/>
        </w:rPr>
        <w:t>的违约金。违约金不足以弥补</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损失的，</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有权继续向</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追偿不足的部分。</w:t>
      </w:r>
      <w:r>
        <w:rPr>
          <w:rFonts w:hint="eastAsia"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同时承担相应的民事及刑事法律责任及放弃先诉抗辩权，并立即终止合同。</w:t>
      </w:r>
    </w:p>
    <w:p w14:paraId="07FD35CE">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9、</w:t>
      </w:r>
      <w:r>
        <w:rPr>
          <w:rFonts w:hint="eastAsia" w:ascii="宋体" w:hAnsi="宋体" w:eastAsia="宋体" w:cs="宋体"/>
          <w:color w:val="auto"/>
          <w:sz w:val="21"/>
          <w:szCs w:val="21"/>
          <w:highlight w:val="none"/>
        </w:rPr>
        <w:t>因</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原因导致解除合同的，</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无需再向</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支付任何货款，且</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无需向</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进行</w:t>
      </w:r>
      <w:r>
        <w:rPr>
          <w:rFonts w:hint="eastAsia" w:ascii="宋体" w:hAnsi="宋体" w:eastAsia="宋体" w:cs="宋体"/>
          <w:color w:val="auto"/>
          <w:sz w:val="21"/>
          <w:szCs w:val="21"/>
          <w:highlight w:val="none"/>
          <w:lang w:val="en-US" w:eastAsia="zh-CN"/>
        </w:rPr>
        <w:t>赔偿或补偿。</w:t>
      </w:r>
    </w:p>
    <w:p w14:paraId="409EEE08">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eastAsia="宋体" w:cs="宋体"/>
          <w:b/>
          <w:bCs/>
          <w:color w:val="auto"/>
          <w:sz w:val="21"/>
          <w:szCs w:val="21"/>
          <w:highlight w:val="none"/>
          <w:lang w:val="en-US" w:eastAsia="zh-CN"/>
        </w:rPr>
        <w:t>五</w:t>
      </w:r>
      <w:r>
        <w:rPr>
          <w:rFonts w:hint="eastAsia" w:ascii="宋体" w:hAnsi="宋体" w:eastAsia="宋体" w:cs="宋体"/>
          <w:b/>
          <w:bCs/>
          <w:color w:val="auto"/>
          <w:sz w:val="21"/>
          <w:szCs w:val="21"/>
          <w:highlight w:val="none"/>
        </w:rPr>
        <w:t>条 争议的解决</w:t>
      </w:r>
    </w:p>
    <w:p w14:paraId="1135908A">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14:paraId="45F2C70B">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本合同发生的诉讼管辖地为甲方所在地的法院</w:t>
      </w:r>
      <w:r>
        <w:rPr>
          <w:rFonts w:hint="eastAsia" w:ascii="宋体" w:hAnsi="宋体" w:eastAsia="宋体" w:cs="宋体"/>
          <w:color w:val="auto"/>
          <w:sz w:val="21"/>
          <w:szCs w:val="21"/>
          <w:highlight w:val="none"/>
        </w:rPr>
        <w:t>。</w:t>
      </w:r>
    </w:p>
    <w:p w14:paraId="6A130B97">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14:paraId="6B2334B9">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4、本合同按照中华人民共和国的法律进行解释。</w:t>
      </w:r>
    </w:p>
    <w:p w14:paraId="57D06036">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eastAsia="宋体" w:cs="宋体"/>
          <w:b/>
          <w:bCs/>
          <w:color w:val="auto"/>
          <w:sz w:val="21"/>
          <w:szCs w:val="21"/>
          <w:highlight w:val="none"/>
          <w:lang w:val="en-US" w:eastAsia="zh-CN"/>
        </w:rPr>
        <w:t>六</w:t>
      </w:r>
      <w:r>
        <w:rPr>
          <w:rFonts w:hint="eastAsia" w:ascii="宋体" w:hAnsi="宋体" w:eastAsia="宋体" w:cs="宋体"/>
          <w:b/>
          <w:bCs/>
          <w:color w:val="auto"/>
          <w:sz w:val="21"/>
          <w:szCs w:val="21"/>
          <w:highlight w:val="none"/>
        </w:rPr>
        <w:t>条</w:t>
      </w:r>
      <w:r>
        <w:rPr>
          <w:rFonts w:hint="eastAsia" w:ascii="宋体" w:hAnsi="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合同附件</w:t>
      </w:r>
    </w:p>
    <w:p w14:paraId="1B73501A">
      <w:pPr>
        <w:keepNext w:val="0"/>
        <w:keepLines w:val="0"/>
        <w:pageBreakBefore w:val="0"/>
        <w:shd w:val="clear" w:color="auto"/>
        <w:kinsoku/>
        <w:wordWrap/>
        <w:overflowPunct/>
        <w:topLinePunct w:val="0"/>
        <w:autoSpaceDE w:val="0"/>
        <w:autoSpaceDN w:val="0"/>
        <w:bidi w:val="0"/>
        <w:adjustRightInd/>
        <w:snapToGrid/>
        <w:ind w:firstLine="420" w:firstLineChars="200"/>
        <w:outlineLvl w:val="9"/>
        <w:rPr>
          <w:rFonts w:hint="eastAsia" w:ascii="宋体" w:hAnsi="宋体" w:eastAsia="宋体" w:cs="宋体"/>
          <w:b/>
          <w:bCs/>
          <w:color w:val="auto"/>
          <w:sz w:val="21"/>
          <w:szCs w:val="21"/>
          <w:highlight w:val="none"/>
        </w:rPr>
      </w:pPr>
      <w:r>
        <w:rPr>
          <w:rFonts w:hint="eastAsia" w:ascii="宋体" w:hAnsi="宋体" w:eastAsia="宋体" w:cs="宋体"/>
          <w:b w:val="0"/>
          <w:bCs w:val="0"/>
          <w:color w:val="auto"/>
          <w:sz w:val="21"/>
          <w:szCs w:val="21"/>
          <w:highlight w:val="none"/>
          <w:lang w:val="en-US" w:eastAsia="zh-CN"/>
        </w:rPr>
        <w:t>附件一：供应商月度评价表</w:t>
      </w:r>
    </w:p>
    <w:p w14:paraId="7BC0AABB">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条 合同生效</w:t>
      </w:r>
    </w:p>
    <w:p w14:paraId="6A1C63ED">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1、本合同由双方法定代表人或委托代理人签字盖章后立即生效，具有同等法律效力，合同有效期随服务期结束而自然终止。</w:t>
      </w:r>
    </w:p>
    <w:p w14:paraId="6168A4D1">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rPr>
        <w:t>份，其中甲方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rPr>
        <w:t>份、乙方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rPr>
        <w:t>份，采购代理机构</w:t>
      </w:r>
      <w:r>
        <w:rPr>
          <w:rFonts w:hint="eastAsia" w:ascii="宋体" w:hAnsi="宋体" w:eastAsia="宋体" w:cs="宋体"/>
          <w:b/>
          <w:bCs/>
          <w:color w:val="auto"/>
          <w:sz w:val="21"/>
          <w:szCs w:val="21"/>
          <w:highlight w:val="none"/>
          <w:u w:val="single"/>
        </w:rPr>
        <w:t>壹</w:t>
      </w:r>
      <w:r>
        <w:rPr>
          <w:rFonts w:hint="eastAsia" w:ascii="宋体" w:hAnsi="宋体" w:eastAsia="宋体" w:cs="宋体"/>
          <w:color w:val="auto"/>
          <w:sz w:val="21"/>
          <w:szCs w:val="21"/>
          <w:highlight w:val="none"/>
        </w:rPr>
        <w:t>份（须在合同签订之日起7个工作日内递交）。</w:t>
      </w:r>
    </w:p>
    <w:p w14:paraId="212FAD71">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cs="宋体"/>
          <w:b/>
          <w:bCs/>
          <w:color w:val="auto"/>
          <w:sz w:val="21"/>
          <w:szCs w:val="21"/>
          <w:highlight w:val="none"/>
          <w:lang w:val="en-US" w:eastAsia="zh-CN"/>
        </w:rPr>
        <w:t>八</w:t>
      </w:r>
      <w:r>
        <w:rPr>
          <w:rFonts w:hint="eastAsia" w:ascii="宋体" w:hAnsi="宋体" w:eastAsia="宋体" w:cs="宋体"/>
          <w:b/>
          <w:bCs/>
          <w:color w:val="auto"/>
          <w:sz w:val="21"/>
          <w:szCs w:val="21"/>
          <w:highlight w:val="none"/>
        </w:rPr>
        <w:t>条 其它</w:t>
      </w:r>
    </w:p>
    <w:p w14:paraId="6D9051FA">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1、本合同未尽事宜，双方可签订补充合同，补充合同与所有附件均为合同的有效组成部分，与本合同具有同等法律效力。</w:t>
      </w:r>
    </w:p>
    <w:p w14:paraId="4968C043">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2、在执行本合同的过程中，所有经甲乙双方签署确认的文件（包括会议纪要、补充协议、往来信函、合同附件等）即成为本合同的有效组成部分，其生效日期为双方签字盖章  或确认之日期。</w:t>
      </w:r>
    </w:p>
    <w:p w14:paraId="50027E96">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3、乙方不得将项目非法分包或转包给任何单位和个人。否则甲方有权即刻终止合同，并由乙方赔偿相应损失。</w:t>
      </w:r>
    </w:p>
    <w:p w14:paraId="2F53F653">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rPr>
        <w:t>本合同规定的通知均应以书面形式作出，并以邮寄（包含快递）或电子邮件方式通知另一方。专人递交的通知在专人递交之日视为有效送达；以邮寄方式送达的，以寄出邮件后满 5日即视为有效送达（无论收件人实际收件时间、是否实际收到、无法送达或退件）；以电子邮件方式送达的，系统显示发送成功即视为送达。双方应对各自送达地址负责，如有变更，变更方负有义务通知其他各方。双方确认，如因发生争议进行诉讼，以下地址同时也是法院寄送司法文书的送达地址。</w:t>
      </w:r>
    </w:p>
    <w:p w14:paraId="5D7335AF">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本合同合计</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rPr>
        <w:t>页A4纸</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rPr>
        <w:t>张，缺页之合同为无效合同。</w:t>
      </w:r>
    </w:p>
    <w:p w14:paraId="0EBE917B">
      <w:pPr>
        <w:keepNext w:val="0"/>
        <w:keepLines w:val="0"/>
        <w:pageBreakBefore w:val="0"/>
        <w:shd w:val="clear" w:color="auto"/>
        <w:kinsoku/>
        <w:wordWrap/>
        <w:overflowPunct/>
        <w:topLinePunct w:val="0"/>
        <w:autoSpaceDE w:val="0"/>
        <w:autoSpaceDN w:val="0"/>
        <w:bidi w:val="0"/>
        <w:adjustRightInd/>
        <w:snapToGrid/>
        <w:rPr>
          <w:rFonts w:hint="eastAsia" w:ascii="宋体" w:hAnsi="宋体" w:eastAsia="宋体" w:cs="宋体"/>
          <w:color w:val="auto"/>
          <w:sz w:val="21"/>
          <w:szCs w:val="21"/>
          <w:highlight w:val="none"/>
        </w:rPr>
      </w:pPr>
    </w:p>
    <w:tbl>
      <w:tblPr>
        <w:tblStyle w:val="25"/>
        <w:tblW w:w="4992" w:type="pct"/>
        <w:jc w:val="center"/>
        <w:tblLayout w:type="autofit"/>
        <w:tblCellMar>
          <w:top w:w="0" w:type="dxa"/>
          <w:left w:w="108" w:type="dxa"/>
          <w:bottom w:w="0" w:type="dxa"/>
          <w:right w:w="108" w:type="dxa"/>
        </w:tblCellMar>
      </w:tblPr>
      <w:tblGrid>
        <w:gridCol w:w="4254"/>
        <w:gridCol w:w="4254"/>
      </w:tblGrid>
      <w:tr w14:paraId="24C715DA">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419A66A9">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甲方（盖章）：</w:t>
            </w:r>
          </w:p>
        </w:tc>
        <w:tc>
          <w:tcPr>
            <w:tcW w:w="2500" w:type="pct"/>
            <w:tcBorders>
              <w:top w:val="nil"/>
              <w:left w:val="nil"/>
              <w:bottom w:val="nil"/>
              <w:right w:val="nil"/>
            </w:tcBorders>
            <w:noWrap/>
            <w:vAlign w:val="center"/>
          </w:tcPr>
          <w:p w14:paraId="72915118">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乙方（盖章）：</w:t>
            </w:r>
          </w:p>
        </w:tc>
      </w:tr>
      <w:tr w14:paraId="574B5B7A">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48A26EE3">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法定代表(签字)：</w:t>
            </w:r>
          </w:p>
        </w:tc>
        <w:tc>
          <w:tcPr>
            <w:tcW w:w="2500" w:type="pct"/>
            <w:tcBorders>
              <w:top w:val="nil"/>
              <w:left w:val="nil"/>
              <w:bottom w:val="nil"/>
              <w:right w:val="nil"/>
            </w:tcBorders>
            <w:noWrap/>
            <w:vAlign w:val="center"/>
          </w:tcPr>
          <w:p w14:paraId="6E6697F5">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法定代表(签字)：</w:t>
            </w:r>
          </w:p>
        </w:tc>
      </w:tr>
      <w:tr w14:paraId="01FE6309">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7A14A4C5">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地址：</w:t>
            </w:r>
          </w:p>
        </w:tc>
        <w:tc>
          <w:tcPr>
            <w:tcW w:w="2500" w:type="pct"/>
            <w:tcBorders>
              <w:top w:val="nil"/>
              <w:left w:val="nil"/>
              <w:bottom w:val="nil"/>
              <w:right w:val="nil"/>
            </w:tcBorders>
            <w:noWrap/>
            <w:vAlign w:val="center"/>
          </w:tcPr>
          <w:p w14:paraId="3A38D0C7">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地址：</w:t>
            </w:r>
          </w:p>
        </w:tc>
      </w:tr>
      <w:tr w14:paraId="41C25E18">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3A0B968B">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电话：</w:t>
            </w:r>
          </w:p>
        </w:tc>
        <w:tc>
          <w:tcPr>
            <w:tcW w:w="2500" w:type="pct"/>
            <w:tcBorders>
              <w:top w:val="nil"/>
              <w:left w:val="nil"/>
              <w:bottom w:val="nil"/>
              <w:right w:val="nil"/>
            </w:tcBorders>
            <w:noWrap/>
            <w:vAlign w:val="center"/>
          </w:tcPr>
          <w:p w14:paraId="411EE3F2">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电话：</w:t>
            </w:r>
          </w:p>
        </w:tc>
      </w:tr>
      <w:tr w14:paraId="79E6AADC">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0738A241">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传真：</w:t>
            </w:r>
          </w:p>
        </w:tc>
        <w:tc>
          <w:tcPr>
            <w:tcW w:w="2500" w:type="pct"/>
            <w:tcBorders>
              <w:top w:val="nil"/>
              <w:left w:val="nil"/>
              <w:bottom w:val="nil"/>
              <w:right w:val="nil"/>
            </w:tcBorders>
            <w:noWrap/>
            <w:vAlign w:val="center"/>
          </w:tcPr>
          <w:p w14:paraId="0EDE1E2B">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传真：</w:t>
            </w:r>
          </w:p>
        </w:tc>
      </w:tr>
      <w:tr w14:paraId="7827A1C9">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169541E8">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开户银行：</w:t>
            </w:r>
          </w:p>
        </w:tc>
        <w:tc>
          <w:tcPr>
            <w:tcW w:w="2500" w:type="pct"/>
            <w:tcBorders>
              <w:top w:val="nil"/>
              <w:left w:val="nil"/>
              <w:bottom w:val="nil"/>
              <w:right w:val="nil"/>
            </w:tcBorders>
            <w:noWrap/>
            <w:vAlign w:val="center"/>
          </w:tcPr>
          <w:p w14:paraId="40247895">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开户银行：</w:t>
            </w:r>
          </w:p>
        </w:tc>
      </w:tr>
      <w:tr w14:paraId="6C42DB06">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61145DCB">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账号：</w:t>
            </w:r>
          </w:p>
        </w:tc>
        <w:tc>
          <w:tcPr>
            <w:tcW w:w="2500" w:type="pct"/>
            <w:tcBorders>
              <w:top w:val="nil"/>
              <w:left w:val="nil"/>
              <w:bottom w:val="nil"/>
              <w:right w:val="nil"/>
            </w:tcBorders>
            <w:noWrap/>
            <w:vAlign w:val="center"/>
          </w:tcPr>
          <w:p w14:paraId="015E0EEB">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账号：</w:t>
            </w:r>
          </w:p>
        </w:tc>
      </w:tr>
      <w:tr w14:paraId="09E28F00">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3F377D34">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签约时间：</w:t>
            </w:r>
          </w:p>
        </w:tc>
        <w:tc>
          <w:tcPr>
            <w:tcW w:w="2500" w:type="pct"/>
            <w:tcBorders>
              <w:top w:val="nil"/>
              <w:left w:val="nil"/>
              <w:bottom w:val="nil"/>
              <w:right w:val="nil"/>
            </w:tcBorders>
            <w:noWrap/>
            <w:vAlign w:val="center"/>
          </w:tcPr>
          <w:p w14:paraId="579C807F">
            <w:pPr>
              <w:keepNext w:val="0"/>
              <w:keepLines w:val="0"/>
              <w:pageBreakBefore w:val="0"/>
              <w:shd w:val="clear" w:color="auto"/>
              <w:kinsoku/>
              <w:wordWrap/>
              <w:overflowPunct/>
              <w:topLinePunct w:val="0"/>
              <w:autoSpaceDE w:val="0"/>
              <w:autoSpaceDN w:val="0"/>
              <w:bidi w:val="0"/>
              <w:adjustRightInd/>
              <w:snapToGrid/>
              <w:jc w:val="both"/>
              <w:rPr>
                <w:rFonts w:hint="eastAsia" w:ascii="宋体" w:hAnsi="宋体" w:eastAsia="宋体" w:cs="宋体"/>
                <w:color w:val="auto"/>
                <w:sz w:val="21"/>
                <w:szCs w:val="21"/>
                <w:highlight w:val="none"/>
              </w:rPr>
            </w:pPr>
          </w:p>
        </w:tc>
      </w:tr>
      <w:tr w14:paraId="39B07430">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4A34C999">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签约地点：</w:t>
            </w:r>
          </w:p>
        </w:tc>
        <w:tc>
          <w:tcPr>
            <w:tcW w:w="2500" w:type="pct"/>
            <w:tcBorders>
              <w:top w:val="nil"/>
              <w:left w:val="nil"/>
              <w:bottom w:val="nil"/>
              <w:right w:val="nil"/>
            </w:tcBorders>
            <w:noWrap/>
            <w:vAlign w:val="center"/>
          </w:tcPr>
          <w:p w14:paraId="37C79640">
            <w:pPr>
              <w:keepNext w:val="0"/>
              <w:keepLines w:val="0"/>
              <w:pageBreakBefore w:val="0"/>
              <w:shd w:val="clear" w:color="auto"/>
              <w:kinsoku/>
              <w:wordWrap/>
              <w:overflowPunct/>
              <w:topLinePunct w:val="0"/>
              <w:autoSpaceDE w:val="0"/>
              <w:autoSpaceDN w:val="0"/>
              <w:bidi w:val="0"/>
              <w:adjustRightInd/>
              <w:snapToGrid/>
              <w:jc w:val="both"/>
              <w:rPr>
                <w:rFonts w:hint="eastAsia" w:ascii="宋体" w:hAnsi="宋体" w:eastAsia="宋体" w:cs="宋体"/>
                <w:color w:val="auto"/>
                <w:sz w:val="21"/>
                <w:szCs w:val="21"/>
                <w:highlight w:val="none"/>
              </w:rPr>
            </w:pPr>
          </w:p>
        </w:tc>
      </w:tr>
    </w:tbl>
    <w:p w14:paraId="2D9A0B52">
      <w:pPr>
        <w:keepNext w:val="0"/>
        <w:keepLines w:val="0"/>
        <w:pageBreakBefore w:val="0"/>
        <w:shd w:val="clear" w:color="auto"/>
        <w:kinsoku/>
        <w:wordWrap/>
        <w:overflowPunct/>
        <w:topLinePunct w:val="0"/>
        <w:autoSpaceDE w:val="0"/>
        <w:autoSpaceDN w:val="0"/>
        <w:bidi w:val="0"/>
        <w:adjustRightInd/>
        <w:snapToGrid/>
        <w:rPr>
          <w:rFonts w:hint="eastAsia" w:ascii="宋体" w:hAnsi="宋体" w:eastAsia="宋体" w:cs="宋体"/>
          <w:color w:val="auto"/>
          <w:sz w:val="21"/>
          <w:szCs w:val="21"/>
          <w:highlight w:val="none"/>
        </w:rPr>
      </w:pPr>
    </w:p>
    <w:p w14:paraId="2BE80EA1">
      <w:pPr>
        <w:keepNext w:val="0"/>
        <w:keepLines w:val="0"/>
        <w:pageBreakBefore w:val="0"/>
        <w:shd w:val="clear" w:color="auto"/>
        <w:kinsoku/>
        <w:wordWrap/>
        <w:overflowPunct/>
        <w:topLinePunct w:val="0"/>
        <w:autoSpaceDE w:val="0"/>
        <w:autoSpaceDN w:val="0"/>
        <w:bidi w:val="0"/>
        <w:adjustRightInd/>
        <w:snapToGrid/>
        <w:rPr>
          <w:rFonts w:hint="eastAsia" w:ascii="宋体" w:hAnsi="宋体" w:eastAsia="宋体" w:cs="宋体"/>
          <w:color w:val="auto"/>
          <w:sz w:val="21"/>
          <w:szCs w:val="21"/>
          <w:highlight w:val="none"/>
        </w:rPr>
      </w:pPr>
    </w:p>
    <w:p w14:paraId="2F8CBB5A">
      <w:pPr>
        <w:keepNext w:val="0"/>
        <w:keepLines w:val="0"/>
        <w:pageBreakBefore w:val="0"/>
        <w:shd w:val="clear" w:color="auto"/>
        <w:kinsoku/>
        <w:wordWrap/>
        <w:overflowPunct/>
        <w:topLinePunct w:val="0"/>
        <w:autoSpaceDE w:val="0"/>
        <w:autoSpaceDN w:val="0"/>
        <w:bidi w:val="0"/>
        <w:adjustRightInd/>
        <w:snapToGrid/>
        <w:rPr>
          <w:rFonts w:hint="eastAsia" w:ascii="宋体" w:hAnsi="宋体" w:eastAsia="宋体" w:cs="宋体"/>
          <w:color w:val="auto"/>
          <w:sz w:val="21"/>
          <w:szCs w:val="21"/>
          <w:highlight w:val="none"/>
        </w:rPr>
      </w:pPr>
    </w:p>
    <w:p w14:paraId="209E4112">
      <w:pPr>
        <w:keepNext w:val="0"/>
        <w:keepLines w:val="0"/>
        <w:pageBreakBefore w:val="0"/>
        <w:shd w:val="clear" w:color="auto"/>
        <w:kinsoku/>
        <w:wordWrap/>
        <w:overflowPunct/>
        <w:topLinePunct w:val="0"/>
        <w:autoSpaceDE w:val="0"/>
        <w:autoSpaceDN w:val="0"/>
        <w:bidi w:val="0"/>
        <w:adjustRightInd/>
        <w:snapToGrid/>
        <w:rPr>
          <w:rFonts w:hint="eastAsia" w:ascii="宋体" w:hAnsi="宋体" w:eastAsia="宋体" w:cs="宋体"/>
          <w:color w:val="auto"/>
          <w:sz w:val="21"/>
          <w:szCs w:val="21"/>
          <w:highlight w:val="none"/>
        </w:rPr>
      </w:pPr>
    </w:p>
    <w:p w14:paraId="06DF6CA9">
      <w:pPr>
        <w:keepNext w:val="0"/>
        <w:keepLines w:val="0"/>
        <w:pageBreakBefore w:val="0"/>
        <w:shd w:val="clear" w:color="auto"/>
        <w:kinsoku/>
        <w:wordWrap/>
        <w:overflowPunct/>
        <w:topLinePunct w:val="0"/>
        <w:autoSpaceDE w:val="0"/>
        <w:autoSpaceDN w:val="0"/>
        <w:bidi w:val="0"/>
        <w:adjustRightInd/>
        <w:snapToGrid/>
        <w:rPr>
          <w:rFonts w:hint="eastAsia" w:ascii="宋体" w:hAnsi="宋体" w:eastAsia="宋体" w:cs="宋体"/>
          <w:color w:val="auto"/>
          <w:sz w:val="21"/>
          <w:szCs w:val="21"/>
          <w:highlight w:val="none"/>
        </w:rPr>
      </w:pPr>
    </w:p>
    <w:p w14:paraId="29607AC6">
      <w:pPr>
        <w:keepNext w:val="0"/>
        <w:keepLines w:val="0"/>
        <w:pageBreakBefore w:val="0"/>
        <w:shd w:val="clear" w:color="auto"/>
        <w:kinsoku/>
        <w:wordWrap/>
        <w:overflowPunct/>
        <w:topLinePunct w:val="0"/>
        <w:autoSpaceDE w:val="0"/>
        <w:autoSpaceDN w:val="0"/>
        <w:bidi w:val="0"/>
        <w:adjustRightInd/>
        <w:snapToGrid/>
        <w:rPr>
          <w:rFonts w:hint="eastAsia" w:ascii="宋体" w:hAnsi="宋体" w:eastAsia="宋体" w:cs="宋体"/>
          <w:color w:val="auto"/>
          <w:sz w:val="21"/>
          <w:szCs w:val="21"/>
          <w:highlight w:val="none"/>
        </w:rPr>
      </w:pPr>
    </w:p>
    <w:p w14:paraId="6C806832">
      <w:pPr>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br w:type="page"/>
      </w:r>
    </w:p>
    <w:p w14:paraId="1A55E2FB">
      <w:pPr>
        <w:pStyle w:val="23"/>
        <w:shd w:val="clear"/>
        <w:spacing w:line="560" w:lineRule="exact"/>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附件一：</w:t>
      </w:r>
    </w:p>
    <w:p w14:paraId="22E09566">
      <w:pPr>
        <w:pStyle w:val="23"/>
        <w:shd w:val="clear"/>
        <w:spacing w:line="560" w:lineRule="exact"/>
        <w:jc w:val="center"/>
        <w:rPr>
          <w:rFonts w:hint="default" w:ascii="宋体" w:hAnsi="宋体" w:eastAsia="宋体" w:cs="Times New Roman"/>
          <w:color w:val="auto"/>
          <w:highlight w:val="none"/>
          <w:lang w:val="en-US" w:eastAsia="zh-CN"/>
        </w:rPr>
      </w:pPr>
      <w:r>
        <w:rPr>
          <w:rFonts w:hint="default" w:ascii="宋体" w:hAnsi="宋体" w:eastAsia="宋体" w:cs="Times New Roman"/>
          <w:b/>
          <w:bCs/>
          <w:color w:val="auto"/>
          <w:sz w:val="30"/>
          <w:szCs w:val="30"/>
          <w:highlight w:val="none"/>
          <w:lang w:val="en-US" w:eastAsia="zh-CN"/>
        </w:rPr>
        <w:t>供应商月度评价表</w:t>
      </w:r>
    </w:p>
    <w:p w14:paraId="181946CF">
      <w:pPr>
        <w:pStyle w:val="23"/>
        <w:shd w:val="clear"/>
        <w:spacing w:line="560" w:lineRule="exac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评价部门：</w:t>
      </w:r>
    </w:p>
    <w:tbl>
      <w:tblPr>
        <w:tblStyle w:val="25"/>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63"/>
        <w:gridCol w:w="1140"/>
        <w:gridCol w:w="5595"/>
        <w:gridCol w:w="459"/>
        <w:gridCol w:w="459"/>
      </w:tblGrid>
      <w:tr w14:paraId="1CBE04F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3A21A77">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一级</w:t>
            </w:r>
          </w:p>
          <w:p w14:paraId="68BEADE0">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指标</w:t>
            </w:r>
          </w:p>
        </w:tc>
        <w:tc>
          <w:tcPr>
            <w:tcW w:w="1140"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E56EEA2">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二级指标</w:t>
            </w:r>
          </w:p>
        </w:tc>
        <w:tc>
          <w:tcPr>
            <w:tcW w:w="5595"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FA89F90">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考核要素和评估内容及其标准</w:t>
            </w: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1F3A92C">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扣分</w:t>
            </w: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A9CA8F2">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442FDE0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restar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E4F2F5C">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流程管理</w:t>
            </w:r>
          </w:p>
          <w:p w14:paraId="45FC364D">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（分值30）</w:t>
            </w: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6A15D80">
            <w:pPr>
              <w:pStyle w:val="67"/>
              <w:shd w:val="clear"/>
              <w:jc w:val="center"/>
              <w:rPr>
                <w:rFonts w:hint="eastAsia" w:ascii="宋体" w:hAnsi="宋体" w:cs="宋体"/>
                <w:color w:val="auto"/>
                <w:sz w:val="21"/>
                <w:szCs w:val="21"/>
                <w:highlight w:val="none"/>
                <w:lang w:val="en-US" w:eastAsia="zh-CN"/>
              </w:rPr>
            </w:pPr>
          </w:p>
          <w:p w14:paraId="01E25E35">
            <w:pPr>
              <w:pStyle w:val="67"/>
              <w:shd w:val="clear"/>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送货时间</w:t>
            </w:r>
            <w:r>
              <w:rPr>
                <w:rFonts w:hint="eastAsia" w:ascii="宋体" w:hAnsi="宋体" w:eastAsia="宋体" w:cs="宋体"/>
                <w:color w:val="auto"/>
                <w:sz w:val="21"/>
                <w:szCs w:val="21"/>
                <w:highlight w:val="none"/>
              </w:rPr>
              <w:t>（分值6）</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99C53D4">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不准时（超30分钟）但能与采购人及时沟通的，每发生一次扣1分；不准时（超30分钟）送达且不沟通或沟通不及时的，每发生一次扣2分。（出现影响饭堂工作的情况，按招标文件或合同条款的相关条款处罚）。</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2654CCB">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06E6E59">
            <w:pPr>
              <w:shd w:val="clear"/>
              <w:rPr>
                <w:rFonts w:hint="eastAsia" w:ascii="宋体" w:hAnsi="宋体" w:eastAsia="宋体" w:cs="宋体"/>
                <w:color w:val="auto"/>
                <w:sz w:val="21"/>
                <w:szCs w:val="21"/>
                <w:highlight w:val="none"/>
              </w:rPr>
            </w:pPr>
          </w:p>
        </w:tc>
      </w:tr>
      <w:tr w14:paraId="782EA50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863" w:type="dxa"/>
            <w:vMerge w:val="continue"/>
            <w:tcBorders>
              <w:top w:val="nil"/>
              <w:left w:val="single" w:color="000000" w:sz="4" w:space="0"/>
              <w:bottom w:val="single" w:color="000000" w:sz="4" w:space="0"/>
              <w:right w:val="single" w:color="000000" w:sz="4" w:space="0"/>
            </w:tcBorders>
            <w:noWrap w:val="0"/>
            <w:vAlign w:val="top"/>
          </w:tcPr>
          <w:p w14:paraId="2179A2C0">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716B4A8">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检验证明（分值6）</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13AAF12">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相应批次的食材未能提供对应合格检验证明或对提供资料弄虚作假的，每次</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29916E9">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48E30D8">
            <w:pPr>
              <w:shd w:val="clear"/>
              <w:rPr>
                <w:rFonts w:hint="eastAsia" w:ascii="宋体" w:hAnsi="宋体" w:eastAsia="宋体" w:cs="宋体"/>
                <w:color w:val="auto"/>
                <w:sz w:val="21"/>
                <w:szCs w:val="21"/>
                <w:highlight w:val="none"/>
              </w:rPr>
            </w:pPr>
          </w:p>
        </w:tc>
      </w:tr>
      <w:tr w14:paraId="20FF432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71EAC39D">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64485DD">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人员管理</w:t>
            </w:r>
          </w:p>
          <w:p w14:paraId="6B76161E">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（分值6）</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E383DF8">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服务人员没有出示健康证，没有穿着工衣和佩戴胸卡的，每次扣2分。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7A1BA02">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528B38A">
            <w:pPr>
              <w:shd w:val="clear"/>
              <w:rPr>
                <w:rFonts w:hint="eastAsia" w:ascii="宋体" w:hAnsi="宋体" w:eastAsia="宋体" w:cs="宋体"/>
                <w:color w:val="auto"/>
                <w:sz w:val="21"/>
                <w:szCs w:val="21"/>
                <w:highlight w:val="none"/>
              </w:rPr>
            </w:pPr>
          </w:p>
        </w:tc>
      </w:tr>
      <w:tr w14:paraId="5366621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4F298FCE">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D1B420F">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车辆整洁（分值4）</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88A15A8">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配送车辆、实际运输符合招标文件及合同约定的，干净整洁，无异味。不符合每次扣2分。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198B0E9">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EFF866B">
            <w:pPr>
              <w:shd w:val="clear"/>
              <w:rPr>
                <w:rFonts w:hint="eastAsia" w:ascii="宋体" w:hAnsi="宋体" w:eastAsia="宋体" w:cs="宋体"/>
                <w:color w:val="auto"/>
                <w:sz w:val="21"/>
                <w:szCs w:val="21"/>
                <w:highlight w:val="none"/>
              </w:rPr>
            </w:pPr>
          </w:p>
        </w:tc>
      </w:tr>
      <w:tr w14:paraId="4DAA9C0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4BD9FB27">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F333AA1">
            <w:pPr>
              <w:pStyle w:val="67"/>
              <w:shd w:val="clear"/>
              <w:jc w:val="center"/>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rPr>
              <w:t>单据清晰（分值4）</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0C2F00F">
            <w:pPr>
              <w:pStyle w:val="67"/>
              <w:shd w:val="clear"/>
              <w:jc w:val="both"/>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rPr>
              <w:t>送货单（结算凭证）详细注明商品的品牌、品种、单价、数量，打印清晰，无错漏。不符合每次扣2分。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550CABF">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11FF315">
            <w:pPr>
              <w:shd w:val="clear"/>
              <w:rPr>
                <w:rFonts w:hint="eastAsia" w:ascii="宋体" w:hAnsi="宋体" w:eastAsia="宋体" w:cs="宋体"/>
                <w:color w:val="auto"/>
                <w:sz w:val="21"/>
                <w:szCs w:val="21"/>
                <w:highlight w:val="none"/>
              </w:rPr>
            </w:pPr>
          </w:p>
        </w:tc>
      </w:tr>
      <w:tr w14:paraId="3FB8F44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14F3152B">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B17A24B">
            <w:pPr>
              <w:pStyle w:val="67"/>
              <w:shd w:val="clear"/>
              <w:jc w:val="center"/>
              <w:rPr>
                <w:rFonts w:hint="eastAsia" w:ascii="宋体" w:hAnsi="宋体" w:eastAsia="宋体" w:cs="宋体"/>
                <w:color w:val="auto"/>
                <w:sz w:val="21"/>
                <w:szCs w:val="21"/>
                <w:highlight w:val="none"/>
              </w:rPr>
            </w:pPr>
          </w:p>
          <w:p w14:paraId="5E27D322">
            <w:pPr>
              <w:pStyle w:val="67"/>
              <w:shd w:val="clear"/>
              <w:jc w:val="center"/>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rPr>
              <w:t>服务态度（分值4）</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E4F9B0A">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送货人工作认真负责，运送搬装文明，与食堂人员良好沟通。不文明行为每次扣2分。</w:t>
            </w:r>
          </w:p>
          <w:p w14:paraId="0C73AD22">
            <w:pPr>
              <w:pStyle w:val="67"/>
              <w:shd w:val="clear"/>
              <w:jc w:val="both"/>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rPr>
              <w:t>采购人提出扣分及整改意见</w:t>
            </w:r>
            <w:r>
              <w:rPr>
                <w:rFonts w:hint="eastAsia" w:ascii="宋体" w:hAnsi="宋体" w:cs="宋体"/>
                <w:color w:val="auto"/>
                <w:sz w:val="21"/>
                <w:szCs w:val="21"/>
                <w:highlight w:val="none"/>
                <w:lang w:val="en-US" w:eastAsia="zh-CN"/>
              </w:rPr>
              <w:t>后</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必须虚心接受，</w:t>
            </w:r>
            <w:r>
              <w:rPr>
                <w:rFonts w:hint="eastAsia" w:ascii="宋体" w:hAnsi="宋体" w:cs="宋体"/>
                <w:color w:val="auto"/>
                <w:sz w:val="21"/>
                <w:szCs w:val="21"/>
                <w:highlight w:val="none"/>
                <w:lang w:val="en-US" w:eastAsia="zh-CN"/>
              </w:rPr>
              <w:t>未在规定时间内完成</w:t>
            </w:r>
            <w:r>
              <w:rPr>
                <w:rFonts w:hint="eastAsia" w:ascii="宋体" w:hAnsi="宋体" w:eastAsia="宋体" w:cs="宋体"/>
                <w:color w:val="auto"/>
                <w:sz w:val="21"/>
                <w:szCs w:val="21"/>
                <w:highlight w:val="none"/>
              </w:rPr>
              <w:t>整改</w:t>
            </w:r>
            <w:r>
              <w:rPr>
                <w:rFonts w:hint="eastAsia" w:ascii="宋体" w:hAnsi="宋体" w:cs="宋体"/>
                <w:color w:val="auto"/>
                <w:sz w:val="21"/>
                <w:szCs w:val="21"/>
                <w:highlight w:val="none"/>
                <w:lang w:val="en-US" w:eastAsia="zh-CN"/>
              </w:rPr>
              <w:t>的每次</w:t>
            </w:r>
            <w:r>
              <w:rPr>
                <w:rFonts w:hint="eastAsia" w:ascii="宋体" w:hAnsi="宋体" w:eastAsia="宋体" w:cs="宋体"/>
                <w:color w:val="auto"/>
                <w:sz w:val="21"/>
                <w:szCs w:val="21"/>
                <w:highlight w:val="none"/>
              </w:rPr>
              <w:t>扣</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7DA37ED">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0A5E13B">
            <w:pPr>
              <w:shd w:val="clear"/>
              <w:rPr>
                <w:rFonts w:hint="eastAsia" w:ascii="宋体" w:hAnsi="宋体" w:eastAsia="宋体" w:cs="宋体"/>
                <w:color w:val="auto"/>
                <w:sz w:val="21"/>
                <w:szCs w:val="21"/>
                <w:highlight w:val="none"/>
              </w:rPr>
            </w:pPr>
          </w:p>
        </w:tc>
      </w:tr>
      <w:tr w14:paraId="1FF1A51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restar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A01EB16">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质量管理</w:t>
            </w:r>
          </w:p>
          <w:p w14:paraId="537D80F8">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（分值50）</w:t>
            </w: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F2377C5">
            <w:pPr>
              <w:pStyle w:val="67"/>
              <w:shd w:val="clear"/>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安全</w:t>
            </w:r>
          </w:p>
          <w:p w14:paraId="5CE91894">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r>
              <w:rPr>
                <w:rFonts w:hint="eastAsia" w:ascii="宋体" w:hAnsi="宋体" w:cs="宋体"/>
                <w:color w:val="auto"/>
                <w:sz w:val="21"/>
                <w:szCs w:val="21"/>
                <w:highlight w:val="none"/>
                <w:lang w:val="en-US" w:eastAsia="zh-CN"/>
              </w:rPr>
              <w:t>20</w:t>
            </w:r>
            <w:r>
              <w:rPr>
                <w:rFonts w:hint="eastAsia" w:ascii="宋体" w:hAnsi="宋体" w:eastAsia="宋体" w:cs="宋体"/>
                <w:color w:val="auto"/>
                <w:sz w:val="21"/>
                <w:szCs w:val="21"/>
                <w:highlight w:val="none"/>
              </w:rPr>
              <w:t>）</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BC7B185">
            <w:pPr>
              <w:pStyle w:val="67"/>
              <w:shd w:val="clear"/>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因配送食材出现质量问题而造成食物中毒，每次扣</w:t>
            </w:r>
            <w:r>
              <w:rPr>
                <w:rFonts w:hint="eastAsia" w:ascii="宋体" w:hAnsi="宋体" w:cs="宋体"/>
                <w:color w:val="auto"/>
                <w:sz w:val="21"/>
                <w:szCs w:val="21"/>
                <w:highlight w:val="none"/>
                <w:lang w:val="en-US" w:eastAsia="zh-CN"/>
              </w:rPr>
              <w:t>20</w:t>
            </w:r>
            <w:r>
              <w:rPr>
                <w:rFonts w:hint="eastAsia" w:ascii="宋体" w:hAnsi="宋体" w:eastAsia="宋体" w:cs="宋体"/>
                <w:color w:val="auto"/>
                <w:sz w:val="21"/>
                <w:szCs w:val="21"/>
                <w:highlight w:val="none"/>
              </w:rPr>
              <w:t>分。并承担由此造成的全部法律责任及经济损失赔偿责任（包括但不限于食物中毒人员医疗费、误工费、事故处理费等）</w:t>
            </w:r>
          </w:p>
          <w:p w14:paraId="3890C4EF">
            <w:pPr>
              <w:pStyle w:val="67"/>
              <w:shd w:val="clear"/>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没有建立、健全本单位安全生产责任制，制定安全生产规章制度和操作规程，或违反制度操作的，每次扣2分。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7F0C6AB">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03D8F73">
            <w:pPr>
              <w:shd w:val="clear"/>
              <w:rPr>
                <w:rFonts w:hint="eastAsia" w:ascii="宋体" w:hAnsi="宋体" w:eastAsia="宋体" w:cs="宋体"/>
                <w:color w:val="auto"/>
                <w:sz w:val="21"/>
                <w:szCs w:val="21"/>
                <w:highlight w:val="none"/>
              </w:rPr>
            </w:pPr>
          </w:p>
        </w:tc>
      </w:tr>
      <w:tr w14:paraId="0312306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3C34EEB0">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EEC4298">
            <w:pPr>
              <w:pStyle w:val="23"/>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货品数量</w:t>
            </w:r>
            <w:r>
              <w:rPr>
                <w:rFonts w:hint="eastAsia" w:ascii="宋体" w:hAnsi="宋体" w:cs="宋体"/>
                <w:color w:val="auto"/>
                <w:sz w:val="21"/>
                <w:szCs w:val="21"/>
                <w:highlight w:val="none"/>
                <w:lang w:val="en-US" w:eastAsia="zh-CN"/>
              </w:rPr>
              <w:t>、重量</w:t>
            </w:r>
          </w:p>
          <w:p w14:paraId="36157685">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5E82AE2">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要求按订单供应准确数量</w:t>
            </w:r>
            <w:r>
              <w:rPr>
                <w:rFonts w:hint="eastAsia" w:ascii="宋体" w:hAnsi="宋体" w:cs="宋体"/>
                <w:color w:val="auto"/>
                <w:sz w:val="21"/>
                <w:szCs w:val="21"/>
                <w:highlight w:val="none"/>
                <w:lang w:val="en-US" w:eastAsia="zh-CN"/>
              </w:rPr>
              <w:t>、重量</w:t>
            </w:r>
            <w:r>
              <w:rPr>
                <w:rFonts w:hint="eastAsia" w:ascii="宋体" w:hAnsi="宋体" w:eastAsia="宋体" w:cs="宋体"/>
                <w:color w:val="auto"/>
                <w:sz w:val="21"/>
                <w:szCs w:val="21"/>
                <w:highlight w:val="none"/>
                <w:lang w:val="en-US" w:eastAsia="zh-CN"/>
              </w:rPr>
              <w:t>（误差</w:t>
            </w:r>
            <w:r>
              <w:rPr>
                <w:rFonts w:hint="eastAsia" w:ascii="宋体" w:hAnsi="宋体" w:cs="宋体"/>
                <w:color w:val="auto"/>
                <w:sz w:val="21"/>
                <w:szCs w:val="21"/>
                <w:highlight w:val="none"/>
                <w:lang w:val="en-US" w:eastAsia="zh-CN"/>
              </w:rPr>
              <w:t>应控制在</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%内）。</w:t>
            </w:r>
          </w:p>
          <w:p w14:paraId="67DA793A">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%≤供货数量</w:t>
            </w:r>
            <w:r>
              <w:rPr>
                <w:rFonts w:hint="eastAsia" w:ascii="宋体" w:hAnsi="宋体" w:cs="宋体"/>
                <w:color w:val="auto"/>
                <w:sz w:val="21"/>
                <w:szCs w:val="21"/>
                <w:highlight w:val="none"/>
                <w:lang w:val="en-US" w:eastAsia="zh-CN"/>
              </w:rPr>
              <w:t>、重量</w:t>
            </w:r>
            <w:r>
              <w:rPr>
                <w:rFonts w:hint="eastAsia" w:ascii="宋体" w:hAnsi="宋体" w:eastAsia="宋体" w:cs="宋体"/>
                <w:color w:val="auto"/>
                <w:sz w:val="21"/>
                <w:szCs w:val="21"/>
                <w:highlight w:val="none"/>
                <w:lang w:val="en-US" w:eastAsia="zh-CN"/>
              </w:rPr>
              <w:t>误差≤±</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%，每次扣1分；</w:t>
            </w:r>
          </w:p>
          <w:p w14:paraId="34D12F48">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%&lt;供货数量</w:t>
            </w:r>
            <w:r>
              <w:rPr>
                <w:rFonts w:hint="eastAsia" w:ascii="宋体" w:hAnsi="宋体" w:cs="宋体"/>
                <w:color w:val="auto"/>
                <w:sz w:val="21"/>
                <w:szCs w:val="21"/>
                <w:highlight w:val="none"/>
                <w:lang w:val="en-US" w:eastAsia="zh-CN"/>
              </w:rPr>
              <w:t>、重量</w:t>
            </w:r>
            <w:r>
              <w:rPr>
                <w:rFonts w:hint="eastAsia" w:ascii="宋体" w:hAnsi="宋体" w:eastAsia="宋体" w:cs="宋体"/>
                <w:color w:val="auto"/>
                <w:sz w:val="21"/>
                <w:szCs w:val="21"/>
                <w:highlight w:val="none"/>
                <w:lang w:val="en-US" w:eastAsia="zh-CN"/>
              </w:rPr>
              <w:t>误差≤±</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0%，每次扣2分</w:t>
            </w:r>
            <w:r>
              <w:rPr>
                <w:rFonts w:hint="eastAsia" w:ascii="宋体" w:hAnsi="宋体" w:cs="宋体"/>
                <w:color w:val="auto"/>
                <w:sz w:val="21"/>
                <w:szCs w:val="21"/>
                <w:highlight w:val="none"/>
                <w:lang w:val="en-US" w:eastAsia="zh-CN"/>
              </w:rPr>
              <w:t>；</w:t>
            </w:r>
          </w:p>
          <w:p w14:paraId="7BF3D24C">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供货数量</w:t>
            </w:r>
            <w:r>
              <w:rPr>
                <w:rFonts w:hint="eastAsia" w:ascii="宋体" w:hAnsi="宋体" w:cs="宋体"/>
                <w:color w:val="auto"/>
                <w:sz w:val="21"/>
                <w:szCs w:val="21"/>
                <w:highlight w:val="none"/>
                <w:lang w:val="en-US" w:eastAsia="zh-CN"/>
              </w:rPr>
              <w:t>、重量</w:t>
            </w:r>
            <w:r>
              <w:rPr>
                <w:rFonts w:hint="eastAsia" w:ascii="宋体" w:hAnsi="宋体" w:eastAsia="宋体" w:cs="宋体"/>
                <w:color w:val="auto"/>
                <w:sz w:val="21"/>
                <w:szCs w:val="21"/>
                <w:highlight w:val="none"/>
                <w:lang w:val="en-US" w:eastAsia="zh-CN"/>
              </w:rPr>
              <w:t>误差&gt;±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0%，每次扣3分。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2545F87">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5FDE61F">
            <w:pPr>
              <w:shd w:val="clear"/>
              <w:rPr>
                <w:rFonts w:hint="eastAsia" w:ascii="宋体" w:hAnsi="宋体" w:eastAsia="宋体" w:cs="宋体"/>
                <w:color w:val="auto"/>
                <w:sz w:val="21"/>
                <w:szCs w:val="21"/>
                <w:highlight w:val="none"/>
              </w:rPr>
            </w:pPr>
          </w:p>
        </w:tc>
      </w:tr>
      <w:tr w14:paraId="21302AB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0ECD1F31">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92D594D">
            <w:pPr>
              <w:pStyle w:val="67"/>
              <w:shd w:val="clear"/>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货品质量</w:t>
            </w:r>
            <w:r>
              <w:rPr>
                <w:rFonts w:hint="eastAsia" w:ascii="宋体" w:hAnsi="宋体" w:eastAsia="宋体" w:cs="宋体"/>
                <w:color w:val="auto"/>
                <w:sz w:val="21"/>
                <w:szCs w:val="21"/>
                <w:highlight w:val="none"/>
              </w:rPr>
              <w:t>（分值</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3245A86">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要求货品新鲜、质优。</w:t>
            </w:r>
          </w:p>
          <w:p w14:paraId="28457A57">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1、送来货品，品相一般，但都可使用，未变质，每次扣1分；</w:t>
            </w:r>
          </w:p>
          <w:p w14:paraId="5FD49924">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2、送来货品，品相较差，但都可使用，未变质，每次扣2分；</w:t>
            </w:r>
          </w:p>
          <w:p w14:paraId="38D4F126">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3、送来货品，剩余保质期短于该货品标明保质期75%的，每次扣5分；</w:t>
            </w:r>
          </w:p>
          <w:p w14:paraId="788E1FB5">
            <w:pPr>
              <w:pStyle w:val="67"/>
              <w:shd w:val="clear"/>
              <w:jc w:val="both"/>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CN"/>
              </w:rPr>
              <w:t>4、送来货品，未按照要求进行冷链运输，过期或变质，每次扣15分。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0EAECA0">
            <w:pPr>
              <w:pStyle w:val="67"/>
              <w:shd w:val="clear"/>
              <w:jc w:val="both"/>
              <w:rPr>
                <w:rFonts w:hint="eastAsia" w:ascii="宋体" w:hAnsi="宋体" w:eastAsia="宋体" w:cs="宋体"/>
                <w:color w:val="auto"/>
                <w:sz w:val="21"/>
                <w:szCs w:val="21"/>
                <w:highlight w:val="none"/>
                <w:lang w:val="en-US" w:eastAsia="zh-Hans"/>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DB21F76">
            <w:pPr>
              <w:shd w:val="clear"/>
              <w:rPr>
                <w:rFonts w:hint="eastAsia" w:ascii="宋体" w:hAnsi="宋体" w:eastAsia="宋体" w:cs="宋体"/>
                <w:color w:val="auto"/>
                <w:sz w:val="21"/>
                <w:szCs w:val="21"/>
                <w:highlight w:val="none"/>
              </w:rPr>
            </w:pPr>
          </w:p>
        </w:tc>
      </w:tr>
      <w:tr w14:paraId="2916F44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restar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05A4C46">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科学管理</w:t>
            </w:r>
          </w:p>
          <w:p w14:paraId="346CE9E8">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（分值20）</w:t>
            </w: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AE092D2">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价格公道</w:t>
            </w:r>
          </w:p>
          <w:p w14:paraId="21E6FD66">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D0F1A9A">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以①东莞市发展和改革局最新公布的“东莞市菜篮子价格监测表”当期价格作为基准价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②“东莞市菜篮子价格监测表”</w:t>
            </w:r>
            <w:r>
              <w:rPr>
                <w:rFonts w:hint="eastAsia" w:ascii="宋体" w:hAnsi="宋体" w:cs="宋体"/>
                <w:color w:val="auto"/>
                <w:sz w:val="21"/>
                <w:szCs w:val="21"/>
                <w:highlight w:val="none"/>
                <w:lang w:val="en-US" w:eastAsia="zh-CN"/>
              </w:rPr>
              <w:t>未公布的品种，</w:t>
            </w:r>
            <w:r>
              <w:rPr>
                <w:rFonts w:hint="eastAsia" w:ascii="宋体" w:hAnsi="宋体" w:eastAsia="宋体" w:cs="宋体"/>
                <w:color w:val="auto"/>
                <w:sz w:val="21"/>
                <w:szCs w:val="21"/>
                <w:highlight w:val="none"/>
              </w:rPr>
              <w:t>以附近三个市场</w:t>
            </w:r>
            <w:r>
              <w:rPr>
                <w:rFonts w:hint="eastAsia" w:ascii="宋体" w:hAnsi="宋体" w:cs="宋体"/>
                <w:color w:val="auto"/>
                <w:sz w:val="21"/>
                <w:szCs w:val="21"/>
                <w:highlight w:val="none"/>
                <w:lang w:eastAsia="zh-CN"/>
              </w:rPr>
              <w:t>（</w:t>
            </w:r>
            <w:r>
              <w:rPr>
                <w:rFonts w:hint="eastAsia" w:cs="宋体"/>
                <w:color w:val="auto"/>
                <w:spacing w:val="-6"/>
                <w:sz w:val="21"/>
                <w:szCs w:val="21"/>
                <w:highlight w:val="none"/>
                <w:lang w:val="en-US" w:eastAsia="zh-CN"/>
              </w:rPr>
              <w:t>常平镇木伦市场、常平镇横江厦市场、常平镇金美市场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的</w:t>
            </w:r>
            <w:r>
              <w:rPr>
                <w:rFonts w:hint="eastAsia" w:ascii="宋体" w:hAnsi="宋体" w:cs="宋体"/>
                <w:color w:val="auto"/>
                <w:sz w:val="21"/>
                <w:szCs w:val="21"/>
                <w:highlight w:val="none"/>
                <w:lang w:val="en-US" w:eastAsia="zh-CN"/>
              </w:rPr>
              <w:t>市场</w:t>
            </w:r>
            <w:r>
              <w:rPr>
                <w:rFonts w:hint="eastAsia" w:ascii="宋体" w:hAnsi="宋体" w:eastAsia="宋体" w:cs="宋体"/>
                <w:color w:val="auto"/>
                <w:sz w:val="21"/>
                <w:szCs w:val="21"/>
                <w:highlight w:val="none"/>
              </w:rPr>
              <w:t>平均价</w:t>
            </w:r>
            <w:r>
              <w:rPr>
                <w:rFonts w:hint="eastAsia" w:ascii="宋体" w:hAnsi="宋体" w:cs="宋体"/>
                <w:color w:val="auto"/>
                <w:sz w:val="21"/>
                <w:szCs w:val="21"/>
                <w:highlight w:val="none"/>
                <w:lang w:val="en-US" w:eastAsia="zh-CN"/>
              </w:rPr>
              <w:t>格</w:t>
            </w:r>
            <w:r>
              <w:rPr>
                <w:rFonts w:hint="eastAsia" w:ascii="宋体" w:hAnsi="宋体" w:eastAsia="宋体" w:cs="宋体"/>
                <w:color w:val="auto"/>
                <w:sz w:val="21"/>
                <w:szCs w:val="21"/>
                <w:highlight w:val="none"/>
              </w:rPr>
              <w:t>作为基准价）。对价格不符合市场价或未及时更新价格表的，每次扣</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C98ECDB">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E9A392F">
            <w:pPr>
              <w:shd w:val="clear"/>
              <w:rPr>
                <w:rFonts w:hint="eastAsia" w:ascii="宋体" w:hAnsi="宋体" w:eastAsia="宋体" w:cs="宋体"/>
                <w:color w:val="auto"/>
                <w:sz w:val="21"/>
                <w:szCs w:val="21"/>
                <w:highlight w:val="none"/>
              </w:rPr>
            </w:pPr>
          </w:p>
        </w:tc>
      </w:tr>
      <w:tr w14:paraId="043A1DF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64A086A8">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9D64FAD">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廉洁自律</w:t>
            </w:r>
          </w:p>
          <w:p w14:paraId="0775BA91">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（分值10）</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CBC98CB">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廉洁自律，严禁向主管人员或收货人进行物质、金钱行贿。经发现，每次扣10分。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EFC2D45">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1C3400C">
            <w:pPr>
              <w:shd w:val="clear"/>
              <w:rPr>
                <w:rFonts w:hint="eastAsia" w:ascii="宋体" w:hAnsi="宋体" w:eastAsia="宋体" w:cs="宋体"/>
                <w:color w:val="auto"/>
                <w:sz w:val="21"/>
                <w:szCs w:val="21"/>
                <w:highlight w:val="none"/>
              </w:rPr>
            </w:pPr>
          </w:p>
        </w:tc>
      </w:tr>
      <w:tr w14:paraId="615D009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0" w:type="auto"/>
            <w:gridSpan w:val="3"/>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9B7C94F">
            <w:pPr>
              <w:pStyle w:val="67"/>
              <w:shd w:val="clea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合计得分（满分100分）</w:t>
            </w:r>
          </w:p>
          <w:p w14:paraId="7AC0E595">
            <w:pPr>
              <w:pStyle w:val="67"/>
              <w:shd w:val="clear"/>
              <w:jc w:val="left"/>
              <w:rPr>
                <w:rFonts w:hint="eastAsia" w:ascii="宋体" w:hAnsi="宋体" w:eastAsia="宋体" w:cs="宋体"/>
                <w:color w:val="auto"/>
                <w:sz w:val="21"/>
                <w:szCs w:val="21"/>
                <w:highlight w:val="none"/>
              </w:rPr>
            </w:pPr>
          </w:p>
          <w:p w14:paraId="2C4C447F">
            <w:pPr>
              <w:pStyle w:val="67"/>
              <w:shd w:val="clear"/>
              <w:jc w:val="left"/>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A890F42">
            <w:pPr>
              <w:pStyle w:val="67"/>
              <w:shd w:val="clear"/>
              <w:jc w:val="left"/>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A43B1AC">
            <w:pPr>
              <w:shd w:val="clear"/>
              <w:jc w:val="left"/>
              <w:rPr>
                <w:rFonts w:hint="eastAsia" w:ascii="宋体" w:hAnsi="宋体" w:eastAsia="宋体" w:cs="宋体"/>
                <w:color w:val="auto"/>
                <w:sz w:val="21"/>
                <w:szCs w:val="21"/>
                <w:highlight w:val="none"/>
              </w:rPr>
            </w:pPr>
          </w:p>
        </w:tc>
      </w:tr>
      <w:tr w14:paraId="1078F42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0" w:type="auto"/>
            <w:gridSpan w:val="5"/>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6663CD9">
            <w:pPr>
              <w:pStyle w:val="67"/>
              <w:shd w:val="clear"/>
              <w:jc w:val="left"/>
              <w:rPr>
                <w:rFonts w:hint="eastAsia" w:ascii="宋体" w:hAnsi="宋体" w:eastAsia="宋体" w:cs="宋体"/>
                <w:color w:val="auto"/>
                <w:sz w:val="21"/>
                <w:szCs w:val="21"/>
                <w:highlight w:val="none"/>
              </w:rPr>
            </w:pPr>
          </w:p>
          <w:p w14:paraId="39362B76">
            <w:pPr>
              <w:pStyle w:val="67"/>
              <w:shd w:val="clea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考核月份：     年  月  评分时间：     年</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w:t>
            </w:r>
          </w:p>
          <w:p w14:paraId="411F2E66">
            <w:pPr>
              <w:pStyle w:val="67"/>
              <w:shd w:val="clear"/>
              <w:jc w:val="left"/>
              <w:rPr>
                <w:rFonts w:hint="eastAsia" w:ascii="宋体" w:hAnsi="宋体" w:eastAsia="宋体" w:cs="宋体"/>
                <w:color w:val="auto"/>
                <w:sz w:val="21"/>
                <w:szCs w:val="21"/>
                <w:highlight w:val="none"/>
              </w:rPr>
            </w:pPr>
          </w:p>
        </w:tc>
      </w:tr>
      <w:tr w14:paraId="0C7E69D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0" w:type="auto"/>
            <w:gridSpan w:val="5"/>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2CB376B">
            <w:pPr>
              <w:pStyle w:val="67"/>
              <w:shd w:val="clear"/>
              <w:jc w:val="left"/>
              <w:rPr>
                <w:rFonts w:hint="eastAsia" w:ascii="宋体" w:hAnsi="宋体" w:eastAsia="宋体" w:cs="宋体"/>
                <w:color w:val="auto"/>
                <w:sz w:val="21"/>
                <w:szCs w:val="21"/>
                <w:highlight w:val="none"/>
              </w:rPr>
            </w:pPr>
          </w:p>
          <w:p w14:paraId="65869E70">
            <w:pPr>
              <w:pStyle w:val="67"/>
              <w:shd w:val="clea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采购人评分人员（不少于5人）签名（盖公章）：</w:t>
            </w:r>
          </w:p>
          <w:p w14:paraId="17086051">
            <w:pPr>
              <w:pStyle w:val="67"/>
              <w:shd w:val="clear"/>
              <w:jc w:val="left"/>
              <w:rPr>
                <w:rFonts w:hint="eastAsia" w:ascii="宋体" w:hAnsi="宋体" w:eastAsia="宋体" w:cs="宋体"/>
                <w:color w:val="auto"/>
                <w:sz w:val="21"/>
                <w:szCs w:val="21"/>
                <w:highlight w:val="none"/>
              </w:rPr>
            </w:pPr>
          </w:p>
          <w:p w14:paraId="30AF4A74">
            <w:pPr>
              <w:pStyle w:val="67"/>
              <w:shd w:val="clea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中标人责任人员签名（盖公章）：</w:t>
            </w:r>
          </w:p>
          <w:p w14:paraId="7903836A">
            <w:pPr>
              <w:pStyle w:val="67"/>
              <w:shd w:val="clear"/>
              <w:jc w:val="left"/>
              <w:rPr>
                <w:rFonts w:hint="eastAsia" w:ascii="宋体" w:hAnsi="宋体" w:eastAsia="宋体" w:cs="宋体"/>
                <w:color w:val="auto"/>
                <w:sz w:val="21"/>
                <w:szCs w:val="21"/>
                <w:highlight w:val="none"/>
              </w:rPr>
            </w:pPr>
          </w:p>
        </w:tc>
      </w:tr>
    </w:tbl>
    <w:p w14:paraId="3DD7EEAF">
      <w:pPr>
        <w:keepNext w:val="0"/>
        <w:keepLines w:val="0"/>
        <w:pageBreakBefore w:val="0"/>
        <w:shd w:val="clear" w:color="auto"/>
        <w:kinsoku/>
        <w:wordWrap/>
        <w:overflowPunct/>
        <w:topLinePunct w:val="0"/>
        <w:autoSpaceDE w:val="0"/>
        <w:autoSpaceDN w:val="0"/>
        <w:bidi w:val="0"/>
        <w:adjustRightInd/>
        <w:snapToGrid/>
        <w:rPr>
          <w:rFonts w:hint="eastAsia" w:ascii="宋体" w:hAnsi="宋体" w:eastAsia="宋体" w:cs="宋体"/>
          <w:color w:val="auto"/>
          <w:sz w:val="21"/>
          <w:szCs w:val="21"/>
          <w:highlight w:val="none"/>
        </w:rPr>
      </w:pPr>
    </w:p>
    <w:p w14:paraId="62BC80B9">
      <w:pPr>
        <w:keepNext w:val="0"/>
        <w:keepLines w:val="0"/>
        <w:pageBreakBefore w:val="0"/>
        <w:shd w:val="clear" w:color="auto"/>
        <w:kinsoku/>
        <w:wordWrap/>
        <w:overflowPunct/>
        <w:topLinePunct w:val="0"/>
        <w:autoSpaceDE w:val="0"/>
        <w:autoSpaceDN w:val="0"/>
        <w:bidi w:val="0"/>
        <w:adjustRightInd/>
        <w:snapToGrid/>
        <w:rPr>
          <w:rFonts w:hint="eastAsia" w:ascii="宋体" w:hAnsi="宋体" w:eastAsia="宋体" w:cs="宋体"/>
          <w:color w:val="auto"/>
          <w:sz w:val="21"/>
          <w:szCs w:val="21"/>
          <w:highlight w:val="none"/>
        </w:rPr>
      </w:pPr>
    </w:p>
    <w:p w14:paraId="07F62133">
      <w:pPr>
        <w:keepNext w:val="0"/>
        <w:keepLines w:val="0"/>
        <w:pageBreakBefore w:val="0"/>
        <w:shd w:val="clear" w:color="auto"/>
        <w:kinsoku/>
        <w:wordWrap/>
        <w:overflowPunct/>
        <w:topLinePunct w:val="0"/>
        <w:autoSpaceDE w:val="0"/>
        <w:autoSpaceDN w:val="0"/>
        <w:bidi w:val="0"/>
        <w:adjustRightInd/>
        <w:snapToGrid/>
        <w:rPr>
          <w:rFonts w:hint="eastAsia" w:ascii="宋体" w:hAnsi="宋体" w:eastAsia="宋体" w:cs="宋体"/>
          <w:color w:val="auto"/>
          <w:sz w:val="21"/>
          <w:szCs w:val="21"/>
          <w:highlight w:val="none"/>
        </w:rPr>
      </w:pPr>
    </w:p>
    <w:p w14:paraId="27289113">
      <w:pPr>
        <w:keepNext w:val="0"/>
        <w:keepLines w:val="0"/>
        <w:pageBreakBefore w:val="0"/>
        <w:shd w:val="clear" w:color="auto"/>
        <w:kinsoku/>
        <w:wordWrap/>
        <w:overflowPunct/>
        <w:topLinePunct w:val="0"/>
        <w:autoSpaceDE w:val="0"/>
        <w:autoSpaceDN w:val="0"/>
        <w:bidi w:val="0"/>
        <w:adjustRightInd/>
        <w:snapToGrid/>
        <w:rPr>
          <w:rFonts w:hint="eastAsia" w:ascii="宋体" w:hAnsi="宋体" w:eastAsia="宋体" w:cs="宋体"/>
          <w:color w:val="auto"/>
          <w:sz w:val="21"/>
          <w:szCs w:val="21"/>
          <w:highlight w:val="none"/>
        </w:rPr>
      </w:pPr>
    </w:p>
    <w:p w14:paraId="42F4BEFF">
      <w:pPr>
        <w:shd w:val="clear" w:color="auto"/>
        <w:rPr>
          <w:color w:val="auto"/>
          <w:highlight w:val="none"/>
        </w:rPr>
      </w:pPr>
    </w:p>
    <w:p w14:paraId="4947D6F7">
      <w:pPr>
        <w:bidi w:val="0"/>
      </w:pPr>
    </w:p>
    <w:p w14:paraId="362646ED">
      <w:pPr>
        <w:rPr>
          <w:rFonts w:ascii="宋体" w:hAnsi="宋体"/>
          <w:b/>
          <w:color w:val="auto"/>
          <w:sz w:val="48"/>
          <w:highlight w:val="none"/>
        </w:rPr>
      </w:pPr>
      <w:r>
        <w:rPr>
          <w:rFonts w:ascii="宋体" w:hAnsi="宋体"/>
          <w:b/>
          <w:color w:val="auto"/>
          <w:sz w:val="48"/>
          <w:highlight w:val="none"/>
        </w:rPr>
        <w:br w:type="page"/>
      </w:r>
    </w:p>
    <w:p w14:paraId="275C9271">
      <w:pPr>
        <w:shd w:val="clear" w:color="auto"/>
        <w:jc w:val="center"/>
        <w:rPr>
          <w:rFonts w:ascii="宋体" w:hAnsi="宋体"/>
          <w:b/>
          <w:color w:val="auto"/>
          <w:sz w:val="48"/>
          <w:highlight w:val="none"/>
        </w:rPr>
      </w:pPr>
      <w:r>
        <w:rPr>
          <w:rFonts w:ascii="宋体" w:hAnsi="宋体"/>
          <w:b/>
          <w:color w:val="auto"/>
          <w:sz w:val="48"/>
          <w:highlight w:val="none"/>
        </w:rPr>
        <w:t>合　同　书</w:t>
      </w:r>
    </w:p>
    <w:p w14:paraId="61A31419">
      <w:pPr>
        <w:shd w:val="clear" w:color="auto"/>
        <w:jc w:val="center"/>
        <w:rPr>
          <w:rFonts w:hint="eastAsia" w:eastAsia="宋体"/>
          <w:color w:val="auto"/>
          <w:highlight w:val="none"/>
          <w:lang w:eastAsia="zh-CN"/>
        </w:rPr>
      </w:pPr>
      <w:r>
        <w:rPr>
          <w:rFonts w:hint="eastAsia" w:ascii="宋体" w:hAnsi="宋体"/>
          <w:b/>
          <w:color w:val="auto"/>
          <w:sz w:val="48"/>
          <w:highlight w:val="none"/>
          <w:lang w:eastAsia="zh-CN"/>
        </w:rPr>
        <w:t>（</w:t>
      </w:r>
      <w:r>
        <w:rPr>
          <w:rFonts w:hint="eastAsia" w:ascii="宋体" w:hAnsi="宋体"/>
          <w:b/>
          <w:color w:val="auto"/>
          <w:sz w:val="48"/>
          <w:highlight w:val="none"/>
          <w:lang w:val="en-US" w:eastAsia="zh-CN"/>
        </w:rPr>
        <w:t>采购包2</w:t>
      </w:r>
      <w:r>
        <w:rPr>
          <w:rFonts w:hint="eastAsia" w:ascii="宋体" w:hAnsi="宋体"/>
          <w:b/>
          <w:color w:val="auto"/>
          <w:sz w:val="48"/>
          <w:highlight w:val="none"/>
          <w:lang w:eastAsia="zh-CN"/>
        </w:rPr>
        <w:t>）</w:t>
      </w:r>
    </w:p>
    <w:p w14:paraId="3C83C467">
      <w:pPr>
        <w:shd w:val="clear" w:color="auto"/>
        <w:jc w:val="center"/>
        <w:rPr>
          <w:color w:val="auto"/>
          <w:highlight w:val="none"/>
        </w:rPr>
      </w:pPr>
    </w:p>
    <w:p w14:paraId="30D9612C">
      <w:pPr>
        <w:shd w:val="clear" w:color="auto"/>
        <w:jc w:val="center"/>
        <w:rPr>
          <w:color w:val="auto"/>
          <w:highlight w:val="none"/>
        </w:rPr>
      </w:pPr>
    </w:p>
    <w:p w14:paraId="7AD6F473">
      <w:pPr>
        <w:shd w:val="clear" w:color="auto"/>
        <w:jc w:val="center"/>
        <w:rPr>
          <w:color w:val="auto"/>
          <w:highlight w:val="none"/>
        </w:rPr>
      </w:pPr>
    </w:p>
    <w:p w14:paraId="78BC6893">
      <w:pPr>
        <w:shd w:val="clear" w:color="auto"/>
        <w:jc w:val="center"/>
        <w:rPr>
          <w:color w:val="auto"/>
          <w:highlight w:val="none"/>
        </w:rPr>
      </w:pPr>
    </w:p>
    <w:p w14:paraId="19EB61A6">
      <w:pPr>
        <w:shd w:val="clear" w:color="auto"/>
        <w:jc w:val="center"/>
        <w:rPr>
          <w:color w:val="auto"/>
          <w:highlight w:val="none"/>
        </w:rPr>
      </w:pPr>
    </w:p>
    <w:p w14:paraId="1179688B">
      <w:pPr>
        <w:shd w:val="clear" w:color="auto"/>
        <w:jc w:val="center"/>
        <w:rPr>
          <w:color w:val="auto"/>
          <w:highlight w:val="none"/>
        </w:rPr>
      </w:pPr>
    </w:p>
    <w:p w14:paraId="74213C33">
      <w:pPr>
        <w:shd w:val="clear" w:color="auto"/>
        <w:jc w:val="center"/>
        <w:rPr>
          <w:color w:val="auto"/>
          <w:highlight w:val="none"/>
        </w:rPr>
      </w:pPr>
    </w:p>
    <w:p w14:paraId="78B79358">
      <w:pPr>
        <w:shd w:val="clear" w:color="auto"/>
        <w:jc w:val="center"/>
        <w:rPr>
          <w:color w:val="auto"/>
          <w:highlight w:val="none"/>
        </w:rPr>
      </w:pPr>
    </w:p>
    <w:p w14:paraId="380804E0">
      <w:pPr>
        <w:shd w:val="clear" w:color="auto"/>
        <w:jc w:val="center"/>
        <w:rPr>
          <w:color w:val="auto"/>
          <w:highlight w:val="none"/>
        </w:rPr>
      </w:pPr>
      <w:r>
        <w:rPr>
          <w:rFonts w:ascii="Helvetica" w:hAnsi="Helvetica" w:eastAsia="Helvetica" w:cs="Helvetica"/>
          <w:color w:val="auto"/>
          <w:sz w:val="27"/>
          <w:highlight w:val="none"/>
        </w:rPr>
        <w:t xml:space="preserve"> </w:t>
      </w:r>
    </w:p>
    <w:p w14:paraId="3AFBFDF0">
      <w:pPr>
        <w:shd w:val="clear" w:color="auto"/>
        <w:jc w:val="center"/>
        <w:rPr>
          <w:color w:val="auto"/>
          <w:highlight w:val="none"/>
        </w:rPr>
      </w:pPr>
      <w:r>
        <w:rPr>
          <w:rFonts w:ascii="宋体" w:hAnsi="宋体"/>
          <w:color w:val="auto"/>
          <w:sz w:val="28"/>
          <w:highlight w:val="none"/>
        </w:rPr>
        <w:t>采购计划编号：</w:t>
      </w:r>
      <w:r>
        <w:rPr>
          <w:rFonts w:ascii="Helvetica" w:hAnsi="Helvetica" w:eastAsia="Helvetica" w:cs="Helvetica"/>
          <w:color w:val="auto"/>
          <w:sz w:val="27"/>
          <w:highlight w:val="none"/>
        </w:rPr>
        <w:t xml:space="preserve">                          </w:t>
      </w:r>
    </w:p>
    <w:p w14:paraId="2A11201A">
      <w:pPr>
        <w:shd w:val="clear" w:color="auto"/>
        <w:rPr>
          <w:color w:val="auto"/>
          <w:highlight w:val="none"/>
        </w:rPr>
      </w:pPr>
    </w:p>
    <w:p w14:paraId="0F3271C7">
      <w:pPr>
        <w:shd w:val="clear" w:color="auto"/>
        <w:jc w:val="center"/>
        <w:rPr>
          <w:color w:val="auto"/>
          <w:highlight w:val="none"/>
        </w:rPr>
      </w:pPr>
      <w:r>
        <w:rPr>
          <w:rFonts w:ascii="宋体" w:hAnsi="宋体"/>
          <w:color w:val="auto"/>
          <w:sz w:val="28"/>
          <w:highlight w:val="none"/>
        </w:rPr>
        <w:t>项目编号：</w:t>
      </w:r>
      <w:r>
        <w:rPr>
          <w:rFonts w:ascii="Helvetica" w:hAnsi="Helvetica" w:eastAsia="Helvetica" w:cs="Helvetica"/>
          <w:color w:val="auto"/>
          <w:sz w:val="27"/>
          <w:highlight w:val="none"/>
        </w:rPr>
        <w:t xml:space="preserve">                              </w:t>
      </w:r>
    </w:p>
    <w:p w14:paraId="445A1215">
      <w:pPr>
        <w:shd w:val="clear" w:color="auto"/>
        <w:rPr>
          <w:color w:val="auto"/>
          <w:highlight w:val="none"/>
        </w:rPr>
      </w:pPr>
    </w:p>
    <w:p w14:paraId="7012B2D3">
      <w:pPr>
        <w:shd w:val="clear" w:color="auto"/>
        <w:jc w:val="center"/>
        <w:rPr>
          <w:color w:val="auto"/>
          <w:highlight w:val="none"/>
        </w:rPr>
      </w:pPr>
      <w:r>
        <w:rPr>
          <w:rFonts w:ascii="宋体" w:hAnsi="宋体"/>
          <w:color w:val="auto"/>
          <w:sz w:val="28"/>
          <w:highlight w:val="none"/>
        </w:rPr>
        <w:t>项目名称：</w:t>
      </w:r>
      <w:r>
        <w:rPr>
          <w:rFonts w:ascii="Helvetica" w:hAnsi="Helvetica" w:eastAsia="Helvetica" w:cs="Helvetica"/>
          <w:color w:val="auto"/>
          <w:sz w:val="27"/>
          <w:highlight w:val="none"/>
        </w:rPr>
        <w:t xml:space="preserve">                             </w:t>
      </w:r>
    </w:p>
    <w:p w14:paraId="231C07BB">
      <w:pPr>
        <w:shd w:val="clear" w:color="auto"/>
        <w:rPr>
          <w:color w:val="auto"/>
          <w:highlight w:val="none"/>
        </w:rPr>
      </w:pPr>
    </w:p>
    <w:p w14:paraId="5A2372E8">
      <w:pPr>
        <w:shd w:val="clear" w:color="auto"/>
        <w:rPr>
          <w:color w:val="auto"/>
          <w:highlight w:val="none"/>
        </w:rPr>
      </w:pPr>
    </w:p>
    <w:p w14:paraId="7E65D389">
      <w:pPr>
        <w:shd w:val="clear" w:color="auto"/>
        <w:rPr>
          <w:color w:val="auto"/>
          <w:highlight w:val="none"/>
        </w:rPr>
      </w:pPr>
    </w:p>
    <w:p w14:paraId="7C5AE06E">
      <w:pPr>
        <w:shd w:val="clear" w:color="auto"/>
        <w:rPr>
          <w:color w:val="auto"/>
          <w:highlight w:val="none"/>
        </w:rPr>
      </w:pPr>
    </w:p>
    <w:p w14:paraId="0F870871">
      <w:pPr>
        <w:shd w:val="clear" w:color="auto"/>
        <w:rPr>
          <w:color w:val="auto"/>
          <w:highlight w:val="none"/>
        </w:rPr>
      </w:pPr>
    </w:p>
    <w:p w14:paraId="019B8556">
      <w:pPr>
        <w:shd w:val="clear" w:color="auto"/>
        <w:rPr>
          <w:color w:val="auto"/>
          <w:highlight w:val="none"/>
        </w:rPr>
      </w:pPr>
    </w:p>
    <w:p w14:paraId="54D5C8BD">
      <w:pPr>
        <w:shd w:val="clear" w:color="auto"/>
        <w:rPr>
          <w:color w:val="auto"/>
          <w:highlight w:val="none"/>
        </w:rPr>
      </w:pPr>
    </w:p>
    <w:p w14:paraId="32FA294A">
      <w:pPr>
        <w:shd w:val="clear" w:color="auto"/>
        <w:rPr>
          <w:color w:val="auto"/>
          <w:highlight w:val="none"/>
        </w:rPr>
      </w:pPr>
    </w:p>
    <w:p w14:paraId="4B5CAA50">
      <w:pPr>
        <w:shd w:val="clear" w:color="auto"/>
        <w:rPr>
          <w:color w:val="auto"/>
          <w:highlight w:val="none"/>
        </w:rPr>
      </w:pPr>
    </w:p>
    <w:p w14:paraId="4BCE5977">
      <w:pPr>
        <w:shd w:val="clear" w:color="auto"/>
        <w:rPr>
          <w:rFonts w:ascii="Helvetica" w:hAnsi="Helvetica" w:cs="Helvetica"/>
          <w:color w:val="auto"/>
          <w:sz w:val="27"/>
          <w:highlight w:val="none"/>
        </w:rPr>
      </w:pPr>
    </w:p>
    <w:p w14:paraId="7ADFAD06">
      <w:pPr>
        <w:shd w:val="clear" w:color="auto"/>
        <w:rPr>
          <w:color w:val="auto"/>
          <w:highlight w:val="none"/>
        </w:rPr>
      </w:pPr>
    </w:p>
    <w:p w14:paraId="1956C061">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color w:val="auto"/>
          <w:highlight w:val="none"/>
        </w:rPr>
        <w:br w:type="page"/>
      </w:r>
      <w:r>
        <w:rPr>
          <w:rFonts w:hint="eastAsia" w:ascii="宋体" w:hAnsi="宋体" w:eastAsia="宋体" w:cs="宋体"/>
          <w:color w:val="auto"/>
          <w:sz w:val="21"/>
          <w:szCs w:val="21"/>
          <w:highlight w:val="none"/>
        </w:rPr>
        <w:t xml:space="preserve">合同编号： </w:t>
      </w:r>
    </w:p>
    <w:p w14:paraId="7AEA99CA">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甲方：</w:t>
      </w:r>
      <w:r>
        <w:rPr>
          <w:rFonts w:hint="eastAsia" w:ascii="宋体" w:hAnsi="宋体" w:eastAsia="宋体" w:cs="宋体"/>
          <w:b/>
          <w:bCs/>
          <w:color w:val="auto"/>
          <w:sz w:val="21"/>
          <w:szCs w:val="21"/>
          <w:highlight w:val="none"/>
          <w:u w:val="single"/>
          <w:shd w:val="clear" w:color="auto" w:fill="FFFFFF"/>
          <w:lang w:eastAsia="zh-CN"/>
        </w:rPr>
        <w:t>东莞市常平镇司马中学</w:t>
      </w:r>
    </w:p>
    <w:p w14:paraId="6CE49B23">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b/>
          <w:bCs/>
          <w:color w:val="auto"/>
          <w:sz w:val="21"/>
          <w:szCs w:val="21"/>
          <w:highlight w:val="none"/>
          <w:u w:val="single"/>
          <w:shd w:val="clear" w:color="auto" w:fill="FFFFFF"/>
          <w:lang w:val="en-US"/>
        </w:rPr>
        <w:t xml:space="preserve">                      </w:t>
      </w:r>
      <w:r>
        <w:rPr>
          <w:rFonts w:hint="eastAsia" w:ascii="宋体" w:hAnsi="宋体" w:eastAsia="宋体" w:cs="宋体"/>
          <w:color w:val="auto"/>
          <w:sz w:val="21"/>
          <w:szCs w:val="21"/>
          <w:highlight w:val="none"/>
        </w:rPr>
        <w:t>”为中标单位</w:t>
      </w:r>
    </w:p>
    <w:p w14:paraId="5AE759A8">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受甲方委托，广东政通招标有限公司组织对</w:t>
      </w:r>
      <w:r>
        <w:rPr>
          <w:rFonts w:hint="eastAsia" w:ascii="宋体" w:hAnsi="宋体" w:eastAsia="宋体" w:cs="宋体"/>
          <w:b/>
          <w:bCs/>
          <w:color w:val="auto"/>
          <w:sz w:val="21"/>
          <w:szCs w:val="21"/>
          <w:highlight w:val="none"/>
          <w:u w:val="single"/>
          <w:lang w:eastAsia="zh-CN"/>
        </w:rPr>
        <w:t>东莞市常平镇司马中学食材配送采购项目</w:t>
      </w:r>
      <w:r>
        <w:rPr>
          <w:rFonts w:hint="eastAsia" w:ascii="宋体" w:hAnsi="宋体" w:eastAsia="宋体" w:cs="宋体"/>
          <w:b/>
          <w:bCs/>
          <w:color w:val="auto"/>
          <w:sz w:val="21"/>
          <w:szCs w:val="21"/>
          <w:highlight w:val="none"/>
          <w:u w:val="single"/>
          <w:lang w:val="en-US" w:eastAsia="zh-CN"/>
        </w:rPr>
        <w:t>/采购包2</w:t>
      </w:r>
      <w:r>
        <w:rPr>
          <w:rFonts w:hint="eastAsia" w:ascii="宋体" w:hAnsi="宋体" w:eastAsia="宋体" w:cs="宋体"/>
          <w:color w:val="auto"/>
          <w:sz w:val="21"/>
          <w:szCs w:val="21"/>
          <w:highlight w:val="none"/>
        </w:rPr>
        <w:t>（采购项目编号为</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color w:val="auto"/>
          <w:sz w:val="21"/>
          <w:szCs w:val="21"/>
          <w:highlight w:val="none"/>
        </w:rPr>
        <w:t>）进行采购，于202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rPr>
        <w:t xml:space="preserve">   </w:t>
      </w:r>
      <w:r>
        <w:rPr>
          <w:rFonts w:hint="eastAsia" w:ascii="宋体" w:hAnsi="宋体" w:eastAsia="宋体" w:cs="宋体"/>
          <w:color w:val="auto"/>
          <w:sz w:val="21"/>
          <w:szCs w:val="21"/>
          <w:highlight w:val="none"/>
        </w:rPr>
        <w:t>日通过公开招标，经评标委员会评定乙方</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color w:val="auto"/>
          <w:sz w:val="21"/>
          <w:szCs w:val="21"/>
          <w:highlight w:val="none"/>
        </w:rPr>
        <w:t>为中标单位。为了保护甲、乙双方合法权益，根据《中华人民共和国政府采购法》及其实施条例、《中华人民共和国民法典》，在平等自愿的基础上，按照下面的条款和条件，签署本合同。</w:t>
      </w:r>
    </w:p>
    <w:p w14:paraId="22A39E91">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第一条 合同项目</w:t>
      </w:r>
    </w:p>
    <w:p w14:paraId="14CFA1C0">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1、项目名称：</w:t>
      </w:r>
      <w:r>
        <w:rPr>
          <w:rFonts w:hint="eastAsia" w:ascii="宋体" w:hAnsi="宋体" w:eastAsia="宋体" w:cs="宋体"/>
          <w:b/>
          <w:bCs/>
          <w:color w:val="auto"/>
          <w:sz w:val="21"/>
          <w:szCs w:val="21"/>
          <w:highlight w:val="none"/>
          <w:u w:val="single"/>
          <w:lang w:eastAsia="zh-CN"/>
        </w:rPr>
        <w:t>东莞市常平镇司马中学食材配送采购项目</w:t>
      </w:r>
      <w:r>
        <w:rPr>
          <w:rFonts w:hint="eastAsia" w:ascii="宋体" w:hAnsi="宋体" w:eastAsia="宋体" w:cs="宋体"/>
          <w:color w:val="auto"/>
          <w:sz w:val="21"/>
          <w:szCs w:val="21"/>
          <w:highlight w:val="none"/>
        </w:rPr>
        <w:t>；</w:t>
      </w:r>
    </w:p>
    <w:p w14:paraId="661DE7F8">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2、采购项目编号：</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color w:val="auto"/>
          <w:sz w:val="21"/>
          <w:szCs w:val="21"/>
          <w:highlight w:val="none"/>
        </w:rPr>
        <w:t>。</w:t>
      </w:r>
    </w:p>
    <w:p w14:paraId="1C66F11A">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第二条 合同组成</w:t>
      </w:r>
    </w:p>
    <w:p w14:paraId="1B1EE14A">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1、合同文件组成内容包括：本合同书、中标通知书、投标文件（含澄清内容）、招标文件（含招标文件澄清通知）等。</w:t>
      </w:r>
    </w:p>
    <w:p w14:paraId="1F3285DB">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第三条 服务内容、标准及要求</w:t>
      </w:r>
    </w:p>
    <w:p w14:paraId="15AB6759">
      <w:pPr>
        <w:shd w:val="clear" w:color="auto"/>
        <w:spacing w:line="360" w:lineRule="auto"/>
        <w:ind w:firstLine="422" w:firstLineChars="200"/>
        <w:outlineLvl w:val="1"/>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1</w:t>
      </w:r>
      <w:r>
        <w:rPr>
          <w:rFonts w:hint="eastAsia" w:ascii="宋体" w:hAnsi="宋体" w:eastAsia="宋体" w:cs="宋体"/>
          <w:b/>
          <w:color w:val="auto"/>
          <w:sz w:val="21"/>
          <w:szCs w:val="21"/>
          <w:highlight w:val="none"/>
        </w:rPr>
        <w:t>项目概况：</w:t>
      </w:r>
    </w:p>
    <w:p w14:paraId="6CFAFB6E">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lang w:val="en-US" w:eastAsia="zh-CN"/>
        </w:rPr>
        <w:t>项目基本情况</w:t>
      </w:r>
    </w:p>
    <w:p w14:paraId="75248352">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本次采购项目为</w:t>
      </w:r>
      <w:r>
        <w:rPr>
          <w:rFonts w:hint="eastAsia" w:ascii="宋体" w:hAnsi="宋体" w:cs="宋体"/>
          <w:b w:val="0"/>
          <w:bCs w:val="0"/>
          <w:color w:val="auto"/>
          <w:sz w:val="21"/>
          <w:szCs w:val="21"/>
          <w:highlight w:val="none"/>
          <w:lang w:val="en-US" w:eastAsia="zh-CN"/>
        </w:rPr>
        <w:t>乙方为甲方提供</w:t>
      </w:r>
      <w:r>
        <w:rPr>
          <w:rFonts w:hint="eastAsia" w:ascii="宋体" w:hAnsi="宋体" w:eastAsia="宋体" w:cs="宋体"/>
          <w:b w:val="0"/>
          <w:bCs w:val="0"/>
          <w:color w:val="auto"/>
          <w:sz w:val="21"/>
          <w:szCs w:val="21"/>
          <w:highlight w:val="none"/>
          <w:lang w:val="en-US" w:eastAsia="zh-CN"/>
        </w:rPr>
        <w:t>食材配送服务，</w:t>
      </w:r>
      <w:r>
        <w:rPr>
          <w:rFonts w:hint="eastAsia" w:ascii="宋体" w:hAnsi="宋体" w:cs="宋体"/>
          <w:b w:val="0"/>
          <w:bCs w:val="0"/>
          <w:color w:val="auto"/>
          <w:sz w:val="21"/>
          <w:szCs w:val="21"/>
          <w:highlight w:val="none"/>
          <w:lang w:val="en-US" w:eastAsia="zh-CN"/>
        </w:rPr>
        <w:t>配送以下类别食材：</w:t>
      </w:r>
      <w:r>
        <w:rPr>
          <w:rFonts w:hint="eastAsia" w:ascii="宋体" w:hAnsi="宋体" w:eastAsia="宋体" w:cs="宋体"/>
          <w:b w:val="0"/>
          <w:bCs w:val="0"/>
          <w:color w:val="auto"/>
          <w:sz w:val="21"/>
          <w:szCs w:val="21"/>
          <w:highlight w:val="none"/>
          <w:lang w:val="en-US" w:eastAsia="zh-CN"/>
        </w:rPr>
        <w:t>蔬果类、蛋类、调料及干货类、副食类、粮油类、粉面类</w:t>
      </w:r>
      <w:r>
        <w:rPr>
          <w:rFonts w:hint="eastAsia" w:ascii="宋体" w:hAnsi="宋体"/>
          <w:color w:val="auto"/>
          <w:szCs w:val="21"/>
          <w:highlight w:val="none"/>
          <w:lang w:eastAsia="zh-CN"/>
        </w:rPr>
        <w:t>。</w:t>
      </w:r>
      <w:r>
        <w:rPr>
          <w:rFonts w:hint="eastAsia" w:ascii="宋体" w:hAnsi="宋体" w:cs="宋体"/>
          <w:b w:val="0"/>
          <w:bCs w:val="0"/>
          <w:color w:val="auto"/>
          <w:sz w:val="21"/>
          <w:szCs w:val="21"/>
          <w:highlight w:val="none"/>
          <w:lang w:val="en-US" w:eastAsia="zh-CN"/>
        </w:rPr>
        <w:t>甲方食堂</w:t>
      </w:r>
      <w:r>
        <w:rPr>
          <w:rFonts w:hint="eastAsia" w:ascii="宋体" w:hAnsi="宋体" w:eastAsia="宋体" w:cs="宋体"/>
          <w:b w:val="0"/>
          <w:bCs w:val="0"/>
          <w:color w:val="auto"/>
          <w:sz w:val="21"/>
          <w:szCs w:val="21"/>
          <w:highlight w:val="none"/>
          <w:lang w:val="en-US" w:eastAsia="zh-CN"/>
        </w:rPr>
        <w:t>教职工用餐人数约150人（以在校实际教职工人数为准）、学生用餐人数约为 2400人（以在校实际学生人数为准），上述用餐规模仅供乙方参考，结算金额根据核定供货价及实际配送货物量进行结算</w:t>
      </w:r>
      <w:r>
        <w:rPr>
          <w:rFonts w:hint="eastAsia" w:ascii="宋体" w:hAnsi="宋体" w:cs="宋体"/>
          <w:b w:val="0"/>
          <w:bCs w:val="0"/>
          <w:color w:val="auto"/>
          <w:sz w:val="21"/>
          <w:szCs w:val="21"/>
          <w:highlight w:val="none"/>
          <w:lang w:val="en-US" w:eastAsia="zh-CN"/>
        </w:rPr>
        <w:t>。</w:t>
      </w:r>
    </w:p>
    <w:p w14:paraId="3750248B">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val="en-US" w:eastAsia="zh-CN"/>
        </w:rPr>
        <w:t>项目总体要求</w:t>
      </w:r>
    </w:p>
    <w:p w14:paraId="308CD2C6">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2.1</w:t>
      </w:r>
      <w:r>
        <w:rPr>
          <w:rFonts w:hint="eastAsia" w:ascii="宋体" w:hAnsi="宋体" w:eastAsia="宋体" w:cs="宋体"/>
          <w:b w:val="0"/>
          <w:bCs w:val="0"/>
          <w:color w:val="auto"/>
          <w:sz w:val="21"/>
          <w:szCs w:val="21"/>
          <w:highlight w:val="none"/>
        </w:rPr>
        <w:t>本项目为在</w:t>
      </w:r>
      <w:r>
        <w:rPr>
          <w:rFonts w:hint="eastAsia" w:ascii="宋体" w:hAnsi="宋体" w:eastAsia="宋体" w:cs="宋体"/>
          <w:b w:val="0"/>
          <w:bCs w:val="0"/>
          <w:color w:val="auto"/>
          <w:sz w:val="21"/>
          <w:szCs w:val="21"/>
          <w:highlight w:val="none"/>
          <w:lang w:eastAsia="zh-CN"/>
        </w:rPr>
        <w:t>东莞市</w:t>
      </w:r>
      <w:r>
        <w:rPr>
          <w:rFonts w:hint="eastAsia" w:ascii="宋体" w:hAnsi="宋体" w:eastAsia="宋体" w:cs="宋体"/>
          <w:b w:val="0"/>
          <w:bCs w:val="0"/>
          <w:color w:val="auto"/>
          <w:sz w:val="21"/>
          <w:szCs w:val="21"/>
          <w:highlight w:val="none"/>
          <w:lang w:val="en-US" w:eastAsia="zh-CN"/>
        </w:rPr>
        <w:t>常平</w:t>
      </w:r>
      <w:r>
        <w:rPr>
          <w:rFonts w:hint="eastAsia" w:ascii="宋体" w:hAnsi="宋体" w:eastAsia="宋体" w:cs="宋体"/>
          <w:b w:val="0"/>
          <w:bCs w:val="0"/>
          <w:color w:val="auto"/>
          <w:sz w:val="21"/>
          <w:szCs w:val="21"/>
          <w:highlight w:val="none"/>
          <w:lang w:eastAsia="zh-CN"/>
        </w:rPr>
        <w:t>镇</w:t>
      </w:r>
      <w:r>
        <w:rPr>
          <w:rFonts w:hint="eastAsia" w:ascii="宋体" w:hAnsi="宋体" w:eastAsia="宋体" w:cs="宋体"/>
          <w:b w:val="0"/>
          <w:bCs w:val="0"/>
          <w:color w:val="auto"/>
          <w:sz w:val="21"/>
          <w:szCs w:val="21"/>
          <w:highlight w:val="none"/>
          <w:lang w:val="en-US" w:eastAsia="zh-CN"/>
        </w:rPr>
        <w:t>司马中学</w:t>
      </w:r>
      <w:r>
        <w:rPr>
          <w:rFonts w:hint="eastAsia" w:ascii="宋体" w:hAnsi="宋体" w:eastAsia="宋体" w:cs="宋体"/>
          <w:b w:val="0"/>
          <w:bCs w:val="0"/>
          <w:color w:val="auto"/>
          <w:sz w:val="21"/>
          <w:szCs w:val="21"/>
          <w:highlight w:val="none"/>
        </w:rPr>
        <w:t>食堂用餐提供早餐、午餐、晚餐</w:t>
      </w:r>
      <w:r>
        <w:rPr>
          <w:rFonts w:hint="eastAsia" w:ascii="宋体" w:hAnsi="宋体" w:eastAsia="宋体" w:cs="宋体"/>
          <w:b w:val="0"/>
          <w:bCs w:val="0"/>
          <w:color w:val="auto"/>
          <w:sz w:val="21"/>
          <w:szCs w:val="21"/>
          <w:highlight w:val="none"/>
          <w:lang w:val="en-US" w:eastAsia="zh-CN"/>
        </w:rPr>
        <w:t>和宵夜等</w:t>
      </w:r>
      <w:r>
        <w:rPr>
          <w:rFonts w:hint="eastAsia" w:ascii="宋体" w:hAnsi="宋体" w:eastAsia="宋体" w:cs="宋体"/>
          <w:b w:val="0"/>
          <w:bCs w:val="0"/>
          <w:color w:val="auto"/>
          <w:sz w:val="21"/>
          <w:szCs w:val="21"/>
          <w:highlight w:val="none"/>
        </w:rPr>
        <w:t>食材。</w:t>
      </w:r>
    </w:p>
    <w:p w14:paraId="415CED07">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由</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为</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供应</w:t>
      </w:r>
      <w:r>
        <w:rPr>
          <w:rFonts w:hint="eastAsia" w:ascii="宋体" w:hAnsi="宋体" w:eastAsia="宋体" w:cs="宋体"/>
          <w:b w:val="0"/>
          <w:bCs w:val="0"/>
          <w:color w:val="auto"/>
          <w:sz w:val="21"/>
          <w:szCs w:val="21"/>
          <w:highlight w:val="none"/>
          <w:lang w:val="en-US" w:eastAsia="zh-CN"/>
        </w:rPr>
        <w:t>相应</w:t>
      </w:r>
      <w:r>
        <w:rPr>
          <w:rFonts w:hint="eastAsia" w:ascii="宋体" w:hAnsi="宋体" w:cs="宋体"/>
          <w:b w:val="0"/>
          <w:bCs w:val="0"/>
          <w:color w:val="auto"/>
          <w:sz w:val="21"/>
          <w:szCs w:val="21"/>
          <w:highlight w:val="none"/>
          <w:lang w:val="en-US" w:eastAsia="zh-CN"/>
        </w:rPr>
        <w:t>种类</w:t>
      </w:r>
      <w:r>
        <w:rPr>
          <w:rFonts w:hint="eastAsia" w:ascii="宋体" w:hAnsi="宋体" w:eastAsia="宋体" w:cs="宋体"/>
          <w:b w:val="0"/>
          <w:bCs w:val="0"/>
          <w:color w:val="auto"/>
          <w:sz w:val="21"/>
          <w:szCs w:val="21"/>
          <w:highlight w:val="none"/>
          <w:lang w:val="en-US" w:eastAsia="zh-CN"/>
        </w:rPr>
        <w:t>的食材</w:t>
      </w:r>
      <w:r>
        <w:rPr>
          <w:rFonts w:hint="eastAsia" w:ascii="宋体" w:hAnsi="宋体" w:eastAsia="宋体" w:cs="宋体"/>
          <w:b w:val="0"/>
          <w:bCs w:val="0"/>
          <w:color w:val="auto"/>
          <w:sz w:val="21"/>
          <w:szCs w:val="21"/>
          <w:highlight w:val="none"/>
        </w:rPr>
        <w:t>。</w:t>
      </w:r>
    </w:p>
    <w:p w14:paraId="77C8B151">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1.2.3</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按照</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提出的物品订货清单，不论数量多少，必须保证在规定的时间（以</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下达供货通知单为依据</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按照甲方通知的时间送货</w:t>
      </w:r>
      <w:r>
        <w:rPr>
          <w:rFonts w:hint="eastAsia" w:ascii="宋体" w:hAnsi="宋体" w:eastAsia="宋体" w:cs="宋体"/>
          <w:b w:val="0"/>
          <w:bCs w:val="0"/>
          <w:color w:val="auto"/>
          <w:sz w:val="21"/>
          <w:szCs w:val="21"/>
          <w:highlight w:val="none"/>
        </w:rPr>
        <w:t>）、地点（食堂）送货。</w:t>
      </w:r>
    </w:p>
    <w:p w14:paraId="20CD0B20">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1.2.4</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对</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提出的临时性服务要求应按时、按质、按量将货品送到指定地点。</w:t>
      </w:r>
    </w:p>
    <w:p w14:paraId="3243803F">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1.2.5</w:t>
      </w:r>
      <w:r>
        <w:rPr>
          <w:rFonts w:hint="eastAsia" w:ascii="宋体" w:hAnsi="宋体" w:eastAsia="宋体" w:cs="宋体"/>
          <w:b w:val="0"/>
          <w:bCs w:val="0"/>
          <w:color w:val="auto"/>
          <w:sz w:val="21"/>
          <w:szCs w:val="21"/>
          <w:highlight w:val="none"/>
        </w:rPr>
        <w:t>所供的货物必须符合《中华人民共和国食品安全法》要求。</w:t>
      </w:r>
    </w:p>
    <w:p w14:paraId="2D847AB0">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6</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不得将中标项目转包、分包，否则</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有权单方终止合同，由此产生的一</w:t>
      </w:r>
    </w:p>
    <w:p w14:paraId="2DA41BCE">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切经济损失由</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自行承担。</w:t>
      </w:r>
    </w:p>
    <w:p w14:paraId="6C11151F">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7由于</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工作的特殊性，</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应做好本单位工作人员的教育工作，遵守</w:t>
      </w:r>
      <w:r>
        <w:rPr>
          <w:rFonts w:hint="eastAsia" w:ascii="宋体" w:hAnsi="宋体" w:eastAsia="宋体" w:cs="宋体"/>
          <w:b w:val="0"/>
          <w:bCs w:val="0"/>
          <w:color w:val="auto"/>
          <w:sz w:val="21"/>
          <w:szCs w:val="21"/>
          <w:highlight w:val="none"/>
          <w:lang w:eastAsia="zh-CN"/>
        </w:rPr>
        <w:t>甲方</w:t>
      </w:r>
    </w:p>
    <w:p w14:paraId="145F7070">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各项规定，并有明确的服务标准和规范的服务细则。</w:t>
      </w:r>
    </w:p>
    <w:p w14:paraId="73372A2A">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8</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提供的货物必须出示真实有效的检验合格报告。凡国家有明文规定的必须提</w:t>
      </w:r>
    </w:p>
    <w:p w14:paraId="5D30F076">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供产品检验报告交</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存档。</w:t>
      </w:r>
    </w:p>
    <w:p w14:paraId="17DACA1A">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bCs/>
          <w:color w:val="auto"/>
          <w:sz w:val="21"/>
          <w:szCs w:val="21"/>
          <w:highlight w:val="none"/>
        </w:rPr>
      </w:pPr>
      <w:r>
        <w:rPr>
          <w:rFonts w:hint="eastAsia" w:ascii="宋体" w:hAnsi="宋体" w:cs="宋体"/>
          <w:b w:val="0"/>
          <w:bCs w:val="0"/>
          <w:color w:val="auto"/>
          <w:sz w:val="21"/>
          <w:szCs w:val="21"/>
          <w:highlight w:val="none"/>
          <w:lang w:val="en-US" w:eastAsia="zh-CN"/>
        </w:rPr>
        <w:t>1.2.</w:t>
      </w:r>
      <w:r>
        <w:rPr>
          <w:rFonts w:hint="eastAsia" w:ascii="宋体" w:hAnsi="宋体" w:eastAsia="宋体" w:cs="宋体"/>
          <w:b/>
          <w:bCs/>
          <w:color w:val="auto"/>
          <w:sz w:val="21"/>
          <w:szCs w:val="21"/>
          <w:highlight w:val="none"/>
        </w:rPr>
        <w:t>9★</w:t>
      </w:r>
      <w:r>
        <w:rPr>
          <w:rFonts w:hint="eastAsia" w:ascii="宋体" w:hAnsi="宋体" w:eastAsia="宋体" w:cs="宋体"/>
          <w:b/>
          <w:bCs/>
          <w:color w:val="auto"/>
          <w:sz w:val="21"/>
          <w:szCs w:val="21"/>
          <w:highlight w:val="none"/>
          <w:lang w:eastAsia="zh-CN"/>
        </w:rPr>
        <w:t>乙方</w:t>
      </w:r>
      <w:r>
        <w:rPr>
          <w:rFonts w:hint="eastAsia" w:ascii="宋体" w:hAnsi="宋体" w:eastAsia="宋体" w:cs="宋体"/>
          <w:b/>
          <w:bCs/>
          <w:color w:val="auto"/>
          <w:sz w:val="21"/>
          <w:szCs w:val="21"/>
          <w:highlight w:val="none"/>
        </w:rPr>
        <w:t>须符合国家相关规定，服从</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和市场监督部门的监督管理及要求，配 合</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及时更新所提供的符合市场监督部门的有效证明材料，如营业执照、产品合格证、食品经营许可证、备案等。</w:t>
      </w:r>
    </w:p>
    <w:p w14:paraId="5EBBDFAA">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rPr>
        <w:t>本项目执行过程中应遵循国家、省、市有关法律、法规、标准、技术规范和规范性文件的最新规定。如同一参数标准在不同的规定中有不一致的地方，按最高标准执行。</w:t>
      </w:r>
    </w:p>
    <w:p w14:paraId="558F405F">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r>
        <w:rPr>
          <w:rFonts w:hint="eastAsia" w:ascii="宋体" w:hAnsi="宋体" w:eastAsia="宋体" w:cs="宋体"/>
          <w:color w:val="auto"/>
          <w:sz w:val="21"/>
          <w:szCs w:val="21"/>
          <w:highlight w:val="none"/>
          <w:lang w:val="en-US" w:eastAsia="zh-CN"/>
        </w:rPr>
        <w:t>食材安全保障措施</w:t>
      </w:r>
    </w:p>
    <w:p w14:paraId="782815BF">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必须遵守国家规定的《中华人民共和国食品安全法》、《中华人民共和国农产品质量安全法》等法律和行政法规的规定，提供的货品必须符合国家有关卫生标准，保质、保量、保鲜，严禁配送假冒、变质、过期的农副产品。不合格的货品，</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必须包退包换。</w:t>
      </w:r>
    </w:p>
    <w:p w14:paraId="261DF1B1">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应充分理解并认真遵循本招标文件的要求，所提供的货物必须满足招标文件要求。</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应保证供应的货品均为正规生产的新鲜（冰鲜除外）</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检验合格、无毒、无辐射、 无侵权货品，符合国家有关卫生、质量、包装和保质标准，保质期超过15日的，其剩余保质期不得少于标注保质期的75%。</w:t>
      </w:r>
    </w:p>
    <w:p w14:paraId="7FA2EE48">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提供的鲜鱼、肉类保证每日新鲜，提供的猪肉牛肉羊肉均为东莞市定点屠宰厂（场）经检疫和肉品品质检验合格的产品，具有由定点屠宰厂（场）加盖验讫印章并出具 《畜产品检验证明》或《动物检疫合格证明》，所有产品均可追索。</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提供的蔬菜必须保证每日新鲜，优先选择取得无公害认证产品，符合《中华人民共和国食品安全法》要求并出具有效的《农产品检验报告》。配送的农副产品经相关检验部门检验超标的，要求</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无条件换货。</w:t>
      </w:r>
    </w:p>
    <w:p w14:paraId="7DCA158B">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保证所提供的鲜肉类、生禽、鲜水产、蔬菜种类的多样性和季节性，以保证</w:t>
      </w:r>
    </w:p>
    <w:p w14:paraId="3B38F804">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新鲜感。</w:t>
      </w:r>
    </w:p>
    <w:p w14:paraId="27D50CDF">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货物有包装的，货物的包装必须完整清洁（无损、无污、无皱），</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有权拒收</w:t>
      </w:r>
    </w:p>
    <w:p w14:paraId="67B63A63">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包装不整齐、已拆封的商品。</w:t>
      </w:r>
    </w:p>
    <w:p w14:paraId="331270EE">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发现商品出现损坏（包括表面损坏），或出现水渍、串味、受潮等导致货物</w:t>
      </w:r>
    </w:p>
    <w:p w14:paraId="4D05C3EA">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性质改变的，</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必须无条件退货或更换商品。</w:t>
      </w:r>
    </w:p>
    <w:p w14:paraId="0E5AF501">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提供过期、变质的、有毒食材的，一经发现，除按</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要求无条件退货或换货外，还将受到如下处罚：</w:t>
      </w:r>
    </w:p>
    <w:p w14:paraId="17255A30">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1.3.7.1</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提供过期、变质食材的，</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有权要求无条件退货或换货，</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将被</w:t>
      </w:r>
    </w:p>
    <w:p w14:paraId="2223D2F7">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处以当次供应食材货款 2 倍的罚款，罚款由供货结算款内扣除。如提供过期、变质食材的累计达三次，</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有权单方终止合同，并要求</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进行任何赔偿。</w:t>
      </w:r>
    </w:p>
    <w:p w14:paraId="4A6E5EB3">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1.3.7.2</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若提供有毒食材，造成食材安全事故的，经有关单位鉴定原因后，如确实为</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提供的食材问题，</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须负担全数的医药费、精神损害等费用，</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有权终止合同，</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同时承担相应的民事及刑事法律责任及放弃先诉抗辩权，并立即终止合同。</w:t>
      </w:r>
    </w:p>
    <w:p w14:paraId="67677D7C">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应做好货物的安全管理工作。</w:t>
      </w:r>
      <w:r>
        <w:rPr>
          <w:rFonts w:hint="eastAsia" w:ascii="宋体" w:hAnsi="宋体" w:eastAsia="宋体" w:cs="宋体"/>
          <w:color w:val="auto"/>
          <w:spacing w:val="-10"/>
          <w:sz w:val="21"/>
          <w:szCs w:val="21"/>
          <w:highlight w:val="none"/>
          <w:lang w:val="en-US" w:eastAsia="zh-CN"/>
        </w:rPr>
        <w:t>并积极</w:t>
      </w:r>
      <w:r>
        <w:rPr>
          <w:rFonts w:hint="eastAsia" w:ascii="宋体" w:hAnsi="宋体" w:eastAsia="宋体" w:cs="宋体"/>
          <w:color w:val="auto"/>
          <w:spacing w:val="-10"/>
          <w:sz w:val="21"/>
          <w:szCs w:val="21"/>
          <w:highlight w:val="none"/>
        </w:rPr>
        <w:t>配合</w:t>
      </w:r>
      <w:r>
        <w:rPr>
          <w:rFonts w:hint="eastAsia" w:ascii="宋体" w:hAnsi="宋体" w:eastAsia="宋体" w:cs="宋体"/>
          <w:color w:val="auto"/>
          <w:spacing w:val="-10"/>
          <w:sz w:val="21"/>
          <w:szCs w:val="21"/>
          <w:highlight w:val="none"/>
          <w:lang w:val="en-US" w:eastAsia="zh-CN"/>
        </w:rPr>
        <w:t>甲方</w:t>
      </w:r>
      <w:r>
        <w:rPr>
          <w:rFonts w:hint="eastAsia" w:ascii="宋体" w:hAnsi="宋体" w:eastAsia="宋体" w:cs="宋体"/>
          <w:color w:val="auto"/>
          <w:spacing w:val="-10"/>
          <w:sz w:val="21"/>
          <w:szCs w:val="21"/>
          <w:highlight w:val="none"/>
          <w:lang w:eastAsia="zh-CN"/>
        </w:rPr>
        <w:t>、</w:t>
      </w:r>
      <w:r>
        <w:rPr>
          <w:rFonts w:hint="eastAsia" w:ascii="宋体" w:hAnsi="宋体" w:eastAsia="宋体" w:cs="宋体"/>
          <w:color w:val="auto"/>
          <w:spacing w:val="-10"/>
          <w:sz w:val="21"/>
          <w:szCs w:val="21"/>
          <w:highlight w:val="none"/>
          <w:lang w:val="en-US" w:eastAsia="zh-CN"/>
        </w:rPr>
        <w:t>市场监管部门、</w:t>
      </w:r>
      <w:r>
        <w:rPr>
          <w:rFonts w:hint="eastAsia" w:ascii="宋体" w:hAnsi="宋体" w:eastAsia="宋体" w:cs="宋体"/>
          <w:color w:val="auto"/>
          <w:spacing w:val="-10"/>
          <w:sz w:val="21"/>
          <w:szCs w:val="21"/>
          <w:highlight w:val="none"/>
        </w:rPr>
        <w:t>审计</w:t>
      </w:r>
      <w:r>
        <w:rPr>
          <w:rFonts w:hint="eastAsia" w:ascii="宋体" w:hAnsi="宋体" w:eastAsia="宋体" w:cs="宋体"/>
          <w:color w:val="auto"/>
          <w:spacing w:val="-10"/>
          <w:sz w:val="21"/>
          <w:szCs w:val="21"/>
          <w:highlight w:val="none"/>
          <w:lang w:val="en-US" w:eastAsia="zh-CN"/>
        </w:rPr>
        <w:t>部门的</w:t>
      </w:r>
      <w:r>
        <w:rPr>
          <w:rFonts w:hint="eastAsia" w:ascii="宋体" w:hAnsi="宋体" w:eastAsia="宋体" w:cs="宋体"/>
          <w:color w:val="auto"/>
          <w:spacing w:val="-10"/>
          <w:sz w:val="21"/>
          <w:szCs w:val="21"/>
          <w:highlight w:val="none"/>
        </w:rPr>
        <w:t>检查。</w:t>
      </w:r>
    </w:p>
    <w:p w14:paraId="57D3AF0E">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食材配送管理必须建立出入库台账，做到票据溯源，且每</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个月须按照</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要求整理报表，食材需提供第三方的检测报告。</w:t>
      </w:r>
    </w:p>
    <w:p w14:paraId="6209C7F9">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0</w:t>
      </w:r>
      <w:r>
        <w:rPr>
          <w:rFonts w:hint="eastAsia" w:ascii="宋体" w:hAnsi="宋体" w:eastAsia="宋体" w:cs="宋体"/>
          <w:b/>
          <w:bCs/>
          <w:color w:val="auto"/>
          <w:sz w:val="21"/>
          <w:szCs w:val="21"/>
          <w:highlight w:val="none"/>
        </w:rPr>
        <w:t>禁止</w:t>
      </w:r>
      <w:r>
        <w:rPr>
          <w:rFonts w:hint="eastAsia" w:ascii="宋体" w:hAnsi="宋体" w:eastAsia="宋体" w:cs="宋体"/>
          <w:b/>
          <w:bCs/>
          <w:color w:val="auto"/>
          <w:sz w:val="21"/>
          <w:szCs w:val="21"/>
          <w:highlight w:val="none"/>
          <w:lang w:val="en-US" w:eastAsia="zh-CN"/>
        </w:rPr>
        <w:t>提供</w:t>
      </w:r>
      <w:r>
        <w:rPr>
          <w:rFonts w:hint="eastAsia" w:ascii="宋体" w:hAnsi="宋体" w:eastAsia="宋体" w:cs="宋体"/>
          <w:b/>
          <w:bCs/>
          <w:color w:val="auto"/>
          <w:sz w:val="21"/>
          <w:szCs w:val="21"/>
          <w:highlight w:val="none"/>
        </w:rPr>
        <w:t>转基因食材、过期</w:t>
      </w:r>
      <w:r>
        <w:rPr>
          <w:rFonts w:hint="eastAsia" w:ascii="宋体" w:hAnsi="宋体" w:eastAsia="宋体" w:cs="宋体"/>
          <w:b/>
          <w:bCs/>
          <w:color w:val="auto"/>
          <w:sz w:val="21"/>
          <w:szCs w:val="21"/>
          <w:highlight w:val="none"/>
          <w:lang w:val="en-US" w:eastAsia="zh-CN"/>
        </w:rPr>
        <w:t>/临期</w:t>
      </w:r>
      <w:r>
        <w:rPr>
          <w:rFonts w:hint="eastAsia" w:ascii="宋体" w:hAnsi="宋体" w:eastAsia="宋体" w:cs="宋体"/>
          <w:b/>
          <w:bCs/>
          <w:color w:val="auto"/>
          <w:sz w:val="21"/>
          <w:szCs w:val="21"/>
          <w:highlight w:val="none"/>
        </w:rPr>
        <w:t>食品或添加剂超标的调味品。</w:t>
      </w:r>
    </w:p>
    <w:p w14:paraId="5B6CC534">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★因本项目为食材配送服务，可能因疏忽或过失致使食物中毒或其他食源性疾患， 或因食物中掺有异物，造成人身损害或财产损失，为保证</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权益，</w:t>
      </w:r>
      <w:r>
        <w:rPr>
          <w:rFonts w:hint="eastAsia" w:ascii="宋体" w:hAnsi="宋体" w:eastAsia="宋体" w:cs="宋体"/>
          <w:b/>
          <w:bCs/>
          <w:color w:val="auto"/>
          <w:sz w:val="21"/>
          <w:szCs w:val="21"/>
          <w:highlight w:val="none"/>
          <w:lang w:eastAsia="zh-CN"/>
        </w:rPr>
        <w:t>乙方</w:t>
      </w:r>
      <w:r>
        <w:rPr>
          <w:rFonts w:hint="eastAsia" w:ascii="宋体" w:hAnsi="宋体" w:eastAsia="宋体" w:cs="宋体"/>
          <w:b/>
          <w:bCs/>
          <w:color w:val="auto"/>
          <w:sz w:val="21"/>
          <w:szCs w:val="21"/>
          <w:highlight w:val="none"/>
        </w:rPr>
        <w:t>须以承诺函  形式承诺：中标后为</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提供一份以</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 xml:space="preserve">为受益人、额度不低于人民币 </w:t>
      </w:r>
      <w:r>
        <w:rPr>
          <w:rFonts w:hint="eastAsia" w:ascii="宋体" w:hAnsi="宋体" w:eastAsia="宋体" w:cs="宋体"/>
          <w:b/>
          <w:bCs/>
          <w:color w:val="auto"/>
          <w:sz w:val="21"/>
          <w:szCs w:val="21"/>
          <w:highlight w:val="none"/>
          <w:lang w:val="en-US" w:eastAsia="zh-CN"/>
        </w:rPr>
        <w:t>2亿</w:t>
      </w:r>
      <w:r>
        <w:rPr>
          <w:rFonts w:hint="eastAsia" w:ascii="宋体" w:hAnsi="宋体" w:eastAsia="宋体" w:cs="宋体"/>
          <w:b/>
          <w:bCs/>
          <w:color w:val="auto"/>
          <w:sz w:val="21"/>
          <w:szCs w:val="21"/>
          <w:highlight w:val="none"/>
        </w:rPr>
        <w:t xml:space="preserve">元（含 </w:t>
      </w:r>
      <w:r>
        <w:rPr>
          <w:rFonts w:hint="eastAsia" w:ascii="宋体" w:hAnsi="宋体" w:eastAsia="宋体" w:cs="宋体"/>
          <w:b/>
          <w:bCs/>
          <w:color w:val="auto"/>
          <w:sz w:val="21"/>
          <w:szCs w:val="21"/>
          <w:highlight w:val="none"/>
          <w:lang w:val="en-US" w:eastAsia="zh-CN"/>
        </w:rPr>
        <w:t>2亿</w:t>
      </w:r>
      <w:r>
        <w:rPr>
          <w:rFonts w:hint="eastAsia" w:ascii="宋体" w:hAnsi="宋体" w:eastAsia="宋体" w:cs="宋体"/>
          <w:b/>
          <w:bCs/>
          <w:color w:val="auto"/>
          <w:sz w:val="21"/>
          <w:szCs w:val="21"/>
          <w:highlight w:val="none"/>
        </w:rPr>
        <w:t>元）的保险（食品安全责任险或公众责任保险），保险承保期限不短于合同有效期。保单需给</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保存。</w:t>
      </w:r>
    </w:p>
    <w:p w14:paraId="2EB80E54">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lang w:val="en-US" w:eastAsia="zh-CN"/>
        </w:rPr>
        <w:t>食材服务需求</w:t>
      </w:r>
    </w:p>
    <w:p w14:paraId="3EE32DA9">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1.4.1</w:t>
      </w:r>
      <w:r>
        <w:rPr>
          <w:rFonts w:hint="eastAsia" w:ascii="宋体" w:hAnsi="宋体" w:eastAsia="宋体" w:cs="宋体"/>
          <w:b/>
          <w:bCs/>
          <w:color w:val="auto"/>
          <w:sz w:val="21"/>
          <w:szCs w:val="21"/>
          <w:highlight w:val="none"/>
        </w:rPr>
        <w:t>数量要求：</w:t>
      </w:r>
    </w:p>
    <w:p w14:paraId="1025FEB8">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应保证千克、克的准确性， 以</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的验收数量为准，</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每次随货携带一式两联的送货清单，食材经双方验收后须签字确认，双方各持一份，全部作为收货与货款结算的凭证。</w:t>
      </w:r>
    </w:p>
    <w:p w14:paraId="7D8B827B">
      <w:pPr>
        <w:keepNext w:val="0"/>
        <w:keepLines w:val="0"/>
        <w:pageBreakBefore w:val="0"/>
        <w:widowControl w:val="0"/>
        <w:numPr>
          <w:ilvl w:val="0"/>
          <w:numId w:val="0"/>
        </w:numPr>
        <w:shd w:val="clear" w:color="auto"/>
        <w:kinsoku/>
        <w:wordWrap/>
        <w:overflowPunct/>
        <w:topLinePunct w:val="0"/>
        <w:autoSpaceDE/>
        <w:autoSpaceDN/>
        <w:bidi w:val="0"/>
        <w:adjustRightInd w:val="0"/>
        <w:snapToGrid w:val="0"/>
        <w:spacing w:after="0" w:line="36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cs="宋体"/>
          <w:b/>
          <w:bCs/>
          <w:color w:val="auto"/>
          <w:sz w:val="21"/>
          <w:szCs w:val="21"/>
          <w:highlight w:val="none"/>
          <w:lang w:val="en-US" w:eastAsia="zh-CN"/>
        </w:rPr>
        <w:t>1.4.2</w:t>
      </w:r>
      <w:r>
        <w:rPr>
          <w:rFonts w:hint="eastAsia" w:ascii="宋体" w:hAnsi="宋体" w:eastAsia="宋体" w:cs="宋体"/>
          <w:b/>
          <w:color w:val="auto"/>
          <w:sz w:val="21"/>
          <w:szCs w:val="21"/>
          <w:highlight w:val="none"/>
        </w:rPr>
        <w:t>配送要求</w:t>
      </w:r>
    </w:p>
    <w:p w14:paraId="241D7FF8">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1.4.2.</w:t>
      </w:r>
      <w:r>
        <w:rPr>
          <w:rFonts w:hint="eastAsia" w:ascii="宋体" w:hAnsi="宋体" w:eastAsia="宋体" w:cs="宋体"/>
          <w:color w:val="auto"/>
          <w:sz w:val="21"/>
          <w:szCs w:val="21"/>
          <w:highlight w:val="none"/>
        </w:rPr>
        <w:t>1</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须对</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购买的食材进行分类并用器具装载，不得混装，运输过程应采取相应的保鲜防护措施。</w:t>
      </w:r>
      <w:r>
        <w:rPr>
          <w:rFonts w:hint="eastAsia" w:ascii="宋体" w:hAnsi="宋体" w:eastAsia="宋体" w:cs="宋体"/>
          <w:color w:val="auto"/>
          <w:sz w:val="21"/>
          <w:szCs w:val="21"/>
          <w:highlight w:val="none"/>
        </w:rPr>
        <w:t>必须采用符合卫生要求的运载工具，要保持清洁和定期消毒。运输车厢的内仓应为抗腐蚀、防潮，防虫、防鼠的设计，车厢内无不良气味、异味。送货车辆应保持清洁，堆放科学合理，避免造成食材的交叉污染；如对温度有要求的应确定食材的温度，记录送货车辆温度，并记录存档。</w:t>
      </w:r>
    </w:p>
    <w:p w14:paraId="14F806F2">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1.4.2.</w:t>
      </w:r>
      <w:r>
        <w:rPr>
          <w:rFonts w:hint="eastAsia" w:ascii="宋体" w:hAnsi="宋体" w:eastAsia="宋体" w:cs="宋体"/>
          <w:color w:val="auto"/>
          <w:sz w:val="21"/>
          <w:szCs w:val="21"/>
          <w:highlight w:val="none"/>
        </w:rPr>
        <w:t>2容器要求清洁、干燥、牢固、透气，无污染、无异味、无霉变现象。</w:t>
      </w:r>
    </w:p>
    <w:p w14:paraId="59190411">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1.4.2.</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鲜肉类、冷冻类、</w:t>
      </w:r>
      <w:r>
        <w:rPr>
          <w:rFonts w:hint="eastAsia" w:ascii="宋体" w:hAnsi="宋体" w:eastAsia="宋体" w:cs="宋体"/>
          <w:color w:val="auto"/>
          <w:sz w:val="21"/>
          <w:szCs w:val="21"/>
          <w:highlight w:val="none"/>
        </w:rPr>
        <w:t>冰鲜类水产品必须用专用冷藏、冷冻载具运输，保证运输过程冷链不中断，到达目的地时外包装箱干爽，无软化现象。</w:t>
      </w:r>
    </w:p>
    <w:p w14:paraId="33555DB5">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1.4.2.</w:t>
      </w:r>
      <w:r>
        <w:rPr>
          <w:rFonts w:hint="eastAsia" w:ascii="宋体" w:hAnsi="宋体" w:eastAsia="宋体" w:cs="宋体"/>
          <w:color w:val="auto"/>
          <w:sz w:val="21"/>
          <w:szCs w:val="21"/>
          <w:highlight w:val="none"/>
        </w:rPr>
        <w:t>4蔬菜应小心轻卸，严防机械损伤。</w:t>
      </w:r>
    </w:p>
    <w:p w14:paraId="51BA03DD">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1.4.2.</w:t>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要免费提供运送及</w:t>
      </w:r>
      <w:r>
        <w:rPr>
          <w:rFonts w:hint="eastAsia" w:ascii="宋体" w:hAnsi="宋体" w:cs="宋体"/>
          <w:color w:val="auto"/>
          <w:sz w:val="21"/>
          <w:szCs w:val="21"/>
          <w:highlight w:val="none"/>
          <w:lang w:eastAsia="zh-CN"/>
        </w:rPr>
        <w:t>卸货入库</w:t>
      </w:r>
      <w:r>
        <w:rPr>
          <w:rFonts w:hint="eastAsia" w:ascii="宋体" w:hAnsi="宋体" w:eastAsia="宋体" w:cs="宋体"/>
          <w:color w:val="auto"/>
          <w:sz w:val="21"/>
          <w:szCs w:val="21"/>
          <w:highlight w:val="none"/>
        </w:rPr>
        <w:t>服务。</w:t>
      </w:r>
    </w:p>
    <w:p w14:paraId="065AA3A6">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1.4.2.</w:t>
      </w:r>
      <w:r>
        <w:rPr>
          <w:rFonts w:hint="eastAsia" w:ascii="宋体" w:hAnsi="宋体" w:eastAsia="宋体" w:cs="宋体"/>
          <w:color w:val="auto"/>
          <w:sz w:val="21"/>
          <w:szCs w:val="21"/>
          <w:highlight w:val="none"/>
        </w:rPr>
        <w:t>6必须按照</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要求的货品规格、数量、质量配送，如数量不足的，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应立即补足；如有10%以下（含10%）货品规格、质量不符合要求的，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应对不符合要求的货品进行更换；如有10%以上的货品规格、质量不符合要求的，由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选择整批退货或要求</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按时整批更换。</w:t>
      </w:r>
    </w:p>
    <w:p w14:paraId="6EE2086E">
      <w:pPr>
        <w:keepNext w:val="0"/>
        <w:keepLines w:val="0"/>
        <w:pageBreakBefore w:val="0"/>
        <w:widowControl w:val="0"/>
        <w:numPr>
          <w:ilvl w:val="0"/>
          <w:numId w:val="0"/>
        </w:numPr>
        <w:shd w:val="clear" w:color="auto"/>
        <w:kinsoku/>
        <w:wordWrap/>
        <w:overflowPunct/>
        <w:topLinePunct w:val="0"/>
        <w:autoSpaceDE/>
        <w:autoSpaceDN/>
        <w:bidi w:val="0"/>
        <w:adjustRightInd w:val="0"/>
        <w:snapToGrid w:val="0"/>
        <w:spacing w:after="0" w:line="36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cs="宋体"/>
          <w:b/>
          <w:bCs/>
          <w:color w:val="auto"/>
          <w:sz w:val="21"/>
          <w:szCs w:val="21"/>
          <w:highlight w:val="none"/>
          <w:lang w:val="en-US" w:eastAsia="zh-CN"/>
        </w:rPr>
        <w:t>1.4.3</w:t>
      </w:r>
      <w:r>
        <w:rPr>
          <w:rFonts w:hint="eastAsia" w:ascii="宋体" w:hAnsi="宋体" w:eastAsia="宋体" w:cs="宋体"/>
          <w:b/>
          <w:color w:val="auto"/>
          <w:sz w:val="21"/>
          <w:szCs w:val="21"/>
          <w:highlight w:val="none"/>
          <w:lang w:eastAsia="zh-CN"/>
        </w:rPr>
        <w:t>乙方</w:t>
      </w:r>
      <w:r>
        <w:rPr>
          <w:rFonts w:hint="eastAsia" w:ascii="宋体" w:hAnsi="宋体" w:eastAsia="宋体" w:cs="宋体"/>
          <w:b/>
          <w:color w:val="auto"/>
          <w:sz w:val="21"/>
          <w:szCs w:val="21"/>
          <w:highlight w:val="none"/>
        </w:rPr>
        <w:t>需设立自有检测室或有固定的送检机构，每种蔬菜每天都要随货提供农药残留的检测报告，食品检测人员或检测机构资料交</w:t>
      </w:r>
      <w:r>
        <w:rPr>
          <w:rFonts w:hint="eastAsia" w:ascii="宋体" w:hAnsi="宋体" w:eastAsia="宋体" w:cs="宋体"/>
          <w:b/>
          <w:color w:val="auto"/>
          <w:sz w:val="21"/>
          <w:szCs w:val="21"/>
          <w:highlight w:val="none"/>
          <w:lang w:eastAsia="zh-CN"/>
        </w:rPr>
        <w:t>甲方</w:t>
      </w:r>
      <w:r>
        <w:rPr>
          <w:rFonts w:hint="eastAsia" w:ascii="宋体" w:hAnsi="宋体" w:eastAsia="宋体" w:cs="宋体"/>
          <w:b/>
          <w:color w:val="auto"/>
          <w:sz w:val="21"/>
          <w:szCs w:val="21"/>
          <w:highlight w:val="none"/>
        </w:rPr>
        <w:t>存档备查。</w:t>
      </w:r>
    </w:p>
    <w:p w14:paraId="6803143E">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1.4.3.</w:t>
      </w:r>
      <w:r>
        <w:rPr>
          <w:rFonts w:hint="eastAsia" w:ascii="宋体" w:hAnsi="宋体" w:eastAsia="宋体" w:cs="宋体"/>
          <w:color w:val="auto"/>
          <w:sz w:val="21"/>
          <w:szCs w:val="21"/>
          <w:highlight w:val="none"/>
        </w:rPr>
        <w:t>1对食品安全质量问题的处理：</w:t>
      </w:r>
    </w:p>
    <w:p w14:paraId="2CBBEF3A">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1.4.3.</w:t>
      </w: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对危及人体健康的食品质量问题（如农药残留超标、腐烂变质等）采取零容忍措施，一经发现，当日所送同批次货品全部退货。</w:t>
      </w:r>
    </w:p>
    <w:p w14:paraId="32B2F725">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1.4.3.</w:t>
      </w: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若验收时未发现问题，而在加工食用前发现部分货品质量有问题，</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立即通知</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，将问题货品作退换货处理。</w:t>
      </w:r>
    </w:p>
    <w:p w14:paraId="78F563C4">
      <w:pPr>
        <w:keepNext w:val="0"/>
        <w:keepLines w:val="0"/>
        <w:pageBreakBefore w:val="0"/>
        <w:widowControl w:val="0"/>
        <w:shd w:val="clear" w:color="auto"/>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1.4.3.</w:t>
      </w: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所供应货品出现质量问题造成食品安全事故，经查实后属</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责任的，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应承担全部责任和经济损失。</w:t>
      </w:r>
    </w:p>
    <w:p w14:paraId="6612921C">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lang w:val="en-US" w:eastAsia="zh-CN"/>
        </w:rPr>
        <w:t>订货、交货及运输</w:t>
      </w:r>
    </w:p>
    <w:p w14:paraId="4551181B">
      <w:pPr>
        <w:pageBreakBefore w:val="0"/>
        <w:widowControl w:val="0"/>
        <w:shd w:val="clear" w:color="auto"/>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5.1</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应当根据</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实际情况，按照与</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的约定，在规定的时间内将预定的货物如数送到指定地点。除发生客观不可抗力的情况外，</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不得推迟送货。如确需延迟送货的，</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应在得知情况的同时告知</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并征得</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同意，由于</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延迟造成</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利益受损的，</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有权要求</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赔偿</w:t>
      </w:r>
      <w:r>
        <w:rPr>
          <w:rFonts w:hint="eastAsia" w:ascii="宋体" w:hAnsi="宋体" w:eastAsia="宋体" w:cs="宋体"/>
          <w:bCs/>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合同期内</w:t>
      </w:r>
      <w:r>
        <w:rPr>
          <w:rFonts w:hint="eastAsia" w:ascii="宋体" w:hAnsi="宋体" w:eastAsia="宋体" w:cs="宋体"/>
          <w:b w:val="0"/>
          <w:bCs w:val="0"/>
          <w:color w:val="auto"/>
          <w:sz w:val="21"/>
          <w:szCs w:val="21"/>
          <w:highlight w:val="none"/>
        </w:rPr>
        <w:t>出现3次或以上上述情况的，</w:t>
      </w:r>
      <w:r>
        <w:rPr>
          <w:rFonts w:hint="eastAsia" w:ascii="宋体" w:hAnsi="宋体" w:eastAsia="宋体" w:cs="宋体"/>
          <w:b w:val="0"/>
          <w:bCs w:val="0"/>
          <w:color w:val="auto"/>
          <w:sz w:val="21"/>
          <w:szCs w:val="21"/>
          <w:highlight w:val="none"/>
          <w:lang w:val="en-US" w:eastAsia="zh-CN"/>
        </w:rPr>
        <w:t>从第4次开始，每次</w:t>
      </w:r>
      <w:r>
        <w:rPr>
          <w:rFonts w:hint="eastAsia" w:ascii="宋体" w:hAnsi="宋体" w:eastAsia="宋体" w:cs="宋体"/>
          <w:b w:val="0"/>
          <w:bCs w:val="0"/>
          <w:color w:val="auto"/>
          <w:sz w:val="21"/>
          <w:szCs w:val="21"/>
          <w:highlight w:val="none"/>
        </w:rPr>
        <w:t>处以</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人民币</w:t>
      </w:r>
      <w:r>
        <w:rPr>
          <w:rFonts w:hint="eastAsia" w:ascii="宋体" w:hAnsi="宋体" w:cs="宋体"/>
          <w:b w:val="0"/>
          <w:bCs w:val="0"/>
          <w:color w:val="auto"/>
          <w:sz w:val="21"/>
          <w:szCs w:val="21"/>
          <w:highlight w:val="none"/>
          <w:lang w:eastAsia="zh-CN"/>
        </w:rPr>
        <w:t>2500元</w:t>
      </w:r>
      <w:r>
        <w:rPr>
          <w:rFonts w:hint="eastAsia" w:ascii="宋体" w:hAnsi="宋体" w:eastAsia="宋体" w:cs="宋体"/>
          <w:b w:val="0"/>
          <w:bCs w:val="0"/>
          <w:color w:val="auto"/>
          <w:sz w:val="21"/>
          <w:szCs w:val="21"/>
          <w:highlight w:val="none"/>
        </w:rPr>
        <w:t>罚款，罚款在供货结算款内扣除。</w:t>
      </w:r>
    </w:p>
    <w:p w14:paraId="5712318D">
      <w:pPr>
        <w:pageBreakBefore w:val="0"/>
        <w:widowControl w:val="0"/>
        <w:shd w:val="clear" w:color="auto"/>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订货。</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向</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订购</w:t>
      </w:r>
      <w:r>
        <w:rPr>
          <w:rFonts w:hint="eastAsia" w:ascii="宋体" w:hAnsi="宋体" w:eastAsia="宋体" w:cs="宋体"/>
          <w:b w:val="0"/>
          <w:bCs w:val="0"/>
          <w:color w:val="auto"/>
          <w:sz w:val="21"/>
          <w:szCs w:val="21"/>
          <w:highlight w:val="none"/>
          <w:lang w:val="en-US" w:eastAsia="zh-CN"/>
        </w:rPr>
        <w:t>的食材</w:t>
      </w:r>
      <w:r>
        <w:rPr>
          <w:rFonts w:hint="eastAsia" w:ascii="宋体" w:hAnsi="宋体" w:eastAsia="宋体" w:cs="宋体"/>
          <w:b w:val="0"/>
          <w:bCs w:val="0"/>
          <w:color w:val="auto"/>
          <w:sz w:val="21"/>
          <w:szCs w:val="21"/>
          <w:highlight w:val="none"/>
        </w:rPr>
        <w:t>，以电话、传真或电子邮件或微信等方式下单，订单内容应说明清楚品名、数量、规格、质量和餐次等要求。</w:t>
      </w:r>
    </w:p>
    <w:p w14:paraId="1EFE5402">
      <w:pPr>
        <w:pageBreakBefore w:val="0"/>
        <w:numPr>
          <w:ilvl w:val="0"/>
          <w:numId w:val="0"/>
        </w:numPr>
        <w:shd w:val="clear" w:color="auto"/>
        <w:kinsoku/>
        <w:wordWrap/>
        <w:overflowPunct/>
        <w:topLinePunct w:val="0"/>
        <w:autoSpaceDE/>
        <w:autoSpaceDN/>
        <w:bidi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配送时效</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应当根据</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实际情况，按照与</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的约定，在规定的时间内将预定的货物如数送到指定地点。</w:t>
      </w:r>
      <w:r>
        <w:rPr>
          <w:rFonts w:hint="eastAsia" w:ascii="宋体" w:hAnsi="宋体" w:eastAsia="宋体" w:cs="宋体"/>
          <w:bCs/>
          <w:color w:val="auto"/>
          <w:sz w:val="21"/>
          <w:szCs w:val="21"/>
          <w:highlight w:val="none"/>
        </w:rPr>
        <w:t>具体配送时间以</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实际要求为准。</w:t>
      </w:r>
      <w:r>
        <w:rPr>
          <w:rFonts w:hint="eastAsia" w:ascii="宋体" w:hAnsi="宋体" w:eastAsia="宋体" w:cs="宋体"/>
          <w:b w:val="0"/>
          <w:bCs w:val="0"/>
          <w:color w:val="auto"/>
          <w:sz w:val="21"/>
          <w:szCs w:val="21"/>
          <w:highlight w:val="none"/>
          <w:lang w:val="en-US" w:eastAsia="zh-CN"/>
        </w:rPr>
        <w:t>送达时间误差不超过30分钟。</w:t>
      </w:r>
      <w:r>
        <w:rPr>
          <w:rFonts w:hint="eastAsia" w:ascii="宋体" w:hAnsi="宋体" w:eastAsia="宋体" w:cs="宋体"/>
          <w:b/>
          <w:bCs/>
          <w:color w:val="auto"/>
          <w:sz w:val="21"/>
          <w:szCs w:val="21"/>
          <w:highlight w:val="none"/>
        </w:rPr>
        <w:t>对于临时性采购订单</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节假日或学校活动期间需提前协调</w:t>
      </w:r>
      <w:r>
        <w:rPr>
          <w:rFonts w:hint="eastAsia" w:ascii="宋体" w:hAnsi="宋体" w:eastAsia="宋体" w:cs="宋体"/>
          <w:b/>
          <w:bCs/>
          <w:color w:val="auto"/>
          <w:sz w:val="21"/>
          <w:szCs w:val="21"/>
          <w:highlight w:val="none"/>
          <w:lang w:val="en-US" w:eastAsia="zh-CN"/>
        </w:rPr>
        <w:t>增</w:t>
      </w:r>
      <w:r>
        <w:rPr>
          <w:rFonts w:hint="eastAsia" w:ascii="宋体" w:hAnsi="宋体" w:eastAsia="宋体" w:cs="宋体"/>
          <w:b/>
          <w:bCs/>
          <w:color w:val="auto"/>
          <w:sz w:val="21"/>
          <w:szCs w:val="21"/>
          <w:highlight w:val="none"/>
        </w:rPr>
        <w:t>加</w:t>
      </w:r>
      <w:r>
        <w:rPr>
          <w:rFonts w:hint="eastAsia" w:ascii="宋体" w:hAnsi="宋体" w:eastAsia="宋体" w:cs="宋体"/>
          <w:b/>
          <w:bCs/>
          <w:color w:val="auto"/>
          <w:sz w:val="21"/>
          <w:szCs w:val="21"/>
          <w:highlight w:val="none"/>
          <w:lang w:val="en-US" w:eastAsia="zh-CN"/>
        </w:rPr>
        <w:t>或减少</w:t>
      </w:r>
      <w:r>
        <w:rPr>
          <w:rFonts w:hint="eastAsia" w:ascii="宋体" w:hAnsi="宋体" w:eastAsia="宋体" w:cs="宋体"/>
          <w:b/>
          <w:bCs/>
          <w:color w:val="auto"/>
          <w:sz w:val="21"/>
          <w:szCs w:val="21"/>
          <w:highlight w:val="none"/>
        </w:rPr>
        <w:t>配</w:t>
      </w:r>
      <w:r>
        <w:rPr>
          <w:rFonts w:hint="eastAsia" w:ascii="宋体" w:hAnsi="宋体" w:eastAsia="宋体" w:cs="宋体"/>
          <w:b/>
          <w:bCs/>
          <w:color w:val="auto"/>
          <w:sz w:val="21"/>
          <w:szCs w:val="21"/>
          <w:highlight w:val="none"/>
          <w:lang w:val="en-US" w:eastAsia="zh-CN"/>
        </w:rPr>
        <w:t>送</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 xml:space="preserve"> </w:t>
      </w:r>
    </w:p>
    <w:p w14:paraId="00972CC7">
      <w:pPr>
        <w:keepNext w:val="0"/>
        <w:keepLines w:val="0"/>
        <w:pageBreakBefore w:val="0"/>
        <w:widowControl/>
        <w:numPr>
          <w:ilvl w:val="0"/>
          <w:numId w:val="0"/>
        </w:numPr>
        <w:shd w:val="clear" w:color="auto"/>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kern w:val="2"/>
          <w:sz w:val="21"/>
          <w:szCs w:val="21"/>
          <w:highlight w:val="none"/>
          <w:lang w:val="en-US" w:eastAsia="zh-CN" w:bidi="ar-SA"/>
        </w:rPr>
        <w:t>4</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在发货前，应对货品的外观质量、规格、数量等进行准确和全面的检验。</w:t>
      </w:r>
    </w:p>
    <w:p w14:paraId="71614B08">
      <w:pPr>
        <w:keepNext w:val="0"/>
        <w:keepLines w:val="0"/>
        <w:pageBreakBefore w:val="0"/>
        <w:widowControl/>
        <w:numPr>
          <w:ilvl w:val="0"/>
          <w:numId w:val="0"/>
        </w:numPr>
        <w:shd w:val="clear" w:color="auto"/>
        <w:kinsoku/>
        <w:wordWrap/>
        <w:overflowPunct/>
        <w:topLinePunct w:val="0"/>
        <w:autoSpaceDE/>
        <w:autoSpaceDN/>
        <w:bidi w:val="0"/>
        <w:adjustRightInd w:val="0"/>
        <w:snapToGrid w:val="0"/>
        <w:spacing w:line="360" w:lineRule="auto"/>
        <w:ind w:left="0" w:leftChars="0" w:firstLine="400" w:firstLineChars="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color w:val="auto"/>
          <w:kern w:val="2"/>
          <w:sz w:val="21"/>
          <w:szCs w:val="21"/>
          <w:highlight w:val="none"/>
          <w:lang w:val="en-US" w:eastAsia="zh-CN" w:bidi="ar-SA"/>
        </w:rPr>
        <w:t>5</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的送货单必须详细注明商品的品牌、品种、单价、数量、送货单不得涂改。标记不清的，</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将拒绝签收。结算期末</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还应提供送货清单供</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结算。</w:t>
      </w:r>
    </w:p>
    <w:p w14:paraId="79A6E09C">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负责货品配送前的仓储，</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不提供仓库。</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须准时送货到</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指定地点，</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不另行支付配送交通费。</w:t>
      </w:r>
    </w:p>
    <w:p w14:paraId="727436A3">
      <w:pPr>
        <w:pageBreakBefore w:val="0"/>
        <w:widowControl w:val="0"/>
        <w:shd w:val="clear" w:color="auto"/>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在</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签收之前，货物的所有权和风险属于</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，货物发生遗失、损坏由</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负责。</w:t>
      </w:r>
    </w:p>
    <w:p w14:paraId="6759ED00">
      <w:pPr>
        <w:pageBreakBefore w:val="0"/>
        <w:widowControl w:val="0"/>
        <w:shd w:val="clear" w:color="auto"/>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须严格按照</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的订单配送货品，不得随意增减数量或改变品种。如因市场流通问题确实需要变更供货内容的，</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应在得知情况的同时书面告知</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并征得</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同意后方可变更，否则，</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有权拒收，由此产生的一切损失和费用由</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承担。</w:t>
      </w:r>
    </w:p>
    <w:p w14:paraId="3DFF16B5">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应设专人服务、跟踪、对账、快速处理突发事件。对送货过程中出现货不对</w:t>
      </w:r>
    </w:p>
    <w:p w14:paraId="23A432D8">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板或达不到订单注明质量要求的品种，以及</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根据就餐需要临时加补的品种，</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应在</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指定的时间补送到位，保证</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的正常就餐时间。</w:t>
      </w:r>
    </w:p>
    <w:p w14:paraId="060A687F">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产品储存及原材料配备要求</w:t>
      </w:r>
    </w:p>
    <w:p w14:paraId="4A728FED">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10</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应做好产品储存方案及原料配备；</w:t>
      </w:r>
    </w:p>
    <w:p w14:paraId="6215C895">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10</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应具备安全、无害的贮存场所、容器、工具和设备，并保持清洁；</w:t>
      </w:r>
    </w:p>
    <w:p w14:paraId="141E178B">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10</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要确保产品质量，保持食材原材料在储存期间的使用价值。</w:t>
      </w:r>
    </w:p>
    <w:p w14:paraId="42F2E171">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w:t>
      </w:r>
      <w:r>
        <w:rPr>
          <w:rFonts w:hint="eastAsia" w:ascii="宋体" w:hAnsi="宋体" w:eastAsia="宋体" w:cs="宋体"/>
          <w:color w:val="auto"/>
          <w:sz w:val="21"/>
          <w:szCs w:val="21"/>
          <w:highlight w:val="none"/>
          <w:lang w:val="en-US" w:eastAsia="zh-CN"/>
        </w:rPr>
        <w:t>乙方责任</w:t>
      </w:r>
    </w:p>
    <w:p w14:paraId="150A9D3C">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lang w:val="en-US" w:eastAsia="zh-CN"/>
        </w:rPr>
        <w:t>负责跟进本采购项目</w:t>
      </w:r>
      <w:r>
        <w:rPr>
          <w:rFonts w:hint="eastAsia" w:ascii="宋体" w:hAnsi="宋体" w:eastAsia="宋体" w:cs="宋体"/>
          <w:b w:val="0"/>
          <w:bCs w:val="0"/>
          <w:color w:val="auto"/>
          <w:sz w:val="21"/>
          <w:szCs w:val="21"/>
          <w:highlight w:val="none"/>
        </w:rPr>
        <w:t>的服务人员必须经卫生防疫部门检查和培训，</w:t>
      </w:r>
      <w:r>
        <w:rPr>
          <w:rFonts w:hint="eastAsia" w:ascii="宋体" w:hAnsi="宋体" w:eastAsia="宋体" w:cs="宋体"/>
          <w:b w:val="0"/>
          <w:bCs w:val="0"/>
          <w:color w:val="auto"/>
          <w:sz w:val="21"/>
          <w:szCs w:val="21"/>
          <w:highlight w:val="none"/>
          <w:lang w:val="en-US" w:eastAsia="zh-CN"/>
        </w:rPr>
        <w:t>没有肝炎、肺结核、皮肤病等传染病，</w:t>
      </w:r>
      <w:r>
        <w:rPr>
          <w:rFonts w:hint="eastAsia" w:ascii="宋体" w:hAnsi="宋体" w:eastAsia="宋体" w:cs="宋体"/>
          <w:b w:val="0"/>
          <w:bCs w:val="0"/>
          <w:color w:val="auto"/>
          <w:sz w:val="21"/>
          <w:szCs w:val="21"/>
          <w:highlight w:val="none"/>
        </w:rPr>
        <w:t>持有健康证上岗，必须穿着便于辨认的工衣和配戴胸卡，送货专员在</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单位活动必须严格遵守</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单位各项规章制度，不得做出有损</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形象和利益的事情。</w:t>
      </w:r>
      <w:r>
        <w:rPr>
          <w:rFonts w:hint="eastAsia" w:ascii="宋体" w:hAnsi="宋体" w:eastAsia="宋体" w:cs="宋体"/>
          <w:b w:val="0"/>
          <w:bCs w:val="0"/>
          <w:color w:val="auto"/>
          <w:sz w:val="21"/>
          <w:szCs w:val="21"/>
          <w:highlight w:val="none"/>
          <w:lang w:val="en-US" w:eastAsia="zh-CN"/>
        </w:rPr>
        <w:t>与从事本项目服务相关的证照在本次采购服务持续期间应保持有效。</w:t>
      </w:r>
    </w:p>
    <w:p w14:paraId="48FB6448">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运送货物时须对场地内的设备、设施有良好保护措施，若</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在配送过程</w:t>
      </w:r>
    </w:p>
    <w:p w14:paraId="6A742D8C">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中损坏</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的物品，</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应照价赔偿。</w:t>
      </w:r>
    </w:p>
    <w:p w14:paraId="1C5C978C">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 w:val="0"/>
          <w:bCs w:val="0"/>
          <w:color w:val="auto"/>
          <w:sz w:val="21"/>
          <w:szCs w:val="21"/>
          <w:highlight w:val="none"/>
        </w:rPr>
        <w:t>3</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不得泄露</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的商业秘密。泄密造成</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损失的或声誉损害的，</w:t>
      </w:r>
      <w:r>
        <w:rPr>
          <w:rFonts w:hint="eastAsia" w:ascii="宋体" w:hAnsi="宋体" w:eastAsia="宋体" w:cs="宋体"/>
          <w:b w:val="0"/>
          <w:bCs w:val="0"/>
          <w:color w:val="auto"/>
          <w:sz w:val="21"/>
          <w:szCs w:val="21"/>
          <w:highlight w:val="none"/>
          <w:lang w:eastAsia="zh-CN"/>
        </w:rPr>
        <w:t>乙方</w:t>
      </w:r>
    </w:p>
    <w:p w14:paraId="32EC7209">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将承担由此产生的一切损失和法律责任。</w:t>
      </w:r>
    </w:p>
    <w:p w14:paraId="7A74419B">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的</w:t>
      </w:r>
      <w:r>
        <w:rPr>
          <w:rFonts w:hint="eastAsia" w:ascii="宋体" w:hAnsi="宋体" w:cs="宋体"/>
          <w:b w:val="0"/>
          <w:bCs w:val="0"/>
          <w:color w:val="auto"/>
          <w:sz w:val="21"/>
          <w:szCs w:val="21"/>
          <w:highlight w:val="none"/>
          <w:lang w:val="en-US" w:eastAsia="zh-CN"/>
        </w:rPr>
        <w:t>采购</w:t>
      </w:r>
      <w:r>
        <w:rPr>
          <w:rFonts w:hint="eastAsia" w:ascii="宋体" w:hAnsi="宋体" w:eastAsia="宋体" w:cs="宋体"/>
          <w:b w:val="0"/>
          <w:bCs w:val="0"/>
          <w:color w:val="auto"/>
          <w:sz w:val="21"/>
          <w:szCs w:val="21"/>
          <w:highlight w:val="none"/>
        </w:rPr>
        <w:t>员不得给</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负责合约洽谈、价格监督、食材验收的人员任何好处，如查实有上述情况，取消</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配送资格。</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可向</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举报</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相关人员故意刁难及索取好处的行为，经</w:t>
      </w: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查实，相关人员</w:t>
      </w:r>
      <w:r>
        <w:rPr>
          <w:rFonts w:hint="eastAsia" w:ascii="宋体" w:hAnsi="宋体" w:eastAsia="宋体" w:cs="宋体"/>
          <w:b w:val="0"/>
          <w:bCs w:val="0"/>
          <w:color w:val="auto"/>
          <w:sz w:val="21"/>
          <w:szCs w:val="21"/>
          <w:highlight w:val="none"/>
          <w:lang w:val="en-US" w:eastAsia="zh-CN"/>
        </w:rPr>
        <w:t>由甲方按照甲方的管理制度处置</w:t>
      </w:r>
      <w:r>
        <w:rPr>
          <w:rFonts w:hint="eastAsia" w:ascii="宋体" w:hAnsi="宋体" w:eastAsia="宋体" w:cs="宋体"/>
          <w:b w:val="0"/>
          <w:bCs w:val="0"/>
          <w:color w:val="auto"/>
          <w:sz w:val="21"/>
          <w:szCs w:val="21"/>
          <w:highlight w:val="none"/>
        </w:rPr>
        <w:t>。</w:t>
      </w:r>
    </w:p>
    <w:p w14:paraId="4FD9B27A">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bCs/>
          <w:color w:val="auto"/>
          <w:sz w:val="21"/>
          <w:szCs w:val="21"/>
          <w:highlight w:val="none"/>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对应急食材及政府扶贫农副产品采购有自主权，</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有权直接采购，不受</w:t>
      </w:r>
      <w:r>
        <w:rPr>
          <w:rFonts w:hint="eastAsia" w:ascii="宋体" w:hAnsi="宋体" w:eastAsia="宋体" w:cs="宋体"/>
          <w:b/>
          <w:bCs/>
          <w:color w:val="auto"/>
          <w:sz w:val="21"/>
          <w:szCs w:val="21"/>
          <w:highlight w:val="none"/>
          <w:lang w:eastAsia="zh-CN"/>
        </w:rPr>
        <w:t>乙方</w:t>
      </w:r>
      <w:r>
        <w:rPr>
          <w:rFonts w:hint="eastAsia" w:ascii="宋体" w:hAnsi="宋体" w:eastAsia="宋体" w:cs="宋体"/>
          <w:b/>
          <w:bCs/>
          <w:color w:val="auto"/>
          <w:sz w:val="21"/>
          <w:szCs w:val="21"/>
          <w:highlight w:val="none"/>
        </w:rPr>
        <w:t>和本项目制约。为贯彻落实党中央、国务院和广东省委、省政府关于打赢脱贫攻坚战的有关决策部署，在本项目饭堂食材配送服务期内，</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或</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委托</w:t>
      </w:r>
      <w:r>
        <w:rPr>
          <w:rFonts w:hint="eastAsia" w:ascii="宋体" w:hAnsi="宋体" w:eastAsia="宋体" w:cs="宋体"/>
          <w:b/>
          <w:bCs/>
          <w:color w:val="auto"/>
          <w:sz w:val="21"/>
          <w:szCs w:val="21"/>
          <w:highlight w:val="none"/>
          <w:lang w:eastAsia="zh-CN"/>
        </w:rPr>
        <w:t>乙方</w:t>
      </w:r>
      <w:r>
        <w:rPr>
          <w:rFonts w:hint="eastAsia" w:ascii="宋体" w:hAnsi="宋体" w:eastAsia="宋体" w:cs="宋体"/>
          <w:b/>
          <w:bCs/>
          <w:color w:val="auto"/>
          <w:sz w:val="21"/>
          <w:szCs w:val="21"/>
          <w:highlight w:val="none"/>
        </w:rPr>
        <w:t>通过脱贫地区农副产品网络销售平台（832 平台）预留不少于10%的比例采购脱贫地区农副产品 或通过广东省政府采购扶贫馆平台等政府部门认可的平台采购部分既定预留份额的食堂食材，</w:t>
      </w:r>
      <w:r>
        <w:rPr>
          <w:rFonts w:hint="eastAsia" w:ascii="宋体" w:hAnsi="宋体" w:eastAsia="宋体" w:cs="宋体"/>
          <w:b/>
          <w:bCs/>
          <w:color w:val="auto"/>
          <w:sz w:val="21"/>
          <w:szCs w:val="21"/>
          <w:highlight w:val="none"/>
          <w:lang w:eastAsia="zh-CN"/>
        </w:rPr>
        <w:t>乙方</w:t>
      </w:r>
      <w:r>
        <w:rPr>
          <w:rFonts w:hint="eastAsia" w:ascii="宋体" w:hAnsi="宋体" w:eastAsia="宋体" w:cs="宋体"/>
          <w:b/>
          <w:bCs/>
          <w:color w:val="auto"/>
          <w:sz w:val="21"/>
          <w:szCs w:val="21"/>
          <w:highlight w:val="none"/>
        </w:rPr>
        <w:t>必须无条件配合，</w:t>
      </w:r>
      <w:r>
        <w:rPr>
          <w:rFonts w:hint="eastAsia" w:ascii="宋体" w:hAnsi="宋体" w:eastAsia="宋体" w:cs="宋体"/>
          <w:b/>
          <w:bCs/>
          <w:color w:val="auto"/>
          <w:sz w:val="21"/>
          <w:szCs w:val="21"/>
          <w:highlight w:val="none"/>
          <w:lang w:eastAsia="zh-CN"/>
        </w:rPr>
        <w:t>甲方</w:t>
      </w:r>
      <w:r>
        <w:rPr>
          <w:rFonts w:hint="eastAsia" w:ascii="宋体" w:hAnsi="宋体" w:eastAsia="宋体" w:cs="宋体"/>
          <w:b/>
          <w:bCs/>
          <w:color w:val="auto"/>
          <w:sz w:val="21"/>
          <w:szCs w:val="21"/>
          <w:highlight w:val="none"/>
        </w:rPr>
        <w:t>对此不承担任何经济补偿或违约责任。</w:t>
      </w:r>
    </w:p>
    <w:p w14:paraId="0C55AEB2">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乙方</w:t>
      </w:r>
      <w:r>
        <w:rPr>
          <w:rFonts w:hint="eastAsia" w:ascii="宋体" w:hAnsi="宋体" w:eastAsia="宋体" w:cs="宋体"/>
          <w:b/>
          <w:bCs/>
          <w:color w:val="auto"/>
          <w:sz w:val="21"/>
          <w:szCs w:val="21"/>
          <w:highlight w:val="none"/>
        </w:rPr>
        <w:t>须承诺遇台风、暴雨等意外造成停课的，所有已订食材须无条件接受退回。</w:t>
      </w:r>
    </w:p>
    <w:p w14:paraId="7D2914D1">
      <w:pPr>
        <w:pageBreakBefore w:val="0"/>
        <w:widowControl w:val="0"/>
        <w:shd w:val="clear" w:color="auto"/>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必须服从</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的监督、管理，配合</w:t>
      </w: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到农场基地、食物配送点进行现场考察。</w:t>
      </w:r>
    </w:p>
    <w:p w14:paraId="6698A569">
      <w:pPr>
        <w:pageBreakBefore w:val="0"/>
        <w:widowControl w:val="0"/>
        <w:shd w:val="clear" w:color="auto"/>
        <w:tabs>
          <w:tab w:val="left" w:pos="709"/>
        </w:tabs>
        <w:kinsoku/>
        <w:wordWrap/>
        <w:overflowPunct/>
        <w:topLinePunct w:val="0"/>
        <w:autoSpaceDE/>
        <w:autoSpaceDN/>
        <w:bidi w:val="0"/>
        <w:adjustRightInd/>
        <w:snapToGrid/>
        <w:spacing w:after="0"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cs="宋体"/>
          <w:b w:val="0"/>
          <w:bCs w:val="0"/>
          <w:color w:val="auto"/>
          <w:sz w:val="21"/>
          <w:szCs w:val="21"/>
          <w:highlight w:val="none"/>
          <w:lang w:val="en-US" w:eastAsia="zh-CN"/>
        </w:rPr>
        <w:t>1.6.</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食品供应链要求：所有食品的来源必须清晰可追溯和追责。</w:t>
      </w:r>
    </w:p>
    <w:p w14:paraId="56F2E2A2">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w:t>
      </w:r>
      <w:r>
        <w:rPr>
          <w:rFonts w:hint="eastAsia" w:ascii="宋体" w:hAnsi="宋体" w:eastAsia="宋体" w:cs="宋体"/>
          <w:color w:val="auto"/>
          <w:sz w:val="21"/>
          <w:szCs w:val="21"/>
          <w:highlight w:val="none"/>
          <w:lang w:val="en-US" w:eastAsia="zh-CN"/>
        </w:rPr>
        <w:t>企业管理制度</w:t>
      </w:r>
    </w:p>
    <w:p w14:paraId="7668AF53">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1.7.</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应具备有利于本项目实施的管理服务理念与管理模式；</w:t>
      </w:r>
    </w:p>
    <w:p w14:paraId="0D54EB76">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1.7.</w:t>
      </w: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应具备完善的组织管理架构及岗位职责；</w:t>
      </w:r>
    </w:p>
    <w:p w14:paraId="768CEB3F">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1.8应急处理要求</w:t>
      </w:r>
    </w:p>
    <w:p w14:paraId="6019CB5D">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应具备完善的应急处理方案，包括但不限于下列要求：</w:t>
      </w:r>
    </w:p>
    <w:p w14:paraId="37B0B218">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1针对食材仓储环节中可能出现的导致食材种类、数量不足的紧急情况（如突发火灾、</w:t>
      </w:r>
    </w:p>
    <w:p w14:paraId="7E47FBF7">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被水淹没等），应有相应的处置措施；</w:t>
      </w:r>
    </w:p>
    <w:p w14:paraId="02A4CAB7">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2针对食材流通和使用环节可能会出现的质量问题（如仓储、运具不达标致使食材变</w:t>
      </w:r>
    </w:p>
    <w:p w14:paraId="43648ACC">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得不合格等），应有相应的处置措施；</w:t>
      </w:r>
    </w:p>
    <w:p w14:paraId="2A4FB6CA">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3针对台风、暴雨等恶劣天气，应有相应的配送保障措施；</w:t>
      </w:r>
    </w:p>
    <w:p w14:paraId="2C88B886">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4针对配送人员在配送途中突发车辆故障、交通事故等情况，应有相应的人员替换保</w:t>
      </w:r>
    </w:p>
    <w:p w14:paraId="6A50672D">
      <w:pPr>
        <w:keepNext w:val="0"/>
        <w:keepLines w:val="0"/>
        <w:pageBreakBefore w:val="0"/>
        <w:widowControl/>
        <w:shd w:val="clear" w:color="auto"/>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障措施。</w:t>
      </w:r>
    </w:p>
    <w:p w14:paraId="3D219769">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r>
        <w:rPr>
          <w:rFonts w:hint="eastAsia" w:ascii="宋体" w:hAnsi="宋体" w:eastAsia="宋体" w:cs="宋体"/>
          <w:color w:val="auto"/>
          <w:sz w:val="21"/>
          <w:szCs w:val="21"/>
          <w:highlight w:val="none"/>
          <w:lang w:val="en-US" w:eastAsia="zh-CN"/>
        </w:rPr>
        <w:t>违约责任</w:t>
      </w:r>
    </w:p>
    <w:p w14:paraId="76665E55">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详见本合同第十四款。</w:t>
      </w:r>
    </w:p>
    <w:p w14:paraId="41A35920">
      <w:pPr>
        <w:pStyle w:val="5"/>
        <w:shd w:val="clear" w:color="auto"/>
        <w:bidi w:val="0"/>
        <w:ind w:firstLine="422"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1.10</w:t>
      </w:r>
      <w:r>
        <w:rPr>
          <w:rFonts w:hint="eastAsia" w:ascii="宋体" w:hAnsi="宋体" w:eastAsia="宋体" w:cs="宋体"/>
          <w:color w:val="auto"/>
          <w:sz w:val="21"/>
          <w:szCs w:val="21"/>
          <w:highlight w:val="none"/>
          <w:lang w:val="en-US" w:eastAsia="zh-CN"/>
        </w:rPr>
        <w:t>考核约定</w:t>
      </w:r>
    </w:p>
    <w:p w14:paraId="7360232C">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在服务期限内对</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实行考核制度，每月一次。具体评估考核办法如下:(考核内容见附件:《供应商月度评价表》)</w:t>
      </w:r>
    </w:p>
    <w:p w14:paraId="6C60B08E">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1.10.</w:t>
      </w:r>
      <w:r>
        <w:rPr>
          <w:rFonts w:hint="eastAsia" w:ascii="宋体" w:hAnsi="宋体" w:eastAsia="宋体" w:cs="宋体"/>
          <w:b w:val="0"/>
          <w:bCs w:val="0"/>
          <w:color w:val="auto"/>
          <w:sz w:val="21"/>
          <w:szCs w:val="21"/>
          <w:highlight w:val="none"/>
          <w:lang w:val="en-US" w:eastAsia="zh-CN"/>
        </w:rPr>
        <w:t>1当</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的考核成绩为优(月度考核得分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90分)，当月货款全额支付，</w:t>
      </w:r>
    </w:p>
    <w:p w14:paraId="2DD871F9">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1.10.</w:t>
      </w:r>
      <w:r>
        <w:rPr>
          <w:rFonts w:hint="eastAsia" w:ascii="宋体" w:hAnsi="宋体" w:eastAsia="宋体" w:cs="宋体"/>
          <w:b w:val="0"/>
          <w:bCs w:val="0"/>
          <w:color w:val="auto"/>
          <w:sz w:val="21"/>
          <w:szCs w:val="21"/>
          <w:highlight w:val="none"/>
          <w:lang w:val="en-US" w:eastAsia="zh-CN"/>
        </w:rPr>
        <w:t>2当</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的考核成绩为良(80</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月度考核得分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90分)，</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向</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下达《整改通知书》，不扣款。如</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连续两个月考核成绩为良时，</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有权在当月货款中扣除3%作为罚款。</w:t>
      </w:r>
    </w:p>
    <w:p w14:paraId="61BF0F04">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1.10.</w:t>
      </w:r>
      <w:r>
        <w:rPr>
          <w:rFonts w:hint="eastAsia" w:ascii="宋体" w:hAnsi="宋体" w:eastAsia="宋体" w:cs="宋体"/>
          <w:b w:val="0"/>
          <w:bCs w:val="0"/>
          <w:color w:val="auto"/>
          <w:sz w:val="21"/>
          <w:szCs w:val="21"/>
          <w:highlight w:val="none"/>
          <w:lang w:val="en-US" w:eastAsia="zh-CN"/>
        </w:rPr>
        <w:t>3当</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的考核成绩一般(75</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月度考核得分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80分)，</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向</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下达《整改通知书》，并在当月货款中扣除4%作为罚款。</w:t>
      </w:r>
    </w:p>
    <w:p w14:paraId="1A49DF55">
      <w:pPr>
        <w:shd w:val="clear"/>
        <w:ind w:firstLine="420" w:firstLineChars="200"/>
        <w:rPr>
          <w:color w:val="auto"/>
          <w:highlight w:val="none"/>
        </w:rPr>
      </w:pPr>
      <w:r>
        <w:rPr>
          <w:rFonts w:hint="eastAsia" w:ascii="宋体" w:hAnsi="宋体" w:cs="宋体"/>
          <w:b w:val="0"/>
          <w:bCs w:val="0"/>
          <w:color w:val="auto"/>
          <w:sz w:val="21"/>
          <w:szCs w:val="21"/>
          <w:highlight w:val="none"/>
          <w:lang w:val="en-US" w:eastAsia="zh-CN"/>
        </w:rPr>
        <w:t>1.10.</w:t>
      </w:r>
      <w:r>
        <w:rPr>
          <w:rFonts w:hint="eastAsia" w:ascii="宋体" w:hAnsi="宋体" w:eastAsia="宋体" w:cs="宋体"/>
          <w:b w:val="0"/>
          <w:bCs w:val="0"/>
          <w:color w:val="auto"/>
          <w:sz w:val="21"/>
          <w:szCs w:val="21"/>
          <w:highlight w:val="none"/>
          <w:lang w:val="en-US" w:eastAsia="zh-CN"/>
        </w:rPr>
        <w:t>4当</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的考核成绩为差(月度考核得分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75分)，</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向</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下达《整改通知书》并在当月货款中扣除6%作为罚款。合同期内累计3次的，</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有权单方面终止合同。</w:t>
      </w:r>
    </w:p>
    <w:p w14:paraId="570E812A">
      <w:pPr>
        <w:pStyle w:val="5"/>
        <w:shd w:val="clear" w:color="auto"/>
        <w:bidi w:val="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1.11</w:t>
      </w:r>
      <w:r>
        <w:rPr>
          <w:rFonts w:hint="eastAsia" w:ascii="宋体" w:hAnsi="宋体" w:eastAsia="宋体" w:cs="宋体"/>
          <w:color w:val="auto"/>
          <w:sz w:val="21"/>
          <w:szCs w:val="21"/>
          <w:highlight w:val="none"/>
          <w:lang w:val="en-US" w:eastAsia="zh-CN"/>
        </w:rPr>
        <w:t>相关说明</w:t>
      </w:r>
    </w:p>
    <w:p w14:paraId="54C5AC81">
      <w:pPr>
        <w:pStyle w:val="38"/>
        <w:keepNext w:val="0"/>
        <w:keepLines w:val="0"/>
        <w:pageBreakBefore w:val="0"/>
        <w:shd w:val="clear" w:color="auto"/>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1.11.</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在服务年限内，履行本招标文件约定的义务过程中出现违反国家法律法规、相关主管部门规章制度、擅自提高价格或提供伪劣服务内容、服务质量低劣造成</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损失等情况的，</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有权视情节分别给予警告、没收采购履约担保或取消协议服务资格等处罚。</w:t>
      </w:r>
    </w:p>
    <w:p w14:paraId="2B7DC807">
      <w:pPr>
        <w:pStyle w:val="38"/>
        <w:keepNext w:val="0"/>
        <w:keepLines w:val="0"/>
        <w:pageBreakBefore w:val="0"/>
        <w:shd w:val="clear" w:color="auto"/>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1.11.</w:t>
      </w:r>
      <w:r>
        <w:rPr>
          <w:rFonts w:hint="eastAsia" w:ascii="宋体" w:hAnsi="宋体" w:eastAsia="宋体" w:cs="宋体"/>
          <w:color w:val="auto"/>
          <w:sz w:val="21"/>
          <w:szCs w:val="21"/>
          <w:highlight w:val="none"/>
        </w:rPr>
        <w:t>2因</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被取消配送服务资格而造成服务单位数量不能满足正常食堂食材配送工作需求的，</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有权按顺序递补本次采购排名在</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之后的候选单位，或通过对该项目服务单位进行补充采购或重新采购的方式，以保证服务单位数量的正常需求。</w:t>
      </w:r>
    </w:p>
    <w:p w14:paraId="0F9ABFB8">
      <w:pPr>
        <w:pStyle w:val="38"/>
        <w:keepNext w:val="0"/>
        <w:keepLines w:val="0"/>
        <w:pageBreakBefore w:val="0"/>
        <w:shd w:val="clear" w:color="auto"/>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1.11.</w:t>
      </w:r>
      <w:r>
        <w:rPr>
          <w:rFonts w:hint="eastAsia" w:ascii="宋体" w:hAnsi="宋体" w:eastAsia="宋体" w:cs="宋体"/>
          <w:color w:val="auto"/>
          <w:sz w:val="21"/>
          <w:szCs w:val="21"/>
          <w:highlight w:val="none"/>
        </w:rPr>
        <w:t>3</w:t>
      </w:r>
      <w:r>
        <w:rPr>
          <w:rFonts w:hint="eastAsia" w:asci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必须清楚理解：</w:t>
      </w:r>
      <w:r>
        <w:rPr>
          <w:rFonts w:hint="eastAsia" w:asci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无法预计也无法保证服务单位所能获得的服务项目数量；对此服务单位不得向</w:t>
      </w:r>
      <w:r>
        <w:rPr>
          <w:rFonts w:hint="eastAsia" w:asci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追讨任何费用。</w:t>
      </w:r>
    </w:p>
    <w:p w14:paraId="3569985F">
      <w:pPr>
        <w:shd w:val="clear" w:color="auto"/>
        <w:spacing w:line="360" w:lineRule="auto"/>
        <w:outlineLvl w:val="1"/>
        <w:rPr>
          <w:rFonts w:hint="eastAsia" w:ascii="宋体" w:hAnsi="宋体" w:eastAsia="宋体" w:cs="宋体"/>
          <w:b/>
          <w:color w:val="auto"/>
          <w:sz w:val="21"/>
          <w:szCs w:val="21"/>
          <w:highlight w:val="none"/>
        </w:rPr>
      </w:pPr>
      <w:r>
        <w:rPr>
          <w:rFonts w:hint="eastAsia" w:cs="宋体"/>
          <w:b/>
          <w:color w:val="auto"/>
          <w:sz w:val="21"/>
          <w:szCs w:val="21"/>
          <w:highlight w:val="none"/>
          <w:lang w:val="en-US" w:eastAsia="zh-CN"/>
        </w:rPr>
        <w:t>2</w:t>
      </w:r>
      <w:r>
        <w:rPr>
          <w:rFonts w:hint="eastAsia" w:ascii="宋体" w:hAnsi="宋体" w:eastAsia="宋体" w:cs="宋体"/>
          <w:b/>
          <w:color w:val="auto"/>
          <w:sz w:val="21"/>
          <w:szCs w:val="21"/>
          <w:highlight w:val="none"/>
          <w:lang w:val="en-US" w:eastAsia="zh-CN"/>
        </w:rPr>
        <w:t>食材质量及包装要求</w:t>
      </w:r>
      <w:r>
        <w:rPr>
          <w:rFonts w:hint="eastAsia" w:cs="宋体"/>
          <w:b/>
          <w:color w:val="auto"/>
          <w:sz w:val="21"/>
          <w:szCs w:val="21"/>
          <w:highlight w:val="none"/>
          <w:lang w:val="en-US" w:eastAsia="zh-CN"/>
        </w:rPr>
        <w:t>：</w:t>
      </w:r>
    </w:p>
    <w:p w14:paraId="3DCCEFB4">
      <w:pPr>
        <w:keepNext w:val="0"/>
        <w:keepLines w:val="0"/>
        <w:pageBreakBefore w:val="0"/>
        <w:widowControl w:val="0"/>
        <w:numPr>
          <w:ilvl w:val="0"/>
          <w:numId w:val="0"/>
        </w:numPr>
        <w:shd w:val="clear"/>
        <w:kinsoku/>
        <w:wordWrap/>
        <w:overflowPunct/>
        <w:topLinePunct w:val="0"/>
        <w:autoSpaceDE/>
        <w:autoSpaceDN/>
        <w:bidi w:val="0"/>
        <w:spacing w:after="0" w:line="360" w:lineRule="auto"/>
        <w:ind w:left="0" w:leftChars="0" w:firstLine="400" w:firstLineChars="0"/>
        <w:jc w:val="both"/>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bidi="ar-SA"/>
        </w:rPr>
        <w:t>2.</w:t>
      </w: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bCs/>
          <w:color w:val="auto"/>
          <w:sz w:val="21"/>
          <w:szCs w:val="21"/>
          <w:highlight w:val="none"/>
        </w:rPr>
        <w:t>蔬菜瓜果供应货品质量要求</w:t>
      </w:r>
    </w:p>
    <w:p w14:paraId="58CF8B72">
      <w:pPr>
        <w:keepNext w:val="0"/>
        <w:keepLines w:val="0"/>
        <w:pageBreakBefore w:val="0"/>
        <w:widowControl w:val="0"/>
        <w:numPr>
          <w:ilvl w:val="0"/>
          <w:numId w:val="0"/>
        </w:numPr>
        <w:shd w:val="clear"/>
        <w:kinsoku/>
        <w:wordWrap/>
        <w:overflowPunct/>
        <w:topLinePunct w:val="0"/>
        <w:autoSpaceDE/>
        <w:autoSpaceDN/>
        <w:bidi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提供的蔬菜须确保鲜嫩度，</w:t>
      </w:r>
      <w:r>
        <w:rPr>
          <w:rFonts w:hint="eastAsia" w:ascii="宋体" w:hAnsi="宋体" w:eastAsia="宋体" w:cs="宋体"/>
          <w:b w:val="0"/>
          <w:bCs w:val="0"/>
          <w:color w:val="auto"/>
          <w:sz w:val="21"/>
          <w:szCs w:val="21"/>
          <w:highlight w:val="none"/>
        </w:rPr>
        <w:t>符合国家食品安全标准，</w:t>
      </w:r>
      <w:r>
        <w:rPr>
          <w:rFonts w:hint="eastAsia" w:ascii="宋体" w:hAnsi="宋体" w:eastAsia="宋体" w:cs="宋体"/>
          <w:color w:val="auto"/>
          <w:sz w:val="21"/>
          <w:szCs w:val="21"/>
          <w:highlight w:val="none"/>
        </w:rPr>
        <w:t>不得有黄叶、斑点、腐烂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泥沙</w:t>
      </w:r>
      <w:r>
        <w:rPr>
          <w:rFonts w:hint="eastAsia" w:ascii="宋体" w:hAnsi="宋体" w:eastAsia="宋体" w:cs="宋体"/>
          <w:color w:val="auto"/>
          <w:sz w:val="21"/>
          <w:szCs w:val="21"/>
          <w:highlight w:val="none"/>
        </w:rPr>
        <w:t>或有异常味道，利用率不得低于95%，且不含有残留农药或污染物，并出具有效的《农产品检验报告》</w:t>
      </w:r>
      <w:r>
        <w:rPr>
          <w:rFonts w:hint="eastAsia" w:ascii="宋体" w:hAnsi="宋体" w:eastAsia="宋体" w:cs="宋体"/>
          <w:b/>
          <w:bCs/>
          <w:color w:val="auto"/>
          <w:sz w:val="21"/>
          <w:szCs w:val="21"/>
          <w:highlight w:val="none"/>
        </w:rPr>
        <w:t>蔬菜需提供农残检测报告</w:t>
      </w:r>
      <w:r>
        <w:rPr>
          <w:rFonts w:hint="eastAsia" w:ascii="宋体" w:hAnsi="宋体" w:eastAsia="宋体" w:cs="宋体"/>
          <w:color w:val="auto"/>
          <w:sz w:val="21"/>
          <w:szCs w:val="21"/>
          <w:highlight w:val="none"/>
        </w:rPr>
        <w:t>。卫生质量指标，应符合我国无公害蔬菜上的卫生指标规定。</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对所配送蔬菜进行二次农残检测，如含量超标</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有权要求</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无条件退货或换货，同时做好相关记录。</w:t>
      </w:r>
    </w:p>
    <w:p w14:paraId="658C1428">
      <w:pPr>
        <w:pStyle w:val="6"/>
        <w:keepNext w:val="0"/>
        <w:keepLines w:val="0"/>
        <w:pageBreakBefore w:val="0"/>
        <w:shd w:val="clear"/>
        <w:kinsoku/>
        <w:wordWrap/>
        <w:overflowPunct/>
        <w:topLinePunct w:val="0"/>
        <w:autoSpaceDE/>
        <w:autoSpaceDN/>
        <w:bidi w:val="0"/>
        <w:spacing w:line="360" w:lineRule="auto"/>
        <w:ind w:left="0" w:left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sz w:val="21"/>
          <w:szCs w:val="21"/>
          <w:highlight w:val="none"/>
        </w:rPr>
        <w:t>水果须保证新鲜，做到种类多、营养搭配，符合中小学膳食服务要求。</w:t>
      </w:r>
    </w:p>
    <w:p w14:paraId="0DF2B350">
      <w:pPr>
        <w:keepNext w:val="0"/>
        <w:keepLines w:val="0"/>
        <w:pageBreakBefore w:val="0"/>
        <w:widowControl w:val="0"/>
        <w:shd w:val="clear"/>
        <w:kinsoku/>
        <w:wordWrap/>
        <w:overflowPunct/>
        <w:topLinePunct w:val="0"/>
        <w:autoSpaceDE/>
        <w:autoSpaceDN/>
        <w:bidi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SA"/>
        </w:rPr>
        <w:t>（3）</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需设自检测室或有固定的送检机构，每天所供蔬菜类都要提供农药残留的检测报告，并交</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存档备查。</w:t>
      </w:r>
    </w:p>
    <w:p w14:paraId="7E8D39D3">
      <w:pPr>
        <w:keepNext w:val="0"/>
        <w:keepLines w:val="0"/>
        <w:pageBreakBefore w:val="0"/>
        <w:widowControl w:val="0"/>
        <w:shd w:val="clear"/>
        <w:kinsoku/>
        <w:wordWrap/>
        <w:overflowPunct/>
        <w:topLinePunct w:val="0"/>
        <w:autoSpaceDE/>
        <w:autoSpaceDN/>
        <w:bidi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验收时未发现问题，而在加工食用前发现部分货品存在质量问题的，</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立即通知</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将问题货品进行退换货处理。如</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所供应货品出现质量问题造成食品安全事故，</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应承担全部责任和经济损失。</w:t>
      </w:r>
    </w:p>
    <w:p w14:paraId="626691A8">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bidi="ar-SA"/>
        </w:rPr>
        <w:t>2.</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蛋类供应货品质量要求</w:t>
      </w:r>
    </w:p>
    <w:p w14:paraId="686AFCA9">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新鲜、蛋黄完整、非人造</w:t>
      </w:r>
      <w:r>
        <w:rPr>
          <w:rFonts w:hint="eastAsia" w:ascii="宋体" w:hAnsi="宋体" w:eastAsia="宋体" w:cs="宋体"/>
          <w:color w:val="auto"/>
          <w:sz w:val="21"/>
          <w:szCs w:val="21"/>
          <w:highlight w:val="none"/>
          <w:lang w:val="en-US" w:eastAsia="zh-CN"/>
        </w:rPr>
        <w:t>蛋</w:t>
      </w:r>
      <w:r>
        <w:rPr>
          <w:rFonts w:hint="eastAsia" w:ascii="宋体" w:hAnsi="宋体" w:eastAsia="宋体" w:cs="宋体"/>
          <w:color w:val="auto"/>
          <w:sz w:val="21"/>
          <w:szCs w:val="21"/>
          <w:highlight w:val="none"/>
        </w:rPr>
        <w:t>。</w:t>
      </w:r>
    </w:p>
    <w:p w14:paraId="1F380389">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（2）应符合《食品安全国家标准 蛋与蛋制品》（GB 2749-2015）。灯光诱视时，整个蛋呈微红色；去壳后蛋黄呈橘黄色至橙色，蛋白澄清、透明，无其他异常颜色。气味：蛋液具有固有的蛋腥味，无异味。状态：蛋壳清洁完整，无裂纹，无霜斑，灯光诱视时蛋内无黑点及异物。去壳后蛋黄凸起完整并带有韧性，蛋白稀稠分明，无正常视力可见外来异物。</w:t>
      </w:r>
    </w:p>
    <w:p w14:paraId="544D866F">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bidi="ar-SA"/>
        </w:rPr>
        <w:t>2.</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调料</w:t>
      </w:r>
      <w:r>
        <w:rPr>
          <w:rFonts w:hint="eastAsia" w:ascii="宋体" w:hAnsi="宋体" w:eastAsia="宋体" w:cs="宋体"/>
          <w:b/>
          <w:bCs/>
          <w:color w:val="auto"/>
          <w:sz w:val="21"/>
          <w:szCs w:val="21"/>
          <w:highlight w:val="none"/>
          <w:lang w:val="en-US" w:eastAsia="zh-CN"/>
        </w:rPr>
        <w:t>及</w:t>
      </w:r>
      <w:r>
        <w:rPr>
          <w:rFonts w:hint="eastAsia" w:ascii="宋体" w:hAnsi="宋体" w:eastAsia="宋体" w:cs="宋体"/>
          <w:b/>
          <w:bCs/>
          <w:color w:val="auto"/>
          <w:sz w:val="21"/>
          <w:szCs w:val="21"/>
          <w:highlight w:val="none"/>
        </w:rPr>
        <w:t>干货类</w:t>
      </w:r>
    </w:p>
    <w:p w14:paraId="61B1A948">
      <w:pPr>
        <w:keepNext w:val="0"/>
        <w:keepLines w:val="0"/>
        <w:pageBreakBefore w:val="0"/>
        <w:widowControl w:val="0"/>
        <w:shd w:val="clear"/>
        <w:kinsoku/>
        <w:wordWrap/>
        <w:overflowPunct/>
        <w:topLinePunct w:val="0"/>
        <w:autoSpaceDE/>
        <w:autoSpaceDN/>
        <w:bidi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干货制品的质量基本标准要求符合国家相关行业标准，干爽，不霉烂、整齐、均匀、完整，无虫蛀、无杂质，保持应有的色泽。确保产品质量稳定，保证营养丰富、绿色安全、海味浓郁、易存放、食用方便，保质期长。从加工、包装、运输、贮存到销售全部符合国家规定标准。尤其是二氧化硫残留量、总砷含量不超过国家卫生标准；木耳类的水分含量不能超过国家标准要求，招标人可根据实际情况对需要的干货制品进行品质抽检，对质量未达到国家标准的干货制品甲方有权拒绝接受。</w:t>
      </w:r>
    </w:p>
    <w:p w14:paraId="11742742">
      <w:pPr>
        <w:keepNext w:val="0"/>
        <w:keepLines w:val="0"/>
        <w:pageBreakBefore w:val="0"/>
        <w:widowControl w:val="0"/>
        <w:shd w:val="clear"/>
        <w:kinsoku/>
        <w:wordWrap/>
        <w:overflowPunct/>
        <w:topLinePunct w:val="0"/>
        <w:autoSpaceDE/>
        <w:autoSpaceDN/>
        <w:bidi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确保食材无毒、无害、无污染、无辐射，符合国家、行业及地方的食品卫生及安全标准，外包装完好，具有“SC”标识，标明品名、厂名、重量、生产日期、保质期或保存期、执行标准，具有产品合格证。</w:t>
      </w:r>
    </w:p>
    <w:p w14:paraId="21F2E858">
      <w:pPr>
        <w:keepNext w:val="0"/>
        <w:keepLines w:val="0"/>
        <w:pageBreakBefore w:val="0"/>
        <w:widowControl w:val="0"/>
        <w:shd w:val="clear"/>
        <w:kinsoku/>
        <w:wordWrap/>
        <w:overflowPunct/>
        <w:topLinePunct w:val="0"/>
        <w:autoSpaceDE/>
        <w:autoSpaceDN/>
        <w:bidi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确保包装的食材外包装完整，包装材料清洁、卫生，符合国家食品卫生标准的规定；在有效质保期内，供货时的剩余质保期不得少于标注有效期的三分之二。</w:t>
      </w:r>
    </w:p>
    <w:p w14:paraId="0C3C2F40">
      <w:pPr>
        <w:keepNext w:val="0"/>
        <w:keepLines w:val="0"/>
        <w:pageBreakBefore w:val="0"/>
        <w:widowControl w:val="0"/>
        <w:shd w:val="clear"/>
        <w:kinsoku/>
        <w:wordWrap/>
        <w:overflowPunct/>
        <w:topLinePunct w:val="0"/>
        <w:autoSpaceDE/>
        <w:autoSpaceDN/>
        <w:bidi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食材不得含硫酸铝钾、硫酸铝铵等，不得使用或掺入对人体有害的添加剂。</w:t>
      </w:r>
    </w:p>
    <w:p w14:paraId="502C7315">
      <w:pPr>
        <w:keepNext w:val="0"/>
        <w:keepLines w:val="0"/>
        <w:pageBreakBefore w:val="0"/>
        <w:widowControl w:val="0"/>
        <w:shd w:val="clear"/>
        <w:kinsoku/>
        <w:wordWrap/>
        <w:overflowPunct/>
        <w:topLinePunct w:val="0"/>
        <w:autoSpaceDE/>
        <w:autoSpaceDN/>
        <w:bidi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所供干货类商品应保持较好的外观，达到相应的等级，必须是在保质期内，无变质。</w:t>
      </w:r>
    </w:p>
    <w:p w14:paraId="36492C92">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color w:val="auto"/>
          <w:sz w:val="21"/>
          <w:szCs w:val="21"/>
          <w:highlight w:val="none"/>
          <w:lang w:eastAsia="zh-CN"/>
        </w:rPr>
        <w:t>调味品</w:t>
      </w:r>
    </w:p>
    <w:p w14:paraId="551D8FAE">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1)调味品的指标。</w:t>
      </w:r>
    </w:p>
    <w:p w14:paraId="36AA9DCC">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不得含有人工合成着色剂，酱油、食醋应为酿造酱油和酿造食醋，不得供应配制酱油或食醋，其中酱油氨基酸态氮含量不得低于 0.7g/100mL。</w:t>
      </w:r>
    </w:p>
    <w:p w14:paraId="3A178530">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2)酱油</w:t>
      </w:r>
    </w:p>
    <w:p w14:paraId="67F55F3D">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色泽红褐，光亮清透，无霉花、浮沫、沉淀物；香气浓郁，滋味鲜美醇厚，咸度适中，无酸、苦、涩等异味和霉味。摇动瓶子产生的泡沫细腻、持久，挂碗现象好。</w:t>
      </w:r>
    </w:p>
    <w:p w14:paraId="4490A975">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3)味精</w:t>
      </w:r>
    </w:p>
    <w:p w14:paraId="4BD45BB9">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无色至白色结晶或粉末，具有特殊的鲜味，无异味，无肉眼可见杂质。</w:t>
      </w:r>
    </w:p>
    <w:p w14:paraId="05074F8A">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4)食醋</w:t>
      </w:r>
    </w:p>
    <w:p w14:paraId="3E1472E7">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具有正常酿造食醋的色泽、气味和滋味，不涩，无不良气味与异味；不浑浊，无悬浮物或沉淀物，无霉花、浮沫，无醋鳗、醋虱。</w:t>
      </w:r>
    </w:p>
    <w:p w14:paraId="2300D644">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5)酒</w:t>
      </w:r>
    </w:p>
    <w:p w14:paraId="25DE959D">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无色、透明、无悬浮物和沉淀物。</w:t>
      </w:r>
    </w:p>
    <w:p w14:paraId="7093DE70">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6)生粉</w:t>
      </w:r>
    </w:p>
    <w:p w14:paraId="2461FE31">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色泽呈白色或微黄色，不发暗，无杂质的颜色，呈细粉末状，不含杂质，手指捻捏时无粗粒感，无虫子和结块，置于手中紧捏后放开不成团，具有生粉的正常气味，无其他异味。</w:t>
      </w:r>
    </w:p>
    <w:p w14:paraId="51B0D358">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7)食盐</w:t>
      </w:r>
    </w:p>
    <w:p w14:paraId="02FD8E4D">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必须是碘盐；结晶整齐一致，粗细均匀；洁白，呈透明或半透明，坚硬光滑，干燥、不结块，无反卤吸潮现象，无杂质；咸味正，无苦、涩等异味。</w:t>
      </w:r>
    </w:p>
    <w:p w14:paraId="222988D8">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)辛辣料</w:t>
      </w:r>
    </w:p>
    <w:p w14:paraId="3C09C77A">
      <w:pPr>
        <w:pStyle w:val="11"/>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辛辣料是采用植物果实和种子粉碎而配制成的天然植物香料，如五香粉、胡椒粉、花椒粉、咖喱粉、芥末粉等，辛辣料的主要原料有八角、花椒、胡椒、桂皮、小茴香、大茴香、辣椒、孜然等。辛辣料呈干燥状，具有该种香料植物所特有的色、香、味，没有不纯正的气味和味道，无发霉味或其他异味。</w:t>
      </w:r>
    </w:p>
    <w:p w14:paraId="3B1E5138">
      <w:pPr>
        <w:keepNext w:val="0"/>
        <w:keepLines w:val="0"/>
        <w:pageBreakBefore w:val="0"/>
        <w:widowControl w:val="0"/>
        <w:numPr>
          <w:ilvl w:val="0"/>
          <w:numId w:val="0"/>
        </w:numPr>
        <w:shd w:val="clear"/>
        <w:kinsoku/>
        <w:wordWrap/>
        <w:overflowPunct/>
        <w:topLinePunct w:val="0"/>
        <w:autoSpaceDE/>
        <w:autoSpaceDN/>
        <w:bidi w:val="0"/>
        <w:spacing w:after="0" w:line="360" w:lineRule="auto"/>
        <w:ind w:left="0" w:leftChars="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bidi="ar-SA"/>
        </w:rPr>
        <w:t>2.</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副食品供应货品质量要求</w:t>
      </w:r>
    </w:p>
    <w:p w14:paraId="0537E414">
      <w:pPr>
        <w:pStyle w:val="8"/>
        <w:keepNext w:val="0"/>
        <w:keepLines w:val="0"/>
        <w:pageBreakBefore w:val="0"/>
        <w:shd w:val="clear"/>
        <w:kinsoku/>
        <w:wordWrap/>
        <w:overflowPunct/>
        <w:topLinePunct w:val="0"/>
        <w:autoSpaceDE/>
        <w:autoSpaceDN/>
        <w:bidi w:val="0"/>
        <w:spacing w:before="0" w:line="360" w:lineRule="auto"/>
        <w:ind w:left="0" w:leftChars="0"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副食品包括但不限于食糖、糖果、罐头、乳制品、蜜制品、豆制品、饮料、饼干、包点、糕点、小食品以及果品等。</w:t>
      </w:r>
    </w:p>
    <w:p w14:paraId="399C3332">
      <w:pPr>
        <w:keepNext w:val="0"/>
        <w:keepLines w:val="0"/>
        <w:pageBreakBefore w:val="0"/>
        <w:widowControl w:val="0"/>
        <w:numPr>
          <w:ilvl w:val="0"/>
          <w:numId w:val="0"/>
        </w:numPr>
        <w:shd w:val="clear"/>
        <w:kinsoku/>
        <w:wordWrap/>
        <w:overflowPunct/>
        <w:topLinePunct w:val="0"/>
        <w:autoSpaceDE/>
        <w:autoSpaceDN/>
        <w:bidi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副食品须选用符合国家食品卫生法规相关标准的商品，选用无毒、无害、无污染、可朔源的食品。掺假、掺杂食品坚决不能使用。副食品表面外观新鲜、完整，无霉变异味，无砂粒杂质，无虫尸鼠粪等不洁卫生问题。奶制品色泽乳白，口味鲜香，包装完整，无破损，符合国家规定的质量卫生标准。</w:t>
      </w:r>
    </w:p>
    <w:p w14:paraId="1112C3E9">
      <w:pPr>
        <w:keepNext w:val="0"/>
        <w:keepLines w:val="0"/>
        <w:pageBreakBefore w:val="0"/>
        <w:widowControl w:val="0"/>
        <w:numPr>
          <w:ilvl w:val="0"/>
          <w:numId w:val="0"/>
        </w:numPr>
        <w:shd w:val="clear"/>
        <w:kinsoku/>
        <w:wordWrap/>
        <w:overflowPunct/>
        <w:topLinePunct w:val="0"/>
        <w:autoSpaceDE/>
        <w:autoSpaceDN/>
        <w:bidi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副食品外包装清晰标注生产厂家名称、厂址、厂家电话号码、出厂日期、保质期限、产品成份等，并符合国家食品卫生标准，坚决杜绝假冒、变质、过期的产品（从收货之日起计算剩余保质期不得低于标注保质期的50%），供货时并提供QS认证、及产品相关的检验合格证书。</w:t>
      </w:r>
    </w:p>
    <w:p w14:paraId="4367DB63">
      <w:pPr>
        <w:keepNext w:val="0"/>
        <w:keepLines w:val="0"/>
        <w:pageBreakBefore w:val="0"/>
        <w:widowControl w:val="0"/>
        <w:shd w:val="clear"/>
        <w:kinsoku/>
        <w:wordWrap/>
        <w:overflowPunct/>
        <w:topLinePunct w:val="0"/>
        <w:autoSpaceDE/>
        <w:autoSpaceDN/>
        <w:bidi w:val="0"/>
        <w:spacing w:after="0" w:line="360" w:lineRule="auto"/>
        <w:ind w:left="0" w:leftChars="0" w:firstLine="420" w:firstLineChars="20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(3)乙方提供的</w:t>
      </w:r>
      <w:r>
        <w:rPr>
          <w:rFonts w:hint="eastAsia" w:ascii="宋体" w:hAnsi="宋体" w:eastAsia="宋体" w:cs="宋体"/>
          <w:color w:val="auto"/>
          <w:sz w:val="21"/>
          <w:szCs w:val="21"/>
          <w:highlight w:val="none"/>
        </w:rPr>
        <w:t>豆制品须确保色泽均匀，呈块状、硬度适中、富有弹性、持水性好、无霉点。有主料应有的香气，无异味，无肉眼可见外来异物。</w:t>
      </w:r>
    </w:p>
    <w:p w14:paraId="796426B5">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豆制品来源于政府许可的正规厂商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有相应的合格证明</w:t>
      </w:r>
      <w:r>
        <w:rPr>
          <w:rFonts w:hint="eastAsia" w:ascii="宋体" w:hAnsi="宋体" w:eastAsia="宋体" w:cs="宋体"/>
          <w:b w:val="0"/>
          <w:bCs w:val="0"/>
          <w:color w:val="auto"/>
          <w:sz w:val="21"/>
          <w:szCs w:val="21"/>
          <w:highlight w:val="none"/>
        </w:rPr>
        <w:t>。</w:t>
      </w:r>
    </w:p>
    <w:p w14:paraId="5EE5213D">
      <w:pPr>
        <w:keepNext w:val="0"/>
        <w:keepLines w:val="0"/>
        <w:pageBreakBefore w:val="0"/>
        <w:widowControl w:val="0"/>
        <w:numPr>
          <w:ilvl w:val="0"/>
          <w:numId w:val="0"/>
        </w:numPr>
        <w:shd w:val="clear"/>
        <w:kinsoku/>
        <w:wordWrap/>
        <w:overflowPunct/>
        <w:topLinePunct w:val="0"/>
        <w:autoSpaceDE/>
        <w:autoSpaceDN/>
        <w:bidi w:val="0"/>
        <w:spacing w:after="0" w:line="360" w:lineRule="auto"/>
        <w:ind w:left="0" w:leftChars="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bidi="ar-SA"/>
        </w:rPr>
        <w:t>2.</w:t>
      </w: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粮油类配送采购要求</w:t>
      </w:r>
    </w:p>
    <w:p w14:paraId="1A98B444">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（1）供应产品的质量要求： </w:t>
      </w:r>
    </w:p>
    <w:p w14:paraId="4E67B2CC">
      <w:pPr>
        <w:keepNext w:val="0"/>
        <w:keepLines w:val="0"/>
        <w:pageBreakBefore w:val="0"/>
        <w:widowControl w:val="0"/>
        <w:shd w:val="clear"/>
        <w:kinsoku/>
        <w:wordWrap/>
        <w:overflowPunct/>
        <w:topLinePunct w:val="0"/>
        <w:autoSpaceDE/>
        <w:autoSpaceDN/>
        <w:bidi w:val="0"/>
        <w:spacing w:after="0" w:line="360" w:lineRule="auto"/>
        <w:ind w:left="0" w:leftChars="0" w:firstLine="315" w:firstLineChars="15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①米、油货物必须符合卫生，不得有腐烂、变质、油脂酸败、霉变、生虫、污秽不结、混有异物或者其他感官性状异常，并可能对人体健康有害的物质。</w:t>
      </w:r>
    </w:p>
    <w:p w14:paraId="246C8674">
      <w:pPr>
        <w:keepNext w:val="0"/>
        <w:keepLines w:val="0"/>
        <w:pageBreakBefore w:val="0"/>
        <w:widowControl w:val="0"/>
        <w:shd w:val="clear"/>
        <w:kinsoku/>
        <w:wordWrap/>
        <w:overflowPunct/>
        <w:topLinePunct w:val="0"/>
        <w:autoSpaceDE/>
        <w:autoSpaceDN/>
        <w:bidi w:val="0"/>
        <w:spacing w:after="0" w:line="360" w:lineRule="auto"/>
        <w:ind w:left="0" w:leftChars="0" w:firstLine="315" w:firstLineChars="15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米、油要提供QS认证、国家机关发出的产品检验合格证书。包装食品：包装箱完整，同时包装箱要印有注册商标、生产厂家名称、厂址、出厂日期、产品合格证、保质期限、产品成份、厂家电话号码。散装豆类：提供生产厂家营业执照、卫生许可证、国家机关发出的产品检验合格证书。</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所提供产品质量必须要符合行业标准要求，不得有掺假、变质、变味、过期等现象出现，严禁伪劣、假冒、无证不合格物品进入仓库。</w:t>
      </w:r>
    </w:p>
    <w:p w14:paraId="317ABB94">
      <w:pPr>
        <w:keepNext w:val="0"/>
        <w:keepLines w:val="0"/>
        <w:pageBreakBefore w:val="0"/>
        <w:widowControl w:val="0"/>
        <w:shd w:val="clear"/>
        <w:kinsoku/>
        <w:wordWrap/>
        <w:overflowPunct/>
        <w:topLinePunct w:val="0"/>
        <w:autoSpaceDE/>
        <w:autoSpaceDN/>
        <w:bidi w:val="0"/>
        <w:spacing w:after="0" w:line="360" w:lineRule="auto"/>
        <w:ind w:left="0" w:leftChars="0" w:firstLine="315" w:firstLineChars="15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在供应过程中，如果发生出现质量问题或造成食物中毒,如变质等情况，经查实后确属</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责任，</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应承担全部责任，主要包括食物中毒人员医疗费、误工费、事故处理费等，直至追究刑事责任。</w:t>
      </w:r>
    </w:p>
    <w:p w14:paraId="15A4D371">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（2）执行标准：</w:t>
      </w:r>
    </w:p>
    <w:p w14:paraId="4BCE427A">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①米类执行标准：GB/T 1354-2018　 标准一等米 不含添加剂</w:t>
      </w:r>
    </w:p>
    <w:p w14:paraId="0E222EB5">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②大米的质量标准：除符合标准一等米外，要求：</w:t>
      </w:r>
    </w:p>
    <w:p w14:paraId="1ABF0DB9">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碎米总量≤17% （国家标准：≤35%） </w:t>
      </w:r>
    </w:p>
    <w:p w14:paraId="284E551B">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小碎米总量≤2%（国家标准：≤2.5%） </w:t>
      </w:r>
    </w:p>
    <w:p w14:paraId="22B984C7">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不完善粒≤3.5%（国家标准：≤4.0%） </w:t>
      </w:r>
    </w:p>
    <w:p w14:paraId="3DF37C17">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黄米粒按国家标准执行 。</w:t>
      </w:r>
    </w:p>
    <w:p w14:paraId="0358F8E2">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③油类执行标准：SB/T</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10292-1998</w:t>
      </w:r>
    </w:p>
    <w:p w14:paraId="1344BF9C">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④油类质量要求：</w:t>
      </w:r>
    </w:p>
    <w:p w14:paraId="2EA43782">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个食用油品种必须色泽好，透明度高，无浑浊，无沉淀和悬浮物，粘度小，无分层现象，气味正常，无酸臭异味。严格执行国家相关质量标准及卫生安全标准，色泽、气味、霉变、真菌毒素、重金属污染物、农药等严格控制在国家标准范围内（原粮及成品粮色泽、气味必须正常。  霉变粒不得超过2％。 真菌毒素：黄曲霉毒素B1 （5μg/kg～20μg/kg）、脱氧雪腐镰刀菌烯醇（≤1000μg/kg）、玉米赤霉烯酮（≤60μg/kg）、赭曲霉毒素A（5μg/kg）。重金属污染物：铅（≤0.2mg/kg）、镉(0.1 mg/kg～0.2 mg/kg)、汞（0.02 mg/kg）、无机砷（0.1 mg/kg～0.2 mg/kg）。 农药：对磷化物、马拉硫磷等140余种农药规定了最大残留限量）。并根据用户需求的食用油等级保质保量完成供货。要求提供的食用油生产厂家信誉良好，有明确的商品标签，有生产日期、保质期、质量等级，并标明初制油的工艺(即用浸出法生产，还是用压榨法生产的)和是否用转基因油料生产，不许以次充好、以假充真。如将毛油当一级或二级油进行销售，将低价位的植物油掺入高价位植物油中进行销售，牟取暴利，一经查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将承担全部责任。</w:t>
      </w:r>
    </w:p>
    <w:p w14:paraId="25F3401E">
      <w:pPr>
        <w:pStyle w:val="6"/>
        <w:keepNext w:val="0"/>
        <w:keepLines w:val="0"/>
        <w:pageBreakBefore w:val="0"/>
        <w:numPr>
          <w:ilvl w:val="0"/>
          <w:numId w:val="0"/>
        </w:numPr>
        <w:shd w:val="clear"/>
        <w:kinsoku/>
        <w:wordWrap/>
        <w:overflowPunct/>
        <w:topLinePunct w:val="0"/>
        <w:autoSpaceDE/>
        <w:autoSpaceDN/>
        <w:bidi w:val="0"/>
        <w:spacing w:line="360" w:lineRule="auto"/>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★食用油不能使用含有转基因食品，调和油、棕榈油等含量不能超过总含量的 30%。</w:t>
      </w:r>
    </w:p>
    <w:p w14:paraId="4B8433FD">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乙方</w:t>
      </w:r>
      <w:r>
        <w:rPr>
          <w:rFonts w:hint="eastAsia" w:ascii="宋体" w:hAnsi="宋体" w:eastAsia="宋体" w:cs="宋体"/>
          <w:b/>
          <w:bCs/>
          <w:color w:val="auto"/>
          <w:sz w:val="21"/>
          <w:szCs w:val="21"/>
          <w:highlight w:val="none"/>
        </w:rPr>
        <w:t>须保证提供的食材及其它副食等所有用于本项目的材料不使用转基因食</w:t>
      </w:r>
    </w:p>
    <w:p w14:paraId="4962CB1B">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材或由转基因原料制作的产品。</w:t>
      </w:r>
    </w:p>
    <w:p w14:paraId="21E5E8BD">
      <w:pPr>
        <w:keepNext w:val="0"/>
        <w:keepLines w:val="0"/>
        <w:pageBreakBefore w:val="0"/>
        <w:widowControl w:val="0"/>
        <w:numPr>
          <w:ilvl w:val="0"/>
          <w:numId w:val="0"/>
        </w:numPr>
        <w:shd w:val="clear"/>
        <w:kinsoku/>
        <w:wordWrap/>
        <w:overflowPunct/>
        <w:topLinePunct w:val="0"/>
        <w:autoSpaceDE/>
        <w:autoSpaceDN/>
        <w:bidi w:val="0"/>
        <w:spacing w:after="0" w:line="360" w:lineRule="auto"/>
        <w:ind w:left="0" w:leftChars="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bidi="ar-SA"/>
        </w:rPr>
        <w:t>2.</w:t>
      </w:r>
      <w:r>
        <w:rPr>
          <w:rFonts w:hint="eastAsia" w:ascii="宋体" w:hAnsi="宋体" w:eastAsia="宋体" w:cs="宋体"/>
          <w:b/>
          <w:bCs/>
          <w:color w:val="auto"/>
          <w:sz w:val="21"/>
          <w:szCs w:val="21"/>
          <w:highlight w:val="none"/>
          <w:lang w:val="en-US" w:eastAsia="zh-CN"/>
        </w:rPr>
        <w:t>6粉面类</w:t>
      </w:r>
    </w:p>
    <w:p w14:paraId="67207415">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外包装完好，具有SC标志，标明商品名称、净含量、生产商、产地、产品标准号、质量等级、生产许可证号、产品批号、生产日期、保质期，所有商品须具有《产品质量检验报告》和《出厂检验报告》。</w:t>
      </w:r>
    </w:p>
    <w:p w14:paraId="5A2BEE66">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须新鲜、色泽呈现乳白或微黄色、手感细腻、颗粒均匀、有自然浓郁的麦香味、手抓后自然流出、松开手后不成团，用它制成的成品如馒头有麦香味、香甜入口不粘牙。</w:t>
      </w:r>
    </w:p>
    <w:p w14:paraId="6D362271">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面条、面饼、方便面等面制成品符合食品安全国家标准。</w:t>
      </w:r>
    </w:p>
    <w:p w14:paraId="6C486528">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（面类、粉类）质量标准及常规检验：</w:t>
      </w:r>
    </w:p>
    <w:p w14:paraId="0FDA4F84">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外观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片形大致均匀，平直，松散，无结疤，无并条，无酥脆及霉变现象的米粉为上品；否则为劣质品</w:t>
      </w:r>
      <w:r>
        <w:rPr>
          <w:rFonts w:hint="eastAsia" w:ascii="宋体" w:hAnsi="宋体" w:eastAsia="宋体" w:cs="宋体"/>
          <w:color w:val="auto"/>
          <w:sz w:val="21"/>
          <w:szCs w:val="21"/>
          <w:highlight w:val="none"/>
          <w:lang w:eastAsia="zh-CN"/>
        </w:rPr>
        <w:t>。</w:t>
      </w:r>
    </w:p>
    <w:p w14:paraId="6543B573">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色泽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色泽光洁、有透明感、无斑点的米粉为上品；否则为劣质品</w:t>
      </w:r>
      <w:r>
        <w:rPr>
          <w:rFonts w:hint="eastAsia" w:ascii="宋体" w:hAnsi="宋体" w:eastAsia="宋体" w:cs="宋体"/>
          <w:color w:val="auto"/>
          <w:sz w:val="21"/>
          <w:szCs w:val="21"/>
          <w:highlight w:val="none"/>
          <w:lang w:eastAsia="zh-CN"/>
        </w:rPr>
        <w:t>。</w:t>
      </w:r>
    </w:p>
    <w:p w14:paraId="6412B269">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嗅昧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无霉味、无酸味及异味的米粉为上品；否则为变质米粉</w:t>
      </w:r>
      <w:r>
        <w:rPr>
          <w:rFonts w:hint="eastAsia" w:ascii="宋体" w:hAnsi="宋体" w:eastAsia="宋体" w:cs="宋体"/>
          <w:color w:val="auto"/>
          <w:sz w:val="21"/>
          <w:szCs w:val="21"/>
          <w:highlight w:val="none"/>
          <w:lang w:eastAsia="zh-CN"/>
        </w:rPr>
        <w:t>。</w:t>
      </w:r>
    </w:p>
    <w:p w14:paraId="2E815B11">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烹调性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煮熟后有韧性，不粘条，不糊汤，无严重断条、无杂质的米粉为上品；否则为劣质品</w:t>
      </w:r>
      <w:r>
        <w:rPr>
          <w:rFonts w:hint="eastAsia" w:ascii="宋体" w:hAnsi="宋体" w:eastAsia="宋体" w:cs="宋体"/>
          <w:color w:val="auto"/>
          <w:sz w:val="21"/>
          <w:szCs w:val="21"/>
          <w:highlight w:val="none"/>
          <w:lang w:eastAsia="zh-CN"/>
        </w:rPr>
        <w:t>。</w:t>
      </w:r>
    </w:p>
    <w:p w14:paraId="402494AC">
      <w:pPr>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包装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产品的包装可根据销售的要求，采用食品塑料袋密封或其他包装形式，也可以散装。包装的米粉、河粉应标明厂名、品名、重(质)量、生产日期、检验员代号及出厂合格证等</w:t>
      </w:r>
      <w:r>
        <w:rPr>
          <w:rFonts w:hint="eastAsia" w:ascii="宋体" w:hAnsi="宋体" w:eastAsia="宋体" w:cs="宋体"/>
          <w:color w:val="auto"/>
          <w:sz w:val="21"/>
          <w:szCs w:val="21"/>
          <w:highlight w:val="none"/>
          <w:lang w:eastAsia="zh-CN"/>
        </w:rPr>
        <w:t>。</w:t>
      </w:r>
    </w:p>
    <w:p w14:paraId="70E2D900">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第四条</w:t>
      </w:r>
      <w:r>
        <w:rPr>
          <w:rFonts w:hint="eastAsia" w:ascii="宋体" w:hAnsi="宋体" w:eastAsia="宋体" w:cs="宋体"/>
          <w:b/>
          <w:bCs/>
          <w:color w:val="auto"/>
          <w:sz w:val="21"/>
          <w:szCs w:val="21"/>
          <w:highlight w:val="none"/>
          <w:lang w:val="en-US"/>
        </w:rPr>
        <w:t xml:space="preserve"> </w:t>
      </w:r>
      <w:r>
        <w:rPr>
          <w:rFonts w:hint="eastAsia" w:ascii="宋体" w:hAnsi="宋体" w:eastAsia="宋体" w:cs="宋体"/>
          <w:b/>
          <w:bCs/>
          <w:color w:val="auto"/>
          <w:sz w:val="21"/>
          <w:szCs w:val="21"/>
          <w:highlight w:val="none"/>
        </w:rPr>
        <w:t>价格</w:t>
      </w:r>
    </w:p>
    <w:p w14:paraId="73153571">
      <w:pPr>
        <w:pStyle w:val="68"/>
        <w:keepNext w:val="0"/>
        <w:keepLines w:val="0"/>
        <w:pageBreakBefore w:val="0"/>
        <w:widowControl/>
        <w:shd w:val="clear" w:color="auto"/>
        <w:kinsoku/>
        <w:wordWrap/>
        <w:overflowPunct/>
        <w:topLinePunct w:val="0"/>
        <w:autoSpaceDE/>
        <w:autoSpaceDN/>
        <w:bidi w:val="0"/>
        <w:adjustRightInd w:val="0"/>
        <w:snapToGrid w:val="0"/>
        <w:spacing w:line="360" w:lineRule="auto"/>
        <w:ind w:left="0" w:right="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olor w:val="auto"/>
          <w:sz w:val="21"/>
          <w:szCs w:val="21"/>
          <w:highlight w:val="none"/>
          <w:lang w:val="zh-CN"/>
        </w:rPr>
        <w:t>1.</w:t>
      </w:r>
      <w:r>
        <w:rPr>
          <w:rFonts w:hint="eastAsia" w:ascii="宋体" w:hAnsi="宋体"/>
          <w:color w:val="auto"/>
          <w:sz w:val="21"/>
          <w:szCs w:val="21"/>
          <w:highlight w:val="none"/>
          <w:lang w:val="zh-CN" w:eastAsia="zh-CN"/>
        </w:rPr>
        <w:t>本合同中标下浮率</w:t>
      </w:r>
      <w:r>
        <w:rPr>
          <w:rFonts w:hint="eastAsia" w:ascii="宋体" w:hAnsi="宋体"/>
          <w:color w:val="auto"/>
          <w:sz w:val="21"/>
          <w:szCs w:val="21"/>
          <w:highlight w:val="none"/>
          <w:lang w:val="zh-CN"/>
        </w:rPr>
        <w:t>为</w:t>
      </w:r>
      <w:r>
        <w:rPr>
          <w:rFonts w:hint="eastAsia" w:ascii="宋体" w:hAnsi="宋体"/>
          <w:color w:val="auto"/>
          <w:sz w:val="21"/>
          <w:szCs w:val="21"/>
          <w:highlight w:val="none"/>
          <w:u w:val="single"/>
          <w:lang w:val="zh-CN"/>
        </w:rPr>
        <w:t xml:space="preserve">   </w:t>
      </w:r>
      <w:r>
        <w:rPr>
          <w:rFonts w:hint="eastAsia" w:ascii="宋体" w:hAnsi="宋体"/>
          <w:color w:val="auto"/>
          <w:sz w:val="21"/>
          <w:szCs w:val="21"/>
          <w:highlight w:val="none"/>
          <w:lang w:val="zh-CN"/>
        </w:rPr>
        <w:t>%（</w:t>
      </w:r>
      <w:r>
        <w:rPr>
          <w:rFonts w:hint="eastAsia"/>
          <w:color w:val="auto"/>
          <w:sz w:val="21"/>
          <w:szCs w:val="21"/>
          <w:highlight w:val="none"/>
          <w:lang w:val="en-US" w:eastAsia="zh-CN"/>
        </w:rPr>
        <w:t>下浮</w:t>
      </w:r>
      <w:r>
        <w:rPr>
          <w:rFonts w:hint="eastAsia" w:ascii="宋体" w:hAnsi="宋体"/>
          <w:color w:val="auto"/>
          <w:sz w:val="21"/>
          <w:szCs w:val="21"/>
          <w:highlight w:val="none"/>
          <w:lang w:val="zh-CN"/>
        </w:rPr>
        <w:t>率）。</w:t>
      </w:r>
      <w:r>
        <w:rPr>
          <w:rFonts w:hint="eastAsia"/>
          <w:color w:val="auto"/>
          <w:sz w:val="21"/>
          <w:szCs w:val="21"/>
          <w:highlight w:val="none"/>
          <w:lang w:val="en-US" w:eastAsia="zh-CN"/>
        </w:rPr>
        <w:t>价格</w:t>
      </w:r>
      <w:r>
        <w:rPr>
          <w:rFonts w:hint="eastAsia" w:ascii="宋体" w:hAnsi="宋体" w:eastAsia="宋体" w:cs="宋体"/>
          <w:color w:val="auto"/>
          <w:sz w:val="21"/>
          <w:szCs w:val="21"/>
          <w:highlight w:val="none"/>
        </w:rPr>
        <w:t>包含完成本次招标所有服务内容的费用，包括人工费、食材采购费、食材运输费、材料费、设备使用费、</w:t>
      </w:r>
      <w:r>
        <w:rPr>
          <w:rFonts w:hint="eastAsia" w:ascii="宋体" w:hAnsi="宋体" w:eastAsia="宋体" w:cs="宋体"/>
          <w:color w:val="auto"/>
          <w:sz w:val="21"/>
          <w:szCs w:val="21"/>
          <w:highlight w:val="none"/>
          <w:lang w:val="en-US" w:eastAsia="zh-CN"/>
        </w:rPr>
        <w:t>保险费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各种税务费、必须的辅助材料费及合同实施过程中不可预见费用等全部费用，</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不向</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另行支付任何费用。</w:t>
      </w:r>
    </w:p>
    <w:p w14:paraId="57988C31">
      <w:pPr>
        <w:pStyle w:val="68"/>
        <w:keepNext w:val="0"/>
        <w:keepLines w:val="0"/>
        <w:pageBreakBefore w:val="0"/>
        <w:widowControl/>
        <w:shd w:val="clear" w:color="auto"/>
        <w:kinsoku/>
        <w:wordWrap/>
        <w:overflowPunct/>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cs="宋体"/>
          <w:bCs/>
          <w:color w:val="auto"/>
          <w:sz w:val="21"/>
          <w:szCs w:val="21"/>
          <w:highlight w:val="none"/>
          <w:lang w:val="en-US" w:eastAsia="zh-CN"/>
        </w:rPr>
        <w:t>基准价</w:t>
      </w:r>
      <w:r>
        <w:rPr>
          <w:rFonts w:hint="eastAsia" w:cs="宋体"/>
          <w:bCs/>
          <w:color w:val="auto"/>
          <w:sz w:val="21"/>
          <w:szCs w:val="21"/>
          <w:highlight w:val="none"/>
          <w:lang w:val="en-US" w:eastAsia="zh-CN"/>
        </w:rPr>
        <w:t>的确定方式</w:t>
      </w:r>
      <w:r>
        <w:rPr>
          <w:rFonts w:hint="eastAsia" w:ascii="宋体" w:hAnsi="宋体" w:cs="宋体"/>
          <w:bCs/>
          <w:color w:val="auto"/>
          <w:sz w:val="21"/>
          <w:szCs w:val="21"/>
          <w:highlight w:val="none"/>
          <w:lang w:val="en-US" w:eastAsia="zh-CN"/>
        </w:rPr>
        <w:t>：</w:t>
      </w:r>
      <w:r>
        <w:rPr>
          <w:rFonts w:hint="eastAsia" w:cs="宋体"/>
          <w:bCs/>
          <w:color w:val="auto"/>
          <w:sz w:val="21"/>
          <w:szCs w:val="21"/>
          <w:highlight w:val="none"/>
          <w:lang w:val="en-US" w:eastAsia="zh-CN"/>
        </w:rPr>
        <w:t>双方</w:t>
      </w:r>
      <w:r>
        <w:rPr>
          <w:rFonts w:hint="eastAsia" w:ascii="宋体" w:hAnsi="宋体" w:eastAsia="宋体" w:cs="宋体"/>
          <w:bCs/>
          <w:color w:val="auto"/>
          <w:sz w:val="21"/>
          <w:szCs w:val="21"/>
          <w:highlight w:val="none"/>
          <w:shd w:val="clear" w:color="FFFFFF" w:fill="auto"/>
        </w:rPr>
        <w:t>按照</w:t>
      </w:r>
      <w:r>
        <w:rPr>
          <w:rFonts w:hint="eastAsia" w:cs="宋体"/>
          <w:color w:val="auto"/>
          <w:spacing w:val="-6"/>
          <w:sz w:val="21"/>
          <w:szCs w:val="21"/>
          <w:highlight w:val="none"/>
          <w:shd w:val="clear" w:color="FFFFFF" w:fill="auto"/>
          <w:lang w:val="en-US" w:eastAsia="zh-CN"/>
        </w:rPr>
        <w:t>定价更新时</w:t>
      </w:r>
      <w:r>
        <w:rPr>
          <w:rFonts w:hint="eastAsia" w:ascii="宋体" w:hAnsi="宋体" w:eastAsia="宋体" w:cs="宋体"/>
          <w:color w:val="auto"/>
          <w:spacing w:val="-6"/>
          <w:sz w:val="21"/>
          <w:szCs w:val="21"/>
          <w:highlight w:val="none"/>
          <w:shd w:val="clear" w:color="FFFFFF" w:fill="auto"/>
        </w:rPr>
        <w:t>东莞市发展和改革局公布最新一期的“东莞市菜篮子价格监测表”的价格</w:t>
      </w:r>
      <w:r>
        <w:rPr>
          <w:rFonts w:hint="eastAsia" w:cs="宋体"/>
          <w:color w:val="auto"/>
          <w:spacing w:val="-6"/>
          <w:sz w:val="21"/>
          <w:szCs w:val="21"/>
          <w:highlight w:val="none"/>
          <w:shd w:val="clear" w:color="FFFFFF" w:fill="auto"/>
          <w:lang w:val="en-US" w:eastAsia="zh-CN"/>
        </w:rPr>
        <w:t>作为基准价</w:t>
      </w:r>
      <w:r>
        <w:rPr>
          <w:rFonts w:hint="eastAsia" w:ascii="宋体" w:hAnsi="宋体" w:eastAsia="宋体" w:cs="宋体"/>
          <w:color w:val="auto"/>
          <w:spacing w:val="-6"/>
          <w:sz w:val="21"/>
          <w:szCs w:val="21"/>
          <w:highlight w:val="none"/>
        </w:rPr>
        <w:t>，若“</w:t>
      </w:r>
      <w:r>
        <w:rPr>
          <w:rFonts w:hint="eastAsia" w:cs="宋体"/>
          <w:color w:val="auto"/>
          <w:spacing w:val="-6"/>
          <w:sz w:val="21"/>
          <w:szCs w:val="21"/>
          <w:highlight w:val="none"/>
          <w:lang w:val="en-US" w:eastAsia="zh-CN"/>
        </w:rPr>
        <w:t>东莞市</w:t>
      </w:r>
      <w:r>
        <w:rPr>
          <w:rFonts w:hint="eastAsia" w:ascii="宋体" w:hAnsi="宋体" w:eastAsia="宋体" w:cs="宋体"/>
          <w:color w:val="auto"/>
          <w:spacing w:val="-6"/>
          <w:sz w:val="21"/>
          <w:szCs w:val="21"/>
          <w:highlight w:val="none"/>
        </w:rPr>
        <w:t>菜篮子价格监测表”无</w:t>
      </w:r>
      <w:r>
        <w:rPr>
          <w:rFonts w:hint="eastAsia" w:cs="宋体"/>
          <w:color w:val="auto"/>
          <w:spacing w:val="-6"/>
          <w:sz w:val="21"/>
          <w:szCs w:val="21"/>
          <w:highlight w:val="none"/>
          <w:lang w:eastAsia="zh-CN"/>
        </w:rPr>
        <w:t>甲方</w:t>
      </w:r>
      <w:r>
        <w:rPr>
          <w:rFonts w:hint="eastAsia" w:ascii="宋体" w:hAnsi="宋体" w:eastAsia="宋体" w:cs="宋体"/>
          <w:color w:val="auto"/>
          <w:spacing w:val="-6"/>
          <w:sz w:val="21"/>
          <w:szCs w:val="21"/>
          <w:highlight w:val="none"/>
        </w:rPr>
        <w:t>所需的货品，则</w:t>
      </w:r>
      <w:r>
        <w:rPr>
          <w:rFonts w:hint="eastAsia" w:cs="宋体"/>
          <w:color w:val="auto"/>
          <w:spacing w:val="-6"/>
          <w:sz w:val="21"/>
          <w:szCs w:val="21"/>
          <w:highlight w:val="none"/>
          <w:lang w:val="en-US" w:eastAsia="zh-CN"/>
        </w:rPr>
        <w:t>由</w:t>
      </w:r>
      <w:r>
        <w:rPr>
          <w:rFonts w:hint="eastAsia" w:cs="宋体"/>
          <w:color w:val="auto"/>
          <w:spacing w:val="-6"/>
          <w:sz w:val="21"/>
          <w:szCs w:val="21"/>
          <w:highlight w:val="none"/>
          <w:lang w:eastAsia="zh-CN"/>
        </w:rPr>
        <w:t>甲方</w:t>
      </w:r>
      <w:r>
        <w:rPr>
          <w:rFonts w:hint="eastAsia" w:ascii="宋体" w:hAnsi="宋体" w:eastAsia="宋体" w:cs="宋体"/>
          <w:color w:val="auto"/>
          <w:spacing w:val="-6"/>
          <w:sz w:val="21"/>
          <w:szCs w:val="21"/>
          <w:highlight w:val="none"/>
        </w:rPr>
        <w:t>和</w:t>
      </w:r>
      <w:r>
        <w:rPr>
          <w:rFonts w:hint="eastAsia" w:cs="宋体"/>
          <w:color w:val="auto"/>
          <w:spacing w:val="-6"/>
          <w:sz w:val="21"/>
          <w:szCs w:val="21"/>
          <w:highlight w:val="none"/>
          <w:lang w:eastAsia="zh-CN"/>
        </w:rPr>
        <w:t>乙方</w:t>
      </w:r>
      <w:r>
        <w:rPr>
          <w:rFonts w:hint="eastAsia" w:ascii="宋体" w:hAnsi="宋体" w:eastAsia="宋体" w:cs="宋体"/>
          <w:color w:val="auto"/>
          <w:spacing w:val="-6"/>
          <w:sz w:val="21"/>
          <w:szCs w:val="21"/>
          <w:highlight w:val="none"/>
        </w:rPr>
        <w:t>双方共同</w:t>
      </w:r>
      <w:r>
        <w:rPr>
          <w:rFonts w:hint="eastAsia" w:cs="宋体"/>
          <w:color w:val="auto"/>
          <w:spacing w:val="-6"/>
          <w:sz w:val="21"/>
          <w:szCs w:val="21"/>
          <w:highlight w:val="none"/>
          <w:lang w:val="en-US" w:eastAsia="zh-CN"/>
        </w:rPr>
        <w:t>对东莞市常平镇三个</w:t>
      </w:r>
      <w:r>
        <w:rPr>
          <w:rFonts w:hint="eastAsia" w:ascii="宋体" w:hAnsi="宋体" w:eastAsia="宋体" w:cs="宋体"/>
          <w:color w:val="auto"/>
          <w:spacing w:val="-6"/>
          <w:sz w:val="21"/>
          <w:szCs w:val="21"/>
          <w:highlight w:val="none"/>
        </w:rPr>
        <w:t>市场</w:t>
      </w:r>
      <w:r>
        <w:rPr>
          <w:rFonts w:hint="eastAsia" w:cs="宋体"/>
          <w:color w:val="auto"/>
          <w:spacing w:val="-6"/>
          <w:sz w:val="21"/>
          <w:szCs w:val="21"/>
          <w:highlight w:val="none"/>
          <w:lang w:eastAsia="zh-CN"/>
        </w:rPr>
        <w:t>（</w:t>
      </w:r>
      <w:r>
        <w:rPr>
          <w:rFonts w:hint="eastAsia" w:cs="宋体"/>
          <w:color w:val="auto"/>
          <w:spacing w:val="-6"/>
          <w:sz w:val="21"/>
          <w:szCs w:val="21"/>
          <w:highlight w:val="none"/>
          <w:lang w:val="en-US" w:eastAsia="zh-CN"/>
        </w:rPr>
        <w:t>常平镇木伦市场、横江厦市场、常平镇金美市场</w:t>
      </w:r>
      <w:r>
        <w:rPr>
          <w:rFonts w:hint="eastAsia" w:cs="宋体"/>
          <w:color w:val="auto"/>
          <w:spacing w:val="-6"/>
          <w:sz w:val="21"/>
          <w:szCs w:val="21"/>
          <w:highlight w:val="none"/>
          <w:lang w:eastAsia="zh-CN"/>
        </w:rPr>
        <w:t>）</w:t>
      </w:r>
      <w:r>
        <w:rPr>
          <w:rFonts w:hint="eastAsia" w:cs="宋体"/>
          <w:color w:val="auto"/>
          <w:spacing w:val="-6"/>
          <w:sz w:val="21"/>
          <w:szCs w:val="21"/>
          <w:highlight w:val="none"/>
          <w:lang w:val="en-US" w:eastAsia="zh-CN"/>
        </w:rPr>
        <w:t>抽样调查，核实相同品种的市场平均价格为基准价（</w:t>
      </w:r>
      <w:r>
        <w:rPr>
          <w:rFonts w:hint="eastAsia" w:ascii="宋体" w:hAnsi="宋体" w:eastAsia="宋体" w:cs="宋体"/>
          <w:bCs/>
          <w:color w:val="auto"/>
          <w:sz w:val="21"/>
          <w:szCs w:val="21"/>
          <w:highlight w:val="none"/>
        </w:rPr>
        <w:t>基准价=市场平均价=</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个市场抽样价格之和÷</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w:t>
      </w:r>
      <w:r>
        <w:rPr>
          <w:rFonts w:hint="eastAsia" w:ascii="宋体" w:hAnsi="宋体" w:eastAsia="宋体" w:cs="宋体"/>
          <w:bCs/>
          <w:color w:val="auto"/>
          <w:sz w:val="21"/>
          <w:szCs w:val="21"/>
          <w:highlight w:val="none"/>
        </w:rPr>
        <w:t>当</w:t>
      </w:r>
      <w:r>
        <w:rPr>
          <w:rFonts w:hint="eastAsia" w:ascii="宋体" w:hAnsi="宋体" w:cs="宋体"/>
          <w:bCs/>
          <w:color w:val="auto"/>
          <w:sz w:val="21"/>
          <w:szCs w:val="21"/>
          <w:highlight w:val="none"/>
          <w:lang w:val="en-US" w:eastAsia="zh-CN"/>
        </w:rPr>
        <w:t>期</w:t>
      </w:r>
      <w:r>
        <w:rPr>
          <w:rFonts w:hint="eastAsia" w:ascii="宋体" w:hAnsi="宋体" w:eastAsia="宋体" w:cs="宋体"/>
          <w:bCs/>
          <w:color w:val="auto"/>
          <w:sz w:val="21"/>
          <w:szCs w:val="21"/>
          <w:highlight w:val="none"/>
        </w:rPr>
        <w:t>基准价格一经确定，双方须严格执行，不受市场物价波动影响，不得调价。</w:t>
      </w:r>
    </w:p>
    <w:p w14:paraId="21552F11">
      <w:pPr>
        <w:widowControl w:val="0"/>
        <w:shd w:val="clear" w:color="auto"/>
        <w:tabs>
          <w:tab w:val="left" w:pos="709"/>
        </w:tabs>
        <w:adjustRightInd/>
        <w:snapToGrid/>
        <w:spacing w:after="0" w:line="360" w:lineRule="auto"/>
        <w:ind w:firstLine="420" w:firstLineChars="200"/>
        <w:jc w:val="both"/>
        <w:rPr>
          <w:rFonts w:hint="eastAsia" w:ascii="宋体" w:hAnsi="宋体" w:eastAsia="宋体" w:cs="宋体"/>
          <w:color w:val="auto"/>
          <w:spacing w:val="-6"/>
          <w:sz w:val="21"/>
          <w:szCs w:val="21"/>
          <w:highlight w:val="none"/>
        </w:rPr>
      </w:pPr>
      <w:r>
        <w:rPr>
          <w:rFonts w:hint="eastAsia" w:ascii="宋体" w:hAnsi="宋体" w:cs="宋体"/>
          <w:bCs/>
          <w:color w:val="auto"/>
          <w:sz w:val="21"/>
          <w:szCs w:val="21"/>
          <w:highlight w:val="none"/>
          <w:lang w:val="en-US" w:eastAsia="zh-CN"/>
        </w:rPr>
        <w:t>3.定价周期：</w:t>
      </w:r>
      <w:r>
        <w:rPr>
          <w:rFonts w:hint="eastAsia" w:ascii="宋体" w:hAnsi="宋体" w:eastAsia="宋体" w:cs="宋体"/>
          <w:color w:val="auto"/>
          <w:spacing w:val="-6"/>
          <w:sz w:val="21"/>
          <w:szCs w:val="21"/>
          <w:highlight w:val="none"/>
        </w:rPr>
        <w:t>每15日更新一次，</w:t>
      </w:r>
      <w:r>
        <w:rPr>
          <w:rFonts w:hint="eastAsia" w:cs="宋体"/>
          <w:color w:val="auto"/>
          <w:spacing w:val="-6"/>
          <w:sz w:val="21"/>
          <w:szCs w:val="21"/>
          <w:highlight w:val="none"/>
          <w:lang w:eastAsia="zh-CN"/>
        </w:rPr>
        <w:t>乙方</w:t>
      </w:r>
      <w:r>
        <w:rPr>
          <w:rFonts w:hint="eastAsia" w:ascii="宋体" w:hAnsi="宋体" w:eastAsia="宋体" w:cs="宋体"/>
          <w:color w:val="auto"/>
          <w:spacing w:val="-6"/>
          <w:sz w:val="21"/>
          <w:szCs w:val="21"/>
          <w:highlight w:val="none"/>
        </w:rPr>
        <w:t>须每次至少提前2天提交下次报价清单给</w:t>
      </w:r>
      <w:r>
        <w:rPr>
          <w:rFonts w:hint="eastAsia" w:cs="宋体"/>
          <w:color w:val="auto"/>
          <w:spacing w:val="-6"/>
          <w:sz w:val="21"/>
          <w:szCs w:val="21"/>
          <w:highlight w:val="none"/>
          <w:lang w:eastAsia="zh-CN"/>
        </w:rPr>
        <w:t>甲方</w:t>
      </w:r>
      <w:r>
        <w:rPr>
          <w:rFonts w:hint="eastAsia" w:ascii="宋体" w:hAnsi="宋体" w:eastAsia="宋体" w:cs="宋体"/>
          <w:color w:val="auto"/>
          <w:spacing w:val="-6"/>
          <w:sz w:val="21"/>
          <w:szCs w:val="21"/>
          <w:highlight w:val="none"/>
        </w:rPr>
        <w:t>审核</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一般是每月13日前、28日前</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rPr>
        <w:t>，双方签字后生效。</w:t>
      </w:r>
    </w:p>
    <w:p w14:paraId="1E62EAB7">
      <w:pPr>
        <w:keepNext w:val="0"/>
        <w:keepLines w:val="0"/>
        <w:pageBreakBefore w:val="0"/>
        <w:widowControl/>
        <w:shd w:val="clear" w:color="auto"/>
        <w:kinsoku/>
        <w:wordWrap/>
        <w:overflowPunct/>
        <w:topLinePunct w:val="0"/>
        <w:autoSpaceDE/>
        <w:autoSpaceDN/>
        <w:bidi w:val="0"/>
        <w:adjustRightInd w:val="0"/>
        <w:snapToGrid w:val="0"/>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Cs/>
          <w:color w:val="auto"/>
          <w:sz w:val="21"/>
          <w:szCs w:val="21"/>
          <w:highlight w:val="none"/>
        </w:rPr>
        <w:t>4.</w:t>
      </w:r>
      <w:r>
        <w:rPr>
          <w:rFonts w:hint="eastAsia" w:cs="宋体"/>
          <w:b w:val="0"/>
          <w:bCs w:val="0"/>
          <w:color w:val="auto"/>
          <w:szCs w:val="21"/>
          <w:highlight w:val="none"/>
          <w:lang w:eastAsia="zh-CN"/>
        </w:rPr>
        <w:t>乙方</w:t>
      </w:r>
      <w:r>
        <w:rPr>
          <w:rFonts w:hint="eastAsia" w:ascii="宋体" w:hAnsi="宋体" w:eastAsia="宋体" w:cs="宋体"/>
          <w:b w:val="0"/>
          <w:bCs w:val="0"/>
          <w:color w:val="auto"/>
          <w:szCs w:val="21"/>
          <w:highlight w:val="none"/>
        </w:rPr>
        <w:t>的供货价应包含交给</w:t>
      </w:r>
      <w:r>
        <w:rPr>
          <w:rFonts w:hint="eastAsia" w:cs="宋体"/>
          <w:b w:val="0"/>
          <w:bCs w:val="0"/>
          <w:color w:val="auto"/>
          <w:szCs w:val="21"/>
          <w:highlight w:val="none"/>
          <w:lang w:eastAsia="zh-CN"/>
        </w:rPr>
        <w:t>甲方</w:t>
      </w:r>
      <w:r>
        <w:rPr>
          <w:rFonts w:hint="eastAsia" w:ascii="宋体" w:hAnsi="宋体" w:eastAsia="宋体" w:cs="宋体"/>
          <w:b w:val="0"/>
          <w:bCs w:val="0"/>
          <w:color w:val="auto"/>
          <w:szCs w:val="21"/>
          <w:highlight w:val="none"/>
        </w:rPr>
        <w:t>之前的一切可预见及不可预见的费用，包括购置费、 包装费、运输费、装卸费、搬运费、储存费、人工费、保险费、各种税费等，并承担送货途中的一切风险。</w:t>
      </w:r>
    </w:p>
    <w:p w14:paraId="0DC12E29">
      <w:pPr>
        <w:widowControl w:val="0"/>
        <w:shd w:val="clear" w:color="auto"/>
        <w:tabs>
          <w:tab w:val="left" w:pos="709"/>
        </w:tabs>
        <w:adjustRightInd/>
        <w:snapToGrid/>
        <w:spacing w:after="0" w:line="360" w:lineRule="auto"/>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在项目的实施过程中，</w:t>
      </w:r>
      <w:r>
        <w:rPr>
          <w:rFonts w:hint="eastAsia" w:cs="宋体"/>
          <w:bCs/>
          <w:color w:val="auto"/>
          <w:sz w:val="21"/>
          <w:szCs w:val="21"/>
          <w:highlight w:val="none"/>
          <w:lang w:eastAsia="zh-CN"/>
        </w:rPr>
        <w:t>乙方</w:t>
      </w:r>
      <w:r>
        <w:rPr>
          <w:rFonts w:hint="eastAsia" w:ascii="宋体" w:hAnsi="宋体" w:eastAsia="宋体" w:cs="宋体"/>
          <w:bCs/>
          <w:color w:val="auto"/>
          <w:sz w:val="21"/>
          <w:szCs w:val="21"/>
          <w:highlight w:val="none"/>
        </w:rPr>
        <w:t>必须充分考虑在本项目实施期间的一切可能产生的风险和相关费用，</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无需支付合同约定货款之外的任何费用和补偿。</w:t>
      </w:r>
    </w:p>
    <w:p w14:paraId="080FF777">
      <w:pPr>
        <w:widowControl w:val="0"/>
        <w:shd w:val="clear" w:color="auto"/>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有权随时抽查</w:t>
      </w:r>
      <w:r>
        <w:rPr>
          <w:rFonts w:hint="eastAsia" w:cs="宋体"/>
          <w:bCs/>
          <w:color w:val="auto"/>
          <w:sz w:val="21"/>
          <w:szCs w:val="21"/>
          <w:highlight w:val="none"/>
          <w:lang w:eastAsia="zh-CN"/>
        </w:rPr>
        <w:t>乙方</w:t>
      </w:r>
      <w:r>
        <w:rPr>
          <w:rFonts w:hint="eastAsia" w:ascii="宋体" w:hAnsi="宋体" w:eastAsia="宋体" w:cs="宋体"/>
          <w:bCs/>
          <w:color w:val="auto"/>
          <w:sz w:val="21"/>
          <w:szCs w:val="21"/>
          <w:highlight w:val="none"/>
        </w:rPr>
        <w:t>的供货食材入货台账或进行市场调查，发现</w:t>
      </w:r>
      <w:r>
        <w:rPr>
          <w:rFonts w:hint="eastAsia" w:cs="宋体"/>
          <w:bCs/>
          <w:color w:val="auto"/>
          <w:sz w:val="21"/>
          <w:szCs w:val="21"/>
          <w:highlight w:val="none"/>
          <w:lang w:eastAsia="zh-CN"/>
        </w:rPr>
        <w:t>乙方</w:t>
      </w:r>
      <w:r>
        <w:rPr>
          <w:rFonts w:hint="eastAsia" w:ascii="宋体" w:hAnsi="宋体" w:eastAsia="宋体" w:cs="宋体"/>
          <w:bCs/>
          <w:color w:val="auto"/>
          <w:sz w:val="21"/>
          <w:szCs w:val="21"/>
          <w:highlight w:val="none"/>
        </w:rPr>
        <w:t>有虚报或隐瞒供货食材市场价存在欺骗行为，</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有权取消其中标资格，终止合同。</w:t>
      </w:r>
    </w:p>
    <w:p w14:paraId="61041313">
      <w:pPr>
        <w:widowControl w:val="0"/>
        <w:shd w:val="clear" w:color="auto"/>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临时需求货品不在核定的供货价格清单内的，</w:t>
      </w:r>
      <w:r>
        <w:rPr>
          <w:rFonts w:hint="eastAsia" w:cs="宋体"/>
          <w:bCs/>
          <w:color w:val="auto"/>
          <w:sz w:val="21"/>
          <w:szCs w:val="21"/>
          <w:highlight w:val="none"/>
          <w:lang w:eastAsia="zh-CN"/>
        </w:rPr>
        <w:t>乙方</w:t>
      </w:r>
      <w:r>
        <w:rPr>
          <w:rFonts w:hint="eastAsia" w:ascii="宋体" w:hAnsi="宋体" w:eastAsia="宋体" w:cs="宋体"/>
          <w:bCs/>
          <w:color w:val="auto"/>
          <w:sz w:val="21"/>
          <w:szCs w:val="21"/>
          <w:highlight w:val="none"/>
        </w:rPr>
        <w:t>必须按</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要求供货，供货价格由双方临时确定。下次该货品应纳入报价清单，并按上述定价原则确定供货价格。</w:t>
      </w:r>
    </w:p>
    <w:p w14:paraId="0B7D22ED">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.若遇台风、暴雨等意外原因造成的个别品种价格需临时调整，应通知</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，并征得</w:t>
      </w:r>
      <w:r>
        <w:rPr>
          <w:rFonts w:hint="eastAsia" w:cs="宋体"/>
          <w:bCs/>
          <w:color w:val="auto"/>
          <w:sz w:val="21"/>
          <w:szCs w:val="21"/>
          <w:highlight w:val="none"/>
          <w:lang w:eastAsia="zh-CN"/>
        </w:rPr>
        <w:t>甲方</w:t>
      </w:r>
      <w:r>
        <w:rPr>
          <w:rFonts w:hint="eastAsia" w:ascii="宋体" w:hAnsi="宋体" w:eastAsia="宋体" w:cs="宋体"/>
          <w:bCs/>
          <w:color w:val="auto"/>
          <w:sz w:val="21"/>
          <w:szCs w:val="21"/>
          <w:highlight w:val="none"/>
        </w:rPr>
        <w:t>同意后方可调整，</w:t>
      </w:r>
      <w:r>
        <w:rPr>
          <w:rFonts w:hint="eastAsia" w:ascii="宋体" w:hAnsi="宋体" w:eastAsia="宋体" w:cs="宋体"/>
          <w:bCs/>
          <w:color w:val="auto"/>
          <w:sz w:val="21"/>
          <w:szCs w:val="21"/>
          <w:highlight w:val="none"/>
          <w:lang w:val="en-US" w:eastAsia="zh-CN"/>
        </w:rPr>
        <w:t>调整后的价格仅对当次送货订单有效，后续其他送货订单仍应按该周期确认的报价执行。</w:t>
      </w:r>
      <w:r>
        <w:rPr>
          <w:rFonts w:hint="eastAsia" w:cs="宋体"/>
          <w:bCs/>
          <w:color w:val="auto"/>
          <w:sz w:val="21"/>
          <w:szCs w:val="21"/>
          <w:highlight w:val="none"/>
          <w:lang w:val="en-US" w:eastAsia="zh-CN"/>
        </w:rPr>
        <w:t>甲方</w:t>
      </w:r>
      <w:r>
        <w:rPr>
          <w:rFonts w:hint="eastAsia" w:ascii="宋体" w:hAnsi="宋体" w:eastAsia="宋体" w:cs="宋体"/>
          <w:bCs/>
          <w:color w:val="auto"/>
          <w:sz w:val="21"/>
          <w:szCs w:val="21"/>
          <w:highlight w:val="none"/>
          <w:lang w:val="en-US" w:eastAsia="zh-CN"/>
        </w:rPr>
        <w:t>认为无需调整的，</w:t>
      </w: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仍应按该周期确认的报价送货结算</w:t>
      </w:r>
      <w:r>
        <w:rPr>
          <w:rFonts w:hint="eastAsia" w:ascii="宋体" w:hAnsi="宋体" w:cs="宋体"/>
          <w:bCs/>
          <w:color w:val="auto"/>
          <w:sz w:val="21"/>
          <w:szCs w:val="21"/>
          <w:highlight w:val="none"/>
          <w:lang w:val="en-US" w:eastAsia="zh-CN"/>
        </w:rPr>
        <w:t>。</w:t>
      </w:r>
    </w:p>
    <w:p w14:paraId="3B119990">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第五条</w:t>
      </w:r>
      <w:r>
        <w:rPr>
          <w:rFonts w:hint="eastAsia" w:ascii="宋体" w:hAnsi="宋体" w:eastAsia="宋体" w:cs="宋体"/>
          <w:b/>
          <w:bCs/>
          <w:color w:val="auto"/>
          <w:sz w:val="21"/>
          <w:szCs w:val="21"/>
          <w:highlight w:val="none"/>
          <w:lang w:val="en-US" w:eastAsia="zh-CN"/>
        </w:rPr>
        <w:t>保质期：</w:t>
      </w:r>
    </w:p>
    <w:p w14:paraId="1F407CF8">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保质期超过15日的，</w:t>
      </w: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拟提供货品的剩余保质期不得短于货品标记保质期的75%；保质期低于或等于15日的，</w:t>
      </w: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拟提供货品必须为送货当日屠宰或制作的货品。</w:t>
      </w:r>
    </w:p>
    <w:p w14:paraId="53907C46">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第</w:t>
      </w:r>
      <w:r>
        <w:rPr>
          <w:rFonts w:hint="eastAsia" w:cs="宋体"/>
          <w:b/>
          <w:bCs/>
          <w:color w:val="auto"/>
          <w:sz w:val="21"/>
          <w:szCs w:val="21"/>
          <w:highlight w:val="none"/>
          <w:lang w:val="en-US" w:eastAsia="zh-CN"/>
        </w:rPr>
        <w:t>六</w:t>
      </w:r>
      <w:r>
        <w:rPr>
          <w:rFonts w:hint="eastAsia" w:ascii="宋体" w:hAnsi="宋体" w:eastAsia="宋体" w:cs="宋体"/>
          <w:b/>
          <w:bCs/>
          <w:color w:val="auto"/>
          <w:sz w:val="21"/>
          <w:szCs w:val="21"/>
          <w:highlight w:val="none"/>
        </w:rPr>
        <w:t>条食品安全责任保险</w:t>
      </w:r>
      <w:r>
        <w:rPr>
          <w:rFonts w:hint="eastAsia" w:ascii="宋体" w:hAnsi="宋体" w:eastAsia="宋体" w:cs="宋体"/>
          <w:b/>
          <w:bCs/>
          <w:color w:val="auto"/>
          <w:sz w:val="21"/>
          <w:szCs w:val="21"/>
          <w:highlight w:val="none"/>
          <w:lang w:val="en-US" w:eastAsia="zh-CN"/>
        </w:rPr>
        <w:t>要求：</w:t>
      </w:r>
    </w:p>
    <w:p w14:paraId="4D4A1166">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cs="宋体"/>
          <w:bCs/>
          <w:color w:val="auto"/>
          <w:sz w:val="21"/>
          <w:szCs w:val="21"/>
          <w:highlight w:val="none"/>
          <w:lang w:val="en-US" w:eastAsia="zh-CN"/>
        </w:rPr>
        <w:t>乙方</w:t>
      </w:r>
      <w:r>
        <w:rPr>
          <w:rFonts w:hint="default" w:ascii="宋体" w:hAnsi="宋体" w:eastAsia="宋体" w:cs="宋体"/>
          <w:bCs/>
          <w:color w:val="auto"/>
          <w:sz w:val="21"/>
          <w:szCs w:val="21"/>
          <w:highlight w:val="none"/>
          <w:lang w:val="en-US" w:eastAsia="zh-CN"/>
        </w:rPr>
        <w:t>须为</w:t>
      </w:r>
      <w:r>
        <w:rPr>
          <w:rFonts w:hint="eastAsia" w:cs="宋体"/>
          <w:bCs/>
          <w:color w:val="auto"/>
          <w:sz w:val="21"/>
          <w:szCs w:val="21"/>
          <w:highlight w:val="none"/>
          <w:lang w:val="en-US" w:eastAsia="zh-CN"/>
        </w:rPr>
        <w:t>甲方</w:t>
      </w:r>
      <w:r>
        <w:rPr>
          <w:rFonts w:hint="default" w:ascii="宋体" w:hAnsi="宋体" w:eastAsia="宋体" w:cs="宋体"/>
          <w:bCs/>
          <w:color w:val="auto"/>
          <w:sz w:val="21"/>
          <w:szCs w:val="21"/>
          <w:highlight w:val="none"/>
          <w:lang w:val="en-US" w:eastAsia="zh-CN"/>
        </w:rPr>
        <w:t>提供一份</w:t>
      </w:r>
      <w:r>
        <w:rPr>
          <w:rFonts w:hint="eastAsia" w:cs="宋体"/>
          <w:bCs/>
          <w:color w:val="auto"/>
          <w:sz w:val="21"/>
          <w:szCs w:val="21"/>
          <w:highlight w:val="none"/>
          <w:lang w:val="en-US" w:eastAsia="zh-CN"/>
        </w:rPr>
        <w:t>甲方</w:t>
      </w:r>
      <w:r>
        <w:rPr>
          <w:rFonts w:hint="default" w:ascii="宋体" w:hAnsi="宋体" w:eastAsia="宋体" w:cs="宋体"/>
          <w:bCs/>
          <w:color w:val="auto"/>
          <w:sz w:val="21"/>
          <w:szCs w:val="21"/>
          <w:highlight w:val="none"/>
          <w:lang w:val="en-US" w:eastAsia="zh-CN"/>
        </w:rPr>
        <w:t>为受益人、额度为</w:t>
      </w:r>
      <w:r>
        <w:rPr>
          <w:rFonts w:hint="eastAsia" w:ascii="宋体" w:hAnsi="宋体" w:eastAsia="宋体" w:cs="宋体"/>
          <w:bCs/>
          <w:color w:val="auto"/>
          <w:sz w:val="21"/>
          <w:szCs w:val="21"/>
          <w:highlight w:val="none"/>
          <w:lang w:val="en-US" w:eastAsia="zh-CN"/>
        </w:rPr>
        <w:t>2亿</w:t>
      </w:r>
      <w:r>
        <w:rPr>
          <w:rFonts w:hint="default" w:ascii="宋体" w:hAnsi="宋体" w:eastAsia="宋体" w:cs="宋体"/>
          <w:bCs/>
          <w:color w:val="auto"/>
          <w:sz w:val="21"/>
          <w:szCs w:val="21"/>
          <w:highlight w:val="none"/>
          <w:lang w:val="en-US" w:eastAsia="zh-CN"/>
        </w:rPr>
        <w:t>元的保险（食品安全责任险），</w:t>
      </w:r>
      <w:r>
        <w:rPr>
          <w:rFonts w:hint="eastAsia" w:ascii="宋体" w:hAnsi="宋体" w:eastAsia="宋体" w:cs="宋体"/>
          <w:bCs/>
          <w:color w:val="auto"/>
          <w:sz w:val="21"/>
          <w:szCs w:val="21"/>
          <w:highlight w:val="none"/>
          <w:lang w:val="en-US" w:eastAsia="zh-CN"/>
        </w:rPr>
        <w:t>保险承保期限不短于合同有效期。</w:t>
      </w:r>
    </w:p>
    <w:p w14:paraId="12F65875">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第</w:t>
      </w:r>
      <w:r>
        <w:rPr>
          <w:rFonts w:hint="eastAsia"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条保密条款</w:t>
      </w:r>
      <w:r>
        <w:rPr>
          <w:rFonts w:hint="eastAsia" w:ascii="宋体" w:hAnsi="宋体" w:eastAsia="宋体" w:cs="宋体"/>
          <w:b/>
          <w:bCs/>
          <w:color w:val="auto"/>
          <w:sz w:val="21"/>
          <w:szCs w:val="21"/>
          <w:highlight w:val="none"/>
          <w:lang w:val="en-US" w:eastAsia="zh-CN"/>
        </w:rPr>
        <w:t>：</w:t>
      </w:r>
    </w:p>
    <w:p w14:paraId="3C225DB4">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在实施货物供货期间，不得将供货的实际数量及供货地点泄露给其他企业或者个人，</w:t>
      </w: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必须指派相对固定的人员完成货物配送服务，并需将配送人员的详细资料报</w:t>
      </w:r>
      <w:r>
        <w:rPr>
          <w:rFonts w:hint="eastAsia" w:cs="宋体"/>
          <w:bCs/>
          <w:color w:val="auto"/>
          <w:sz w:val="21"/>
          <w:szCs w:val="21"/>
          <w:highlight w:val="none"/>
          <w:lang w:val="en-US" w:eastAsia="zh-CN"/>
        </w:rPr>
        <w:t>甲方</w:t>
      </w:r>
      <w:r>
        <w:rPr>
          <w:rFonts w:hint="eastAsia" w:ascii="宋体" w:hAnsi="宋体" w:eastAsia="宋体" w:cs="宋体"/>
          <w:bCs/>
          <w:color w:val="auto"/>
          <w:sz w:val="21"/>
          <w:szCs w:val="21"/>
          <w:highlight w:val="none"/>
          <w:lang w:val="en-US" w:eastAsia="zh-CN"/>
        </w:rPr>
        <w:t>备案，货物配送人员必须遵纪守法、品行良好，无违法犯罪记录。如需要更换配送人员，必须事先通知</w:t>
      </w:r>
      <w:r>
        <w:rPr>
          <w:rFonts w:hint="eastAsia" w:cs="宋体"/>
          <w:bCs/>
          <w:color w:val="auto"/>
          <w:sz w:val="21"/>
          <w:szCs w:val="21"/>
          <w:highlight w:val="none"/>
          <w:lang w:val="en-US" w:eastAsia="zh-CN"/>
        </w:rPr>
        <w:t>甲方</w:t>
      </w:r>
      <w:r>
        <w:rPr>
          <w:rFonts w:hint="eastAsia" w:ascii="宋体" w:hAnsi="宋体" w:eastAsia="宋体" w:cs="宋体"/>
          <w:bCs/>
          <w:color w:val="auto"/>
          <w:sz w:val="21"/>
          <w:szCs w:val="21"/>
          <w:highlight w:val="none"/>
          <w:lang w:val="en-US" w:eastAsia="zh-CN"/>
        </w:rPr>
        <w:t>并将其个人资料送</w:t>
      </w:r>
      <w:r>
        <w:rPr>
          <w:rFonts w:hint="eastAsia" w:cs="宋体"/>
          <w:bCs/>
          <w:color w:val="auto"/>
          <w:sz w:val="21"/>
          <w:szCs w:val="21"/>
          <w:highlight w:val="none"/>
          <w:lang w:val="en-US" w:eastAsia="zh-CN"/>
        </w:rPr>
        <w:t>甲方</w:t>
      </w:r>
      <w:r>
        <w:rPr>
          <w:rFonts w:hint="eastAsia" w:ascii="宋体" w:hAnsi="宋体" w:eastAsia="宋体" w:cs="宋体"/>
          <w:bCs/>
          <w:color w:val="auto"/>
          <w:sz w:val="21"/>
          <w:szCs w:val="21"/>
          <w:highlight w:val="none"/>
          <w:lang w:val="en-US" w:eastAsia="zh-CN"/>
        </w:rPr>
        <w:t>审批，审批合格者才能更换。</w:t>
      </w:r>
    </w:p>
    <w:p w14:paraId="7F98AC10">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第</w:t>
      </w:r>
      <w:r>
        <w:rPr>
          <w:rFonts w:hint="eastAsia" w:cs="宋体"/>
          <w:b/>
          <w:bCs/>
          <w:color w:val="auto"/>
          <w:sz w:val="21"/>
          <w:szCs w:val="21"/>
          <w:highlight w:val="none"/>
          <w:lang w:val="en-US" w:eastAsia="zh-CN"/>
        </w:rPr>
        <w:t>八</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val="en-US" w:eastAsia="zh-CN"/>
        </w:rPr>
        <w:t>售后服务：</w:t>
      </w:r>
    </w:p>
    <w:p w14:paraId="76B11BB6">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1.售后服务方式均为</w:t>
      </w: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上门服务。</w:t>
      </w:r>
    </w:p>
    <w:p w14:paraId="0051DA31">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2.非甲方的人为原因而出现产品质量问题，乙方应根据甲方要求，在规定时间内完成退换，并承担因此而产生的一切费用。</w:t>
      </w:r>
    </w:p>
    <w:p w14:paraId="039AE6E3">
      <w:pPr>
        <w:keepNext w:val="0"/>
        <w:keepLines w:val="0"/>
        <w:pageBreakBefore w:val="0"/>
        <w:widowControl w:val="0"/>
        <w:shd w:val="clear" w:color="auto"/>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r>
        <w:rPr>
          <w:rFonts w:hint="eastAsia" w:cs="宋体"/>
          <w:bCs/>
          <w:color w:val="auto"/>
          <w:sz w:val="21"/>
          <w:szCs w:val="21"/>
          <w:highlight w:val="none"/>
          <w:lang w:val="en-US" w:eastAsia="zh-CN"/>
        </w:rPr>
        <w:t>乙方</w:t>
      </w:r>
      <w:r>
        <w:rPr>
          <w:rFonts w:hint="eastAsia" w:ascii="宋体" w:hAnsi="宋体" w:eastAsia="宋体" w:cs="宋体"/>
          <w:bCs/>
          <w:color w:val="auto"/>
          <w:sz w:val="21"/>
          <w:szCs w:val="21"/>
          <w:highlight w:val="none"/>
          <w:lang w:val="en-US" w:eastAsia="zh-CN"/>
        </w:rPr>
        <w:t>应具备完善的售后服务体系和客户投诉处理机制， 有专门负责售后的服务人员，能够满足服务过程中</w:t>
      </w:r>
      <w:r>
        <w:rPr>
          <w:rFonts w:hint="eastAsia" w:cs="宋体"/>
          <w:bCs/>
          <w:color w:val="auto"/>
          <w:sz w:val="21"/>
          <w:szCs w:val="21"/>
          <w:highlight w:val="none"/>
          <w:lang w:val="en-US" w:eastAsia="zh-CN"/>
        </w:rPr>
        <w:t>甲方</w:t>
      </w:r>
      <w:r>
        <w:rPr>
          <w:rFonts w:hint="eastAsia" w:ascii="宋体" w:hAnsi="宋体" w:eastAsia="宋体" w:cs="宋体"/>
          <w:bCs/>
          <w:color w:val="auto"/>
          <w:sz w:val="21"/>
          <w:szCs w:val="21"/>
          <w:highlight w:val="none"/>
          <w:lang w:val="en-US" w:eastAsia="zh-CN"/>
        </w:rPr>
        <w:t>的响应需求。</w:t>
      </w:r>
    </w:p>
    <w:p w14:paraId="381E2FB7">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九</w:t>
      </w:r>
      <w:r>
        <w:rPr>
          <w:rFonts w:hint="eastAsia" w:ascii="宋体" w:hAnsi="宋体" w:eastAsia="宋体" w:cs="宋体"/>
          <w:b/>
          <w:bCs/>
          <w:color w:val="auto"/>
          <w:sz w:val="21"/>
          <w:szCs w:val="21"/>
          <w:highlight w:val="none"/>
        </w:rPr>
        <w:t>条</w:t>
      </w:r>
      <w:r>
        <w:rPr>
          <w:rFonts w:hint="eastAsia" w:ascii="宋体" w:hAnsi="宋体" w:eastAsia="宋体" w:cs="宋体"/>
          <w:b/>
          <w:bCs/>
          <w:color w:val="auto"/>
          <w:sz w:val="21"/>
          <w:szCs w:val="21"/>
          <w:highlight w:val="none"/>
          <w:lang w:val="en-US"/>
        </w:rPr>
        <w:t xml:space="preserve"> </w:t>
      </w:r>
      <w:r>
        <w:rPr>
          <w:rFonts w:hint="eastAsia" w:ascii="宋体" w:hAnsi="宋体" w:eastAsia="宋体" w:cs="宋体"/>
          <w:b/>
          <w:bCs/>
          <w:color w:val="auto"/>
          <w:sz w:val="21"/>
          <w:szCs w:val="21"/>
          <w:highlight w:val="none"/>
        </w:rPr>
        <w:t>服务期限及地点</w:t>
      </w:r>
    </w:p>
    <w:p w14:paraId="289EEFA3">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1、服务期：</w:t>
      </w:r>
      <w:r>
        <w:rPr>
          <w:rFonts w:hint="eastAsia" w:ascii="宋体" w:hAnsi="宋体" w:eastAsia="宋体" w:cs="宋体"/>
          <w:color w:val="auto"/>
          <w:sz w:val="21"/>
          <w:szCs w:val="21"/>
          <w:highlight w:val="none"/>
          <w:lang w:eastAsia="zh-CN"/>
        </w:rPr>
        <w:t>自合同签订之日起</w:t>
      </w:r>
      <w:r>
        <w:rPr>
          <w:rFonts w:hint="eastAsia" w:ascii="宋体" w:hAnsi="宋体" w:cs="宋体"/>
          <w:color w:val="auto"/>
          <w:sz w:val="21"/>
          <w:szCs w:val="21"/>
          <w:highlight w:val="none"/>
          <w:lang w:eastAsia="zh-CN"/>
        </w:rPr>
        <w:t>35个月</w:t>
      </w:r>
      <w:r>
        <w:rPr>
          <w:rFonts w:hint="eastAsia" w:ascii="宋体" w:hAnsi="宋体" w:eastAsia="宋体" w:cs="宋体"/>
          <w:color w:val="auto"/>
          <w:sz w:val="21"/>
          <w:szCs w:val="21"/>
          <w:highlight w:val="none"/>
        </w:rPr>
        <w:t>，合同生效之日自</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b/>
          <w:bCs/>
          <w:color w:val="auto"/>
          <w:sz w:val="21"/>
          <w:szCs w:val="21"/>
          <w:highlight w:val="none"/>
          <w:u w:val="single"/>
        </w:rPr>
        <w:t xml:space="preserve">年 </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b/>
          <w:bCs/>
          <w:color w:val="auto"/>
          <w:sz w:val="21"/>
          <w:szCs w:val="21"/>
          <w:highlight w:val="none"/>
          <w:u w:val="single"/>
        </w:rPr>
        <w:t xml:space="preserve">月 </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b/>
          <w:bCs/>
          <w:color w:val="auto"/>
          <w:sz w:val="21"/>
          <w:szCs w:val="21"/>
          <w:highlight w:val="none"/>
          <w:u w:val="single"/>
        </w:rPr>
        <w:t>日</w:t>
      </w:r>
      <w:r>
        <w:rPr>
          <w:rFonts w:hint="eastAsia" w:ascii="宋体" w:hAnsi="宋体" w:eastAsia="宋体" w:cs="宋体"/>
          <w:color w:val="auto"/>
          <w:sz w:val="21"/>
          <w:szCs w:val="21"/>
          <w:highlight w:val="none"/>
        </w:rPr>
        <w:t>至</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b/>
          <w:bCs/>
          <w:color w:val="auto"/>
          <w:sz w:val="21"/>
          <w:szCs w:val="21"/>
          <w:highlight w:val="none"/>
          <w:u w:val="single"/>
        </w:rPr>
        <w:t xml:space="preserve">年 </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b/>
          <w:bCs/>
          <w:color w:val="auto"/>
          <w:sz w:val="21"/>
          <w:szCs w:val="21"/>
          <w:highlight w:val="none"/>
          <w:u w:val="single"/>
        </w:rPr>
        <w:t xml:space="preserve">月 </w:t>
      </w:r>
      <w:r>
        <w:rPr>
          <w:rFonts w:hint="eastAsia" w:ascii="宋体" w:hAnsi="宋体" w:eastAsia="宋体" w:cs="宋体"/>
          <w:b/>
          <w:bCs/>
          <w:color w:val="auto"/>
          <w:sz w:val="21"/>
          <w:szCs w:val="21"/>
          <w:highlight w:val="none"/>
          <w:u w:val="single"/>
          <w:lang w:val="en-US"/>
        </w:rPr>
        <w:t xml:space="preserve">  </w:t>
      </w:r>
      <w:r>
        <w:rPr>
          <w:rFonts w:hint="eastAsia" w:ascii="宋体" w:hAnsi="宋体" w:eastAsia="宋体" w:cs="宋体"/>
          <w:b/>
          <w:bCs/>
          <w:color w:val="auto"/>
          <w:sz w:val="21"/>
          <w:szCs w:val="21"/>
          <w:highlight w:val="none"/>
          <w:u w:val="single"/>
        </w:rPr>
        <w:t>日</w:t>
      </w:r>
      <w:r>
        <w:rPr>
          <w:rFonts w:hint="eastAsia" w:ascii="宋体" w:hAnsi="宋体" w:eastAsia="宋体" w:cs="宋体"/>
          <w:color w:val="auto"/>
          <w:sz w:val="21"/>
          <w:szCs w:val="21"/>
          <w:highlight w:val="none"/>
        </w:rPr>
        <w:t>止。</w:t>
      </w:r>
    </w:p>
    <w:p w14:paraId="5564B9A2">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2、服务地点：</w:t>
      </w:r>
      <w:r>
        <w:rPr>
          <w:rFonts w:hint="eastAsia" w:ascii="宋体" w:hAnsi="宋体" w:eastAsia="宋体" w:cs="宋体"/>
          <w:color w:val="auto"/>
          <w:sz w:val="21"/>
          <w:szCs w:val="21"/>
          <w:highlight w:val="none"/>
          <w:lang w:val="en-US" w:eastAsia="zh-CN"/>
        </w:rPr>
        <w:t>东莞市常平镇</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如有变化另行通知</w:t>
      </w:r>
      <w:r>
        <w:rPr>
          <w:rFonts w:hint="eastAsia" w:ascii="宋体" w:hAnsi="宋体" w:eastAsia="宋体" w:cs="宋体"/>
          <w:color w:val="auto"/>
          <w:sz w:val="21"/>
          <w:szCs w:val="21"/>
          <w:highlight w:val="none"/>
          <w:lang w:eastAsia="zh-CN"/>
        </w:rPr>
        <w:t>）</w:t>
      </w:r>
    </w:p>
    <w:p w14:paraId="38F92B06">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十</w:t>
      </w:r>
      <w:r>
        <w:rPr>
          <w:rFonts w:hint="eastAsia" w:ascii="宋体" w:hAnsi="宋体" w:eastAsia="宋体" w:cs="宋体"/>
          <w:b/>
          <w:bCs/>
          <w:color w:val="auto"/>
          <w:sz w:val="21"/>
          <w:szCs w:val="21"/>
          <w:highlight w:val="none"/>
        </w:rPr>
        <w:t>条 付款方式</w:t>
      </w:r>
    </w:p>
    <w:p w14:paraId="2CF91011">
      <w:pPr>
        <w:keepNext w:val="0"/>
        <w:keepLines w:val="0"/>
        <w:pageBreakBefore w:val="0"/>
        <w:widowControl/>
        <w:shd w:val="clear" w:color="auto"/>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1.按月结算费用</w:t>
      </w:r>
      <w:r>
        <w:rPr>
          <w:rFonts w:hint="eastAsia" w:ascii="宋体" w:hAnsi="宋体" w:eastAsia="宋体" w:cs="宋体"/>
          <w:color w:val="auto"/>
          <w:sz w:val="21"/>
          <w:szCs w:val="21"/>
          <w:highlight w:val="none"/>
          <w:lang w:eastAsia="zh-CN"/>
        </w:rPr>
        <w:t>，按实支付，本合同的每笔款项均以银行电汇方式支付，具体付款要求如下：双方采取先送货后结款的方式，</w:t>
      </w:r>
      <w:r>
        <w:rPr>
          <w:rFonts w:hint="eastAsia" w:ascii="宋体" w:hAnsi="宋体" w:cs="宋体"/>
          <w:color w:val="auto"/>
          <w:sz w:val="21"/>
          <w:szCs w:val="21"/>
          <w:highlight w:val="none"/>
          <w:lang w:val="en-US" w:eastAsia="zh-CN"/>
        </w:rPr>
        <w:t>当月结算上月货款</w:t>
      </w:r>
      <w:r>
        <w:rPr>
          <w:rFonts w:hint="eastAsia" w:ascii="宋体" w:hAnsi="宋体" w:eastAsia="宋体" w:cs="宋体"/>
          <w:color w:val="auto"/>
          <w:sz w:val="21"/>
          <w:szCs w:val="21"/>
          <w:highlight w:val="none"/>
          <w:lang w:eastAsia="zh-CN"/>
        </w:rPr>
        <w:t>。双方应在每月10日前核对上期货款</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遇节假日顺延</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w:t>
      </w:r>
      <w:r>
        <w:rPr>
          <w:rFonts w:hint="eastAsia"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核对货款时应当提交双方确认的送货单、报价单、《供应商月度评价表》，</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lang w:eastAsia="zh-CN"/>
        </w:rPr>
        <w:t>根据双方核对无误确认好的金额开具发票给</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lang w:eastAsia="zh-CN"/>
        </w:rPr>
        <w:t>请款，</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lang w:eastAsia="zh-CN"/>
        </w:rPr>
        <w:t>应在收到</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lang w:eastAsia="zh-CN"/>
        </w:rPr>
        <w:t>发票后的30个工作日内支付上月的货款，</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lang w:eastAsia="zh-CN"/>
        </w:rPr>
        <w:t>以银行转账方式将货款一次性转入</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lang w:eastAsia="zh-CN"/>
        </w:rPr>
        <w:t>书面指定的银行账户</w:t>
      </w:r>
      <w:r>
        <w:rPr>
          <w:rFonts w:hint="eastAsia" w:ascii="宋体" w:hAnsi="宋体" w:cs="宋体"/>
          <w:color w:val="auto"/>
          <w:sz w:val="21"/>
          <w:szCs w:val="21"/>
          <w:highlight w:val="none"/>
          <w:lang w:eastAsia="zh-CN"/>
        </w:rPr>
        <w:t>【</w:t>
      </w:r>
      <w:r>
        <w:rPr>
          <w:rFonts w:hint="eastAsia" w:ascii="宋体" w:hAnsi="宋体" w:eastAsia="宋体" w:cs="宋体"/>
          <w:color w:val="auto"/>
          <w:spacing w:val="-3"/>
          <w:sz w:val="21"/>
          <w:szCs w:val="21"/>
          <w:highlight w:val="none"/>
        </w:rPr>
        <w:t>其中：货品结算价格=经</w:t>
      </w:r>
      <w:r>
        <w:rPr>
          <w:rFonts w:hint="eastAsia" w:cs="宋体"/>
          <w:color w:val="auto"/>
          <w:spacing w:val="-3"/>
          <w:sz w:val="21"/>
          <w:szCs w:val="21"/>
          <w:highlight w:val="none"/>
          <w:lang w:eastAsia="zh-CN"/>
        </w:rPr>
        <w:t>甲方</w:t>
      </w:r>
      <w:r>
        <w:rPr>
          <w:rFonts w:hint="eastAsia" w:ascii="宋体" w:hAnsi="宋体" w:eastAsia="宋体" w:cs="宋体"/>
          <w:color w:val="auto"/>
          <w:spacing w:val="-4"/>
          <w:sz w:val="21"/>
          <w:szCs w:val="21"/>
          <w:highlight w:val="none"/>
        </w:rPr>
        <w:t>核定确认的基准价×（1-中标下浮率）</w:t>
      </w:r>
      <w:r>
        <w:rPr>
          <w:rFonts w:hint="eastAsia" w:ascii="宋体" w:hAnsi="宋体" w:cs="宋体"/>
          <w:color w:val="auto"/>
          <w:spacing w:val="-4"/>
          <w:sz w:val="21"/>
          <w:szCs w:val="21"/>
          <w:highlight w:val="none"/>
          <w:lang w:eastAsia="zh-CN"/>
        </w:rPr>
        <w:t>；</w:t>
      </w:r>
      <w:r>
        <w:rPr>
          <w:rFonts w:hint="eastAsia" w:ascii="宋体" w:hAnsi="宋体" w:cs="宋体"/>
          <w:color w:val="auto"/>
          <w:spacing w:val="-4"/>
          <w:sz w:val="21"/>
          <w:szCs w:val="21"/>
          <w:highlight w:val="none"/>
          <w:lang w:val="en-US" w:eastAsia="zh-CN"/>
        </w:rPr>
        <w:t>货款结算额=</w:t>
      </w:r>
      <w:r>
        <w:rPr>
          <w:rFonts w:hint="eastAsia" w:ascii="宋体" w:hAnsi="宋体" w:eastAsia="宋体" w:cs="宋体"/>
          <w:color w:val="auto"/>
          <w:spacing w:val="-3"/>
          <w:sz w:val="21"/>
          <w:szCs w:val="21"/>
          <w:highlight w:val="none"/>
        </w:rPr>
        <w:t>货品结算价</w:t>
      </w:r>
      <w:r>
        <w:rPr>
          <w:rFonts w:hint="eastAsia" w:ascii="宋体" w:hAnsi="宋体" w:eastAsia="宋体" w:cs="宋体"/>
          <w:color w:val="auto"/>
          <w:spacing w:val="-3"/>
          <w:sz w:val="21"/>
          <w:szCs w:val="21"/>
          <w:highlight w:val="none"/>
          <w:lang w:val="en-US" w:eastAsia="zh-CN"/>
        </w:rPr>
        <w:t>×实际采购量-扣款（如有）</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w:t>
      </w:r>
    </w:p>
    <w:p w14:paraId="1EAB5125">
      <w:pPr>
        <w:pStyle w:val="68"/>
        <w:keepNext w:val="0"/>
        <w:keepLines w:val="0"/>
        <w:pageBreakBefore w:val="0"/>
        <w:widowControl/>
        <w:shd w:val="clear" w:color="auto"/>
        <w:kinsoku/>
        <w:wordWrap/>
        <w:overflowPunct/>
        <w:topLinePunct w:val="0"/>
        <w:autoSpaceDE/>
        <w:autoSpaceDN/>
        <w:bidi w:val="0"/>
        <w:adjustRightInd w:val="0"/>
        <w:snapToGrid w:val="0"/>
        <w:spacing w:line="360" w:lineRule="auto"/>
        <w:ind w:left="0" w:right="0" w:firstLine="400" w:firstLineChars="200"/>
        <w:textAlignment w:val="auto"/>
        <w:rPr>
          <w:color w:val="auto"/>
          <w:highlight w:val="none"/>
        </w:rPr>
      </w:pPr>
      <w:r>
        <w:rPr>
          <w:rFonts w:hint="eastAsia" w:ascii="宋体" w:hAnsi="宋体" w:eastAsia="宋体" w:cs="宋体"/>
          <w:color w:val="auto"/>
          <w:spacing w:val="-5"/>
          <w:sz w:val="21"/>
          <w:szCs w:val="21"/>
          <w:highlight w:val="none"/>
        </w:rPr>
        <w:t>2</w:t>
      </w:r>
      <w:r>
        <w:rPr>
          <w:rFonts w:hint="eastAsia" w:cs="宋体"/>
          <w:color w:val="auto"/>
          <w:spacing w:val="-5"/>
          <w:sz w:val="21"/>
          <w:szCs w:val="21"/>
          <w:highlight w:val="none"/>
          <w:lang w:val="en-US" w:eastAsia="zh-CN"/>
        </w:rPr>
        <w:t>.</w:t>
      </w:r>
      <w:r>
        <w:rPr>
          <w:rFonts w:hint="eastAsia" w:ascii="宋体" w:hAnsi="宋体" w:eastAsia="宋体" w:cs="宋体"/>
          <w:color w:val="auto"/>
          <w:spacing w:val="-5"/>
          <w:sz w:val="21"/>
          <w:szCs w:val="21"/>
          <w:highlight w:val="none"/>
        </w:rPr>
        <w:t>收款方、发票的销售方、合同</w:t>
      </w:r>
      <w:r>
        <w:rPr>
          <w:rFonts w:hint="eastAsia" w:cs="宋体"/>
          <w:color w:val="auto"/>
          <w:spacing w:val="-5"/>
          <w:sz w:val="21"/>
          <w:szCs w:val="21"/>
          <w:highlight w:val="none"/>
          <w:lang w:eastAsia="zh-CN"/>
        </w:rPr>
        <w:t>乙方</w:t>
      </w:r>
      <w:r>
        <w:rPr>
          <w:rFonts w:hint="eastAsia" w:ascii="宋体" w:hAnsi="宋体" w:eastAsia="宋体" w:cs="宋体"/>
          <w:color w:val="auto"/>
          <w:spacing w:val="-5"/>
          <w:sz w:val="21"/>
          <w:szCs w:val="21"/>
          <w:highlight w:val="none"/>
        </w:rPr>
        <w:t>均必须与</w:t>
      </w:r>
      <w:r>
        <w:rPr>
          <w:rFonts w:hint="eastAsia" w:cs="宋体"/>
          <w:color w:val="auto"/>
          <w:spacing w:val="-5"/>
          <w:sz w:val="21"/>
          <w:szCs w:val="21"/>
          <w:highlight w:val="none"/>
          <w:lang w:eastAsia="zh-CN"/>
        </w:rPr>
        <w:t>乙方</w:t>
      </w:r>
      <w:r>
        <w:rPr>
          <w:rFonts w:hint="eastAsia" w:ascii="宋体" w:hAnsi="宋体" w:eastAsia="宋体" w:cs="宋体"/>
          <w:color w:val="auto"/>
          <w:spacing w:val="-5"/>
          <w:sz w:val="21"/>
          <w:szCs w:val="21"/>
          <w:highlight w:val="none"/>
        </w:rPr>
        <w:t xml:space="preserve">名称一致。 </w:t>
      </w:r>
      <w:r>
        <w:rPr>
          <w:rFonts w:hint="eastAsia" w:ascii="宋体" w:hAnsi="宋体" w:eastAsia="宋体" w:cs="宋体"/>
          <w:color w:val="auto"/>
          <w:spacing w:val="-5"/>
          <w:sz w:val="21"/>
          <w:szCs w:val="21"/>
          <w:highlight w:val="none"/>
          <w:lang w:val="en-US" w:eastAsia="zh-CN"/>
        </w:rPr>
        <w:t>若</w:t>
      </w:r>
      <w:r>
        <w:rPr>
          <w:rFonts w:hint="eastAsia" w:cs="宋体"/>
          <w:color w:val="auto"/>
          <w:spacing w:val="-5"/>
          <w:sz w:val="21"/>
          <w:szCs w:val="21"/>
          <w:highlight w:val="none"/>
          <w:lang w:val="en-US" w:eastAsia="zh-CN"/>
        </w:rPr>
        <w:t>乙方</w:t>
      </w:r>
      <w:r>
        <w:rPr>
          <w:rFonts w:hint="eastAsia" w:ascii="宋体" w:hAnsi="宋体" w:eastAsia="宋体" w:cs="宋体"/>
          <w:color w:val="auto"/>
          <w:spacing w:val="-5"/>
          <w:sz w:val="21"/>
          <w:szCs w:val="21"/>
          <w:highlight w:val="none"/>
          <w:lang w:val="en-US" w:eastAsia="zh-CN"/>
        </w:rPr>
        <w:t>递交材料不符合上述约定的，</w:t>
      </w:r>
      <w:r>
        <w:rPr>
          <w:rFonts w:hint="eastAsia" w:cs="宋体"/>
          <w:color w:val="auto"/>
          <w:spacing w:val="-5"/>
          <w:sz w:val="21"/>
          <w:szCs w:val="21"/>
          <w:highlight w:val="none"/>
          <w:lang w:val="en-US" w:eastAsia="zh-CN"/>
        </w:rPr>
        <w:t>甲方</w:t>
      </w:r>
      <w:r>
        <w:rPr>
          <w:rFonts w:hint="eastAsia" w:ascii="宋体" w:hAnsi="宋体" w:eastAsia="宋体" w:cs="宋体"/>
          <w:color w:val="auto"/>
          <w:spacing w:val="-5"/>
          <w:sz w:val="21"/>
          <w:szCs w:val="21"/>
          <w:highlight w:val="none"/>
          <w:lang w:val="en-US" w:eastAsia="zh-CN"/>
        </w:rPr>
        <w:t>有权顺延付款时间。如果</w:t>
      </w:r>
      <w:r>
        <w:rPr>
          <w:rFonts w:hint="eastAsia" w:cs="宋体"/>
          <w:color w:val="auto"/>
          <w:spacing w:val="-5"/>
          <w:sz w:val="21"/>
          <w:szCs w:val="21"/>
          <w:highlight w:val="none"/>
          <w:lang w:val="en-US" w:eastAsia="zh-CN"/>
        </w:rPr>
        <w:t>乙方</w:t>
      </w:r>
      <w:r>
        <w:rPr>
          <w:rFonts w:hint="eastAsia" w:ascii="宋体" w:hAnsi="宋体" w:eastAsia="宋体" w:cs="宋体"/>
          <w:color w:val="auto"/>
          <w:spacing w:val="-5"/>
          <w:sz w:val="21"/>
          <w:szCs w:val="21"/>
          <w:highlight w:val="none"/>
          <w:lang w:val="en-US" w:eastAsia="zh-CN"/>
        </w:rPr>
        <w:t>怠于或者拒绝提供资料或者办理手续的，则因此产生的付款迟延的责任全部由</w:t>
      </w:r>
      <w:r>
        <w:rPr>
          <w:rFonts w:hint="eastAsia" w:cs="宋体"/>
          <w:color w:val="auto"/>
          <w:spacing w:val="-5"/>
          <w:sz w:val="21"/>
          <w:szCs w:val="21"/>
          <w:highlight w:val="none"/>
          <w:lang w:val="en-US" w:eastAsia="zh-CN"/>
        </w:rPr>
        <w:t>乙方</w:t>
      </w:r>
      <w:r>
        <w:rPr>
          <w:rFonts w:hint="eastAsia" w:ascii="宋体" w:hAnsi="宋体" w:eastAsia="宋体" w:cs="宋体"/>
          <w:color w:val="auto"/>
          <w:spacing w:val="-5"/>
          <w:sz w:val="21"/>
          <w:szCs w:val="21"/>
          <w:highlight w:val="none"/>
          <w:lang w:val="en-US" w:eastAsia="zh-CN"/>
        </w:rPr>
        <w:t>承担。</w:t>
      </w:r>
    </w:p>
    <w:p w14:paraId="6E2AFD4F">
      <w:pPr>
        <w:keepNext w:val="0"/>
        <w:keepLines w:val="0"/>
        <w:pageBreakBefore w:val="0"/>
        <w:widowControl w:val="0"/>
        <w:shd w:val="clear" w:color="auto"/>
        <w:kinsoku/>
        <w:wordWrap/>
        <w:overflowPunct/>
        <w:topLinePunct w:val="0"/>
        <w:autoSpaceDE/>
        <w:autoSpaceDN/>
        <w:bidi w:val="0"/>
        <w:adjustRightInd/>
        <w:snapToGrid/>
        <w:spacing w:line="360" w:lineRule="auto"/>
        <w:ind w:firstLine="412" w:firstLineChars="200"/>
        <w:jc w:val="left"/>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2"/>
          <w:sz w:val="21"/>
          <w:szCs w:val="21"/>
          <w:highlight w:val="none"/>
        </w:rPr>
        <w:t>3</w:t>
      </w:r>
      <w:r>
        <w:rPr>
          <w:rFonts w:hint="eastAsia" w:cs="宋体"/>
          <w:color w:val="auto"/>
          <w:spacing w:val="-2"/>
          <w:sz w:val="21"/>
          <w:szCs w:val="21"/>
          <w:highlight w:val="none"/>
          <w:lang w:val="en-US" w:eastAsia="zh-CN"/>
        </w:rPr>
        <w:t>.</w:t>
      </w:r>
      <w:r>
        <w:rPr>
          <w:rFonts w:hint="eastAsia" w:ascii="宋体" w:hAnsi="宋体" w:eastAsia="宋体" w:cs="宋体"/>
          <w:color w:val="auto"/>
          <w:spacing w:val="-2"/>
          <w:sz w:val="21"/>
          <w:szCs w:val="21"/>
          <w:highlight w:val="none"/>
        </w:rPr>
        <w:t>因特殊原因需要提早或延迟结算的，经</w:t>
      </w:r>
      <w:r>
        <w:rPr>
          <w:rFonts w:hint="eastAsia" w:cs="宋体"/>
          <w:color w:val="auto"/>
          <w:spacing w:val="-2"/>
          <w:sz w:val="21"/>
          <w:szCs w:val="21"/>
          <w:highlight w:val="none"/>
          <w:lang w:eastAsia="zh-CN"/>
        </w:rPr>
        <w:t>甲方</w:t>
      </w:r>
      <w:r>
        <w:rPr>
          <w:rFonts w:hint="eastAsia" w:ascii="宋体" w:hAnsi="宋体" w:eastAsia="宋体" w:cs="宋体"/>
          <w:color w:val="auto"/>
          <w:spacing w:val="-3"/>
          <w:sz w:val="21"/>
          <w:szCs w:val="21"/>
          <w:highlight w:val="none"/>
        </w:rPr>
        <w:t>和</w:t>
      </w:r>
      <w:r>
        <w:rPr>
          <w:rFonts w:hint="eastAsia" w:cs="宋体"/>
          <w:color w:val="auto"/>
          <w:spacing w:val="-3"/>
          <w:sz w:val="21"/>
          <w:szCs w:val="21"/>
          <w:highlight w:val="none"/>
          <w:lang w:eastAsia="zh-CN"/>
        </w:rPr>
        <w:t>乙方</w:t>
      </w:r>
      <w:r>
        <w:rPr>
          <w:rFonts w:hint="eastAsia" w:ascii="宋体" w:hAnsi="宋体" w:eastAsia="宋体" w:cs="宋体"/>
          <w:color w:val="auto"/>
          <w:spacing w:val="-3"/>
          <w:sz w:val="21"/>
          <w:szCs w:val="21"/>
          <w:highlight w:val="none"/>
        </w:rPr>
        <w:t>双方协商一</w:t>
      </w:r>
      <w:r>
        <w:rPr>
          <w:rFonts w:hint="eastAsia" w:ascii="宋体" w:hAnsi="宋体" w:eastAsia="宋体" w:cs="宋体"/>
          <w:color w:val="auto"/>
          <w:spacing w:val="-8"/>
          <w:sz w:val="21"/>
          <w:szCs w:val="21"/>
          <w:highlight w:val="none"/>
        </w:rPr>
        <w:t>致后执行。</w:t>
      </w:r>
      <w:r>
        <w:rPr>
          <w:rFonts w:hint="eastAsia" w:ascii="宋体" w:hAnsi="宋体" w:eastAsia="宋体" w:cs="宋体"/>
          <w:color w:val="auto"/>
          <w:spacing w:val="-8"/>
          <w:sz w:val="21"/>
          <w:szCs w:val="21"/>
          <w:highlight w:val="none"/>
          <w:lang w:val="en-US" w:eastAsia="zh-CN"/>
        </w:rPr>
        <w:t>因非</w:t>
      </w:r>
      <w:r>
        <w:rPr>
          <w:rFonts w:hint="eastAsia" w:cs="宋体"/>
          <w:color w:val="auto"/>
          <w:spacing w:val="-8"/>
          <w:sz w:val="21"/>
          <w:szCs w:val="21"/>
          <w:highlight w:val="none"/>
          <w:lang w:val="en-US" w:eastAsia="zh-CN"/>
        </w:rPr>
        <w:t>甲方</w:t>
      </w:r>
      <w:r>
        <w:rPr>
          <w:rFonts w:hint="eastAsia" w:ascii="宋体" w:hAnsi="宋体" w:eastAsia="宋体" w:cs="宋体"/>
          <w:color w:val="auto"/>
          <w:spacing w:val="-8"/>
          <w:sz w:val="21"/>
          <w:szCs w:val="21"/>
          <w:highlight w:val="none"/>
          <w:lang w:val="en-US" w:eastAsia="zh-CN"/>
        </w:rPr>
        <w:t>原因干预无法在约定期限内结算的，不视为</w:t>
      </w:r>
      <w:r>
        <w:rPr>
          <w:rFonts w:hint="eastAsia" w:cs="宋体"/>
          <w:color w:val="auto"/>
          <w:spacing w:val="-8"/>
          <w:sz w:val="21"/>
          <w:szCs w:val="21"/>
          <w:highlight w:val="none"/>
          <w:lang w:val="en-US" w:eastAsia="zh-CN"/>
        </w:rPr>
        <w:t>甲方</w:t>
      </w:r>
      <w:r>
        <w:rPr>
          <w:rFonts w:hint="eastAsia" w:ascii="宋体" w:hAnsi="宋体" w:eastAsia="宋体" w:cs="宋体"/>
          <w:color w:val="auto"/>
          <w:spacing w:val="-8"/>
          <w:sz w:val="21"/>
          <w:szCs w:val="21"/>
          <w:highlight w:val="none"/>
          <w:lang w:val="en-US" w:eastAsia="zh-CN"/>
        </w:rPr>
        <w:t>违约。</w:t>
      </w:r>
    </w:p>
    <w:p w14:paraId="5CABD431">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因政策的影响，</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拨款未能及时到位，</w:t>
      </w:r>
      <w:r>
        <w:rPr>
          <w:rFonts w:hint="eastAsia" w:cs="宋体"/>
          <w:color w:val="auto"/>
          <w:sz w:val="21"/>
          <w:szCs w:val="21"/>
          <w:highlight w:val="none"/>
          <w:lang w:val="en-US" w:eastAsia="zh-CN"/>
        </w:rPr>
        <w:t>乙方</w:t>
      </w:r>
      <w:r>
        <w:rPr>
          <w:rFonts w:hint="eastAsia" w:ascii="宋体" w:hAnsi="宋体" w:eastAsia="宋体" w:cs="宋体"/>
          <w:color w:val="auto"/>
          <w:sz w:val="21"/>
          <w:szCs w:val="21"/>
          <w:highlight w:val="none"/>
        </w:rPr>
        <w:t>不得以此为由不履行本合同规定的义务或者追究</w:t>
      </w:r>
      <w:r>
        <w:rPr>
          <w:rFonts w:hint="eastAsia" w:cs="宋体"/>
          <w:color w:val="auto"/>
          <w:sz w:val="21"/>
          <w:szCs w:val="21"/>
          <w:highlight w:val="none"/>
          <w:lang w:val="en-US" w:eastAsia="zh-CN"/>
        </w:rPr>
        <w:t>甲方</w:t>
      </w:r>
      <w:r>
        <w:rPr>
          <w:rFonts w:hint="eastAsia" w:ascii="宋体" w:hAnsi="宋体" w:eastAsia="宋体" w:cs="宋体"/>
          <w:color w:val="auto"/>
          <w:sz w:val="21"/>
          <w:szCs w:val="21"/>
          <w:highlight w:val="none"/>
        </w:rPr>
        <w:t>的违约责任。</w:t>
      </w:r>
    </w:p>
    <w:p w14:paraId="52B03370">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十一</w:t>
      </w:r>
      <w:r>
        <w:rPr>
          <w:rFonts w:hint="eastAsia" w:ascii="宋体" w:hAnsi="宋体" w:eastAsia="宋体" w:cs="宋体"/>
          <w:b/>
          <w:bCs/>
          <w:color w:val="auto"/>
          <w:sz w:val="21"/>
          <w:szCs w:val="21"/>
          <w:highlight w:val="none"/>
        </w:rPr>
        <w:t>条 验收</w:t>
      </w:r>
      <w:r>
        <w:rPr>
          <w:rFonts w:hint="eastAsia" w:ascii="宋体" w:hAnsi="宋体" w:eastAsia="宋体" w:cs="宋体"/>
          <w:b/>
          <w:bCs/>
          <w:color w:val="auto"/>
          <w:sz w:val="21"/>
          <w:szCs w:val="21"/>
          <w:highlight w:val="none"/>
          <w:lang w:val="en-US" w:eastAsia="zh-CN"/>
        </w:rPr>
        <w:t>要求</w:t>
      </w:r>
    </w:p>
    <w:p w14:paraId="6C79FBE4">
      <w:pPr>
        <w:pStyle w:val="68"/>
        <w:keepNext w:val="0"/>
        <w:keepLines w:val="0"/>
        <w:pageBreakBefore w:val="0"/>
        <w:widowControl/>
        <w:shd w:val="clear" w:color="auto"/>
        <w:kinsoku/>
        <w:wordWrap/>
        <w:overflowPunct/>
        <w:topLinePunct w:val="0"/>
        <w:autoSpaceDE/>
        <w:autoSpaceDN/>
        <w:bidi w:val="0"/>
        <w:adjustRightInd w:val="0"/>
        <w:snapToGrid w:val="0"/>
        <w:spacing w:line="360" w:lineRule="auto"/>
        <w:ind w:left="0" w:right="0" w:firstLine="412" w:firstLineChars="200"/>
        <w:jc w:val="both"/>
        <w:textAlignment w:val="auto"/>
        <w:rPr>
          <w:rFonts w:hint="eastAsia" w:ascii="宋体" w:hAnsi="宋体" w:eastAsia="宋体" w:cs="宋体"/>
          <w:color w:val="auto"/>
          <w:sz w:val="21"/>
          <w:szCs w:val="21"/>
          <w:highlight w:val="none"/>
        </w:rPr>
      </w:pPr>
      <w:r>
        <w:rPr>
          <w:rFonts w:hint="eastAsia" w:cs="宋体"/>
          <w:color w:val="auto"/>
          <w:spacing w:val="-2"/>
          <w:sz w:val="21"/>
          <w:szCs w:val="21"/>
          <w:highlight w:val="none"/>
          <w:lang w:val="en-US" w:eastAsia="zh-CN"/>
        </w:rPr>
        <w:t>1.</w:t>
      </w:r>
      <w:r>
        <w:rPr>
          <w:rFonts w:hint="eastAsia" w:cs="宋体"/>
          <w:color w:val="auto"/>
          <w:spacing w:val="-2"/>
          <w:sz w:val="21"/>
          <w:szCs w:val="21"/>
          <w:highlight w:val="none"/>
          <w:lang w:eastAsia="zh-CN"/>
        </w:rPr>
        <w:t>乙方</w:t>
      </w:r>
      <w:r>
        <w:rPr>
          <w:rFonts w:hint="eastAsia" w:ascii="宋体" w:hAnsi="宋体" w:eastAsia="宋体" w:cs="宋体"/>
          <w:color w:val="auto"/>
          <w:spacing w:val="-2"/>
          <w:sz w:val="21"/>
          <w:szCs w:val="21"/>
          <w:highlight w:val="none"/>
        </w:rPr>
        <w:t>所供应的货品需要符合国家、广东省和东莞市的相</w:t>
      </w:r>
      <w:r>
        <w:rPr>
          <w:rFonts w:hint="eastAsia" w:ascii="宋体" w:hAnsi="宋体" w:eastAsia="宋体" w:cs="宋体"/>
          <w:color w:val="auto"/>
          <w:spacing w:val="-12"/>
          <w:sz w:val="21"/>
          <w:szCs w:val="21"/>
          <w:highlight w:val="none"/>
        </w:rPr>
        <w:t>关安全质量标准、卫生标准等，同时符合</w:t>
      </w:r>
      <w:r>
        <w:rPr>
          <w:rFonts w:hint="eastAsia" w:cs="宋体"/>
          <w:color w:val="auto"/>
          <w:spacing w:val="-12"/>
          <w:sz w:val="21"/>
          <w:szCs w:val="21"/>
          <w:highlight w:val="none"/>
          <w:lang w:eastAsia="zh-CN"/>
        </w:rPr>
        <w:t>甲方</w:t>
      </w:r>
      <w:r>
        <w:rPr>
          <w:rFonts w:hint="eastAsia" w:ascii="宋体" w:hAnsi="宋体" w:eastAsia="宋体" w:cs="宋体"/>
          <w:color w:val="auto"/>
          <w:spacing w:val="-13"/>
          <w:sz w:val="21"/>
          <w:szCs w:val="21"/>
          <w:highlight w:val="none"/>
        </w:rPr>
        <w:t>的使用要求，包括但</w:t>
      </w:r>
      <w:r>
        <w:rPr>
          <w:rFonts w:hint="eastAsia" w:ascii="宋体" w:hAnsi="宋体" w:eastAsia="宋体" w:cs="宋体"/>
          <w:color w:val="auto"/>
          <w:spacing w:val="-2"/>
          <w:sz w:val="21"/>
          <w:szCs w:val="21"/>
          <w:highlight w:val="none"/>
        </w:rPr>
        <w:t>不限于各类所列的货品质量要求。</w:t>
      </w:r>
      <w:r>
        <w:rPr>
          <w:rFonts w:hint="eastAsia" w:cs="宋体"/>
          <w:color w:val="auto"/>
          <w:spacing w:val="-2"/>
          <w:sz w:val="21"/>
          <w:szCs w:val="21"/>
          <w:highlight w:val="none"/>
          <w:lang w:eastAsia="zh-CN"/>
        </w:rPr>
        <w:t>乙方</w:t>
      </w:r>
      <w:r>
        <w:rPr>
          <w:rFonts w:hint="eastAsia" w:ascii="宋体" w:hAnsi="宋体" w:eastAsia="宋体" w:cs="宋体"/>
          <w:color w:val="auto"/>
          <w:spacing w:val="-2"/>
          <w:sz w:val="21"/>
          <w:szCs w:val="21"/>
          <w:highlight w:val="none"/>
        </w:rPr>
        <w:t>在接受订单时需要确认</w:t>
      </w:r>
      <w:r>
        <w:rPr>
          <w:rFonts w:hint="eastAsia" w:cs="宋体"/>
          <w:color w:val="auto"/>
          <w:spacing w:val="-2"/>
          <w:sz w:val="21"/>
          <w:szCs w:val="21"/>
          <w:highlight w:val="none"/>
          <w:lang w:eastAsia="zh-CN"/>
        </w:rPr>
        <w:t>甲方</w:t>
      </w:r>
      <w:r>
        <w:rPr>
          <w:rFonts w:hint="eastAsia" w:ascii="宋体" w:hAnsi="宋体" w:eastAsia="宋体" w:cs="宋体"/>
          <w:color w:val="auto"/>
          <w:spacing w:val="-11"/>
          <w:sz w:val="21"/>
          <w:szCs w:val="21"/>
          <w:highlight w:val="none"/>
        </w:rPr>
        <w:t>对货品的使用要求，对于不符合</w:t>
      </w:r>
      <w:r>
        <w:rPr>
          <w:rFonts w:hint="eastAsia" w:cs="宋体"/>
          <w:color w:val="auto"/>
          <w:spacing w:val="-11"/>
          <w:sz w:val="21"/>
          <w:szCs w:val="21"/>
          <w:highlight w:val="none"/>
          <w:lang w:eastAsia="zh-CN"/>
        </w:rPr>
        <w:t>甲方</w:t>
      </w:r>
      <w:r>
        <w:rPr>
          <w:rFonts w:hint="eastAsia" w:ascii="宋体" w:hAnsi="宋体" w:eastAsia="宋体" w:cs="宋体"/>
          <w:color w:val="auto"/>
          <w:spacing w:val="-11"/>
          <w:sz w:val="21"/>
          <w:szCs w:val="21"/>
          <w:highlight w:val="none"/>
        </w:rPr>
        <w:t>要求的货品，</w:t>
      </w:r>
      <w:r>
        <w:rPr>
          <w:rFonts w:hint="eastAsia" w:cs="宋体"/>
          <w:color w:val="auto"/>
          <w:spacing w:val="-11"/>
          <w:sz w:val="21"/>
          <w:szCs w:val="21"/>
          <w:highlight w:val="none"/>
          <w:lang w:eastAsia="zh-CN"/>
        </w:rPr>
        <w:t>甲方</w:t>
      </w:r>
      <w:r>
        <w:rPr>
          <w:rFonts w:hint="eastAsia" w:ascii="宋体" w:hAnsi="宋体" w:eastAsia="宋体" w:cs="宋体"/>
          <w:color w:val="auto"/>
          <w:spacing w:val="-11"/>
          <w:sz w:val="21"/>
          <w:szCs w:val="21"/>
          <w:highlight w:val="none"/>
        </w:rPr>
        <w:t>有权拒</w:t>
      </w:r>
      <w:r>
        <w:rPr>
          <w:rFonts w:hint="eastAsia" w:ascii="宋体" w:hAnsi="宋体" w:eastAsia="宋体" w:cs="宋体"/>
          <w:color w:val="auto"/>
          <w:spacing w:val="-6"/>
          <w:sz w:val="21"/>
          <w:szCs w:val="21"/>
          <w:highlight w:val="none"/>
        </w:rPr>
        <w:t>收或要求更换。</w:t>
      </w:r>
    </w:p>
    <w:p w14:paraId="4DE609D9">
      <w:pPr>
        <w:keepNext w:val="0"/>
        <w:keepLines w:val="0"/>
        <w:pageBreakBefore w:val="0"/>
        <w:shd w:val="clear" w:color="auto"/>
        <w:kinsoku/>
        <w:wordWrap/>
        <w:overflowPunct/>
        <w:topLinePunct w:val="0"/>
        <w:autoSpaceDE w:val="0"/>
        <w:autoSpaceDN w:val="0"/>
        <w:bidi w:val="0"/>
        <w:adjustRightInd/>
        <w:snapToGrid/>
        <w:ind w:firstLine="416" w:firstLineChars="200"/>
        <w:rPr>
          <w:rFonts w:hint="eastAsia" w:ascii="宋体" w:hAnsi="宋体" w:eastAsia="宋体" w:cs="宋体"/>
          <w:color w:val="auto"/>
          <w:sz w:val="21"/>
          <w:szCs w:val="21"/>
          <w:highlight w:val="none"/>
        </w:rPr>
      </w:pPr>
      <w:r>
        <w:rPr>
          <w:rFonts w:hint="eastAsia" w:cs="宋体"/>
          <w:color w:val="auto"/>
          <w:spacing w:val="-1"/>
          <w:sz w:val="21"/>
          <w:szCs w:val="21"/>
          <w:highlight w:val="none"/>
          <w:lang w:val="en-US" w:eastAsia="zh-CN"/>
        </w:rPr>
        <w:t>2.</w:t>
      </w:r>
      <w:r>
        <w:rPr>
          <w:rFonts w:hint="eastAsia" w:ascii="宋体" w:hAnsi="宋体" w:eastAsia="宋体" w:cs="宋体"/>
          <w:color w:val="auto"/>
          <w:spacing w:val="-1"/>
          <w:sz w:val="21"/>
          <w:szCs w:val="21"/>
          <w:highlight w:val="none"/>
        </w:rPr>
        <w:t>退（补）货流程：对不符合采购要求的食材由验收人员提</w:t>
      </w:r>
      <w:r>
        <w:rPr>
          <w:rFonts w:hint="eastAsia" w:ascii="宋体" w:hAnsi="宋体" w:eastAsia="宋体" w:cs="宋体"/>
          <w:color w:val="auto"/>
          <w:spacing w:val="-10"/>
          <w:sz w:val="21"/>
          <w:szCs w:val="21"/>
          <w:highlight w:val="none"/>
        </w:rPr>
        <w:t>出清退，退货前应实行留板备案，如双方对质量争议可送国家质监部</w:t>
      </w:r>
      <w:r>
        <w:rPr>
          <w:rFonts w:hint="eastAsia" w:ascii="宋体" w:hAnsi="宋体" w:eastAsia="宋体" w:cs="宋体"/>
          <w:color w:val="auto"/>
          <w:spacing w:val="-7"/>
          <w:sz w:val="21"/>
          <w:szCs w:val="21"/>
          <w:highlight w:val="none"/>
        </w:rPr>
        <w:t>门检测。对缺斤短两（或含水量超标）的应按实际重量扣减。出现退</w:t>
      </w:r>
      <w:r>
        <w:rPr>
          <w:rFonts w:hint="eastAsia" w:ascii="宋体" w:hAnsi="宋体" w:eastAsia="宋体" w:cs="宋体"/>
          <w:color w:val="auto"/>
          <w:spacing w:val="-13"/>
          <w:sz w:val="21"/>
          <w:szCs w:val="21"/>
          <w:highlight w:val="none"/>
        </w:rPr>
        <w:t>（补）</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3"/>
          <w:sz w:val="21"/>
          <w:szCs w:val="21"/>
          <w:highlight w:val="none"/>
        </w:rPr>
        <w:t>货情况，应及时报告。在退货过程中，对有碍公共卫生安全的</w:t>
      </w:r>
      <w:r>
        <w:rPr>
          <w:rFonts w:hint="eastAsia" w:cs="宋体"/>
          <w:color w:val="auto"/>
          <w:spacing w:val="-9"/>
          <w:sz w:val="21"/>
          <w:szCs w:val="21"/>
          <w:highlight w:val="none"/>
          <w:lang w:val="en-US" w:eastAsia="zh-CN"/>
        </w:rPr>
        <w:t>食材</w:t>
      </w:r>
      <w:r>
        <w:rPr>
          <w:rFonts w:hint="eastAsia" w:ascii="宋体" w:hAnsi="宋体" w:eastAsia="宋体" w:cs="宋体"/>
          <w:color w:val="auto"/>
          <w:spacing w:val="-9"/>
          <w:sz w:val="21"/>
          <w:szCs w:val="21"/>
          <w:highlight w:val="none"/>
        </w:rPr>
        <w:t>，应按国家有关规定处</w:t>
      </w:r>
      <w:r>
        <w:rPr>
          <w:rFonts w:hint="eastAsia" w:ascii="宋体" w:hAnsi="宋体" w:eastAsia="宋体" w:cs="宋体"/>
          <w:color w:val="auto"/>
          <w:sz w:val="21"/>
          <w:szCs w:val="21"/>
          <w:highlight w:val="none"/>
        </w:rPr>
        <w:t>理或进行协议销毁，所产生的费用经济法律责任由</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自行承担。</w:t>
      </w:r>
    </w:p>
    <w:p w14:paraId="0EAA8356">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验收记录：到货时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w:t>
      </w:r>
      <w:r>
        <w:rPr>
          <w:rFonts w:hint="eastAsia"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组织人员进行</w:t>
      </w:r>
      <w:r>
        <w:rPr>
          <w:rFonts w:hint="eastAsia" w:ascii="宋体" w:hAnsi="宋体" w:eastAsia="宋体" w:cs="宋体"/>
          <w:color w:val="auto"/>
          <w:sz w:val="21"/>
          <w:szCs w:val="21"/>
          <w:highlight w:val="none"/>
        </w:rPr>
        <w:t>验收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每次采购的食材都要登记记录，注明名称、数量等事项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并在采购登记记录上签明意见和验收人的名字及日期。</w:t>
      </w:r>
    </w:p>
    <w:p w14:paraId="3742AC70">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十二</w:t>
      </w:r>
      <w:r>
        <w:rPr>
          <w:rFonts w:hint="eastAsia" w:ascii="宋体" w:hAnsi="宋体" w:eastAsia="宋体" w:cs="宋体"/>
          <w:b/>
          <w:bCs/>
          <w:color w:val="auto"/>
          <w:sz w:val="21"/>
          <w:szCs w:val="21"/>
          <w:highlight w:val="none"/>
        </w:rPr>
        <w:t>条 税和关税</w:t>
      </w:r>
    </w:p>
    <w:p w14:paraId="70096065">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、中国政府根据现行税法规定对乙方或其雇员征收的与本合同有关的一切税费应由乙方承担。</w:t>
      </w:r>
    </w:p>
    <w:p w14:paraId="5D888119">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、在中国境外发生的与本合同执行有关的一切税费均应由乙方承担。</w:t>
      </w:r>
    </w:p>
    <w:p w14:paraId="463EE4C5">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十三</w:t>
      </w:r>
      <w:r>
        <w:rPr>
          <w:rFonts w:hint="eastAsia" w:ascii="宋体" w:hAnsi="宋体" w:eastAsia="宋体" w:cs="宋体"/>
          <w:b/>
          <w:bCs/>
          <w:color w:val="auto"/>
          <w:sz w:val="21"/>
          <w:szCs w:val="21"/>
          <w:highlight w:val="none"/>
        </w:rPr>
        <w:t>条 其它约定</w:t>
      </w:r>
    </w:p>
    <w:p w14:paraId="6432E504">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1、严禁转包，未经甲方书面同意不得分包。</w:t>
      </w:r>
    </w:p>
    <w:p w14:paraId="18E0DDFB">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2、乙方全部工作人员，须符合东莞市政府用工标准要求。</w:t>
      </w:r>
    </w:p>
    <w:p w14:paraId="4971F059">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3、乙方服务人员进行服务期间的过失或故意行为，造成甲方经济损失的，由乙方负责赔偿。</w:t>
      </w:r>
    </w:p>
    <w:p w14:paraId="51895EF5">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乙方服务人员的劳动关系隶属乙方，乙方负责服务人员的工资、节假日和超时加班补助费、社会保险、住宿、伙食等。乙方负责为本项目服务人 员购买工伤保险或商业意外险，如乙方人员服务期间发生工伤意外事故，由乙方负责办理一切保险赔偿等善后手续。如因此造成甲方承担责任，甲方赔偿后有权向乙方追偿。</w:t>
      </w:r>
    </w:p>
    <w:p w14:paraId="6077DA74">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因乙方自身原因造成负面社会影响（包括但不限于被公开讨薪维权、在其他项目出现重大食品安全事故等），甲方有权单方解除合同。</w:t>
      </w:r>
    </w:p>
    <w:p w14:paraId="394E93C5">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b/>
          <w:bCs/>
          <w:color w:val="auto"/>
          <w:sz w:val="21"/>
          <w:szCs w:val="21"/>
          <w:highlight w:val="none"/>
        </w:rPr>
      </w:pPr>
      <w:r>
        <w:rPr>
          <w:rFonts w:hint="default"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en-US"/>
        </w:rPr>
        <w:t>、对本合同工作成果、甲方提供的资料以及其它在签订或履行合同过程中所获取的甲方非公开资料(包括本合同内容),乙方负有保密义务。未经甲方书面同意，乙方及其工作人员不得将上述资料复制、泄露、公开、转让或使用于本合同之外的其它用途。否则，视为乙方违约，甲方有权要求乙方赔偿一切损失。</w:t>
      </w:r>
    </w:p>
    <w:p w14:paraId="2BE4271F">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rPr>
        <w:t>条 违约责任</w:t>
      </w:r>
    </w:p>
    <w:p w14:paraId="05A9DF79">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1、除本合同另有约定外，合同双方任何一方不履行合同条款或不按合同约定履行条款的其它情况，均属违约，由违约方赔偿因其违约造成的损失，并承担相应的违约责任。</w:t>
      </w:r>
    </w:p>
    <w:p w14:paraId="4BC8407D">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2、由于乙方的原因，导致双方签订的合同终止，</w:t>
      </w:r>
      <w:r>
        <w:rPr>
          <w:rFonts w:hint="eastAsia" w:ascii="宋体" w:hAnsi="宋体" w:eastAsia="宋体" w:cs="宋体"/>
          <w:color w:val="auto"/>
          <w:sz w:val="21"/>
          <w:szCs w:val="21"/>
          <w:highlight w:val="none"/>
          <w:lang w:val="en-US"/>
        </w:rPr>
        <w:t>没收乙方履约保证金，</w:t>
      </w:r>
      <w:r>
        <w:rPr>
          <w:rFonts w:hint="eastAsia" w:ascii="宋体" w:hAnsi="宋体" w:eastAsia="宋体" w:cs="宋体"/>
          <w:color w:val="auto"/>
          <w:sz w:val="21"/>
          <w:szCs w:val="21"/>
          <w:highlight w:val="none"/>
        </w:rPr>
        <w:t>乙方因此而遭受的损失，将由乙方独立承担，甲方对此不负任何责任，也不作任何赔偿。</w:t>
      </w:r>
    </w:p>
    <w:p w14:paraId="599E73E7">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rPr>
        <w:t>3、</w:t>
      </w:r>
      <w:r>
        <w:rPr>
          <w:rFonts w:hint="eastAsia" w:ascii="宋体" w:hAnsi="宋体" w:eastAsia="宋体" w:cs="宋体"/>
          <w:bCs/>
          <w:color w:val="auto"/>
          <w:sz w:val="21"/>
          <w:szCs w:val="21"/>
          <w:highlight w:val="none"/>
          <w:lang w:val="en-US"/>
        </w:rPr>
        <w:t>无论合同是否履行完毕，乙方未按照合同约定履行或者验收后被甲方、财政部门或审计部门发现相关问题的，均视为乙方违约，</w:t>
      </w:r>
      <w:r>
        <w:rPr>
          <w:rFonts w:hint="eastAsia" w:ascii="宋体" w:hAnsi="宋体" w:eastAsia="宋体" w:cs="宋体"/>
          <w:color w:val="auto"/>
          <w:sz w:val="21"/>
          <w:szCs w:val="21"/>
          <w:highlight w:val="none"/>
        </w:rPr>
        <w:t>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赔偿因其违约造成的损失，承担相应的违约责任</w:t>
      </w:r>
      <w:r>
        <w:rPr>
          <w:rFonts w:hint="eastAsia" w:ascii="宋体" w:hAnsi="宋体" w:eastAsia="宋体" w:cs="宋体"/>
          <w:bCs/>
          <w:color w:val="auto"/>
          <w:sz w:val="21"/>
          <w:szCs w:val="21"/>
          <w:highlight w:val="none"/>
          <w:lang w:val="en-US"/>
        </w:rPr>
        <w:t>，并承担给甲方造成的损失。同时，甲方有权随时解除合同。本合同所述之损失、经济赔偿包括但不限于甲方的直接经济损失、向第三方支付的赔偿金/违约金、诉讼费、律师费、担保费及保全费、公证费、鉴定费、评估费、拍卖费、差旅费等全部损失。</w:t>
      </w:r>
    </w:p>
    <w:p w14:paraId="1EC53997">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4、如因乙方违反本合同项下之义务，或未及时处理相关纠纷导致甲方垫付人员工资、经济补偿金、赔偿金、供应商货款等款项的，乙方除应向甲方返还相应款项外，还应自垫付发生之日起按垫付款每日1</w:t>
      </w:r>
      <w:r>
        <w:rPr>
          <w:rFonts w:hint="default" w:ascii="Arial" w:hAnsi="Arial" w:eastAsia="宋体" w:cs="Arial"/>
          <w:bCs/>
          <w:color w:val="auto"/>
          <w:sz w:val="21"/>
          <w:szCs w:val="21"/>
          <w:highlight w:val="none"/>
          <w:lang w:val="en-US"/>
        </w:rPr>
        <w:t>‰</w:t>
      </w:r>
      <w:r>
        <w:rPr>
          <w:rFonts w:hint="eastAsia" w:ascii="宋体" w:hAnsi="宋体" w:eastAsia="宋体" w:cs="宋体"/>
          <w:bCs/>
          <w:color w:val="auto"/>
          <w:sz w:val="21"/>
          <w:szCs w:val="21"/>
          <w:highlight w:val="none"/>
          <w:lang w:val="en-US"/>
        </w:rPr>
        <w:t>的标准向甲方支付违约金。</w:t>
      </w:r>
    </w:p>
    <w:p w14:paraId="0C18F146">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5、甲方有权从应支付给乙方的费用中直接扣减上述违约金、垫付款等乙方应付款项，乙方对此不持异议。</w:t>
      </w:r>
    </w:p>
    <w:p w14:paraId="52A4ADF4">
      <w:pPr>
        <w:pageBreakBefore w:val="0"/>
        <w:shd w:val="clear" w:color="auto"/>
        <w:kinsoku/>
        <w:wordWrap/>
        <w:overflowPunct/>
        <w:topLinePunct w:val="0"/>
        <w:autoSpaceDE/>
        <w:autoSpaceDN/>
        <w:bidi w:val="0"/>
        <w:spacing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6、</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发生以下情形，但未因所供货物发生食品安全事故，经调查属实的，在当月结算费用内扣除500元/次，若当月结算费用不足以扣减的，可在之后的结算费用中进行扣减</w:t>
      </w:r>
      <w:r>
        <w:rPr>
          <w:rFonts w:hint="eastAsia" w:ascii="宋体" w:hAnsi="宋体" w:eastAsia="宋体" w:cs="宋体"/>
          <w:color w:val="auto"/>
          <w:sz w:val="21"/>
          <w:szCs w:val="21"/>
          <w:highlight w:val="none"/>
          <w:lang w:eastAsia="zh-CN"/>
        </w:rPr>
        <w:t>：</w:t>
      </w:r>
    </w:p>
    <w:p w14:paraId="0B2022BC">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未按要求随货提供相关票证。</w:t>
      </w:r>
    </w:p>
    <w:p w14:paraId="3B33F7FA">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货物质量验收不合格，经沟通仍不同意更换货物；</w:t>
      </w:r>
    </w:p>
    <w:p w14:paraId="255623A7">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未按</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采购计划的时间供货（提前一天与</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协商认可的除外），且未影响伙食供应；</w:t>
      </w:r>
    </w:p>
    <w:p w14:paraId="70076501">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供货数量超于</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采购计划数量的土10%（含本数），且未影响伙食供应；</w:t>
      </w:r>
    </w:p>
    <w:p w14:paraId="3E5F840A">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未经</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同意私自更改订单内容；</w:t>
      </w:r>
    </w:p>
    <w:p w14:paraId="06819D38">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弄虚作假，故意不响应（或不完全响应）</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订单项目和质量要求；</w:t>
      </w:r>
    </w:p>
    <w:p w14:paraId="173B681E">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货物出现质量问题，</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不积极配合查找原因，不及时反馈处理结果；</w:t>
      </w:r>
    </w:p>
    <w:p w14:paraId="5310427F">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及其工作人员不遵守</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各项管理规定；</w:t>
      </w:r>
    </w:p>
    <w:p w14:paraId="1B31A031">
      <w:pPr>
        <w:pageBreakBefore w:val="0"/>
        <w:shd w:val="clear" w:color="auto"/>
        <w:kinsoku/>
        <w:wordWrap/>
        <w:overflowPunct/>
        <w:topLinePunct w:val="0"/>
        <w:autoSpaceDE/>
        <w:autoSpaceDN/>
        <w:bidi w:val="0"/>
        <w:spacing w:line="360" w:lineRule="auto"/>
        <w:ind w:left="0"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存在其他违反约定的情形的。</w:t>
      </w:r>
    </w:p>
    <w:p w14:paraId="2228D8CB">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w:t>
      </w:r>
      <w:r>
        <w:rPr>
          <w:rFonts w:hint="eastAsia" w:ascii="宋体" w:hAnsi="宋体" w:eastAsia="宋体" w:cs="宋体"/>
          <w:color w:val="auto"/>
          <w:sz w:val="21"/>
          <w:szCs w:val="21"/>
          <w:highlight w:val="none"/>
        </w:rPr>
        <w:t>如</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违反合同约定的服务要求，经</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催告后限期内仍不整改，或违反合同约定累计超过3次的，</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有权</w:t>
      </w:r>
      <w:r>
        <w:rPr>
          <w:rFonts w:hint="eastAsia" w:ascii="宋体" w:hAnsi="宋体" w:eastAsia="宋体" w:cs="宋体"/>
          <w:b w:val="0"/>
          <w:bCs w:val="0"/>
          <w:color w:val="auto"/>
          <w:sz w:val="21"/>
          <w:szCs w:val="21"/>
          <w:highlight w:val="none"/>
        </w:rPr>
        <w:t>单方</w:t>
      </w:r>
      <w:r>
        <w:rPr>
          <w:rFonts w:hint="eastAsia" w:ascii="宋体" w:hAnsi="宋体" w:eastAsia="宋体" w:cs="宋体"/>
          <w:color w:val="auto"/>
          <w:sz w:val="21"/>
          <w:szCs w:val="21"/>
          <w:highlight w:val="none"/>
        </w:rPr>
        <w:t>解除合同，并要求</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承担</w:t>
      </w:r>
      <w:r>
        <w:rPr>
          <w:rFonts w:hint="eastAsia" w:ascii="宋体" w:hAnsi="宋体" w:cs="宋体"/>
          <w:color w:val="auto"/>
          <w:sz w:val="21"/>
          <w:szCs w:val="21"/>
          <w:highlight w:val="none"/>
          <w:lang w:val="en-US" w:eastAsia="zh-CN"/>
        </w:rPr>
        <w:t>相应</w:t>
      </w:r>
      <w:r>
        <w:rPr>
          <w:rFonts w:hint="default" w:ascii="宋体" w:hAnsi="宋体" w:eastAsia="宋体" w:cs="宋体"/>
          <w:color w:val="auto"/>
          <w:sz w:val="21"/>
          <w:szCs w:val="21"/>
          <w:highlight w:val="none"/>
          <w:lang w:val="en-US"/>
        </w:rPr>
        <w:t>的</w:t>
      </w:r>
      <w:r>
        <w:rPr>
          <w:rFonts w:hint="eastAsia" w:ascii="宋体" w:hAnsi="宋体" w:eastAsia="宋体" w:cs="宋体"/>
          <w:color w:val="auto"/>
          <w:sz w:val="21"/>
          <w:szCs w:val="21"/>
          <w:highlight w:val="none"/>
        </w:rPr>
        <w:t>违约金；违约金不足以弥补</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损失的，</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有权继续向</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追偿不足的部分。</w:t>
      </w:r>
      <w:r>
        <w:rPr>
          <w:rFonts w:hint="eastAsia" w:ascii="宋体" w:hAnsi="宋体" w:eastAsia="宋体" w:cs="宋体"/>
          <w:b w:val="0"/>
          <w:bCs w:val="0"/>
          <w:color w:val="auto"/>
          <w:sz w:val="21"/>
          <w:szCs w:val="21"/>
          <w:highlight w:val="none"/>
        </w:rPr>
        <w:t>相关经济损失由</w:t>
      </w:r>
      <w:r>
        <w:rPr>
          <w:rFonts w:hint="eastAsia"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承担。</w:t>
      </w:r>
    </w:p>
    <w:p w14:paraId="00AABE67">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rPr>
        <w:t>如</w:t>
      </w:r>
      <w:r>
        <w:rPr>
          <w:rFonts w:hint="eastAsia" w:ascii="宋体" w:hAnsi="宋体" w:eastAsia="宋体" w:cs="宋体"/>
          <w:color w:val="auto"/>
          <w:sz w:val="21"/>
          <w:szCs w:val="21"/>
          <w:highlight w:val="none"/>
          <w:lang w:val="en-US" w:eastAsia="zh-CN"/>
        </w:rPr>
        <w:t>因</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提供过期、变质、有毒、伪劣、无生产日期、无质量合格证或无生产厂家的</w:t>
      </w:r>
      <w:r>
        <w:rPr>
          <w:rFonts w:hint="eastAsia" w:ascii="宋体" w:hAnsi="宋体" w:eastAsia="宋体" w:cs="宋体"/>
          <w:b w:val="0"/>
          <w:bCs w:val="0"/>
          <w:color w:val="auto"/>
          <w:sz w:val="21"/>
          <w:szCs w:val="21"/>
          <w:highlight w:val="none"/>
        </w:rPr>
        <w:t>食材引起食用的人身体不适、发生食物中毒等问题，经市级</w:t>
      </w:r>
      <w:r>
        <w:rPr>
          <w:rFonts w:hint="eastAsia" w:ascii="宋体" w:hAnsi="宋体" w:eastAsia="宋体" w:cs="宋体"/>
          <w:b w:val="0"/>
          <w:bCs w:val="0"/>
          <w:color w:val="auto"/>
          <w:sz w:val="21"/>
          <w:szCs w:val="21"/>
          <w:highlight w:val="none"/>
          <w:lang w:val="en-US" w:eastAsia="zh-CN"/>
        </w:rPr>
        <w:t>以上</w:t>
      </w:r>
      <w:r>
        <w:rPr>
          <w:rFonts w:hint="eastAsia" w:ascii="宋体" w:hAnsi="宋体" w:eastAsia="宋体" w:cs="宋体"/>
          <w:b w:val="0"/>
          <w:bCs w:val="0"/>
          <w:color w:val="auto"/>
          <w:sz w:val="21"/>
          <w:szCs w:val="21"/>
          <w:highlight w:val="none"/>
        </w:rPr>
        <w:t>质量检验部门确定后是</w:t>
      </w:r>
      <w:r>
        <w:rPr>
          <w:rFonts w:hint="eastAsia"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的责任，</w:t>
      </w:r>
      <w:r>
        <w:rPr>
          <w:rFonts w:hint="eastAsia"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有权立即单方终止合约</w:t>
      </w:r>
      <w:r>
        <w:rPr>
          <w:rFonts w:hint="eastAsia" w:ascii="宋体" w:hAnsi="宋体" w:eastAsia="宋体" w:cs="宋体"/>
          <w:color w:val="auto"/>
          <w:sz w:val="21"/>
          <w:szCs w:val="21"/>
          <w:highlight w:val="none"/>
        </w:rPr>
        <w:t>，并要求</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承担</w:t>
      </w:r>
      <w:r>
        <w:rPr>
          <w:rFonts w:hint="eastAsia" w:ascii="宋体" w:hAnsi="宋体" w:cs="宋体"/>
          <w:color w:val="auto"/>
          <w:sz w:val="21"/>
          <w:szCs w:val="21"/>
          <w:highlight w:val="none"/>
          <w:lang w:val="en-US" w:eastAsia="zh-CN"/>
        </w:rPr>
        <w:t>相应</w:t>
      </w:r>
      <w:r>
        <w:rPr>
          <w:rFonts w:hint="eastAsia" w:ascii="宋体" w:hAnsi="宋体" w:eastAsia="宋体" w:cs="宋体"/>
          <w:color w:val="auto"/>
          <w:sz w:val="21"/>
          <w:szCs w:val="21"/>
          <w:highlight w:val="none"/>
        </w:rPr>
        <w:t>的违约金。违约金不足以弥补</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损失的，</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有权继续向</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追偿不足的部分。</w:t>
      </w:r>
      <w:r>
        <w:rPr>
          <w:rFonts w:hint="eastAsia" w:cs="宋体"/>
          <w:b w:val="0"/>
          <w:bCs w:val="0"/>
          <w:color w:val="auto"/>
          <w:sz w:val="21"/>
          <w:szCs w:val="21"/>
          <w:highlight w:val="none"/>
          <w:lang w:eastAsia="zh-CN"/>
        </w:rPr>
        <w:t>乙方</w:t>
      </w:r>
      <w:r>
        <w:rPr>
          <w:rFonts w:hint="eastAsia" w:ascii="宋体" w:hAnsi="宋体" w:eastAsia="宋体" w:cs="宋体"/>
          <w:b w:val="0"/>
          <w:bCs w:val="0"/>
          <w:color w:val="auto"/>
          <w:sz w:val="21"/>
          <w:szCs w:val="21"/>
          <w:highlight w:val="none"/>
        </w:rPr>
        <w:t>同时承担相应的民事及刑事法律责任及放弃先诉抗辩权，并立即终止合同。</w:t>
      </w:r>
    </w:p>
    <w:p w14:paraId="73F04813">
      <w:pPr>
        <w:keepNext w:val="0"/>
        <w:keepLines w:val="0"/>
        <w:pageBreakBefore w:val="0"/>
        <w:widowControl/>
        <w:shd w:val="clear" w:color="auto"/>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9、</w:t>
      </w:r>
      <w:r>
        <w:rPr>
          <w:rFonts w:hint="eastAsia" w:ascii="宋体" w:hAnsi="宋体" w:eastAsia="宋体" w:cs="宋体"/>
          <w:color w:val="auto"/>
          <w:sz w:val="21"/>
          <w:szCs w:val="21"/>
          <w:highlight w:val="none"/>
        </w:rPr>
        <w:t>因</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原因导致解除合同的，</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无需再向</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支付任何货款，且</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无需向</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进行</w:t>
      </w:r>
      <w:r>
        <w:rPr>
          <w:rFonts w:hint="eastAsia" w:ascii="宋体" w:hAnsi="宋体" w:eastAsia="宋体" w:cs="宋体"/>
          <w:color w:val="auto"/>
          <w:sz w:val="21"/>
          <w:szCs w:val="21"/>
          <w:highlight w:val="none"/>
          <w:lang w:val="en-US" w:eastAsia="zh-CN"/>
        </w:rPr>
        <w:t>赔偿或补偿。</w:t>
      </w:r>
    </w:p>
    <w:p w14:paraId="4B05BFFB">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eastAsia="宋体" w:cs="宋体"/>
          <w:b/>
          <w:bCs/>
          <w:color w:val="auto"/>
          <w:sz w:val="21"/>
          <w:szCs w:val="21"/>
          <w:highlight w:val="none"/>
          <w:lang w:val="en-US" w:eastAsia="zh-CN"/>
        </w:rPr>
        <w:t>五</w:t>
      </w:r>
      <w:r>
        <w:rPr>
          <w:rFonts w:hint="eastAsia" w:ascii="宋体" w:hAnsi="宋体" w:eastAsia="宋体" w:cs="宋体"/>
          <w:b/>
          <w:bCs/>
          <w:color w:val="auto"/>
          <w:sz w:val="21"/>
          <w:szCs w:val="21"/>
          <w:highlight w:val="none"/>
        </w:rPr>
        <w:t>条 争议的解决</w:t>
      </w:r>
    </w:p>
    <w:p w14:paraId="6147BE86">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14:paraId="77F374C0">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本合同发生的诉讼管辖地为甲方所在地的法院</w:t>
      </w:r>
      <w:r>
        <w:rPr>
          <w:rFonts w:hint="eastAsia" w:ascii="宋体" w:hAnsi="宋体" w:eastAsia="宋体" w:cs="宋体"/>
          <w:color w:val="auto"/>
          <w:sz w:val="21"/>
          <w:szCs w:val="21"/>
          <w:highlight w:val="none"/>
        </w:rPr>
        <w:t>。</w:t>
      </w:r>
    </w:p>
    <w:p w14:paraId="1D2AB99C">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14:paraId="3A4A97B3">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4、本合同按照中华人民共和国的法律进行解释。</w:t>
      </w:r>
    </w:p>
    <w:p w14:paraId="2D2B3F44">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eastAsia="宋体" w:cs="宋体"/>
          <w:b/>
          <w:bCs/>
          <w:color w:val="auto"/>
          <w:sz w:val="21"/>
          <w:szCs w:val="21"/>
          <w:highlight w:val="none"/>
          <w:lang w:val="en-US" w:eastAsia="zh-CN"/>
        </w:rPr>
        <w:t>六</w:t>
      </w:r>
      <w:r>
        <w:rPr>
          <w:rFonts w:hint="eastAsia" w:ascii="宋体" w:hAnsi="宋体" w:eastAsia="宋体" w:cs="宋体"/>
          <w:b/>
          <w:bCs/>
          <w:color w:val="auto"/>
          <w:sz w:val="21"/>
          <w:szCs w:val="21"/>
          <w:highlight w:val="none"/>
        </w:rPr>
        <w:t>条</w:t>
      </w:r>
      <w:r>
        <w:rPr>
          <w:rFonts w:hint="eastAsia" w:ascii="宋体" w:hAnsi="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合同附件</w:t>
      </w:r>
    </w:p>
    <w:p w14:paraId="284A443A">
      <w:pPr>
        <w:keepNext w:val="0"/>
        <w:keepLines w:val="0"/>
        <w:pageBreakBefore w:val="0"/>
        <w:shd w:val="clear" w:color="auto"/>
        <w:kinsoku/>
        <w:wordWrap/>
        <w:overflowPunct/>
        <w:topLinePunct w:val="0"/>
        <w:autoSpaceDE w:val="0"/>
        <w:autoSpaceDN w:val="0"/>
        <w:bidi w:val="0"/>
        <w:adjustRightInd/>
        <w:snapToGrid/>
        <w:ind w:firstLine="420" w:firstLineChars="200"/>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附件一：供应商月度评价表</w:t>
      </w:r>
    </w:p>
    <w:p w14:paraId="0EDCDE64">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条 合同生效</w:t>
      </w:r>
    </w:p>
    <w:p w14:paraId="034F34F4">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1、本合同由双方法定代表人或委托代理人签字盖章后立即生效，具有同等法律效力，合同有效期随服务期结束而自然终止。</w:t>
      </w:r>
    </w:p>
    <w:p w14:paraId="18693241">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rPr>
        <w:t>份，其中甲方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rPr>
        <w:t>份、乙方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rPr>
        <w:t>份，采购代理机构</w:t>
      </w:r>
      <w:r>
        <w:rPr>
          <w:rFonts w:hint="eastAsia" w:ascii="宋体" w:hAnsi="宋体" w:eastAsia="宋体" w:cs="宋体"/>
          <w:b/>
          <w:bCs/>
          <w:color w:val="auto"/>
          <w:sz w:val="21"/>
          <w:szCs w:val="21"/>
          <w:highlight w:val="none"/>
          <w:u w:val="single"/>
        </w:rPr>
        <w:t>壹</w:t>
      </w:r>
      <w:r>
        <w:rPr>
          <w:rFonts w:hint="eastAsia" w:ascii="宋体" w:hAnsi="宋体" w:eastAsia="宋体" w:cs="宋体"/>
          <w:color w:val="auto"/>
          <w:sz w:val="21"/>
          <w:szCs w:val="21"/>
          <w:highlight w:val="none"/>
        </w:rPr>
        <w:t>份（须在合同签订之日起7个工作日内递交）。</w:t>
      </w:r>
    </w:p>
    <w:p w14:paraId="19A5875C">
      <w:pPr>
        <w:keepNext w:val="0"/>
        <w:keepLines w:val="0"/>
        <w:pageBreakBefore w:val="0"/>
        <w:shd w:val="clear" w:color="auto"/>
        <w:kinsoku/>
        <w:wordWrap/>
        <w:overflowPunct/>
        <w:topLinePunct w:val="0"/>
        <w:autoSpaceDE w:val="0"/>
        <w:autoSpaceDN w:val="0"/>
        <w:bidi w:val="0"/>
        <w:adjustRightInd/>
        <w:snapToGrid/>
        <w:ind w:firstLine="422" w:firstLineChars="200"/>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第十</w:t>
      </w:r>
      <w:r>
        <w:rPr>
          <w:rFonts w:hint="eastAsia" w:ascii="宋体" w:hAnsi="宋体" w:cs="宋体"/>
          <w:b/>
          <w:bCs/>
          <w:color w:val="auto"/>
          <w:sz w:val="21"/>
          <w:szCs w:val="21"/>
          <w:highlight w:val="none"/>
          <w:lang w:val="en-US" w:eastAsia="zh-CN"/>
        </w:rPr>
        <w:t>八</w:t>
      </w:r>
      <w:r>
        <w:rPr>
          <w:rFonts w:hint="eastAsia" w:ascii="宋体" w:hAnsi="宋体" w:eastAsia="宋体" w:cs="宋体"/>
          <w:b/>
          <w:bCs/>
          <w:color w:val="auto"/>
          <w:sz w:val="21"/>
          <w:szCs w:val="21"/>
          <w:highlight w:val="none"/>
        </w:rPr>
        <w:t>条 其它</w:t>
      </w:r>
    </w:p>
    <w:p w14:paraId="0311C3EB">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1、本合同未尽事宜，双方可签订补充合同，补充合同与所有附件均为合同的有效组成部分，与本合同具有同等法律效力。</w:t>
      </w:r>
    </w:p>
    <w:p w14:paraId="21854F04">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2、在执行本合同的过程中，所有经甲乙双方签署确认的文件（包括会议纪要、补充协议、往来信函、合同附件等）即成为本合同的有效组成部分，其生效日期为双方签字盖章  或确认之日期。</w:t>
      </w:r>
    </w:p>
    <w:p w14:paraId="6695B6D8">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3、乙方不得将项目非法分包或转包给任何单位和个人。否则甲方有权即刻终止合同，并由乙方赔偿相应损失。</w:t>
      </w:r>
    </w:p>
    <w:p w14:paraId="662A7ADA">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rPr>
        <w:t>本合同规定的通知均应以书面形式作出，并以邮寄（包含快递）或电子邮件方式通知另一方。专人递交的通知在专人递交之日视为有效送达；以邮寄方式送达的，以寄出邮件后满 5日即视为有效送达（无论收件人实际收件时间、是否实际收到、无法送达或退件）；以电子邮件方式送达的，系统显示发送成功即视为送达。双方应对各自送达地址负责，如有变更，变更方负有义务通知其他各方。双方确认，如因发生争议进行诉讼，以下地址同时也是法院寄送司法文书的送达地址。</w:t>
      </w:r>
    </w:p>
    <w:p w14:paraId="299ED294">
      <w:pPr>
        <w:keepNext w:val="0"/>
        <w:keepLines w:val="0"/>
        <w:pageBreakBefore w:val="0"/>
        <w:shd w:val="clear" w:color="auto"/>
        <w:kinsoku/>
        <w:wordWrap/>
        <w:overflowPunct/>
        <w:topLinePunct w:val="0"/>
        <w:autoSpaceDE w:val="0"/>
        <w:autoSpaceDN w:val="0"/>
        <w:bidi w:val="0"/>
        <w:adjustRightInd/>
        <w:snapToGrid/>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本合同合计</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rPr>
        <w:t>页A4纸</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rPr>
        <w:t>张，缺页之合同为无效合同。</w:t>
      </w:r>
    </w:p>
    <w:p w14:paraId="1E62A730">
      <w:pPr>
        <w:keepNext w:val="0"/>
        <w:keepLines w:val="0"/>
        <w:pageBreakBefore w:val="0"/>
        <w:shd w:val="clear" w:color="auto"/>
        <w:kinsoku/>
        <w:wordWrap/>
        <w:overflowPunct/>
        <w:topLinePunct w:val="0"/>
        <w:autoSpaceDE w:val="0"/>
        <w:autoSpaceDN w:val="0"/>
        <w:bidi w:val="0"/>
        <w:adjustRightInd/>
        <w:snapToGrid/>
        <w:rPr>
          <w:rFonts w:hint="eastAsia" w:ascii="宋体" w:hAnsi="宋体" w:eastAsia="宋体" w:cs="宋体"/>
          <w:color w:val="auto"/>
          <w:sz w:val="21"/>
          <w:szCs w:val="21"/>
          <w:highlight w:val="none"/>
        </w:rPr>
      </w:pPr>
    </w:p>
    <w:tbl>
      <w:tblPr>
        <w:tblStyle w:val="25"/>
        <w:tblW w:w="4992" w:type="pct"/>
        <w:jc w:val="center"/>
        <w:tblLayout w:type="autofit"/>
        <w:tblCellMar>
          <w:top w:w="0" w:type="dxa"/>
          <w:left w:w="108" w:type="dxa"/>
          <w:bottom w:w="0" w:type="dxa"/>
          <w:right w:w="108" w:type="dxa"/>
        </w:tblCellMar>
      </w:tblPr>
      <w:tblGrid>
        <w:gridCol w:w="4254"/>
        <w:gridCol w:w="4254"/>
      </w:tblGrid>
      <w:tr w14:paraId="6A4752C1">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5806D000">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甲方（盖章）：</w:t>
            </w:r>
          </w:p>
        </w:tc>
        <w:tc>
          <w:tcPr>
            <w:tcW w:w="2500" w:type="pct"/>
            <w:tcBorders>
              <w:top w:val="nil"/>
              <w:left w:val="nil"/>
              <w:bottom w:val="nil"/>
              <w:right w:val="nil"/>
            </w:tcBorders>
            <w:noWrap/>
            <w:vAlign w:val="center"/>
          </w:tcPr>
          <w:p w14:paraId="16EE6331">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乙方（盖章）：</w:t>
            </w:r>
          </w:p>
        </w:tc>
      </w:tr>
      <w:tr w14:paraId="1752B35D">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60AFE443">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法定代表(签字)：</w:t>
            </w:r>
          </w:p>
        </w:tc>
        <w:tc>
          <w:tcPr>
            <w:tcW w:w="2500" w:type="pct"/>
            <w:tcBorders>
              <w:top w:val="nil"/>
              <w:left w:val="nil"/>
              <w:bottom w:val="nil"/>
              <w:right w:val="nil"/>
            </w:tcBorders>
            <w:noWrap/>
            <w:vAlign w:val="center"/>
          </w:tcPr>
          <w:p w14:paraId="57A344B5">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法定代表(签字)：</w:t>
            </w:r>
          </w:p>
        </w:tc>
      </w:tr>
      <w:tr w14:paraId="0742D843">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138116A5">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地址：</w:t>
            </w:r>
          </w:p>
        </w:tc>
        <w:tc>
          <w:tcPr>
            <w:tcW w:w="2500" w:type="pct"/>
            <w:tcBorders>
              <w:top w:val="nil"/>
              <w:left w:val="nil"/>
              <w:bottom w:val="nil"/>
              <w:right w:val="nil"/>
            </w:tcBorders>
            <w:noWrap/>
            <w:vAlign w:val="center"/>
          </w:tcPr>
          <w:p w14:paraId="7E36286C">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地址：</w:t>
            </w:r>
          </w:p>
        </w:tc>
      </w:tr>
      <w:tr w14:paraId="59D3B60C">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6723AEBF">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电话：</w:t>
            </w:r>
          </w:p>
        </w:tc>
        <w:tc>
          <w:tcPr>
            <w:tcW w:w="2500" w:type="pct"/>
            <w:tcBorders>
              <w:top w:val="nil"/>
              <w:left w:val="nil"/>
              <w:bottom w:val="nil"/>
              <w:right w:val="nil"/>
            </w:tcBorders>
            <w:noWrap/>
            <w:vAlign w:val="center"/>
          </w:tcPr>
          <w:p w14:paraId="3BABCAFE">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电话：</w:t>
            </w:r>
          </w:p>
        </w:tc>
      </w:tr>
      <w:tr w14:paraId="5759183C">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54A02BAD">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传真：</w:t>
            </w:r>
          </w:p>
        </w:tc>
        <w:tc>
          <w:tcPr>
            <w:tcW w:w="2500" w:type="pct"/>
            <w:tcBorders>
              <w:top w:val="nil"/>
              <w:left w:val="nil"/>
              <w:bottom w:val="nil"/>
              <w:right w:val="nil"/>
            </w:tcBorders>
            <w:noWrap/>
            <w:vAlign w:val="center"/>
          </w:tcPr>
          <w:p w14:paraId="119FD57E">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传真：</w:t>
            </w:r>
          </w:p>
        </w:tc>
      </w:tr>
      <w:tr w14:paraId="2129F3E9">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01807E9C">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开户银行：</w:t>
            </w:r>
          </w:p>
        </w:tc>
        <w:tc>
          <w:tcPr>
            <w:tcW w:w="2500" w:type="pct"/>
            <w:tcBorders>
              <w:top w:val="nil"/>
              <w:left w:val="nil"/>
              <w:bottom w:val="nil"/>
              <w:right w:val="nil"/>
            </w:tcBorders>
            <w:noWrap/>
            <w:vAlign w:val="center"/>
          </w:tcPr>
          <w:p w14:paraId="6D0368BF">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开户银行：</w:t>
            </w:r>
          </w:p>
        </w:tc>
      </w:tr>
      <w:tr w14:paraId="4C6AF214">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668B958D">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账号：</w:t>
            </w:r>
          </w:p>
        </w:tc>
        <w:tc>
          <w:tcPr>
            <w:tcW w:w="2500" w:type="pct"/>
            <w:tcBorders>
              <w:top w:val="nil"/>
              <w:left w:val="nil"/>
              <w:bottom w:val="nil"/>
              <w:right w:val="nil"/>
            </w:tcBorders>
            <w:noWrap/>
            <w:vAlign w:val="center"/>
          </w:tcPr>
          <w:p w14:paraId="6DB8C423">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账号：</w:t>
            </w:r>
          </w:p>
        </w:tc>
      </w:tr>
      <w:tr w14:paraId="687B6559">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30B68B5A">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签约时间：</w:t>
            </w:r>
          </w:p>
        </w:tc>
        <w:tc>
          <w:tcPr>
            <w:tcW w:w="2500" w:type="pct"/>
            <w:tcBorders>
              <w:top w:val="nil"/>
              <w:left w:val="nil"/>
              <w:bottom w:val="nil"/>
              <w:right w:val="nil"/>
            </w:tcBorders>
            <w:noWrap/>
            <w:vAlign w:val="center"/>
          </w:tcPr>
          <w:p w14:paraId="634187C8">
            <w:pPr>
              <w:keepNext w:val="0"/>
              <w:keepLines w:val="0"/>
              <w:pageBreakBefore w:val="0"/>
              <w:shd w:val="clear" w:color="auto"/>
              <w:kinsoku/>
              <w:wordWrap/>
              <w:overflowPunct/>
              <w:topLinePunct w:val="0"/>
              <w:autoSpaceDE w:val="0"/>
              <w:autoSpaceDN w:val="0"/>
              <w:bidi w:val="0"/>
              <w:adjustRightInd/>
              <w:snapToGrid/>
              <w:jc w:val="both"/>
              <w:rPr>
                <w:rFonts w:hint="eastAsia" w:ascii="宋体" w:hAnsi="宋体" w:eastAsia="宋体" w:cs="宋体"/>
                <w:color w:val="auto"/>
                <w:sz w:val="21"/>
                <w:szCs w:val="21"/>
                <w:highlight w:val="none"/>
              </w:rPr>
            </w:pPr>
          </w:p>
        </w:tc>
      </w:tr>
      <w:tr w14:paraId="4F4F1CB9">
        <w:tblPrEx>
          <w:tblCellMar>
            <w:top w:w="0" w:type="dxa"/>
            <w:left w:w="108" w:type="dxa"/>
            <w:bottom w:w="0" w:type="dxa"/>
            <w:right w:w="108" w:type="dxa"/>
          </w:tblCellMar>
        </w:tblPrEx>
        <w:trPr>
          <w:trHeight w:val="411" w:hRule="atLeast"/>
          <w:jc w:val="center"/>
        </w:trPr>
        <w:tc>
          <w:tcPr>
            <w:tcW w:w="2500" w:type="pct"/>
            <w:tcBorders>
              <w:top w:val="nil"/>
              <w:left w:val="nil"/>
              <w:bottom w:val="nil"/>
              <w:right w:val="nil"/>
            </w:tcBorders>
            <w:noWrap/>
            <w:vAlign w:val="center"/>
          </w:tcPr>
          <w:p w14:paraId="7924EFAB">
            <w:pPr>
              <w:keepNext w:val="0"/>
              <w:keepLines w:val="0"/>
              <w:pageBreakBefore w:val="0"/>
              <w:widowControl/>
              <w:shd w:val="clear" w:color="auto"/>
              <w:kinsoku/>
              <w:wordWrap/>
              <w:overflowPunct/>
              <w:topLinePunct w:val="0"/>
              <w:autoSpaceDE w:val="0"/>
              <w:autoSpaceDN w:val="0"/>
              <w:bidi w:val="0"/>
              <w:adjustRightInd/>
              <w:snapToGrid/>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bidi="ar"/>
              </w:rPr>
              <w:t>签约地点：</w:t>
            </w:r>
          </w:p>
        </w:tc>
        <w:tc>
          <w:tcPr>
            <w:tcW w:w="2500" w:type="pct"/>
            <w:tcBorders>
              <w:top w:val="nil"/>
              <w:left w:val="nil"/>
              <w:bottom w:val="nil"/>
              <w:right w:val="nil"/>
            </w:tcBorders>
            <w:noWrap/>
            <w:vAlign w:val="center"/>
          </w:tcPr>
          <w:p w14:paraId="058D9F85">
            <w:pPr>
              <w:keepNext w:val="0"/>
              <w:keepLines w:val="0"/>
              <w:pageBreakBefore w:val="0"/>
              <w:shd w:val="clear" w:color="auto"/>
              <w:kinsoku/>
              <w:wordWrap/>
              <w:overflowPunct/>
              <w:topLinePunct w:val="0"/>
              <w:autoSpaceDE w:val="0"/>
              <w:autoSpaceDN w:val="0"/>
              <w:bidi w:val="0"/>
              <w:adjustRightInd/>
              <w:snapToGrid/>
              <w:jc w:val="both"/>
              <w:rPr>
                <w:rFonts w:hint="eastAsia" w:ascii="宋体" w:hAnsi="宋体" w:eastAsia="宋体" w:cs="宋体"/>
                <w:color w:val="auto"/>
                <w:sz w:val="21"/>
                <w:szCs w:val="21"/>
                <w:highlight w:val="none"/>
              </w:rPr>
            </w:pPr>
          </w:p>
        </w:tc>
      </w:tr>
    </w:tbl>
    <w:p w14:paraId="1E6CC1C7">
      <w:pPr>
        <w:shd w:val="clear"/>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br w:type="page"/>
      </w:r>
    </w:p>
    <w:p w14:paraId="28923B15">
      <w:pPr>
        <w:pStyle w:val="23"/>
        <w:shd w:val="clear"/>
        <w:spacing w:line="560" w:lineRule="exact"/>
        <w:jc w:val="lef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附件一：</w:t>
      </w:r>
    </w:p>
    <w:p w14:paraId="42C4A7C6">
      <w:pPr>
        <w:pStyle w:val="23"/>
        <w:shd w:val="clear"/>
        <w:spacing w:line="560" w:lineRule="exact"/>
        <w:jc w:val="center"/>
        <w:rPr>
          <w:rFonts w:hint="default" w:ascii="宋体" w:hAnsi="宋体" w:eastAsia="宋体" w:cs="Times New Roman"/>
          <w:color w:val="auto"/>
          <w:highlight w:val="none"/>
          <w:lang w:val="en-US" w:eastAsia="zh-CN"/>
        </w:rPr>
      </w:pPr>
      <w:r>
        <w:rPr>
          <w:rFonts w:hint="default" w:ascii="宋体" w:hAnsi="宋体" w:eastAsia="宋体" w:cs="Times New Roman"/>
          <w:b/>
          <w:bCs/>
          <w:color w:val="auto"/>
          <w:sz w:val="30"/>
          <w:szCs w:val="30"/>
          <w:highlight w:val="none"/>
          <w:lang w:val="en-US" w:eastAsia="zh-CN"/>
        </w:rPr>
        <w:t>供应商月度评价表</w:t>
      </w:r>
    </w:p>
    <w:p w14:paraId="7E5DE1B7">
      <w:pPr>
        <w:pStyle w:val="23"/>
        <w:shd w:val="clear"/>
        <w:spacing w:line="560" w:lineRule="exact"/>
        <w:rPr>
          <w:rFonts w:hint="default" w:ascii="宋体" w:hAnsi="宋体" w:eastAsia="宋体" w:cs="Times New Roman"/>
          <w:color w:val="auto"/>
          <w:highlight w:val="none"/>
          <w:lang w:val="en-US" w:eastAsia="zh-CN"/>
        </w:rPr>
      </w:pPr>
      <w:r>
        <w:rPr>
          <w:rFonts w:hint="default" w:ascii="宋体" w:hAnsi="宋体" w:eastAsia="宋体" w:cs="Times New Roman"/>
          <w:color w:val="auto"/>
          <w:highlight w:val="none"/>
          <w:lang w:val="en-US" w:eastAsia="zh-CN"/>
        </w:rPr>
        <w:t>评价部门：</w:t>
      </w:r>
    </w:p>
    <w:tbl>
      <w:tblPr>
        <w:tblStyle w:val="25"/>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63"/>
        <w:gridCol w:w="1140"/>
        <w:gridCol w:w="5595"/>
        <w:gridCol w:w="459"/>
        <w:gridCol w:w="459"/>
      </w:tblGrid>
      <w:tr w14:paraId="2838EFE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29D2811">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一级</w:t>
            </w:r>
          </w:p>
          <w:p w14:paraId="434EA263">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指标</w:t>
            </w:r>
          </w:p>
        </w:tc>
        <w:tc>
          <w:tcPr>
            <w:tcW w:w="1140"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5334F69">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二级指标</w:t>
            </w:r>
          </w:p>
        </w:tc>
        <w:tc>
          <w:tcPr>
            <w:tcW w:w="5595"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A0F7DD6">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考核要素和评估内容及其标准</w:t>
            </w: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5A13AE7">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扣分</w:t>
            </w: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F5FC6B4">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0AA4E48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restar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672184C">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流程管理</w:t>
            </w:r>
          </w:p>
          <w:p w14:paraId="5D2E6A8D">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（分值30）</w:t>
            </w: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A49903E">
            <w:pPr>
              <w:pStyle w:val="67"/>
              <w:shd w:val="clear"/>
              <w:jc w:val="center"/>
              <w:rPr>
                <w:rFonts w:hint="eastAsia" w:ascii="宋体" w:hAnsi="宋体" w:cs="宋体"/>
                <w:color w:val="auto"/>
                <w:sz w:val="21"/>
                <w:szCs w:val="21"/>
                <w:highlight w:val="none"/>
                <w:lang w:val="en-US" w:eastAsia="zh-CN"/>
              </w:rPr>
            </w:pPr>
          </w:p>
          <w:p w14:paraId="1B4AEEEC">
            <w:pPr>
              <w:pStyle w:val="67"/>
              <w:shd w:val="clear"/>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送货时间</w:t>
            </w:r>
            <w:r>
              <w:rPr>
                <w:rFonts w:hint="eastAsia" w:ascii="宋体" w:hAnsi="宋体" w:eastAsia="宋体" w:cs="宋体"/>
                <w:color w:val="auto"/>
                <w:sz w:val="21"/>
                <w:szCs w:val="21"/>
                <w:highlight w:val="none"/>
              </w:rPr>
              <w:t>（分值6）</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D6184D4">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不准时（超30分钟）但能与采购人及时沟通的，每发生一次扣1分；不准时（超30分钟）送达且不沟通或沟通不及时的，每发生一次扣2分。（出现影响饭堂工作的情况，按招标文件或合同条款的相关条款处罚）。</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08696E7">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2CEC62D">
            <w:pPr>
              <w:shd w:val="clear"/>
              <w:rPr>
                <w:rFonts w:hint="eastAsia" w:ascii="宋体" w:hAnsi="宋体" w:eastAsia="宋体" w:cs="宋体"/>
                <w:color w:val="auto"/>
                <w:sz w:val="21"/>
                <w:szCs w:val="21"/>
                <w:highlight w:val="none"/>
              </w:rPr>
            </w:pPr>
          </w:p>
        </w:tc>
      </w:tr>
      <w:tr w14:paraId="3561470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863" w:type="dxa"/>
            <w:vMerge w:val="continue"/>
            <w:tcBorders>
              <w:top w:val="nil"/>
              <w:left w:val="single" w:color="000000" w:sz="4" w:space="0"/>
              <w:bottom w:val="single" w:color="000000" w:sz="4" w:space="0"/>
              <w:right w:val="single" w:color="000000" w:sz="4" w:space="0"/>
            </w:tcBorders>
            <w:noWrap w:val="0"/>
            <w:vAlign w:val="top"/>
          </w:tcPr>
          <w:p w14:paraId="4033AC5D">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95029F2">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检验证明（分值6）</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E026006">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相应批次的食材未能提供对应合格检验证明或对提供资料弄虚作假的，每次</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CEC28A9">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37EB811">
            <w:pPr>
              <w:shd w:val="clear"/>
              <w:rPr>
                <w:rFonts w:hint="eastAsia" w:ascii="宋体" w:hAnsi="宋体" w:eastAsia="宋体" w:cs="宋体"/>
                <w:color w:val="auto"/>
                <w:sz w:val="21"/>
                <w:szCs w:val="21"/>
                <w:highlight w:val="none"/>
              </w:rPr>
            </w:pPr>
          </w:p>
        </w:tc>
      </w:tr>
      <w:tr w14:paraId="1624DC4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4B20AD4B">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980303B">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人员管理</w:t>
            </w:r>
          </w:p>
          <w:p w14:paraId="637EE76B">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（分值6）</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324AB35">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服务人员没有出示健康证，没有穿着工衣和佩戴胸卡的，每次扣2分。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4608009">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BC21A86">
            <w:pPr>
              <w:shd w:val="clear"/>
              <w:rPr>
                <w:rFonts w:hint="eastAsia" w:ascii="宋体" w:hAnsi="宋体" w:eastAsia="宋体" w:cs="宋体"/>
                <w:color w:val="auto"/>
                <w:sz w:val="21"/>
                <w:szCs w:val="21"/>
                <w:highlight w:val="none"/>
              </w:rPr>
            </w:pPr>
          </w:p>
        </w:tc>
      </w:tr>
      <w:tr w14:paraId="2AED08A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5B99322E">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04DF722">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车辆整洁（分值4）</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430B445">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配送车辆、实际运输符合招标文件及合同约定的，干净整洁，无异味。不符合每次扣2分。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89115DB">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7B99803">
            <w:pPr>
              <w:shd w:val="clear"/>
              <w:rPr>
                <w:rFonts w:hint="eastAsia" w:ascii="宋体" w:hAnsi="宋体" w:eastAsia="宋体" w:cs="宋体"/>
                <w:color w:val="auto"/>
                <w:sz w:val="21"/>
                <w:szCs w:val="21"/>
                <w:highlight w:val="none"/>
              </w:rPr>
            </w:pPr>
          </w:p>
        </w:tc>
      </w:tr>
      <w:tr w14:paraId="73B8A9C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483E4304">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8B57917">
            <w:pPr>
              <w:pStyle w:val="67"/>
              <w:shd w:val="clear"/>
              <w:jc w:val="center"/>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rPr>
              <w:t>单据清晰（分值4）</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E84F346">
            <w:pPr>
              <w:pStyle w:val="67"/>
              <w:shd w:val="clear"/>
              <w:jc w:val="both"/>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rPr>
              <w:t>送货单（结算凭证）详细注明商品的品牌、品种、单价、数量，打印清晰，无错漏。不符合每次扣2分。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26FE880">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926D0F6">
            <w:pPr>
              <w:shd w:val="clear"/>
              <w:rPr>
                <w:rFonts w:hint="eastAsia" w:ascii="宋体" w:hAnsi="宋体" w:eastAsia="宋体" w:cs="宋体"/>
                <w:color w:val="auto"/>
                <w:sz w:val="21"/>
                <w:szCs w:val="21"/>
                <w:highlight w:val="none"/>
              </w:rPr>
            </w:pPr>
          </w:p>
        </w:tc>
      </w:tr>
      <w:tr w14:paraId="575F636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26ADCB12">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7BC0548">
            <w:pPr>
              <w:pStyle w:val="67"/>
              <w:shd w:val="clear"/>
              <w:jc w:val="center"/>
              <w:rPr>
                <w:rFonts w:hint="eastAsia" w:ascii="宋体" w:hAnsi="宋体" w:eastAsia="宋体" w:cs="宋体"/>
                <w:color w:val="auto"/>
                <w:sz w:val="21"/>
                <w:szCs w:val="21"/>
                <w:highlight w:val="none"/>
              </w:rPr>
            </w:pPr>
          </w:p>
          <w:p w14:paraId="44FCC984">
            <w:pPr>
              <w:pStyle w:val="67"/>
              <w:shd w:val="clear"/>
              <w:jc w:val="center"/>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rPr>
              <w:t>服务态度（分值4）</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70A4293">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送货人工作认真负责，运送搬装文明，与食堂人员良好沟通。不文明行为每次扣2分。</w:t>
            </w:r>
          </w:p>
          <w:p w14:paraId="5414CC68">
            <w:pPr>
              <w:pStyle w:val="67"/>
              <w:shd w:val="clear"/>
              <w:jc w:val="both"/>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rPr>
              <w:t>采购人提出扣分及整改意见</w:t>
            </w:r>
            <w:r>
              <w:rPr>
                <w:rFonts w:hint="eastAsia" w:ascii="宋体" w:hAnsi="宋体" w:cs="宋体"/>
                <w:color w:val="auto"/>
                <w:sz w:val="21"/>
                <w:szCs w:val="21"/>
                <w:highlight w:val="none"/>
                <w:lang w:val="en-US" w:eastAsia="zh-CN"/>
              </w:rPr>
              <w:t>后</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必须虚心接受，</w:t>
            </w:r>
            <w:r>
              <w:rPr>
                <w:rFonts w:hint="eastAsia" w:ascii="宋体" w:hAnsi="宋体" w:cs="宋体"/>
                <w:color w:val="auto"/>
                <w:sz w:val="21"/>
                <w:szCs w:val="21"/>
                <w:highlight w:val="none"/>
                <w:lang w:val="en-US" w:eastAsia="zh-CN"/>
              </w:rPr>
              <w:t>未在规定时间内完成</w:t>
            </w:r>
            <w:r>
              <w:rPr>
                <w:rFonts w:hint="eastAsia" w:ascii="宋体" w:hAnsi="宋体" w:eastAsia="宋体" w:cs="宋体"/>
                <w:color w:val="auto"/>
                <w:sz w:val="21"/>
                <w:szCs w:val="21"/>
                <w:highlight w:val="none"/>
              </w:rPr>
              <w:t>整改</w:t>
            </w:r>
            <w:r>
              <w:rPr>
                <w:rFonts w:hint="eastAsia" w:ascii="宋体" w:hAnsi="宋体" w:cs="宋体"/>
                <w:color w:val="auto"/>
                <w:sz w:val="21"/>
                <w:szCs w:val="21"/>
                <w:highlight w:val="none"/>
                <w:lang w:val="en-US" w:eastAsia="zh-CN"/>
              </w:rPr>
              <w:t>的每次</w:t>
            </w:r>
            <w:r>
              <w:rPr>
                <w:rFonts w:hint="eastAsia" w:ascii="宋体" w:hAnsi="宋体" w:eastAsia="宋体" w:cs="宋体"/>
                <w:color w:val="auto"/>
                <w:sz w:val="21"/>
                <w:szCs w:val="21"/>
                <w:highlight w:val="none"/>
              </w:rPr>
              <w:t>扣</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02F4C7F">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EF797B1">
            <w:pPr>
              <w:shd w:val="clear"/>
              <w:rPr>
                <w:rFonts w:hint="eastAsia" w:ascii="宋体" w:hAnsi="宋体" w:eastAsia="宋体" w:cs="宋体"/>
                <w:color w:val="auto"/>
                <w:sz w:val="21"/>
                <w:szCs w:val="21"/>
                <w:highlight w:val="none"/>
              </w:rPr>
            </w:pPr>
          </w:p>
        </w:tc>
      </w:tr>
      <w:tr w14:paraId="6DB4804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restar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C544194">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质量管理</w:t>
            </w:r>
          </w:p>
          <w:p w14:paraId="4C2C3A10">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（分值50）</w:t>
            </w: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E911DFA">
            <w:pPr>
              <w:pStyle w:val="67"/>
              <w:shd w:val="clear"/>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安全</w:t>
            </w:r>
          </w:p>
          <w:p w14:paraId="53E200A6">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r>
              <w:rPr>
                <w:rFonts w:hint="eastAsia" w:ascii="宋体" w:hAnsi="宋体" w:cs="宋体"/>
                <w:color w:val="auto"/>
                <w:sz w:val="21"/>
                <w:szCs w:val="21"/>
                <w:highlight w:val="none"/>
                <w:lang w:val="en-US" w:eastAsia="zh-CN"/>
              </w:rPr>
              <w:t>20</w:t>
            </w:r>
            <w:r>
              <w:rPr>
                <w:rFonts w:hint="eastAsia" w:ascii="宋体" w:hAnsi="宋体" w:eastAsia="宋体" w:cs="宋体"/>
                <w:color w:val="auto"/>
                <w:sz w:val="21"/>
                <w:szCs w:val="21"/>
                <w:highlight w:val="none"/>
              </w:rPr>
              <w:t>）</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22051E7">
            <w:pPr>
              <w:pStyle w:val="67"/>
              <w:shd w:val="clear"/>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因配送食材出现质量问题而造成食物中毒，每次扣</w:t>
            </w:r>
            <w:r>
              <w:rPr>
                <w:rFonts w:hint="eastAsia" w:ascii="宋体" w:hAnsi="宋体" w:cs="宋体"/>
                <w:color w:val="auto"/>
                <w:sz w:val="21"/>
                <w:szCs w:val="21"/>
                <w:highlight w:val="none"/>
                <w:lang w:val="en-US" w:eastAsia="zh-CN"/>
              </w:rPr>
              <w:t>20</w:t>
            </w:r>
            <w:r>
              <w:rPr>
                <w:rFonts w:hint="eastAsia" w:ascii="宋体" w:hAnsi="宋体" w:eastAsia="宋体" w:cs="宋体"/>
                <w:color w:val="auto"/>
                <w:sz w:val="21"/>
                <w:szCs w:val="21"/>
                <w:highlight w:val="none"/>
              </w:rPr>
              <w:t>分。并承担由此造成的全部法律责任及经济损失赔偿责任（包括但不限于食物中毒人员医疗费、误工费、事故处理费等）</w:t>
            </w:r>
          </w:p>
          <w:p w14:paraId="6263D115">
            <w:pPr>
              <w:pStyle w:val="67"/>
              <w:shd w:val="clear"/>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没有建立、健全本单位安全生产责任制，制定安全生产规章制度和操作规程，或违反制度操作的，每次扣2分。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6C0FBD7">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97B700A">
            <w:pPr>
              <w:shd w:val="clear"/>
              <w:rPr>
                <w:rFonts w:hint="eastAsia" w:ascii="宋体" w:hAnsi="宋体" w:eastAsia="宋体" w:cs="宋体"/>
                <w:color w:val="auto"/>
                <w:sz w:val="21"/>
                <w:szCs w:val="21"/>
                <w:highlight w:val="none"/>
              </w:rPr>
            </w:pPr>
          </w:p>
        </w:tc>
      </w:tr>
      <w:tr w14:paraId="4E99F13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52264D89">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21C13D9">
            <w:pPr>
              <w:pStyle w:val="23"/>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货品数量</w:t>
            </w:r>
            <w:r>
              <w:rPr>
                <w:rFonts w:hint="eastAsia" w:ascii="宋体" w:hAnsi="宋体" w:cs="宋体"/>
                <w:color w:val="auto"/>
                <w:sz w:val="21"/>
                <w:szCs w:val="21"/>
                <w:highlight w:val="none"/>
                <w:lang w:val="en-US" w:eastAsia="zh-CN"/>
              </w:rPr>
              <w:t>、重量</w:t>
            </w:r>
          </w:p>
          <w:p w14:paraId="39EAB3BF">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DD357D2">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要求按订单供应准确数量</w:t>
            </w:r>
            <w:r>
              <w:rPr>
                <w:rFonts w:hint="eastAsia" w:ascii="宋体" w:hAnsi="宋体" w:cs="宋体"/>
                <w:color w:val="auto"/>
                <w:sz w:val="21"/>
                <w:szCs w:val="21"/>
                <w:highlight w:val="none"/>
                <w:lang w:val="en-US" w:eastAsia="zh-CN"/>
              </w:rPr>
              <w:t>、重量</w:t>
            </w:r>
            <w:r>
              <w:rPr>
                <w:rFonts w:hint="eastAsia" w:ascii="宋体" w:hAnsi="宋体" w:eastAsia="宋体" w:cs="宋体"/>
                <w:color w:val="auto"/>
                <w:sz w:val="21"/>
                <w:szCs w:val="21"/>
                <w:highlight w:val="none"/>
                <w:lang w:val="en-US" w:eastAsia="zh-CN"/>
              </w:rPr>
              <w:t>（误差</w:t>
            </w:r>
            <w:r>
              <w:rPr>
                <w:rFonts w:hint="eastAsia" w:ascii="宋体" w:hAnsi="宋体" w:cs="宋体"/>
                <w:color w:val="auto"/>
                <w:sz w:val="21"/>
                <w:szCs w:val="21"/>
                <w:highlight w:val="none"/>
                <w:lang w:val="en-US" w:eastAsia="zh-CN"/>
              </w:rPr>
              <w:t>应控制在</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%内）。</w:t>
            </w:r>
          </w:p>
          <w:p w14:paraId="698F0B64">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%≤供货数量</w:t>
            </w:r>
            <w:r>
              <w:rPr>
                <w:rFonts w:hint="eastAsia" w:ascii="宋体" w:hAnsi="宋体" w:cs="宋体"/>
                <w:color w:val="auto"/>
                <w:sz w:val="21"/>
                <w:szCs w:val="21"/>
                <w:highlight w:val="none"/>
                <w:lang w:val="en-US" w:eastAsia="zh-CN"/>
              </w:rPr>
              <w:t>、重量</w:t>
            </w:r>
            <w:r>
              <w:rPr>
                <w:rFonts w:hint="eastAsia" w:ascii="宋体" w:hAnsi="宋体" w:eastAsia="宋体" w:cs="宋体"/>
                <w:color w:val="auto"/>
                <w:sz w:val="21"/>
                <w:szCs w:val="21"/>
                <w:highlight w:val="none"/>
                <w:lang w:val="en-US" w:eastAsia="zh-CN"/>
              </w:rPr>
              <w:t>误差≤±</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%，每次扣1分；</w:t>
            </w:r>
          </w:p>
          <w:p w14:paraId="27011832">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%&lt;供货数量</w:t>
            </w:r>
            <w:r>
              <w:rPr>
                <w:rFonts w:hint="eastAsia" w:ascii="宋体" w:hAnsi="宋体" w:cs="宋体"/>
                <w:color w:val="auto"/>
                <w:sz w:val="21"/>
                <w:szCs w:val="21"/>
                <w:highlight w:val="none"/>
                <w:lang w:val="en-US" w:eastAsia="zh-CN"/>
              </w:rPr>
              <w:t>、重量</w:t>
            </w:r>
            <w:r>
              <w:rPr>
                <w:rFonts w:hint="eastAsia" w:ascii="宋体" w:hAnsi="宋体" w:eastAsia="宋体" w:cs="宋体"/>
                <w:color w:val="auto"/>
                <w:sz w:val="21"/>
                <w:szCs w:val="21"/>
                <w:highlight w:val="none"/>
                <w:lang w:val="en-US" w:eastAsia="zh-CN"/>
              </w:rPr>
              <w:t>误差≤±</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0%，每次扣2分</w:t>
            </w:r>
            <w:r>
              <w:rPr>
                <w:rFonts w:hint="eastAsia" w:ascii="宋体" w:hAnsi="宋体" w:cs="宋体"/>
                <w:color w:val="auto"/>
                <w:sz w:val="21"/>
                <w:szCs w:val="21"/>
                <w:highlight w:val="none"/>
                <w:lang w:val="en-US" w:eastAsia="zh-CN"/>
              </w:rPr>
              <w:t>；</w:t>
            </w:r>
          </w:p>
          <w:p w14:paraId="56C310DD">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供货数量</w:t>
            </w:r>
            <w:r>
              <w:rPr>
                <w:rFonts w:hint="eastAsia" w:ascii="宋体" w:hAnsi="宋体" w:cs="宋体"/>
                <w:color w:val="auto"/>
                <w:sz w:val="21"/>
                <w:szCs w:val="21"/>
                <w:highlight w:val="none"/>
                <w:lang w:val="en-US" w:eastAsia="zh-CN"/>
              </w:rPr>
              <w:t>、重量</w:t>
            </w:r>
            <w:r>
              <w:rPr>
                <w:rFonts w:hint="eastAsia" w:ascii="宋体" w:hAnsi="宋体" w:eastAsia="宋体" w:cs="宋体"/>
                <w:color w:val="auto"/>
                <w:sz w:val="21"/>
                <w:szCs w:val="21"/>
                <w:highlight w:val="none"/>
                <w:lang w:val="en-US" w:eastAsia="zh-CN"/>
              </w:rPr>
              <w:t>误差&gt;±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0%，每次扣3分。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EC8F9E8">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9A0F41F">
            <w:pPr>
              <w:shd w:val="clear"/>
              <w:rPr>
                <w:rFonts w:hint="eastAsia" w:ascii="宋体" w:hAnsi="宋体" w:eastAsia="宋体" w:cs="宋体"/>
                <w:color w:val="auto"/>
                <w:sz w:val="21"/>
                <w:szCs w:val="21"/>
                <w:highlight w:val="none"/>
              </w:rPr>
            </w:pPr>
          </w:p>
        </w:tc>
      </w:tr>
      <w:tr w14:paraId="2CBE0CC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5DD47F53">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74ACF5E4">
            <w:pPr>
              <w:pStyle w:val="67"/>
              <w:shd w:val="clear"/>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货品质量</w:t>
            </w:r>
            <w:r>
              <w:rPr>
                <w:rFonts w:hint="eastAsia" w:ascii="宋体" w:hAnsi="宋体" w:eastAsia="宋体" w:cs="宋体"/>
                <w:color w:val="auto"/>
                <w:sz w:val="21"/>
                <w:szCs w:val="21"/>
                <w:highlight w:val="none"/>
              </w:rPr>
              <w:t>（分值</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6E9E2E0">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要求货品新鲜、质优。</w:t>
            </w:r>
          </w:p>
          <w:p w14:paraId="1A008BE3">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1、送来货品，品相一般，但都可使用，未变质，每次扣1分；</w:t>
            </w:r>
          </w:p>
          <w:p w14:paraId="3084AB8B">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2、送来货品，品相较差，但都可使用，未变质，每次扣2分；</w:t>
            </w:r>
          </w:p>
          <w:p w14:paraId="506CF0CD">
            <w:pPr>
              <w:pStyle w:val="23"/>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3、送来货品，剩余保质期短于该货品标明保质期75%的，每次扣5分；</w:t>
            </w:r>
          </w:p>
          <w:p w14:paraId="1E61CE6A">
            <w:pPr>
              <w:pStyle w:val="67"/>
              <w:shd w:val="clear"/>
              <w:jc w:val="both"/>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CN"/>
              </w:rPr>
              <w:t>4、送来货品，未按照要求进行冷链运输，过期或变质，每次扣15分。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926814A">
            <w:pPr>
              <w:pStyle w:val="67"/>
              <w:shd w:val="clear"/>
              <w:jc w:val="both"/>
              <w:rPr>
                <w:rFonts w:hint="eastAsia" w:ascii="宋体" w:hAnsi="宋体" w:eastAsia="宋体" w:cs="宋体"/>
                <w:color w:val="auto"/>
                <w:sz w:val="21"/>
                <w:szCs w:val="21"/>
                <w:highlight w:val="none"/>
                <w:lang w:val="en-US" w:eastAsia="zh-Hans"/>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C44E6F5">
            <w:pPr>
              <w:shd w:val="clear"/>
              <w:rPr>
                <w:rFonts w:hint="eastAsia" w:ascii="宋体" w:hAnsi="宋体" w:eastAsia="宋体" w:cs="宋体"/>
                <w:color w:val="auto"/>
                <w:sz w:val="21"/>
                <w:szCs w:val="21"/>
                <w:highlight w:val="none"/>
              </w:rPr>
            </w:pPr>
          </w:p>
        </w:tc>
      </w:tr>
      <w:tr w14:paraId="1DD09D6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restart"/>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6F3D84E">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科学管理</w:t>
            </w:r>
          </w:p>
          <w:p w14:paraId="585CFEF8">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（分值20）</w:t>
            </w: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6CDF0F0">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价格公道</w:t>
            </w:r>
          </w:p>
          <w:p w14:paraId="691EB58D">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447DBDD">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以①东莞市发展和改革局最新公布的“东莞市菜篮子价格监测表”当期价格作为基准价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②“东莞市菜篮子价格监测表”</w:t>
            </w:r>
            <w:r>
              <w:rPr>
                <w:rFonts w:hint="eastAsia" w:ascii="宋体" w:hAnsi="宋体" w:cs="宋体"/>
                <w:color w:val="auto"/>
                <w:sz w:val="21"/>
                <w:szCs w:val="21"/>
                <w:highlight w:val="none"/>
                <w:lang w:val="en-US" w:eastAsia="zh-CN"/>
              </w:rPr>
              <w:t>未公布的品种，</w:t>
            </w:r>
            <w:r>
              <w:rPr>
                <w:rFonts w:hint="eastAsia" w:ascii="宋体" w:hAnsi="宋体" w:eastAsia="宋体" w:cs="宋体"/>
                <w:color w:val="auto"/>
                <w:sz w:val="21"/>
                <w:szCs w:val="21"/>
                <w:highlight w:val="none"/>
              </w:rPr>
              <w:t>以附近三个市场</w:t>
            </w:r>
            <w:r>
              <w:rPr>
                <w:rFonts w:hint="eastAsia" w:ascii="宋体" w:hAnsi="宋体" w:cs="宋体"/>
                <w:color w:val="auto"/>
                <w:sz w:val="21"/>
                <w:szCs w:val="21"/>
                <w:highlight w:val="none"/>
                <w:lang w:eastAsia="zh-CN"/>
              </w:rPr>
              <w:t>（</w:t>
            </w:r>
            <w:r>
              <w:rPr>
                <w:rFonts w:hint="eastAsia" w:cs="宋体"/>
                <w:color w:val="auto"/>
                <w:spacing w:val="-6"/>
                <w:sz w:val="21"/>
                <w:szCs w:val="21"/>
                <w:highlight w:val="none"/>
                <w:lang w:val="en-US" w:eastAsia="zh-CN"/>
              </w:rPr>
              <w:t>常平镇木伦市场、常平镇横江厦市场、常平镇金美市场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的</w:t>
            </w:r>
            <w:r>
              <w:rPr>
                <w:rFonts w:hint="eastAsia" w:ascii="宋体" w:hAnsi="宋体" w:cs="宋体"/>
                <w:color w:val="auto"/>
                <w:sz w:val="21"/>
                <w:szCs w:val="21"/>
                <w:highlight w:val="none"/>
                <w:lang w:val="en-US" w:eastAsia="zh-CN"/>
              </w:rPr>
              <w:t>市场</w:t>
            </w:r>
            <w:r>
              <w:rPr>
                <w:rFonts w:hint="eastAsia" w:ascii="宋体" w:hAnsi="宋体" w:eastAsia="宋体" w:cs="宋体"/>
                <w:color w:val="auto"/>
                <w:sz w:val="21"/>
                <w:szCs w:val="21"/>
                <w:highlight w:val="none"/>
              </w:rPr>
              <w:t>平均价</w:t>
            </w:r>
            <w:r>
              <w:rPr>
                <w:rFonts w:hint="eastAsia" w:ascii="宋体" w:hAnsi="宋体" w:cs="宋体"/>
                <w:color w:val="auto"/>
                <w:sz w:val="21"/>
                <w:szCs w:val="21"/>
                <w:highlight w:val="none"/>
                <w:lang w:val="en-US" w:eastAsia="zh-CN"/>
              </w:rPr>
              <w:t>格</w:t>
            </w:r>
            <w:r>
              <w:rPr>
                <w:rFonts w:hint="eastAsia" w:ascii="宋体" w:hAnsi="宋体" w:eastAsia="宋体" w:cs="宋体"/>
                <w:color w:val="auto"/>
                <w:sz w:val="21"/>
                <w:szCs w:val="21"/>
                <w:highlight w:val="none"/>
              </w:rPr>
              <w:t>作为基准价）。对价格不符合市场价或未及时更新价格表的，每次扣</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120492D5">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0361B664">
            <w:pPr>
              <w:shd w:val="clear"/>
              <w:rPr>
                <w:rFonts w:hint="eastAsia" w:ascii="宋体" w:hAnsi="宋体" w:eastAsia="宋体" w:cs="宋体"/>
                <w:color w:val="auto"/>
                <w:sz w:val="21"/>
                <w:szCs w:val="21"/>
                <w:highlight w:val="none"/>
              </w:rPr>
            </w:pPr>
          </w:p>
        </w:tc>
      </w:tr>
      <w:tr w14:paraId="09DF3F7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63" w:type="dxa"/>
            <w:vMerge w:val="continue"/>
            <w:tcBorders>
              <w:top w:val="nil"/>
              <w:left w:val="single" w:color="000000" w:sz="4" w:space="0"/>
              <w:bottom w:val="single" w:color="000000" w:sz="4" w:space="0"/>
              <w:right w:val="single" w:color="000000" w:sz="4" w:space="0"/>
            </w:tcBorders>
            <w:noWrap w:val="0"/>
            <w:vAlign w:val="top"/>
          </w:tcPr>
          <w:p w14:paraId="573D8B2D">
            <w:pPr>
              <w:shd w:val="clear"/>
              <w:jc w:val="center"/>
              <w:rPr>
                <w:rFonts w:hint="eastAsia" w:ascii="宋体" w:hAnsi="宋体" w:eastAsia="宋体" w:cs="宋体"/>
                <w:color w:val="auto"/>
                <w:sz w:val="21"/>
                <w:szCs w:val="21"/>
                <w:highlight w:val="none"/>
              </w:rPr>
            </w:pPr>
          </w:p>
        </w:tc>
        <w:tc>
          <w:tcPr>
            <w:tcW w:w="1140"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572B857">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廉洁自律</w:t>
            </w:r>
          </w:p>
          <w:p w14:paraId="7CA307B7">
            <w:pPr>
              <w:pStyle w:val="67"/>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（分值10）</w:t>
            </w:r>
          </w:p>
        </w:tc>
        <w:tc>
          <w:tcPr>
            <w:tcW w:w="559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358264C">
            <w:pPr>
              <w:pStyle w:val="67"/>
              <w:shd w:val="clea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廉洁自律，严禁向主管人员或收货人进行物质、金钱行贿。经发现，每次扣10分。</w:t>
            </w: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5528A74">
            <w:pPr>
              <w:pStyle w:val="67"/>
              <w:shd w:val="clear"/>
              <w:jc w:val="both"/>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7D99F54">
            <w:pPr>
              <w:shd w:val="clear"/>
              <w:rPr>
                <w:rFonts w:hint="eastAsia" w:ascii="宋体" w:hAnsi="宋体" w:eastAsia="宋体" w:cs="宋体"/>
                <w:color w:val="auto"/>
                <w:sz w:val="21"/>
                <w:szCs w:val="21"/>
                <w:highlight w:val="none"/>
              </w:rPr>
            </w:pPr>
          </w:p>
        </w:tc>
      </w:tr>
      <w:tr w14:paraId="6CE7EF4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0" w:type="auto"/>
            <w:gridSpan w:val="3"/>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529B0360">
            <w:pPr>
              <w:pStyle w:val="67"/>
              <w:shd w:val="clea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合计得分（满分100分）</w:t>
            </w:r>
          </w:p>
          <w:p w14:paraId="6F5BCC5A">
            <w:pPr>
              <w:pStyle w:val="67"/>
              <w:shd w:val="clear"/>
              <w:jc w:val="left"/>
              <w:rPr>
                <w:rFonts w:hint="eastAsia" w:ascii="宋体" w:hAnsi="宋体" w:eastAsia="宋体" w:cs="宋体"/>
                <w:color w:val="auto"/>
                <w:sz w:val="21"/>
                <w:szCs w:val="21"/>
                <w:highlight w:val="none"/>
              </w:rPr>
            </w:pPr>
          </w:p>
          <w:p w14:paraId="7FD5E47D">
            <w:pPr>
              <w:pStyle w:val="67"/>
              <w:shd w:val="clear"/>
              <w:jc w:val="left"/>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941C8B0">
            <w:pPr>
              <w:pStyle w:val="67"/>
              <w:shd w:val="clear"/>
              <w:jc w:val="left"/>
              <w:rPr>
                <w:rFonts w:hint="eastAsia" w:ascii="宋体" w:hAnsi="宋体" w:eastAsia="宋体" w:cs="宋体"/>
                <w:color w:val="auto"/>
                <w:sz w:val="21"/>
                <w:szCs w:val="21"/>
                <w:highlight w:val="none"/>
              </w:rPr>
            </w:pPr>
          </w:p>
        </w:tc>
        <w:tc>
          <w:tcPr>
            <w:tcW w:w="0" w:type="auto"/>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2F2D828F">
            <w:pPr>
              <w:shd w:val="clear"/>
              <w:jc w:val="left"/>
              <w:rPr>
                <w:rFonts w:hint="eastAsia" w:ascii="宋体" w:hAnsi="宋体" w:eastAsia="宋体" w:cs="宋体"/>
                <w:color w:val="auto"/>
                <w:sz w:val="21"/>
                <w:szCs w:val="21"/>
                <w:highlight w:val="none"/>
              </w:rPr>
            </w:pPr>
          </w:p>
        </w:tc>
      </w:tr>
      <w:tr w14:paraId="6B4895F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0" w:type="auto"/>
            <w:gridSpan w:val="5"/>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2C20E6F">
            <w:pPr>
              <w:pStyle w:val="67"/>
              <w:shd w:val="clear"/>
              <w:jc w:val="left"/>
              <w:rPr>
                <w:rFonts w:hint="eastAsia" w:ascii="宋体" w:hAnsi="宋体" w:eastAsia="宋体" w:cs="宋体"/>
                <w:color w:val="auto"/>
                <w:sz w:val="21"/>
                <w:szCs w:val="21"/>
                <w:highlight w:val="none"/>
              </w:rPr>
            </w:pPr>
          </w:p>
          <w:p w14:paraId="16B896AF">
            <w:pPr>
              <w:pStyle w:val="67"/>
              <w:shd w:val="clea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考核月份：     年  月  评分时间：     年</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w:t>
            </w:r>
          </w:p>
          <w:p w14:paraId="289718C7">
            <w:pPr>
              <w:pStyle w:val="67"/>
              <w:shd w:val="clear"/>
              <w:jc w:val="left"/>
              <w:rPr>
                <w:rFonts w:hint="eastAsia" w:ascii="宋体" w:hAnsi="宋体" w:eastAsia="宋体" w:cs="宋体"/>
                <w:color w:val="auto"/>
                <w:sz w:val="21"/>
                <w:szCs w:val="21"/>
                <w:highlight w:val="none"/>
              </w:rPr>
            </w:pPr>
          </w:p>
        </w:tc>
      </w:tr>
      <w:tr w14:paraId="0F3EF35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0" w:type="auto"/>
            <w:gridSpan w:val="5"/>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453A7FE9">
            <w:pPr>
              <w:pStyle w:val="67"/>
              <w:shd w:val="clear"/>
              <w:jc w:val="left"/>
              <w:rPr>
                <w:rFonts w:hint="eastAsia" w:ascii="宋体" w:hAnsi="宋体" w:eastAsia="宋体" w:cs="宋体"/>
                <w:color w:val="auto"/>
                <w:sz w:val="21"/>
                <w:szCs w:val="21"/>
                <w:highlight w:val="none"/>
              </w:rPr>
            </w:pPr>
          </w:p>
          <w:p w14:paraId="1C4219BC">
            <w:pPr>
              <w:pStyle w:val="67"/>
              <w:shd w:val="clea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采购人评分人员（不少于5人）签名（盖公章）：</w:t>
            </w:r>
          </w:p>
          <w:p w14:paraId="3F1D0E3B">
            <w:pPr>
              <w:pStyle w:val="67"/>
              <w:shd w:val="clear"/>
              <w:jc w:val="left"/>
              <w:rPr>
                <w:rFonts w:hint="eastAsia" w:ascii="宋体" w:hAnsi="宋体" w:eastAsia="宋体" w:cs="宋体"/>
                <w:color w:val="auto"/>
                <w:sz w:val="21"/>
                <w:szCs w:val="21"/>
                <w:highlight w:val="none"/>
              </w:rPr>
            </w:pPr>
          </w:p>
          <w:p w14:paraId="4F094115">
            <w:pPr>
              <w:pStyle w:val="67"/>
              <w:shd w:val="clea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中标人责任人员签名（盖公章）：</w:t>
            </w:r>
          </w:p>
          <w:p w14:paraId="331AE749">
            <w:pPr>
              <w:pStyle w:val="67"/>
              <w:shd w:val="clear"/>
              <w:jc w:val="left"/>
              <w:rPr>
                <w:rFonts w:hint="eastAsia" w:ascii="宋体" w:hAnsi="宋体" w:eastAsia="宋体" w:cs="宋体"/>
                <w:color w:val="auto"/>
                <w:sz w:val="21"/>
                <w:szCs w:val="21"/>
                <w:highlight w:val="none"/>
              </w:rPr>
            </w:pPr>
          </w:p>
        </w:tc>
      </w:tr>
    </w:tbl>
    <w:p w14:paraId="48278954">
      <w:pPr>
        <w:shd w:val="clear"/>
        <w:rPr>
          <w:rFonts w:ascii="宋体" w:hAnsi="宋体"/>
          <w:b/>
          <w:color w:val="auto"/>
          <w:szCs w:val="21"/>
          <w:highlight w:val="none"/>
        </w:rPr>
      </w:pPr>
      <w:r>
        <w:rPr>
          <w:rFonts w:hint="eastAsia" w:ascii="宋体" w:hAnsi="宋体"/>
          <w:b/>
          <w:color w:val="auto"/>
          <w:szCs w:val="21"/>
          <w:highlight w:val="none"/>
        </w:rPr>
        <w:br w:type="page"/>
      </w:r>
    </w:p>
    <w:p w14:paraId="1786E766">
      <w:pPr>
        <w:pStyle w:val="3"/>
        <w:shd w:val="clear"/>
        <w:spacing w:before="0" w:after="0" w:line="240" w:lineRule="auto"/>
        <w:rPr>
          <w:color w:val="auto"/>
          <w:sz w:val="28"/>
          <w:szCs w:val="28"/>
          <w:highlight w:val="none"/>
        </w:rPr>
      </w:pPr>
      <w:bookmarkStart w:id="192" w:name="_Toc1478"/>
      <w:bookmarkStart w:id="193" w:name="_Toc23749"/>
      <w:bookmarkStart w:id="194" w:name="_Toc31587"/>
      <w:r>
        <w:rPr>
          <w:rFonts w:hint="eastAsia"/>
          <w:color w:val="auto"/>
          <w:sz w:val="28"/>
          <w:szCs w:val="28"/>
          <w:highlight w:val="none"/>
        </w:rPr>
        <w:t>第七部分  投标文件格式</w:t>
      </w:r>
      <w:bookmarkEnd w:id="192"/>
      <w:bookmarkEnd w:id="193"/>
      <w:bookmarkEnd w:id="194"/>
    </w:p>
    <w:p w14:paraId="2DA604A9">
      <w:pPr>
        <w:shd w:val="clear"/>
        <w:rPr>
          <w:color w:val="auto"/>
          <w:highlight w:val="none"/>
        </w:rPr>
      </w:pPr>
    </w:p>
    <w:p w14:paraId="1A15ED10">
      <w:pPr>
        <w:pStyle w:val="4"/>
        <w:shd w:val="clear"/>
        <w:rPr>
          <w:color w:val="auto"/>
          <w:highlight w:val="none"/>
        </w:rPr>
      </w:pPr>
      <w:bookmarkStart w:id="195" w:name="_Toc6790"/>
      <w:bookmarkStart w:id="196" w:name="_Toc5794"/>
      <w:bookmarkStart w:id="197" w:name="_Toc26830"/>
      <w:r>
        <w:rPr>
          <w:rFonts w:hint="eastAsia"/>
          <w:color w:val="auto"/>
          <w:highlight w:val="none"/>
        </w:rPr>
        <w:t>投标文件目录</w:t>
      </w:r>
      <w:bookmarkEnd w:id="195"/>
      <w:bookmarkEnd w:id="196"/>
      <w:bookmarkEnd w:id="197"/>
    </w:p>
    <w:p w14:paraId="24DB9BD3">
      <w:pPr>
        <w:shd w:val="clear"/>
        <w:jc w:val="center"/>
        <w:rPr>
          <w:rFonts w:ascii="黑体" w:eastAsia="黑体"/>
          <w:color w:val="auto"/>
          <w:sz w:val="32"/>
          <w:szCs w:val="32"/>
          <w:highlight w:val="none"/>
        </w:rPr>
      </w:pPr>
    </w:p>
    <w:p w14:paraId="6A7BB03A">
      <w:pPr>
        <w:shd w:val="clea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7EB31547">
      <w:pPr>
        <w:shd w:val="clea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44D96AFA">
      <w:pPr>
        <w:shd w:val="clear"/>
        <w:adjustRightInd/>
        <w:snapToGrid/>
        <w:spacing w:line="276" w:lineRule="auto"/>
        <w:rPr>
          <w:rFonts w:ascii="宋体" w:hAnsi="宋体"/>
          <w:color w:val="auto"/>
          <w:szCs w:val="21"/>
          <w:highlight w:val="none"/>
        </w:rPr>
      </w:pPr>
    </w:p>
    <w:p w14:paraId="439D0FA3">
      <w:pPr>
        <w:shd w:val="clear"/>
        <w:adjustRightInd/>
        <w:snapToGrid/>
        <w:spacing w:line="276" w:lineRule="auto"/>
        <w:rPr>
          <w:rFonts w:ascii="宋体" w:hAnsi="宋体"/>
          <w:color w:val="auto"/>
          <w:szCs w:val="21"/>
          <w:highlight w:val="none"/>
        </w:rPr>
      </w:pPr>
    </w:p>
    <w:p w14:paraId="1CCCECB0">
      <w:pPr>
        <w:shd w:val="clea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58BB9D92">
      <w:pPr>
        <w:pStyle w:val="4"/>
        <w:shd w:val="clear"/>
        <w:rPr>
          <w:color w:val="auto"/>
          <w:highlight w:val="none"/>
        </w:rPr>
      </w:pPr>
      <w:bookmarkStart w:id="198" w:name="_Toc25502"/>
      <w:bookmarkStart w:id="199" w:name="_Toc5670"/>
      <w:bookmarkStart w:id="200" w:name="_Toc18893"/>
      <w:r>
        <w:rPr>
          <w:rFonts w:hint="eastAsia"/>
          <w:color w:val="auto"/>
          <w:highlight w:val="none"/>
        </w:rPr>
        <w:t>评分标准索引表</w:t>
      </w:r>
      <w:bookmarkEnd w:id="198"/>
      <w:bookmarkEnd w:id="199"/>
      <w:bookmarkEnd w:id="200"/>
    </w:p>
    <w:p w14:paraId="081ED5E1">
      <w:pPr>
        <w:shd w:val="clear"/>
        <w:adjustRightInd/>
        <w:snapToGrid/>
        <w:spacing w:line="276" w:lineRule="auto"/>
        <w:rPr>
          <w:rFonts w:ascii="宋体" w:hAnsi="宋体"/>
          <w:color w:val="auto"/>
          <w:szCs w:val="21"/>
          <w:highlight w:val="none"/>
        </w:rPr>
      </w:pPr>
    </w:p>
    <w:p w14:paraId="4947B013">
      <w:pPr>
        <w:shd w:val="clea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5"/>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7DA06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6AEEEBB7">
            <w:pPr>
              <w:pStyle w:val="55"/>
              <w:keepNext w:val="0"/>
              <w:shd w:val="clear"/>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14:paraId="374C2E45">
            <w:pPr>
              <w:pStyle w:val="55"/>
              <w:keepNext w:val="0"/>
              <w:shd w:val="clear"/>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14:paraId="7DA4DFAB">
            <w:pPr>
              <w:pStyle w:val="55"/>
              <w:keepNext w:val="0"/>
              <w:shd w:val="clear"/>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7D11E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14:paraId="0FE2DA0A">
            <w:pPr>
              <w:pStyle w:val="32"/>
              <w:shd w:val="clear"/>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369170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05EAC9E9">
            <w:pPr>
              <w:pStyle w:val="32"/>
              <w:shd w:val="clear"/>
              <w:jc w:val="both"/>
              <w:rPr>
                <w:rFonts w:ascii="宋体" w:hAnsi="宋体" w:cs="宋体"/>
                <w:color w:val="auto"/>
                <w:szCs w:val="21"/>
                <w:highlight w:val="none"/>
              </w:rPr>
            </w:pPr>
          </w:p>
        </w:tc>
        <w:tc>
          <w:tcPr>
            <w:tcW w:w="5028" w:type="dxa"/>
            <w:noWrap/>
            <w:vAlign w:val="center"/>
          </w:tcPr>
          <w:p w14:paraId="51C8D9BE">
            <w:pPr>
              <w:pStyle w:val="32"/>
              <w:shd w:val="clear"/>
              <w:jc w:val="both"/>
              <w:rPr>
                <w:rFonts w:ascii="宋体" w:hAnsi="宋体" w:cs="宋体"/>
                <w:color w:val="auto"/>
                <w:szCs w:val="21"/>
                <w:highlight w:val="none"/>
              </w:rPr>
            </w:pPr>
          </w:p>
        </w:tc>
        <w:tc>
          <w:tcPr>
            <w:tcW w:w="2126" w:type="dxa"/>
            <w:noWrap/>
            <w:vAlign w:val="center"/>
          </w:tcPr>
          <w:p w14:paraId="5BAAD270">
            <w:pPr>
              <w:pStyle w:val="18"/>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47A2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6BFB4EA4">
            <w:pPr>
              <w:pStyle w:val="32"/>
              <w:shd w:val="clear"/>
              <w:jc w:val="both"/>
              <w:rPr>
                <w:rFonts w:ascii="宋体" w:hAnsi="宋体" w:cs="宋体"/>
                <w:color w:val="auto"/>
                <w:szCs w:val="21"/>
                <w:highlight w:val="none"/>
              </w:rPr>
            </w:pPr>
          </w:p>
        </w:tc>
        <w:tc>
          <w:tcPr>
            <w:tcW w:w="5028" w:type="dxa"/>
            <w:noWrap/>
            <w:vAlign w:val="center"/>
          </w:tcPr>
          <w:p w14:paraId="014E36F3">
            <w:pPr>
              <w:pStyle w:val="32"/>
              <w:shd w:val="clear"/>
              <w:jc w:val="both"/>
              <w:rPr>
                <w:rFonts w:ascii="宋体" w:hAnsi="宋体" w:cs="宋体"/>
                <w:color w:val="auto"/>
                <w:szCs w:val="21"/>
                <w:highlight w:val="none"/>
              </w:rPr>
            </w:pPr>
          </w:p>
        </w:tc>
        <w:tc>
          <w:tcPr>
            <w:tcW w:w="2126" w:type="dxa"/>
            <w:noWrap/>
            <w:vAlign w:val="center"/>
          </w:tcPr>
          <w:p w14:paraId="45FD637D">
            <w:pPr>
              <w:pStyle w:val="18"/>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673D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4C6C826D">
            <w:pPr>
              <w:pStyle w:val="32"/>
              <w:shd w:val="clear"/>
              <w:jc w:val="both"/>
              <w:rPr>
                <w:rFonts w:ascii="宋体" w:hAnsi="宋体" w:cs="宋体"/>
                <w:color w:val="auto"/>
                <w:szCs w:val="21"/>
                <w:highlight w:val="none"/>
              </w:rPr>
            </w:pPr>
          </w:p>
        </w:tc>
        <w:tc>
          <w:tcPr>
            <w:tcW w:w="5028" w:type="dxa"/>
            <w:noWrap/>
            <w:vAlign w:val="center"/>
          </w:tcPr>
          <w:p w14:paraId="58F51F7E">
            <w:pPr>
              <w:pStyle w:val="32"/>
              <w:shd w:val="clear"/>
              <w:jc w:val="both"/>
              <w:rPr>
                <w:rFonts w:ascii="宋体" w:hAnsi="宋体" w:cs="宋体"/>
                <w:color w:val="auto"/>
                <w:szCs w:val="21"/>
                <w:highlight w:val="none"/>
              </w:rPr>
            </w:pPr>
          </w:p>
        </w:tc>
        <w:tc>
          <w:tcPr>
            <w:tcW w:w="2126" w:type="dxa"/>
            <w:noWrap/>
            <w:vAlign w:val="center"/>
          </w:tcPr>
          <w:p w14:paraId="71F6F912">
            <w:pPr>
              <w:pStyle w:val="18"/>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4136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6373807A">
            <w:pPr>
              <w:pStyle w:val="32"/>
              <w:shd w:val="clear"/>
              <w:jc w:val="both"/>
              <w:rPr>
                <w:rFonts w:ascii="宋体" w:hAnsi="宋体" w:cs="宋体"/>
                <w:color w:val="auto"/>
                <w:szCs w:val="21"/>
                <w:highlight w:val="none"/>
              </w:rPr>
            </w:pPr>
          </w:p>
        </w:tc>
        <w:tc>
          <w:tcPr>
            <w:tcW w:w="5028" w:type="dxa"/>
            <w:noWrap/>
            <w:vAlign w:val="center"/>
          </w:tcPr>
          <w:p w14:paraId="5EA9F49A">
            <w:pPr>
              <w:pStyle w:val="32"/>
              <w:shd w:val="clear"/>
              <w:jc w:val="both"/>
              <w:rPr>
                <w:rFonts w:ascii="宋体" w:hAnsi="宋体" w:cs="宋体"/>
                <w:color w:val="auto"/>
                <w:szCs w:val="21"/>
                <w:highlight w:val="none"/>
              </w:rPr>
            </w:pPr>
          </w:p>
        </w:tc>
        <w:tc>
          <w:tcPr>
            <w:tcW w:w="2126" w:type="dxa"/>
            <w:noWrap/>
            <w:vAlign w:val="center"/>
          </w:tcPr>
          <w:p w14:paraId="6C2217F4">
            <w:pPr>
              <w:pStyle w:val="18"/>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2DCF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35A12FFF">
            <w:pPr>
              <w:pStyle w:val="32"/>
              <w:shd w:val="clear"/>
              <w:jc w:val="both"/>
              <w:rPr>
                <w:rFonts w:ascii="宋体" w:hAnsi="宋体" w:cs="宋体"/>
                <w:color w:val="auto"/>
                <w:szCs w:val="21"/>
                <w:highlight w:val="none"/>
              </w:rPr>
            </w:pPr>
          </w:p>
        </w:tc>
        <w:tc>
          <w:tcPr>
            <w:tcW w:w="5028" w:type="dxa"/>
            <w:noWrap/>
            <w:vAlign w:val="center"/>
          </w:tcPr>
          <w:p w14:paraId="390341B8">
            <w:pPr>
              <w:pStyle w:val="32"/>
              <w:shd w:val="clear"/>
              <w:jc w:val="both"/>
              <w:rPr>
                <w:rFonts w:ascii="宋体" w:hAnsi="宋体" w:cs="宋体"/>
                <w:color w:val="auto"/>
                <w:szCs w:val="21"/>
                <w:highlight w:val="none"/>
              </w:rPr>
            </w:pPr>
          </w:p>
        </w:tc>
        <w:tc>
          <w:tcPr>
            <w:tcW w:w="2126" w:type="dxa"/>
            <w:noWrap/>
            <w:vAlign w:val="center"/>
          </w:tcPr>
          <w:p w14:paraId="38379A7C">
            <w:pPr>
              <w:pStyle w:val="18"/>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16C0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14:paraId="466895CD">
            <w:pPr>
              <w:pStyle w:val="18"/>
              <w:shd w:val="clear"/>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0177F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7FF36408">
            <w:pPr>
              <w:pStyle w:val="32"/>
              <w:shd w:val="clear"/>
              <w:jc w:val="both"/>
              <w:rPr>
                <w:rFonts w:ascii="宋体" w:hAnsi="宋体" w:cs="宋体"/>
                <w:color w:val="auto"/>
                <w:szCs w:val="21"/>
                <w:highlight w:val="none"/>
              </w:rPr>
            </w:pPr>
          </w:p>
        </w:tc>
        <w:tc>
          <w:tcPr>
            <w:tcW w:w="5028" w:type="dxa"/>
            <w:noWrap/>
            <w:vAlign w:val="center"/>
          </w:tcPr>
          <w:p w14:paraId="3E613A32">
            <w:pPr>
              <w:pStyle w:val="32"/>
              <w:shd w:val="clear"/>
              <w:jc w:val="both"/>
              <w:rPr>
                <w:rFonts w:ascii="宋体" w:hAnsi="宋体" w:cs="宋体"/>
                <w:color w:val="auto"/>
                <w:szCs w:val="21"/>
                <w:highlight w:val="none"/>
              </w:rPr>
            </w:pPr>
          </w:p>
        </w:tc>
        <w:tc>
          <w:tcPr>
            <w:tcW w:w="2126" w:type="dxa"/>
            <w:noWrap/>
            <w:vAlign w:val="center"/>
          </w:tcPr>
          <w:p w14:paraId="371BE48F">
            <w:pPr>
              <w:pStyle w:val="18"/>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DC09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7B120C1C">
            <w:pPr>
              <w:pStyle w:val="32"/>
              <w:shd w:val="clear"/>
              <w:jc w:val="both"/>
              <w:rPr>
                <w:rFonts w:ascii="宋体" w:hAnsi="宋体" w:cs="宋体"/>
                <w:color w:val="auto"/>
                <w:szCs w:val="21"/>
                <w:highlight w:val="none"/>
              </w:rPr>
            </w:pPr>
          </w:p>
        </w:tc>
        <w:tc>
          <w:tcPr>
            <w:tcW w:w="5028" w:type="dxa"/>
            <w:noWrap/>
            <w:vAlign w:val="center"/>
          </w:tcPr>
          <w:p w14:paraId="1D49821A">
            <w:pPr>
              <w:pStyle w:val="32"/>
              <w:shd w:val="clear"/>
              <w:jc w:val="both"/>
              <w:rPr>
                <w:rFonts w:ascii="宋体" w:hAnsi="宋体" w:cs="宋体"/>
                <w:color w:val="auto"/>
                <w:szCs w:val="21"/>
                <w:highlight w:val="none"/>
              </w:rPr>
            </w:pPr>
          </w:p>
        </w:tc>
        <w:tc>
          <w:tcPr>
            <w:tcW w:w="2126" w:type="dxa"/>
            <w:noWrap/>
            <w:vAlign w:val="center"/>
          </w:tcPr>
          <w:p w14:paraId="32A8AD42">
            <w:pPr>
              <w:pStyle w:val="18"/>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408F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45469189">
            <w:pPr>
              <w:pStyle w:val="32"/>
              <w:shd w:val="clear"/>
              <w:jc w:val="both"/>
              <w:rPr>
                <w:rFonts w:ascii="宋体" w:hAnsi="宋体" w:cs="宋体"/>
                <w:color w:val="auto"/>
                <w:szCs w:val="21"/>
                <w:highlight w:val="none"/>
              </w:rPr>
            </w:pPr>
          </w:p>
        </w:tc>
        <w:tc>
          <w:tcPr>
            <w:tcW w:w="5028" w:type="dxa"/>
            <w:noWrap/>
            <w:vAlign w:val="center"/>
          </w:tcPr>
          <w:p w14:paraId="1119A1E8">
            <w:pPr>
              <w:pStyle w:val="32"/>
              <w:shd w:val="clear"/>
              <w:jc w:val="both"/>
              <w:rPr>
                <w:rFonts w:ascii="宋体" w:hAnsi="宋体" w:cs="宋体"/>
                <w:color w:val="auto"/>
                <w:szCs w:val="21"/>
                <w:highlight w:val="none"/>
              </w:rPr>
            </w:pPr>
          </w:p>
        </w:tc>
        <w:tc>
          <w:tcPr>
            <w:tcW w:w="2126" w:type="dxa"/>
            <w:noWrap/>
            <w:vAlign w:val="center"/>
          </w:tcPr>
          <w:p w14:paraId="48F72EEC">
            <w:pPr>
              <w:pStyle w:val="18"/>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554B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126CA393">
            <w:pPr>
              <w:pStyle w:val="32"/>
              <w:shd w:val="clear"/>
              <w:jc w:val="both"/>
              <w:rPr>
                <w:rFonts w:ascii="宋体" w:hAnsi="宋体" w:cs="宋体"/>
                <w:color w:val="auto"/>
                <w:szCs w:val="21"/>
                <w:highlight w:val="none"/>
              </w:rPr>
            </w:pPr>
          </w:p>
        </w:tc>
        <w:tc>
          <w:tcPr>
            <w:tcW w:w="5028" w:type="dxa"/>
            <w:noWrap/>
            <w:vAlign w:val="center"/>
          </w:tcPr>
          <w:p w14:paraId="4A79D2EE">
            <w:pPr>
              <w:pStyle w:val="32"/>
              <w:shd w:val="clear"/>
              <w:jc w:val="both"/>
              <w:rPr>
                <w:rFonts w:ascii="宋体" w:hAnsi="宋体" w:cs="宋体"/>
                <w:color w:val="auto"/>
                <w:szCs w:val="21"/>
                <w:highlight w:val="none"/>
              </w:rPr>
            </w:pPr>
          </w:p>
        </w:tc>
        <w:tc>
          <w:tcPr>
            <w:tcW w:w="2126" w:type="dxa"/>
            <w:noWrap/>
            <w:vAlign w:val="center"/>
          </w:tcPr>
          <w:p w14:paraId="54BDBC61">
            <w:pPr>
              <w:pStyle w:val="18"/>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A441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700C9EA7">
            <w:pPr>
              <w:pStyle w:val="32"/>
              <w:shd w:val="clear"/>
              <w:jc w:val="both"/>
              <w:rPr>
                <w:rFonts w:ascii="宋体" w:hAnsi="宋体" w:cs="宋体"/>
                <w:color w:val="auto"/>
                <w:szCs w:val="21"/>
                <w:highlight w:val="none"/>
              </w:rPr>
            </w:pPr>
          </w:p>
        </w:tc>
        <w:tc>
          <w:tcPr>
            <w:tcW w:w="5028" w:type="dxa"/>
            <w:noWrap/>
            <w:vAlign w:val="center"/>
          </w:tcPr>
          <w:p w14:paraId="6FB96A0F">
            <w:pPr>
              <w:pStyle w:val="32"/>
              <w:shd w:val="clear"/>
              <w:jc w:val="both"/>
              <w:rPr>
                <w:rFonts w:ascii="宋体" w:hAnsi="宋体" w:cs="宋体"/>
                <w:color w:val="auto"/>
                <w:szCs w:val="21"/>
                <w:highlight w:val="none"/>
              </w:rPr>
            </w:pPr>
          </w:p>
        </w:tc>
        <w:tc>
          <w:tcPr>
            <w:tcW w:w="2126" w:type="dxa"/>
            <w:noWrap/>
            <w:vAlign w:val="center"/>
          </w:tcPr>
          <w:p w14:paraId="41F88140">
            <w:pPr>
              <w:pStyle w:val="18"/>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A582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6228C4E7">
            <w:pPr>
              <w:pStyle w:val="32"/>
              <w:shd w:val="clear"/>
              <w:jc w:val="both"/>
              <w:rPr>
                <w:rFonts w:ascii="宋体" w:hAnsi="宋体" w:cs="宋体"/>
                <w:color w:val="auto"/>
                <w:szCs w:val="21"/>
                <w:highlight w:val="none"/>
              </w:rPr>
            </w:pPr>
          </w:p>
        </w:tc>
        <w:tc>
          <w:tcPr>
            <w:tcW w:w="5028" w:type="dxa"/>
            <w:noWrap/>
            <w:vAlign w:val="center"/>
          </w:tcPr>
          <w:p w14:paraId="61B37B56">
            <w:pPr>
              <w:pStyle w:val="32"/>
              <w:shd w:val="clear"/>
              <w:jc w:val="both"/>
              <w:rPr>
                <w:rFonts w:ascii="宋体" w:hAnsi="宋体" w:cs="宋体"/>
                <w:color w:val="auto"/>
                <w:szCs w:val="21"/>
                <w:highlight w:val="none"/>
              </w:rPr>
            </w:pPr>
          </w:p>
        </w:tc>
        <w:tc>
          <w:tcPr>
            <w:tcW w:w="2126" w:type="dxa"/>
            <w:noWrap/>
            <w:vAlign w:val="center"/>
          </w:tcPr>
          <w:p w14:paraId="5E7C7D28">
            <w:pPr>
              <w:pStyle w:val="18"/>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65EA45E7">
      <w:pPr>
        <w:shd w:val="clear"/>
        <w:rPr>
          <w:rFonts w:ascii="宋体" w:hAnsi="宋体"/>
          <w:color w:val="auto"/>
          <w:szCs w:val="21"/>
          <w:highlight w:val="none"/>
        </w:rPr>
      </w:pPr>
    </w:p>
    <w:p w14:paraId="1E4AF914">
      <w:pPr>
        <w:shd w:val="clear"/>
        <w:rPr>
          <w:rFonts w:ascii="宋体" w:hAnsi="宋体"/>
          <w:color w:val="auto"/>
          <w:szCs w:val="21"/>
          <w:highlight w:val="none"/>
        </w:rPr>
      </w:pPr>
      <w:r>
        <w:rPr>
          <w:rFonts w:hint="eastAsia" w:ascii="宋体" w:hAnsi="宋体"/>
          <w:color w:val="auto"/>
          <w:szCs w:val="21"/>
          <w:highlight w:val="none"/>
        </w:rPr>
        <w:t>注：</w:t>
      </w:r>
    </w:p>
    <w:p w14:paraId="5CA83CA7">
      <w:pPr>
        <w:numPr>
          <w:ilvl w:val="0"/>
          <w:numId w:val="7"/>
        </w:numPr>
        <w:shd w:val="clea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135D0F46">
      <w:pPr>
        <w:pStyle w:val="8"/>
        <w:shd w:val="clear"/>
        <w:spacing w:before="0"/>
        <w:ind w:left="0"/>
        <w:rPr>
          <w:color w:val="auto"/>
          <w:highlight w:val="none"/>
        </w:rPr>
      </w:pPr>
    </w:p>
    <w:p w14:paraId="7FC367BA">
      <w:pPr>
        <w:shd w:val="clear"/>
        <w:adjustRightInd/>
        <w:snapToGrid/>
        <w:spacing w:line="276" w:lineRule="auto"/>
        <w:rPr>
          <w:rFonts w:ascii="宋体" w:hAnsi="宋体"/>
          <w:color w:val="auto"/>
          <w:szCs w:val="21"/>
          <w:highlight w:val="none"/>
        </w:rPr>
      </w:pPr>
    </w:p>
    <w:p w14:paraId="48355029">
      <w:pPr>
        <w:shd w:val="clear"/>
        <w:adjustRightInd/>
        <w:snapToGrid/>
        <w:spacing w:line="276" w:lineRule="auto"/>
        <w:rPr>
          <w:rFonts w:ascii="宋体" w:hAnsi="宋体"/>
          <w:color w:val="auto"/>
          <w:szCs w:val="21"/>
          <w:highlight w:val="none"/>
        </w:rPr>
      </w:pPr>
    </w:p>
    <w:p w14:paraId="3CB6597A">
      <w:pPr>
        <w:shd w:val="clear"/>
        <w:adjustRightInd/>
        <w:snapToGrid/>
        <w:spacing w:line="276" w:lineRule="auto"/>
        <w:rPr>
          <w:rFonts w:ascii="宋体" w:hAnsi="宋体"/>
          <w:color w:val="auto"/>
          <w:szCs w:val="21"/>
          <w:highlight w:val="none"/>
        </w:rPr>
      </w:pPr>
    </w:p>
    <w:p w14:paraId="2D67FD1F">
      <w:pPr>
        <w:shd w:val="clear"/>
        <w:adjustRightInd/>
        <w:snapToGrid/>
        <w:spacing w:line="276" w:lineRule="auto"/>
        <w:rPr>
          <w:rFonts w:ascii="宋体" w:hAnsi="宋体"/>
          <w:color w:val="auto"/>
          <w:szCs w:val="21"/>
          <w:highlight w:val="none"/>
        </w:rPr>
      </w:pPr>
    </w:p>
    <w:p w14:paraId="2D397B7B">
      <w:pPr>
        <w:shd w:val="clear"/>
        <w:adjustRightInd/>
        <w:snapToGrid/>
        <w:spacing w:line="276" w:lineRule="auto"/>
        <w:rPr>
          <w:rFonts w:ascii="宋体" w:hAnsi="宋体"/>
          <w:color w:val="auto"/>
          <w:szCs w:val="21"/>
          <w:highlight w:val="none"/>
        </w:rPr>
      </w:pPr>
    </w:p>
    <w:p w14:paraId="3C5CFCF4">
      <w:pPr>
        <w:shd w:val="clea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68BC0240">
      <w:pPr>
        <w:pStyle w:val="4"/>
        <w:shd w:val="clear"/>
        <w:jc w:val="center"/>
        <w:rPr>
          <w:color w:val="auto"/>
          <w:highlight w:val="none"/>
        </w:rPr>
      </w:pPr>
      <w:bookmarkStart w:id="201" w:name="_Toc22080"/>
      <w:bookmarkStart w:id="202" w:name="_Toc8194"/>
      <w:bookmarkStart w:id="203" w:name="_Toc30640"/>
      <w:r>
        <w:rPr>
          <w:rFonts w:hint="eastAsia"/>
          <w:color w:val="auto"/>
          <w:highlight w:val="none"/>
        </w:rPr>
        <w:t>第一章价格文件</w:t>
      </w:r>
      <w:bookmarkEnd w:id="201"/>
      <w:bookmarkEnd w:id="202"/>
    </w:p>
    <w:p w14:paraId="71667F27">
      <w:pPr>
        <w:pStyle w:val="4"/>
        <w:shd w:val="clear"/>
        <w:jc w:val="center"/>
        <w:rPr>
          <w:color w:val="auto"/>
          <w:highlight w:val="none"/>
        </w:rPr>
      </w:pPr>
      <w:bookmarkStart w:id="204" w:name="_Toc4168"/>
      <w:bookmarkStart w:id="205" w:name="_Toc19750"/>
      <w:r>
        <w:rPr>
          <w:rFonts w:hint="eastAsia"/>
          <w:color w:val="auto"/>
          <w:highlight w:val="none"/>
        </w:rPr>
        <w:t>一、唱标一览表</w:t>
      </w:r>
      <w:bookmarkEnd w:id="204"/>
      <w:bookmarkEnd w:id="205"/>
    </w:p>
    <w:p w14:paraId="4C9BA3C2">
      <w:pPr>
        <w:shd w:val="clear"/>
        <w:rPr>
          <w:color w:val="auto"/>
          <w:highlight w:val="none"/>
        </w:rPr>
      </w:pPr>
    </w:p>
    <w:tbl>
      <w:tblPr>
        <w:tblStyle w:val="25"/>
        <w:tblW w:w="8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1275"/>
        <w:gridCol w:w="3168"/>
        <w:gridCol w:w="1480"/>
      </w:tblGrid>
      <w:tr w14:paraId="260FA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250" w:type="dxa"/>
            <w:tcBorders>
              <w:tl2br w:val="nil"/>
              <w:tr2bl w:val="nil"/>
            </w:tcBorders>
            <w:vAlign w:val="center"/>
          </w:tcPr>
          <w:p w14:paraId="4AF00B70">
            <w:pPr>
              <w:shd w:val="clea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项目名称</w:t>
            </w:r>
          </w:p>
        </w:tc>
        <w:tc>
          <w:tcPr>
            <w:tcW w:w="1275" w:type="dxa"/>
            <w:tcBorders>
              <w:tl2br w:val="nil"/>
              <w:tr2bl w:val="nil"/>
            </w:tcBorders>
            <w:vAlign w:val="center"/>
          </w:tcPr>
          <w:p w14:paraId="40F76AE8">
            <w:pPr>
              <w:shd w:val="clear"/>
              <w:tabs>
                <w:tab w:val="left" w:pos="654"/>
                <w:tab w:val="left" w:pos="1734"/>
                <w:tab w:val="left" w:pos="2814"/>
                <w:tab w:val="left" w:pos="3894"/>
                <w:tab w:val="left" w:pos="5334"/>
                <w:tab w:val="left" w:pos="6414"/>
                <w:tab w:val="left" w:pos="7254"/>
                <w:tab w:val="left" w:pos="8574"/>
                <w:tab w:val="left" w:pos="9654"/>
              </w:tabs>
              <w:spacing w:after="0"/>
              <w:jc w:val="center"/>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包号</w:t>
            </w:r>
          </w:p>
        </w:tc>
        <w:tc>
          <w:tcPr>
            <w:tcW w:w="3168" w:type="dxa"/>
            <w:tcBorders>
              <w:tl2br w:val="nil"/>
              <w:tr2bl w:val="nil"/>
            </w:tcBorders>
            <w:vAlign w:val="center"/>
          </w:tcPr>
          <w:p w14:paraId="0E62D225">
            <w:pPr>
              <w:shd w:val="clea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1480" w:type="dxa"/>
            <w:tcBorders>
              <w:tl2br w:val="nil"/>
              <w:tr2bl w:val="nil"/>
            </w:tcBorders>
            <w:vAlign w:val="center"/>
          </w:tcPr>
          <w:p w14:paraId="3AEE37FC">
            <w:pPr>
              <w:shd w:val="clea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0E559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250" w:type="dxa"/>
            <w:vMerge w:val="restart"/>
            <w:tcBorders>
              <w:tl2br w:val="nil"/>
              <w:tr2bl w:val="nil"/>
            </w:tcBorders>
          </w:tcPr>
          <w:p w14:paraId="4A74BE30">
            <w:pPr>
              <w:shd w:val="clea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1275" w:type="dxa"/>
            <w:vMerge w:val="restart"/>
            <w:tcBorders>
              <w:tl2br w:val="nil"/>
              <w:tr2bl w:val="nil"/>
            </w:tcBorders>
            <w:vAlign w:val="center"/>
          </w:tcPr>
          <w:p w14:paraId="5A5C2F9E">
            <w:pPr>
              <w:shd w:val="clear"/>
              <w:tabs>
                <w:tab w:val="left" w:pos="654"/>
                <w:tab w:val="left" w:pos="1734"/>
                <w:tab w:val="left" w:pos="2814"/>
                <w:tab w:val="left" w:pos="3894"/>
                <w:tab w:val="left" w:pos="5334"/>
                <w:tab w:val="left" w:pos="6414"/>
                <w:tab w:val="left" w:pos="7254"/>
                <w:tab w:val="left" w:pos="8574"/>
                <w:tab w:val="left" w:pos="9654"/>
              </w:tabs>
              <w:spacing w:after="0"/>
              <w:jc w:val="both"/>
              <w:rPr>
                <w:rFonts w:hint="eastAsia" w:ascii="宋体" w:hAnsi="宋体" w:eastAsia="宋体"/>
                <w:color w:val="auto"/>
                <w:sz w:val="21"/>
                <w:szCs w:val="21"/>
                <w:highlight w:val="none"/>
              </w:rPr>
            </w:pPr>
          </w:p>
        </w:tc>
        <w:tc>
          <w:tcPr>
            <w:tcW w:w="3168" w:type="dxa"/>
            <w:tcBorders>
              <w:tl2br w:val="nil"/>
              <w:tr2bl w:val="nil"/>
            </w:tcBorders>
            <w:vAlign w:val="center"/>
          </w:tcPr>
          <w:p w14:paraId="43C30413">
            <w:pPr>
              <w:shd w:val="clea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1480" w:type="dxa"/>
            <w:vMerge w:val="restart"/>
            <w:tcBorders>
              <w:tl2br w:val="nil"/>
              <w:tr2bl w:val="nil"/>
            </w:tcBorders>
          </w:tcPr>
          <w:p w14:paraId="0B622DC5">
            <w:pPr>
              <w:shd w:val="clea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14:paraId="42F3C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250" w:type="dxa"/>
            <w:vMerge w:val="continue"/>
            <w:tcBorders>
              <w:tl2br w:val="nil"/>
              <w:tr2bl w:val="nil"/>
            </w:tcBorders>
          </w:tcPr>
          <w:p w14:paraId="08B440C6">
            <w:pPr>
              <w:shd w:val="clea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1275" w:type="dxa"/>
            <w:vMerge w:val="continue"/>
            <w:tcBorders>
              <w:tl2br w:val="nil"/>
              <w:tr2bl w:val="nil"/>
            </w:tcBorders>
            <w:vAlign w:val="center"/>
          </w:tcPr>
          <w:p w14:paraId="1E0ACE55">
            <w:pPr>
              <w:shd w:val="clear"/>
              <w:tabs>
                <w:tab w:val="left" w:pos="654"/>
                <w:tab w:val="left" w:pos="1734"/>
                <w:tab w:val="left" w:pos="2814"/>
                <w:tab w:val="left" w:pos="3894"/>
                <w:tab w:val="left" w:pos="5334"/>
                <w:tab w:val="left" w:pos="6414"/>
                <w:tab w:val="left" w:pos="7254"/>
                <w:tab w:val="left" w:pos="8574"/>
                <w:tab w:val="left" w:pos="9654"/>
              </w:tabs>
              <w:spacing w:after="0"/>
              <w:jc w:val="both"/>
              <w:rPr>
                <w:rFonts w:hint="eastAsia" w:ascii="宋体" w:hAnsi="宋体" w:eastAsia="宋体"/>
                <w:color w:val="auto"/>
                <w:sz w:val="21"/>
                <w:szCs w:val="21"/>
                <w:highlight w:val="none"/>
              </w:rPr>
            </w:pPr>
          </w:p>
        </w:tc>
        <w:tc>
          <w:tcPr>
            <w:tcW w:w="3168" w:type="dxa"/>
            <w:tcBorders>
              <w:tl2br w:val="nil"/>
              <w:tr2bl w:val="nil"/>
            </w:tcBorders>
            <w:vAlign w:val="center"/>
          </w:tcPr>
          <w:p w14:paraId="197F9F28">
            <w:pPr>
              <w:shd w:val="clea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1480" w:type="dxa"/>
            <w:vMerge w:val="continue"/>
            <w:tcBorders>
              <w:tl2br w:val="nil"/>
              <w:tr2bl w:val="nil"/>
            </w:tcBorders>
          </w:tcPr>
          <w:p w14:paraId="3161E13F">
            <w:pPr>
              <w:shd w:val="clea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14:paraId="28AA0DEE">
      <w:pPr>
        <w:shd w:val="clear"/>
        <w:spacing w:after="0" w:line="360" w:lineRule="auto"/>
        <w:rPr>
          <w:rFonts w:ascii="宋体" w:hAnsi="宋体" w:eastAsia="宋体"/>
          <w:color w:val="auto"/>
          <w:sz w:val="21"/>
          <w:szCs w:val="21"/>
          <w:highlight w:val="none"/>
        </w:rPr>
      </w:pPr>
    </w:p>
    <w:p w14:paraId="2A6A4173">
      <w:pPr>
        <w:shd w:val="clear"/>
        <w:spacing w:after="0" w:line="360" w:lineRule="auto"/>
        <w:ind w:firstLine="359" w:firstLineChars="171"/>
        <w:rPr>
          <w:rFonts w:ascii="宋体" w:hAnsi="宋体" w:eastAsia="宋体"/>
          <w:color w:val="auto"/>
          <w:sz w:val="21"/>
          <w:szCs w:val="21"/>
          <w:highlight w:val="none"/>
        </w:rPr>
      </w:pPr>
    </w:p>
    <w:p w14:paraId="4E973788">
      <w:pPr>
        <w:shd w:val="clea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14:paraId="10BEE6C4">
      <w:pPr>
        <w:shd w:val="clea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14:paraId="4154BE16">
      <w:pPr>
        <w:shd w:val="clea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67E853F4">
      <w:pPr>
        <w:shd w:val="clear"/>
        <w:spacing w:after="0" w:line="360" w:lineRule="auto"/>
        <w:ind w:firstLine="359" w:firstLineChars="171"/>
        <w:rPr>
          <w:rFonts w:ascii="宋体" w:hAnsi="宋体" w:eastAsia="宋体"/>
          <w:color w:val="auto"/>
          <w:sz w:val="21"/>
          <w:szCs w:val="21"/>
          <w:highlight w:val="none"/>
        </w:rPr>
      </w:pPr>
    </w:p>
    <w:p w14:paraId="480EB7CD">
      <w:pPr>
        <w:shd w:val="clea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14:paraId="0FD4B8C4">
      <w:pPr>
        <w:shd w:val="clea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栏须用大写和小写两种方式表示的</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招标文件</w:t>
      </w:r>
      <w:r>
        <w:rPr>
          <w:rFonts w:hint="eastAsia" w:ascii="宋体" w:hAnsi="宋体" w:eastAsia="宋体"/>
          <w:color w:val="auto"/>
          <w:sz w:val="21"/>
          <w:szCs w:val="21"/>
          <w:highlight w:val="none"/>
        </w:rPr>
        <w:t>要求的所有费用。</w:t>
      </w:r>
    </w:p>
    <w:p w14:paraId="05D15E08">
      <w:pPr>
        <w:shd w:val="clea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14:paraId="0013FE0B">
      <w:pPr>
        <w:shd w:val="clear"/>
        <w:spacing w:after="0" w:line="360" w:lineRule="auto"/>
        <w:ind w:left="357" w:leftChars="170" w:firstLine="359" w:firstLineChars="171"/>
        <w:rPr>
          <w:rFonts w:ascii="宋体" w:hAnsi="宋体" w:eastAsia="宋体"/>
          <w:color w:val="auto"/>
          <w:sz w:val="21"/>
          <w:szCs w:val="21"/>
          <w:highlight w:val="none"/>
        </w:rPr>
      </w:pPr>
    </w:p>
    <w:p w14:paraId="72A34FD2">
      <w:pPr>
        <w:shd w:val="clear"/>
        <w:ind w:left="357" w:leftChars="170" w:firstLine="359" w:firstLineChars="171"/>
        <w:rPr>
          <w:rFonts w:ascii="宋体" w:hAnsi="宋体"/>
          <w:color w:val="auto"/>
          <w:szCs w:val="21"/>
          <w:highlight w:val="none"/>
        </w:rPr>
      </w:pPr>
    </w:p>
    <w:p w14:paraId="4FB2A03E">
      <w:pPr>
        <w:shd w:val="clear"/>
        <w:rPr>
          <w:color w:val="auto"/>
          <w:highlight w:val="none"/>
        </w:rPr>
      </w:pPr>
    </w:p>
    <w:p w14:paraId="780D10C1">
      <w:pPr>
        <w:pStyle w:val="8"/>
        <w:shd w:val="clear"/>
        <w:rPr>
          <w:color w:val="auto"/>
          <w:highlight w:val="none"/>
        </w:rPr>
      </w:pPr>
    </w:p>
    <w:p w14:paraId="60CE44A7">
      <w:pPr>
        <w:shd w:val="clear"/>
        <w:rPr>
          <w:color w:val="auto"/>
          <w:highlight w:val="none"/>
        </w:rPr>
      </w:pPr>
    </w:p>
    <w:p w14:paraId="35C53C39">
      <w:pPr>
        <w:shd w:val="clear"/>
        <w:rPr>
          <w:color w:val="auto"/>
          <w:highlight w:val="none"/>
        </w:rPr>
      </w:pPr>
    </w:p>
    <w:p w14:paraId="064295C1">
      <w:pPr>
        <w:shd w:val="clear"/>
        <w:rPr>
          <w:color w:val="auto"/>
          <w:highlight w:val="none"/>
        </w:rPr>
      </w:pPr>
    </w:p>
    <w:p w14:paraId="55C7E75E">
      <w:pPr>
        <w:shd w:val="clear"/>
        <w:rPr>
          <w:color w:val="auto"/>
          <w:highlight w:val="none"/>
        </w:rPr>
      </w:pPr>
    </w:p>
    <w:p w14:paraId="2EF630FB">
      <w:pPr>
        <w:shd w:val="clear"/>
        <w:rPr>
          <w:color w:val="auto"/>
          <w:highlight w:val="none"/>
        </w:rPr>
      </w:pPr>
    </w:p>
    <w:p w14:paraId="0C057C80">
      <w:pPr>
        <w:shd w:val="clear"/>
        <w:rPr>
          <w:color w:val="auto"/>
          <w:highlight w:val="none"/>
        </w:rPr>
      </w:pPr>
    </w:p>
    <w:p w14:paraId="3D8403D0">
      <w:pPr>
        <w:shd w:val="clear"/>
        <w:rPr>
          <w:color w:val="auto"/>
          <w:highlight w:val="none"/>
        </w:rPr>
      </w:pPr>
    </w:p>
    <w:p w14:paraId="4B6D7350">
      <w:pPr>
        <w:shd w:val="clear"/>
        <w:rPr>
          <w:color w:val="auto"/>
          <w:highlight w:val="none"/>
        </w:rPr>
      </w:pPr>
    </w:p>
    <w:p w14:paraId="538BCBA3">
      <w:pPr>
        <w:shd w:val="clear"/>
        <w:rPr>
          <w:color w:val="auto"/>
          <w:highlight w:val="none"/>
        </w:rPr>
      </w:pPr>
    </w:p>
    <w:p w14:paraId="79CB38C6">
      <w:pPr>
        <w:shd w:val="clear"/>
        <w:rPr>
          <w:color w:val="auto"/>
          <w:highlight w:val="none"/>
        </w:rPr>
      </w:pPr>
    </w:p>
    <w:p w14:paraId="56D5701B">
      <w:pPr>
        <w:pStyle w:val="8"/>
        <w:shd w:val="clear"/>
        <w:rPr>
          <w:color w:val="auto"/>
          <w:highlight w:val="none"/>
        </w:rPr>
      </w:pPr>
    </w:p>
    <w:p w14:paraId="6C84808F">
      <w:pPr>
        <w:pStyle w:val="4"/>
        <w:shd w:val="clear"/>
        <w:jc w:val="center"/>
        <w:rPr>
          <w:color w:val="auto"/>
          <w:highlight w:val="none"/>
        </w:rPr>
      </w:pPr>
      <w:bookmarkStart w:id="206" w:name="_Toc31172"/>
      <w:bookmarkStart w:id="207" w:name="_Toc31062"/>
      <w:r>
        <w:rPr>
          <w:rFonts w:hint="eastAsia"/>
          <w:color w:val="auto"/>
          <w:highlight w:val="none"/>
        </w:rPr>
        <w:t>二、报价明细表</w:t>
      </w:r>
      <w:bookmarkEnd w:id="206"/>
      <w:bookmarkEnd w:id="207"/>
    </w:p>
    <w:p w14:paraId="6963E4DA">
      <w:pPr>
        <w:pStyle w:val="32"/>
        <w:shd w:val="clear"/>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3B11E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098BB3BD">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772CA6E8">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717745E5">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5E43135E">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4B03425C">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214F83A0">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47CC33EC">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4BD0E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003D6AE">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A91F016">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7FB961F">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4225061">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89A1D72">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F4BD081">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5F4CBBB">
            <w:pPr>
              <w:shd w:val="clear"/>
              <w:spacing w:before="100" w:beforeAutospacing="1" w:after="100" w:afterAutospacing="1"/>
              <w:jc w:val="center"/>
              <w:rPr>
                <w:rFonts w:ascii="宋体" w:hAnsi="宋体"/>
                <w:color w:val="auto"/>
                <w:szCs w:val="21"/>
                <w:highlight w:val="none"/>
              </w:rPr>
            </w:pPr>
          </w:p>
        </w:tc>
      </w:tr>
      <w:tr w14:paraId="3D5A6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F5D36FB">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1FC299C">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95BE119">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BB15792">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B24C3AB">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6D60647">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45A7FF4">
            <w:pPr>
              <w:shd w:val="clear"/>
              <w:spacing w:before="100" w:beforeAutospacing="1" w:after="100" w:afterAutospacing="1"/>
              <w:jc w:val="center"/>
              <w:rPr>
                <w:rFonts w:ascii="宋体" w:hAnsi="宋体"/>
                <w:color w:val="auto"/>
                <w:szCs w:val="21"/>
                <w:highlight w:val="none"/>
              </w:rPr>
            </w:pPr>
          </w:p>
        </w:tc>
      </w:tr>
      <w:tr w14:paraId="3997F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A9542B1">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7FDEA93">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BD48279">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C02B8E2">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C84101E">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BA7D045">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718AD4D">
            <w:pPr>
              <w:shd w:val="clear"/>
              <w:spacing w:before="100" w:beforeAutospacing="1" w:after="100" w:afterAutospacing="1"/>
              <w:jc w:val="center"/>
              <w:rPr>
                <w:rFonts w:ascii="宋体" w:hAnsi="宋体"/>
                <w:color w:val="auto"/>
                <w:szCs w:val="21"/>
                <w:highlight w:val="none"/>
              </w:rPr>
            </w:pPr>
          </w:p>
        </w:tc>
      </w:tr>
      <w:tr w14:paraId="76639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5DF3C79">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45ECBFF">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D4E5C4A">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C69189B">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2FB20B1">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6DB1B1A">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285D41F">
            <w:pPr>
              <w:shd w:val="clear"/>
              <w:spacing w:before="100" w:beforeAutospacing="1" w:after="100" w:afterAutospacing="1"/>
              <w:jc w:val="center"/>
              <w:rPr>
                <w:rFonts w:ascii="宋体" w:hAnsi="宋体"/>
                <w:color w:val="auto"/>
                <w:szCs w:val="21"/>
                <w:highlight w:val="none"/>
              </w:rPr>
            </w:pPr>
          </w:p>
        </w:tc>
      </w:tr>
      <w:tr w14:paraId="10B67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53D7B74">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A64C8FE">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8AC519C">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97087B5">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9E92D7A">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AF368CA">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2CEE3B6">
            <w:pPr>
              <w:shd w:val="clear"/>
              <w:spacing w:before="100" w:beforeAutospacing="1" w:after="100" w:afterAutospacing="1"/>
              <w:jc w:val="center"/>
              <w:rPr>
                <w:rFonts w:ascii="宋体" w:hAnsi="宋体"/>
                <w:color w:val="auto"/>
                <w:szCs w:val="21"/>
                <w:highlight w:val="none"/>
              </w:rPr>
            </w:pPr>
          </w:p>
        </w:tc>
      </w:tr>
      <w:tr w14:paraId="71C32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38F152D">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37F6B03">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32C1C94">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7547147">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59F8E07">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E72E4E3">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8E2C21C">
            <w:pPr>
              <w:shd w:val="clear"/>
              <w:spacing w:before="100" w:beforeAutospacing="1" w:after="100" w:afterAutospacing="1"/>
              <w:jc w:val="center"/>
              <w:rPr>
                <w:rFonts w:ascii="宋体" w:hAnsi="宋体"/>
                <w:color w:val="auto"/>
                <w:szCs w:val="21"/>
                <w:highlight w:val="none"/>
              </w:rPr>
            </w:pPr>
          </w:p>
        </w:tc>
      </w:tr>
      <w:tr w14:paraId="2F2EF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31C66B0">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4B618BD">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5DB87CC">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447C7C1">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F5C6E82">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CAC45F2">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595C5C8">
            <w:pPr>
              <w:shd w:val="clear"/>
              <w:spacing w:before="100" w:beforeAutospacing="1" w:after="100" w:afterAutospacing="1"/>
              <w:jc w:val="center"/>
              <w:rPr>
                <w:rFonts w:ascii="宋体" w:hAnsi="宋体"/>
                <w:color w:val="auto"/>
                <w:szCs w:val="21"/>
                <w:highlight w:val="none"/>
              </w:rPr>
            </w:pPr>
          </w:p>
        </w:tc>
      </w:tr>
      <w:tr w14:paraId="6247C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1F70B3B">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979728C">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53B7B85">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F4F32BF">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DF4AE72">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DDF53F5">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6236716">
            <w:pPr>
              <w:shd w:val="clear"/>
              <w:spacing w:before="100" w:beforeAutospacing="1" w:after="100" w:afterAutospacing="1"/>
              <w:jc w:val="center"/>
              <w:rPr>
                <w:rFonts w:ascii="宋体" w:hAnsi="宋体"/>
                <w:color w:val="auto"/>
                <w:szCs w:val="21"/>
                <w:highlight w:val="none"/>
              </w:rPr>
            </w:pPr>
          </w:p>
        </w:tc>
      </w:tr>
      <w:tr w14:paraId="23E87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D167C53">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34E1FE1">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53F4C04">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DCD5F1A">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3ACA34E">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4440B1C">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574DF6B">
            <w:pPr>
              <w:shd w:val="clear"/>
              <w:spacing w:before="100" w:beforeAutospacing="1" w:after="100" w:afterAutospacing="1"/>
              <w:jc w:val="center"/>
              <w:rPr>
                <w:rFonts w:ascii="宋体" w:hAnsi="宋体"/>
                <w:color w:val="auto"/>
                <w:szCs w:val="21"/>
                <w:highlight w:val="none"/>
              </w:rPr>
            </w:pPr>
          </w:p>
        </w:tc>
      </w:tr>
      <w:tr w14:paraId="3A19E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B9AF4AC">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DD8D692">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CAEC556">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8813995">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E28BB26">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5CFE855">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27598B9">
            <w:pPr>
              <w:shd w:val="clear"/>
              <w:spacing w:before="100" w:beforeAutospacing="1" w:after="100" w:afterAutospacing="1"/>
              <w:jc w:val="center"/>
              <w:rPr>
                <w:rFonts w:ascii="宋体" w:hAnsi="宋体"/>
                <w:color w:val="auto"/>
                <w:szCs w:val="21"/>
                <w:highlight w:val="none"/>
              </w:rPr>
            </w:pPr>
          </w:p>
        </w:tc>
      </w:tr>
      <w:tr w14:paraId="33F5A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6C652F7">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CCD1FF4">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BF43450">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A00331B">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89AF2A1">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3BF6257">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6E38016">
            <w:pPr>
              <w:shd w:val="clear"/>
              <w:spacing w:before="100" w:beforeAutospacing="1" w:after="100" w:afterAutospacing="1"/>
              <w:jc w:val="center"/>
              <w:rPr>
                <w:rFonts w:ascii="宋体" w:hAnsi="宋体"/>
                <w:color w:val="auto"/>
                <w:szCs w:val="21"/>
                <w:highlight w:val="none"/>
              </w:rPr>
            </w:pPr>
          </w:p>
        </w:tc>
      </w:tr>
      <w:tr w14:paraId="45420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F7D1ACD">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9CBFF19">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D73C4F3">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1163D13">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71CE4C1">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255DD09">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DD77A91">
            <w:pPr>
              <w:shd w:val="clear"/>
              <w:spacing w:before="100" w:beforeAutospacing="1" w:after="100" w:afterAutospacing="1"/>
              <w:jc w:val="center"/>
              <w:rPr>
                <w:rFonts w:ascii="宋体" w:hAnsi="宋体"/>
                <w:color w:val="auto"/>
                <w:szCs w:val="21"/>
                <w:highlight w:val="none"/>
              </w:rPr>
            </w:pPr>
          </w:p>
        </w:tc>
      </w:tr>
      <w:tr w14:paraId="47009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659AAA48">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3674AE96">
            <w:pPr>
              <w:shd w:val="clear"/>
              <w:spacing w:before="100" w:beforeAutospacing="1" w:after="100" w:afterAutospacing="1"/>
              <w:jc w:val="center"/>
              <w:rPr>
                <w:rFonts w:ascii="宋体" w:hAnsi="宋体"/>
                <w:color w:val="auto"/>
                <w:szCs w:val="21"/>
                <w:highlight w:val="none"/>
              </w:rPr>
            </w:pPr>
          </w:p>
        </w:tc>
      </w:tr>
    </w:tbl>
    <w:p w14:paraId="6B4566F7">
      <w:pPr>
        <w:shd w:val="clear"/>
        <w:rPr>
          <w:rFonts w:ascii="宋体" w:hAnsi="宋体" w:cs="宋体"/>
          <w:b/>
          <w:color w:val="auto"/>
          <w:szCs w:val="21"/>
          <w:highlight w:val="none"/>
        </w:rPr>
      </w:pPr>
    </w:p>
    <w:p w14:paraId="01B79762">
      <w:pPr>
        <w:shd w:val="clear"/>
        <w:rPr>
          <w:color w:val="auto"/>
          <w:highlight w:val="none"/>
        </w:rPr>
      </w:pPr>
    </w:p>
    <w:p w14:paraId="039F0FE8">
      <w:pPr>
        <w:shd w:val="clear"/>
        <w:rPr>
          <w:rFonts w:ascii="宋体" w:hAnsi="宋体"/>
          <w:color w:val="auto"/>
          <w:szCs w:val="21"/>
          <w:highlight w:val="none"/>
        </w:rPr>
      </w:pPr>
      <w:r>
        <w:rPr>
          <w:rFonts w:hint="eastAsia" w:ascii="宋体" w:hAnsi="宋体"/>
          <w:color w:val="auto"/>
          <w:szCs w:val="21"/>
          <w:highlight w:val="none"/>
        </w:rPr>
        <w:t>投标人代表签字：</w:t>
      </w:r>
    </w:p>
    <w:p w14:paraId="1854ABC4">
      <w:pPr>
        <w:shd w:val="clear"/>
        <w:rPr>
          <w:rFonts w:ascii="宋体" w:hAnsi="宋体"/>
          <w:color w:val="auto"/>
          <w:szCs w:val="21"/>
          <w:highlight w:val="none"/>
        </w:rPr>
      </w:pPr>
      <w:r>
        <w:rPr>
          <w:rFonts w:hint="eastAsia" w:ascii="宋体" w:hAnsi="宋体"/>
          <w:color w:val="auto"/>
          <w:szCs w:val="21"/>
          <w:highlight w:val="none"/>
        </w:rPr>
        <w:t>投标人盖章：</w:t>
      </w:r>
    </w:p>
    <w:p w14:paraId="310BC3AF">
      <w:pPr>
        <w:shd w:val="clear"/>
        <w:rPr>
          <w:rFonts w:ascii="宋体" w:hAnsi="宋体" w:cs="宋体"/>
          <w:b/>
          <w:color w:val="auto"/>
          <w:szCs w:val="21"/>
          <w:highlight w:val="none"/>
        </w:rPr>
      </w:pPr>
      <w:r>
        <w:rPr>
          <w:rFonts w:hint="eastAsia" w:ascii="宋体" w:hAnsi="宋体"/>
          <w:color w:val="auto"/>
          <w:szCs w:val="21"/>
          <w:highlight w:val="none"/>
        </w:rPr>
        <w:t>日期：</w:t>
      </w:r>
    </w:p>
    <w:p w14:paraId="717CD006">
      <w:pPr>
        <w:pStyle w:val="32"/>
        <w:shd w:val="clear"/>
        <w:rPr>
          <w:rFonts w:ascii="黑体" w:eastAsia="黑体"/>
          <w:color w:val="auto"/>
          <w:sz w:val="32"/>
          <w:szCs w:val="32"/>
          <w:highlight w:val="none"/>
        </w:rPr>
      </w:pPr>
    </w:p>
    <w:p w14:paraId="27F21BBB">
      <w:pPr>
        <w:pStyle w:val="32"/>
        <w:shd w:val="clear"/>
        <w:rPr>
          <w:rFonts w:ascii="黑体" w:eastAsia="黑体"/>
          <w:color w:val="auto"/>
          <w:sz w:val="32"/>
          <w:szCs w:val="32"/>
          <w:highlight w:val="none"/>
        </w:rPr>
      </w:pPr>
    </w:p>
    <w:p w14:paraId="252ACE32">
      <w:pPr>
        <w:pStyle w:val="4"/>
        <w:shd w:val="clear"/>
        <w:jc w:val="center"/>
        <w:rPr>
          <w:color w:val="auto"/>
          <w:highlight w:val="none"/>
        </w:rPr>
      </w:pPr>
      <w:bookmarkStart w:id="208" w:name="_Toc20974"/>
      <w:bookmarkStart w:id="209" w:name="_Toc23355"/>
      <w:r>
        <w:rPr>
          <w:rFonts w:hint="eastAsia"/>
          <w:color w:val="auto"/>
          <w:highlight w:val="none"/>
        </w:rPr>
        <w:t>三、小型或微型企业（货物/服务/承担的工程）明细表</w:t>
      </w:r>
      <w:bookmarkEnd w:id="208"/>
      <w:bookmarkEnd w:id="209"/>
    </w:p>
    <w:tbl>
      <w:tblPr>
        <w:tblStyle w:val="25"/>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6F1D9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693F426A">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37F0FA45">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2DF646E4">
            <w:pPr>
              <w:shd w:val="clea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4096B4F4">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2A8786A2">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51CFE134">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279F24E9">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41B8C1D7">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7FAC5800">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60E4B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41ACDAB">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1AE626AC">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22208C35">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55535C15">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3E219BF8">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60EBED9A">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7901C178">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513134AC">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6CD96202">
            <w:pPr>
              <w:shd w:val="clear"/>
              <w:jc w:val="center"/>
              <w:textAlignment w:val="bottom"/>
              <w:rPr>
                <w:rFonts w:ascii="宋体" w:hAnsi="宋体" w:cs="宋体"/>
                <w:color w:val="auto"/>
                <w:szCs w:val="21"/>
                <w:highlight w:val="none"/>
              </w:rPr>
            </w:pPr>
          </w:p>
        </w:tc>
      </w:tr>
      <w:tr w14:paraId="564DB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7171CF3">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368C9E75">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55A895F6">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62759CD7">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5F70E39C">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66DA64BF">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0B8CD58">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2D517132">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461CBFF4">
            <w:pPr>
              <w:shd w:val="clear"/>
              <w:jc w:val="center"/>
              <w:textAlignment w:val="bottom"/>
              <w:rPr>
                <w:rFonts w:ascii="宋体" w:hAnsi="宋体" w:cs="宋体"/>
                <w:color w:val="auto"/>
                <w:szCs w:val="21"/>
                <w:highlight w:val="none"/>
              </w:rPr>
            </w:pPr>
          </w:p>
        </w:tc>
      </w:tr>
      <w:tr w14:paraId="02058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FEEC288">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128B0E77">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65DFDBE2">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0CF5E54F">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ADD47BF">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75B5E41B">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274358C">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53FC23FD">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08DF3A41">
            <w:pPr>
              <w:shd w:val="clear"/>
              <w:jc w:val="center"/>
              <w:textAlignment w:val="bottom"/>
              <w:rPr>
                <w:rFonts w:ascii="宋体" w:hAnsi="宋体" w:cs="宋体"/>
                <w:color w:val="auto"/>
                <w:szCs w:val="21"/>
                <w:highlight w:val="none"/>
              </w:rPr>
            </w:pPr>
          </w:p>
        </w:tc>
      </w:tr>
      <w:tr w14:paraId="1F901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752E5F4">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1E8FF948">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121E281A">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78227F41">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0A3BC55F">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FCA15A3">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35DCD51F">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8A8203F">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3AC6CCDF">
            <w:pPr>
              <w:shd w:val="clear"/>
              <w:jc w:val="center"/>
              <w:textAlignment w:val="bottom"/>
              <w:rPr>
                <w:rFonts w:ascii="宋体" w:hAnsi="宋体" w:cs="宋体"/>
                <w:color w:val="auto"/>
                <w:szCs w:val="21"/>
                <w:highlight w:val="none"/>
              </w:rPr>
            </w:pPr>
          </w:p>
        </w:tc>
      </w:tr>
      <w:tr w14:paraId="7D97A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9CAF191">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7EA7DD69">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1DDD8C3F">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5E8EFBC7">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6B81EDBC">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285C1FFE">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CFF382C">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567A2DF0">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15A877E8">
            <w:pPr>
              <w:shd w:val="clear"/>
              <w:jc w:val="center"/>
              <w:textAlignment w:val="bottom"/>
              <w:rPr>
                <w:rFonts w:ascii="宋体" w:hAnsi="宋体" w:cs="宋体"/>
                <w:color w:val="auto"/>
                <w:szCs w:val="21"/>
                <w:highlight w:val="none"/>
              </w:rPr>
            </w:pPr>
          </w:p>
        </w:tc>
      </w:tr>
      <w:tr w14:paraId="554C6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E6D320C">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3F779A26">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212EF570">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48D06673">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5107F63A">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76A47831">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3D37843B">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793DF5D">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5D5B6CFA">
            <w:pPr>
              <w:shd w:val="clear"/>
              <w:jc w:val="center"/>
              <w:textAlignment w:val="bottom"/>
              <w:rPr>
                <w:rFonts w:ascii="宋体" w:hAnsi="宋体" w:cs="宋体"/>
                <w:color w:val="auto"/>
                <w:szCs w:val="21"/>
                <w:highlight w:val="none"/>
              </w:rPr>
            </w:pPr>
          </w:p>
        </w:tc>
      </w:tr>
      <w:tr w14:paraId="1359F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5E17EF0">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16F8FEAC">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2EDE1E62">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3EF16D01">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07E42001">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27E70C7">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6E185643">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4A86507B">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0F25D14A">
            <w:pPr>
              <w:shd w:val="clear"/>
              <w:jc w:val="center"/>
              <w:textAlignment w:val="bottom"/>
              <w:rPr>
                <w:rFonts w:ascii="宋体" w:hAnsi="宋体" w:cs="宋体"/>
                <w:color w:val="auto"/>
                <w:szCs w:val="21"/>
                <w:highlight w:val="none"/>
              </w:rPr>
            </w:pPr>
          </w:p>
        </w:tc>
      </w:tr>
      <w:tr w14:paraId="0F329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9B1241A">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1179D5FE">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463B04C5">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58019866">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55B7F911">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182053F2">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065C4A18">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60AE46A3">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78EF96AE">
            <w:pPr>
              <w:shd w:val="clear"/>
              <w:jc w:val="center"/>
              <w:textAlignment w:val="bottom"/>
              <w:rPr>
                <w:rFonts w:ascii="宋体" w:hAnsi="宋体" w:cs="宋体"/>
                <w:color w:val="auto"/>
                <w:szCs w:val="21"/>
                <w:highlight w:val="none"/>
              </w:rPr>
            </w:pPr>
          </w:p>
        </w:tc>
      </w:tr>
      <w:tr w14:paraId="7A7577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C0E3530">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14:paraId="77BECA09">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14:paraId="15716F6D">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14:paraId="039BA658">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7605275A">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69947B0E">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3DFA02CC">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14:paraId="3C85B73C">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14:paraId="02E5A47E">
            <w:pPr>
              <w:shd w:val="clear"/>
              <w:jc w:val="center"/>
              <w:textAlignment w:val="bottom"/>
              <w:rPr>
                <w:rFonts w:ascii="宋体" w:hAnsi="宋体" w:cs="宋体"/>
                <w:color w:val="auto"/>
                <w:szCs w:val="21"/>
                <w:highlight w:val="none"/>
              </w:rPr>
            </w:pPr>
          </w:p>
        </w:tc>
      </w:tr>
      <w:tr w14:paraId="1A015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21C2D77A">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65060ACC">
            <w:pPr>
              <w:shd w:val="clear"/>
              <w:rPr>
                <w:rFonts w:ascii="宋体" w:hAnsi="宋体" w:cs="宋体"/>
                <w:color w:val="auto"/>
                <w:szCs w:val="21"/>
                <w:highlight w:val="none"/>
              </w:rPr>
            </w:pPr>
          </w:p>
        </w:tc>
      </w:tr>
    </w:tbl>
    <w:p w14:paraId="0301C3DD">
      <w:pPr>
        <w:shd w:val="clear"/>
        <w:rPr>
          <w:rFonts w:ascii="宋体" w:hAnsi="宋体"/>
          <w:color w:val="auto"/>
          <w:szCs w:val="21"/>
          <w:highlight w:val="none"/>
        </w:rPr>
      </w:pPr>
    </w:p>
    <w:p w14:paraId="485F5392">
      <w:pPr>
        <w:shd w:val="clear"/>
        <w:rPr>
          <w:rFonts w:ascii="宋体" w:hAnsi="宋体"/>
          <w:color w:val="auto"/>
          <w:szCs w:val="21"/>
          <w:highlight w:val="none"/>
        </w:rPr>
      </w:pPr>
    </w:p>
    <w:p w14:paraId="6E81C8A3">
      <w:pPr>
        <w:shd w:val="clear"/>
        <w:rPr>
          <w:rFonts w:ascii="宋体" w:hAnsi="宋体"/>
          <w:color w:val="auto"/>
          <w:szCs w:val="21"/>
          <w:highlight w:val="none"/>
        </w:rPr>
      </w:pPr>
      <w:r>
        <w:rPr>
          <w:rFonts w:hint="eastAsia" w:ascii="宋体" w:hAnsi="宋体"/>
          <w:color w:val="auto"/>
          <w:szCs w:val="21"/>
          <w:highlight w:val="none"/>
        </w:rPr>
        <w:t>投标人代表签字：</w:t>
      </w:r>
    </w:p>
    <w:p w14:paraId="60DD6019">
      <w:pPr>
        <w:shd w:val="clear"/>
        <w:rPr>
          <w:rFonts w:ascii="宋体" w:hAnsi="宋体"/>
          <w:color w:val="auto"/>
          <w:szCs w:val="21"/>
          <w:highlight w:val="none"/>
        </w:rPr>
      </w:pPr>
      <w:r>
        <w:rPr>
          <w:rFonts w:hint="eastAsia" w:ascii="宋体" w:hAnsi="宋体"/>
          <w:color w:val="auto"/>
          <w:szCs w:val="21"/>
          <w:highlight w:val="none"/>
        </w:rPr>
        <w:t>投标人盖章：</w:t>
      </w:r>
    </w:p>
    <w:p w14:paraId="0B3E513B">
      <w:pPr>
        <w:pStyle w:val="35"/>
        <w:shd w:val="clear"/>
        <w:ind w:firstLine="0" w:firstLineChars="0"/>
        <w:rPr>
          <w:rFonts w:ascii="宋体" w:hAnsi="宋体"/>
          <w:color w:val="auto"/>
          <w:szCs w:val="21"/>
          <w:highlight w:val="none"/>
        </w:rPr>
      </w:pPr>
      <w:r>
        <w:rPr>
          <w:rFonts w:hint="eastAsia" w:ascii="宋体" w:hAnsi="宋体"/>
          <w:color w:val="auto"/>
          <w:szCs w:val="21"/>
          <w:highlight w:val="none"/>
        </w:rPr>
        <w:t>日期：</w:t>
      </w:r>
    </w:p>
    <w:p w14:paraId="461EBD03">
      <w:pPr>
        <w:shd w:val="clear"/>
        <w:rPr>
          <w:color w:val="auto"/>
          <w:highlight w:val="none"/>
        </w:rPr>
      </w:pPr>
    </w:p>
    <w:p w14:paraId="37B14C22">
      <w:pPr>
        <w:shd w:val="clear"/>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14:paraId="03CC5833">
      <w:pPr>
        <w:shd w:val="clear"/>
        <w:ind w:firstLine="422" w:firstLineChars="200"/>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5"/>
          <w:rFonts w:hint="eastAsia" w:ascii="宋体" w:hAnsi="宋体" w:eastAsia="宋体" w:cs="宋体"/>
          <w:b/>
          <w:color w:val="auto"/>
          <w:sz w:val="21"/>
          <w:szCs w:val="21"/>
          <w:highlight w:val="none"/>
        </w:rPr>
        <w:t>；</w:t>
      </w:r>
    </w:p>
    <w:p w14:paraId="3F4FB205">
      <w:pPr>
        <w:pStyle w:val="35"/>
        <w:shd w:val="clear"/>
        <w:ind w:firstLine="422"/>
        <w:rPr>
          <w:rFonts w:ascii="黑体" w:eastAsia="黑体"/>
          <w:color w:val="auto"/>
          <w:sz w:val="32"/>
          <w:szCs w:val="32"/>
          <w:highlight w:val="none"/>
        </w:rPr>
      </w:pPr>
      <w:r>
        <w:rPr>
          <w:rStyle w:val="45"/>
          <w:rFonts w:hint="eastAsia" w:ascii="宋体" w:hAnsi="宋体" w:eastAsia="宋体" w:cs="宋体"/>
          <w:b/>
          <w:color w:val="auto"/>
          <w:sz w:val="21"/>
          <w:szCs w:val="21"/>
          <w:highlight w:val="none"/>
        </w:rPr>
        <w:t>2、投标人应该如实填写，如投标人所投产品中无小型或微型企业产品的，请留空或删除此表</w:t>
      </w:r>
      <w:r>
        <w:rPr>
          <w:rStyle w:val="45"/>
          <w:rFonts w:hint="eastAsia" w:ascii="宋体" w:hAnsi="宋体" w:cs="宋体"/>
          <w:b/>
          <w:color w:val="auto"/>
          <w:sz w:val="21"/>
          <w:szCs w:val="21"/>
          <w:highlight w:val="none"/>
          <w:lang w:eastAsia="zh-CN"/>
        </w:rPr>
        <w:t>。</w:t>
      </w:r>
      <w:r>
        <w:rPr>
          <w:rFonts w:hint="eastAsia" w:ascii="宋体" w:hAnsi="宋体"/>
          <w:color w:val="auto"/>
          <w:szCs w:val="21"/>
          <w:highlight w:val="none"/>
        </w:rPr>
        <w:br w:type="page"/>
      </w:r>
    </w:p>
    <w:p w14:paraId="4DBB87D6">
      <w:pPr>
        <w:pStyle w:val="4"/>
        <w:shd w:val="clear"/>
        <w:jc w:val="center"/>
        <w:rPr>
          <w:color w:val="auto"/>
          <w:highlight w:val="none"/>
        </w:rPr>
      </w:pPr>
      <w:bookmarkStart w:id="210" w:name="_Toc16718"/>
      <w:bookmarkStart w:id="211" w:name="_Toc13970"/>
      <w:r>
        <w:rPr>
          <w:rFonts w:hint="eastAsia"/>
          <w:color w:val="auto"/>
          <w:highlight w:val="none"/>
        </w:rPr>
        <w:t>四、节能产品或环境标志产品明细表</w:t>
      </w:r>
      <w:bookmarkEnd w:id="210"/>
      <w:bookmarkEnd w:id="211"/>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74E0F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44" w:hRule="atLeast"/>
        </w:trPr>
        <w:tc>
          <w:tcPr>
            <w:tcW w:w="875" w:type="dxa"/>
            <w:tcBorders>
              <w:tl2br w:val="nil"/>
              <w:tr2bl w:val="nil"/>
            </w:tcBorders>
            <w:vAlign w:val="center"/>
          </w:tcPr>
          <w:p w14:paraId="2CF72DC0">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1822446E">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16694C9C">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3509E0D1">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60D2438F">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464F8267">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12897DE7">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287DDD70">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781DB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A177013">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7FE35043">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5A022A90">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170DC0E5">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65D711ED">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1D46BF08">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773E4491">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027AC39B">
            <w:pPr>
              <w:shd w:val="clear"/>
              <w:jc w:val="center"/>
              <w:textAlignment w:val="bottom"/>
              <w:rPr>
                <w:rFonts w:ascii="宋体" w:hAnsi="宋体" w:cs="宋体"/>
                <w:color w:val="auto"/>
                <w:szCs w:val="21"/>
                <w:highlight w:val="none"/>
              </w:rPr>
            </w:pPr>
          </w:p>
        </w:tc>
      </w:tr>
      <w:tr w14:paraId="102D4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592205A">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7C6AD30F">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608EE0FA">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0D99C67C">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060255BA">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428BF566">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0431E62F">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5F0F8215">
            <w:pPr>
              <w:shd w:val="clear"/>
              <w:jc w:val="center"/>
              <w:textAlignment w:val="bottom"/>
              <w:rPr>
                <w:rFonts w:ascii="宋体" w:hAnsi="宋体" w:cs="宋体"/>
                <w:color w:val="auto"/>
                <w:szCs w:val="21"/>
                <w:highlight w:val="none"/>
              </w:rPr>
            </w:pPr>
          </w:p>
        </w:tc>
      </w:tr>
      <w:tr w14:paraId="585C7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6272532">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4C96264E">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586A8559">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0DE0D3C5">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0361A728">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37BC03AA">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706C009E">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1A240D72">
            <w:pPr>
              <w:shd w:val="clear"/>
              <w:jc w:val="center"/>
              <w:textAlignment w:val="bottom"/>
              <w:rPr>
                <w:rFonts w:ascii="宋体" w:hAnsi="宋体" w:cs="宋体"/>
                <w:color w:val="auto"/>
                <w:szCs w:val="21"/>
                <w:highlight w:val="none"/>
              </w:rPr>
            </w:pPr>
          </w:p>
        </w:tc>
      </w:tr>
      <w:tr w14:paraId="138CC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80AD687">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168E3D0B">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6040A9A8">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3586A8D1">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6250FC7A">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464094D2">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01D132DD">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2E173AD8">
            <w:pPr>
              <w:shd w:val="clear"/>
              <w:jc w:val="center"/>
              <w:textAlignment w:val="bottom"/>
              <w:rPr>
                <w:rFonts w:ascii="宋体" w:hAnsi="宋体" w:cs="宋体"/>
                <w:color w:val="auto"/>
                <w:szCs w:val="21"/>
                <w:highlight w:val="none"/>
              </w:rPr>
            </w:pPr>
          </w:p>
        </w:tc>
      </w:tr>
      <w:tr w14:paraId="602F9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EF98D66">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74D75BF7">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43EDBDF6">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45B0360D">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2D62067E">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59469A6D">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2EFE3A9C">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411FA23F">
            <w:pPr>
              <w:shd w:val="clear"/>
              <w:jc w:val="center"/>
              <w:textAlignment w:val="bottom"/>
              <w:rPr>
                <w:rFonts w:ascii="宋体" w:hAnsi="宋体" w:cs="宋体"/>
                <w:color w:val="auto"/>
                <w:szCs w:val="21"/>
                <w:highlight w:val="none"/>
              </w:rPr>
            </w:pPr>
          </w:p>
        </w:tc>
      </w:tr>
      <w:tr w14:paraId="0A98B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3B7C61B">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48ABFB63">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5CA4F145">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36EA748D">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2B07165A">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34AC9CFE">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621D1841">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1FFA33F7">
            <w:pPr>
              <w:shd w:val="clear"/>
              <w:jc w:val="center"/>
              <w:textAlignment w:val="bottom"/>
              <w:rPr>
                <w:rFonts w:ascii="宋体" w:hAnsi="宋体" w:cs="宋体"/>
                <w:color w:val="auto"/>
                <w:szCs w:val="21"/>
                <w:highlight w:val="none"/>
              </w:rPr>
            </w:pPr>
          </w:p>
        </w:tc>
      </w:tr>
      <w:tr w14:paraId="441D6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EBD9F7C">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03E4A55C">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14D4BB55">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5DB2AA80">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5DB422EF">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7648E2B1">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5126E2E7">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2A6B5371">
            <w:pPr>
              <w:shd w:val="clear"/>
              <w:jc w:val="center"/>
              <w:textAlignment w:val="bottom"/>
              <w:rPr>
                <w:rFonts w:ascii="宋体" w:hAnsi="宋体" w:cs="宋体"/>
                <w:color w:val="auto"/>
                <w:szCs w:val="21"/>
                <w:highlight w:val="none"/>
              </w:rPr>
            </w:pPr>
          </w:p>
        </w:tc>
      </w:tr>
      <w:tr w14:paraId="593F7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4BB5B0C">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17510703">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57E708C6">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4A46EA3E">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3F3E7187">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788C696A">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35839955">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155D52F0">
            <w:pPr>
              <w:shd w:val="clear"/>
              <w:jc w:val="center"/>
              <w:textAlignment w:val="bottom"/>
              <w:rPr>
                <w:rFonts w:ascii="宋体" w:hAnsi="宋体" w:cs="宋体"/>
                <w:color w:val="auto"/>
                <w:szCs w:val="21"/>
                <w:highlight w:val="none"/>
              </w:rPr>
            </w:pPr>
          </w:p>
        </w:tc>
      </w:tr>
      <w:tr w14:paraId="04242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8DCB68D">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14:paraId="72AA620E">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14:paraId="2F242FF2">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14:paraId="572AD82B">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14:paraId="414F47C8">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14:paraId="38B6F5F3">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14:paraId="5CC5A7BD">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14:paraId="5D13DB34">
            <w:pPr>
              <w:shd w:val="clear"/>
              <w:jc w:val="center"/>
              <w:textAlignment w:val="bottom"/>
              <w:rPr>
                <w:rFonts w:ascii="宋体" w:hAnsi="宋体" w:cs="宋体"/>
                <w:color w:val="auto"/>
                <w:szCs w:val="21"/>
                <w:highlight w:val="none"/>
              </w:rPr>
            </w:pPr>
          </w:p>
        </w:tc>
      </w:tr>
      <w:tr w14:paraId="4F0E0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693" w:hRule="atLeast"/>
        </w:trPr>
        <w:tc>
          <w:tcPr>
            <w:tcW w:w="2256" w:type="dxa"/>
            <w:gridSpan w:val="2"/>
            <w:tcBorders>
              <w:tl2br w:val="nil"/>
              <w:tr2bl w:val="nil"/>
            </w:tcBorders>
            <w:vAlign w:val="center"/>
          </w:tcPr>
          <w:p w14:paraId="6B961EF8">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41EBC8C1">
            <w:pPr>
              <w:shd w:val="clear"/>
              <w:rPr>
                <w:rFonts w:ascii="宋体" w:hAnsi="宋体" w:cs="宋体"/>
                <w:color w:val="auto"/>
                <w:szCs w:val="21"/>
                <w:highlight w:val="none"/>
              </w:rPr>
            </w:pPr>
          </w:p>
        </w:tc>
      </w:tr>
    </w:tbl>
    <w:p w14:paraId="51893548">
      <w:pPr>
        <w:shd w:val="clear"/>
        <w:rPr>
          <w:rFonts w:ascii="宋体" w:hAnsi="宋体"/>
          <w:color w:val="auto"/>
          <w:szCs w:val="21"/>
          <w:highlight w:val="none"/>
        </w:rPr>
      </w:pPr>
    </w:p>
    <w:p w14:paraId="3B4306F2">
      <w:pPr>
        <w:shd w:val="clear"/>
        <w:rPr>
          <w:rFonts w:ascii="宋体" w:hAnsi="宋体"/>
          <w:color w:val="auto"/>
          <w:szCs w:val="21"/>
          <w:highlight w:val="none"/>
        </w:rPr>
      </w:pPr>
    </w:p>
    <w:p w14:paraId="1A8BBDF3">
      <w:pPr>
        <w:shd w:val="clear"/>
        <w:rPr>
          <w:rFonts w:ascii="宋体" w:hAnsi="宋体"/>
          <w:color w:val="auto"/>
          <w:szCs w:val="21"/>
          <w:highlight w:val="none"/>
        </w:rPr>
      </w:pPr>
      <w:r>
        <w:rPr>
          <w:rFonts w:hint="eastAsia" w:ascii="宋体" w:hAnsi="宋体"/>
          <w:color w:val="auto"/>
          <w:szCs w:val="21"/>
          <w:highlight w:val="none"/>
        </w:rPr>
        <w:t>投标人代表签字：</w:t>
      </w:r>
    </w:p>
    <w:p w14:paraId="22A233ED">
      <w:pPr>
        <w:shd w:val="clear"/>
        <w:rPr>
          <w:rFonts w:ascii="宋体" w:hAnsi="宋体"/>
          <w:color w:val="auto"/>
          <w:szCs w:val="21"/>
          <w:highlight w:val="none"/>
        </w:rPr>
      </w:pPr>
      <w:r>
        <w:rPr>
          <w:rFonts w:hint="eastAsia" w:ascii="宋体" w:hAnsi="宋体"/>
          <w:color w:val="auto"/>
          <w:szCs w:val="21"/>
          <w:highlight w:val="none"/>
        </w:rPr>
        <w:t>投标人盖章：</w:t>
      </w:r>
    </w:p>
    <w:p w14:paraId="4484814C">
      <w:pPr>
        <w:shd w:val="clear"/>
        <w:jc w:val="both"/>
        <w:rPr>
          <w:rFonts w:ascii="宋体" w:hAnsi="宋体"/>
          <w:color w:val="auto"/>
          <w:szCs w:val="21"/>
          <w:highlight w:val="none"/>
        </w:rPr>
      </w:pPr>
      <w:r>
        <w:rPr>
          <w:rFonts w:hint="eastAsia" w:ascii="宋体" w:hAnsi="宋体"/>
          <w:color w:val="auto"/>
          <w:szCs w:val="21"/>
          <w:highlight w:val="none"/>
        </w:rPr>
        <w:t>日期：</w:t>
      </w:r>
    </w:p>
    <w:p w14:paraId="408759F4">
      <w:pPr>
        <w:pStyle w:val="32"/>
        <w:shd w:val="clear"/>
        <w:rPr>
          <w:color w:val="auto"/>
          <w:highlight w:val="none"/>
        </w:rPr>
      </w:pPr>
    </w:p>
    <w:p w14:paraId="775AF474">
      <w:pPr>
        <w:shd w:val="clear"/>
        <w:tabs>
          <w:tab w:val="left" w:pos="284"/>
        </w:tabs>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14:paraId="7015F4AA">
      <w:pPr>
        <w:shd w:val="clear"/>
        <w:tabs>
          <w:tab w:val="left" w:pos="284"/>
        </w:tabs>
        <w:ind w:firstLine="422" w:firstLineChars="200"/>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41ACE1BA">
      <w:pPr>
        <w:shd w:val="clear"/>
        <w:ind w:firstLine="422" w:firstLineChars="200"/>
        <w:rPr>
          <w:rFonts w:hint="eastAsia" w:ascii="微软雅黑" w:hAnsi="微软雅黑" w:eastAsia="宋体" w:cs="微软雅黑"/>
          <w:b/>
          <w:color w:val="auto"/>
          <w:sz w:val="28"/>
          <w:szCs w:val="28"/>
          <w:highlight w:val="none"/>
          <w:lang w:eastAsia="zh-CN"/>
        </w:rPr>
      </w:pPr>
      <w:r>
        <w:rPr>
          <w:rStyle w:val="45"/>
          <w:rFonts w:hint="eastAsia" w:ascii="宋体" w:hAnsi="宋体" w:eastAsia="宋体" w:cs="宋体"/>
          <w:b/>
          <w:color w:val="auto"/>
          <w:sz w:val="21"/>
          <w:szCs w:val="21"/>
          <w:highlight w:val="none"/>
        </w:rPr>
        <w:t>2、投标人应该如实填写，如投标人所投产品中无节能或环保产品的，请留空或删除此表</w:t>
      </w:r>
      <w:r>
        <w:rPr>
          <w:rStyle w:val="45"/>
          <w:rFonts w:hint="eastAsia" w:ascii="宋体" w:hAnsi="宋体" w:cs="宋体"/>
          <w:b/>
          <w:color w:val="auto"/>
          <w:sz w:val="21"/>
          <w:szCs w:val="21"/>
          <w:highlight w:val="none"/>
          <w:lang w:eastAsia="zh-CN"/>
        </w:rPr>
        <w:t>。</w:t>
      </w:r>
    </w:p>
    <w:p w14:paraId="6AA6595D">
      <w:pPr>
        <w:pStyle w:val="4"/>
        <w:shd w:val="clear"/>
        <w:jc w:val="center"/>
        <w:rPr>
          <w:color w:val="auto"/>
          <w:highlight w:val="none"/>
        </w:rPr>
      </w:pPr>
      <w:bookmarkStart w:id="212" w:name="_Toc10853"/>
      <w:bookmarkStart w:id="213" w:name="_Toc17482"/>
      <w:r>
        <w:rPr>
          <w:rFonts w:hint="eastAsia"/>
          <w:color w:val="auto"/>
          <w:highlight w:val="none"/>
        </w:rPr>
        <w:t>五、中小企业声明函</w:t>
      </w:r>
      <w:bookmarkEnd w:id="212"/>
      <w:bookmarkEnd w:id="213"/>
    </w:p>
    <w:p w14:paraId="3D8887FF">
      <w:pPr>
        <w:shd w:val="clea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514EE774">
      <w:pPr>
        <w:shd w:val="clea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5976C494">
      <w:pPr>
        <w:pStyle w:val="8"/>
        <w:shd w:val="clear"/>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1862574A">
      <w:pPr>
        <w:pStyle w:val="8"/>
        <w:shd w:val="clear"/>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72BE4C35">
      <w:pPr>
        <w:pStyle w:val="8"/>
        <w:shd w:val="clear"/>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77B16DC6">
      <w:pPr>
        <w:shd w:val="clea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1A376D02">
      <w:pPr>
        <w:shd w:val="clear"/>
        <w:ind w:firstLine="420" w:firstLineChars="200"/>
        <w:rPr>
          <w:color w:val="auto"/>
          <w:highlight w:val="none"/>
        </w:rPr>
      </w:pPr>
      <w:r>
        <w:rPr>
          <w:rFonts w:hint="eastAsia"/>
          <w:color w:val="auto"/>
          <w:highlight w:val="none"/>
        </w:rPr>
        <w:t>本企业对上诉声明内容的真实性负责。如有虚假，将依法承担相应责任。</w:t>
      </w:r>
    </w:p>
    <w:p w14:paraId="5575EF54">
      <w:pPr>
        <w:pStyle w:val="8"/>
        <w:shd w:val="clear"/>
        <w:wordWrap w:val="0"/>
        <w:ind w:left="0" w:firstLine="480"/>
        <w:jc w:val="right"/>
        <w:rPr>
          <w:rFonts w:asciiTheme="minorEastAsia" w:hAnsiTheme="minorEastAsia" w:eastAsiaTheme="minorEastAsia" w:cstheme="minorEastAsia"/>
          <w:color w:val="auto"/>
          <w:sz w:val="21"/>
          <w:szCs w:val="21"/>
          <w:highlight w:val="none"/>
          <w:lang w:val="en-US"/>
        </w:rPr>
      </w:pPr>
    </w:p>
    <w:p w14:paraId="5CEC3129">
      <w:pPr>
        <w:pStyle w:val="8"/>
        <w:shd w:val="clear"/>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418120E5">
      <w:pPr>
        <w:pStyle w:val="8"/>
        <w:shd w:val="clear"/>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3D4C95DD">
      <w:pPr>
        <w:shd w:val="clear"/>
        <w:rPr>
          <w:rFonts w:ascii="宋体" w:hAnsi="宋体"/>
          <w:b/>
          <w:bCs/>
          <w:color w:val="auto"/>
          <w:szCs w:val="21"/>
          <w:highlight w:val="none"/>
        </w:rPr>
      </w:pPr>
    </w:p>
    <w:p w14:paraId="71EB3401">
      <w:pPr>
        <w:shd w:val="clear"/>
        <w:ind w:firstLine="422" w:firstLineChars="200"/>
        <w:rPr>
          <w:rFonts w:ascii="宋体" w:hAnsi="宋体"/>
          <w:b/>
          <w:bCs/>
          <w:color w:val="auto"/>
          <w:szCs w:val="21"/>
          <w:highlight w:val="none"/>
        </w:rPr>
      </w:pPr>
    </w:p>
    <w:p w14:paraId="331BF2AD">
      <w:pPr>
        <w:shd w:val="clear"/>
        <w:ind w:firstLine="422" w:firstLineChars="200"/>
        <w:rPr>
          <w:rFonts w:ascii="宋体" w:hAnsi="宋体"/>
          <w:b/>
          <w:bCs/>
          <w:color w:val="auto"/>
          <w:szCs w:val="21"/>
          <w:highlight w:val="none"/>
        </w:rPr>
      </w:pPr>
    </w:p>
    <w:p w14:paraId="19BAC284">
      <w:pPr>
        <w:shd w:val="clea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6A3CAF59">
      <w:pPr>
        <w:shd w:val="clea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48302071">
      <w:pPr>
        <w:shd w:val="clea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58B2E61">
      <w:pPr>
        <w:pStyle w:val="8"/>
        <w:shd w:val="clear"/>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7F939BBA">
      <w:pPr>
        <w:pStyle w:val="8"/>
        <w:shd w:val="clear"/>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270CF8D7">
      <w:pPr>
        <w:pStyle w:val="8"/>
        <w:shd w:val="clear"/>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1172EDB2">
      <w:pPr>
        <w:shd w:val="clea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09F6C0A6">
      <w:pPr>
        <w:shd w:val="clear"/>
        <w:ind w:firstLine="420" w:firstLineChars="200"/>
        <w:rPr>
          <w:color w:val="auto"/>
          <w:highlight w:val="none"/>
        </w:rPr>
      </w:pPr>
      <w:r>
        <w:rPr>
          <w:rFonts w:hint="eastAsia"/>
          <w:color w:val="auto"/>
          <w:highlight w:val="none"/>
        </w:rPr>
        <w:t>本企业对上诉声明内容的真实性负责。如有虚假，将依法承担相应责任。</w:t>
      </w:r>
    </w:p>
    <w:p w14:paraId="3B4D6804">
      <w:pPr>
        <w:pStyle w:val="8"/>
        <w:shd w:val="clear"/>
        <w:ind w:left="0" w:firstLine="480"/>
        <w:rPr>
          <w:rFonts w:asciiTheme="minorEastAsia" w:hAnsiTheme="minorEastAsia" w:eastAsiaTheme="minorEastAsia" w:cstheme="minorEastAsia"/>
          <w:color w:val="auto"/>
          <w:sz w:val="21"/>
          <w:szCs w:val="21"/>
          <w:highlight w:val="none"/>
          <w:lang w:val="en-US"/>
        </w:rPr>
      </w:pPr>
    </w:p>
    <w:p w14:paraId="7B5BFE77">
      <w:pPr>
        <w:pStyle w:val="8"/>
        <w:shd w:val="clear"/>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3EAF0793">
      <w:pPr>
        <w:pStyle w:val="8"/>
        <w:shd w:val="clear"/>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1343CA81">
      <w:pPr>
        <w:shd w:val="clear"/>
        <w:rPr>
          <w:rFonts w:ascii="宋体" w:hAnsi="宋体"/>
          <w:b/>
          <w:bCs/>
          <w:color w:val="auto"/>
          <w:szCs w:val="21"/>
          <w:highlight w:val="none"/>
        </w:rPr>
      </w:pPr>
    </w:p>
    <w:p w14:paraId="324D4E99">
      <w:pPr>
        <w:shd w:val="clear"/>
        <w:rPr>
          <w:rFonts w:ascii="宋体" w:hAnsi="宋体"/>
          <w:b/>
          <w:bCs/>
          <w:color w:val="auto"/>
          <w:szCs w:val="21"/>
          <w:highlight w:val="none"/>
        </w:rPr>
      </w:pPr>
    </w:p>
    <w:p w14:paraId="5E67CE8E">
      <w:pPr>
        <w:shd w:val="clear"/>
        <w:rPr>
          <w:rFonts w:ascii="宋体" w:hAnsi="宋体"/>
          <w:b/>
          <w:bCs/>
          <w:color w:val="auto"/>
          <w:szCs w:val="21"/>
          <w:highlight w:val="none"/>
        </w:rPr>
      </w:pPr>
    </w:p>
    <w:p w14:paraId="6C50356C">
      <w:pPr>
        <w:shd w:val="clea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00D45D8B">
      <w:pPr>
        <w:shd w:val="clear"/>
        <w:rPr>
          <w:rFonts w:ascii="宋体" w:hAnsi="宋体"/>
          <w:b/>
          <w:bCs/>
          <w:color w:val="auto"/>
          <w:szCs w:val="21"/>
          <w:highlight w:val="none"/>
        </w:rPr>
      </w:pPr>
      <w:r>
        <w:rPr>
          <w:rFonts w:hint="eastAsia" w:ascii="宋体" w:hAnsi="宋体"/>
          <w:b/>
          <w:bCs/>
          <w:color w:val="auto"/>
          <w:szCs w:val="21"/>
          <w:highlight w:val="none"/>
        </w:rPr>
        <w:t>说明：</w:t>
      </w:r>
    </w:p>
    <w:p w14:paraId="17B65B45">
      <w:pPr>
        <w:shd w:val="clea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0C8F7A2C">
      <w:pPr>
        <w:shd w:val="clea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067E9328">
      <w:pPr>
        <w:shd w:val="clear"/>
        <w:rPr>
          <w:rFonts w:ascii="楷体_GB2312" w:eastAsia="楷体_GB2312"/>
          <w:color w:val="auto"/>
          <w:sz w:val="24"/>
          <w:highlight w:val="none"/>
        </w:rPr>
      </w:pPr>
    </w:p>
    <w:p w14:paraId="20E29C33">
      <w:pPr>
        <w:shd w:val="clear"/>
        <w:adjustRightInd/>
        <w:snapToGrid/>
        <w:spacing w:line="276" w:lineRule="auto"/>
        <w:rPr>
          <w:color w:val="auto"/>
          <w:highlight w:val="none"/>
        </w:rPr>
      </w:pPr>
      <w:r>
        <w:rPr>
          <w:rFonts w:ascii="楷体_GB2312" w:eastAsia="楷体_GB2312"/>
          <w:color w:val="auto"/>
          <w:sz w:val="24"/>
          <w:highlight w:val="none"/>
        </w:rPr>
        <w:br w:type="page"/>
      </w:r>
    </w:p>
    <w:p w14:paraId="4BE3D9D9">
      <w:pPr>
        <w:pStyle w:val="4"/>
        <w:shd w:val="clear"/>
        <w:jc w:val="center"/>
        <w:rPr>
          <w:color w:val="auto"/>
          <w:highlight w:val="none"/>
        </w:rPr>
      </w:pPr>
      <w:bookmarkStart w:id="214" w:name="_Toc7959"/>
      <w:bookmarkStart w:id="215" w:name="_Toc8560"/>
      <w:r>
        <w:rPr>
          <w:rFonts w:hint="eastAsia"/>
          <w:color w:val="auto"/>
          <w:highlight w:val="none"/>
        </w:rPr>
        <w:t>六、残疾人福利性单位声明函</w:t>
      </w:r>
      <w:bookmarkEnd w:id="214"/>
      <w:bookmarkEnd w:id="215"/>
    </w:p>
    <w:p w14:paraId="4784B685">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A20D602">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56608A2E">
      <w:pPr>
        <w:shd w:val="clear"/>
        <w:spacing w:line="480" w:lineRule="auto"/>
        <w:jc w:val="right"/>
        <w:rPr>
          <w:rFonts w:ascii="宋体" w:hAnsi="宋体"/>
          <w:color w:val="auto"/>
          <w:szCs w:val="21"/>
          <w:highlight w:val="none"/>
        </w:rPr>
      </w:pPr>
    </w:p>
    <w:p w14:paraId="4FDB3D58">
      <w:pPr>
        <w:shd w:val="clear"/>
        <w:jc w:val="center"/>
        <w:rPr>
          <w:rFonts w:ascii="宋体" w:hAnsi="宋体"/>
          <w:color w:val="auto"/>
          <w:szCs w:val="21"/>
          <w:highlight w:val="none"/>
        </w:rPr>
      </w:pPr>
      <w:r>
        <w:rPr>
          <w:rFonts w:hint="eastAsia" w:ascii="宋体" w:hAnsi="宋体"/>
          <w:color w:val="auto"/>
          <w:szCs w:val="21"/>
          <w:highlight w:val="none"/>
        </w:rPr>
        <w:t>单位名称（盖章）：</w:t>
      </w:r>
      <w:bookmarkStart w:id="216" w:name="_Toc508898066"/>
      <w:bookmarkStart w:id="217" w:name="_Toc509927455"/>
      <w:bookmarkStart w:id="218" w:name="_Toc509844825"/>
      <w:bookmarkStart w:id="219" w:name="_Toc510171693"/>
      <w:bookmarkStart w:id="220" w:name="_Toc508958703"/>
      <w:bookmarkStart w:id="221" w:name="_Toc30277"/>
      <w:bookmarkStart w:id="222" w:name="_Toc20910"/>
      <w:bookmarkStart w:id="223" w:name="_Toc30247"/>
      <w:bookmarkStart w:id="224" w:name="_Toc22970"/>
      <w:bookmarkStart w:id="225" w:name="_Toc17761"/>
      <w:bookmarkStart w:id="226" w:name="_Toc509479530"/>
      <w:bookmarkStart w:id="227" w:name="_Toc508960153"/>
    </w:p>
    <w:p w14:paraId="225AF8EF">
      <w:pPr>
        <w:shd w:val="clear"/>
        <w:jc w:val="center"/>
        <w:rPr>
          <w:rFonts w:ascii="宋体" w:hAnsi="宋体"/>
          <w:color w:val="auto"/>
          <w:szCs w:val="21"/>
          <w:highlight w:val="none"/>
        </w:rPr>
      </w:pPr>
      <w:r>
        <w:rPr>
          <w:rFonts w:hint="eastAsia" w:ascii="宋体" w:hAnsi="宋体"/>
          <w:color w:val="auto"/>
          <w:szCs w:val="21"/>
          <w:highlight w:val="none"/>
        </w:rPr>
        <w:t>日  期：</w:t>
      </w:r>
      <w:bookmarkEnd w:id="216"/>
      <w:bookmarkEnd w:id="217"/>
      <w:bookmarkEnd w:id="218"/>
      <w:bookmarkEnd w:id="219"/>
      <w:bookmarkEnd w:id="220"/>
      <w:bookmarkEnd w:id="221"/>
      <w:bookmarkEnd w:id="222"/>
      <w:bookmarkEnd w:id="223"/>
      <w:bookmarkEnd w:id="224"/>
      <w:bookmarkEnd w:id="225"/>
      <w:bookmarkEnd w:id="226"/>
      <w:bookmarkEnd w:id="227"/>
    </w:p>
    <w:p w14:paraId="5CBA23C7">
      <w:pPr>
        <w:pStyle w:val="8"/>
        <w:shd w:val="clear"/>
        <w:rPr>
          <w:color w:val="auto"/>
          <w:highlight w:val="none"/>
        </w:rPr>
      </w:pPr>
    </w:p>
    <w:p w14:paraId="1BCFF8A9">
      <w:pPr>
        <w:shd w:val="clear"/>
        <w:ind w:firstLine="420" w:firstLineChars="200"/>
        <w:rPr>
          <w:rFonts w:ascii="宋体" w:hAnsi="宋体"/>
          <w:color w:val="auto"/>
          <w:szCs w:val="21"/>
          <w:highlight w:val="none"/>
        </w:rPr>
      </w:pPr>
      <w:bookmarkStart w:id="228" w:name="_Toc26216"/>
      <w:bookmarkStart w:id="229" w:name="_Toc508898067"/>
      <w:bookmarkStart w:id="230" w:name="_Toc31520"/>
      <w:bookmarkStart w:id="231" w:name="_Toc509844826"/>
      <w:bookmarkStart w:id="232" w:name="_Toc510171694"/>
      <w:bookmarkStart w:id="233" w:name="_Toc5447"/>
      <w:bookmarkStart w:id="234" w:name="_Toc509479531"/>
      <w:bookmarkStart w:id="235" w:name="_Toc509927456"/>
      <w:bookmarkStart w:id="236" w:name="_Toc28527"/>
      <w:bookmarkStart w:id="237" w:name="_Toc508960154"/>
      <w:bookmarkStart w:id="238" w:name="_Toc508958704"/>
      <w:bookmarkStart w:id="239" w:name="_Toc21053"/>
      <w:r>
        <w:rPr>
          <w:rFonts w:hint="eastAsia" w:ascii="宋体" w:hAnsi="宋体"/>
          <w:color w:val="auto"/>
          <w:szCs w:val="21"/>
          <w:highlight w:val="none"/>
        </w:rPr>
        <w:t>注：</w:t>
      </w:r>
    </w:p>
    <w:p w14:paraId="12455A18">
      <w:pPr>
        <w:shd w:val="clea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28"/>
      <w:bookmarkEnd w:id="229"/>
      <w:bookmarkEnd w:id="230"/>
      <w:bookmarkEnd w:id="231"/>
      <w:bookmarkEnd w:id="232"/>
      <w:bookmarkEnd w:id="233"/>
      <w:bookmarkEnd w:id="234"/>
      <w:bookmarkEnd w:id="235"/>
      <w:bookmarkEnd w:id="236"/>
      <w:bookmarkEnd w:id="237"/>
      <w:bookmarkEnd w:id="238"/>
      <w:bookmarkEnd w:id="239"/>
    </w:p>
    <w:p w14:paraId="53B888C7">
      <w:pPr>
        <w:shd w:val="clear"/>
        <w:ind w:firstLine="420" w:firstLineChars="200"/>
        <w:rPr>
          <w:rFonts w:ascii="宋体" w:hAnsi="宋体"/>
          <w:color w:val="auto"/>
          <w:szCs w:val="21"/>
          <w:highlight w:val="none"/>
        </w:rPr>
      </w:pPr>
      <w:bookmarkStart w:id="240" w:name="_Toc509479532"/>
      <w:bookmarkStart w:id="241" w:name="_Toc508898068"/>
      <w:bookmarkStart w:id="242" w:name="_Toc509844827"/>
      <w:bookmarkStart w:id="243" w:name="_Toc28126"/>
      <w:bookmarkStart w:id="244" w:name="_Toc508960155"/>
      <w:bookmarkStart w:id="245" w:name="_Toc508958705"/>
      <w:bookmarkStart w:id="246" w:name="_Toc509927457"/>
      <w:bookmarkStart w:id="247" w:name="_Toc14653"/>
      <w:bookmarkStart w:id="248" w:name="_Toc510171695"/>
      <w:bookmarkStart w:id="249" w:name="_Toc28626"/>
      <w:bookmarkStart w:id="250" w:name="_Toc24848"/>
      <w:bookmarkStart w:id="251" w:name="_Toc9148"/>
      <w:r>
        <w:rPr>
          <w:rFonts w:hint="eastAsia" w:ascii="宋体" w:hAnsi="宋体"/>
          <w:color w:val="auto"/>
          <w:szCs w:val="21"/>
          <w:highlight w:val="none"/>
        </w:rPr>
        <w:t>（2）中标人为残疾人福利性单位的，采购代理机构将随中标结果同时公告其《残疾人福利性单位声明函》，接受社会监督。</w:t>
      </w:r>
      <w:bookmarkEnd w:id="240"/>
      <w:bookmarkEnd w:id="241"/>
      <w:bookmarkEnd w:id="242"/>
      <w:bookmarkEnd w:id="243"/>
      <w:bookmarkEnd w:id="244"/>
      <w:bookmarkEnd w:id="245"/>
      <w:bookmarkEnd w:id="246"/>
      <w:bookmarkEnd w:id="247"/>
      <w:bookmarkEnd w:id="248"/>
      <w:bookmarkEnd w:id="249"/>
      <w:bookmarkEnd w:id="250"/>
      <w:bookmarkEnd w:id="251"/>
    </w:p>
    <w:p w14:paraId="5EBDD206">
      <w:pPr>
        <w:shd w:val="clear"/>
        <w:ind w:firstLine="420" w:firstLineChars="200"/>
        <w:rPr>
          <w:rFonts w:ascii="宋体" w:hAnsi="宋体"/>
          <w:color w:val="auto"/>
          <w:szCs w:val="21"/>
          <w:highlight w:val="none"/>
        </w:rPr>
      </w:pPr>
      <w:bookmarkStart w:id="252" w:name="_Toc509479533"/>
      <w:bookmarkStart w:id="253" w:name="_Toc28044"/>
      <w:bookmarkStart w:id="254" w:name="_Toc508958706"/>
      <w:bookmarkStart w:id="255" w:name="_Toc508898069"/>
      <w:bookmarkStart w:id="256" w:name="_Toc22981"/>
      <w:bookmarkStart w:id="257" w:name="_Toc509844828"/>
      <w:bookmarkStart w:id="258" w:name="_Toc508960156"/>
      <w:bookmarkStart w:id="259" w:name="_Toc7858"/>
      <w:bookmarkStart w:id="260" w:name="_Toc510171696"/>
      <w:bookmarkStart w:id="261" w:name="_Toc28686"/>
      <w:bookmarkStart w:id="262" w:name="_Toc509927458"/>
      <w:bookmarkStart w:id="263" w:name="_Toc9837"/>
      <w:r>
        <w:rPr>
          <w:rFonts w:hint="eastAsia" w:ascii="宋体" w:hAnsi="宋体"/>
          <w:color w:val="auto"/>
          <w:szCs w:val="21"/>
          <w:highlight w:val="none"/>
        </w:rPr>
        <w:t>（3）投标人提供的《残疾人福利性单位声明函》与事实不符的，依照《政府采购法》第七十七条第一款的规定追究法律责任。</w:t>
      </w:r>
      <w:bookmarkEnd w:id="252"/>
      <w:bookmarkEnd w:id="253"/>
      <w:bookmarkEnd w:id="254"/>
      <w:bookmarkEnd w:id="255"/>
      <w:bookmarkEnd w:id="256"/>
      <w:bookmarkEnd w:id="257"/>
      <w:bookmarkEnd w:id="258"/>
      <w:bookmarkEnd w:id="259"/>
      <w:bookmarkEnd w:id="260"/>
      <w:bookmarkEnd w:id="261"/>
      <w:bookmarkEnd w:id="262"/>
      <w:bookmarkEnd w:id="263"/>
    </w:p>
    <w:p w14:paraId="73482ADB">
      <w:pPr>
        <w:shd w:val="clear"/>
        <w:ind w:firstLine="420" w:firstLineChars="200"/>
        <w:rPr>
          <w:rFonts w:ascii="宋体" w:hAnsi="宋体"/>
          <w:color w:val="auto"/>
          <w:szCs w:val="21"/>
          <w:highlight w:val="none"/>
        </w:rPr>
      </w:pPr>
      <w:bookmarkStart w:id="264" w:name="_Toc509844829"/>
      <w:bookmarkStart w:id="265" w:name="_Toc5289"/>
      <w:bookmarkStart w:id="266" w:name="_Toc510171697"/>
      <w:bookmarkStart w:id="267" w:name="_Toc18843"/>
      <w:bookmarkStart w:id="268" w:name="_Toc508960157"/>
      <w:bookmarkStart w:id="269" w:name="_Toc509927459"/>
      <w:bookmarkStart w:id="270" w:name="_Toc508898070"/>
      <w:bookmarkStart w:id="271" w:name="_Toc508958707"/>
      <w:bookmarkStart w:id="272" w:name="_Toc509479534"/>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64"/>
      <w:bookmarkEnd w:id="265"/>
      <w:bookmarkEnd w:id="266"/>
      <w:bookmarkEnd w:id="267"/>
      <w:bookmarkEnd w:id="268"/>
      <w:bookmarkEnd w:id="269"/>
      <w:bookmarkEnd w:id="270"/>
      <w:bookmarkEnd w:id="271"/>
      <w:bookmarkEnd w:id="272"/>
    </w:p>
    <w:p w14:paraId="0A8F5DA3">
      <w:pPr>
        <w:shd w:val="clea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3EE87F44">
      <w:pPr>
        <w:shd w:val="clear"/>
        <w:adjustRightInd/>
        <w:snapToGrid/>
        <w:spacing w:line="276" w:lineRule="auto"/>
        <w:rPr>
          <w:color w:val="auto"/>
          <w:highlight w:val="none"/>
        </w:rPr>
      </w:pPr>
      <w:r>
        <w:rPr>
          <w:rFonts w:hint="eastAsia" w:ascii="宋体" w:hAnsi="宋体"/>
          <w:bCs/>
          <w:color w:val="auto"/>
          <w:szCs w:val="21"/>
          <w:highlight w:val="none"/>
        </w:rPr>
        <w:br w:type="page"/>
      </w:r>
    </w:p>
    <w:p w14:paraId="5986860C">
      <w:pPr>
        <w:pStyle w:val="4"/>
        <w:shd w:val="clear"/>
        <w:jc w:val="center"/>
        <w:rPr>
          <w:color w:val="auto"/>
          <w:highlight w:val="none"/>
        </w:rPr>
      </w:pPr>
      <w:bookmarkStart w:id="273" w:name="_Toc6471"/>
      <w:bookmarkStart w:id="274" w:name="_Toc23948"/>
      <w:r>
        <w:rPr>
          <w:rFonts w:hint="eastAsia"/>
          <w:color w:val="auto"/>
          <w:highlight w:val="none"/>
        </w:rPr>
        <w:t>第二章商务文件</w:t>
      </w:r>
      <w:bookmarkEnd w:id="273"/>
      <w:bookmarkEnd w:id="274"/>
    </w:p>
    <w:bookmarkEnd w:id="203"/>
    <w:p w14:paraId="625726C5">
      <w:pPr>
        <w:pStyle w:val="4"/>
        <w:shd w:val="clear"/>
        <w:jc w:val="center"/>
        <w:rPr>
          <w:color w:val="auto"/>
          <w:highlight w:val="none"/>
        </w:rPr>
      </w:pPr>
      <w:bookmarkStart w:id="275" w:name="_Toc1952"/>
      <w:bookmarkStart w:id="276" w:name="_Toc23787"/>
      <w:r>
        <w:rPr>
          <w:rFonts w:hint="eastAsia"/>
          <w:color w:val="auto"/>
          <w:highlight w:val="none"/>
        </w:rPr>
        <w:t>一、投标函</w:t>
      </w:r>
      <w:bookmarkEnd w:id="275"/>
      <w:bookmarkEnd w:id="276"/>
    </w:p>
    <w:p w14:paraId="3810C96C">
      <w:pPr>
        <w:shd w:val="clear"/>
        <w:rPr>
          <w:rFonts w:ascii="宋体" w:hAnsi="宋体"/>
          <w:color w:val="auto"/>
          <w:szCs w:val="21"/>
          <w:highlight w:val="none"/>
        </w:rPr>
      </w:pPr>
      <w:r>
        <w:rPr>
          <w:rFonts w:hint="eastAsia" w:ascii="宋体" w:hAnsi="宋体"/>
          <w:color w:val="auto"/>
          <w:szCs w:val="21"/>
          <w:highlight w:val="none"/>
        </w:rPr>
        <w:t>致广东政通招标有限公司：</w:t>
      </w:r>
    </w:p>
    <w:p w14:paraId="754A4F87">
      <w:pPr>
        <w:shd w:val="clear"/>
        <w:rPr>
          <w:rFonts w:ascii="宋体" w:hAnsi="宋体"/>
          <w:color w:val="auto"/>
          <w:szCs w:val="21"/>
          <w:highlight w:val="none"/>
        </w:rPr>
      </w:pPr>
    </w:p>
    <w:p w14:paraId="3B9113D8">
      <w:pPr>
        <w:shd w:val="clea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5D26807F">
      <w:pPr>
        <w:shd w:val="clea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14:paraId="70324226">
      <w:pPr>
        <w:shd w:val="clea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735EC86F">
      <w:pPr>
        <w:widowControl w:val="0"/>
        <w:numPr>
          <w:ilvl w:val="0"/>
          <w:numId w:val="8"/>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1A4492AB">
      <w:pPr>
        <w:widowControl w:val="0"/>
        <w:numPr>
          <w:ilvl w:val="0"/>
          <w:numId w:val="8"/>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1E07D1B0">
      <w:pPr>
        <w:widowControl w:val="0"/>
        <w:numPr>
          <w:ilvl w:val="0"/>
          <w:numId w:val="8"/>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6DA9A808">
      <w:pPr>
        <w:widowControl w:val="0"/>
        <w:numPr>
          <w:ilvl w:val="0"/>
          <w:numId w:val="8"/>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14:paraId="2EF40864">
      <w:pPr>
        <w:widowControl w:val="0"/>
        <w:numPr>
          <w:ilvl w:val="0"/>
          <w:numId w:val="8"/>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0EFA9C0D">
      <w:pPr>
        <w:widowControl w:val="0"/>
        <w:numPr>
          <w:ilvl w:val="0"/>
          <w:numId w:val="8"/>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606767ED">
      <w:pPr>
        <w:widowControl w:val="0"/>
        <w:numPr>
          <w:ilvl w:val="0"/>
          <w:numId w:val="8"/>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3CC3B146">
      <w:pPr>
        <w:shd w:val="clear"/>
        <w:rPr>
          <w:rFonts w:ascii="宋体" w:hAnsi="宋体"/>
          <w:color w:val="auto"/>
          <w:szCs w:val="21"/>
          <w:highlight w:val="none"/>
        </w:rPr>
      </w:pPr>
    </w:p>
    <w:p w14:paraId="451002E8">
      <w:pPr>
        <w:shd w:val="clear"/>
        <w:rPr>
          <w:rFonts w:ascii="宋体" w:hAnsi="宋体"/>
          <w:color w:val="auto"/>
          <w:szCs w:val="21"/>
          <w:highlight w:val="none"/>
        </w:rPr>
      </w:pPr>
      <w:r>
        <w:rPr>
          <w:rFonts w:hint="eastAsia" w:ascii="宋体" w:hAnsi="宋体"/>
          <w:color w:val="auto"/>
          <w:szCs w:val="21"/>
          <w:highlight w:val="none"/>
        </w:rPr>
        <w:t>地址：　　　　　　　　　　　　　　　</w:t>
      </w:r>
    </w:p>
    <w:p w14:paraId="7B405D19">
      <w:pPr>
        <w:shd w:val="clear"/>
        <w:rPr>
          <w:rFonts w:ascii="宋体" w:hAnsi="宋体"/>
          <w:color w:val="auto"/>
          <w:szCs w:val="21"/>
          <w:highlight w:val="none"/>
        </w:rPr>
      </w:pPr>
      <w:r>
        <w:rPr>
          <w:rFonts w:hint="eastAsia" w:ascii="宋体" w:hAnsi="宋体"/>
          <w:color w:val="auto"/>
          <w:szCs w:val="21"/>
          <w:highlight w:val="none"/>
        </w:rPr>
        <w:t>邮箱：　　　</w:t>
      </w:r>
    </w:p>
    <w:p w14:paraId="4F99A7CB">
      <w:pPr>
        <w:shd w:val="clear"/>
        <w:rPr>
          <w:rFonts w:ascii="宋体" w:hAnsi="宋体"/>
          <w:color w:val="auto"/>
          <w:szCs w:val="21"/>
          <w:highlight w:val="none"/>
        </w:rPr>
      </w:pPr>
      <w:r>
        <w:rPr>
          <w:rFonts w:hint="eastAsia" w:ascii="宋体" w:hAnsi="宋体"/>
          <w:color w:val="auto"/>
          <w:szCs w:val="21"/>
          <w:highlight w:val="none"/>
        </w:rPr>
        <w:t>电话/移动电话：　　　　　　　　　　　　　　　</w:t>
      </w:r>
    </w:p>
    <w:p w14:paraId="7AE44C96">
      <w:pPr>
        <w:shd w:val="clear"/>
        <w:rPr>
          <w:rFonts w:ascii="宋体" w:hAnsi="宋体"/>
          <w:color w:val="auto"/>
          <w:szCs w:val="21"/>
          <w:highlight w:val="none"/>
        </w:rPr>
      </w:pPr>
      <w:r>
        <w:rPr>
          <w:rFonts w:hint="eastAsia" w:ascii="宋体" w:hAnsi="宋体"/>
          <w:color w:val="auto"/>
          <w:szCs w:val="21"/>
          <w:highlight w:val="none"/>
        </w:rPr>
        <w:t xml:space="preserve">投标人代表签字： </w:t>
      </w:r>
    </w:p>
    <w:p w14:paraId="1ED6BC88">
      <w:pPr>
        <w:shd w:val="clear"/>
        <w:rPr>
          <w:rFonts w:ascii="宋体" w:hAnsi="宋体"/>
          <w:color w:val="auto"/>
          <w:szCs w:val="21"/>
          <w:highlight w:val="none"/>
        </w:rPr>
      </w:pPr>
      <w:r>
        <w:rPr>
          <w:rFonts w:hint="eastAsia" w:ascii="宋体" w:hAnsi="宋体"/>
          <w:color w:val="auto"/>
          <w:szCs w:val="21"/>
          <w:highlight w:val="none"/>
        </w:rPr>
        <w:t xml:space="preserve">投标人名称（加盖公章）： </w:t>
      </w:r>
    </w:p>
    <w:p w14:paraId="040D5634">
      <w:pPr>
        <w:shd w:val="clear"/>
        <w:rPr>
          <w:rFonts w:ascii="宋体" w:hAnsi="宋体"/>
          <w:color w:val="auto"/>
          <w:szCs w:val="21"/>
          <w:highlight w:val="none"/>
        </w:rPr>
      </w:pPr>
      <w:r>
        <w:rPr>
          <w:rFonts w:hint="eastAsia" w:ascii="宋体" w:hAnsi="宋体"/>
          <w:color w:val="auto"/>
          <w:szCs w:val="21"/>
          <w:highlight w:val="none"/>
        </w:rPr>
        <w:t>日期：</w:t>
      </w:r>
    </w:p>
    <w:p w14:paraId="64E67214">
      <w:pPr>
        <w:shd w:val="clear"/>
        <w:adjustRightInd/>
        <w:snapToGrid/>
        <w:spacing w:line="276" w:lineRule="auto"/>
        <w:rPr>
          <w:color w:val="auto"/>
          <w:highlight w:val="none"/>
        </w:rPr>
      </w:pPr>
      <w:r>
        <w:rPr>
          <w:color w:val="auto"/>
          <w:highlight w:val="none"/>
        </w:rPr>
        <w:br w:type="page"/>
      </w:r>
    </w:p>
    <w:p w14:paraId="49968C9C">
      <w:pPr>
        <w:pStyle w:val="4"/>
        <w:shd w:val="clear"/>
        <w:jc w:val="center"/>
        <w:rPr>
          <w:color w:val="auto"/>
          <w:highlight w:val="none"/>
        </w:rPr>
      </w:pPr>
      <w:bookmarkStart w:id="277" w:name="_Toc28616"/>
      <w:bookmarkStart w:id="278" w:name="_Toc15719"/>
      <w:r>
        <w:rPr>
          <w:rFonts w:hint="eastAsia"/>
          <w:color w:val="auto"/>
          <w:highlight w:val="none"/>
        </w:rPr>
        <w:t>二、资格申明函</w:t>
      </w:r>
      <w:bookmarkEnd w:id="277"/>
      <w:bookmarkEnd w:id="278"/>
    </w:p>
    <w:p w14:paraId="112DA4D7">
      <w:pPr>
        <w:pStyle w:val="38"/>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359C2FE0">
      <w:pPr>
        <w:shd w:val="clear"/>
        <w:ind w:firstLine="420" w:firstLineChars="200"/>
        <w:rPr>
          <w:rFonts w:ascii="宋体" w:hAnsi="宋体"/>
          <w:color w:val="auto"/>
          <w:szCs w:val="21"/>
          <w:highlight w:val="none"/>
        </w:rPr>
      </w:pPr>
    </w:p>
    <w:p w14:paraId="379F303C">
      <w:pPr>
        <w:shd w:val="clea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110A1A56">
      <w:pPr>
        <w:shd w:val="clea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6CB731DB">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4DF177CA">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2F7CFB91">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45B002D6">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7E615625">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6950A091">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5C6460B6">
      <w:pPr>
        <w:shd w:val="clea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4878D313">
      <w:pPr>
        <w:pStyle w:val="38"/>
        <w:shd w:val="clear"/>
        <w:spacing w:line="500" w:lineRule="atLeast"/>
        <w:ind w:firstLine="3517" w:firstLineChars="1675"/>
        <w:rPr>
          <w:rFonts w:ascii="宋体" w:eastAsia="宋体"/>
          <w:color w:val="auto"/>
          <w:sz w:val="21"/>
          <w:szCs w:val="21"/>
          <w:highlight w:val="none"/>
        </w:rPr>
      </w:pPr>
    </w:p>
    <w:p w14:paraId="2537493A">
      <w:pPr>
        <w:pStyle w:val="38"/>
        <w:shd w:val="clear"/>
        <w:spacing w:line="500" w:lineRule="atLeast"/>
        <w:ind w:firstLine="3517" w:firstLineChars="1675"/>
        <w:rPr>
          <w:rFonts w:ascii="宋体" w:eastAsia="宋体"/>
          <w:color w:val="auto"/>
          <w:sz w:val="21"/>
          <w:szCs w:val="21"/>
          <w:highlight w:val="none"/>
        </w:rPr>
      </w:pPr>
    </w:p>
    <w:p w14:paraId="2DE0A1C8">
      <w:pPr>
        <w:shd w:val="clear"/>
        <w:ind w:firstLine="420" w:firstLineChars="200"/>
        <w:rPr>
          <w:color w:val="auto"/>
          <w:highlight w:val="none"/>
        </w:rPr>
      </w:pPr>
      <w:r>
        <w:rPr>
          <w:rFonts w:hint="eastAsia"/>
          <w:color w:val="auto"/>
          <w:highlight w:val="none"/>
        </w:rPr>
        <w:t>投标人名称（加盖公章）：</w:t>
      </w:r>
    </w:p>
    <w:p w14:paraId="1ED14F09">
      <w:pPr>
        <w:shd w:val="clear"/>
        <w:ind w:firstLine="420" w:firstLineChars="200"/>
        <w:rPr>
          <w:color w:val="auto"/>
          <w:highlight w:val="none"/>
        </w:rPr>
      </w:pPr>
      <w:r>
        <w:rPr>
          <w:rFonts w:hint="eastAsia"/>
          <w:color w:val="auto"/>
          <w:highlight w:val="none"/>
        </w:rPr>
        <w:t>法定代表人签字（签名或盖私章）：</w:t>
      </w:r>
    </w:p>
    <w:p w14:paraId="49F59A8E">
      <w:pPr>
        <w:shd w:val="clear"/>
        <w:ind w:firstLine="420" w:firstLineChars="200"/>
        <w:rPr>
          <w:color w:val="auto"/>
          <w:highlight w:val="none"/>
        </w:rPr>
      </w:pPr>
      <w:r>
        <w:rPr>
          <w:rFonts w:hint="eastAsia"/>
          <w:color w:val="auto"/>
          <w:highlight w:val="none"/>
        </w:rPr>
        <w:t>日     期：</w:t>
      </w:r>
    </w:p>
    <w:p w14:paraId="5D171085">
      <w:pPr>
        <w:shd w:val="clear"/>
        <w:jc w:val="both"/>
        <w:rPr>
          <w:rFonts w:ascii="宋体" w:hAnsi="宋体"/>
          <w:color w:val="auto"/>
          <w:szCs w:val="21"/>
          <w:highlight w:val="none"/>
        </w:rPr>
      </w:pPr>
    </w:p>
    <w:p w14:paraId="61EF30A9">
      <w:pPr>
        <w:pStyle w:val="8"/>
        <w:shd w:val="clear"/>
        <w:rPr>
          <w:color w:val="auto"/>
          <w:sz w:val="21"/>
          <w:szCs w:val="21"/>
          <w:highlight w:val="none"/>
        </w:rPr>
      </w:pPr>
    </w:p>
    <w:p w14:paraId="6224E305">
      <w:pPr>
        <w:shd w:val="clear"/>
        <w:rPr>
          <w:rFonts w:ascii="宋体" w:hAnsi="宋体"/>
          <w:color w:val="auto"/>
          <w:szCs w:val="21"/>
          <w:highlight w:val="none"/>
        </w:rPr>
      </w:pPr>
    </w:p>
    <w:p w14:paraId="71DA14AF">
      <w:pPr>
        <w:pStyle w:val="8"/>
        <w:shd w:val="clear"/>
        <w:rPr>
          <w:color w:val="auto"/>
          <w:sz w:val="21"/>
          <w:szCs w:val="21"/>
          <w:highlight w:val="none"/>
        </w:rPr>
      </w:pPr>
    </w:p>
    <w:p w14:paraId="380B1269">
      <w:pPr>
        <w:shd w:val="clear"/>
        <w:rPr>
          <w:rFonts w:ascii="宋体" w:hAnsi="宋体"/>
          <w:color w:val="auto"/>
          <w:szCs w:val="21"/>
          <w:highlight w:val="none"/>
        </w:rPr>
      </w:pPr>
    </w:p>
    <w:p w14:paraId="21886867">
      <w:pPr>
        <w:pStyle w:val="8"/>
        <w:shd w:val="clear"/>
        <w:rPr>
          <w:color w:val="auto"/>
          <w:sz w:val="21"/>
          <w:szCs w:val="21"/>
          <w:highlight w:val="none"/>
        </w:rPr>
      </w:pPr>
    </w:p>
    <w:p w14:paraId="7C406B9B">
      <w:pPr>
        <w:shd w:val="clear"/>
        <w:rPr>
          <w:rFonts w:ascii="宋体" w:hAnsi="宋体"/>
          <w:color w:val="auto"/>
          <w:szCs w:val="21"/>
          <w:highlight w:val="none"/>
        </w:rPr>
      </w:pPr>
    </w:p>
    <w:p w14:paraId="2111AAE1">
      <w:pPr>
        <w:pStyle w:val="8"/>
        <w:shd w:val="clear"/>
        <w:rPr>
          <w:color w:val="auto"/>
          <w:highlight w:val="none"/>
        </w:rPr>
      </w:pPr>
    </w:p>
    <w:p w14:paraId="70BE1A26">
      <w:pPr>
        <w:shd w:val="clear"/>
        <w:rPr>
          <w:color w:val="auto"/>
          <w:highlight w:val="none"/>
        </w:rPr>
      </w:pPr>
      <w:bookmarkStart w:id="279" w:name="_Toc16412"/>
    </w:p>
    <w:p w14:paraId="47C254AE">
      <w:pPr>
        <w:pStyle w:val="4"/>
        <w:shd w:val="clear"/>
        <w:jc w:val="center"/>
        <w:rPr>
          <w:color w:val="auto"/>
          <w:highlight w:val="none"/>
        </w:rPr>
      </w:pPr>
      <w:bookmarkStart w:id="280" w:name="_Toc32742"/>
      <w:bookmarkStart w:id="281" w:name="_Toc21273"/>
      <w:r>
        <w:rPr>
          <w:rFonts w:hint="eastAsia"/>
          <w:color w:val="auto"/>
          <w:highlight w:val="none"/>
        </w:rPr>
        <w:t>三、在参与政府采购活动前三年未有重大违法记录、没有不良信用记录的声明函</w:t>
      </w:r>
      <w:bookmarkEnd w:id="280"/>
      <w:bookmarkEnd w:id="281"/>
    </w:p>
    <w:p w14:paraId="32378FC1">
      <w:pPr>
        <w:shd w:val="clear"/>
        <w:ind w:firstLine="420" w:firstLineChars="200"/>
        <w:rPr>
          <w:rFonts w:ascii="宋体" w:hAnsi="宋体" w:cs="宋体"/>
          <w:color w:val="auto"/>
          <w:szCs w:val="21"/>
          <w:highlight w:val="none"/>
        </w:rPr>
      </w:pPr>
    </w:p>
    <w:p w14:paraId="68BEF8CC">
      <w:pPr>
        <w:shd w:val="clea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5BB4B4D0">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14:paraId="4726096B">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78AF0492">
      <w:pPr>
        <w:shd w:val="clear"/>
        <w:ind w:firstLine="420" w:firstLineChars="200"/>
        <w:rPr>
          <w:rFonts w:ascii="宋体" w:hAnsi="宋体" w:cs="宋体"/>
          <w:color w:val="auto"/>
          <w:szCs w:val="21"/>
          <w:highlight w:val="none"/>
        </w:rPr>
      </w:pPr>
    </w:p>
    <w:p w14:paraId="736C9EA9">
      <w:pPr>
        <w:shd w:val="clear"/>
        <w:rPr>
          <w:rFonts w:ascii="宋体" w:hAnsi="宋体" w:cs="宋体"/>
          <w:color w:val="auto"/>
          <w:szCs w:val="21"/>
          <w:highlight w:val="none"/>
        </w:rPr>
      </w:pPr>
    </w:p>
    <w:p w14:paraId="0033BED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744BCE51">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3285E44A">
      <w:pPr>
        <w:shd w:val="clear"/>
        <w:adjustRightInd/>
        <w:snapToGrid/>
        <w:spacing w:line="276" w:lineRule="auto"/>
        <w:rPr>
          <w:color w:val="auto"/>
          <w:highlight w:val="none"/>
        </w:rPr>
      </w:pPr>
      <w:r>
        <w:rPr>
          <w:rFonts w:ascii="楷体_GB2312" w:eastAsia="楷体_GB2312"/>
          <w:color w:val="auto"/>
          <w:sz w:val="24"/>
          <w:highlight w:val="none"/>
        </w:rPr>
        <w:br w:type="page"/>
      </w:r>
      <w:bookmarkEnd w:id="279"/>
    </w:p>
    <w:p w14:paraId="4B3DAC4A">
      <w:pPr>
        <w:pStyle w:val="4"/>
        <w:shd w:val="clear"/>
        <w:jc w:val="center"/>
        <w:rPr>
          <w:color w:val="auto"/>
          <w:highlight w:val="none"/>
        </w:rPr>
      </w:pPr>
      <w:bookmarkStart w:id="282" w:name="_Toc3894"/>
      <w:bookmarkStart w:id="283" w:name="_Toc13243"/>
      <w:r>
        <w:rPr>
          <w:rFonts w:hint="eastAsia"/>
          <w:color w:val="auto"/>
          <w:highlight w:val="none"/>
        </w:rPr>
        <w:t>四、法定代表人证明书</w:t>
      </w:r>
      <w:bookmarkEnd w:id="282"/>
      <w:bookmarkEnd w:id="283"/>
    </w:p>
    <w:p w14:paraId="6AB27474">
      <w:pPr>
        <w:pStyle w:val="38"/>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23E8336B">
      <w:pPr>
        <w:pStyle w:val="38"/>
        <w:shd w:val="clear"/>
        <w:spacing w:line="420" w:lineRule="atLeast"/>
        <w:ind w:firstLine="433"/>
        <w:rPr>
          <w:rFonts w:ascii="宋体" w:eastAsia="宋体"/>
          <w:color w:val="auto"/>
          <w:sz w:val="21"/>
          <w:szCs w:val="21"/>
          <w:highlight w:val="none"/>
        </w:rPr>
      </w:pPr>
    </w:p>
    <w:p w14:paraId="4D350B69">
      <w:pPr>
        <w:pStyle w:val="38"/>
        <w:shd w:val="clear"/>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783350B6">
      <w:pPr>
        <w:shd w:val="clea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095F056D">
      <w:pPr>
        <w:pStyle w:val="38"/>
        <w:shd w:val="clear"/>
        <w:spacing w:line="500" w:lineRule="atLeast"/>
        <w:ind w:firstLine="3517" w:firstLineChars="1675"/>
        <w:rPr>
          <w:rFonts w:ascii="宋体" w:eastAsia="宋体"/>
          <w:color w:val="auto"/>
          <w:sz w:val="21"/>
          <w:szCs w:val="21"/>
          <w:highlight w:val="none"/>
        </w:rPr>
      </w:pPr>
    </w:p>
    <w:p w14:paraId="2248D90D">
      <w:pPr>
        <w:shd w:val="clear"/>
        <w:ind w:firstLine="420" w:firstLineChars="200"/>
        <w:rPr>
          <w:color w:val="auto"/>
          <w:highlight w:val="none"/>
        </w:rPr>
      </w:pPr>
      <w:r>
        <w:rPr>
          <w:rFonts w:hint="eastAsia"/>
          <w:color w:val="auto"/>
          <w:highlight w:val="none"/>
        </w:rPr>
        <w:t>投标人名称（加盖公章）：</w:t>
      </w:r>
    </w:p>
    <w:p w14:paraId="0B49FC6A">
      <w:pPr>
        <w:shd w:val="clear"/>
        <w:ind w:firstLine="420" w:firstLineChars="200"/>
        <w:rPr>
          <w:color w:val="auto"/>
          <w:highlight w:val="none"/>
        </w:rPr>
      </w:pPr>
      <w:r>
        <w:rPr>
          <w:rFonts w:hint="eastAsia"/>
          <w:color w:val="auto"/>
          <w:highlight w:val="none"/>
        </w:rPr>
        <w:t>法定代表人（签名或盖私章）：</w:t>
      </w:r>
    </w:p>
    <w:p w14:paraId="774E883F">
      <w:pPr>
        <w:shd w:val="clear"/>
        <w:ind w:firstLine="420" w:firstLineChars="200"/>
        <w:rPr>
          <w:color w:val="auto"/>
          <w:highlight w:val="none"/>
        </w:rPr>
      </w:pPr>
      <w:r>
        <w:rPr>
          <w:rFonts w:hint="eastAsia"/>
          <w:color w:val="auto"/>
          <w:highlight w:val="none"/>
        </w:rPr>
        <w:t>联系方式：</w:t>
      </w:r>
    </w:p>
    <w:p w14:paraId="73E82F32">
      <w:pPr>
        <w:shd w:val="clear"/>
        <w:ind w:firstLine="420" w:firstLineChars="200"/>
        <w:rPr>
          <w:color w:val="auto"/>
          <w:highlight w:val="none"/>
        </w:rPr>
      </w:pPr>
      <w:r>
        <w:rPr>
          <w:rFonts w:hint="eastAsia"/>
          <w:color w:val="auto"/>
          <w:highlight w:val="none"/>
        </w:rPr>
        <w:t>身份证号码：</w:t>
      </w:r>
    </w:p>
    <w:p w14:paraId="668CA185">
      <w:pPr>
        <w:shd w:val="clear"/>
        <w:ind w:firstLine="420" w:firstLineChars="200"/>
        <w:rPr>
          <w:color w:val="auto"/>
          <w:highlight w:val="none"/>
        </w:rPr>
      </w:pPr>
      <w:r>
        <w:rPr>
          <w:rFonts w:hint="eastAsia"/>
          <w:color w:val="auto"/>
          <w:highlight w:val="none"/>
        </w:rPr>
        <w:t>日     期：</w:t>
      </w:r>
    </w:p>
    <w:p w14:paraId="163254A4">
      <w:pPr>
        <w:shd w:val="clear"/>
        <w:ind w:firstLine="420" w:firstLineChars="200"/>
        <w:rPr>
          <w:rFonts w:ascii="宋体" w:hAnsi="宋体"/>
          <w:color w:val="auto"/>
          <w:szCs w:val="21"/>
          <w:highlight w:val="none"/>
        </w:rPr>
      </w:pPr>
    </w:p>
    <w:p w14:paraId="2612CA85">
      <w:pPr>
        <w:shd w:val="clea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66D36648">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095BD308">
            <w:pPr>
              <w:pStyle w:val="38"/>
              <w:shd w:val="clear"/>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6AF66136">
      <w:pPr>
        <w:shd w:val="clear"/>
        <w:rPr>
          <w:color w:val="auto"/>
          <w:highlight w:val="none"/>
        </w:rPr>
      </w:pPr>
    </w:p>
    <w:p w14:paraId="0BB9DE4E">
      <w:pPr>
        <w:shd w:val="clear"/>
        <w:adjustRightInd/>
        <w:snapToGrid/>
        <w:spacing w:line="276" w:lineRule="auto"/>
        <w:rPr>
          <w:color w:val="auto"/>
          <w:highlight w:val="none"/>
        </w:rPr>
      </w:pPr>
      <w:r>
        <w:rPr>
          <w:rFonts w:ascii="楷体_GB2312" w:eastAsia="楷体_GB2312"/>
          <w:color w:val="auto"/>
          <w:sz w:val="24"/>
          <w:highlight w:val="none"/>
        </w:rPr>
        <w:br w:type="page"/>
      </w:r>
    </w:p>
    <w:p w14:paraId="74DD9F23">
      <w:pPr>
        <w:pStyle w:val="4"/>
        <w:shd w:val="clear"/>
        <w:jc w:val="center"/>
        <w:rPr>
          <w:color w:val="auto"/>
          <w:highlight w:val="none"/>
        </w:rPr>
      </w:pPr>
      <w:bookmarkStart w:id="284" w:name="_Toc5626"/>
      <w:bookmarkStart w:id="285" w:name="_Toc5918"/>
      <w:r>
        <w:rPr>
          <w:rFonts w:hint="eastAsia"/>
          <w:color w:val="auto"/>
          <w:highlight w:val="none"/>
        </w:rPr>
        <w:t>五、法定代表人授权书</w:t>
      </w:r>
      <w:bookmarkEnd w:id="284"/>
      <w:bookmarkEnd w:id="285"/>
    </w:p>
    <w:p w14:paraId="28B47988">
      <w:pPr>
        <w:pStyle w:val="38"/>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398FA6F1">
      <w:pPr>
        <w:pStyle w:val="38"/>
        <w:shd w:val="clear"/>
        <w:spacing w:line="420" w:lineRule="atLeast"/>
        <w:ind w:firstLine="433"/>
        <w:rPr>
          <w:rFonts w:ascii="宋体" w:eastAsia="宋体"/>
          <w:color w:val="auto"/>
          <w:sz w:val="21"/>
          <w:szCs w:val="21"/>
          <w:highlight w:val="none"/>
        </w:rPr>
      </w:pPr>
    </w:p>
    <w:p w14:paraId="5B41B7CA">
      <w:pPr>
        <w:shd w:val="clea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1033DDF5">
      <w:pPr>
        <w:shd w:val="clea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283B7826">
      <w:pPr>
        <w:pStyle w:val="38"/>
        <w:shd w:val="clear"/>
        <w:spacing w:line="500" w:lineRule="atLeast"/>
        <w:ind w:firstLine="3517" w:firstLineChars="1675"/>
        <w:rPr>
          <w:rFonts w:ascii="宋体" w:eastAsia="宋体"/>
          <w:color w:val="auto"/>
          <w:sz w:val="21"/>
          <w:szCs w:val="21"/>
          <w:highlight w:val="none"/>
        </w:rPr>
      </w:pPr>
    </w:p>
    <w:p w14:paraId="7DB95282">
      <w:pPr>
        <w:shd w:val="clear"/>
        <w:ind w:firstLine="420" w:firstLineChars="200"/>
        <w:rPr>
          <w:color w:val="auto"/>
          <w:highlight w:val="none"/>
        </w:rPr>
      </w:pPr>
      <w:r>
        <w:rPr>
          <w:rFonts w:hint="eastAsia"/>
          <w:color w:val="auto"/>
          <w:highlight w:val="none"/>
        </w:rPr>
        <w:t>投标人名称（加盖公章）：</w:t>
      </w:r>
    </w:p>
    <w:p w14:paraId="7A32DBAC">
      <w:pPr>
        <w:shd w:val="clear"/>
        <w:ind w:firstLine="420" w:firstLineChars="200"/>
        <w:rPr>
          <w:color w:val="auto"/>
          <w:highlight w:val="none"/>
        </w:rPr>
      </w:pPr>
      <w:r>
        <w:rPr>
          <w:rFonts w:hint="eastAsia"/>
          <w:color w:val="auto"/>
          <w:highlight w:val="none"/>
        </w:rPr>
        <w:t>法定代表人签字（签名或盖私章）：</w:t>
      </w:r>
    </w:p>
    <w:p w14:paraId="1FAFFBD1">
      <w:pPr>
        <w:shd w:val="clear"/>
        <w:ind w:firstLine="420" w:firstLineChars="200"/>
        <w:rPr>
          <w:color w:val="auto"/>
          <w:highlight w:val="none"/>
        </w:rPr>
      </w:pPr>
      <w:r>
        <w:rPr>
          <w:rFonts w:hint="eastAsia"/>
          <w:color w:val="auto"/>
          <w:highlight w:val="none"/>
        </w:rPr>
        <w:t>被授权人签字：</w:t>
      </w:r>
    </w:p>
    <w:p w14:paraId="3BAE2E86">
      <w:pPr>
        <w:shd w:val="clear"/>
        <w:ind w:firstLine="420" w:firstLineChars="200"/>
        <w:rPr>
          <w:color w:val="auto"/>
          <w:highlight w:val="none"/>
        </w:rPr>
      </w:pPr>
      <w:r>
        <w:rPr>
          <w:rFonts w:hint="eastAsia"/>
          <w:color w:val="auto"/>
          <w:highlight w:val="none"/>
        </w:rPr>
        <w:t xml:space="preserve">联系方式： </w:t>
      </w:r>
    </w:p>
    <w:p w14:paraId="6EC4B1B8">
      <w:pPr>
        <w:shd w:val="clear"/>
        <w:ind w:firstLine="420" w:firstLineChars="200"/>
        <w:rPr>
          <w:color w:val="auto"/>
          <w:highlight w:val="none"/>
        </w:rPr>
      </w:pPr>
      <w:r>
        <w:rPr>
          <w:rFonts w:hint="eastAsia"/>
          <w:color w:val="auto"/>
          <w:highlight w:val="none"/>
        </w:rPr>
        <w:t xml:space="preserve">邮箱：                          </w:t>
      </w:r>
    </w:p>
    <w:p w14:paraId="623297DB">
      <w:pPr>
        <w:shd w:val="clear"/>
        <w:ind w:firstLine="420" w:firstLineChars="200"/>
        <w:rPr>
          <w:color w:val="auto"/>
          <w:highlight w:val="none"/>
        </w:rPr>
      </w:pPr>
      <w:r>
        <w:rPr>
          <w:rFonts w:hint="eastAsia"/>
          <w:color w:val="auto"/>
          <w:highlight w:val="none"/>
        </w:rPr>
        <w:t>日     期：</w:t>
      </w:r>
    </w:p>
    <w:p w14:paraId="33E63151">
      <w:pPr>
        <w:pStyle w:val="38"/>
        <w:shd w:val="clear"/>
        <w:spacing w:line="460" w:lineRule="exact"/>
        <w:ind w:firstLine="433"/>
        <w:rPr>
          <w:rFonts w:ascii="宋体" w:eastAsia="宋体"/>
          <w:color w:val="auto"/>
          <w:sz w:val="21"/>
          <w:szCs w:val="21"/>
          <w:highlight w:val="none"/>
        </w:rPr>
      </w:pPr>
    </w:p>
    <w:p w14:paraId="562C576A">
      <w:pPr>
        <w:shd w:val="clear"/>
        <w:ind w:firstLine="420" w:firstLineChars="200"/>
        <w:rPr>
          <w:color w:val="auto"/>
          <w:highlight w:val="none"/>
        </w:rPr>
      </w:pPr>
      <w:r>
        <w:rPr>
          <w:rFonts w:hint="eastAsia" w:ascii="宋体" w:hAnsi="宋体"/>
          <w:color w:val="auto"/>
          <w:szCs w:val="21"/>
          <w:highlight w:val="none"/>
        </w:rPr>
        <w:t>注：须附被授权人身份证复印件。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39B7B07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5049DACD">
            <w:pPr>
              <w:shd w:val="clear"/>
              <w:adjustRightInd/>
              <w:snapToGrid/>
              <w:spacing w:line="276" w:lineRule="auto"/>
              <w:rPr>
                <w:rFonts w:ascii="宋体"/>
                <w:color w:val="auto"/>
                <w:sz w:val="22"/>
                <w:highlight w:val="none"/>
              </w:rPr>
            </w:pPr>
            <w:bookmarkStart w:id="286"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299C59F5">
      <w:pPr>
        <w:shd w:val="clear"/>
        <w:adjustRightInd/>
        <w:snapToGrid/>
        <w:spacing w:line="276" w:lineRule="auto"/>
        <w:rPr>
          <w:color w:val="auto"/>
          <w:highlight w:val="none"/>
        </w:rPr>
      </w:pPr>
    </w:p>
    <w:p w14:paraId="68BBCFF5">
      <w:pPr>
        <w:shd w:val="clear"/>
        <w:jc w:val="center"/>
        <w:rPr>
          <w:rFonts w:ascii="宋体"/>
          <w:color w:val="auto"/>
          <w:szCs w:val="21"/>
          <w:highlight w:val="none"/>
        </w:rPr>
      </w:pPr>
    </w:p>
    <w:p w14:paraId="72F4CDC4">
      <w:pPr>
        <w:shd w:val="clear"/>
        <w:jc w:val="center"/>
        <w:rPr>
          <w:rFonts w:ascii="宋体"/>
          <w:color w:val="auto"/>
          <w:szCs w:val="21"/>
          <w:highlight w:val="none"/>
        </w:rPr>
      </w:pPr>
      <w:r>
        <w:rPr>
          <w:rFonts w:hint="eastAsia" w:ascii="宋体"/>
          <w:color w:val="auto"/>
          <w:szCs w:val="21"/>
          <w:highlight w:val="none"/>
        </w:rPr>
        <w:br w:type="page"/>
      </w:r>
    </w:p>
    <w:p w14:paraId="118C675F">
      <w:pPr>
        <w:pStyle w:val="4"/>
        <w:shd w:val="clear"/>
        <w:jc w:val="center"/>
        <w:rPr>
          <w:color w:val="auto"/>
          <w:highlight w:val="none"/>
        </w:rPr>
      </w:pPr>
      <w:bookmarkStart w:id="287" w:name="_Toc24013"/>
      <w:bookmarkStart w:id="288" w:name="_Toc18562"/>
      <w:r>
        <w:rPr>
          <w:rFonts w:hint="eastAsia"/>
          <w:color w:val="auto"/>
          <w:highlight w:val="none"/>
        </w:rPr>
        <w:t>六、投标人基本情况说明</w:t>
      </w:r>
      <w:bookmarkEnd w:id="287"/>
      <w:bookmarkEnd w:id="288"/>
    </w:p>
    <w:p w14:paraId="756735C5">
      <w:pPr>
        <w:shd w:val="clear"/>
        <w:rPr>
          <w:rFonts w:ascii="宋体" w:hAnsi="宋体" w:cs="宋体"/>
          <w:color w:val="auto"/>
          <w:szCs w:val="21"/>
          <w:highlight w:val="none"/>
        </w:rPr>
      </w:pPr>
      <w:r>
        <w:rPr>
          <w:rFonts w:hint="eastAsia" w:ascii="宋体" w:hAnsi="宋体" w:cs="宋体"/>
          <w:color w:val="auto"/>
          <w:szCs w:val="21"/>
          <w:highlight w:val="none"/>
        </w:rPr>
        <w:t>一、投标人基本情况</w:t>
      </w:r>
    </w:p>
    <w:p w14:paraId="086A28D9">
      <w:pPr>
        <w:shd w:val="clea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4542F5BE">
      <w:pPr>
        <w:shd w:val="clea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14:paraId="711D73FA">
      <w:pPr>
        <w:shd w:val="clea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14:paraId="4F1D6360">
      <w:pPr>
        <w:shd w:val="clea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14:paraId="5E1E1B3F">
      <w:pPr>
        <w:shd w:val="clea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26035FD0">
      <w:pPr>
        <w:shd w:val="clea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707722A6">
      <w:pPr>
        <w:shd w:val="clear"/>
        <w:rPr>
          <w:rFonts w:ascii="宋体" w:hAnsi="宋体" w:cs="宋体"/>
          <w:color w:val="auto"/>
          <w:szCs w:val="21"/>
          <w:highlight w:val="none"/>
        </w:rPr>
      </w:pPr>
      <w:r>
        <w:rPr>
          <w:rFonts w:hint="eastAsia" w:ascii="宋体" w:hAnsi="宋体" w:cs="宋体"/>
          <w:color w:val="auto"/>
          <w:szCs w:val="21"/>
          <w:highlight w:val="none"/>
        </w:rPr>
        <w:t>7、投标人简介:</w:t>
      </w:r>
    </w:p>
    <w:p w14:paraId="1490B2B6">
      <w:pPr>
        <w:shd w:val="clear"/>
        <w:rPr>
          <w:rFonts w:ascii="宋体" w:hAnsi="宋体" w:cs="宋体"/>
          <w:b/>
          <w:color w:val="auto"/>
          <w:szCs w:val="21"/>
          <w:highlight w:val="none"/>
        </w:rPr>
      </w:pPr>
    </w:p>
    <w:p w14:paraId="3EA7F530">
      <w:pPr>
        <w:pStyle w:val="8"/>
        <w:shd w:val="clear"/>
        <w:rPr>
          <w:b/>
          <w:color w:val="auto"/>
          <w:sz w:val="21"/>
          <w:szCs w:val="21"/>
          <w:highlight w:val="none"/>
        </w:rPr>
      </w:pPr>
    </w:p>
    <w:p w14:paraId="64BA921A">
      <w:pPr>
        <w:shd w:val="clear"/>
        <w:rPr>
          <w:color w:val="auto"/>
          <w:highlight w:val="none"/>
        </w:rPr>
      </w:pPr>
    </w:p>
    <w:p w14:paraId="29D525DC">
      <w:pPr>
        <w:shd w:val="clear"/>
        <w:rPr>
          <w:rFonts w:ascii="宋体" w:hAnsi="宋体" w:cs="宋体"/>
          <w:b/>
          <w:color w:val="auto"/>
          <w:szCs w:val="21"/>
          <w:highlight w:val="none"/>
        </w:rPr>
      </w:pPr>
    </w:p>
    <w:p w14:paraId="7B4AF85C">
      <w:pPr>
        <w:shd w:val="clea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6D409C32">
      <w:pPr>
        <w:shd w:val="clear"/>
        <w:rPr>
          <w:rFonts w:ascii="宋体" w:hAnsi="宋体" w:cs="宋体"/>
          <w:color w:val="auto"/>
          <w:szCs w:val="21"/>
          <w:highlight w:val="none"/>
        </w:rPr>
      </w:pPr>
      <w:r>
        <w:rPr>
          <w:rFonts w:hint="eastAsia" w:ascii="宋体" w:hAnsi="宋体" w:cs="宋体"/>
          <w:color w:val="auto"/>
          <w:szCs w:val="21"/>
          <w:highlight w:val="none"/>
        </w:rPr>
        <w:t>日      期：</w:t>
      </w:r>
    </w:p>
    <w:p w14:paraId="6EF9F305">
      <w:pPr>
        <w:pStyle w:val="38"/>
        <w:shd w:val="clear"/>
        <w:spacing w:line="500" w:lineRule="atLeast"/>
        <w:ind w:firstLine="433"/>
        <w:rPr>
          <w:rFonts w:ascii="宋体" w:eastAsia="宋体"/>
          <w:color w:val="auto"/>
          <w:sz w:val="21"/>
          <w:szCs w:val="21"/>
          <w:highlight w:val="none"/>
        </w:rPr>
      </w:pPr>
    </w:p>
    <w:p w14:paraId="3D38A866">
      <w:pPr>
        <w:pStyle w:val="38"/>
        <w:shd w:val="clear"/>
        <w:spacing w:line="500" w:lineRule="atLeast"/>
        <w:ind w:firstLine="433"/>
        <w:rPr>
          <w:rFonts w:ascii="宋体" w:eastAsia="宋体"/>
          <w:color w:val="auto"/>
          <w:sz w:val="21"/>
          <w:szCs w:val="21"/>
          <w:highlight w:val="none"/>
        </w:rPr>
      </w:pPr>
    </w:p>
    <w:p w14:paraId="4BA3233B">
      <w:pPr>
        <w:pStyle w:val="38"/>
        <w:shd w:val="clear"/>
        <w:spacing w:line="500" w:lineRule="atLeast"/>
        <w:ind w:firstLine="433"/>
        <w:rPr>
          <w:rFonts w:ascii="宋体" w:eastAsia="宋体"/>
          <w:color w:val="auto"/>
          <w:sz w:val="21"/>
          <w:szCs w:val="21"/>
          <w:highlight w:val="none"/>
        </w:rPr>
      </w:pPr>
    </w:p>
    <w:p w14:paraId="49DBA0FE">
      <w:pPr>
        <w:pStyle w:val="38"/>
        <w:shd w:val="clear"/>
        <w:spacing w:line="500" w:lineRule="atLeast"/>
        <w:ind w:firstLine="433"/>
        <w:rPr>
          <w:rFonts w:ascii="宋体" w:eastAsia="宋体"/>
          <w:color w:val="auto"/>
          <w:sz w:val="21"/>
          <w:szCs w:val="21"/>
          <w:highlight w:val="none"/>
        </w:rPr>
      </w:pPr>
    </w:p>
    <w:p w14:paraId="317D4BBD">
      <w:pPr>
        <w:pStyle w:val="38"/>
        <w:shd w:val="clear"/>
        <w:spacing w:line="500" w:lineRule="atLeast"/>
        <w:ind w:firstLine="433"/>
        <w:rPr>
          <w:rFonts w:ascii="宋体" w:eastAsia="宋体"/>
          <w:color w:val="auto"/>
          <w:sz w:val="21"/>
          <w:szCs w:val="21"/>
          <w:highlight w:val="none"/>
        </w:rPr>
      </w:pPr>
    </w:p>
    <w:p w14:paraId="1CE4DE93">
      <w:pPr>
        <w:pStyle w:val="38"/>
        <w:shd w:val="clear"/>
        <w:spacing w:line="500" w:lineRule="atLeast"/>
        <w:ind w:firstLine="433"/>
        <w:rPr>
          <w:rFonts w:ascii="宋体" w:eastAsia="宋体"/>
          <w:color w:val="auto"/>
          <w:sz w:val="21"/>
          <w:szCs w:val="21"/>
          <w:highlight w:val="none"/>
        </w:rPr>
      </w:pPr>
    </w:p>
    <w:p w14:paraId="732C44DF">
      <w:pPr>
        <w:pStyle w:val="38"/>
        <w:shd w:val="clear"/>
        <w:spacing w:line="500" w:lineRule="atLeast"/>
        <w:ind w:firstLine="433"/>
        <w:rPr>
          <w:rFonts w:ascii="宋体" w:eastAsia="宋体"/>
          <w:color w:val="auto"/>
          <w:sz w:val="21"/>
          <w:szCs w:val="21"/>
          <w:highlight w:val="none"/>
        </w:rPr>
      </w:pPr>
    </w:p>
    <w:p w14:paraId="15E888DF">
      <w:pPr>
        <w:pStyle w:val="38"/>
        <w:shd w:val="clear"/>
        <w:spacing w:line="500" w:lineRule="atLeast"/>
        <w:ind w:firstLine="433"/>
        <w:rPr>
          <w:rFonts w:ascii="宋体" w:eastAsia="宋体"/>
          <w:color w:val="auto"/>
          <w:sz w:val="21"/>
          <w:szCs w:val="21"/>
          <w:highlight w:val="none"/>
        </w:rPr>
      </w:pPr>
    </w:p>
    <w:p w14:paraId="6FFBB731">
      <w:pPr>
        <w:pStyle w:val="38"/>
        <w:shd w:val="clear"/>
        <w:spacing w:line="500" w:lineRule="atLeast"/>
        <w:ind w:firstLine="433"/>
        <w:rPr>
          <w:rFonts w:ascii="宋体" w:eastAsia="宋体"/>
          <w:color w:val="auto"/>
          <w:sz w:val="21"/>
          <w:szCs w:val="21"/>
          <w:highlight w:val="none"/>
        </w:rPr>
      </w:pPr>
    </w:p>
    <w:p w14:paraId="4E3E618B">
      <w:pPr>
        <w:pStyle w:val="38"/>
        <w:shd w:val="clear"/>
        <w:spacing w:line="500" w:lineRule="atLeast"/>
        <w:ind w:firstLine="433"/>
        <w:rPr>
          <w:rFonts w:ascii="宋体" w:eastAsia="宋体"/>
          <w:color w:val="auto"/>
          <w:sz w:val="21"/>
          <w:szCs w:val="21"/>
          <w:highlight w:val="none"/>
        </w:rPr>
      </w:pPr>
    </w:p>
    <w:p w14:paraId="6636AB7B">
      <w:pPr>
        <w:pStyle w:val="38"/>
        <w:shd w:val="clear"/>
        <w:spacing w:line="500" w:lineRule="atLeast"/>
        <w:ind w:firstLine="433"/>
        <w:rPr>
          <w:rFonts w:ascii="宋体" w:eastAsia="宋体"/>
          <w:color w:val="auto"/>
          <w:sz w:val="21"/>
          <w:szCs w:val="21"/>
          <w:highlight w:val="none"/>
        </w:rPr>
      </w:pPr>
    </w:p>
    <w:p w14:paraId="1C331A88">
      <w:pPr>
        <w:pStyle w:val="38"/>
        <w:shd w:val="clear"/>
        <w:spacing w:line="500" w:lineRule="atLeast"/>
        <w:ind w:firstLine="433"/>
        <w:rPr>
          <w:rFonts w:ascii="宋体" w:eastAsia="宋体"/>
          <w:color w:val="auto"/>
          <w:sz w:val="21"/>
          <w:szCs w:val="21"/>
          <w:highlight w:val="none"/>
        </w:rPr>
      </w:pPr>
    </w:p>
    <w:p w14:paraId="6494949F">
      <w:pPr>
        <w:pStyle w:val="38"/>
        <w:shd w:val="clear"/>
        <w:spacing w:line="500" w:lineRule="atLeast"/>
        <w:ind w:firstLine="433"/>
        <w:rPr>
          <w:rFonts w:ascii="宋体" w:eastAsia="宋体"/>
          <w:color w:val="auto"/>
          <w:sz w:val="21"/>
          <w:szCs w:val="21"/>
          <w:highlight w:val="none"/>
        </w:rPr>
      </w:pPr>
    </w:p>
    <w:p w14:paraId="093AE9C6">
      <w:pPr>
        <w:pStyle w:val="4"/>
        <w:shd w:val="clear"/>
        <w:jc w:val="center"/>
        <w:rPr>
          <w:color w:val="auto"/>
          <w:highlight w:val="none"/>
        </w:rPr>
      </w:pPr>
      <w:bookmarkStart w:id="289" w:name="_Toc28067"/>
      <w:bookmarkStart w:id="290" w:name="_Toc4926"/>
      <w:bookmarkStart w:id="291" w:name="_Toc24210"/>
      <w:bookmarkStart w:id="292" w:name="_Toc29995"/>
      <w:bookmarkStart w:id="293" w:name="_Toc1511"/>
      <w:bookmarkStart w:id="294" w:name="_Toc5919"/>
      <w:bookmarkStart w:id="295" w:name="_Toc17470"/>
      <w:r>
        <w:rPr>
          <w:rFonts w:hint="eastAsia"/>
          <w:color w:val="auto"/>
          <w:highlight w:val="none"/>
        </w:rPr>
        <w:t>七、营业执照</w:t>
      </w:r>
      <w:bookmarkEnd w:id="289"/>
      <w:bookmarkEnd w:id="290"/>
      <w:bookmarkEnd w:id="291"/>
      <w:bookmarkEnd w:id="292"/>
      <w:bookmarkEnd w:id="293"/>
      <w:bookmarkEnd w:id="294"/>
      <w:bookmarkEnd w:id="295"/>
    </w:p>
    <w:p w14:paraId="10151C73">
      <w:pPr>
        <w:shd w:val="clea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106DDB30">
      <w:pPr>
        <w:shd w:val="clear"/>
        <w:ind w:firstLine="420" w:firstLineChars="200"/>
        <w:rPr>
          <w:color w:val="auto"/>
          <w:highlight w:val="none"/>
        </w:rPr>
      </w:pPr>
      <w:r>
        <w:rPr>
          <w:rFonts w:hint="eastAsia"/>
          <w:color w:val="auto"/>
          <w:highlight w:val="none"/>
        </w:rPr>
        <w:t>供应商应提供相关证明复印件盖公章。</w:t>
      </w:r>
    </w:p>
    <w:p w14:paraId="7F763AA6">
      <w:pPr>
        <w:shd w:val="clear"/>
        <w:jc w:val="center"/>
        <w:rPr>
          <w:color w:val="auto"/>
          <w:highlight w:val="none"/>
        </w:rPr>
      </w:pPr>
      <w:r>
        <w:rPr>
          <w:rFonts w:hint="eastAsia" w:ascii="黑体" w:eastAsia="黑体"/>
          <w:color w:val="auto"/>
          <w:sz w:val="28"/>
          <w:szCs w:val="28"/>
          <w:highlight w:val="none"/>
        </w:rPr>
        <w:br w:type="page"/>
      </w:r>
    </w:p>
    <w:bookmarkEnd w:id="286"/>
    <w:p w14:paraId="6AE0CDAB">
      <w:pPr>
        <w:pStyle w:val="4"/>
        <w:shd w:val="clear"/>
        <w:jc w:val="center"/>
        <w:rPr>
          <w:color w:val="auto"/>
          <w:highlight w:val="none"/>
        </w:rPr>
      </w:pPr>
      <w:bookmarkStart w:id="296" w:name="_Toc21638"/>
      <w:bookmarkStart w:id="297" w:name="_Toc29439"/>
      <w:r>
        <w:rPr>
          <w:rFonts w:hint="eastAsia"/>
          <w:color w:val="auto"/>
          <w:highlight w:val="none"/>
        </w:rPr>
        <w:t>八、特殊资格要求证明文件</w:t>
      </w:r>
      <w:bookmarkEnd w:id="296"/>
      <w:bookmarkEnd w:id="297"/>
    </w:p>
    <w:p w14:paraId="3E03AC91">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3619D02E">
      <w:pPr>
        <w:pStyle w:val="8"/>
        <w:shd w:val="clear"/>
        <w:rPr>
          <w:color w:val="auto"/>
          <w:sz w:val="21"/>
          <w:szCs w:val="21"/>
          <w:highlight w:val="none"/>
        </w:rPr>
      </w:pPr>
    </w:p>
    <w:p w14:paraId="51BB3772">
      <w:pPr>
        <w:shd w:val="clear"/>
        <w:rPr>
          <w:rFonts w:ascii="宋体" w:hAnsi="宋体" w:cs="宋体"/>
          <w:color w:val="auto"/>
          <w:szCs w:val="21"/>
          <w:highlight w:val="none"/>
        </w:rPr>
      </w:pPr>
    </w:p>
    <w:p w14:paraId="03336C15">
      <w:pPr>
        <w:pStyle w:val="8"/>
        <w:shd w:val="clear"/>
        <w:rPr>
          <w:color w:val="auto"/>
          <w:sz w:val="21"/>
          <w:szCs w:val="21"/>
          <w:highlight w:val="none"/>
        </w:rPr>
      </w:pPr>
    </w:p>
    <w:p w14:paraId="5CFF41DB">
      <w:pPr>
        <w:shd w:val="clear"/>
        <w:rPr>
          <w:rFonts w:ascii="宋体" w:hAnsi="宋体" w:cs="宋体"/>
          <w:color w:val="auto"/>
          <w:szCs w:val="21"/>
          <w:highlight w:val="none"/>
        </w:rPr>
      </w:pPr>
    </w:p>
    <w:p w14:paraId="2081787E">
      <w:pPr>
        <w:pStyle w:val="8"/>
        <w:shd w:val="clear"/>
        <w:rPr>
          <w:color w:val="auto"/>
          <w:sz w:val="21"/>
          <w:szCs w:val="21"/>
          <w:highlight w:val="none"/>
        </w:rPr>
      </w:pPr>
    </w:p>
    <w:p w14:paraId="5F1337E7">
      <w:pPr>
        <w:shd w:val="clear"/>
        <w:rPr>
          <w:rFonts w:ascii="宋体" w:hAnsi="宋体" w:cs="宋体"/>
          <w:color w:val="auto"/>
          <w:szCs w:val="21"/>
          <w:highlight w:val="none"/>
        </w:rPr>
      </w:pPr>
    </w:p>
    <w:p w14:paraId="746AC4E6">
      <w:pPr>
        <w:pStyle w:val="8"/>
        <w:shd w:val="clear"/>
        <w:rPr>
          <w:color w:val="auto"/>
          <w:sz w:val="21"/>
          <w:szCs w:val="21"/>
          <w:highlight w:val="none"/>
        </w:rPr>
      </w:pPr>
    </w:p>
    <w:p w14:paraId="1DBCF2B2">
      <w:pPr>
        <w:shd w:val="clear"/>
        <w:rPr>
          <w:rFonts w:ascii="宋体" w:hAnsi="宋体" w:cs="宋体"/>
          <w:color w:val="auto"/>
          <w:szCs w:val="21"/>
          <w:highlight w:val="none"/>
        </w:rPr>
      </w:pPr>
    </w:p>
    <w:p w14:paraId="4737DFF4">
      <w:pPr>
        <w:pStyle w:val="8"/>
        <w:shd w:val="clear"/>
        <w:rPr>
          <w:color w:val="auto"/>
          <w:sz w:val="21"/>
          <w:szCs w:val="21"/>
          <w:highlight w:val="none"/>
        </w:rPr>
      </w:pPr>
    </w:p>
    <w:p w14:paraId="44CEDDE9">
      <w:pPr>
        <w:shd w:val="clear"/>
        <w:rPr>
          <w:rFonts w:ascii="宋体" w:hAnsi="宋体" w:cs="宋体"/>
          <w:color w:val="auto"/>
          <w:szCs w:val="21"/>
          <w:highlight w:val="none"/>
        </w:rPr>
      </w:pPr>
    </w:p>
    <w:p w14:paraId="08387B36">
      <w:pPr>
        <w:pStyle w:val="8"/>
        <w:shd w:val="clear"/>
        <w:rPr>
          <w:color w:val="auto"/>
          <w:sz w:val="21"/>
          <w:szCs w:val="21"/>
          <w:highlight w:val="none"/>
        </w:rPr>
      </w:pPr>
    </w:p>
    <w:p w14:paraId="3B113F8F">
      <w:pPr>
        <w:shd w:val="clear"/>
        <w:rPr>
          <w:rFonts w:ascii="宋体" w:hAnsi="宋体" w:cs="宋体"/>
          <w:color w:val="auto"/>
          <w:szCs w:val="21"/>
          <w:highlight w:val="none"/>
        </w:rPr>
      </w:pPr>
    </w:p>
    <w:p w14:paraId="1E01177E">
      <w:pPr>
        <w:pStyle w:val="8"/>
        <w:shd w:val="clear"/>
        <w:rPr>
          <w:color w:val="auto"/>
          <w:sz w:val="21"/>
          <w:szCs w:val="21"/>
          <w:highlight w:val="none"/>
        </w:rPr>
      </w:pPr>
    </w:p>
    <w:p w14:paraId="0E1ED427">
      <w:pPr>
        <w:shd w:val="clear"/>
        <w:rPr>
          <w:rFonts w:ascii="宋体" w:hAnsi="宋体" w:cs="宋体"/>
          <w:color w:val="auto"/>
          <w:szCs w:val="21"/>
          <w:highlight w:val="none"/>
        </w:rPr>
      </w:pPr>
    </w:p>
    <w:p w14:paraId="7E338640">
      <w:pPr>
        <w:pStyle w:val="8"/>
        <w:shd w:val="clear"/>
        <w:rPr>
          <w:color w:val="auto"/>
          <w:sz w:val="21"/>
          <w:szCs w:val="21"/>
          <w:highlight w:val="none"/>
        </w:rPr>
      </w:pPr>
    </w:p>
    <w:p w14:paraId="20CE225B">
      <w:pPr>
        <w:shd w:val="clear"/>
        <w:rPr>
          <w:rFonts w:ascii="宋体" w:hAnsi="宋体" w:cs="宋体"/>
          <w:color w:val="auto"/>
          <w:szCs w:val="21"/>
          <w:highlight w:val="none"/>
        </w:rPr>
      </w:pPr>
    </w:p>
    <w:p w14:paraId="3941D2D4">
      <w:pPr>
        <w:pStyle w:val="8"/>
        <w:shd w:val="clear"/>
        <w:rPr>
          <w:color w:val="auto"/>
          <w:sz w:val="21"/>
          <w:szCs w:val="21"/>
          <w:highlight w:val="none"/>
        </w:rPr>
      </w:pPr>
    </w:p>
    <w:p w14:paraId="3D03DEAC">
      <w:pPr>
        <w:shd w:val="clear"/>
        <w:rPr>
          <w:rFonts w:ascii="宋体" w:hAnsi="宋体" w:cs="宋体"/>
          <w:color w:val="auto"/>
          <w:szCs w:val="21"/>
          <w:highlight w:val="none"/>
        </w:rPr>
      </w:pPr>
    </w:p>
    <w:p w14:paraId="674E80A2">
      <w:pPr>
        <w:pStyle w:val="8"/>
        <w:shd w:val="clear"/>
        <w:rPr>
          <w:color w:val="auto"/>
          <w:sz w:val="21"/>
          <w:szCs w:val="21"/>
          <w:highlight w:val="none"/>
        </w:rPr>
      </w:pPr>
    </w:p>
    <w:p w14:paraId="4F098E2E">
      <w:pPr>
        <w:shd w:val="clear"/>
        <w:rPr>
          <w:rFonts w:ascii="宋体" w:hAnsi="宋体" w:cs="宋体"/>
          <w:color w:val="auto"/>
          <w:szCs w:val="21"/>
          <w:highlight w:val="none"/>
        </w:rPr>
      </w:pPr>
    </w:p>
    <w:p w14:paraId="534E4C0B">
      <w:pPr>
        <w:pStyle w:val="8"/>
        <w:shd w:val="clear"/>
        <w:rPr>
          <w:color w:val="auto"/>
          <w:sz w:val="21"/>
          <w:szCs w:val="21"/>
          <w:highlight w:val="none"/>
        </w:rPr>
      </w:pPr>
    </w:p>
    <w:p w14:paraId="786046DA">
      <w:pPr>
        <w:shd w:val="clear"/>
        <w:rPr>
          <w:rFonts w:ascii="宋体" w:hAnsi="宋体" w:cs="宋体"/>
          <w:color w:val="auto"/>
          <w:szCs w:val="21"/>
          <w:highlight w:val="none"/>
        </w:rPr>
      </w:pPr>
    </w:p>
    <w:p w14:paraId="6CD9B133">
      <w:pPr>
        <w:pStyle w:val="8"/>
        <w:shd w:val="clear"/>
        <w:rPr>
          <w:color w:val="auto"/>
          <w:sz w:val="21"/>
          <w:szCs w:val="21"/>
          <w:highlight w:val="none"/>
        </w:rPr>
      </w:pPr>
    </w:p>
    <w:p w14:paraId="06AB3A0B">
      <w:pPr>
        <w:shd w:val="clear"/>
        <w:rPr>
          <w:rFonts w:ascii="宋体" w:hAnsi="宋体" w:cs="宋体"/>
          <w:color w:val="auto"/>
          <w:szCs w:val="21"/>
          <w:highlight w:val="none"/>
        </w:rPr>
      </w:pPr>
    </w:p>
    <w:p w14:paraId="5EEBCF5E">
      <w:pPr>
        <w:pStyle w:val="8"/>
        <w:shd w:val="clear"/>
        <w:rPr>
          <w:color w:val="auto"/>
          <w:highlight w:val="none"/>
        </w:rPr>
      </w:pPr>
    </w:p>
    <w:p w14:paraId="171F5C25">
      <w:pPr>
        <w:pStyle w:val="4"/>
        <w:shd w:val="clear"/>
        <w:jc w:val="center"/>
        <w:rPr>
          <w:color w:val="auto"/>
          <w:highlight w:val="none"/>
        </w:rPr>
      </w:pPr>
      <w:bookmarkStart w:id="298" w:name="_Toc14263"/>
      <w:bookmarkStart w:id="299" w:name="_Toc23341"/>
      <w:r>
        <w:rPr>
          <w:rFonts w:hint="eastAsia"/>
          <w:color w:val="auto"/>
          <w:highlight w:val="none"/>
        </w:rPr>
        <w:t>九、承诺书</w:t>
      </w:r>
      <w:bookmarkEnd w:id="298"/>
      <w:bookmarkEnd w:id="299"/>
    </w:p>
    <w:p w14:paraId="5D43C15D">
      <w:pPr>
        <w:pStyle w:val="38"/>
        <w:shd w:val="clear"/>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260EA5C3">
      <w:pPr>
        <w:shd w:val="clear"/>
        <w:jc w:val="center"/>
        <w:rPr>
          <w:rFonts w:ascii="宋体" w:hAnsi="宋体" w:cs="宋体"/>
          <w:color w:val="auto"/>
          <w:szCs w:val="21"/>
          <w:highlight w:val="none"/>
        </w:rPr>
      </w:pPr>
    </w:p>
    <w:p w14:paraId="07FEA0BC">
      <w:pPr>
        <w:pStyle w:val="38"/>
        <w:shd w:val="clear"/>
        <w:spacing w:line="420" w:lineRule="exact"/>
        <w:ind w:firstLine="433"/>
        <w:rPr>
          <w:rFonts w:ascii="宋体" w:eastAsia="宋体" w:cs="宋体"/>
          <w:color w:val="auto"/>
          <w:sz w:val="21"/>
          <w:szCs w:val="21"/>
          <w:highlight w:val="none"/>
        </w:rPr>
      </w:pPr>
      <w:bookmarkStart w:id="300"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0"/>
      <w:r>
        <w:rPr>
          <w:rFonts w:hint="eastAsia" w:ascii="宋体" w:eastAsia="宋体" w:cs="宋体"/>
          <w:color w:val="auto"/>
          <w:sz w:val="21"/>
          <w:szCs w:val="21"/>
          <w:highlight w:val="none"/>
        </w:rPr>
        <w:cr/>
      </w:r>
    </w:p>
    <w:p w14:paraId="3BED2F31">
      <w:pPr>
        <w:pStyle w:val="38"/>
        <w:shd w:val="clear"/>
        <w:spacing w:line="420" w:lineRule="exact"/>
        <w:ind w:firstLine="433"/>
        <w:rPr>
          <w:rFonts w:ascii="宋体" w:eastAsia="宋体" w:cs="宋体"/>
          <w:color w:val="auto"/>
          <w:sz w:val="21"/>
          <w:szCs w:val="21"/>
          <w:highlight w:val="none"/>
        </w:rPr>
      </w:pPr>
    </w:p>
    <w:p w14:paraId="3C4CEB67">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78FE0FE0">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54D28C18">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730265C1">
      <w:pPr>
        <w:pStyle w:val="8"/>
        <w:shd w:val="clear"/>
        <w:rPr>
          <w:color w:val="auto"/>
          <w:sz w:val="21"/>
          <w:szCs w:val="21"/>
          <w:highlight w:val="none"/>
        </w:rPr>
      </w:pPr>
    </w:p>
    <w:p w14:paraId="623E75C4">
      <w:pPr>
        <w:shd w:val="clear"/>
        <w:rPr>
          <w:rFonts w:ascii="宋体" w:hAnsi="宋体" w:cs="宋体"/>
          <w:color w:val="auto"/>
          <w:szCs w:val="21"/>
          <w:highlight w:val="none"/>
        </w:rPr>
      </w:pPr>
    </w:p>
    <w:p w14:paraId="78BF2D2B">
      <w:pPr>
        <w:pStyle w:val="8"/>
        <w:shd w:val="clear"/>
        <w:rPr>
          <w:color w:val="auto"/>
          <w:sz w:val="21"/>
          <w:szCs w:val="21"/>
          <w:highlight w:val="none"/>
        </w:rPr>
      </w:pPr>
    </w:p>
    <w:p w14:paraId="2CD5ADA3">
      <w:pPr>
        <w:shd w:val="clear"/>
        <w:rPr>
          <w:rFonts w:ascii="宋体" w:hAnsi="宋体" w:cs="宋体"/>
          <w:color w:val="auto"/>
          <w:szCs w:val="21"/>
          <w:highlight w:val="none"/>
        </w:rPr>
      </w:pPr>
    </w:p>
    <w:p w14:paraId="60D918A5">
      <w:pPr>
        <w:pStyle w:val="8"/>
        <w:shd w:val="clear"/>
        <w:rPr>
          <w:color w:val="auto"/>
          <w:sz w:val="21"/>
          <w:szCs w:val="21"/>
          <w:highlight w:val="none"/>
        </w:rPr>
      </w:pPr>
    </w:p>
    <w:p w14:paraId="74A0B678">
      <w:pPr>
        <w:shd w:val="clear"/>
        <w:rPr>
          <w:rFonts w:ascii="宋体" w:hAnsi="宋体" w:cs="宋体"/>
          <w:color w:val="auto"/>
          <w:szCs w:val="21"/>
          <w:highlight w:val="none"/>
        </w:rPr>
      </w:pPr>
    </w:p>
    <w:p w14:paraId="12506FD0">
      <w:pPr>
        <w:pStyle w:val="8"/>
        <w:shd w:val="clear"/>
        <w:rPr>
          <w:color w:val="auto"/>
          <w:sz w:val="21"/>
          <w:szCs w:val="21"/>
          <w:highlight w:val="none"/>
        </w:rPr>
      </w:pPr>
    </w:p>
    <w:p w14:paraId="485434FC">
      <w:pPr>
        <w:shd w:val="clear"/>
        <w:rPr>
          <w:rFonts w:ascii="宋体" w:hAnsi="宋体" w:cs="宋体"/>
          <w:color w:val="auto"/>
          <w:szCs w:val="21"/>
          <w:highlight w:val="none"/>
        </w:rPr>
      </w:pPr>
    </w:p>
    <w:p w14:paraId="1110890F">
      <w:pPr>
        <w:pStyle w:val="8"/>
        <w:shd w:val="clear"/>
        <w:rPr>
          <w:color w:val="auto"/>
          <w:sz w:val="21"/>
          <w:szCs w:val="21"/>
          <w:highlight w:val="none"/>
        </w:rPr>
      </w:pPr>
    </w:p>
    <w:p w14:paraId="61ED715B">
      <w:pPr>
        <w:shd w:val="clear"/>
        <w:rPr>
          <w:rFonts w:ascii="宋体" w:hAnsi="宋体" w:cs="宋体"/>
          <w:color w:val="auto"/>
          <w:szCs w:val="21"/>
          <w:highlight w:val="none"/>
        </w:rPr>
      </w:pPr>
    </w:p>
    <w:p w14:paraId="4A23C6D2">
      <w:pPr>
        <w:pStyle w:val="8"/>
        <w:shd w:val="clear"/>
        <w:rPr>
          <w:color w:val="auto"/>
          <w:sz w:val="21"/>
          <w:szCs w:val="21"/>
          <w:highlight w:val="none"/>
        </w:rPr>
      </w:pPr>
    </w:p>
    <w:p w14:paraId="59AB2400">
      <w:pPr>
        <w:shd w:val="clear"/>
        <w:rPr>
          <w:rFonts w:ascii="宋体" w:hAnsi="宋体" w:cs="宋体"/>
          <w:color w:val="auto"/>
          <w:szCs w:val="21"/>
          <w:highlight w:val="none"/>
        </w:rPr>
      </w:pPr>
    </w:p>
    <w:p w14:paraId="2A9BA432">
      <w:pPr>
        <w:pStyle w:val="8"/>
        <w:shd w:val="clear"/>
        <w:rPr>
          <w:color w:val="auto"/>
          <w:sz w:val="21"/>
          <w:szCs w:val="21"/>
          <w:highlight w:val="none"/>
        </w:rPr>
      </w:pPr>
    </w:p>
    <w:p w14:paraId="196CA489">
      <w:pPr>
        <w:shd w:val="clear"/>
        <w:rPr>
          <w:rFonts w:ascii="宋体" w:hAnsi="宋体" w:cs="宋体"/>
          <w:color w:val="auto"/>
          <w:szCs w:val="21"/>
          <w:highlight w:val="none"/>
        </w:rPr>
      </w:pPr>
    </w:p>
    <w:p w14:paraId="51BBBD25">
      <w:pPr>
        <w:pStyle w:val="8"/>
        <w:shd w:val="clear"/>
        <w:rPr>
          <w:color w:val="auto"/>
          <w:sz w:val="21"/>
          <w:szCs w:val="21"/>
          <w:highlight w:val="none"/>
        </w:rPr>
      </w:pPr>
    </w:p>
    <w:p w14:paraId="20BD35F0">
      <w:pPr>
        <w:shd w:val="clear"/>
        <w:rPr>
          <w:rFonts w:ascii="宋体" w:hAnsi="宋体" w:cs="宋体"/>
          <w:color w:val="auto"/>
          <w:szCs w:val="21"/>
          <w:highlight w:val="none"/>
        </w:rPr>
      </w:pPr>
    </w:p>
    <w:p w14:paraId="03066324">
      <w:pPr>
        <w:shd w:val="clear"/>
        <w:rPr>
          <w:color w:val="auto"/>
          <w:highlight w:val="none"/>
        </w:rPr>
      </w:pPr>
    </w:p>
    <w:p w14:paraId="45D9BBC4">
      <w:pPr>
        <w:pStyle w:val="4"/>
        <w:shd w:val="clear"/>
        <w:jc w:val="center"/>
        <w:rPr>
          <w:color w:val="auto"/>
          <w:highlight w:val="none"/>
        </w:rPr>
      </w:pPr>
      <w:bookmarkStart w:id="301" w:name="_Toc13653"/>
      <w:bookmarkStart w:id="302" w:name="_Toc13955"/>
      <w:r>
        <w:rPr>
          <w:rFonts w:hint="eastAsia"/>
          <w:color w:val="auto"/>
          <w:highlight w:val="none"/>
        </w:rPr>
        <w:t>十、招标代理服务费承诺书</w:t>
      </w:r>
      <w:bookmarkEnd w:id="301"/>
      <w:bookmarkEnd w:id="302"/>
    </w:p>
    <w:p w14:paraId="17DD60DE">
      <w:pPr>
        <w:pStyle w:val="38"/>
        <w:shd w:val="clear"/>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1FFD41D0">
      <w:pPr>
        <w:pStyle w:val="11"/>
        <w:shd w:val="clear"/>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2D7C4D3D">
      <w:pPr>
        <w:shd w:val="clear"/>
        <w:ind w:firstLine="420" w:firstLineChars="200"/>
        <w:rPr>
          <w:color w:val="auto"/>
          <w:highlight w:val="none"/>
        </w:rPr>
      </w:pPr>
      <w:r>
        <w:rPr>
          <w:rFonts w:hint="eastAsia"/>
          <w:color w:val="auto"/>
          <w:highlight w:val="none"/>
        </w:rPr>
        <w:t>特此承诺。</w:t>
      </w:r>
    </w:p>
    <w:p w14:paraId="0B2791D4">
      <w:pPr>
        <w:shd w:val="clear"/>
        <w:jc w:val="center"/>
        <w:rPr>
          <w:rFonts w:ascii="宋体" w:hAnsi="宋体" w:cs="宋体"/>
          <w:color w:val="auto"/>
          <w:szCs w:val="21"/>
          <w:highlight w:val="none"/>
        </w:rPr>
      </w:pPr>
    </w:p>
    <w:p w14:paraId="6B14FE64">
      <w:pPr>
        <w:shd w:val="clear"/>
        <w:rPr>
          <w:color w:val="auto"/>
          <w:highlight w:val="none"/>
        </w:rPr>
      </w:pPr>
    </w:p>
    <w:p w14:paraId="6E75F700">
      <w:pPr>
        <w:shd w:val="clea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A0D1490">
      <w:pPr>
        <w:shd w:val="clea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251ED47B">
      <w:pPr>
        <w:shd w:val="clea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2BAE5337">
      <w:pPr>
        <w:shd w:val="clea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11D44297">
      <w:pPr>
        <w:pStyle w:val="4"/>
        <w:shd w:val="clear"/>
        <w:jc w:val="center"/>
        <w:rPr>
          <w:color w:val="auto"/>
          <w:highlight w:val="none"/>
        </w:rPr>
      </w:pPr>
      <w:bookmarkStart w:id="303" w:name="_Toc1975"/>
      <w:bookmarkStart w:id="304" w:name="_Toc12598"/>
      <w:r>
        <w:rPr>
          <w:rFonts w:hint="eastAsia"/>
          <w:color w:val="auto"/>
          <w:highlight w:val="none"/>
        </w:rPr>
        <w:t>十一、商务条款偏离表</w:t>
      </w:r>
      <w:bookmarkEnd w:id="303"/>
      <w:bookmarkEnd w:id="304"/>
    </w:p>
    <w:tbl>
      <w:tblPr>
        <w:tblStyle w:val="25"/>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427D7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597BBCC6">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1CB3D06A">
            <w:pPr>
              <w:shd w:val="clea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3F8D369E">
            <w:pPr>
              <w:shd w:val="clea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1EA5798E">
            <w:pPr>
              <w:shd w:val="clea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6640DCC6">
            <w:pPr>
              <w:shd w:val="clea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2D260507">
            <w:pPr>
              <w:shd w:val="clear"/>
              <w:jc w:val="center"/>
              <w:rPr>
                <w:rFonts w:ascii="宋体" w:hAnsi="宋体"/>
                <w:color w:val="auto"/>
                <w:szCs w:val="21"/>
                <w:highlight w:val="none"/>
              </w:rPr>
            </w:pPr>
            <w:r>
              <w:rPr>
                <w:rFonts w:hint="eastAsia" w:ascii="宋体" w:hAnsi="宋体"/>
                <w:color w:val="auto"/>
                <w:szCs w:val="21"/>
                <w:highlight w:val="none"/>
              </w:rPr>
              <w:t>说明</w:t>
            </w:r>
          </w:p>
        </w:tc>
      </w:tr>
      <w:tr w14:paraId="6E633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3C0A6D9">
            <w:pPr>
              <w:shd w:val="clear"/>
              <w:jc w:val="center"/>
              <w:rPr>
                <w:rFonts w:ascii="宋体" w:hAnsi="宋体"/>
                <w:color w:val="auto"/>
                <w:szCs w:val="21"/>
                <w:highlight w:val="none"/>
              </w:rPr>
            </w:pPr>
          </w:p>
        </w:tc>
        <w:tc>
          <w:tcPr>
            <w:tcW w:w="1590" w:type="dxa"/>
            <w:tcBorders>
              <w:tl2br w:val="nil"/>
              <w:tr2bl w:val="nil"/>
            </w:tcBorders>
            <w:vAlign w:val="center"/>
          </w:tcPr>
          <w:p w14:paraId="130E9A9F">
            <w:pPr>
              <w:shd w:val="clear"/>
              <w:jc w:val="center"/>
              <w:rPr>
                <w:rFonts w:ascii="宋体" w:hAnsi="宋体"/>
                <w:color w:val="auto"/>
                <w:szCs w:val="21"/>
                <w:highlight w:val="none"/>
              </w:rPr>
            </w:pPr>
          </w:p>
        </w:tc>
        <w:tc>
          <w:tcPr>
            <w:tcW w:w="1755" w:type="dxa"/>
            <w:tcBorders>
              <w:tl2br w:val="nil"/>
              <w:tr2bl w:val="nil"/>
            </w:tcBorders>
            <w:vAlign w:val="center"/>
          </w:tcPr>
          <w:p w14:paraId="500987D6">
            <w:pPr>
              <w:shd w:val="clear"/>
              <w:jc w:val="center"/>
              <w:rPr>
                <w:rFonts w:ascii="宋体" w:hAnsi="宋体"/>
                <w:color w:val="auto"/>
                <w:szCs w:val="21"/>
                <w:highlight w:val="none"/>
              </w:rPr>
            </w:pPr>
          </w:p>
        </w:tc>
        <w:tc>
          <w:tcPr>
            <w:tcW w:w="1920" w:type="dxa"/>
            <w:tcBorders>
              <w:tl2br w:val="nil"/>
              <w:tr2bl w:val="nil"/>
            </w:tcBorders>
            <w:vAlign w:val="center"/>
          </w:tcPr>
          <w:p w14:paraId="7884293C">
            <w:pPr>
              <w:shd w:val="clear"/>
              <w:jc w:val="center"/>
              <w:rPr>
                <w:rFonts w:ascii="宋体" w:hAnsi="宋体"/>
                <w:color w:val="auto"/>
                <w:szCs w:val="21"/>
                <w:highlight w:val="none"/>
              </w:rPr>
            </w:pPr>
          </w:p>
        </w:tc>
        <w:tc>
          <w:tcPr>
            <w:tcW w:w="1412" w:type="dxa"/>
            <w:tcBorders>
              <w:tl2br w:val="nil"/>
              <w:tr2bl w:val="nil"/>
            </w:tcBorders>
            <w:vAlign w:val="center"/>
          </w:tcPr>
          <w:p w14:paraId="4957C68E">
            <w:pPr>
              <w:shd w:val="clear"/>
              <w:jc w:val="center"/>
              <w:rPr>
                <w:rFonts w:ascii="宋体" w:hAnsi="宋体"/>
                <w:color w:val="auto"/>
                <w:szCs w:val="21"/>
                <w:highlight w:val="none"/>
              </w:rPr>
            </w:pPr>
          </w:p>
        </w:tc>
        <w:tc>
          <w:tcPr>
            <w:tcW w:w="867" w:type="dxa"/>
            <w:tcBorders>
              <w:tl2br w:val="nil"/>
              <w:tr2bl w:val="nil"/>
            </w:tcBorders>
            <w:vAlign w:val="center"/>
          </w:tcPr>
          <w:p w14:paraId="3E91244A">
            <w:pPr>
              <w:shd w:val="clear"/>
              <w:jc w:val="center"/>
              <w:rPr>
                <w:rFonts w:ascii="宋体" w:hAnsi="宋体"/>
                <w:color w:val="auto"/>
                <w:szCs w:val="21"/>
                <w:highlight w:val="none"/>
              </w:rPr>
            </w:pPr>
          </w:p>
        </w:tc>
      </w:tr>
      <w:tr w14:paraId="4405A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2BCB9F3">
            <w:pPr>
              <w:shd w:val="clear"/>
              <w:jc w:val="center"/>
              <w:rPr>
                <w:rFonts w:ascii="宋体" w:hAnsi="宋体"/>
                <w:color w:val="auto"/>
                <w:szCs w:val="21"/>
                <w:highlight w:val="none"/>
              </w:rPr>
            </w:pPr>
          </w:p>
        </w:tc>
        <w:tc>
          <w:tcPr>
            <w:tcW w:w="1590" w:type="dxa"/>
            <w:tcBorders>
              <w:tl2br w:val="nil"/>
              <w:tr2bl w:val="nil"/>
            </w:tcBorders>
            <w:vAlign w:val="center"/>
          </w:tcPr>
          <w:p w14:paraId="69E514BA">
            <w:pPr>
              <w:shd w:val="clear"/>
              <w:jc w:val="center"/>
              <w:rPr>
                <w:rFonts w:ascii="宋体" w:hAnsi="宋体"/>
                <w:color w:val="auto"/>
                <w:szCs w:val="21"/>
                <w:highlight w:val="none"/>
              </w:rPr>
            </w:pPr>
          </w:p>
        </w:tc>
        <w:tc>
          <w:tcPr>
            <w:tcW w:w="1755" w:type="dxa"/>
            <w:tcBorders>
              <w:tl2br w:val="nil"/>
              <w:tr2bl w:val="nil"/>
            </w:tcBorders>
            <w:vAlign w:val="center"/>
          </w:tcPr>
          <w:p w14:paraId="723720D4">
            <w:pPr>
              <w:shd w:val="clear"/>
              <w:jc w:val="center"/>
              <w:rPr>
                <w:rFonts w:ascii="宋体" w:hAnsi="宋体"/>
                <w:color w:val="auto"/>
                <w:szCs w:val="21"/>
                <w:highlight w:val="none"/>
              </w:rPr>
            </w:pPr>
          </w:p>
        </w:tc>
        <w:tc>
          <w:tcPr>
            <w:tcW w:w="1920" w:type="dxa"/>
            <w:tcBorders>
              <w:tl2br w:val="nil"/>
              <w:tr2bl w:val="nil"/>
            </w:tcBorders>
            <w:vAlign w:val="center"/>
          </w:tcPr>
          <w:p w14:paraId="47819C9D">
            <w:pPr>
              <w:shd w:val="clear"/>
              <w:jc w:val="center"/>
              <w:rPr>
                <w:rFonts w:ascii="宋体" w:hAnsi="宋体"/>
                <w:color w:val="auto"/>
                <w:szCs w:val="21"/>
                <w:highlight w:val="none"/>
              </w:rPr>
            </w:pPr>
          </w:p>
        </w:tc>
        <w:tc>
          <w:tcPr>
            <w:tcW w:w="1412" w:type="dxa"/>
            <w:tcBorders>
              <w:tl2br w:val="nil"/>
              <w:tr2bl w:val="nil"/>
            </w:tcBorders>
            <w:vAlign w:val="center"/>
          </w:tcPr>
          <w:p w14:paraId="2F7190C8">
            <w:pPr>
              <w:shd w:val="clear"/>
              <w:jc w:val="center"/>
              <w:rPr>
                <w:rFonts w:ascii="宋体" w:hAnsi="宋体"/>
                <w:color w:val="auto"/>
                <w:szCs w:val="21"/>
                <w:highlight w:val="none"/>
              </w:rPr>
            </w:pPr>
          </w:p>
        </w:tc>
        <w:tc>
          <w:tcPr>
            <w:tcW w:w="867" w:type="dxa"/>
            <w:tcBorders>
              <w:tl2br w:val="nil"/>
              <w:tr2bl w:val="nil"/>
            </w:tcBorders>
            <w:vAlign w:val="center"/>
          </w:tcPr>
          <w:p w14:paraId="2338C476">
            <w:pPr>
              <w:shd w:val="clear"/>
              <w:jc w:val="center"/>
              <w:rPr>
                <w:rFonts w:ascii="宋体" w:hAnsi="宋体"/>
                <w:color w:val="auto"/>
                <w:szCs w:val="21"/>
                <w:highlight w:val="none"/>
              </w:rPr>
            </w:pPr>
          </w:p>
        </w:tc>
      </w:tr>
      <w:tr w14:paraId="24C292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94D7A54">
            <w:pPr>
              <w:shd w:val="clear"/>
              <w:jc w:val="center"/>
              <w:rPr>
                <w:rFonts w:ascii="宋体" w:hAnsi="宋体"/>
                <w:color w:val="auto"/>
                <w:szCs w:val="21"/>
                <w:highlight w:val="none"/>
              </w:rPr>
            </w:pPr>
          </w:p>
        </w:tc>
        <w:tc>
          <w:tcPr>
            <w:tcW w:w="1590" w:type="dxa"/>
            <w:tcBorders>
              <w:tl2br w:val="nil"/>
              <w:tr2bl w:val="nil"/>
            </w:tcBorders>
            <w:vAlign w:val="center"/>
          </w:tcPr>
          <w:p w14:paraId="49BC905C">
            <w:pPr>
              <w:shd w:val="clear"/>
              <w:jc w:val="center"/>
              <w:rPr>
                <w:rFonts w:ascii="宋体" w:hAnsi="宋体"/>
                <w:color w:val="auto"/>
                <w:szCs w:val="21"/>
                <w:highlight w:val="none"/>
              </w:rPr>
            </w:pPr>
          </w:p>
        </w:tc>
        <w:tc>
          <w:tcPr>
            <w:tcW w:w="1755" w:type="dxa"/>
            <w:tcBorders>
              <w:tl2br w:val="nil"/>
              <w:tr2bl w:val="nil"/>
            </w:tcBorders>
            <w:vAlign w:val="center"/>
          </w:tcPr>
          <w:p w14:paraId="50B227CC">
            <w:pPr>
              <w:shd w:val="clear"/>
              <w:jc w:val="center"/>
              <w:rPr>
                <w:rFonts w:ascii="宋体" w:hAnsi="宋体"/>
                <w:color w:val="auto"/>
                <w:szCs w:val="21"/>
                <w:highlight w:val="none"/>
              </w:rPr>
            </w:pPr>
          </w:p>
        </w:tc>
        <w:tc>
          <w:tcPr>
            <w:tcW w:w="1920" w:type="dxa"/>
            <w:tcBorders>
              <w:tl2br w:val="nil"/>
              <w:tr2bl w:val="nil"/>
            </w:tcBorders>
            <w:vAlign w:val="center"/>
          </w:tcPr>
          <w:p w14:paraId="6CD33F3B">
            <w:pPr>
              <w:shd w:val="clear"/>
              <w:jc w:val="center"/>
              <w:rPr>
                <w:rFonts w:ascii="宋体" w:hAnsi="宋体"/>
                <w:color w:val="auto"/>
                <w:szCs w:val="21"/>
                <w:highlight w:val="none"/>
              </w:rPr>
            </w:pPr>
          </w:p>
        </w:tc>
        <w:tc>
          <w:tcPr>
            <w:tcW w:w="1412" w:type="dxa"/>
            <w:tcBorders>
              <w:tl2br w:val="nil"/>
              <w:tr2bl w:val="nil"/>
            </w:tcBorders>
            <w:vAlign w:val="center"/>
          </w:tcPr>
          <w:p w14:paraId="0C2899C6">
            <w:pPr>
              <w:shd w:val="clear"/>
              <w:jc w:val="center"/>
              <w:rPr>
                <w:rFonts w:ascii="宋体" w:hAnsi="宋体"/>
                <w:color w:val="auto"/>
                <w:szCs w:val="21"/>
                <w:highlight w:val="none"/>
              </w:rPr>
            </w:pPr>
          </w:p>
        </w:tc>
        <w:tc>
          <w:tcPr>
            <w:tcW w:w="867" w:type="dxa"/>
            <w:tcBorders>
              <w:tl2br w:val="nil"/>
              <w:tr2bl w:val="nil"/>
            </w:tcBorders>
            <w:vAlign w:val="center"/>
          </w:tcPr>
          <w:p w14:paraId="6C37FB78">
            <w:pPr>
              <w:shd w:val="clear"/>
              <w:jc w:val="center"/>
              <w:rPr>
                <w:rFonts w:ascii="宋体" w:hAnsi="宋体"/>
                <w:color w:val="auto"/>
                <w:szCs w:val="21"/>
                <w:highlight w:val="none"/>
              </w:rPr>
            </w:pPr>
          </w:p>
        </w:tc>
      </w:tr>
      <w:tr w14:paraId="5CF9F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EB45A1D">
            <w:pPr>
              <w:shd w:val="clear"/>
              <w:jc w:val="center"/>
              <w:rPr>
                <w:rFonts w:ascii="宋体" w:hAnsi="宋体"/>
                <w:color w:val="auto"/>
                <w:szCs w:val="21"/>
                <w:highlight w:val="none"/>
              </w:rPr>
            </w:pPr>
          </w:p>
        </w:tc>
        <w:tc>
          <w:tcPr>
            <w:tcW w:w="1590" w:type="dxa"/>
            <w:tcBorders>
              <w:tl2br w:val="nil"/>
              <w:tr2bl w:val="nil"/>
            </w:tcBorders>
            <w:vAlign w:val="center"/>
          </w:tcPr>
          <w:p w14:paraId="197F2E5F">
            <w:pPr>
              <w:shd w:val="clear"/>
              <w:jc w:val="center"/>
              <w:rPr>
                <w:rFonts w:ascii="宋体" w:hAnsi="宋体"/>
                <w:color w:val="auto"/>
                <w:szCs w:val="21"/>
                <w:highlight w:val="none"/>
              </w:rPr>
            </w:pPr>
          </w:p>
        </w:tc>
        <w:tc>
          <w:tcPr>
            <w:tcW w:w="1755" w:type="dxa"/>
            <w:tcBorders>
              <w:tl2br w:val="nil"/>
              <w:tr2bl w:val="nil"/>
            </w:tcBorders>
            <w:vAlign w:val="center"/>
          </w:tcPr>
          <w:p w14:paraId="07E6093A">
            <w:pPr>
              <w:shd w:val="clear"/>
              <w:jc w:val="center"/>
              <w:rPr>
                <w:rFonts w:ascii="宋体" w:hAnsi="宋体"/>
                <w:color w:val="auto"/>
                <w:szCs w:val="21"/>
                <w:highlight w:val="none"/>
              </w:rPr>
            </w:pPr>
          </w:p>
        </w:tc>
        <w:tc>
          <w:tcPr>
            <w:tcW w:w="1920" w:type="dxa"/>
            <w:tcBorders>
              <w:tl2br w:val="nil"/>
              <w:tr2bl w:val="nil"/>
            </w:tcBorders>
            <w:vAlign w:val="center"/>
          </w:tcPr>
          <w:p w14:paraId="7B6C6E5E">
            <w:pPr>
              <w:shd w:val="clear"/>
              <w:jc w:val="center"/>
              <w:rPr>
                <w:rFonts w:ascii="宋体" w:hAnsi="宋体"/>
                <w:color w:val="auto"/>
                <w:szCs w:val="21"/>
                <w:highlight w:val="none"/>
              </w:rPr>
            </w:pPr>
          </w:p>
        </w:tc>
        <w:tc>
          <w:tcPr>
            <w:tcW w:w="1412" w:type="dxa"/>
            <w:tcBorders>
              <w:tl2br w:val="nil"/>
              <w:tr2bl w:val="nil"/>
            </w:tcBorders>
            <w:vAlign w:val="center"/>
          </w:tcPr>
          <w:p w14:paraId="321A8632">
            <w:pPr>
              <w:shd w:val="clear"/>
              <w:jc w:val="center"/>
              <w:rPr>
                <w:rFonts w:ascii="宋体" w:hAnsi="宋体"/>
                <w:color w:val="auto"/>
                <w:szCs w:val="21"/>
                <w:highlight w:val="none"/>
              </w:rPr>
            </w:pPr>
          </w:p>
        </w:tc>
        <w:tc>
          <w:tcPr>
            <w:tcW w:w="867" w:type="dxa"/>
            <w:tcBorders>
              <w:tl2br w:val="nil"/>
              <w:tr2bl w:val="nil"/>
            </w:tcBorders>
            <w:vAlign w:val="center"/>
          </w:tcPr>
          <w:p w14:paraId="624C4DFB">
            <w:pPr>
              <w:shd w:val="clear"/>
              <w:jc w:val="center"/>
              <w:rPr>
                <w:rFonts w:ascii="宋体" w:hAnsi="宋体"/>
                <w:color w:val="auto"/>
                <w:szCs w:val="21"/>
                <w:highlight w:val="none"/>
              </w:rPr>
            </w:pPr>
          </w:p>
        </w:tc>
      </w:tr>
      <w:tr w14:paraId="6FC9E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6A71254">
            <w:pPr>
              <w:shd w:val="clear"/>
              <w:jc w:val="center"/>
              <w:rPr>
                <w:rFonts w:ascii="宋体" w:hAnsi="宋体"/>
                <w:color w:val="auto"/>
                <w:szCs w:val="21"/>
                <w:highlight w:val="none"/>
              </w:rPr>
            </w:pPr>
          </w:p>
        </w:tc>
        <w:tc>
          <w:tcPr>
            <w:tcW w:w="1590" w:type="dxa"/>
            <w:tcBorders>
              <w:tl2br w:val="nil"/>
              <w:tr2bl w:val="nil"/>
            </w:tcBorders>
            <w:vAlign w:val="center"/>
          </w:tcPr>
          <w:p w14:paraId="733768DF">
            <w:pPr>
              <w:shd w:val="clear"/>
              <w:jc w:val="center"/>
              <w:rPr>
                <w:rFonts w:ascii="宋体" w:hAnsi="宋体"/>
                <w:color w:val="auto"/>
                <w:szCs w:val="21"/>
                <w:highlight w:val="none"/>
              </w:rPr>
            </w:pPr>
          </w:p>
        </w:tc>
        <w:tc>
          <w:tcPr>
            <w:tcW w:w="1755" w:type="dxa"/>
            <w:tcBorders>
              <w:tl2br w:val="nil"/>
              <w:tr2bl w:val="nil"/>
            </w:tcBorders>
            <w:vAlign w:val="center"/>
          </w:tcPr>
          <w:p w14:paraId="0BF043AA">
            <w:pPr>
              <w:shd w:val="clear"/>
              <w:jc w:val="center"/>
              <w:rPr>
                <w:rFonts w:ascii="宋体" w:hAnsi="宋体"/>
                <w:color w:val="auto"/>
                <w:szCs w:val="21"/>
                <w:highlight w:val="none"/>
              </w:rPr>
            </w:pPr>
          </w:p>
        </w:tc>
        <w:tc>
          <w:tcPr>
            <w:tcW w:w="1920" w:type="dxa"/>
            <w:tcBorders>
              <w:tl2br w:val="nil"/>
              <w:tr2bl w:val="nil"/>
            </w:tcBorders>
            <w:vAlign w:val="center"/>
          </w:tcPr>
          <w:p w14:paraId="5FCE1971">
            <w:pPr>
              <w:shd w:val="clear"/>
              <w:jc w:val="center"/>
              <w:rPr>
                <w:rFonts w:ascii="宋体" w:hAnsi="宋体"/>
                <w:color w:val="auto"/>
                <w:szCs w:val="21"/>
                <w:highlight w:val="none"/>
              </w:rPr>
            </w:pPr>
          </w:p>
        </w:tc>
        <w:tc>
          <w:tcPr>
            <w:tcW w:w="1412" w:type="dxa"/>
            <w:tcBorders>
              <w:tl2br w:val="nil"/>
              <w:tr2bl w:val="nil"/>
            </w:tcBorders>
            <w:vAlign w:val="center"/>
          </w:tcPr>
          <w:p w14:paraId="59AE64C2">
            <w:pPr>
              <w:shd w:val="clear"/>
              <w:jc w:val="center"/>
              <w:rPr>
                <w:rFonts w:ascii="宋体" w:hAnsi="宋体"/>
                <w:color w:val="auto"/>
                <w:szCs w:val="21"/>
                <w:highlight w:val="none"/>
              </w:rPr>
            </w:pPr>
          </w:p>
        </w:tc>
        <w:tc>
          <w:tcPr>
            <w:tcW w:w="867" w:type="dxa"/>
            <w:tcBorders>
              <w:tl2br w:val="nil"/>
              <w:tr2bl w:val="nil"/>
            </w:tcBorders>
            <w:vAlign w:val="center"/>
          </w:tcPr>
          <w:p w14:paraId="11BF0A7B">
            <w:pPr>
              <w:shd w:val="clear"/>
              <w:jc w:val="center"/>
              <w:rPr>
                <w:rFonts w:ascii="宋体" w:hAnsi="宋体"/>
                <w:color w:val="auto"/>
                <w:szCs w:val="21"/>
                <w:highlight w:val="none"/>
              </w:rPr>
            </w:pPr>
          </w:p>
        </w:tc>
      </w:tr>
      <w:tr w14:paraId="2EC65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7311295">
            <w:pPr>
              <w:shd w:val="clear"/>
              <w:jc w:val="center"/>
              <w:rPr>
                <w:rFonts w:ascii="宋体" w:hAnsi="宋体"/>
                <w:color w:val="auto"/>
                <w:szCs w:val="21"/>
                <w:highlight w:val="none"/>
              </w:rPr>
            </w:pPr>
          </w:p>
        </w:tc>
        <w:tc>
          <w:tcPr>
            <w:tcW w:w="1590" w:type="dxa"/>
            <w:tcBorders>
              <w:tl2br w:val="nil"/>
              <w:tr2bl w:val="nil"/>
            </w:tcBorders>
            <w:vAlign w:val="center"/>
          </w:tcPr>
          <w:p w14:paraId="5F23F132">
            <w:pPr>
              <w:shd w:val="clear"/>
              <w:jc w:val="center"/>
              <w:rPr>
                <w:rFonts w:ascii="宋体" w:hAnsi="宋体"/>
                <w:color w:val="auto"/>
                <w:szCs w:val="21"/>
                <w:highlight w:val="none"/>
              </w:rPr>
            </w:pPr>
          </w:p>
        </w:tc>
        <w:tc>
          <w:tcPr>
            <w:tcW w:w="1755" w:type="dxa"/>
            <w:tcBorders>
              <w:tl2br w:val="nil"/>
              <w:tr2bl w:val="nil"/>
            </w:tcBorders>
            <w:vAlign w:val="center"/>
          </w:tcPr>
          <w:p w14:paraId="715B0056">
            <w:pPr>
              <w:shd w:val="clear"/>
              <w:jc w:val="center"/>
              <w:rPr>
                <w:rFonts w:ascii="宋体" w:hAnsi="宋体"/>
                <w:color w:val="auto"/>
                <w:szCs w:val="21"/>
                <w:highlight w:val="none"/>
              </w:rPr>
            </w:pPr>
          </w:p>
        </w:tc>
        <w:tc>
          <w:tcPr>
            <w:tcW w:w="1920" w:type="dxa"/>
            <w:tcBorders>
              <w:tl2br w:val="nil"/>
              <w:tr2bl w:val="nil"/>
            </w:tcBorders>
            <w:vAlign w:val="center"/>
          </w:tcPr>
          <w:p w14:paraId="1DB4B286">
            <w:pPr>
              <w:shd w:val="clear"/>
              <w:jc w:val="center"/>
              <w:rPr>
                <w:rFonts w:ascii="宋体" w:hAnsi="宋体"/>
                <w:color w:val="auto"/>
                <w:szCs w:val="21"/>
                <w:highlight w:val="none"/>
              </w:rPr>
            </w:pPr>
          </w:p>
        </w:tc>
        <w:tc>
          <w:tcPr>
            <w:tcW w:w="1412" w:type="dxa"/>
            <w:tcBorders>
              <w:tl2br w:val="nil"/>
              <w:tr2bl w:val="nil"/>
            </w:tcBorders>
            <w:vAlign w:val="center"/>
          </w:tcPr>
          <w:p w14:paraId="5E58C732">
            <w:pPr>
              <w:shd w:val="clear"/>
              <w:jc w:val="center"/>
              <w:rPr>
                <w:rFonts w:ascii="宋体" w:hAnsi="宋体"/>
                <w:color w:val="auto"/>
                <w:szCs w:val="21"/>
                <w:highlight w:val="none"/>
              </w:rPr>
            </w:pPr>
          </w:p>
        </w:tc>
        <w:tc>
          <w:tcPr>
            <w:tcW w:w="867" w:type="dxa"/>
            <w:tcBorders>
              <w:tl2br w:val="nil"/>
              <w:tr2bl w:val="nil"/>
            </w:tcBorders>
            <w:vAlign w:val="center"/>
          </w:tcPr>
          <w:p w14:paraId="6E3B5C21">
            <w:pPr>
              <w:shd w:val="clear"/>
              <w:jc w:val="center"/>
              <w:rPr>
                <w:rFonts w:ascii="宋体" w:hAnsi="宋体"/>
                <w:color w:val="auto"/>
                <w:szCs w:val="21"/>
                <w:highlight w:val="none"/>
              </w:rPr>
            </w:pPr>
          </w:p>
        </w:tc>
      </w:tr>
      <w:tr w14:paraId="17064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2552385">
            <w:pPr>
              <w:shd w:val="clear"/>
              <w:jc w:val="center"/>
              <w:rPr>
                <w:rFonts w:ascii="宋体" w:hAnsi="宋体"/>
                <w:color w:val="auto"/>
                <w:szCs w:val="21"/>
                <w:highlight w:val="none"/>
              </w:rPr>
            </w:pPr>
          </w:p>
        </w:tc>
        <w:tc>
          <w:tcPr>
            <w:tcW w:w="1590" w:type="dxa"/>
            <w:tcBorders>
              <w:tl2br w:val="nil"/>
              <w:tr2bl w:val="nil"/>
            </w:tcBorders>
            <w:vAlign w:val="center"/>
          </w:tcPr>
          <w:p w14:paraId="6CD6FF21">
            <w:pPr>
              <w:shd w:val="clear"/>
              <w:jc w:val="center"/>
              <w:rPr>
                <w:rFonts w:ascii="宋体" w:hAnsi="宋体"/>
                <w:color w:val="auto"/>
                <w:szCs w:val="21"/>
                <w:highlight w:val="none"/>
              </w:rPr>
            </w:pPr>
          </w:p>
        </w:tc>
        <w:tc>
          <w:tcPr>
            <w:tcW w:w="1755" w:type="dxa"/>
            <w:tcBorders>
              <w:tl2br w:val="nil"/>
              <w:tr2bl w:val="nil"/>
            </w:tcBorders>
            <w:vAlign w:val="center"/>
          </w:tcPr>
          <w:p w14:paraId="5A653544">
            <w:pPr>
              <w:shd w:val="clear"/>
              <w:jc w:val="center"/>
              <w:rPr>
                <w:rFonts w:ascii="宋体" w:hAnsi="宋体"/>
                <w:color w:val="auto"/>
                <w:szCs w:val="21"/>
                <w:highlight w:val="none"/>
              </w:rPr>
            </w:pPr>
          </w:p>
        </w:tc>
        <w:tc>
          <w:tcPr>
            <w:tcW w:w="1920" w:type="dxa"/>
            <w:tcBorders>
              <w:tl2br w:val="nil"/>
              <w:tr2bl w:val="nil"/>
            </w:tcBorders>
            <w:vAlign w:val="center"/>
          </w:tcPr>
          <w:p w14:paraId="46BECD06">
            <w:pPr>
              <w:shd w:val="clear"/>
              <w:jc w:val="center"/>
              <w:rPr>
                <w:rFonts w:ascii="宋体" w:hAnsi="宋体"/>
                <w:color w:val="auto"/>
                <w:szCs w:val="21"/>
                <w:highlight w:val="none"/>
              </w:rPr>
            </w:pPr>
          </w:p>
        </w:tc>
        <w:tc>
          <w:tcPr>
            <w:tcW w:w="1412" w:type="dxa"/>
            <w:tcBorders>
              <w:tl2br w:val="nil"/>
              <w:tr2bl w:val="nil"/>
            </w:tcBorders>
            <w:vAlign w:val="center"/>
          </w:tcPr>
          <w:p w14:paraId="36EE3EBC">
            <w:pPr>
              <w:shd w:val="clear"/>
              <w:jc w:val="center"/>
              <w:rPr>
                <w:rFonts w:ascii="宋体" w:hAnsi="宋体"/>
                <w:color w:val="auto"/>
                <w:szCs w:val="21"/>
                <w:highlight w:val="none"/>
              </w:rPr>
            </w:pPr>
          </w:p>
        </w:tc>
        <w:tc>
          <w:tcPr>
            <w:tcW w:w="867" w:type="dxa"/>
            <w:tcBorders>
              <w:tl2br w:val="nil"/>
              <w:tr2bl w:val="nil"/>
            </w:tcBorders>
            <w:vAlign w:val="center"/>
          </w:tcPr>
          <w:p w14:paraId="0287DAB7">
            <w:pPr>
              <w:shd w:val="clear"/>
              <w:jc w:val="center"/>
              <w:rPr>
                <w:rFonts w:ascii="宋体" w:hAnsi="宋体"/>
                <w:color w:val="auto"/>
                <w:szCs w:val="21"/>
                <w:highlight w:val="none"/>
              </w:rPr>
            </w:pPr>
          </w:p>
        </w:tc>
      </w:tr>
      <w:tr w14:paraId="09477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6D74AC8">
            <w:pPr>
              <w:shd w:val="clear"/>
              <w:jc w:val="center"/>
              <w:rPr>
                <w:rFonts w:ascii="宋体" w:hAnsi="宋体"/>
                <w:color w:val="auto"/>
                <w:szCs w:val="21"/>
                <w:highlight w:val="none"/>
              </w:rPr>
            </w:pPr>
          </w:p>
        </w:tc>
        <w:tc>
          <w:tcPr>
            <w:tcW w:w="1590" w:type="dxa"/>
            <w:tcBorders>
              <w:tl2br w:val="nil"/>
              <w:tr2bl w:val="nil"/>
            </w:tcBorders>
            <w:vAlign w:val="center"/>
          </w:tcPr>
          <w:p w14:paraId="3E675C65">
            <w:pPr>
              <w:shd w:val="clear"/>
              <w:jc w:val="center"/>
              <w:rPr>
                <w:rFonts w:ascii="宋体" w:hAnsi="宋体"/>
                <w:color w:val="auto"/>
                <w:szCs w:val="21"/>
                <w:highlight w:val="none"/>
              </w:rPr>
            </w:pPr>
          </w:p>
        </w:tc>
        <w:tc>
          <w:tcPr>
            <w:tcW w:w="1755" w:type="dxa"/>
            <w:tcBorders>
              <w:tl2br w:val="nil"/>
              <w:tr2bl w:val="nil"/>
            </w:tcBorders>
            <w:vAlign w:val="center"/>
          </w:tcPr>
          <w:p w14:paraId="335CEE48">
            <w:pPr>
              <w:shd w:val="clear"/>
              <w:jc w:val="center"/>
              <w:rPr>
                <w:rFonts w:ascii="宋体" w:hAnsi="宋体"/>
                <w:color w:val="auto"/>
                <w:szCs w:val="21"/>
                <w:highlight w:val="none"/>
              </w:rPr>
            </w:pPr>
          </w:p>
        </w:tc>
        <w:tc>
          <w:tcPr>
            <w:tcW w:w="1920" w:type="dxa"/>
            <w:tcBorders>
              <w:tl2br w:val="nil"/>
              <w:tr2bl w:val="nil"/>
            </w:tcBorders>
            <w:vAlign w:val="center"/>
          </w:tcPr>
          <w:p w14:paraId="7DF9C92D">
            <w:pPr>
              <w:shd w:val="clear"/>
              <w:jc w:val="center"/>
              <w:rPr>
                <w:rFonts w:ascii="宋体" w:hAnsi="宋体"/>
                <w:color w:val="auto"/>
                <w:szCs w:val="21"/>
                <w:highlight w:val="none"/>
              </w:rPr>
            </w:pPr>
          </w:p>
        </w:tc>
        <w:tc>
          <w:tcPr>
            <w:tcW w:w="1412" w:type="dxa"/>
            <w:tcBorders>
              <w:tl2br w:val="nil"/>
              <w:tr2bl w:val="nil"/>
            </w:tcBorders>
            <w:vAlign w:val="center"/>
          </w:tcPr>
          <w:p w14:paraId="083FD840">
            <w:pPr>
              <w:shd w:val="clear"/>
              <w:jc w:val="center"/>
              <w:rPr>
                <w:rFonts w:ascii="宋体" w:hAnsi="宋体"/>
                <w:color w:val="auto"/>
                <w:szCs w:val="21"/>
                <w:highlight w:val="none"/>
              </w:rPr>
            </w:pPr>
          </w:p>
        </w:tc>
        <w:tc>
          <w:tcPr>
            <w:tcW w:w="867" w:type="dxa"/>
            <w:tcBorders>
              <w:tl2br w:val="nil"/>
              <w:tr2bl w:val="nil"/>
            </w:tcBorders>
            <w:vAlign w:val="center"/>
          </w:tcPr>
          <w:p w14:paraId="14CCF89F">
            <w:pPr>
              <w:shd w:val="clear"/>
              <w:jc w:val="center"/>
              <w:rPr>
                <w:rFonts w:ascii="宋体" w:hAnsi="宋体"/>
                <w:color w:val="auto"/>
                <w:szCs w:val="21"/>
                <w:highlight w:val="none"/>
              </w:rPr>
            </w:pPr>
          </w:p>
        </w:tc>
      </w:tr>
      <w:tr w14:paraId="68732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C096CC2">
            <w:pPr>
              <w:shd w:val="clear"/>
              <w:jc w:val="center"/>
              <w:rPr>
                <w:rFonts w:ascii="宋体" w:hAnsi="宋体"/>
                <w:color w:val="auto"/>
                <w:szCs w:val="21"/>
                <w:highlight w:val="none"/>
              </w:rPr>
            </w:pPr>
          </w:p>
        </w:tc>
        <w:tc>
          <w:tcPr>
            <w:tcW w:w="1590" w:type="dxa"/>
            <w:tcBorders>
              <w:tl2br w:val="nil"/>
              <w:tr2bl w:val="nil"/>
            </w:tcBorders>
            <w:vAlign w:val="center"/>
          </w:tcPr>
          <w:p w14:paraId="13C3D869">
            <w:pPr>
              <w:shd w:val="clear"/>
              <w:jc w:val="center"/>
              <w:rPr>
                <w:rFonts w:ascii="宋体" w:hAnsi="宋体"/>
                <w:color w:val="auto"/>
                <w:szCs w:val="21"/>
                <w:highlight w:val="none"/>
              </w:rPr>
            </w:pPr>
          </w:p>
        </w:tc>
        <w:tc>
          <w:tcPr>
            <w:tcW w:w="1755" w:type="dxa"/>
            <w:tcBorders>
              <w:tl2br w:val="nil"/>
              <w:tr2bl w:val="nil"/>
            </w:tcBorders>
            <w:vAlign w:val="center"/>
          </w:tcPr>
          <w:p w14:paraId="6284CB41">
            <w:pPr>
              <w:shd w:val="clear"/>
              <w:jc w:val="center"/>
              <w:rPr>
                <w:rFonts w:ascii="宋体" w:hAnsi="宋体"/>
                <w:color w:val="auto"/>
                <w:szCs w:val="21"/>
                <w:highlight w:val="none"/>
              </w:rPr>
            </w:pPr>
          </w:p>
        </w:tc>
        <w:tc>
          <w:tcPr>
            <w:tcW w:w="1920" w:type="dxa"/>
            <w:tcBorders>
              <w:tl2br w:val="nil"/>
              <w:tr2bl w:val="nil"/>
            </w:tcBorders>
            <w:vAlign w:val="center"/>
          </w:tcPr>
          <w:p w14:paraId="37EC1123">
            <w:pPr>
              <w:shd w:val="clear"/>
              <w:jc w:val="center"/>
              <w:rPr>
                <w:rFonts w:ascii="宋体" w:hAnsi="宋体"/>
                <w:color w:val="auto"/>
                <w:szCs w:val="21"/>
                <w:highlight w:val="none"/>
              </w:rPr>
            </w:pPr>
          </w:p>
        </w:tc>
        <w:tc>
          <w:tcPr>
            <w:tcW w:w="1412" w:type="dxa"/>
            <w:tcBorders>
              <w:tl2br w:val="nil"/>
              <w:tr2bl w:val="nil"/>
            </w:tcBorders>
            <w:vAlign w:val="center"/>
          </w:tcPr>
          <w:p w14:paraId="71465B84">
            <w:pPr>
              <w:shd w:val="clear"/>
              <w:jc w:val="center"/>
              <w:rPr>
                <w:rFonts w:ascii="宋体" w:hAnsi="宋体"/>
                <w:color w:val="auto"/>
                <w:szCs w:val="21"/>
                <w:highlight w:val="none"/>
              </w:rPr>
            </w:pPr>
          </w:p>
        </w:tc>
        <w:tc>
          <w:tcPr>
            <w:tcW w:w="867" w:type="dxa"/>
            <w:tcBorders>
              <w:tl2br w:val="nil"/>
              <w:tr2bl w:val="nil"/>
            </w:tcBorders>
            <w:vAlign w:val="center"/>
          </w:tcPr>
          <w:p w14:paraId="5291D795">
            <w:pPr>
              <w:shd w:val="clear"/>
              <w:jc w:val="center"/>
              <w:rPr>
                <w:rFonts w:ascii="宋体" w:hAnsi="宋体"/>
                <w:color w:val="auto"/>
                <w:szCs w:val="21"/>
                <w:highlight w:val="none"/>
              </w:rPr>
            </w:pPr>
          </w:p>
        </w:tc>
      </w:tr>
      <w:tr w14:paraId="4C17E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3B16CB1">
            <w:pPr>
              <w:shd w:val="clear"/>
              <w:jc w:val="center"/>
              <w:rPr>
                <w:rFonts w:ascii="宋体" w:hAnsi="宋体"/>
                <w:color w:val="auto"/>
                <w:szCs w:val="21"/>
                <w:highlight w:val="none"/>
              </w:rPr>
            </w:pPr>
          </w:p>
        </w:tc>
        <w:tc>
          <w:tcPr>
            <w:tcW w:w="1590" w:type="dxa"/>
            <w:tcBorders>
              <w:tl2br w:val="nil"/>
              <w:tr2bl w:val="nil"/>
            </w:tcBorders>
            <w:vAlign w:val="center"/>
          </w:tcPr>
          <w:p w14:paraId="1B188BFE">
            <w:pPr>
              <w:shd w:val="clear"/>
              <w:jc w:val="center"/>
              <w:rPr>
                <w:rFonts w:ascii="宋体" w:hAnsi="宋体"/>
                <w:color w:val="auto"/>
                <w:szCs w:val="21"/>
                <w:highlight w:val="none"/>
              </w:rPr>
            </w:pPr>
          </w:p>
        </w:tc>
        <w:tc>
          <w:tcPr>
            <w:tcW w:w="1755" w:type="dxa"/>
            <w:tcBorders>
              <w:tl2br w:val="nil"/>
              <w:tr2bl w:val="nil"/>
            </w:tcBorders>
            <w:vAlign w:val="center"/>
          </w:tcPr>
          <w:p w14:paraId="282A1F42">
            <w:pPr>
              <w:shd w:val="clear"/>
              <w:jc w:val="center"/>
              <w:rPr>
                <w:rFonts w:ascii="宋体" w:hAnsi="宋体"/>
                <w:color w:val="auto"/>
                <w:szCs w:val="21"/>
                <w:highlight w:val="none"/>
              </w:rPr>
            </w:pPr>
          </w:p>
        </w:tc>
        <w:tc>
          <w:tcPr>
            <w:tcW w:w="1920" w:type="dxa"/>
            <w:tcBorders>
              <w:tl2br w:val="nil"/>
              <w:tr2bl w:val="nil"/>
            </w:tcBorders>
            <w:vAlign w:val="center"/>
          </w:tcPr>
          <w:p w14:paraId="2032A771">
            <w:pPr>
              <w:shd w:val="clear"/>
              <w:jc w:val="center"/>
              <w:rPr>
                <w:rFonts w:ascii="宋体" w:hAnsi="宋体"/>
                <w:color w:val="auto"/>
                <w:szCs w:val="21"/>
                <w:highlight w:val="none"/>
              </w:rPr>
            </w:pPr>
          </w:p>
        </w:tc>
        <w:tc>
          <w:tcPr>
            <w:tcW w:w="1412" w:type="dxa"/>
            <w:tcBorders>
              <w:tl2br w:val="nil"/>
              <w:tr2bl w:val="nil"/>
            </w:tcBorders>
            <w:vAlign w:val="center"/>
          </w:tcPr>
          <w:p w14:paraId="659BA186">
            <w:pPr>
              <w:shd w:val="clear"/>
              <w:jc w:val="center"/>
              <w:rPr>
                <w:rFonts w:ascii="宋体" w:hAnsi="宋体"/>
                <w:color w:val="auto"/>
                <w:szCs w:val="21"/>
                <w:highlight w:val="none"/>
              </w:rPr>
            </w:pPr>
          </w:p>
        </w:tc>
        <w:tc>
          <w:tcPr>
            <w:tcW w:w="867" w:type="dxa"/>
            <w:tcBorders>
              <w:tl2br w:val="nil"/>
              <w:tr2bl w:val="nil"/>
            </w:tcBorders>
            <w:vAlign w:val="center"/>
          </w:tcPr>
          <w:p w14:paraId="777376AE">
            <w:pPr>
              <w:shd w:val="clear"/>
              <w:jc w:val="center"/>
              <w:rPr>
                <w:rFonts w:ascii="宋体" w:hAnsi="宋体"/>
                <w:color w:val="auto"/>
                <w:szCs w:val="21"/>
                <w:highlight w:val="none"/>
              </w:rPr>
            </w:pPr>
          </w:p>
        </w:tc>
      </w:tr>
      <w:tr w14:paraId="6618F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55B72B0">
            <w:pPr>
              <w:shd w:val="clear"/>
              <w:jc w:val="center"/>
              <w:rPr>
                <w:rFonts w:ascii="宋体" w:hAnsi="宋体"/>
                <w:color w:val="auto"/>
                <w:szCs w:val="21"/>
                <w:highlight w:val="none"/>
              </w:rPr>
            </w:pPr>
          </w:p>
        </w:tc>
        <w:tc>
          <w:tcPr>
            <w:tcW w:w="1590" w:type="dxa"/>
            <w:tcBorders>
              <w:tl2br w:val="nil"/>
              <w:tr2bl w:val="nil"/>
            </w:tcBorders>
            <w:vAlign w:val="center"/>
          </w:tcPr>
          <w:p w14:paraId="51E47D37">
            <w:pPr>
              <w:shd w:val="clear"/>
              <w:jc w:val="center"/>
              <w:rPr>
                <w:rFonts w:ascii="宋体" w:hAnsi="宋体"/>
                <w:color w:val="auto"/>
                <w:szCs w:val="21"/>
                <w:highlight w:val="none"/>
              </w:rPr>
            </w:pPr>
          </w:p>
        </w:tc>
        <w:tc>
          <w:tcPr>
            <w:tcW w:w="1755" w:type="dxa"/>
            <w:tcBorders>
              <w:tl2br w:val="nil"/>
              <w:tr2bl w:val="nil"/>
            </w:tcBorders>
            <w:vAlign w:val="center"/>
          </w:tcPr>
          <w:p w14:paraId="1B92205D">
            <w:pPr>
              <w:shd w:val="clear"/>
              <w:jc w:val="center"/>
              <w:rPr>
                <w:rFonts w:ascii="宋体" w:hAnsi="宋体"/>
                <w:color w:val="auto"/>
                <w:szCs w:val="21"/>
                <w:highlight w:val="none"/>
              </w:rPr>
            </w:pPr>
          </w:p>
        </w:tc>
        <w:tc>
          <w:tcPr>
            <w:tcW w:w="1920" w:type="dxa"/>
            <w:tcBorders>
              <w:tl2br w:val="nil"/>
              <w:tr2bl w:val="nil"/>
            </w:tcBorders>
            <w:vAlign w:val="center"/>
          </w:tcPr>
          <w:p w14:paraId="64F49322">
            <w:pPr>
              <w:shd w:val="clear"/>
              <w:jc w:val="center"/>
              <w:rPr>
                <w:rFonts w:ascii="宋体" w:hAnsi="宋体"/>
                <w:color w:val="auto"/>
                <w:szCs w:val="21"/>
                <w:highlight w:val="none"/>
              </w:rPr>
            </w:pPr>
          </w:p>
        </w:tc>
        <w:tc>
          <w:tcPr>
            <w:tcW w:w="1412" w:type="dxa"/>
            <w:tcBorders>
              <w:tl2br w:val="nil"/>
              <w:tr2bl w:val="nil"/>
            </w:tcBorders>
            <w:vAlign w:val="center"/>
          </w:tcPr>
          <w:p w14:paraId="2B45B57B">
            <w:pPr>
              <w:shd w:val="clear"/>
              <w:jc w:val="center"/>
              <w:rPr>
                <w:rFonts w:ascii="宋体" w:hAnsi="宋体"/>
                <w:color w:val="auto"/>
                <w:szCs w:val="21"/>
                <w:highlight w:val="none"/>
              </w:rPr>
            </w:pPr>
          </w:p>
        </w:tc>
        <w:tc>
          <w:tcPr>
            <w:tcW w:w="867" w:type="dxa"/>
            <w:tcBorders>
              <w:tl2br w:val="nil"/>
              <w:tr2bl w:val="nil"/>
            </w:tcBorders>
            <w:vAlign w:val="center"/>
          </w:tcPr>
          <w:p w14:paraId="3663F5A3">
            <w:pPr>
              <w:shd w:val="clear"/>
              <w:jc w:val="center"/>
              <w:rPr>
                <w:rFonts w:ascii="宋体" w:hAnsi="宋体"/>
                <w:color w:val="auto"/>
                <w:szCs w:val="21"/>
                <w:highlight w:val="none"/>
              </w:rPr>
            </w:pPr>
          </w:p>
        </w:tc>
      </w:tr>
      <w:tr w14:paraId="28990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4172B30">
            <w:pPr>
              <w:shd w:val="clear"/>
              <w:jc w:val="center"/>
              <w:rPr>
                <w:rFonts w:ascii="宋体" w:hAnsi="宋体"/>
                <w:color w:val="auto"/>
                <w:szCs w:val="21"/>
                <w:highlight w:val="none"/>
              </w:rPr>
            </w:pPr>
          </w:p>
        </w:tc>
        <w:tc>
          <w:tcPr>
            <w:tcW w:w="1590" w:type="dxa"/>
            <w:tcBorders>
              <w:tl2br w:val="nil"/>
              <w:tr2bl w:val="nil"/>
            </w:tcBorders>
            <w:vAlign w:val="center"/>
          </w:tcPr>
          <w:p w14:paraId="3E8495A4">
            <w:pPr>
              <w:shd w:val="clear"/>
              <w:jc w:val="center"/>
              <w:rPr>
                <w:rFonts w:ascii="宋体" w:hAnsi="宋体"/>
                <w:color w:val="auto"/>
                <w:szCs w:val="21"/>
                <w:highlight w:val="none"/>
              </w:rPr>
            </w:pPr>
          </w:p>
        </w:tc>
        <w:tc>
          <w:tcPr>
            <w:tcW w:w="1755" w:type="dxa"/>
            <w:tcBorders>
              <w:tl2br w:val="nil"/>
              <w:tr2bl w:val="nil"/>
            </w:tcBorders>
            <w:vAlign w:val="center"/>
          </w:tcPr>
          <w:p w14:paraId="08A7BB7F">
            <w:pPr>
              <w:shd w:val="clear"/>
              <w:jc w:val="center"/>
              <w:rPr>
                <w:rFonts w:ascii="宋体" w:hAnsi="宋体"/>
                <w:color w:val="auto"/>
                <w:szCs w:val="21"/>
                <w:highlight w:val="none"/>
              </w:rPr>
            </w:pPr>
          </w:p>
        </w:tc>
        <w:tc>
          <w:tcPr>
            <w:tcW w:w="1920" w:type="dxa"/>
            <w:tcBorders>
              <w:tl2br w:val="nil"/>
              <w:tr2bl w:val="nil"/>
            </w:tcBorders>
            <w:vAlign w:val="center"/>
          </w:tcPr>
          <w:p w14:paraId="7AC74DDA">
            <w:pPr>
              <w:shd w:val="clear"/>
              <w:jc w:val="center"/>
              <w:rPr>
                <w:rFonts w:ascii="宋体" w:hAnsi="宋体"/>
                <w:color w:val="auto"/>
                <w:szCs w:val="21"/>
                <w:highlight w:val="none"/>
              </w:rPr>
            </w:pPr>
          </w:p>
        </w:tc>
        <w:tc>
          <w:tcPr>
            <w:tcW w:w="1412" w:type="dxa"/>
            <w:tcBorders>
              <w:tl2br w:val="nil"/>
              <w:tr2bl w:val="nil"/>
            </w:tcBorders>
            <w:vAlign w:val="center"/>
          </w:tcPr>
          <w:p w14:paraId="7DE564D3">
            <w:pPr>
              <w:shd w:val="clear"/>
              <w:jc w:val="center"/>
              <w:rPr>
                <w:rFonts w:ascii="宋体" w:hAnsi="宋体"/>
                <w:color w:val="auto"/>
                <w:szCs w:val="21"/>
                <w:highlight w:val="none"/>
              </w:rPr>
            </w:pPr>
          </w:p>
        </w:tc>
        <w:tc>
          <w:tcPr>
            <w:tcW w:w="867" w:type="dxa"/>
            <w:tcBorders>
              <w:tl2br w:val="nil"/>
              <w:tr2bl w:val="nil"/>
            </w:tcBorders>
            <w:vAlign w:val="center"/>
          </w:tcPr>
          <w:p w14:paraId="59998686">
            <w:pPr>
              <w:shd w:val="clear"/>
              <w:jc w:val="center"/>
              <w:rPr>
                <w:rFonts w:ascii="宋体" w:hAnsi="宋体"/>
                <w:color w:val="auto"/>
                <w:szCs w:val="21"/>
                <w:highlight w:val="none"/>
              </w:rPr>
            </w:pPr>
          </w:p>
        </w:tc>
      </w:tr>
      <w:tr w14:paraId="26B4D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747EB71">
            <w:pPr>
              <w:shd w:val="clear"/>
              <w:jc w:val="center"/>
              <w:rPr>
                <w:rFonts w:ascii="宋体" w:hAnsi="宋体"/>
                <w:color w:val="auto"/>
                <w:szCs w:val="21"/>
                <w:highlight w:val="none"/>
              </w:rPr>
            </w:pPr>
          </w:p>
        </w:tc>
        <w:tc>
          <w:tcPr>
            <w:tcW w:w="1590" w:type="dxa"/>
            <w:tcBorders>
              <w:tl2br w:val="nil"/>
              <w:tr2bl w:val="nil"/>
            </w:tcBorders>
            <w:vAlign w:val="center"/>
          </w:tcPr>
          <w:p w14:paraId="5DE119C4">
            <w:pPr>
              <w:shd w:val="clear"/>
              <w:jc w:val="center"/>
              <w:rPr>
                <w:rFonts w:ascii="宋体" w:hAnsi="宋体"/>
                <w:color w:val="auto"/>
                <w:szCs w:val="21"/>
                <w:highlight w:val="none"/>
              </w:rPr>
            </w:pPr>
          </w:p>
        </w:tc>
        <w:tc>
          <w:tcPr>
            <w:tcW w:w="1755" w:type="dxa"/>
            <w:tcBorders>
              <w:tl2br w:val="nil"/>
              <w:tr2bl w:val="nil"/>
            </w:tcBorders>
            <w:vAlign w:val="center"/>
          </w:tcPr>
          <w:p w14:paraId="1F91EECA">
            <w:pPr>
              <w:shd w:val="clear"/>
              <w:jc w:val="center"/>
              <w:rPr>
                <w:rFonts w:ascii="宋体" w:hAnsi="宋体"/>
                <w:color w:val="auto"/>
                <w:szCs w:val="21"/>
                <w:highlight w:val="none"/>
              </w:rPr>
            </w:pPr>
          </w:p>
        </w:tc>
        <w:tc>
          <w:tcPr>
            <w:tcW w:w="1920" w:type="dxa"/>
            <w:tcBorders>
              <w:tl2br w:val="nil"/>
              <w:tr2bl w:val="nil"/>
            </w:tcBorders>
            <w:vAlign w:val="center"/>
          </w:tcPr>
          <w:p w14:paraId="37768AD1">
            <w:pPr>
              <w:shd w:val="clear"/>
              <w:jc w:val="center"/>
              <w:rPr>
                <w:rFonts w:ascii="宋体" w:hAnsi="宋体"/>
                <w:color w:val="auto"/>
                <w:szCs w:val="21"/>
                <w:highlight w:val="none"/>
              </w:rPr>
            </w:pPr>
          </w:p>
        </w:tc>
        <w:tc>
          <w:tcPr>
            <w:tcW w:w="1412" w:type="dxa"/>
            <w:tcBorders>
              <w:tl2br w:val="nil"/>
              <w:tr2bl w:val="nil"/>
            </w:tcBorders>
            <w:vAlign w:val="center"/>
          </w:tcPr>
          <w:p w14:paraId="1658DD0B">
            <w:pPr>
              <w:shd w:val="clear"/>
              <w:jc w:val="center"/>
              <w:rPr>
                <w:rFonts w:ascii="宋体" w:hAnsi="宋体"/>
                <w:color w:val="auto"/>
                <w:szCs w:val="21"/>
                <w:highlight w:val="none"/>
              </w:rPr>
            </w:pPr>
          </w:p>
        </w:tc>
        <w:tc>
          <w:tcPr>
            <w:tcW w:w="867" w:type="dxa"/>
            <w:tcBorders>
              <w:tl2br w:val="nil"/>
              <w:tr2bl w:val="nil"/>
            </w:tcBorders>
            <w:vAlign w:val="center"/>
          </w:tcPr>
          <w:p w14:paraId="62A132AF">
            <w:pPr>
              <w:shd w:val="clear"/>
              <w:jc w:val="center"/>
              <w:rPr>
                <w:rFonts w:ascii="宋体" w:hAnsi="宋体"/>
                <w:color w:val="auto"/>
                <w:szCs w:val="21"/>
                <w:highlight w:val="none"/>
              </w:rPr>
            </w:pPr>
          </w:p>
        </w:tc>
      </w:tr>
      <w:tr w14:paraId="10784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2416F17">
            <w:pPr>
              <w:shd w:val="clear"/>
              <w:jc w:val="center"/>
              <w:rPr>
                <w:rFonts w:ascii="宋体" w:hAnsi="宋体"/>
                <w:color w:val="auto"/>
                <w:szCs w:val="21"/>
                <w:highlight w:val="none"/>
              </w:rPr>
            </w:pPr>
          </w:p>
        </w:tc>
        <w:tc>
          <w:tcPr>
            <w:tcW w:w="1590" w:type="dxa"/>
            <w:tcBorders>
              <w:tl2br w:val="nil"/>
              <w:tr2bl w:val="nil"/>
            </w:tcBorders>
            <w:vAlign w:val="center"/>
          </w:tcPr>
          <w:p w14:paraId="0192FFF6">
            <w:pPr>
              <w:shd w:val="clear"/>
              <w:jc w:val="center"/>
              <w:rPr>
                <w:rFonts w:ascii="宋体" w:hAnsi="宋体"/>
                <w:color w:val="auto"/>
                <w:szCs w:val="21"/>
                <w:highlight w:val="none"/>
              </w:rPr>
            </w:pPr>
          </w:p>
        </w:tc>
        <w:tc>
          <w:tcPr>
            <w:tcW w:w="1755" w:type="dxa"/>
            <w:tcBorders>
              <w:tl2br w:val="nil"/>
              <w:tr2bl w:val="nil"/>
            </w:tcBorders>
            <w:vAlign w:val="center"/>
          </w:tcPr>
          <w:p w14:paraId="799E9308">
            <w:pPr>
              <w:shd w:val="clear"/>
              <w:jc w:val="center"/>
              <w:rPr>
                <w:rFonts w:ascii="宋体" w:hAnsi="宋体"/>
                <w:color w:val="auto"/>
                <w:szCs w:val="21"/>
                <w:highlight w:val="none"/>
              </w:rPr>
            </w:pPr>
          </w:p>
        </w:tc>
        <w:tc>
          <w:tcPr>
            <w:tcW w:w="1920" w:type="dxa"/>
            <w:tcBorders>
              <w:tl2br w:val="nil"/>
              <w:tr2bl w:val="nil"/>
            </w:tcBorders>
            <w:vAlign w:val="center"/>
          </w:tcPr>
          <w:p w14:paraId="3B11CBA4">
            <w:pPr>
              <w:shd w:val="clear"/>
              <w:jc w:val="center"/>
              <w:rPr>
                <w:rFonts w:ascii="宋体" w:hAnsi="宋体"/>
                <w:color w:val="auto"/>
                <w:szCs w:val="21"/>
                <w:highlight w:val="none"/>
              </w:rPr>
            </w:pPr>
          </w:p>
        </w:tc>
        <w:tc>
          <w:tcPr>
            <w:tcW w:w="1412" w:type="dxa"/>
            <w:tcBorders>
              <w:tl2br w:val="nil"/>
              <w:tr2bl w:val="nil"/>
            </w:tcBorders>
            <w:vAlign w:val="center"/>
          </w:tcPr>
          <w:p w14:paraId="47E8CFCD">
            <w:pPr>
              <w:shd w:val="clear"/>
              <w:jc w:val="center"/>
              <w:rPr>
                <w:rFonts w:ascii="宋体" w:hAnsi="宋体"/>
                <w:color w:val="auto"/>
                <w:szCs w:val="21"/>
                <w:highlight w:val="none"/>
              </w:rPr>
            </w:pPr>
          </w:p>
        </w:tc>
        <w:tc>
          <w:tcPr>
            <w:tcW w:w="867" w:type="dxa"/>
            <w:tcBorders>
              <w:tl2br w:val="nil"/>
              <w:tr2bl w:val="nil"/>
            </w:tcBorders>
            <w:vAlign w:val="center"/>
          </w:tcPr>
          <w:p w14:paraId="68121623">
            <w:pPr>
              <w:shd w:val="clear"/>
              <w:jc w:val="center"/>
              <w:rPr>
                <w:rFonts w:ascii="宋体" w:hAnsi="宋体"/>
                <w:color w:val="auto"/>
                <w:szCs w:val="21"/>
                <w:highlight w:val="none"/>
              </w:rPr>
            </w:pPr>
          </w:p>
        </w:tc>
      </w:tr>
    </w:tbl>
    <w:p w14:paraId="23DA2482">
      <w:pPr>
        <w:shd w:val="clear"/>
        <w:rPr>
          <w:rFonts w:ascii="宋体" w:hAnsi="宋体"/>
          <w:color w:val="auto"/>
          <w:szCs w:val="21"/>
          <w:highlight w:val="none"/>
        </w:rPr>
      </w:pPr>
    </w:p>
    <w:p w14:paraId="7333FFB7">
      <w:pPr>
        <w:shd w:val="clear"/>
        <w:rPr>
          <w:rFonts w:ascii="宋体" w:hAnsi="宋体"/>
          <w:color w:val="auto"/>
          <w:szCs w:val="21"/>
          <w:highlight w:val="none"/>
        </w:rPr>
      </w:pPr>
      <w:r>
        <w:rPr>
          <w:rFonts w:hint="eastAsia" w:ascii="宋体" w:hAnsi="宋体"/>
          <w:color w:val="auto"/>
          <w:szCs w:val="21"/>
          <w:highlight w:val="none"/>
        </w:rPr>
        <w:t>投标人代表签字：</w:t>
      </w:r>
    </w:p>
    <w:p w14:paraId="51312CFB">
      <w:pPr>
        <w:shd w:val="clear"/>
        <w:rPr>
          <w:rFonts w:ascii="宋体" w:hAnsi="宋体"/>
          <w:color w:val="auto"/>
          <w:szCs w:val="21"/>
          <w:highlight w:val="none"/>
        </w:rPr>
      </w:pPr>
      <w:r>
        <w:rPr>
          <w:rFonts w:hint="eastAsia" w:ascii="宋体" w:hAnsi="宋体"/>
          <w:color w:val="auto"/>
          <w:szCs w:val="21"/>
          <w:highlight w:val="none"/>
        </w:rPr>
        <w:t>投标人盖章：</w:t>
      </w:r>
    </w:p>
    <w:p w14:paraId="337FD3D4">
      <w:pPr>
        <w:shd w:val="clear"/>
        <w:rPr>
          <w:rFonts w:ascii="宋体" w:hAnsi="宋体"/>
          <w:color w:val="auto"/>
          <w:szCs w:val="21"/>
          <w:highlight w:val="none"/>
        </w:rPr>
      </w:pPr>
    </w:p>
    <w:p w14:paraId="2DB1ADC2">
      <w:pPr>
        <w:shd w:val="clear"/>
        <w:rPr>
          <w:rFonts w:ascii="宋体" w:hAnsi="宋体"/>
          <w:color w:val="auto"/>
          <w:szCs w:val="21"/>
          <w:highlight w:val="none"/>
        </w:rPr>
      </w:pPr>
      <w:r>
        <w:rPr>
          <w:rFonts w:hint="eastAsia" w:ascii="宋体" w:hAnsi="宋体"/>
          <w:color w:val="auto"/>
          <w:szCs w:val="21"/>
          <w:highlight w:val="none"/>
        </w:rPr>
        <w:t>注：</w:t>
      </w:r>
    </w:p>
    <w:p w14:paraId="1CC2F19B">
      <w:pPr>
        <w:shd w:val="clea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22119BCA">
      <w:pPr>
        <w:shd w:val="clea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14:paraId="44E5CF36">
      <w:pPr>
        <w:shd w:val="clear"/>
        <w:adjustRightInd/>
        <w:snapToGrid/>
        <w:spacing w:line="276" w:lineRule="auto"/>
        <w:rPr>
          <w:color w:val="auto"/>
          <w:highlight w:val="none"/>
        </w:rPr>
      </w:pPr>
    </w:p>
    <w:p w14:paraId="12FEC040">
      <w:pPr>
        <w:shd w:val="clear"/>
        <w:adjustRightInd/>
        <w:snapToGrid/>
        <w:spacing w:line="276" w:lineRule="auto"/>
        <w:rPr>
          <w:color w:val="auto"/>
          <w:highlight w:val="none"/>
        </w:rPr>
      </w:pPr>
    </w:p>
    <w:p w14:paraId="5E91873F">
      <w:pPr>
        <w:shd w:val="clear"/>
        <w:adjustRightInd/>
        <w:snapToGrid/>
        <w:spacing w:line="276" w:lineRule="auto"/>
        <w:rPr>
          <w:color w:val="auto"/>
          <w:highlight w:val="none"/>
        </w:rPr>
      </w:pPr>
      <w:r>
        <w:rPr>
          <w:color w:val="auto"/>
          <w:highlight w:val="none"/>
        </w:rPr>
        <w:br w:type="page"/>
      </w:r>
      <w:bookmarkStart w:id="305" w:name="_Toc32183"/>
    </w:p>
    <w:p w14:paraId="3CD9A7AF">
      <w:pPr>
        <w:pStyle w:val="4"/>
        <w:shd w:val="clear"/>
        <w:jc w:val="center"/>
        <w:rPr>
          <w:color w:val="auto"/>
          <w:highlight w:val="none"/>
        </w:rPr>
      </w:pPr>
      <w:bookmarkStart w:id="306" w:name="_Toc19276"/>
      <w:bookmarkStart w:id="307" w:name="_Toc25391"/>
      <w:r>
        <w:rPr>
          <w:rFonts w:hint="eastAsia"/>
          <w:color w:val="auto"/>
          <w:highlight w:val="none"/>
        </w:rPr>
        <w:t>十二、业绩表</w:t>
      </w:r>
      <w:bookmarkEnd w:id="306"/>
      <w:bookmarkEnd w:id="307"/>
    </w:p>
    <w:tbl>
      <w:tblPr>
        <w:tblStyle w:val="25"/>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6827B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14:paraId="78E06984">
            <w:pPr>
              <w:shd w:val="clea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14:paraId="1F9D8D64">
            <w:pPr>
              <w:shd w:val="clea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14:paraId="09592E5E">
            <w:pPr>
              <w:shd w:val="clea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14:paraId="45A465EE">
            <w:pPr>
              <w:shd w:val="clea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14:paraId="490371B0">
            <w:pPr>
              <w:shd w:val="clea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14:paraId="784A6584">
            <w:pPr>
              <w:shd w:val="clea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14:paraId="330F8890">
            <w:pPr>
              <w:shd w:val="clea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33C03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72CC8E4C">
            <w:pPr>
              <w:shd w:val="clear"/>
              <w:jc w:val="center"/>
              <w:rPr>
                <w:rFonts w:ascii="宋体" w:hAnsi="宋体" w:cs="宋体"/>
                <w:bCs/>
                <w:color w:val="auto"/>
                <w:szCs w:val="21"/>
                <w:highlight w:val="none"/>
              </w:rPr>
            </w:pPr>
          </w:p>
        </w:tc>
        <w:tc>
          <w:tcPr>
            <w:tcW w:w="1140" w:type="dxa"/>
            <w:tcBorders>
              <w:tl2br w:val="nil"/>
              <w:tr2bl w:val="nil"/>
            </w:tcBorders>
            <w:noWrap/>
            <w:vAlign w:val="center"/>
          </w:tcPr>
          <w:p w14:paraId="0FC1557A">
            <w:pPr>
              <w:shd w:val="clear"/>
              <w:rPr>
                <w:rFonts w:ascii="宋体" w:hAnsi="宋体" w:cs="宋体"/>
                <w:bCs/>
                <w:color w:val="auto"/>
                <w:szCs w:val="21"/>
                <w:highlight w:val="none"/>
              </w:rPr>
            </w:pPr>
          </w:p>
        </w:tc>
        <w:tc>
          <w:tcPr>
            <w:tcW w:w="1178" w:type="dxa"/>
            <w:tcBorders>
              <w:tl2br w:val="nil"/>
              <w:tr2bl w:val="nil"/>
            </w:tcBorders>
            <w:noWrap/>
            <w:vAlign w:val="center"/>
          </w:tcPr>
          <w:p w14:paraId="2D75DA6E">
            <w:pPr>
              <w:shd w:val="clear"/>
              <w:rPr>
                <w:rFonts w:ascii="宋体" w:hAnsi="宋体" w:cs="宋体"/>
                <w:bCs/>
                <w:color w:val="auto"/>
                <w:szCs w:val="21"/>
                <w:highlight w:val="none"/>
              </w:rPr>
            </w:pPr>
          </w:p>
        </w:tc>
        <w:tc>
          <w:tcPr>
            <w:tcW w:w="1365" w:type="dxa"/>
            <w:tcBorders>
              <w:tl2br w:val="nil"/>
              <w:tr2bl w:val="nil"/>
            </w:tcBorders>
            <w:noWrap/>
            <w:vAlign w:val="center"/>
          </w:tcPr>
          <w:p w14:paraId="4B1FCAB7">
            <w:pPr>
              <w:shd w:val="clear"/>
              <w:rPr>
                <w:rFonts w:ascii="宋体" w:hAnsi="宋体" w:cs="宋体"/>
                <w:bCs/>
                <w:color w:val="auto"/>
                <w:szCs w:val="21"/>
                <w:highlight w:val="none"/>
              </w:rPr>
            </w:pPr>
          </w:p>
        </w:tc>
        <w:tc>
          <w:tcPr>
            <w:tcW w:w="1815" w:type="dxa"/>
            <w:tcBorders>
              <w:tl2br w:val="nil"/>
              <w:tr2bl w:val="nil"/>
            </w:tcBorders>
            <w:noWrap/>
            <w:vAlign w:val="center"/>
          </w:tcPr>
          <w:p w14:paraId="6CB7B52C">
            <w:pPr>
              <w:shd w:val="clear"/>
              <w:rPr>
                <w:rFonts w:ascii="宋体" w:hAnsi="宋体" w:cs="宋体"/>
                <w:bCs/>
                <w:color w:val="auto"/>
                <w:szCs w:val="21"/>
                <w:highlight w:val="none"/>
              </w:rPr>
            </w:pPr>
          </w:p>
        </w:tc>
        <w:tc>
          <w:tcPr>
            <w:tcW w:w="1207" w:type="dxa"/>
            <w:tcBorders>
              <w:tl2br w:val="nil"/>
              <w:tr2bl w:val="nil"/>
            </w:tcBorders>
            <w:noWrap/>
            <w:vAlign w:val="center"/>
          </w:tcPr>
          <w:p w14:paraId="23CA9C36">
            <w:pPr>
              <w:shd w:val="clear"/>
              <w:rPr>
                <w:rFonts w:ascii="宋体" w:hAnsi="宋体" w:cs="宋体"/>
                <w:bCs/>
                <w:color w:val="auto"/>
                <w:szCs w:val="21"/>
                <w:highlight w:val="none"/>
              </w:rPr>
            </w:pPr>
          </w:p>
        </w:tc>
        <w:tc>
          <w:tcPr>
            <w:tcW w:w="765" w:type="dxa"/>
            <w:tcBorders>
              <w:tl2br w:val="nil"/>
              <w:tr2bl w:val="nil"/>
            </w:tcBorders>
            <w:noWrap/>
            <w:vAlign w:val="center"/>
          </w:tcPr>
          <w:p w14:paraId="6B52D540">
            <w:pPr>
              <w:shd w:val="clear"/>
              <w:rPr>
                <w:rFonts w:ascii="宋体" w:hAnsi="宋体" w:cs="宋体"/>
                <w:bCs/>
                <w:color w:val="auto"/>
                <w:szCs w:val="21"/>
                <w:highlight w:val="none"/>
              </w:rPr>
            </w:pPr>
          </w:p>
        </w:tc>
      </w:tr>
      <w:tr w14:paraId="110B4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643E48F0">
            <w:pPr>
              <w:shd w:val="clear"/>
              <w:jc w:val="center"/>
              <w:rPr>
                <w:rFonts w:ascii="宋体" w:hAnsi="宋体" w:cs="宋体"/>
                <w:bCs/>
                <w:color w:val="auto"/>
                <w:szCs w:val="21"/>
                <w:highlight w:val="none"/>
              </w:rPr>
            </w:pPr>
          </w:p>
        </w:tc>
        <w:tc>
          <w:tcPr>
            <w:tcW w:w="1140" w:type="dxa"/>
            <w:tcBorders>
              <w:tl2br w:val="nil"/>
              <w:tr2bl w:val="nil"/>
            </w:tcBorders>
            <w:noWrap/>
            <w:vAlign w:val="center"/>
          </w:tcPr>
          <w:p w14:paraId="64D2D147">
            <w:pPr>
              <w:shd w:val="clear"/>
              <w:rPr>
                <w:rFonts w:ascii="宋体" w:hAnsi="宋体" w:cs="宋体"/>
                <w:bCs/>
                <w:color w:val="auto"/>
                <w:szCs w:val="21"/>
                <w:highlight w:val="none"/>
              </w:rPr>
            </w:pPr>
          </w:p>
        </w:tc>
        <w:tc>
          <w:tcPr>
            <w:tcW w:w="1178" w:type="dxa"/>
            <w:tcBorders>
              <w:tl2br w:val="nil"/>
              <w:tr2bl w:val="nil"/>
            </w:tcBorders>
            <w:noWrap/>
            <w:vAlign w:val="center"/>
          </w:tcPr>
          <w:p w14:paraId="779E62BD">
            <w:pPr>
              <w:shd w:val="clear"/>
              <w:rPr>
                <w:rFonts w:ascii="宋体" w:hAnsi="宋体" w:cs="宋体"/>
                <w:bCs/>
                <w:color w:val="auto"/>
                <w:szCs w:val="21"/>
                <w:highlight w:val="none"/>
              </w:rPr>
            </w:pPr>
          </w:p>
        </w:tc>
        <w:tc>
          <w:tcPr>
            <w:tcW w:w="1365" w:type="dxa"/>
            <w:tcBorders>
              <w:tl2br w:val="nil"/>
              <w:tr2bl w:val="nil"/>
            </w:tcBorders>
            <w:noWrap/>
            <w:vAlign w:val="center"/>
          </w:tcPr>
          <w:p w14:paraId="0740FC73">
            <w:pPr>
              <w:shd w:val="clear"/>
              <w:rPr>
                <w:rFonts w:ascii="宋体" w:hAnsi="宋体" w:cs="宋体"/>
                <w:bCs/>
                <w:color w:val="auto"/>
                <w:szCs w:val="21"/>
                <w:highlight w:val="none"/>
              </w:rPr>
            </w:pPr>
          </w:p>
        </w:tc>
        <w:tc>
          <w:tcPr>
            <w:tcW w:w="1815" w:type="dxa"/>
            <w:tcBorders>
              <w:tl2br w:val="nil"/>
              <w:tr2bl w:val="nil"/>
            </w:tcBorders>
            <w:noWrap/>
            <w:vAlign w:val="center"/>
          </w:tcPr>
          <w:p w14:paraId="51C279C4">
            <w:pPr>
              <w:shd w:val="clear"/>
              <w:rPr>
                <w:rFonts w:ascii="宋体" w:hAnsi="宋体" w:cs="宋体"/>
                <w:bCs/>
                <w:color w:val="auto"/>
                <w:szCs w:val="21"/>
                <w:highlight w:val="none"/>
              </w:rPr>
            </w:pPr>
          </w:p>
        </w:tc>
        <w:tc>
          <w:tcPr>
            <w:tcW w:w="1207" w:type="dxa"/>
            <w:tcBorders>
              <w:tl2br w:val="nil"/>
              <w:tr2bl w:val="nil"/>
            </w:tcBorders>
            <w:noWrap/>
            <w:vAlign w:val="center"/>
          </w:tcPr>
          <w:p w14:paraId="33DA8237">
            <w:pPr>
              <w:shd w:val="clear"/>
              <w:rPr>
                <w:rFonts w:ascii="宋体" w:hAnsi="宋体" w:cs="宋体"/>
                <w:bCs/>
                <w:color w:val="auto"/>
                <w:szCs w:val="21"/>
                <w:highlight w:val="none"/>
              </w:rPr>
            </w:pPr>
          </w:p>
        </w:tc>
        <w:tc>
          <w:tcPr>
            <w:tcW w:w="765" w:type="dxa"/>
            <w:tcBorders>
              <w:tl2br w:val="nil"/>
              <w:tr2bl w:val="nil"/>
            </w:tcBorders>
            <w:noWrap/>
            <w:vAlign w:val="center"/>
          </w:tcPr>
          <w:p w14:paraId="62224E61">
            <w:pPr>
              <w:shd w:val="clear"/>
              <w:rPr>
                <w:rFonts w:ascii="宋体" w:hAnsi="宋体" w:cs="宋体"/>
                <w:bCs/>
                <w:color w:val="auto"/>
                <w:szCs w:val="21"/>
                <w:highlight w:val="none"/>
              </w:rPr>
            </w:pPr>
          </w:p>
        </w:tc>
      </w:tr>
      <w:tr w14:paraId="6617A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3DC0232A">
            <w:pPr>
              <w:shd w:val="clear"/>
              <w:jc w:val="center"/>
              <w:rPr>
                <w:rFonts w:ascii="宋体" w:hAnsi="宋体" w:cs="宋体"/>
                <w:bCs/>
                <w:color w:val="auto"/>
                <w:szCs w:val="21"/>
                <w:highlight w:val="none"/>
              </w:rPr>
            </w:pPr>
          </w:p>
        </w:tc>
        <w:tc>
          <w:tcPr>
            <w:tcW w:w="1140" w:type="dxa"/>
            <w:tcBorders>
              <w:tl2br w:val="nil"/>
              <w:tr2bl w:val="nil"/>
            </w:tcBorders>
            <w:noWrap/>
            <w:vAlign w:val="center"/>
          </w:tcPr>
          <w:p w14:paraId="48241D17">
            <w:pPr>
              <w:shd w:val="clear"/>
              <w:rPr>
                <w:rFonts w:ascii="宋体" w:hAnsi="宋体" w:cs="宋体"/>
                <w:bCs/>
                <w:color w:val="auto"/>
                <w:szCs w:val="21"/>
                <w:highlight w:val="none"/>
              </w:rPr>
            </w:pPr>
          </w:p>
        </w:tc>
        <w:tc>
          <w:tcPr>
            <w:tcW w:w="1178" w:type="dxa"/>
            <w:tcBorders>
              <w:tl2br w:val="nil"/>
              <w:tr2bl w:val="nil"/>
            </w:tcBorders>
            <w:noWrap/>
            <w:vAlign w:val="center"/>
          </w:tcPr>
          <w:p w14:paraId="10B51A68">
            <w:pPr>
              <w:shd w:val="clear"/>
              <w:rPr>
                <w:rFonts w:ascii="宋体" w:hAnsi="宋体" w:cs="宋体"/>
                <w:bCs/>
                <w:color w:val="auto"/>
                <w:szCs w:val="21"/>
                <w:highlight w:val="none"/>
              </w:rPr>
            </w:pPr>
          </w:p>
        </w:tc>
        <w:tc>
          <w:tcPr>
            <w:tcW w:w="1365" w:type="dxa"/>
            <w:tcBorders>
              <w:tl2br w:val="nil"/>
              <w:tr2bl w:val="nil"/>
            </w:tcBorders>
            <w:noWrap/>
            <w:vAlign w:val="center"/>
          </w:tcPr>
          <w:p w14:paraId="7D0A438C">
            <w:pPr>
              <w:shd w:val="clear"/>
              <w:rPr>
                <w:rFonts w:ascii="宋体" w:hAnsi="宋体" w:cs="宋体"/>
                <w:bCs/>
                <w:color w:val="auto"/>
                <w:szCs w:val="21"/>
                <w:highlight w:val="none"/>
              </w:rPr>
            </w:pPr>
          </w:p>
        </w:tc>
        <w:tc>
          <w:tcPr>
            <w:tcW w:w="1815" w:type="dxa"/>
            <w:tcBorders>
              <w:tl2br w:val="nil"/>
              <w:tr2bl w:val="nil"/>
            </w:tcBorders>
            <w:noWrap/>
            <w:vAlign w:val="center"/>
          </w:tcPr>
          <w:p w14:paraId="74DC915D">
            <w:pPr>
              <w:shd w:val="clear"/>
              <w:rPr>
                <w:rFonts w:ascii="宋体" w:hAnsi="宋体" w:cs="宋体"/>
                <w:bCs/>
                <w:color w:val="auto"/>
                <w:szCs w:val="21"/>
                <w:highlight w:val="none"/>
              </w:rPr>
            </w:pPr>
          </w:p>
        </w:tc>
        <w:tc>
          <w:tcPr>
            <w:tcW w:w="1207" w:type="dxa"/>
            <w:tcBorders>
              <w:tl2br w:val="nil"/>
              <w:tr2bl w:val="nil"/>
            </w:tcBorders>
            <w:noWrap/>
            <w:vAlign w:val="center"/>
          </w:tcPr>
          <w:p w14:paraId="52A2826B">
            <w:pPr>
              <w:shd w:val="clear"/>
              <w:rPr>
                <w:rFonts w:ascii="宋体" w:hAnsi="宋体" w:cs="宋体"/>
                <w:bCs/>
                <w:color w:val="auto"/>
                <w:szCs w:val="21"/>
                <w:highlight w:val="none"/>
              </w:rPr>
            </w:pPr>
          </w:p>
        </w:tc>
        <w:tc>
          <w:tcPr>
            <w:tcW w:w="765" w:type="dxa"/>
            <w:tcBorders>
              <w:tl2br w:val="nil"/>
              <w:tr2bl w:val="nil"/>
            </w:tcBorders>
            <w:noWrap/>
            <w:vAlign w:val="center"/>
          </w:tcPr>
          <w:p w14:paraId="2F78A935">
            <w:pPr>
              <w:shd w:val="clear"/>
              <w:rPr>
                <w:rFonts w:ascii="宋体" w:hAnsi="宋体" w:cs="宋体"/>
                <w:bCs/>
                <w:color w:val="auto"/>
                <w:szCs w:val="21"/>
                <w:highlight w:val="none"/>
              </w:rPr>
            </w:pPr>
          </w:p>
        </w:tc>
      </w:tr>
      <w:tr w14:paraId="2097D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16EA9096">
            <w:pPr>
              <w:shd w:val="clear"/>
              <w:jc w:val="center"/>
              <w:rPr>
                <w:rFonts w:ascii="宋体" w:hAnsi="宋体" w:cs="宋体"/>
                <w:bCs/>
                <w:color w:val="auto"/>
                <w:szCs w:val="21"/>
                <w:highlight w:val="none"/>
              </w:rPr>
            </w:pPr>
          </w:p>
        </w:tc>
        <w:tc>
          <w:tcPr>
            <w:tcW w:w="1140" w:type="dxa"/>
            <w:tcBorders>
              <w:tl2br w:val="nil"/>
              <w:tr2bl w:val="nil"/>
            </w:tcBorders>
            <w:noWrap/>
            <w:vAlign w:val="center"/>
          </w:tcPr>
          <w:p w14:paraId="364324BD">
            <w:pPr>
              <w:shd w:val="clear"/>
              <w:rPr>
                <w:rFonts w:ascii="宋体" w:hAnsi="宋体" w:cs="宋体"/>
                <w:bCs/>
                <w:color w:val="auto"/>
                <w:szCs w:val="21"/>
                <w:highlight w:val="none"/>
              </w:rPr>
            </w:pPr>
          </w:p>
        </w:tc>
        <w:tc>
          <w:tcPr>
            <w:tcW w:w="1178" w:type="dxa"/>
            <w:tcBorders>
              <w:tl2br w:val="nil"/>
              <w:tr2bl w:val="nil"/>
            </w:tcBorders>
            <w:noWrap/>
            <w:vAlign w:val="center"/>
          </w:tcPr>
          <w:p w14:paraId="3D49EBD9">
            <w:pPr>
              <w:shd w:val="clear"/>
              <w:rPr>
                <w:rFonts w:ascii="宋体" w:hAnsi="宋体" w:cs="宋体"/>
                <w:bCs/>
                <w:color w:val="auto"/>
                <w:szCs w:val="21"/>
                <w:highlight w:val="none"/>
              </w:rPr>
            </w:pPr>
          </w:p>
        </w:tc>
        <w:tc>
          <w:tcPr>
            <w:tcW w:w="1365" w:type="dxa"/>
            <w:tcBorders>
              <w:tl2br w:val="nil"/>
              <w:tr2bl w:val="nil"/>
            </w:tcBorders>
            <w:noWrap/>
            <w:vAlign w:val="center"/>
          </w:tcPr>
          <w:p w14:paraId="03375FA7">
            <w:pPr>
              <w:shd w:val="clear"/>
              <w:rPr>
                <w:rFonts w:ascii="宋体" w:hAnsi="宋体" w:cs="宋体"/>
                <w:bCs/>
                <w:color w:val="auto"/>
                <w:szCs w:val="21"/>
                <w:highlight w:val="none"/>
              </w:rPr>
            </w:pPr>
          </w:p>
        </w:tc>
        <w:tc>
          <w:tcPr>
            <w:tcW w:w="1815" w:type="dxa"/>
            <w:tcBorders>
              <w:tl2br w:val="nil"/>
              <w:tr2bl w:val="nil"/>
            </w:tcBorders>
            <w:noWrap/>
            <w:vAlign w:val="center"/>
          </w:tcPr>
          <w:p w14:paraId="336B86B9">
            <w:pPr>
              <w:shd w:val="clear"/>
              <w:rPr>
                <w:rFonts w:ascii="宋体" w:hAnsi="宋体" w:cs="宋体"/>
                <w:bCs/>
                <w:color w:val="auto"/>
                <w:szCs w:val="21"/>
                <w:highlight w:val="none"/>
              </w:rPr>
            </w:pPr>
          </w:p>
        </w:tc>
        <w:tc>
          <w:tcPr>
            <w:tcW w:w="1207" w:type="dxa"/>
            <w:tcBorders>
              <w:tl2br w:val="nil"/>
              <w:tr2bl w:val="nil"/>
            </w:tcBorders>
            <w:noWrap/>
            <w:vAlign w:val="center"/>
          </w:tcPr>
          <w:p w14:paraId="6F19C90D">
            <w:pPr>
              <w:shd w:val="clear"/>
              <w:rPr>
                <w:rFonts w:ascii="宋体" w:hAnsi="宋体" w:cs="宋体"/>
                <w:bCs/>
                <w:color w:val="auto"/>
                <w:szCs w:val="21"/>
                <w:highlight w:val="none"/>
              </w:rPr>
            </w:pPr>
          </w:p>
        </w:tc>
        <w:tc>
          <w:tcPr>
            <w:tcW w:w="765" w:type="dxa"/>
            <w:tcBorders>
              <w:tl2br w:val="nil"/>
              <w:tr2bl w:val="nil"/>
            </w:tcBorders>
            <w:noWrap/>
            <w:vAlign w:val="center"/>
          </w:tcPr>
          <w:p w14:paraId="1743442D">
            <w:pPr>
              <w:shd w:val="clear"/>
              <w:rPr>
                <w:rFonts w:ascii="宋体" w:hAnsi="宋体" w:cs="宋体"/>
                <w:bCs/>
                <w:color w:val="auto"/>
                <w:szCs w:val="21"/>
                <w:highlight w:val="none"/>
              </w:rPr>
            </w:pPr>
          </w:p>
        </w:tc>
      </w:tr>
      <w:tr w14:paraId="3D1C3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0D40F12A">
            <w:pPr>
              <w:shd w:val="clear"/>
              <w:jc w:val="center"/>
              <w:rPr>
                <w:rFonts w:ascii="宋体" w:hAnsi="宋体" w:cs="宋体"/>
                <w:bCs/>
                <w:color w:val="auto"/>
                <w:szCs w:val="21"/>
                <w:highlight w:val="none"/>
              </w:rPr>
            </w:pPr>
          </w:p>
        </w:tc>
        <w:tc>
          <w:tcPr>
            <w:tcW w:w="1140" w:type="dxa"/>
            <w:tcBorders>
              <w:tl2br w:val="nil"/>
              <w:tr2bl w:val="nil"/>
            </w:tcBorders>
            <w:noWrap/>
            <w:vAlign w:val="center"/>
          </w:tcPr>
          <w:p w14:paraId="01FC1AC6">
            <w:pPr>
              <w:shd w:val="clear"/>
              <w:rPr>
                <w:rFonts w:ascii="宋体" w:hAnsi="宋体" w:cs="宋体"/>
                <w:bCs/>
                <w:color w:val="auto"/>
                <w:szCs w:val="21"/>
                <w:highlight w:val="none"/>
              </w:rPr>
            </w:pPr>
          </w:p>
        </w:tc>
        <w:tc>
          <w:tcPr>
            <w:tcW w:w="1178" w:type="dxa"/>
            <w:tcBorders>
              <w:tl2br w:val="nil"/>
              <w:tr2bl w:val="nil"/>
            </w:tcBorders>
            <w:noWrap/>
            <w:vAlign w:val="center"/>
          </w:tcPr>
          <w:p w14:paraId="7AA98FC9">
            <w:pPr>
              <w:shd w:val="clear"/>
              <w:rPr>
                <w:rFonts w:ascii="宋体" w:hAnsi="宋体" w:cs="宋体"/>
                <w:bCs/>
                <w:color w:val="auto"/>
                <w:szCs w:val="21"/>
                <w:highlight w:val="none"/>
              </w:rPr>
            </w:pPr>
          </w:p>
        </w:tc>
        <w:tc>
          <w:tcPr>
            <w:tcW w:w="1365" w:type="dxa"/>
            <w:tcBorders>
              <w:tl2br w:val="nil"/>
              <w:tr2bl w:val="nil"/>
            </w:tcBorders>
            <w:noWrap/>
            <w:vAlign w:val="center"/>
          </w:tcPr>
          <w:p w14:paraId="51518A73">
            <w:pPr>
              <w:shd w:val="clear"/>
              <w:rPr>
                <w:rFonts w:ascii="宋体" w:hAnsi="宋体" w:cs="宋体"/>
                <w:bCs/>
                <w:color w:val="auto"/>
                <w:szCs w:val="21"/>
                <w:highlight w:val="none"/>
              </w:rPr>
            </w:pPr>
          </w:p>
        </w:tc>
        <w:tc>
          <w:tcPr>
            <w:tcW w:w="1815" w:type="dxa"/>
            <w:tcBorders>
              <w:tl2br w:val="nil"/>
              <w:tr2bl w:val="nil"/>
            </w:tcBorders>
            <w:noWrap/>
            <w:vAlign w:val="center"/>
          </w:tcPr>
          <w:p w14:paraId="026D86F9">
            <w:pPr>
              <w:shd w:val="clear"/>
              <w:rPr>
                <w:rFonts w:ascii="宋体" w:hAnsi="宋体" w:cs="宋体"/>
                <w:bCs/>
                <w:color w:val="auto"/>
                <w:szCs w:val="21"/>
                <w:highlight w:val="none"/>
              </w:rPr>
            </w:pPr>
          </w:p>
        </w:tc>
        <w:tc>
          <w:tcPr>
            <w:tcW w:w="1207" w:type="dxa"/>
            <w:tcBorders>
              <w:tl2br w:val="nil"/>
              <w:tr2bl w:val="nil"/>
            </w:tcBorders>
            <w:noWrap/>
            <w:vAlign w:val="center"/>
          </w:tcPr>
          <w:p w14:paraId="30A7F6C5">
            <w:pPr>
              <w:shd w:val="clear"/>
              <w:rPr>
                <w:rFonts w:ascii="宋体" w:hAnsi="宋体" w:cs="宋体"/>
                <w:bCs/>
                <w:color w:val="auto"/>
                <w:szCs w:val="21"/>
                <w:highlight w:val="none"/>
              </w:rPr>
            </w:pPr>
          </w:p>
        </w:tc>
        <w:tc>
          <w:tcPr>
            <w:tcW w:w="765" w:type="dxa"/>
            <w:tcBorders>
              <w:tl2br w:val="nil"/>
              <w:tr2bl w:val="nil"/>
            </w:tcBorders>
            <w:noWrap/>
            <w:vAlign w:val="center"/>
          </w:tcPr>
          <w:p w14:paraId="597FF9B8">
            <w:pPr>
              <w:shd w:val="clear"/>
              <w:rPr>
                <w:rFonts w:ascii="宋体" w:hAnsi="宋体" w:cs="宋体"/>
                <w:bCs/>
                <w:color w:val="auto"/>
                <w:szCs w:val="21"/>
                <w:highlight w:val="none"/>
              </w:rPr>
            </w:pPr>
          </w:p>
        </w:tc>
      </w:tr>
      <w:tr w14:paraId="69F3B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71BC73D2">
            <w:pPr>
              <w:shd w:val="clear"/>
              <w:jc w:val="center"/>
              <w:rPr>
                <w:rFonts w:ascii="宋体" w:hAnsi="宋体" w:cs="宋体"/>
                <w:bCs/>
                <w:color w:val="auto"/>
                <w:szCs w:val="21"/>
                <w:highlight w:val="none"/>
              </w:rPr>
            </w:pPr>
          </w:p>
        </w:tc>
        <w:tc>
          <w:tcPr>
            <w:tcW w:w="1140" w:type="dxa"/>
            <w:tcBorders>
              <w:tl2br w:val="nil"/>
              <w:tr2bl w:val="nil"/>
            </w:tcBorders>
            <w:noWrap/>
            <w:vAlign w:val="center"/>
          </w:tcPr>
          <w:p w14:paraId="539AEBE1">
            <w:pPr>
              <w:shd w:val="clear"/>
              <w:rPr>
                <w:rFonts w:ascii="宋体" w:hAnsi="宋体" w:cs="宋体"/>
                <w:bCs/>
                <w:color w:val="auto"/>
                <w:szCs w:val="21"/>
                <w:highlight w:val="none"/>
              </w:rPr>
            </w:pPr>
          </w:p>
        </w:tc>
        <w:tc>
          <w:tcPr>
            <w:tcW w:w="1178" w:type="dxa"/>
            <w:tcBorders>
              <w:tl2br w:val="nil"/>
              <w:tr2bl w:val="nil"/>
            </w:tcBorders>
            <w:noWrap/>
            <w:vAlign w:val="center"/>
          </w:tcPr>
          <w:p w14:paraId="6D2C2D01">
            <w:pPr>
              <w:shd w:val="clear"/>
              <w:rPr>
                <w:rFonts w:ascii="宋体" w:hAnsi="宋体" w:cs="宋体"/>
                <w:bCs/>
                <w:color w:val="auto"/>
                <w:szCs w:val="21"/>
                <w:highlight w:val="none"/>
              </w:rPr>
            </w:pPr>
          </w:p>
        </w:tc>
        <w:tc>
          <w:tcPr>
            <w:tcW w:w="1365" w:type="dxa"/>
            <w:tcBorders>
              <w:tl2br w:val="nil"/>
              <w:tr2bl w:val="nil"/>
            </w:tcBorders>
            <w:noWrap/>
            <w:vAlign w:val="center"/>
          </w:tcPr>
          <w:p w14:paraId="3EE7F921">
            <w:pPr>
              <w:shd w:val="clear"/>
              <w:rPr>
                <w:rFonts w:ascii="宋体" w:hAnsi="宋体" w:cs="宋体"/>
                <w:bCs/>
                <w:color w:val="auto"/>
                <w:szCs w:val="21"/>
                <w:highlight w:val="none"/>
              </w:rPr>
            </w:pPr>
          </w:p>
        </w:tc>
        <w:tc>
          <w:tcPr>
            <w:tcW w:w="1815" w:type="dxa"/>
            <w:tcBorders>
              <w:tl2br w:val="nil"/>
              <w:tr2bl w:val="nil"/>
            </w:tcBorders>
            <w:noWrap/>
            <w:vAlign w:val="center"/>
          </w:tcPr>
          <w:p w14:paraId="389EB2D0">
            <w:pPr>
              <w:shd w:val="clear"/>
              <w:rPr>
                <w:rFonts w:ascii="宋体" w:hAnsi="宋体" w:cs="宋体"/>
                <w:bCs/>
                <w:color w:val="auto"/>
                <w:szCs w:val="21"/>
                <w:highlight w:val="none"/>
              </w:rPr>
            </w:pPr>
          </w:p>
        </w:tc>
        <w:tc>
          <w:tcPr>
            <w:tcW w:w="1207" w:type="dxa"/>
            <w:tcBorders>
              <w:tl2br w:val="nil"/>
              <w:tr2bl w:val="nil"/>
            </w:tcBorders>
            <w:noWrap/>
            <w:vAlign w:val="center"/>
          </w:tcPr>
          <w:p w14:paraId="657E0FAE">
            <w:pPr>
              <w:shd w:val="clear"/>
              <w:rPr>
                <w:rFonts w:ascii="宋体" w:hAnsi="宋体" w:cs="宋体"/>
                <w:bCs/>
                <w:color w:val="auto"/>
                <w:szCs w:val="21"/>
                <w:highlight w:val="none"/>
              </w:rPr>
            </w:pPr>
          </w:p>
        </w:tc>
        <w:tc>
          <w:tcPr>
            <w:tcW w:w="765" w:type="dxa"/>
            <w:tcBorders>
              <w:tl2br w:val="nil"/>
              <w:tr2bl w:val="nil"/>
            </w:tcBorders>
            <w:noWrap/>
            <w:vAlign w:val="center"/>
          </w:tcPr>
          <w:p w14:paraId="2FCDD253">
            <w:pPr>
              <w:shd w:val="clear"/>
              <w:rPr>
                <w:rFonts w:ascii="宋体" w:hAnsi="宋体" w:cs="宋体"/>
                <w:bCs/>
                <w:color w:val="auto"/>
                <w:szCs w:val="21"/>
                <w:highlight w:val="none"/>
              </w:rPr>
            </w:pPr>
          </w:p>
        </w:tc>
      </w:tr>
      <w:tr w14:paraId="0B00E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7038F9FD">
            <w:pPr>
              <w:shd w:val="clear"/>
              <w:jc w:val="center"/>
              <w:rPr>
                <w:rFonts w:ascii="宋体" w:hAnsi="宋体" w:cs="宋体"/>
                <w:bCs/>
                <w:color w:val="auto"/>
                <w:szCs w:val="21"/>
                <w:highlight w:val="none"/>
              </w:rPr>
            </w:pPr>
          </w:p>
        </w:tc>
        <w:tc>
          <w:tcPr>
            <w:tcW w:w="1140" w:type="dxa"/>
            <w:tcBorders>
              <w:tl2br w:val="nil"/>
              <w:tr2bl w:val="nil"/>
            </w:tcBorders>
            <w:noWrap/>
            <w:vAlign w:val="center"/>
          </w:tcPr>
          <w:p w14:paraId="3CD58E08">
            <w:pPr>
              <w:shd w:val="clear"/>
              <w:rPr>
                <w:rFonts w:ascii="宋体" w:hAnsi="宋体" w:cs="宋体"/>
                <w:bCs/>
                <w:color w:val="auto"/>
                <w:szCs w:val="21"/>
                <w:highlight w:val="none"/>
              </w:rPr>
            </w:pPr>
          </w:p>
        </w:tc>
        <w:tc>
          <w:tcPr>
            <w:tcW w:w="1178" w:type="dxa"/>
            <w:tcBorders>
              <w:tl2br w:val="nil"/>
              <w:tr2bl w:val="nil"/>
            </w:tcBorders>
            <w:noWrap/>
            <w:vAlign w:val="center"/>
          </w:tcPr>
          <w:p w14:paraId="39244893">
            <w:pPr>
              <w:shd w:val="clear"/>
              <w:rPr>
                <w:rFonts w:ascii="宋体" w:hAnsi="宋体" w:cs="宋体"/>
                <w:bCs/>
                <w:color w:val="auto"/>
                <w:szCs w:val="21"/>
                <w:highlight w:val="none"/>
              </w:rPr>
            </w:pPr>
          </w:p>
        </w:tc>
        <w:tc>
          <w:tcPr>
            <w:tcW w:w="1365" w:type="dxa"/>
            <w:tcBorders>
              <w:tl2br w:val="nil"/>
              <w:tr2bl w:val="nil"/>
            </w:tcBorders>
            <w:noWrap/>
            <w:vAlign w:val="center"/>
          </w:tcPr>
          <w:p w14:paraId="3545422C">
            <w:pPr>
              <w:shd w:val="clear"/>
              <w:rPr>
                <w:rFonts w:ascii="宋体" w:hAnsi="宋体" w:cs="宋体"/>
                <w:bCs/>
                <w:color w:val="auto"/>
                <w:szCs w:val="21"/>
                <w:highlight w:val="none"/>
              </w:rPr>
            </w:pPr>
          </w:p>
        </w:tc>
        <w:tc>
          <w:tcPr>
            <w:tcW w:w="1815" w:type="dxa"/>
            <w:tcBorders>
              <w:tl2br w:val="nil"/>
              <w:tr2bl w:val="nil"/>
            </w:tcBorders>
            <w:noWrap/>
            <w:vAlign w:val="center"/>
          </w:tcPr>
          <w:p w14:paraId="03AA1138">
            <w:pPr>
              <w:shd w:val="clear"/>
              <w:rPr>
                <w:rFonts w:ascii="宋体" w:hAnsi="宋体" w:cs="宋体"/>
                <w:bCs/>
                <w:color w:val="auto"/>
                <w:szCs w:val="21"/>
                <w:highlight w:val="none"/>
              </w:rPr>
            </w:pPr>
          </w:p>
        </w:tc>
        <w:tc>
          <w:tcPr>
            <w:tcW w:w="1207" w:type="dxa"/>
            <w:tcBorders>
              <w:tl2br w:val="nil"/>
              <w:tr2bl w:val="nil"/>
            </w:tcBorders>
            <w:noWrap/>
            <w:vAlign w:val="center"/>
          </w:tcPr>
          <w:p w14:paraId="306537B4">
            <w:pPr>
              <w:shd w:val="clear"/>
              <w:rPr>
                <w:rFonts w:ascii="宋体" w:hAnsi="宋体" w:cs="宋体"/>
                <w:bCs/>
                <w:color w:val="auto"/>
                <w:szCs w:val="21"/>
                <w:highlight w:val="none"/>
              </w:rPr>
            </w:pPr>
          </w:p>
        </w:tc>
        <w:tc>
          <w:tcPr>
            <w:tcW w:w="765" w:type="dxa"/>
            <w:tcBorders>
              <w:tl2br w:val="nil"/>
              <w:tr2bl w:val="nil"/>
            </w:tcBorders>
            <w:noWrap/>
            <w:vAlign w:val="center"/>
          </w:tcPr>
          <w:p w14:paraId="175C81F5">
            <w:pPr>
              <w:shd w:val="clear"/>
              <w:rPr>
                <w:rFonts w:ascii="宋体" w:hAnsi="宋体" w:cs="宋体"/>
                <w:bCs/>
                <w:color w:val="auto"/>
                <w:szCs w:val="21"/>
                <w:highlight w:val="none"/>
              </w:rPr>
            </w:pPr>
          </w:p>
        </w:tc>
      </w:tr>
      <w:tr w14:paraId="5E630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6CF417FE">
            <w:pPr>
              <w:shd w:val="clear"/>
              <w:jc w:val="center"/>
              <w:rPr>
                <w:rFonts w:ascii="宋体" w:hAnsi="宋体" w:cs="宋体"/>
                <w:bCs/>
                <w:color w:val="auto"/>
                <w:szCs w:val="21"/>
                <w:highlight w:val="none"/>
              </w:rPr>
            </w:pPr>
          </w:p>
        </w:tc>
        <w:tc>
          <w:tcPr>
            <w:tcW w:w="1140" w:type="dxa"/>
            <w:tcBorders>
              <w:tl2br w:val="nil"/>
              <w:tr2bl w:val="nil"/>
            </w:tcBorders>
            <w:noWrap/>
            <w:vAlign w:val="center"/>
          </w:tcPr>
          <w:p w14:paraId="7B5CC8AC">
            <w:pPr>
              <w:shd w:val="clear"/>
              <w:rPr>
                <w:rFonts w:ascii="宋体" w:hAnsi="宋体" w:cs="宋体"/>
                <w:bCs/>
                <w:color w:val="auto"/>
                <w:szCs w:val="21"/>
                <w:highlight w:val="none"/>
              </w:rPr>
            </w:pPr>
          </w:p>
        </w:tc>
        <w:tc>
          <w:tcPr>
            <w:tcW w:w="1178" w:type="dxa"/>
            <w:tcBorders>
              <w:tl2br w:val="nil"/>
              <w:tr2bl w:val="nil"/>
            </w:tcBorders>
            <w:noWrap/>
            <w:vAlign w:val="center"/>
          </w:tcPr>
          <w:p w14:paraId="05FD85FF">
            <w:pPr>
              <w:shd w:val="clear"/>
              <w:rPr>
                <w:rFonts w:ascii="宋体" w:hAnsi="宋体" w:cs="宋体"/>
                <w:bCs/>
                <w:color w:val="auto"/>
                <w:szCs w:val="21"/>
                <w:highlight w:val="none"/>
              </w:rPr>
            </w:pPr>
          </w:p>
        </w:tc>
        <w:tc>
          <w:tcPr>
            <w:tcW w:w="1365" w:type="dxa"/>
            <w:tcBorders>
              <w:tl2br w:val="nil"/>
              <w:tr2bl w:val="nil"/>
            </w:tcBorders>
            <w:noWrap/>
            <w:vAlign w:val="center"/>
          </w:tcPr>
          <w:p w14:paraId="468A75A7">
            <w:pPr>
              <w:shd w:val="clear"/>
              <w:rPr>
                <w:rFonts w:ascii="宋体" w:hAnsi="宋体" w:cs="宋体"/>
                <w:bCs/>
                <w:color w:val="auto"/>
                <w:szCs w:val="21"/>
                <w:highlight w:val="none"/>
              </w:rPr>
            </w:pPr>
          </w:p>
        </w:tc>
        <w:tc>
          <w:tcPr>
            <w:tcW w:w="1815" w:type="dxa"/>
            <w:tcBorders>
              <w:tl2br w:val="nil"/>
              <w:tr2bl w:val="nil"/>
            </w:tcBorders>
            <w:noWrap/>
            <w:vAlign w:val="center"/>
          </w:tcPr>
          <w:p w14:paraId="122F9D91">
            <w:pPr>
              <w:shd w:val="clear"/>
              <w:rPr>
                <w:rFonts w:ascii="宋体" w:hAnsi="宋体" w:cs="宋体"/>
                <w:bCs/>
                <w:color w:val="auto"/>
                <w:szCs w:val="21"/>
                <w:highlight w:val="none"/>
              </w:rPr>
            </w:pPr>
          </w:p>
        </w:tc>
        <w:tc>
          <w:tcPr>
            <w:tcW w:w="1207" w:type="dxa"/>
            <w:tcBorders>
              <w:tl2br w:val="nil"/>
              <w:tr2bl w:val="nil"/>
            </w:tcBorders>
            <w:noWrap/>
            <w:vAlign w:val="center"/>
          </w:tcPr>
          <w:p w14:paraId="20E7C115">
            <w:pPr>
              <w:shd w:val="clear"/>
              <w:rPr>
                <w:rFonts w:ascii="宋体" w:hAnsi="宋体" w:cs="宋体"/>
                <w:bCs/>
                <w:color w:val="auto"/>
                <w:szCs w:val="21"/>
                <w:highlight w:val="none"/>
              </w:rPr>
            </w:pPr>
          </w:p>
        </w:tc>
        <w:tc>
          <w:tcPr>
            <w:tcW w:w="765" w:type="dxa"/>
            <w:tcBorders>
              <w:tl2br w:val="nil"/>
              <w:tr2bl w:val="nil"/>
            </w:tcBorders>
            <w:noWrap/>
            <w:vAlign w:val="center"/>
          </w:tcPr>
          <w:p w14:paraId="6EC16144">
            <w:pPr>
              <w:shd w:val="clear"/>
              <w:rPr>
                <w:rFonts w:ascii="宋体" w:hAnsi="宋体" w:cs="宋体"/>
                <w:bCs/>
                <w:color w:val="auto"/>
                <w:szCs w:val="21"/>
                <w:highlight w:val="none"/>
              </w:rPr>
            </w:pPr>
          </w:p>
        </w:tc>
      </w:tr>
      <w:tr w14:paraId="1E93F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3FD589AF">
            <w:pPr>
              <w:shd w:val="clear"/>
              <w:jc w:val="center"/>
              <w:rPr>
                <w:rFonts w:ascii="宋体" w:hAnsi="宋体" w:cs="宋体"/>
                <w:bCs/>
                <w:color w:val="auto"/>
                <w:szCs w:val="21"/>
                <w:highlight w:val="none"/>
              </w:rPr>
            </w:pPr>
          </w:p>
        </w:tc>
        <w:tc>
          <w:tcPr>
            <w:tcW w:w="1140" w:type="dxa"/>
            <w:tcBorders>
              <w:tl2br w:val="nil"/>
              <w:tr2bl w:val="nil"/>
            </w:tcBorders>
            <w:noWrap/>
            <w:vAlign w:val="center"/>
          </w:tcPr>
          <w:p w14:paraId="353EFF36">
            <w:pPr>
              <w:shd w:val="clear"/>
              <w:rPr>
                <w:rFonts w:ascii="宋体" w:hAnsi="宋体" w:cs="宋体"/>
                <w:bCs/>
                <w:color w:val="auto"/>
                <w:szCs w:val="21"/>
                <w:highlight w:val="none"/>
              </w:rPr>
            </w:pPr>
          </w:p>
        </w:tc>
        <w:tc>
          <w:tcPr>
            <w:tcW w:w="1178" w:type="dxa"/>
            <w:tcBorders>
              <w:tl2br w:val="nil"/>
              <w:tr2bl w:val="nil"/>
            </w:tcBorders>
            <w:noWrap/>
            <w:vAlign w:val="center"/>
          </w:tcPr>
          <w:p w14:paraId="0FD08262">
            <w:pPr>
              <w:shd w:val="clear"/>
              <w:rPr>
                <w:rFonts w:ascii="宋体" w:hAnsi="宋体" w:cs="宋体"/>
                <w:bCs/>
                <w:color w:val="auto"/>
                <w:szCs w:val="21"/>
                <w:highlight w:val="none"/>
              </w:rPr>
            </w:pPr>
          </w:p>
        </w:tc>
        <w:tc>
          <w:tcPr>
            <w:tcW w:w="1365" w:type="dxa"/>
            <w:tcBorders>
              <w:tl2br w:val="nil"/>
              <w:tr2bl w:val="nil"/>
            </w:tcBorders>
            <w:noWrap/>
            <w:vAlign w:val="center"/>
          </w:tcPr>
          <w:p w14:paraId="37FBAB5E">
            <w:pPr>
              <w:shd w:val="clear"/>
              <w:rPr>
                <w:rFonts w:ascii="宋体" w:hAnsi="宋体" w:cs="宋体"/>
                <w:bCs/>
                <w:color w:val="auto"/>
                <w:szCs w:val="21"/>
                <w:highlight w:val="none"/>
              </w:rPr>
            </w:pPr>
          </w:p>
        </w:tc>
        <w:tc>
          <w:tcPr>
            <w:tcW w:w="1815" w:type="dxa"/>
            <w:tcBorders>
              <w:tl2br w:val="nil"/>
              <w:tr2bl w:val="nil"/>
            </w:tcBorders>
            <w:noWrap/>
            <w:vAlign w:val="center"/>
          </w:tcPr>
          <w:p w14:paraId="6D031CEA">
            <w:pPr>
              <w:shd w:val="clear"/>
              <w:rPr>
                <w:rFonts w:ascii="宋体" w:hAnsi="宋体" w:cs="宋体"/>
                <w:bCs/>
                <w:color w:val="auto"/>
                <w:szCs w:val="21"/>
                <w:highlight w:val="none"/>
              </w:rPr>
            </w:pPr>
          </w:p>
        </w:tc>
        <w:tc>
          <w:tcPr>
            <w:tcW w:w="1207" w:type="dxa"/>
            <w:tcBorders>
              <w:tl2br w:val="nil"/>
              <w:tr2bl w:val="nil"/>
            </w:tcBorders>
            <w:noWrap/>
            <w:vAlign w:val="center"/>
          </w:tcPr>
          <w:p w14:paraId="403A6988">
            <w:pPr>
              <w:shd w:val="clear"/>
              <w:rPr>
                <w:rFonts w:ascii="宋体" w:hAnsi="宋体" w:cs="宋体"/>
                <w:bCs/>
                <w:color w:val="auto"/>
                <w:szCs w:val="21"/>
                <w:highlight w:val="none"/>
              </w:rPr>
            </w:pPr>
          </w:p>
        </w:tc>
        <w:tc>
          <w:tcPr>
            <w:tcW w:w="765" w:type="dxa"/>
            <w:tcBorders>
              <w:tl2br w:val="nil"/>
              <w:tr2bl w:val="nil"/>
            </w:tcBorders>
            <w:noWrap/>
            <w:vAlign w:val="center"/>
          </w:tcPr>
          <w:p w14:paraId="0D6B7F91">
            <w:pPr>
              <w:shd w:val="clear"/>
              <w:rPr>
                <w:rFonts w:ascii="宋体" w:hAnsi="宋体" w:cs="宋体"/>
                <w:bCs/>
                <w:color w:val="auto"/>
                <w:szCs w:val="21"/>
                <w:highlight w:val="none"/>
              </w:rPr>
            </w:pPr>
          </w:p>
        </w:tc>
      </w:tr>
      <w:tr w14:paraId="6ADEF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68A464D7">
            <w:pPr>
              <w:shd w:val="clear"/>
              <w:jc w:val="center"/>
              <w:rPr>
                <w:rFonts w:ascii="宋体" w:hAnsi="宋体" w:cs="宋体"/>
                <w:bCs/>
                <w:color w:val="auto"/>
                <w:szCs w:val="21"/>
                <w:highlight w:val="none"/>
              </w:rPr>
            </w:pPr>
          </w:p>
        </w:tc>
        <w:tc>
          <w:tcPr>
            <w:tcW w:w="1140" w:type="dxa"/>
            <w:tcBorders>
              <w:tl2br w:val="nil"/>
              <w:tr2bl w:val="nil"/>
            </w:tcBorders>
            <w:noWrap/>
            <w:vAlign w:val="center"/>
          </w:tcPr>
          <w:p w14:paraId="0D8EBAAE">
            <w:pPr>
              <w:shd w:val="clear"/>
              <w:rPr>
                <w:rFonts w:ascii="宋体" w:hAnsi="宋体" w:cs="宋体"/>
                <w:bCs/>
                <w:color w:val="auto"/>
                <w:szCs w:val="21"/>
                <w:highlight w:val="none"/>
              </w:rPr>
            </w:pPr>
          </w:p>
        </w:tc>
        <w:tc>
          <w:tcPr>
            <w:tcW w:w="1178" w:type="dxa"/>
            <w:tcBorders>
              <w:tl2br w:val="nil"/>
              <w:tr2bl w:val="nil"/>
            </w:tcBorders>
            <w:noWrap/>
            <w:vAlign w:val="center"/>
          </w:tcPr>
          <w:p w14:paraId="13E81A33">
            <w:pPr>
              <w:shd w:val="clear"/>
              <w:rPr>
                <w:rFonts w:ascii="宋体" w:hAnsi="宋体" w:cs="宋体"/>
                <w:bCs/>
                <w:color w:val="auto"/>
                <w:szCs w:val="21"/>
                <w:highlight w:val="none"/>
              </w:rPr>
            </w:pPr>
          </w:p>
        </w:tc>
        <w:tc>
          <w:tcPr>
            <w:tcW w:w="1365" w:type="dxa"/>
            <w:tcBorders>
              <w:tl2br w:val="nil"/>
              <w:tr2bl w:val="nil"/>
            </w:tcBorders>
            <w:noWrap/>
            <w:vAlign w:val="center"/>
          </w:tcPr>
          <w:p w14:paraId="6C1FF488">
            <w:pPr>
              <w:shd w:val="clear"/>
              <w:rPr>
                <w:rFonts w:ascii="宋体" w:hAnsi="宋体" w:cs="宋体"/>
                <w:bCs/>
                <w:color w:val="auto"/>
                <w:szCs w:val="21"/>
                <w:highlight w:val="none"/>
              </w:rPr>
            </w:pPr>
          </w:p>
        </w:tc>
        <w:tc>
          <w:tcPr>
            <w:tcW w:w="1815" w:type="dxa"/>
            <w:tcBorders>
              <w:tl2br w:val="nil"/>
              <w:tr2bl w:val="nil"/>
            </w:tcBorders>
            <w:noWrap/>
            <w:vAlign w:val="center"/>
          </w:tcPr>
          <w:p w14:paraId="1415618E">
            <w:pPr>
              <w:shd w:val="clear"/>
              <w:rPr>
                <w:rFonts w:ascii="宋体" w:hAnsi="宋体" w:cs="宋体"/>
                <w:bCs/>
                <w:color w:val="auto"/>
                <w:szCs w:val="21"/>
                <w:highlight w:val="none"/>
              </w:rPr>
            </w:pPr>
          </w:p>
        </w:tc>
        <w:tc>
          <w:tcPr>
            <w:tcW w:w="1207" w:type="dxa"/>
            <w:tcBorders>
              <w:tl2br w:val="nil"/>
              <w:tr2bl w:val="nil"/>
            </w:tcBorders>
            <w:noWrap/>
            <w:vAlign w:val="center"/>
          </w:tcPr>
          <w:p w14:paraId="701907BC">
            <w:pPr>
              <w:shd w:val="clear"/>
              <w:rPr>
                <w:rFonts w:ascii="宋体" w:hAnsi="宋体" w:cs="宋体"/>
                <w:bCs/>
                <w:color w:val="auto"/>
                <w:szCs w:val="21"/>
                <w:highlight w:val="none"/>
              </w:rPr>
            </w:pPr>
          </w:p>
        </w:tc>
        <w:tc>
          <w:tcPr>
            <w:tcW w:w="765" w:type="dxa"/>
            <w:tcBorders>
              <w:tl2br w:val="nil"/>
              <w:tr2bl w:val="nil"/>
            </w:tcBorders>
            <w:noWrap/>
            <w:vAlign w:val="center"/>
          </w:tcPr>
          <w:p w14:paraId="1EA0701F">
            <w:pPr>
              <w:shd w:val="clear"/>
              <w:rPr>
                <w:rFonts w:ascii="宋体" w:hAnsi="宋体" w:cs="宋体"/>
                <w:bCs/>
                <w:color w:val="auto"/>
                <w:szCs w:val="21"/>
                <w:highlight w:val="none"/>
              </w:rPr>
            </w:pPr>
          </w:p>
        </w:tc>
      </w:tr>
      <w:tr w14:paraId="1BA12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282AD646">
            <w:pPr>
              <w:shd w:val="clear"/>
              <w:jc w:val="center"/>
              <w:rPr>
                <w:rFonts w:ascii="宋体" w:hAnsi="宋体" w:cs="宋体"/>
                <w:bCs/>
                <w:color w:val="auto"/>
                <w:szCs w:val="21"/>
                <w:highlight w:val="none"/>
              </w:rPr>
            </w:pPr>
          </w:p>
        </w:tc>
        <w:tc>
          <w:tcPr>
            <w:tcW w:w="1140" w:type="dxa"/>
            <w:tcBorders>
              <w:tl2br w:val="nil"/>
              <w:tr2bl w:val="nil"/>
            </w:tcBorders>
            <w:noWrap/>
            <w:vAlign w:val="center"/>
          </w:tcPr>
          <w:p w14:paraId="2A2B27AE">
            <w:pPr>
              <w:shd w:val="clear"/>
              <w:rPr>
                <w:rFonts w:ascii="宋体" w:hAnsi="宋体" w:cs="宋体"/>
                <w:bCs/>
                <w:color w:val="auto"/>
                <w:szCs w:val="21"/>
                <w:highlight w:val="none"/>
              </w:rPr>
            </w:pPr>
          </w:p>
        </w:tc>
        <w:tc>
          <w:tcPr>
            <w:tcW w:w="1178" w:type="dxa"/>
            <w:tcBorders>
              <w:tl2br w:val="nil"/>
              <w:tr2bl w:val="nil"/>
            </w:tcBorders>
            <w:noWrap/>
            <w:vAlign w:val="center"/>
          </w:tcPr>
          <w:p w14:paraId="661255CC">
            <w:pPr>
              <w:shd w:val="clear"/>
              <w:rPr>
                <w:rFonts w:ascii="宋体" w:hAnsi="宋体" w:cs="宋体"/>
                <w:bCs/>
                <w:color w:val="auto"/>
                <w:szCs w:val="21"/>
                <w:highlight w:val="none"/>
              </w:rPr>
            </w:pPr>
          </w:p>
        </w:tc>
        <w:tc>
          <w:tcPr>
            <w:tcW w:w="1365" w:type="dxa"/>
            <w:tcBorders>
              <w:tl2br w:val="nil"/>
              <w:tr2bl w:val="nil"/>
            </w:tcBorders>
            <w:noWrap/>
            <w:vAlign w:val="center"/>
          </w:tcPr>
          <w:p w14:paraId="46D07165">
            <w:pPr>
              <w:shd w:val="clear"/>
              <w:rPr>
                <w:rFonts w:ascii="宋体" w:hAnsi="宋体" w:cs="宋体"/>
                <w:bCs/>
                <w:color w:val="auto"/>
                <w:szCs w:val="21"/>
                <w:highlight w:val="none"/>
              </w:rPr>
            </w:pPr>
          </w:p>
        </w:tc>
        <w:tc>
          <w:tcPr>
            <w:tcW w:w="1815" w:type="dxa"/>
            <w:tcBorders>
              <w:tl2br w:val="nil"/>
              <w:tr2bl w:val="nil"/>
            </w:tcBorders>
            <w:noWrap/>
            <w:vAlign w:val="center"/>
          </w:tcPr>
          <w:p w14:paraId="3CC517D1">
            <w:pPr>
              <w:shd w:val="clear"/>
              <w:rPr>
                <w:rFonts w:ascii="宋体" w:hAnsi="宋体" w:cs="宋体"/>
                <w:bCs/>
                <w:color w:val="auto"/>
                <w:szCs w:val="21"/>
                <w:highlight w:val="none"/>
              </w:rPr>
            </w:pPr>
          </w:p>
        </w:tc>
        <w:tc>
          <w:tcPr>
            <w:tcW w:w="1207" w:type="dxa"/>
            <w:tcBorders>
              <w:tl2br w:val="nil"/>
              <w:tr2bl w:val="nil"/>
            </w:tcBorders>
            <w:noWrap/>
            <w:vAlign w:val="center"/>
          </w:tcPr>
          <w:p w14:paraId="3CCA122A">
            <w:pPr>
              <w:shd w:val="clear"/>
              <w:rPr>
                <w:rFonts w:ascii="宋体" w:hAnsi="宋体" w:cs="宋体"/>
                <w:bCs/>
                <w:color w:val="auto"/>
                <w:szCs w:val="21"/>
                <w:highlight w:val="none"/>
              </w:rPr>
            </w:pPr>
          </w:p>
        </w:tc>
        <w:tc>
          <w:tcPr>
            <w:tcW w:w="765" w:type="dxa"/>
            <w:tcBorders>
              <w:tl2br w:val="nil"/>
              <w:tr2bl w:val="nil"/>
            </w:tcBorders>
            <w:noWrap/>
            <w:vAlign w:val="center"/>
          </w:tcPr>
          <w:p w14:paraId="6EE9A017">
            <w:pPr>
              <w:shd w:val="clear"/>
              <w:rPr>
                <w:rFonts w:ascii="宋体" w:hAnsi="宋体" w:cs="宋体"/>
                <w:bCs/>
                <w:color w:val="auto"/>
                <w:szCs w:val="21"/>
                <w:highlight w:val="none"/>
              </w:rPr>
            </w:pPr>
          </w:p>
        </w:tc>
      </w:tr>
    </w:tbl>
    <w:p w14:paraId="52B9AE24">
      <w:pPr>
        <w:pStyle w:val="35"/>
        <w:shd w:val="clear"/>
        <w:rPr>
          <w:rFonts w:ascii="宋体" w:hAnsi="宋体"/>
          <w:color w:val="auto"/>
          <w:szCs w:val="21"/>
          <w:highlight w:val="none"/>
        </w:rPr>
      </w:pPr>
    </w:p>
    <w:p w14:paraId="2F929936">
      <w:pPr>
        <w:pStyle w:val="35"/>
        <w:shd w:val="clear"/>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08192745">
      <w:pPr>
        <w:shd w:val="clear"/>
        <w:rPr>
          <w:color w:val="auto"/>
          <w:highlight w:val="none"/>
        </w:rPr>
      </w:pPr>
    </w:p>
    <w:p w14:paraId="42D0743A">
      <w:pPr>
        <w:shd w:val="clear"/>
        <w:rPr>
          <w:color w:val="auto"/>
          <w:highlight w:val="none"/>
        </w:rPr>
      </w:pPr>
    </w:p>
    <w:p w14:paraId="36BE4798">
      <w:pPr>
        <w:shd w:val="clear"/>
        <w:rPr>
          <w:color w:val="auto"/>
          <w:highlight w:val="none"/>
        </w:rPr>
      </w:pPr>
    </w:p>
    <w:p w14:paraId="775A1AFD">
      <w:pPr>
        <w:shd w:val="clear"/>
        <w:rPr>
          <w:color w:val="auto"/>
          <w:highlight w:val="none"/>
        </w:rPr>
      </w:pPr>
    </w:p>
    <w:p w14:paraId="3E555A27">
      <w:pPr>
        <w:shd w:val="clear"/>
        <w:rPr>
          <w:color w:val="auto"/>
          <w:highlight w:val="none"/>
        </w:rPr>
      </w:pPr>
    </w:p>
    <w:p w14:paraId="7FBD643B">
      <w:pPr>
        <w:shd w:val="clear"/>
        <w:rPr>
          <w:color w:val="auto"/>
          <w:highlight w:val="none"/>
        </w:rPr>
      </w:pPr>
    </w:p>
    <w:p w14:paraId="3DF80DB7">
      <w:pPr>
        <w:shd w:val="clear"/>
        <w:rPr>
          <w:color w:val="auto"/>
          <w:highlight w:val="none"/>
        </w:rPr>
      </w:pPr>
    </w:p>
    <w:p w14:paraId="33B82D39">
      <w:pPr>
        <w:shd w:val="clear"/>
        <w:rPr>
          <w:color w:val="auto"/>
          <w:highlight w:val="none"/>
        </w:rPr>
      </w:pPr>
    </w:p>
    <w:p w14:paraId="17DE17FB">
      <w:pPr>
        <w:shd w:val="clear"/>
        <w:rPr>
          <w:color w:val="auto"/>
          <w:highlight w:val="none"/>
        </w:rPr>
      </w:pPr>
    </w:p>
    <w:p w14:paraId="0B03C1CA">
      <w:pPr>
        <w:shd w:val="clear"/>
        <w:rPr>
          <w:color w:val="auto"/>
          <w:highlight w:val="none"/>
        </w:rPr>
      </w:pPr>
    </w:p>
    <w:p w14:paraId="196F743D">
      <w:pPr>
        <w:shd w:val="clear"/>
        <w:rPr>
          <w:color w:val="auto"/>
          <w:highlight w:val="none"/>
        </w:rPr>
      </w:pPr>
    </w:p>
    <w:p w14:paraId="035345DF">
      <w:pPr>
        <w:shd w:val="clear"/>
        <w:rPr>
          <w:color w:val="auto"/>
          <w:highlight w:val="none"/>
        </w:rPr>
      </w:pPr>
    </w:p>
    <w:p w14:paraId="459BAE0E">
      <w:pPr>
        <w:shd w:val="clear"/>
        <w:rPr>
          <w:color w:val="auto"/>
          <w:highlight w:val="none"/>
        </w:rPr>
      </w:pPr>
    </w:p>
    <w:p w14:paraId="4E3A1EEB">
      <w:pPr>
        <w:shd w:val="clear"/>
        <w:rPr>
          <w:color w:val="auto"/>
          <w:highlight w:val="none"/>
        </w:rPr>
      </w:pPr>
    </w:p>
    <w:p w14:paraId="4F5D72E5">
      <w:pPr>
        <w:pStyle w:val="8"/>
        <w:shd w:val="clear"/>
        <w:rPr>
          <w:color w:val="auto"/>
          <w:highlight w:val="none"/>
        </w:rPr>
      </w:pPr>
    </w:p>
    <w:p w14:paraId="725CA3B0">
      <w:pPr>
        <w:pStyle w:val="8"/>
        <w:shd w:val="clear"/>
        <w:ind w:left="0"/>
        <w:rPr>
          <w:color w:val="auto"/>
          <w:highlight w:val="none"/>
        </w:rPr>
      </w:pPr>
    </w:p>
    <w:p w14:paraId="509ED43A">
      <w:pPr>
        <w:pStyle w:val="4"/>
        <w:shd w:val="clear"/>
        <w:jc w:val="center"/>
        <w:rPr>
          <w:rFonts w:ascii="黑体" w:eastAsia="黑体"/>
          <w:color w:val="auto"/>
          <w:szCs w:val="28"/>
          <w:highlight w:val="none"/>
        </w:rPr>
      </w:pPr>
      <w:bookmarkStart w:id="308" w:name="_Toc14688"/>
      <w:bookmarkStart w:id="309" w:name="_Toc20520"/>
      <w:r>
        <w:rPr>
          <w:rFonts w:hint="eastAsia"/>
          <w:color w:val="auto"/>
          <w:highlight w:val="none"/>
        </w:rPr>
        <w:t>第三章技术文件</w:t>
      </w:r>
      <w:bookmarkEnd w:id="305"/>
      <w:bookmarkEnd w:id="308"/>
      <w:bookmarkEnd w:id="309"/>
    </w:p>
    <w:p w14:paraId="261BB25C">
      <w:pPr>
        <w:pStyle w:val="4"/>
        <w:shd w:val="clear"/>
        <w:jc w:val="center"/>
        <w:rPr>
          <w:color w:val="auto"/>
          <w:highlight w:val="none"/>
        </w:rPr>
      </w:pPr>
      <w:bookmarkStart w:id="310" w:name="_Toc7092"/>
      <w:bookmarkStart w:id="311" w:name="_Toc13097"/>
      <w:r>
        <w:rPr>
          <w:rFonts w:hint="eastAsia"/>
          <w:color w:val="auto"/>
          <w:highlight w:val="none"/>
        </w:rPr>
        <w:t>一、技术规格偏离表</w:t>
      </w:r>
      <w:bookmarkEnd w:id="310"/>
      <w:bookmarkEnd w:id="311"/>
    </w:p>
    <w:tbl>
      <w:tblPr>
        <w:tblStyle w:val="25"/>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38FC4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1DB78BBF">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600F2CF8">
            <w:pPr>
              <w:shd w:val="clea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0CC12F66">
            <w:pPr>
              <w:shd w:val="clea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0DF311E2">
            <w:pPr>
              <w:shd w:val="clea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79946868">
            <w:pPr>
              <w:shd w:val="clea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3E9CD2BA">
            <w:pPr>
              <w:shd w:val="clea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406E4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4974287">
            <w:pPr>
              <w:shd w:val="clear"/>
              <w:jc w:val="center"/>
              <w:rPr>
                <w:rFonts w:ascii="宋体" w:hAnsi="宋体" w:cs="宋体"/>
                <w:color w:val="auto"/>
                <w:szCs w:val="21"/>
                <w:highlight w:val="none"/>
              </w:rPr>
            </w:pPr>
          </w:p>
        </w:tc>
        <w:tc>
          <w:tcPr>
            <w:tcW w:w="1623" w:type="dxa"/>
            <w:tcBorders>
              <w:tl2br w:val="nil"/>
              <w:tr2bl w:val="nil"/>
            </w:tcBorders>
            <w:vAlign w:val="center"/>
          </w:tcPr>
          <w:p w14:paraId="6D92264B">
            <w:pPr>
              <w:shd w:val="clear"/>
              <w:jc w:val="center"/>
              <w:rPr>
                <w:rFonts w:ascii="宋体" w:hAnsi="宋体" w:cs="宋体"/>
                <w:color w:val="auto"/>
                <w:szCs w:val="21"/>
                <w:highlight w:val="none"/>
              </w:rPr>
            </w:pPr>
          </w:p>
        </w:tc>
        <w:tc>
          <w:tcPr>
            <w:tcW w:w="1815" w:type="dxa"/>
            <w:tcBorders>
              <w:tl2br w:val="nil"/>
              <w:tr2bl w:val="nil"/>
            </w:tcBorders>
            <w:vAlign w:val="center"/>
          </w:tcPr>
          <w:p w14:paraId="6073D9C7">
            <w:pPr>
              <w:shd w:val="clear"/>
              <w:jc w:val="center"/>
              <w:rPr>
                <w:rFonts w:ascii="宋体" w:hAnsi="宋体" w:cs="宋体"/>
                <w:color w:val="auto"/>
                <w:szCs w:val="21"/>
                <w:highlight w:val="none"/>
              </w:rPr>
            </w:pPr>
          </w:p>
        </w:tc>
        <w:tc>
          <w:tcPr>
            <w:tcW w:w="1590" w:type="dxa"/>
            <w:tcBorders>
              <w:tl2br w:val="nil"/>
              <w:tr2bl w:val="nil"/>
            </w:tcBorders>
            <w:vAlign w:val="center"/>
          </w:tcPr>
          <w:p w14:paraId="02285B42">
            <w:pPr>
              <w:shd w:val="clear"/>
              <w:jc w:val="center"/>
              <w:rPr>
                <w:rFonts w:ascii="宋体" w:hAnsi="宋体" w:cs="宋体"/>
                <w:color w:val="auto"/>
                <w:szCs w:val="21"/>
                <w:highlight w:val="none"/>
              </w:rPr>
            </w:pPr>
          </w:p>
        </w:tc>
        <w:tc>
          <w:tcPr>
            <w:tcW w:w="1260" w:type="dxa"/>
            <w:tcBorders>
              <w:tl2br w:val="nil"/>
              <w:tr2bl w:val="nil"/>
            </w:tcBorders>
            <w:vAlign w:val="center"/>
          </w:tcPr>
          <w:p w14:paraId="5B7F48D4">
            <w:pPr>
              <w:shd w:val="clear"/>
              <w:jc w:val="center"/>
              <w:rPr>
                <w:rFonts w:ascii="宋体" w:hAnsi="宋体" w:cs="宋体"/>
                <w:color w:val="auto"/>
                <w:szCs w:val="21"/>
                <w:highlight w:val="none"/>
              </w:rPr>
            </w:pPr>
          </w:p>
        </w:tc>
        <w:tc>
          <w:tcPr>
            <w:tcW w:w="1200" w:type="dxa"/>
            <w:tcBorders>
              <w:tl2br w:val="nil"/>
              <w:tr2bl w:val="nil"/>
            </w:tcBorders>
            <w:vAlign w:val="center"/>
          </w:tcPr>
          <w:p w14:paraId="7F005C92">
            <w:pPr>
              <w:shd w:val="clear"/>
              <w:jc w:val="center"/>
              <w:rPr>
                <w:rFonts w:ascii="宋体" w:hAnsi="宋体" w:cs="宋体"/>
                <w:color w:val="auto"/>
                <w:szCs w:val="21"/>
                <w:highlight w:val="none"/>
              </w:rPr>
            </w:pPr>
          </w:p>
        </w:tc>
      </w:tr>
      <w:tr w14:paraId="54A28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0A13EC1">
            <w:pPr>
              <w:shd w:val="clear"/>
              <w:jc w:val="center"/>
              <w:rPr>
                <w:rFonts w:ascii="宋体" w:hAnsi="宋体" w:cs="宋体"/>
                <w:color w:val="auto"/>
                <w:szCs w:val="21"/>
                <w:highlight w:val="none"/>
              </w:rPr>
            </w:pPr>
          </w:p>
        </w:tc>
        <w:tc>
          <w:tcPr>
            <w:tcW w:w="1623" w:type="dxa"/>
            <w:tcBorders>
              <w:tl2br w:val="nil"/>
              <w:tr2bl w:val="nil"/>
            </w:tcBorders>
            <w:vAlign w:val="center"/>
          </w:tcPr>
          <w:p w14:paraId="0EACBB99">
            <w:pPr>
              <w:shd w:val="clear"/>
              <w:jc w:val="center"/>
              <w:rPr>
                <w:rFonts w:ascii="宋体" w:hAnsi="宋体" w:cs="宋体"/>
                <w:color w:val="auto"/>
                <w:szCs w:val="21"/>
                <w:highlight w:val="none"/>
              </w:rPr>
            </w:pPr>
          </w:p>
        </w:tc>
        <w:tc>
          <w:tcPr>
            <w:tcW w:w="1815" w:type="dxa"/>
            <w:tcBorders>
              <w:tl2br w:val="nil"/>
              <w:tr2bl w:val="nil"/>
            </w:tcBorders>
            <w:vAlign w:val="center"/>
          </w:tcPr>
          <w:p w14:paraId="4CCCDE41">
            <w:pPr>
              <w:shd w:val="clear"/>
              <w:jc w:val="center"/>
              <w:rPr>
                <w:rFonts w:ascii="宋体" w:hAnsi="宋体" w:cs="宋体"/>
                <w:color w:val="auto"/>
                <w:szCs w:val="21"/>
                <w:highlight w:val="none"/>
              </w:rPr>
            </w:pPr>
          </w:p>
        </w:tc>
        <w:tc>
          <w:tcPr>
            <w:tcW w:w="1590" w:type="dxa"/>
            <w:tcBorders>
              <w:tl2br w:val="nil"/>
              <w:tr2bl w:val="nil"/>
            </w:tcBorders>
            <w:vAlign w:val="center"/>
          </w:tcPr>
          <w:p w14:paraId="1FCF173D">
            <w:pPr>
              <w:shd w:val="clear"/>
              <w:jc w:val="center"/>
              <w:rPr>
                <w:rFonts w:ascii="宋体" w:hAnsi="宋体" w:cs="宋体"/>
                <w:color w:val="auto"/>
                <w:szCs w:val="21"/>
                <w:highlight w:val="none"/>
              </w:rPr>
            </w:pPr>
          </w:p>
        </w:tc>
        <w:tc>
          <w:tcPr>
            <w:tcW w:w="1260" w:type="dxa"/>
            <w:tcBorders>
              <w:tl2br w:val="nil"/>
              <w:tr2bl w:val="nil"/>
            </w:tcBorders>
            <w:vAlign w:val="center"/>
          </w:tcPr>
          <w:p w14:paraId="0B16B55E">
            <w:pPr>
              <w:shd w:val="clear"/>
              <w:jc w:val="center"/>
              <w:rPr>
                <w:rFonts w:ascii="宋体" w:hAnsi="宋体" w:cs="宋体"/>
                <w:color w:val="auto"/>
                <w:szCs w:val="21"/>
                <w:highlight w:val="none"/>
              </w:rPr>
            </w:pPr>
          </w:p>
        </w:tc>
        <w:tc>
          <w:tcPr>
            <w:tcW w:w="1200" w:type="dxa"/>
            <w:tcBorders>
              <w:tl2br w:val="nil"/>
              <w:tr2bl w:val="nil"/>
            </w:tcBorders>
            <w:vAlign w:val="center"/>
          </w:tcPr>
          <w:p w14:paraId="20E0BE36">
            <w:pPr>
              <w:shd w:val="clear"/>
              <w:jc w:val="center"/>
              <w:rPr>
                <w:rFonts w:ascii="宋体" w:hAnsi="宋体" w:cs="宋体"/>
                <w:color w:val="auto"/>
                <w:szCs w:val="21"/>
                <w:highlight w:val="none"/>
              </w:rPr>
            </w:pPr>
          </w:p>
        </w:tc>
      </w:tr>
      <w:tr w14:paraId="6CAFB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E1C165E">
            <w:pPr>
              <w:shd w:val="clear"/>
              <w:jc w:val="center"/>
              <w:rPr>
                <w:rFonts w:ascii="宋体" w:hAnsi="宋体" w:cs="宋体"/>
                <w:color w:val="auto"/>
                <w:szCs w:val="21"/>
                <w:highlight w:val="none"/>
              </w:rPr>
            </w:pPr>
          </w:p>
        </w:tc>
        <w:tc>
          <w:tcPr>
            <w:tcW w:w="1623" w:type="dxa"/>
            <w:tcBorders>
              <w:tl2br w:val="nil"/>
              <w:tr2bl w:val="nil"/>
            </w:tcBorders>
            <w:vAlign w:val="center"/>
          </w:tcPr>
          <w:p w14:paraId="0CA61FF6">
            <w:pPr>
              <w:shd w:val="clear"/>
              <w:jc w:val="center"/>
              <w:rPr>
                <w:rFonts w:ascii="宋体" w:hAnsi="宋体" w:cs="宋体"/>
                <w:color w:val="auto"/>
                <w:szCs w:val="21"/>
                <w:highlight w:val="none"/>
              </w:rPr>
            </w:pPr>
          </w:p>
        </w:tc>
        <w:tc>
          <w:tcPr>
            <w:tcW w:w="1815" w:type="dxa"/>
            <w:tcBorders>
              <w:tl2br w:val="nil"/>
              <w:tr2bl w:val="nil"/>
            </w:tcBorders>
            <w:vAlign w:val="center"/>
          </w:tcPr>
          <w:p w14:paraId="18649932">
            <w:pPr>
              <w:shd w:val="clear"/>
              <w:jc w:val="center"/>
              <w:rPr>
                <w:rFonts w:ascii="宋体" w:hAnsi="宋体" w:cs="宋体"/>
                <w:color w:val="auto"/>
                <w:szCs w:val="21"/>
                <w:highlight w:val="none"/>
              </w:rPr>
            </w:pPr>
          </w:p>
        </w:tc>
        <w:tc>
          <w:tcPr>
            <w:tcW w:w="1590" w:type="dxa"/>
            <w:tcBorders>
              <w:tl2br w:val="nil"/>
              <w:tr2bl w:val="nil"/>
            </w:tcBorders>
            <w:vAlign w:val="center"/>
          </w:tcPr>
          <w:p w14:paraId="7DB43918">
            <w:pPr>
              <w:shd w:val="clear"/>
              <w:jc w:val="center"/>
              <w:rPr>
                <w:rFonts w:ascii="宋体" w:hAnsi="宋体" w:cs="宋体"/>
                <w:color w:val="auto"/>
                <w:szCs w:val="21"/>
                <w:highlight w:val="none"/>
              </w:rPr>
            </w:pPr>
          </w:p>
        </w:tc>
        <w:tc>
          <w:tcPr>
            <w:tcW w:w="1260" w:type="dxa"/>
            <w:tcBorders>
              <w:tl2br w:val="nil"/>
              <w:tr2bl w:val="nil"/>
            </w:tcBorders>
            <w:vAlign w:val="center"/>
          </w:tcPr>
          <w:p w14:paraId="01CE29EF">
            <w:pPr>
              <w:shd w:val="clear"/>
              <w:jc w:val="center"/>
              <w:rPr>
                <w:rFonts w:ascii="宋体" w:hAnsi="宋体" w:cs="宋体"/>
                <w:color w:val="auto"/>
                <w:szCs w:val="21"/>
                <w:highlight w:val="none"/>
              </w:rPr>
            </w:pPr>
          </w:p>
        </w:tc>
        <w:tc>
          <w:tcPr>
            <w:tcW w:w="1200" w:type="dxa"/>
            <w:tcBorders>
              <w:tl2br w:val="nil"/>
              <w:tr2bl w:val="nil"/>
            </w:tcBorders>
            <w:vAlign w:val="center"/>
          </w:tcPr>
          <w:p w14:paraId="50B39607">
            <w:pPr>
              <w:shd w:val="clear"/>
              <w:jc w:val="center"/>
              <w:rPr>
                <w:rFonts w:ascii="宋体" w:hAnsi="宋体" w:cs="宋体"/>
                <w:color w:val="auto"/>
                <w:szCs w:val="21"/>
                <w:highlight w:val="none"/>
              </w:rPr>
            </w:pPr>
          </w:p>
        </w:tc>
      </w:tr>
      <w:tr w14:paraId="3F2A3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9B9ECC8">
            <w:pPr>
              <w:shd w:val="clear"/>
              <w:jc w:val="center"/>
              <w:rPr>
                <w:rFonts w:ascii="宋体" w:hAnsi="宋体" w:cs="宋体"/>
                <w:color w:val="auto"/>
                <w:szCs w:val="21"/>
                <w:highlight w:val="none"/>
              </w:rPr>
            </w:pPr>
          </w:p>
        </w:tc>
        <w:tc>
          <w:tcPr>
            <w:tcW w:w="1623" w:type="dxa"/>
            <w:tcBorders>
              <w:tl2br w:val="nil"/>
              <w:tr2bl w:val="nil"/>
            </w:tcBorders>
            <w:vAlign w:val="center"/>
          </w:tcPr>
          <w:p w14:paraId="23DCF464">
            <w:pPr>
              <w:shd w:val="clear"/>
              <w:jc w:val="center"/>
              <w:rPr>
                <w:rFonts w:ascii="宋体" w:hAnsi="宋体" w:cs="宋体"/>
                <w:color w:val="auto"/>
                <w:szCs w:val="21"/>
                <w:highlight w:val="none"/>
              </w:rPr>
            </w:pPr>
          </w:p>
        </w:tc>
        <w:tc>
          <w:tcPr>
            <w:tcW w:w="1815" w:type="dxa"/>
            <w:tcBorders>
              <w:tl2br w:val="nil"/>
              <w:tr2bl w:val="nil"/>
            </w:tcBorders>
            <w:vAlign w:val="center"/>
          </w:tcPr>
          <w:p w14:paraId="11B69509">
            <w:pPr>
              <w:shd w:val="clear"/>
              <w:jc w:val="center"/>
              <w:rPr>
                <w:rFonts w:ascii="宋体" w:hAnsi="宋体" w:cs="宋体"/>
                <w:color w:val="auto"/>
                <w:szCs w:val="21"/>
                <w:highlight w:val="none"/>
              </w:rPr>
            </w:pPr>
          </w:p>
        </w:tc>
        <w:tc>
          <w:tcPr>
            <w:tcW w:w="1590" w:type="dxa"/>
            <w:tcBorders>
              <w:tl2br w:val="nil"/>
              <w:tr2bl w:val="nil"/>
            </w:tcBorders>
            <w:vAlign w:val="center"/>
          </w:tcPr>
          <w:p w14:paraId="4D7C2AC7">
            <w:pPr>
              <w:shd w:val="clear"/>
              <w:jc w:val="center"/>
              <w:rPr>
                <w:rFonts w:ascii="宋体" w:hAnsi="宋体" w:cs="宋体"/>
                <w:color w:val="auto"/>
                <w:szCs w:val="21"/>
                <w:highlight w:val="none"/>
              </w:rPr>
            </w:pPr>
          </w:p>
        </w:tc>
        <w:tc>
          <w:tcPr>
            <w:tcW w:w="1260" w:type="dxa"/>
            <w:tcBorders>
              <w:tl2br w:val="nil"/>
              <w:tr2bl w:val="nil"/>
            </w:tcBorders>
            <w:vAlign w:val="center"/>
          </w:tcPr>
          <w:p w14:paraId="33EE862A">
            <w:pPr>
              <w:shd w:val="clear"/>
              <w:jc w:val="center"/>
              <w:rPr>
                <w:rFonts w:ascii="宋体" w:hAnsi="宋体" w:cs="宋体"/>
                <w:color w:val="auto"/>
                <w:szCs w:val="21"/>
                <w:highlight w:val="none"/>
              </w:rPr>
            </w:pPr>
          </w:p>
        </w:tc>
        <w:tc>
          <w:tcPr>
            <w:tcW w:w="1200" w:type="dxa"/>
            <w:tcBorders>
              <w:tl2br w:val="nil"/>
              <w:tr2bl w:val="nil"/>
            </w:tcBorders>
            <w:vAlign w:val="center"/>
          </w:tcPr>
          <w:p w14:paraId="0EF76945">
            <w:pPr>
              <w:shd w:val="clear"/>
              <w:jc w:val="center"/>
              <w:rPr>
                <w:rFonts w:ascii="宋体" w:hAnsi="宋体" w:cs="宋体"/>
                <w:color w:val="auto"/>
                <w:szCs w:val="21"/>
                <w:highlight w:val="none"/>
              </w:rPr>
            </w:pPr>
          </w:p>
        </w:tc>
      </w:tr>
      <w:tr w14:paraId="29308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4E1FCFB">
            <w:pPr>
              <w:shd w:val="clear"/>
              <w:jc w:val="center"/>
              <w:rPr>
                <w:rFonts w:ascii="宋体" w:hAnsi="宋体" w:cs="宋体"/>
                <w:color w:val="auto"/>
                <w:szCs w:val="21"/>
                <w:highlight w:val="none"/>
              </w:rPr>
            </w:pPr>
          </w:p>
        </w:tc>
        <w:tc>
          <w:tcPr>
            <w:tcW w:w="1623" w:type="dxa"/>
            <w:tcBorders>
              <w:tl2br w:val="nil"/>
              <w:tr2bl w:val="nil"/>
            </w:tcBorders>
            <w:vAlign w:val="center"/>
          </w:tcPr>
          <w:p w14:paraId="00F925FF">
            <w:pPr>
              <w:shd w:val="clear"/>
              <w:jc w:val="center"/>
              <w:rPr>
                <w:rFonts w:ascii="宋体" w:hAnsi="宋体" w:cs="宋体"/>
                <w:color w:val="auto"/>
                <w:szCs w:val="21"/>
                <w:highlight w:val="none"/>
              </w:rPr>
            </w:pPr>
          </w:p>
        </w:tc>
        <w:tc>
          <w:tcPr>
            <w:tcW w:w="1815" w:type="dxa"/>
            <w:tcBorders>
              <w:tl2br w:val="nil"/>
              <w:tr2bl w:val="nil"/>
            </w:tcBorders>
            <w:vAlign w:val="center"/>
          </w:tcPr>
          <w:p w14:paraId="5D6B6142">
            <w:pPr>
              <w:shd w:val="clear"/>
              <w:jc w:val="center"/>
              <w:rPr>
                <w:rFonts w:ascii="宋体" w:hAnsi="宋体" w:cs="宋体"/>
                <w:color w:val="auto"/>
                <w:szCs w:val="21"/>
                <w:highlight w:val="none"/>
              </w:rPr>
            </w:pPr>
          </w:p>
        </w:tc>
        <w:tc>
          <w:tcPr>
            <w:tcW w:w="1590" w:type="dxa"/>
            <w:tcBorders>
              <w:tl2br w:val="nil"/>
              <w:tr2bl w:val="nil"/>
            </w:tcBorders>
            <w:vAlign w:val="center"/>
          </w:tcPr>
          <w:p w14:paraId="66332409">
            <w:pPr>
              <w:shd w:val="clear"/>
              <w:jc w:val="center"/>
              <w:rPr>
                <w:rFonts w:ascii="宋体" w:hAnsi="宋体" w:cs="宋体"/>
                <w:color w:val="auto"/>
                <w:szCs w:val="21"/>
                <w:highlight w:val="none"/>
              </w:rPr>
            </w:pPr>
          </w:p>
        </w:tc>
        <w:tc>
          <w:tcPr>
            <w:tcW w:w="1260" w:type="dxa"/>
            <w:tcBorders>
              <w:tl2br w:val="nil"/>
              <w:tr2bl w:val="nil"/>
            </w:tcBorders>
            <w:vAlign w:val="center"/>
          </w:tcPr>
          <w:p w14:paraId="427D99EF">
            <w:pPr>
              <w:shd w:val="clear"/>
              <w:jc w:val="center"/>
              <w:rPr>
                <w:rFonts w:ascii="宋体" w:hAnsi="宋体" w:cs="宋体"/>
                <w:color w:val="auto"/>
                <w:szCs w:val="21"/>
                <w:highlight w:val="none"/>
              </w:rPr>
            </w:pPr>
          </w:p>
        </w:tc>
        <w:tc>
          <w:tcPr>
            <w:tcW w:w="1200" w:type="dxa"/>
            <w:tcBorders>
              <w:tl2br w:val="nil"/>
              <w:tr2bl w:val="nil"/>
            </w:tcBorders>
            <w:vAlign w:val="center"/>
          </w:tcPr>
          <w:p w14:paraId="232146C8">
            <w:pPr>
              <w:shd w:val="clear"/>
              <w:jc w:val="center"/>
              <w:rPr>
                <w:rFonts w:ascii="宋体" w:hAnsi="宋体" w:cs="宋体"/>
                <w:color w:val="auto"/>
                <w:szCs w:val="21"/>
                <w:highlight w:val="none"/>
              </w:rPr>
            </w:pPr>
          </w:p>
        </w:tc>
      </w:tr>
      <w:tr w14:paraId="77FF4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BC26EAB">
            <w:pPr>
              <w:shd w:val="clear"/>
              <w:jc w:val="center"/>
              <w:rPr>
                <w:rFonts w:ascii="宋体" w:hAnsi="宋体" w:cs="宋体"/>
                <w:color w:val="auto"/>
                <w:szCs w:val="21"/>
                <w:highlight w:val="none"/>
              </w:rPr>
            </w:pPr>
          </w:p>
        </w:tc>
        <w:tc>
          <w:tcPr>
            <w:tcW w:w="1623" w:type="dxa"/>
            <w:tcBorders>
              <w:tl2br w:val="nil"/>
              <w:tr2bl w:val="nil"/>
            </w:tcBorders>
            <w:vAlign w:val="center"/>
          </w:tcPr>
          <w:p w14:paraId="6A09AEE6">
            <w:pPr>
              <w:shd w:val="clear"/>
              <w:jc w:val="center"/>
              <w:rPr>
                <w:rFonts w:ascii="宋体" w:hAnsi="宋体" w:cs="宋体"/>
                <w:color w:val="auto"/>
                <w:szCs w:val="21"/>
                <w:highlight w:val="none"/>
              </w:rPr>
            </w:pPr>
          </w:p>
        </w:tc>
        <w:tc>
          <w:tcPr>
            <w:tcW w:w="1815" w:type="dxa"/>
            <w:tcBorders>
              <w:tl2br w:val="nil"/>
              <w:tr2bl w:val="nil"/>
            </w:tcBorders>
            <w:vAlign w:val="center"/>
          </w:tcPr>
          <w:p w14:paraId="52FB4BAC">
            <w:pPr>
              <w:shd w:val="clear"/>
              <w:jc w:val="center"/>
              <w:rPr>
                <w:rFonts w:ascii="宋体" w:hAnsi="宋体" w:cs="宋体"/>
                <w:color w:val="auto"/>
                <w:szCs w:val="21"/>
                <w:highlight w:val="none"/>
              </w:rPr>
            </w:pPr>
          </w:p>
        </w:tc>
        <w:tc>
          <w:tcPr>
            <w:tcW w:w="1590" w:type="dxa"/>
            <w:tcBorders>
              <w:tl2br w:val="nil"/>
              <w:tr2bl w:val="nil"/>
            </w:tcBorders>
            <w:vAlign w:val="center"/>
          </w:tcPr>
          <w:p w14:paraId="2CB5C6BD">
            <w:pPr>
              <w:shd w:val="clear"/>
              <w:jc w:val="center"/>
              <w:rPr>
                <w:rFonts w:ascii="宋体" w:hAnsi="宋体" w:cs="宋体"/>
                <w:color w:val="auto"/>
                <w:szCs w:val="21"/>
                <w:highlight w:val="none"/>
              </w:rPr>
            </w:pPr>
          </w:p>
        </w:tc>
        <w:tc>
          <w:tcPr>
            <w:tcW w:w="1260" w:type="dxa"/>
            <w:tcBorders>
              <w:tl2br w:val="nil"/>
              <w:tr2bl w:val="nil"/>
            </w:tcBorders>
            <w:vAlign w:val="center"/>
          </w:tcPr>
          <w:p w14:paraId="39498308">
            <w:pPr>
              <w:shd w:val="clear"/>
              <w:jc w:val="center"/>
              <w:rPr>
                <w:rFonts w:ascii="宋体" w:hAnsi="宋体" w:cs="宋体"/>
                <w:color w:val="auto"/>
                <w:szCs w:val="21"/>
                <w:highlight w:val="none"/>
              </w:rPr>
            </w:pPr>
          </w:p>
        </w:tc>
        <w:tc>
          <w:tcPr>
            <w:tcW w:w="1200" w:type="dxa"/>
            <w:tcBorders>
              <w:tl2br w:val="nil"/>
              <w:tr2bl w:val="nil"/>
            </w:tcBorders>
            <w:vAlign w:val="center"/>
          </w:tcPr>
          <w:p w14:paraId="23C91C99">
            <w:pPr>
              <w:shd w:val="clear"/>
              <w:jc w:val="center"/>
              <w:rPr>
                <w:rFonts w:ascii="宋体" w:hAnsi="宋体" w:cs="宋体"/>
                <w:color w:val="auto"/>
                <w:szCs w:val="21"/>
                <w:highlight w:val="none"/>
              </w:rPr>
            </w:pPr>
          </w:p>
        </w:tc>
      </w:tr>
      <w:tr w14:paraId="54399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B5CFC35">
            <w:pPr>
              <w:shd w:val="clear"/>
              <w:jc w:val="center"/>
              <w:rPr>
                <w:rFonts w:ascii="宋体" w:hAnsi="宋体" w:cs="宋体"/>
                <w:color w:val="auto"/>
                <w:szCs w:val="21"/>
                <w:highlight w:val="none"/>
              </w:rPr>
            </w:pPr>
          </w:p>
        </w:tc>
        <w:tc>
          <w:tcPr>
            <w:tcW w:w="1623" w:type="dxa"/>
            <w:tcBorders>
              <w:tl2br w:val="nil"/>
              <w:tr2bl w:val="nil"/>
            </w:tcBorders>
            <w:vAlign w:val="center"/>
          </w:tcPr>
          <w:p w14:paraId="07DC50E1">
            <w:pPr>
              <w:shd w:val="clear"/>
              <w:jc w:val="center"/>
              <w:rPr>
                <w:rFonts w:ascii="宋体" w:hAnsi="宋体" w:cs="宋体"/>
                <w:color w:val="auto"/>
                <w:szCs w:val="21"/>
                <w:highlight w:val="none"/>
              </w:rPr>
            </w:pPr>
          </w:p>
        </w:tc>
        <w:tc>
          <w:tcPr>
            <w:tcW w:w="1815" w:type="dxa"/>
            <w:tcBorders>
              <w:tl2br w:val="nil"/>
              <w:tr2bl w:val="nil"/>
            </w:tcBorders>
            <w:vAlign w:val="center"/>
          </w:tcPr>
          <w:p w14:paraId="622F5C78">
            <w:pPr>
              <w:shd w:val="clear"/>
              <w:jc w:val="center"/>
              <w:rPr>
                <w:rFonts w:ascii="宋体" w:hAnsi="宋体" w:cs="宋体"/>
                <w:color w:val="auto"/>
                <w:szCs w:val="21"/>
                <w:highlight w:val="none"/>
              </w:rPr>
            </w:pPr>
          </w:p>
        </w:tc>
        <w:tc>
          <w:tcPr>
            <w:tcW w:w="1590" w:type="dxa"/>
            <w:tcBorders>
              <w:tl2br w:val="nil"/>
              <w:tr2bl w:val="nil"/>
            </w:tcBorders>
            <w:vAlign w:val="center"/>
          </w:tcPr>
          <w:p w14:paraId="3B5B4E84">
            <w:pPr>
              <w:shd w:val="clear"/>
              <w:jc w:val="center"/>
              <w:rPr>
                <w:rFonts w:ascii="宋体" w:hAnsi="宋体" w:cs="宋体"/>
                <w:color w:val="auto"/>
                <w:szCs w:val="21"/>
                <w:highlight w:val="none"/>
              </w:rPr>
            </w:pPr>
          </w:p>
        </w:tc>
        <w:tc>
          <w:tcPr>
            <w:tcW w:w="1260" w:type="dxa"/>
            <w:tcBorders>
              <w:tl2br w:val="nil"/>
              <w:tr2bl w:val="nil"/>
            </w:tcBorders>
            <w:vAlign w:val="center"/>
          </w:tcPr>
          <w:p w14:paraId="3AA73390">
            <w:pPr>
              <w:shd w:val="clear"/>
              <w:jc w:val="center"/>
              <w:rPr>
                <w:rFonts w:ascii="宋体" w:hAnsi="宋体" w:cs="宋体"/>
                <w:color w:val="auto"/>
                <w:szCs w:val="21"/>
                <w:highlight w:val="none"/>
              </w:rPr>
            </w:pPr>
          </w:p>
        </w:tc>
        <w:tc>
          <w:tcPr>
            <w:tcW w:w="1200" w:type="dxa"/>
            <w:tcBorders>
              <w:tl2br w:val="nil"/>
              <w:tr2bl w:val="nil"/>
            </w:tcBorders>
            <w:vAlign w:val="center"/>
          </w:tcPr>
          <w:p w14:paraId="06FDBCFF">
            <w:pPr>
              <w:shd w:val="clear"/>
              <w:jc w:val="center"/>
              <w:rPr>
                <w:rFonts w:ascii="宋体" w:hAnsi="宋体" w:cs="宋体"/>
                <w:color w:val="auto"/>
                <w:szCs w:val="21"/>
                <w:highlight w:val="none"/>
              </w:rPr>
            </w:pPr>
          </w:p>
        </w:tc>
      </w:tr>
      <w:tr w14:paraId="6104B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6E40B19">
            <w:pPr>
              <w:shd w:val="clear"/>
              <w:jc w:val="center"/>
              <w:rPr>
                <w:rFonts w:ascii="宋体" w:hAnsi="宋体" w:cs="宋体"/>
                <w:color w:val="auto"/>
                <w:szCs w:val="21"/>
                <w:highlight w:val="none"/>
              </w:rPr>
            </w:pPr>
          </w:p>
        </w:tc>
        <w:tc>
          <w:tcPr>
            <w:tcW w:w="1623" w:type="dxa"/>
            <w:tcBorders>
              <w:tl2br w:val="nil"/>
              <w:tr2bl w:val="nil"/>
            </w:tcBorders>
            <w:vAlign w:val="center"/>
          </w:tcPr>
          <w:p w14:paraId="1D70ACD3">
            <w:pPr>
              <w:shd w:val="clear"/>
              <w:jc w:val="center"/>
              <w:rPr>
                <w:rFonts w:ascii="宋体" w:hAnsi="宋体" w:cs="宋体"/>
                <w:color w:val="auto"/>
                <w:szCs w:val="21"/>
                <w:highlight w:val="none"/>
              </w:rPr>
            </w:pPr>
          </w:p>
        </w:tc>
        <w:tc>
          <w:tcPr>
            <w:tcW w:w="1815" w:type="dxa"/>
            <w:tcBorders>
              <w:tl2br w:val="nil"/>
              <w:tr2bl w:val="nil"/>
            </w:tcBorders>
            <w:vAlign w:val="center"/>
          </w:tcPr>
          <w:p w14:paraId="7F329D5E">
            <w:pPr>
              <w:shd w:val="clear"/>
              <w:jc w:val="center"/>
              <w:rPr>
                <w:rFonts w:ascii="宋体" w:hAnsi="宋体" w:cs="宋体"/>
                <w:color w:val="auto"/>
                <w:szCs w:val="21"/>
                <w:highlight w:val="none"/>
              </w:rPr>
            </w:pPr>
          </w:p>
        </w:tc>
        <w:tc>
          <w:tcPr>
            <w:tcW w:w="1590" w:type="dxa"/>
            <w:tcBorders>
              <w:tl2br w:val="nil"/>
              <w:tr2bl w:val="nil"/>
            </w:tcBorders>
            <w:vAlign w:val="center"/>
          </w:tcPr>
          <w:p w14:paraId="335B642D">
            <w:pPr>
              <w:shd w:val="clear"/>
              <w:jc w:val="center"/>
              <w:rPr>
                <w:rFonts w:ascii="宋体" w:hAnsi="宋体" w:cs="宋体"/>
                <w:color w:val="auto"/>
                <w:szCs w:val="21"/>
                <w:highlight w:val="none"/>
              </w:rPr>
            </w:pPr>
          </w:p>
        </w:tc>
        <w:tc>
          <w:tcPr>
            <w:tcW w:w="1260" w:type="dxa"/>
            <w:tcBorders>
              <w:tl2br w:val="nil"/>
              <w:tr2bl w:val="nil"/>
            </w:tcBorders>
            <w:vAlign w:val="center"/>
          </w:tcPr>
          <w:p w14:paraId="7F47FAF1">
            <w:pPr>
              <w:shd w:val="clear"/>
              <w:jc w:val="center"/>
              <w:rPr>
                <w:rFonts w:ascii="宋体" w:hAnsi="宋体" w:cs="宋体"/>
                <w:color w:val="auto"/>
                <w:szCs w:val="21"/>
                <w:highlight w:val="none"/>
              </w:rPr>
            </w:pPr>
          </w:p>
        </w:tc>
        <w:tc>
          <w:tcPr>
            <w:tcW w:w="1200" w:type="dxa"/>
            <w:tcBorders>
              <w:tl2br w:val="nil"/>
              <w:tr2bl w:val="nil"/>
            </w:tcBorders>
            <w:vAlign w:val="center"/>
          </w:tcPr>
          <w:p w14:paraId="7066F7CF">
            <w:pPr>
              <w:shd w:val="clear"/>
              <w:jc w:val="center"/>
              <w:rPr>
                <w:rFonts w:ascii="宋体" w:hAnsi="宋体" w:cs="宋体"/>
                <w:color w:val="auto"/>
                <w:szCs w:val="21"/>
                <w:highlight w:val="none"/>
              </w:rPr>
            </w:pPr>
          </w:p>
        </w:tc>
      </w:tr>
      <w:tr w14:paraId="04A09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95CB9B0">
            <w:pPr>
              <w:shd w:val="clear"/>
              <w:jc w:val="center"/>
              <w:rPr>
                <w:rFonts w:ascii="宋体" w:hAnsi="宋体" w:cs="宋体"/>
                <w:color w:val="auto"/>
                <w:szCs w:val="21"/>
                <w:highlight w:val="none"/>
              </w:rPr>
            </w:pPr>
          </w:p>
        </w:tc>
        <w:tc>
          <w:tcPr>
            <w:tcW w:w="1623" w:type="dxa"/>
            <w:tcBorders>
              <w:tl2br w:val="nil"/>
              <w:tr2bl w:val="nil"/>
            </w:tcBorders>
            <w:vAlign w:val="center"/>
          </w:tcPr>
          <w:p w14:paraId="0DAAE7FF">
            <w:pPr>
              <w:shd w:val="clear"/>
              <w:jc w:val="center"/>
              <w:rPr>
                <w:rFonts w:ascii="宋体" w:hAnsi="宋体" w:cs="宋体"/>
                <w:color w:val="auto"/>
                <w:szCs w:val="21"/>
                <w:highlight w:val="none"/>
              </w:rPr>
            </w:pPr>
          </w:p>
        </w:tc>
        <w:tc>
          <w:tcPr>
            <w:tcW w:w="1815" w:type="dxa"/>
            <w:tcBorders>
              <w:tl2br w:val="nil"/>
              <w:tr2bl w:val="nil"/>
            </w:tcBorders>
            <w:vAlign w:val="center"/>
          </w:tcPr>
          <w:p w14:paraId="52D7CD83">
            <w:pPr>
              <w:shd w:val="clear"/>
              <w:jc w:val="center"/>
              <w:rPr>
                <w:rFonts w:ascii="宋体" w:hAnsi="宋体" w:cs="宋体"/>
                <w:color w:val="auto"/>
                <w:szCs w:val="21"/>
                <w:highlight w:val="none"/>
              </w:rPr>
            </w:pPr>
          </w:p>
        </w:tc>
        <w:tc>
          <w:tcPr>
            <w:tcW w:w="1590" w:type="dxa"/>
            <w:tcBorders>
              <w:tl2br w:val="nil"/>
              <w:tr2bl w:val="nil"/>
            </w:tcBorders>
            <w:vAlign w:val="center"/>
          </w:tcPr>
          <w:p w14:paraId="66209E70">
            <w:pPr>
              <w:shd w:val="clear"/>
              <w:jc w:val="center"/>
              <w:rPr>
                <w:rFonts w:ascii="宋体" w:hAnsi="宋体" w:cs="宋体"/>
                <w:color w:val="auto"/>
                <w:szCs w:val="21"/>
                <w:highlight w:val="none"/>
              </w:rPr>
            </w:pPr>
          </w:p>
        </w:tc>
        <w:tc>
          <w:tcPr>
            <w:tcW w:w="1260" w:type="dxa"/>
            <w:tcBorders>
              <w:tl2br w:val="nil"/>
              <w:tr2bl w:val="nil"/>
            </w:tcBorders>
            <w:vAlign w:val="center"/>
          </w:tcPr>
          <w:p w14:paraId="398AF37C">
            <w:pPr>
              <w:shd w:val="clear"/>
              <w:jc w:val="center"/>
              <w:rPr>
                <w:rFonts w:ascii="宋体" w:hAnsi="宋体" w:cs="宋体"/>
                <w:color w:val="auto"/>
                <w:szCs w:val="21"/>
                <w:highlight w:val="none"/>
              </w:rPr>
            </w:pPr>
          </w:p>
        </w:tc>
        <w:tc>
          <w:tcPr>
            <w:tcW w:w="1200" w:type="dxa"/>
            <w:tcBorders>
              <w:tl2br w:val="nil"/>
              <w:tr2bl w:val="nil"/>
            </w:tcBorders>
            <w:vAlign w:val="center"/>
          </w:tcPr>
          <w:p w14:paraId="7D8AB5A7">
            <w:pPr>
              <w:shd w:val="clear"/>
              <w:jc w:val="center"/>
              <w:rPr>
                <w:rFonts w:ascii="宋体" w:hAnsi="宋体" w:cs="宋体"/>
                <w:color w:val="auto"/>
                <w:szCs w:val="21"/>
                <w:highlight w:val="none"/>
              </w:rPr>
            </w:pPr>
          </w:p>
        </w:tc>
      </w:tr>
      <w:tr w14:paraId="293BC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273B065">
            <w:pPr>
              <w:shd w:val="clear"/>
              <w:jc w:val="center"/>
              <w:rPr>
                <w:rFonts w:ascii="宋体" w:hAnsi="宋体" w:cs="宋体"/>
                <w:color w:val="auto"/>
                <w:szCs w:val="21"/>
                <w:highlight w:val="none"/>
              </w:rPr>
            </w:pPr>
          </w:p>
        </w:tc>
        <w:tc>
          <w:tcPr>
            <w:tcW w:w="1623" w:type="dxa"/>
            <w:tcBorders>
              <w:tl2br w:val="nil"/>
              <w:tr2bl w:val="nil"/>
            </w:tcBorders>
            <w:vAlign w:val="center"/>
          </w:tcPr>
          <w:p w14:paraId="2FABDF3C">
            <w:pPr>
              <w:shd w:val="clear"/>
              <w:jc w:val="center"/>
              <w:rPr>
                <w:rFonts w:ascii="宋体" w:hAnsi="宋体" w:cs="宋体"/>
                <w:color w:val="auto"/>
                <w:szCs w:val="21"/>
                <w:highlight w:val="none"/>
              </w:rPr>
            </w:pPr>
          </w:p>
        </w:tc>
        <w:tc>
          <w:tcPr>
            <w:tcW w:w="1815" w:type="dxa"/>
            <w:tcBorders>
              <w:tl2br w:val="nil"/>
              <w:tr2bl w:val="nil"/>
            </w:tcBorders>
            <w:vAlign w:val="center"/>
          </w:tcPr>
          <w:p w14:paraId="1BA9E3D7">
            <w:pPr>
              <w:shd w:val="clear"/>
              <w:jc w:val="center"/>
              <w:rPr>
                <w:rFonts w:ascii="宋体" w:hAnsi="宋体" w:cs="宋体"/>
                <w:color w:val="auto"/>
                <w:szCs w:val="21"/>
                <w:highlight w:val="none"/>
              </w:rPr>
            </w:pPr>
          </w:p>
        </w:tc>
        <w:tc>
          <w:tcPr>
            <w:tcW w:w="1590" w:type="dxa"/>
            <w:tcBorders>
              <w:tl2br w:val="nil"/>
              <w:tr2bl w:val="nil"/>
            </w:tcBorders>
            <w:vAlign w:val="center"/>
          </w:tcPr>
          <w:p w14:paraId="149591FC">
            <w:pPr>
              <w:shd w:val="clear"/>
              <w:jc w:val="center"/>
              <w:rPr>
                <w:rFonts w:ascii="宋体" w:hAnsi="宋体" w:cs="宋体"/>
                <w:color w:val="auto"/>
                <w:szCs w:val="21"/>
                <w:highlight w:val="none"/>
              </w:rPr>
            </w:pPr>
          </w:p>
        </w:tc>
        <w:tc>
          <w:tcPr>
            <w:tcW w:w="1260" w:type="dxa"/>
            <w:tcBorders>
              <w:tl2br w:val="nil"/>
              <w:tr2bl w:val="nil"/>
            </w:tcBorders>
            <w:vAlign w:val="center"/>
          </w:tcPr>
          <w:p w14:paraId="744D86DA">
            <w:pPr>
              <w:shd w:val="clear"/>
              <w:jc w:val="center"/>
              <w:rPr>
                <w:rFonts w:ascii="宋体" w:hAnsi="宋体" w:cs="宋体"/>
                <w:color w:val="auto"/>
                <w:szCs w:val="21"/>
                <w:highlight w:val="none"/>
              </w:rPr>
            </w:pPr>
          </w:p>
        </w:tc>
        <w:tc>
          <w:tcPr>
            <w:tcW w:w="1200" w:type="dxa"/>
            <w:tcBorders>
              <w:tl2br w:val="nil"/>
              <w:tr2bl w:val="nil"/>
            </w:tcBorders>
            <w:vAlign w:val="center"/>
          </w:tcPr>
          <w:p w14:paraId="50B88FB7">
            <w:pPr>
              <w:shd w:val="clear"/>
              <w:jc w:val="center"/>
              <w:rPr>
                <w:rFonts w:ascii="宋体" w:hAnsi="宋体" w:cs="宋体"/>
                <w:color w:val="auto"/>
                <w:szCs w:val="21"/>
                <w:highlight w:val="none"/>
              </w:rPr>
            </w:pPr>
          </w:p>
        </w:tc>
      </w:tr>
      <w:tr w14:paraId="18423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9509E90">
            <w:pPr>
              <w:shd w:val="clear"/>
              <w:jc w:val="center"/>
              <w:rPr>
                <w:rFonts w:ascii="宋体" w:hAnsi="宋体" w:cs="宋体"/>
                <w:color w:val="auto"/>
                <w:szCs w:val="21"/>
                <w:highlight w:val="none"/>
              </w:rPr>
            </w:pPr>
          </w:p>
        </w:tc>
        <w:tc>
          <w:tcPr>
            <w:tcW w:w="1623" w:type="dxa"/>
            <w:tcBorders>
              <w:tl2br w:val="nil"/>
              <w:tr2bl w:val="nil"/>
            </w:tcBorders>
            <w:vAlign w:val="center"/>
          </w:tcPr>
          <w:p w14:paraId="6453CD66">
            <w:pPr>
              <w:shd w:val="clear"/>
              <w:jc w:val="center"/>
              <w:rPr>
                <w:rFonts w:ascii="宋体" w:hAnsi="宋体" w:cs="宋体"/>
                <w:color w:val="auto"/>
                <w:szCs w:val="21"/>
                <w:highlight w:val="none"/>
              </w:rPr>
            </w:pPr>
          </w:p>
        </w:tc>
        <w:tc>
          <w:tcPr>
            <w:tcW w:w="1815" w:type="dxa"/>
            <w:tcBorders>
              <w:tl2br w:val="nil"/>
              <w:tr2bl w:val="nil"/>
            </w:tcBorders>
            <w:vAlign w:val="center"/>
          </w:tcPr>
          <w:p w14:paraId="2B8E1AAA">
            <w:pPr>
              <w:shd w:val="clear"/>
              <w:jc w:val="center"/>
              <w:rPr>
                <w:rFonts w:ascii="宋体" w:hAnsi="宋体" w:cs="宋体"/>
                <w:color w:val="auto"/>
                <w:szCs w:val="21"/>
                <w:highlight w:val="none"/>
              </w:rPr>
            </w:pPr>
          </w:p>
        </w:tc>
        <w:tc>
          <w:tcPr>
            <w:tcW w:w="1590" w:type="dxa"/>
            <w:tcBorders>
              <w:tl2br w:val="nil"/>
              <w:tr2bl w:val="nil"/>
            </w:tcBorders>
            <w:vAlign w:val="center"/>
          </w:tcPr>
          <w:p w14:paraId="0D123AD9">
            <w:pPr>
              <w:shd w:val="clear"/>
              <w:jc w:val="center"/>
              <w:rPr>
                <w:rFonts w:ascii="宋体" w:hAnsi="宋体" w:cs="宋体"/>
                <w:color w:val="auto"/>
                <w:szCs w:val="21"/>
                <w:highlight w:val="none"/>
              </w:rPr>
            </w:pPr>
          </w:p>
        </w:tc>
        <w:tc>
          <w:tcPr>
            <w:tcW w:w="1260" w:type="dxa"/>
            <w:tcBorders>
              <w:tl2br w:val="nil"/>
              <w:tr2bl w:val="nil"/>
            </w:tcBorders>
            <w:vAlign w:val="center"/>
          </w:tcPr>
          <w:p w14:paraId="3485638A">
            <w:pPr>
              <w:shd w:val="clear"/>
              <w:jc w:val="center"/>
              <w:rPr>
                <w:rFonts w:ascii="宋体" w:hAnsi="宋体" w:cs="宋体"/>
                <w:color w:val="auto"/>
                <w:szCs w:val="21"/>
                <w:highlight w:val="none"/>
              </w:rPr>
            </w:pPr>
          </w:p>
        </w:tc>
        <w:tc>
          <w:tcPr>
            <w:tcW w:w="1200" w:type="dxa"/>
            <w:tcBorders>
              <w:tl2br w:val="nil"/>
              <w:tr2bl w:val="nil"/>
            </w:tcBorders>
            <w:vAlign w:val="center"/>
          </w:tcPr>
          <w:p w14:paraId="2573D983">
            <w:pPr>
              <w:shd w:val="clear"/>
              <w:jc w:val="center"/>
              <w:rPr>
                <w:rFonts w:ascii="宋体" w:hAnsi="宋体" w:cs="宋体"/>
                <w:color w:val="auto"/>
                <w:szCs w:val="21"/>
                <w:highlight w:val="none"/>
              </w:rPr>
            </w:pPr>
          </w:p>
        </w:tc>
      </w:tr>
      <w:tr w14:paraId="46C5B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1B39043">
            <w:pPr>
              <w:shd w:val="clear"/>
              <w:jc w:val="center"/>
              <w:rPr>
                <w:rFonts w:ascii="宋体" w:hAnsi="宋体" w:cs="宋体"/>
                <w:color w:val="auto"/>
                <w:szCs w:val="21"/>
                <w:highlight w:val="none"/>
              </w:rPr>
            </w:pPr>
          </w:p>
        </w:tc>
        <w:tc>
          <w:tcPr>
            <w:tcW w:w="1623" w:type="dxa"/>
            <w:tcBorders>
              <w:tl2br w:val="nil"/>
              <w:tr2bl w:val="nil"/>
            </w:tcBorders>
            <w:vAlign w:val="center"/>
          </w:tcPr>
          <w:p w14:paraId="7FE6F3EA">
            <w:pPr>
              <w:shd w:val="clear"/>
              <w:jc w:val="center"/>
              <w:rPr>
                <w:rFonts w:ascii="宋体" w:hAnsi="宋体" w:cs="宋体"/>
                <w:color w:val="auto"/>
                <w:szCs w:val="21"/>
                <w:highlight w:val="none"/>
              </w:rPr>
            </w:pPr>
          </w:p>
        </w:tc>
        <w:tc>
          <w:tcPr>
            <w:tcW w:w="1815" w:type="dxa"/>
            <w:tcBorders>
              <w:tl2br w:val="nil"/>
              <w:tr2bl w:val="nil"/>
            </w:tcBorders>
            <w:vAlign w:val="center"/>
          </w:tcPr>
          <w:p w14:paraId="7585A35F">
            <w:pPr>
              <w:shd w:val="clear"/>
              <w:jc w:val="center"/>
              <w:rPr>
                <w:rFonts w:ascii="宋体" w:hAnsi="宋体" w:cs="宋体"/>
                <w:color w:val="auto"/>
                <w:szCs w:val="21"/>
                <w:highlight w:val="none"/>
              </w:rPr>
            </w:pPr>
          </w:p>
        </w:tc>
        <w:tc>
          <w:tcPr>
            <w:tcW w:w="1590" w:type="dxa"/>
            <w:tcBorders>
              <w:tl2br w:val="nil"/>
              <w:tr2bl w:val="nil"/>
            </w:tcBorders>
            <w:vAlign w:val="center"/>
          </w:tcPr>
          <w:p w14:paraId="5761BA3C">
            <w:pPr>
              <w:shd w:val="clear"/>
              <w:jc w:val="center"/>
              <w:rPr>
                <w:rFonts w:ascii="宋体" w:hAnsi="宋体" w:cs="宋体"/>
                <w:color w:val="auto"/>
                <w:szCs w:val="21"/>
                <w:highlight w:val="none"/>
              </w:rPr>
            </w:pPr>
          </w:p>
        </w:tc>
        <w:tc>
          <w:tcPr>
            <w:tcW w:w="1260" w:type="dxa"/>
            <w:tcBorders>
              <w:tl2br w:val="nil"/>
              <w:tr2bl w:val="nil"/>
            </w:tcBorders>
            <w:vAlign w:val="center"/>
          </w:tcPr>
          <w:p w14:paraId="6AD7209C">
            <w:pPr>
              <w:shd w:val="clear"/>
              <w:jc w:val="center"/>
              <w:rPr>
                <w:rFonts w:ascii="宋体" w:hAnsi="宋体" w:cs="宋体"/>
                <w:color w:val="auto"/>
                <w:szCs w:val="21"/>
                <w:highlight w:val="none"/>
              </w:rPr>
            </w:pPr>
          </w:p>
        </w:tc>
        <w:tc>
          <w:tcPr>
            <w:tcW w:w="1200" w:type="dxa"/>
            <w:tcBorders>
              <w:tl2br w:val="nil"/>
              <w:tr2bl w:val="nil"/>
            </w:tcBorders>
            <w:vAlign w:val="center"/>
          </w:tcPr>
          <w:p w14:paraId="298675C7">
            <w:pPr>
              <w:shd w:val="clear"/>
              <w:jc w:val="center"/>
              <w:rPr>
                <w:rFonts w:ascii="宋体" w:hAnsi="宋体" w:cs="宋体"/>
                <w:color w:val="auto"/>
                <w:szCs w:val="21"/>
                <w:highlight w:val="none"/>
              </w:rPr>
            </w:pPr>
          </w:p>
        </w:tc>
      </w:tr>
      <w:tr w14:paraId="7CFCC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8A0286D">
            <w:pPr>
              <w:shd w:val="clear"/>
              <w:jc w:val="center"/>
              <w:rPr>
                <w:rFonts w:ascii="宋体" w:hAnsi="宋体" w:cs="宋体"/>
                <w:color w:val="auto"/>
                <w:szCs w:val="21"/>
                <w:highlight w:val="none"/>
              </w:rPr>
            </w:pPr>
          </w:p>
        </w:tc>
        <w:tc>
          <w:tcPr>
            <w:tcW w:w="1623" w:type="dxa"/>
            <w:tcBorders>
              <w:tl2br w:val="nil"/>
              <w:tr2bl w:val="nil"/>
            </w:tcBorders>
            <w:vAlign w:val="center"/>
          </w:tcPr>
          <w:p w14:paraId="11C8E536">
            <w:pPr>
              <w:shd w:val="clear"/>
              <w:jc w:val="center"/>
              <w:rPr>
                <w:rFonts w:ascii="宋体" w:hAnsi="宋体" w:cs="宋体"/>
                <w:color w:val="auto"/>
                <w:szCs w:val="21"/>
                <w:highlight w:val="none"/>
              </w:rPr>
            </w:pPr>
          </w:p>
        </w:tc>
        <w:tc>
          <w:tcPr>
            <w:tcW w:w="1815" w:type="dxa"/>
            <w:tcBorders>
              <w:tl2br w:val="nil"/>
              <w:tr2bl w:val="nil"/>
            </w:tcBorders>
            <w:vAlign w:val="center"/>
          </w:tcPr>
          <w:p w14:paraId="3770841A">
            <w:pPr>
              <w:shd w:val="clear"/>
              <w:jc w:val="center"/>
              <w:rPr>
                <w:rFonts w:ascii="宋体" w:hAnsi="宋体" w:cs="宋体"/>
                <w:color w:val="auto"/>
                <w:szCs w:val="21"/>
                <w:highlight w:val="none"/>
              </w:rPr>
            </w:pPr>
          </w:p>
        </w:tc>
        <w:tc>
          <w:tcPr>
            <w:tcW w:w="1590" w:type="dxa"/>
            <w:tcBorders>
              <w:tl2br w:val="nil"/>
              <w:tr2bl w:val="nil"/>
            </w:tcBorders>
            <w:vAlign w:val="center"/>
          </w:tcPr>
          <w:p w14:paraId="45B3D663">
            <w:pPr>
              <w:shd w:val="clear"/>
              <w:jc w:val="center"/>
              <w:rPr>
                <w:rFonts w:ascii="宋体" w:hAnsi="宋体" w:cs="宋体"/>
                <w:color w:val="auto"/>
                <w:szCs w:val="21"/>
                <w:highlight w:val="none"/>
              </w:rPr>
            </w:pPr>
          </w:p>
        </w:tc>
        <w:tc>
          <w:tcPr>
            <w:tcW w:w="1260" w:type="dxa"/>
            <w:tcBorders>
              <w:tl2br w:val="nil"/>
              <w:tr2bl w:val="nil"/>
            </w:tcBorders>
            <w:vAlign w:val="center"/>
          </w:tcPr>
          <w:p w14:paraId="7FFA5F78">
            <w:pPr>
              <w:shd w:val="clear"/>
              <w:jc w:val="center"/>
              <w:rPr>
                <w:rFonts w:ascii="宋体" w:hAnsi="宋体" w:cs="宋体"/>
                <w:color w:val="auto"/>
                <w:szCs w:val="21"/>
                <w:highlight w:val="none"/>
              </w:rPr>
            </w:pPr>
          </w:p>
        </w:tc>
        <w:tc>
          <w:tcPr>
            <w:tcW w:w="1200" w:type="dxa"/>
            <w:tcBorders>
              <w:tl2br w:val="nil"/>
              <w:tr2bl w:val="nil"/>
            </w:tcBorders>
            <w:vAlign w:val="center"/>
          </w:tcPr>
          <w:p w14:paraId="5375AA12">
            <w:pPr>
              <w:shd w:val="clear"/>
              <w:jc w:val="center"/>
              <w:rPr>
                <w:rFonts w:ascii="宋体" w:hAnsi="宋体" w:cs="宋体"/>
                <w:color w:val="auto"/>
                <w:szCs w:val="21"/>
                <w:highlight w:val="none"/>
              </w:rPr>
            </w:pPr>
          </w:p>
        </w:tc>
      </w:tr>
      <w:tr w14:paraId="39791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D48C0DF">
            <w:pPr>
              <w:shd w:val="clear"/>
              <w:jc w:val="center"/>
              <w:rPr>
                <w:rFonts w:ascii="宋体" w:hAnsi="宋体" w:cs="宋体"/>
                <w:color w:val="auto"/>
                <w:szCs w:val="21"/>
                <w:highlight w:val="none"/>
              </w:rPr>
            </w:pPr>
          </w:p>
        </w:tc>
        <w:tc>
          <w:tcPr>
            <w:tcW w:w="1623" w:type="dxa"/>
            <w:tcBorders>
              <w:tl2br w:val="nil"/>
              <w:tr2bl w:val="nil"/>
            </w:tcBorders>
            <w:vAlign w:val="center"/>
          </w:tcPr>
          <w:p w14:paraId="73CCF6AE">
            <w:pPr>
              <w:shd w:val="clear"/>
              <w:jc w:val="center"/>
              <w:rPr>
                <w:rFonts w:ascii="宋体" w:hAnsi="宋体" w:cs="宋体"/>
                <w:color w:val="auto"/>
                <w:szCs w:val="21"/>
                <w:highlight w:val="none"/>
              </w:rPr>
            </w:pPr>
          </w:p>
        </w:tc>
        <w:tc>
          <w:tcPr>
            <w:tcW w:w="1815" w:type="dxa"/>
            <w:tcBorders>
              <w:tl2br w:val="nil"/>
              <w:tr2bl w:val="nil"/>
            </w:tcBorders>
            <w:vAlign w:val="center"/>
          </w:tcPr>
          <w:p w14:paraId="651FFA26">
            <w:pPr>
              <w:shd w:val="clear"/>
              <w:jc w:val="center"/>
              <w:rPr>
                <w:rFonts w:ascii="宋体" w:hAnsi="宋体" w:cs="宋体"/>
                <w:color w:val="auto"/>
                <w:szCs w:val="21"/>
                <w:highlight w:val="none"/>
              </w:rPr>
            </w:pPr>
          </w:p>
        </w:tc>
        <w:tc>
          <w:tcPr>
            <w:tcW w:w="1590" w:type="dxa"/>
            <w:tcBorders>
              <w:tl2br w:val="nil"/>
              <w:tr2bl w:val="nil"/>
            </w:tcBorders>
            <w:vAlign w:val="center"/>
          </w:tcPr>
          <w:p w14:paraId="4E42E6B7">
            <w:pPr>
              <w:shd w:val="clear"/>
              <w:jc w:val="center"/>
              <w:rPr>
                <w:rFonts w:ascii="宋体" w:hAnsi="宋体" w:cs="宋体"/>
                <w:color w:val="auto"/>
                <w:szCs w:val="21"/>
                <w:highlight w:val="none"/>
              </w:rPr>
            </w:pPr>
          </w:p>
        </w:tc>
        <w:tc>
          <w:tcPr>
            <w:tcW w:w="1260" w:type="dxa"/>
            <w:tcBorders>
              <w:tl2br w:val="nil"/>
              <w:tr2bl w:val="nil"/>
            </w:tcBorders>
            <w:vAlign w:val="center"/>
          </w:tcPr>
          <w:p w14:paraId="58FD6369">
            <w:pPr>
              <w:shd w:val="clear"/>
              <w:jc w:val="center"/>
              <w:rPr>
                <w:rFonts w:ascii="宋体" w:hAnsi="宋体" w:cs="宋体"/>
                <w:color w:val="auto"/>
                <w:szCs w:val="21"/>
                <w:highlight w:val="none"/>
              </w:rPr>
            </w:pPr>
          </w:p>
        </w:tc>
        <w:tc>
          <w:tcPr>
            <w:tcW w:w="1200" w:type="dxa"/>
            <w:tcBorders>
              <w:tl2br w:val="nil"/>
              <w:tr2bl w:val="nil"/>
            </w:tcBorders>
            <w:vAlign w:val="center"/>
          </w:tcPr>
          <w:p w14:paraId="73756D93">
            <w:pPr>
              <w:shd w:val="clear"/>
              <w:jc w:val="center"/>
              <w:rPr>
                <w:rFonts w:ascii="宋体" w:hAnsi="宋体" w:cs="宋体"/>
                <w:color w:val="auto"/>
                <w:szCs w:val="21"/>
                <w:highlight w:val="none"/>
              </w:rPr>
            </w:pPr>
          </w:p>
        </w:tc>
      </w:tr>
    </w:tbl>
    <w:p w14:paraId="3573A2E2">
      <w:pPr>
        <w:shd w:val="clear"/>
        <w:rPr>
          <w:rFonts w:ascii="宋体" w:hAnsi="宋体"/>
          <w:color w:val="auto"/>
          <w:szCs w:val="21"/>
          <w:highlight w:val="none"/>
        </w:rPr>
      </w:pPr>
    </w:p>
    <w:p w14:paraId="11F48F79">
      <w:pPr>
        <w:shd w:val="clear"/>
        <w:rPr>
          <w:color w:val="auto"/>
          <w:highlight w:val="none"/>
        </w:rPr>
      </w:pPr>
    </w:p>
    <w:p w14:paraId="038DB30C">
      <w:pPr>
        <w:shd w:val="clear"/>
        <w:rPr>
          <w:rFonts w:ascii="宋体" w:hAnsi="宋体"/>
          <w:color w:val="auto"/>
          <w:szCs w:val="21"/>
          <w:highlight w:val="none"/>
        </w:rPr>
      </w:pPr>
      <w:r>
        <w:rPr>
          <w:rFonts w:hint="eastAsia" w:ascii="宋体" w:hAnsi="宋体"/>
          <w:color w:val="auto"/>
          <w:szCs w:val="21"/>
          <w:highlight w:val="none"/>
        </w:rPr>
        <w:t>投标人代表签字：</w:t>
      </w:r>
    </w:p>
    <w:p w14:paraId="67138CCD">
      <w:pPr>
        <w:shd w:val="clear"/>
        <w:rPr>
          <w:rFonts w:ascii="宋体" w:hAnsi="宋体"/>
          <w:color w:val="auto"/>
          <w:szCs w:val="21"/>
          <w:highlight w:val="none"/>
        </w:rPr>
      </w:pPr>
      <w:r>
        <w:rPr>
          <w:rFonts w:hint="eastAsia" w:ascii="宋体" w:hAnsi="宋体"/>
          <w:color w:val="auto"/>
          <w:szCs w:val="21"/>
          <w:highlight w:val="none"/>
        </w:rPr>
        <w:t>投标人盖章：</w:t>
      </w:r>
    </w:p>
    <w:p w14:paraId="5E0B1E1A">
      <w:pPr>
        <w:shd w:val="clear"/>
        <w:ind w:firstLine="178" w:firstLineChars="85"/>
        <w:rPr>
          <w:rFonts w:ascii="宋体" w:hAnsi="宋体"/>
          <w:color w:val="auto"/>
          <w:szCs w:val="21"/>
          <w:highlight w:val="none"/>
        </w:rPr>
      </w:pPr>
    </w:p>
    <w:p w14:paraId="2F4C51A1">
      <w:pPr>
        <w:shd w:val="clea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28DED873">
      <w:pPr>
        <w:shd w:val="clear"/>
        <w:rPr>
          <w:rFonts w:ascii="宋体" w:hAnsi="宋体"/>
          <w:color w:val="auto"/>
          <w:szCs w:val="21"/>
          <w:highlight w:val="none"/>
        </w:rPr>
      </w:pPr>
    </w:p>
    <w:p w14:paraId="6C90EDF7">
      <w:pPr>
        <w:shd w:val="clear"/>
        <w:rPr>
          <w:rFonts w:ascii="宋体" w:hAnsi="宋体"/>
          <w:color w:val="auto"/>
          <w:szCs w:val="21"/>
          <w:highlight w:val="none"/>
        </w:rPr>
      </w:pPr>
    </w:p>
    <w:p w14:paraId="061E12AA">
      <w:pPr>
        <w:shd w:val="clear"/>
        <w:rPr>
          <w:rFonts w:ascii="宋体" w:hAnsi="宋体"/>
          <w:color w:val="auto"/>
          <w:szCs w:val="21"/>
          <w:highlight w:val="none"/>
        </w:rPr>
      </w:pPr>
    </w:p>
    <w:p w14:paraId="1D2AE98D">
      <w:pPr>
        <w:shd w:val="clear"/>
        <w:adjustRightInd/>
        <w:snapToGrid/>
        <w:spacing w:line="276" w:lineRule="auto"/>
        <w:rPr>
          <w:color w:val="auto"/>
          <w:highlight w:val="none"/>
        </w:rPr>
      </w:pPr>
    </w:p>
    <w:p w14:paraId="7731450C">
      <w:pPr>
        <w:shd w:val="clear"/>
        <w:rPr>
          <w:rFonts w:ascii="黑体" w:eastAsia="黑体"/>
          <w:color w:val="auto"/>
          <w:sz w:val="28"/>
          <w:szCs w:val="28"/>
          <w:highlight w:val="none"/>
        </w:rPr>
      </w:pPr>
      <w:bookmarkStart w:id="312" w:name="_Toc17691"/>
      <w:r>
        <w:rPr>
          <w:rFonts w:hint="eastAsia" w:ascii="宋体" w:hAnsi="宋体"/>
          <w:color w:val="auto"/>
          <w:szCs w:val="21"/>
          <w:highlight w:val="none"/>
        </w:rPr>
        <w:br w:type="page"/>
      </w:r>
      <w:bookmarkEnd w:id="312"/>
      <w:bookmarkStart w:id="313" w:name="_Toc4464"/>
      <w:bookmarkStart w:id="314" w:name="_Toc6080"/>
      <w:bookmarkStart w:id="315" w:name="_Toc18668"/>
      <w:bookmarkStart w:id="316" w:name="_Toc26078"/>
      <w:bookmarkStart w:id="317" w:name="_Toc4827"/>
      <w:bookmarkStart w:id="318" w:name="_Toc1274"/>
    </w:p>
    <w:p w14:paraId="5EEA182C">
      <w:pPr>
        <w:pStyle w:val="4"/>
        <w:shd w:val="clear"/>
        <w:jc w:val="center"/>
        <w:rPr>
          <w:color w:val="auto"/>
          <w:highlight w:val="none"/>
        </w:rPr>
      </w:pPr>
      <w:bookmarkStart w:id="319" w:name="_Toc13461"/>
      <w:bookmarkStart w:id="320" w:name="_Toc10734"/>
      <w:r>
        <w:rPr>
          <w:rFonts w:hint="eastAsia"/>
          <w:color w:val="auto"/>
          <w:highlight w:val="none"/>
        </w:rPr>
        <w:t>二、重要技术参数（▲）响应表</w:t>
      </w:r>
      <w:bookmarkEnd w:id="313"/>
      <w:bookmarkEnd w:id="314"/>
      <w:bookmarkEnd w:id="315"/>
      <w:bookmarkEnd w:id="316"/>
      <w:bookmarkEnd w:id="317"/>
      <w:bookmarkEnd w:id="318"/>
      <w:bookmarkEnd w:id="319"/>
      <w:bookmarkEnd w:id="320"/>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15445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BC5878B">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21" w:name="_Toc27079"/>
            <w:bookmarkStart w:id="322" w:name="_Toc29560"/>
            <w:bookmarkStart w:id="323" w:name="_Toc29642"/>
            <w:r>
              <w:rPr>
                <w:rFonts w:hint="eastAsia" w:ascii="宋体" w:hAnsi="宋体" w:cs="宋体"/>
                <w:b w:val="0"/>
                <w:bCs w:val="0"/>
                <w:color w:val="auto"/>
                <w:sz w:val="21"/>
                <w:szCs w:val="21"/>
                <w:highlight w:val="none"/>
              </w:rPr>
              <w:t>序号</w:t>
            </w:r>
            <w:bookmarkEnd w:id="321"/>
            <w:bookmarkEnd w:id="322"/>
            <w:bookmarkEnd w:id="323"/>
          </w:p>
        </w:tc>
        <w:tc>
          <w:tcPr>
            <w:tcW w:w="2550" w:type="dxa"/>
            <w:tcBorders>
              <w:tl2br w:val="nil"/>
              <w:tr2bl w:val="nil"/>
            </w:tcBorders>
            <w:vAlign w:val="center"/>
          </w:tcPr>
          <w:p w14:paraId="237BF783">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24" w:name="_Toc16872"/>
            <w:bookmarkStart w:id="325" w:name="_Toc14815"/>
            <w:bookmarkStart w:id="326" w:name="_Toc27090"/>
            <w:bookmarkStart w:id="327" w:name="_Toc12049"/>
            <w:bookmarkStart w:id="328" w:name="_Toc10045"/>
            <w:bookmarkStart w:id="329" w:name="_Toc21739"/>
            <w:bookmarkStart w:id="330" w:name="_Toc4304"/>
            <w:bookmarkStart w:id="331" w:name="_Toc15368"/>
            <w:bookmarkStart w:id="332" w:name="_Toc15903"/>
            <w:bookmarkStart w:id="333" w:name="_Toc26124"/>
            <w:bookmarkStart w:id="334" w:name="_Toc1016"/>
            <w:bookmarkStart w:id="335" w:name="_Toc22448"/>
            <w:bookmarkStart w:id="336" w:name="_Toc2700"/>
            <w:bookmarkStart w:id="337" w:name="_Toc27442"/>
            <w:bookmarkStart w:id="338" w:name="_Toc32531"/>
            <w:bookmarkStart w:id="339" w:name="_Toc8312"/>
            <w:bookmarkStart w:id="340" w:name="_Toc19251"/>
            <w:bookmarkStart w:id="341" w:name="_Toc7333"/>
            <w:bookmarkStart w:id="342" w:name="_Toc22917"/>
            <w:bookmarkStart w:id="343" w:name="_Toc24662"/>
            <w:bookmarkStart w:id="344" w:name="_Toc21809"/>
            <w:bookmarkStart w:id="345" w:name="_Toc8490"/>
            <w:bookmarkStart w:id="346" w:name="_Toc22879"/>
            <w:r>
              <w:rPr>
                <w:rFonts w:hint="eastAsia" w:ascii="宋体" w:hAnsi="宋体" w:cs="宋体"/>
                <w:b w:val="0"/>
                <w:bCs w:val="0"/>
                <w:color w:val="auto"/>
                <w:sz w:val="21"/>
                <w:szCs w:val="21"/>
                <w:highlight w:val="none"/>
              </w:rPr>
              <w:t>重要技术参数评分条款（▲）</w:t>
            </w:r>
            <w:bookmarkEnd w:id="324"/>
            <w:bookmarkEnd w:id="325"/>
            <w:bookmarkEnd w:id="326"/>
            <w:bookmarkEnd w:id="327"/>
            <w:bookmarkEnd w:id="328"/>
            <w:bookmarkEnd w:id="329"/>
            <w:bookmarkEnd w:id="330"/>
            <w:bookmarkEnd w:id="331"/>
            <w:bookmarkEnd w:id="332"/>
            <w:bookmarkEnd w:id="333"/>
            <w:bookmarkEnd w:id="334"/>
            <w:bookmarkEnd w:id="335"/>
            <w:bookmarkEnd w:id="336"/>
          </w:p>
          <w:bookmarkEnd w:id="337"/>
          <w:bookmarkEnd w:id="338"/>
          <w:bookmarkEnd w:id="339"/>
          <w:bookmarkEnd w:id="340"/>
          <w:bookmarkEnd w:id="341"/>
          <w:bookmarkEnd w:id="342"/>
          <w:bookmarkEnd w:id="343"/>
          <w:bookmarkEnd w:id="344"/>
          <w:bookmarkEnd w:id="345"/>
          <w:bookmarkEnd w:id="346"/>
        </w:tc>
        <w:tc>
          <w:tcPr>
            <w:tcW w:w="2280" w:type="dxa"/>
            <w:tcBorders>
              <w:tl2br w:val="nil"/>
              <w:tr2bl w:val="nil"/>
            </w:tcBorders>
            <w:vAlign w:val="center"/>
          </w:tcPr>
          <w:p w14:paraId="2B54FB7D">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47" w:name="_Toc22153"/>
            <w:bookmarkStart w:id="348" w:name="_Toc10122"/>
            <w:bookmarkStart w:id="349" w:name="_Toc2408"/>
            <w:r>
              <w:rPr>
                <w:rFonts w:hint="eastAsia" w:ascii="宋体" w:hAnsi="宋体" w:cs="宋体"/>
                <w:b w:val="0"/>
                <w:bCs w:val="0"/>
                <w:color w:val="auto"/>
                <w:sz w:val="21"/>
                <w:szCs w:val="21"/>
                <w:highlight w:val="none"/>
              </w:rPr>
              <w:t>投标文件响应内容</w:t>
            </w:r>
            <w:bookmarkEnd w:id="347"/>
            <w:bookmarkEnd w:id="348"/>
            <w:bookmarkEnd w:id="349"/>
          </w:p>
        </w:tc>
        <w:tc>
          <w:tcPr>
            <w:tcW w:w="1109" w:type="dxa"/>
            <w:tcBorders>
              <w:tl2br w:val="nil"/>
              <w:tr2bl w:val="nil"/>
            </w:tcBorders>
            <w:vAlign w:val="center"/>
          </w:tcPr>
          <w:p w14:paraId="1F70594C">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50" w:name="_Toc29838"/>
            <w:bookmarkStart w:id="351" w:name="_Toc27285"/>
            <w:bookmarkStart w:id="352" w:name="_Toc16003"/>
            <w:bookmarkStart w:id="353" w:name="_Toc1330"/>
            <w:bookmarkStart w:id="354" w:name="_Toc5992"/>
            <w:bookmarkStart w:id="355" w:name="_Toc20820"/>
            <w:bookmarkStart w:id="356" w:name="_Toc17642"/>
            <w:bookmarkStart w:id="357" w:name="_Toc3701"/>
            <w:bookmarkStart w:id="358" w:name="_Toc17296"/>
            <w:bookmarkStart w:id="359" w:name="_Toc20139"/>
            <w:bookmarkStart w:id="360" w:name="_Toc1912"/>
            <w:bookmarkStart w:id="361" w:name="_Toc27185"/>
            <w:bookmarkStart w:id="362" w:name="_Toc5563"/>
            <w:r>
              <w:rPr>
                <w:rFonts w:hint="eastAsia" w:ascii="宋体" w:hAnsi="宋体" w:cs="宋体"/>
                <w:b w:val="0"/>
                <w:bCs w:val="0"/>
                <w:color w:val="auto"/>
                <w:sz w:val="21"/>
                <w:szCs w:val="21"/>
                <w:highlight w:val="none"/>
              </w:rPr>
              <w:t>说明</w:t>
            </w:r>
            <w:bookmarkEnd w:id="350"/>
            <w:bookmarkEnd w:id="351"/>
            <w:bookmarkEnd w:id="352"/>
          </w:p>
        </w:tc>
        <w:tc>
          <w:tcPr>
            <w:tcW w:w="1591" w:type="dxa"/>
            <w:tcBorders>
              <w:tl2br w:val="nil"/>
              <w:tr2bl w:val="nil"/>
            </w:tcBorders>
            <w:vAlign w:val="center"/>
          </w:tcPr>
          <w:p w14:paraId="03A4A5BE">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63" w:name="_Toc857"/>
            <w:bookmarkStart w:id="364" w:name="_Toc19105"/>
            <w:bookmarkStart w:id="365" w:name="_Toc3520"/>
            <w:r>
              <w:rPr>
                <w:rFonts w:hint="eastAsia" w:ascii="宋体" w:hAnsi="宋体" w:cs="宋体"/>
                <w:b w:val="0"/>
                <w:bCs w:val="0"/>
                <w:color w:val="auto"/>
                <w:sz w:val="21"/>
                <w:szCs w:val="21"/>
                <w:highlight w:val="none"/>
              </w:rPr>
              <w:t>页码范围</w:t>
            </w:r>
            <w:bookmarkEnd w:id="353"/>
            <w:bookmarkEnd w:id="354"/>
            <w:bookmarkEnd w:id="355"/>
            <w:bookmarkEnd w:id="356"/>
            <w:bookmarkEnd w:id="357"/>
            <w:bookmarkEnd w:id="358"/>
            <w:bookmarkEnd w:id="359"/>
            <w:bookmarkEnd w:id="360"/>
            <w:bookmarkEnd w:id="361"/>
            <w:bookmarkEnd w:id="362"/>
            <w:bookmarkEnd w:id="363"/>
            <w:bookmarkEnd w:id="364"/>
            <w:bookmarkEnd w:id="365"/>
          </w:p>
        </w:tc>
      </w:tr>
      <w:tr w14:paraId="2D0E3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8209890">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5916498">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C9D54F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7AE9E81">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6E0A1E4">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01F49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1218A6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20505C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07B765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22A4D00">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D01C4D9">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AE9F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E413D7B">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34393AB">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4F2B395">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257853F">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A566FAD">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1195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36F2B24">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059AA21">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C74BDDE">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B06CAC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93CFA31">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E08C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C0DE566">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DDF60A7">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424F5F0">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65F03E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702D070">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938D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E999C23">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67C564F">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4686FBA">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2819BED">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3163F21">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8EEE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9B22C83">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CF5F0BC">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CD86C4F">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95E438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ABDC0B7">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ECBC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1BC91AF">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D0B4770">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B016C5E">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3DBC313">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08B562E">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444E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9C3DF72">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4D9D2DF">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6276DC0">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5A8E193">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0D7A4F6">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E815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AD9E423">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D9DE907">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C839FA7">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20D7071">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99DE161">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FE3F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177DD4B">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40E4F74">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D657CDF">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C4AA8E0">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641D5B0">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736BDA25">
      <w:pPr>
        <w:pStyle w:val="35"/>
        <w:shd w:val="clear"/>
        <w:rPr>
          <w:rFonts w:ascii="宋体" w:hAnsi="宋体"/>
          <w:color w:val="auto"/>
          <w:szCs w:val="21"/>
          <w:highlight w:val="none"/>
        </w:rPr>
      </w:pPr>
    </w:p>
    <w:p w14:paraId="03D5427A">
      <w:pPr>
        <w:pStyle w:val="35"/>
        <w:shd w:val="clear"/>
        <w:rPr>
          <w:rFonts w:ascii="宋体" w:hAnsi="宋体"/>
          <w:color w:val="auto"/>
          <w:szCs w:val="21"/>
          <w:highlight w:val="none"/>
        </w:rPr>
      </w:pPr>
      <w:r>
        <w:rPr>
          <w:rFonts w:hint="eastAsia" w:ascii="宋体" w:hAnsi="宋体"/>
          <w:color w:val="auto"/>
          <w:szCs w:val="21"/>
          <w:highlight w:val="none"/>
        </w:rPr>
        <w:t>注：</w:t>
      </w:r>
    </w:p>
    <w:p w14:paraId="42445A2B">
      <w:pPr>
        <w:pStyle w:val="35"/>
        <w:shd w:val="clear"/>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4D9B5202">
      <w:pPr>
        <w:pStyle w:val="35"/>
        <w:shd w:val="clear"/>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080B2005">
      <w:pPr>
        <w:pStyle w:val="35"/>
        <w:shd w:val="clear"/>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777B24F1">
      <w:pPr>
        <w:pStyle w:val="35"/>
        <w:shd w:val="clear"/>
        <w:rPr>
          <w:rFonts w:ascii="宋体" w:hAnsi="宋体"/>
          <w:color w:val="auto"/>
          <w:szCs w:val="21"/>
          <w:highlight w:val="none"/>
        </w:rPr>
      </w:pPr>
    </w:p>
    <w:p w14:paraId="58AA10E6">
      <w:pPr>
        <w:pStyle w:val="35"/>
        <w:numPr>
          <w:ilvl w:val="0"/>
          <w:numId w:val="9"/>
        </w:numPr>
        <w:shd w:val="clear"/>
        <w:rPr>
          <w:rFonts w:ascii="黑体" w:eastAsia="黑体"/>
          <w:color w:val="auto"/>
          <w:sz w:val="32"/>
          <w:szCs w:val="32"/>
          <w:highlight w:val="none"/>
        </w:rPr>
      </w:pPr>
      <w:r>
        <w:rPr>
          <w:rFonts w:hint="eastAsia" w:ascii="宋体" w:hAnsi="宋体"/>
          <w:color w:val="auto"/>
          <w:szCs w:val="21"/>
          <w:highlight w:val="none"/>
        </w:rPr>
        <w:br w:type="page"/>
      </w:r>
    </w:p>
    <w:p w14:paraId="011B51D8">
      <w:pPr>
        <w:pStyle w:val="4"/>
        <w:shd w:val="clear"/>
        <w:jc w:val="center"/>
        <w:rPr>
          <w:color w:val="auto"/>
          <w:highlight w:val="none"/>
        </w:rPr>
      </w:pPr>
      <w:bookmarkStart w:id="366" w:name="_Toc27139"/>
      <w:bookmarkStart w:id="367" w:name="_Toc19349"/>
      <w:r>
        <w:rPr>
          <w:rFonts w:hint="eastAsia"/>
          <w:color w:val="auto"/>
          <w:highlight w:val="none"/>
        </w:rPr>
        <w:t>三、实质性条款（标记★）投标响应表</w:t>
      </w:r>
      <w:bookmarkEnd w:id="366"/>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14:paraId="33029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05659114">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14:paraId="2E93F269">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14:paraId="563F2F83">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14:paraId="4EBAD24D">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14:paraId="740A6F2D">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0EE2A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3246D749">
            <w:pPr>
              <w:shd w:val="clear"/>
              <w:jc w:val="center"/>
              <w:rPr>
                <w:rFonts w:ascii="宋体" w:hAnsi="宋体" w:cs="宋体"/>
                <w:color w:val="auto"/>
                <w:sz w:val="24"/>
                <w:szCs w:val="24"/>
                <w:highlight w:val="none"/>
              </w:rPr>
            </w:pPr>
          </w:p>
        </w:tc>
        <w:tc>
          <w:tcPr>
            <w:tcW w:w="2398" w:type="dxa"/>
            <w:tcBorders>
              <w:tl2br w:val="nil"/>
              <w:tr2bl w:val="nil"/>
            </w:tcBorders>
            <w:noWrap/>
            <w:vAlign w:val="center"/>
          </w:tcPr>
          <w:p w14:paraId="4A8899CC">
            <w:pPr>
              <w:shd w:val="clear"/>
              <w:jc w:val="center"/>
              <w:rPr>
                <w:rFonts w:ascii="宋体" w:hAnsi="宋体" w:cs="宋体"/>
                <w:color w:val="auto"/>
                <w:sz w:val="24"/>
                <w:szCs w:val="24"/>
                <w:highlight w:val="none"/>
              </w:rPr>
            </w:pPr>
          </w:p>
        </w:tc>
        <w:tc>
          <w:tcPr>
            <w:tcW w:w="2399" w:type="dxa"/>
            <w:tcBorders>
              <w:tl2br w:val="nil"/>
              <w:tr2bl w:val="nil"/>
            </w:tcBorders>
            <w:noWrap/>
            <w:vAlign w:val="center"/>
          </w:tcPr>
          <w:p w14:paraId="38F0D662">
            <w:pPr>
              <w:shd w:val="clear"/>
              <w:jc w:val="center"/>
              <w:rPr>
                <w:rFonts w:ascii="宋体" w:hAnsi="宋体" w:cs="宋体"/>
                <w:color w:val="auto"/>
                <w:sz w:val="24"/>
                <w:szCs w:val="24"/>
                <w:highlight w:val="none"/>
              </w:rPr>
            </w:pPr>
          </w:p>
        </w:tc>
        <w:tc>
          <w:tcPr>
            <w:tcW w:w="1180" w:type="dxa"/>
            <w:tcBorders>
              <w:tl2br w:val="nil"/>
              <w:tr2bl w:val="nil"/>
            </w:tcBorders>
            <w:noWrap/>
            <w:vAlign w:val="center"/>
          </w:tcPr>
          <w:p w14:paraId="0A88451B">
            <w:pPr>
              <w:shd w:val="clear"/>
              <w:jc w:val="center"/>
              <w:rPr>
                <w:rFonts w:ascii="宋体" w:hAnsi="宋体"/>
                <w:color w:val="auto"/>
                <w:sz w:val="24"/>
                <w:highlight w:val="none"/>
              </w:rPr>
            </w:pPr>
          </w:p>
        </w:tc>
        <w:tc>
          <w:tcPr>
            <w:tcW w:w="1867" w:type="dxa"/>
            <w:tcBorders>
              <w:tl2br w:val="nil"/>
              <w:tr2bl w:val="nil"/>
            </w:tcBorders>
            <w:noWrap/>
            <w:vAlign w:val="center"/>
          </w:tcPr>
          <w:p w14:paraId="4FD38962">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1FF2C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759DCC10">
            <w:pPr>
              <w:shd w:val="clear"/>
              <w:jc w:val="center"/>
              <w:rPr>
                <w:rFonts w:ascii="宋体" w:hAnsi="宋体" w:cs="宋体"/>
                <w:color w:val="auto"/>
                <w:sz w:val="24"/>
                <w:szCs w:val="24"/>
                <w:highlight w:val="none"/>
              </w:rPr>
            </w:pPr>
          </w:p>
        </w:tc>
        <w:tc>
          <w:tcPr>
            <w:tcW w:w="2398" w:type="dxa"/>
            <w:tcBorders>
              <w:tl2br w:val="nil"/>
              <w:tr2bl w:val="nil"/>
            </w:tcBorders>
            <w:noWrap/>
            <w:vAlign w:val="center"/>
          </w:tcPr>
          <w:p w14:paraId="6A286369">
            <w:pPr>
              <w:shd w:val="clear"/>
              <w:jc w:val="center"/>
              <w:rPr>
                <w:rFonts w:ascii="宋体" w:hAnsi="宋体" w:cs="宋体"/>
                <w:color w:val="auto"/>
                <w:sz w:val="24"/>
                <w:szCs w:val="24"/>
                <w:highlight w:val="none"/>
              </w:rPr>
            </w:pPr>
          </w:p>
        </w:tc>
        <w:tc>
          <w:tcPr>
            <w:tcW w:w="2399" w:type="dxa"/>
            <w:tcBorders>
              <w:tl2br w:val="nil"/>
              <w:tr2bl w:val="nil"/>
            </w:tcBorders>
            <w:noWrap/>
            <w:vAlign w:val="center"/>
          </w:tcPr>
          <w:p w14:paraId="504E33E0">
            <w:pPr>
              <w:shd w:val="clear"/>
              <w:jc w:val="center"/>
              <w:rPr>
                <w:rFonts w:ascii="宋体" w:hAnsi="宋体" w:cs="宋体"/>
                <w:color w:val="auto"/>
                <w:sz w:val="24"/>
                <w:szCs w:val="24"/>
                <w:highlight w:val="none"/>
              </w:rPr>
            </w:pPr>
          </w:p>
        </w:tc>
        <w:tc>
          <w:tcPr>
            <w:tcW w:w="1180" w:type="dxa"/>
            <w:tcBorders>
              <w:tl2br w:val="nil"/>
              <w:tr2bl w:val="nil"/>
            </w:tcBorders>
            <w:noWrap/>
            <w:vAlign w:val="center"/>
          </w:tcPr>
          <w:p w14:paraId="77224E67">
            <w:pPr>
              <w:shd w:val="clear"/>
              <w:jc w:val="center"/>
              <w:rPr>
                <w:rFonts w:ascii="宋体" w:hAnsi="宋体"/>
                <w:color w:val="auto"/>
                <w:sz w:val="24"/>
                <w:highlight w:val="none"/>
              </w:rPr>
            </w:pPr>
          </w:p>
        </w:tc>
        <w:tc>
          <w:tcPr>
            <w:tcW w:w="1867" w:type="dxa"/>
            <w:tcBorders>
              <w:tl2br w:val="nil"/>
              <w:tr2bl w:val="nil"/>
            </w:tcBorders>
            <w:noWrap/>
            <w:vAlign w:val="center"/>
          </w:tcPr>
          <w:p w14:paraId="0A71710E">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35907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5EED2A87">
            <w:pPr>
              <w:shd w:val="clear"/>
              <w:jc w:val="center"/>
              <w:rPr>
                <w:rFonts w:ascii="宋体" w:hAnsi="宋体" w:cs="宋体"/>
                <w:color w:val="auto"/>
                <w:sz w:val="24"/>
                <w:szCs w:val="24"/>
                <w:highlight w:val="none"/>
              </w:rPr>
            </w:pPr>
          </w:p>
        </w:tc>
        <w:tc>
          <w:tcPr>
            <w:tcW w:w="2398" w:type="dxa"/>
            <w:tcBorders>
              <w:tl2br w:val="nil"/>
              <w:tr2bl w:val="nil"/>
            </w:tcBorders>
            <w:noWrap/>
            <w:vAlign w:val="center"/>
          </w:tcPr>
          <w:p w14:paraId="40CB65A6">
            <w:pPr>
              <w:shd w:val="clear"/>
              <w:jc w:val="center"/>
              <w:rPr>
                <w:rFonts w:ascii="宋体" w:hAnsi="宋体" w:cs="宋体"/>
                <w:color w:val="auto"/>
                <w:sz w:val="24"/>
                <w:szCs w:val="24"/>
                <w:highlight w:val="none"/>
              </w:rPr>
            </w:pPr>
          </w:p>
        </w:tc>
        <w:tc>
          <w:tcPr>
            <w:tcW w:w="2399" w:type="dxa"/>
            <w:tcBorders>
              <w:tl2br w:val="nil"/>
              <w:tr2bl w:val="nil"/>
            </w:tcBorders>
            <w:noWrap/>
            <w:vAlign w:val="center"/>
          </w:tcPr>
          <w:p w14:paraId="5398EADE">
            <w:pPr>
              <w:shd w:val="clear"/>
              <w:jc w:val="center"/>
              <w:rPr>
                <w:rFonts w:ascii="宋体" w:hAnsi="宋体" w:cs="宋体"/>
                <w:color w:val="auto"/>
                <w:sz w:val="24"/>
                <w:szCs w:val="24"/>
                <w:highlight w:val="none"/>
              </w:rPr>
            </w:pPr>
          </w:p>
        </w:tc>
        <w:tc>
          <w:tcPr>
            <w:tcW w:w="1180" w:type="dxa"/>
            <w:tcBorders>
              <w:tl2br w:val="nil"/>
              <w:tr2bl w:val="nil"/>
            </w:tcBorders>
            <w:noWrap/>
            <w:vAlign w:val="center"/>
          </w:tcPr>
          <w:p w14:paraId="12812E58">
            <w:pPr>
              <w:shd w:val="clear"/>
              <w:jc w:val="center"/>
              <w:rPr>
                <w:rFonts w:ascii="宋体" w:hAnsi="宋体"/>
                <w:color w:val="auto"/>
                <w:sz w:val="24"/>
                <w:highlight w:val="none"/>
              </w:rPr>
            </w:pPr>
          </w:p>
        </w:tc>
        <w:tc>
          <w:tcPr>
            <w:tcW w:w="1867" w:type="dxa"/>
            <w:tcBorders>
              <w:tl2br w:val="nil"/>
              <w:tr2bl w:val="nil"/>
            </w:tcBorders>
            <w:noWrap/>
            <w:vAlign w:val="center"/>
          </w:tcPr>
          <w:p w14:paraId="021CE0D5">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056E3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20375168">
            <w:pPr>
              <w:shd w:val="clear"/>
              <w:jc w:val="center"/>
              <w:rPr>
                <w:rFonts w:ascii="宋体" w:hAnsi="宋体" w:cs="宋体"/>
                <w:color w:val="auto"/>
                <w:sz w:val="24"/>
                <w:szCs w:val="24"/>
                <w:highlight w:val="none"/>
              </w:rPr>
            </w:pPr>
          </w:p>
        </w:tc>
        <w:tc>
          <w:tcPr>
            <w:tcW w:w="2398" w:type="dxa"/>
            <w:tcBorders>
              <w:tl2br w:val="nil"/>
              <w:tr2bl w:val="nil"/>
            </w:tcBorders>
            <w:noWrap/>
            <w:vAlign w:val="center"/>
          </w:tcPr>
          <w:p w14:paraId="0068A37E">
            <w:pPr>
              <w:shd w:val="clear"/>
              <w:jc w:val="center"/>
              <w:rPr>
                <w:rFonts w:ascii="宋体" w:hAnsi="宋体" w:cs="宋体"/>
                <w:color w:val="auto"/>
                <w:sz w:val="24"/>
                <w:szCs w:val="24"/>
                <w:highlight w:val="none"/>
              </w:rPr>
            </w:pPr>
          </w:p>
        </w:tc>
        <w:tc>
          <w:tcPr>
            <w:tcW w:w="2399" w:type="dxa"/>
            <w:tcBorders>
              <w:tl2br w:val="nil"/>
              <w:tr2bl w:val="nil"/>
            </w:tcBorders>
            <w:noWrap/>
            <w:vAlign w:val="center"/>
          </w:tcPr>
          <w:p w14:paraId="014E7068">
            <w:pPr>
              <w:shd w:val="clear"/>
              <w:jc w:val="center"/>
              <w:rPr>
                <w:rFonts w:ascii="宋体" w:hAnsi="宋体" w:cs="宋体"/>
                <w:color w:val="auto"/>
                <w:sz w:val="24"/>
                <w:szCs w:val="24"/>
                <w:highlight w:val="none"/>
              </w:rPr>
            </w:pPr>
          </w:p>
        </w:tc>
        <w:tc>
          <w:tcPr>
            <w:tcW w:w="1180" w:type="dxa"/>
            <w:tcBorders>
              <w:tl2br w:val="nil"/>
              <w:tr2bl w:val="nil"/>
            </w:tcBorders>
            <w:noWrap/>
            <w:vAlign w:val="center"/>
          </w:tcPr>
          <w:p w14:paraId="3BBA11F5">
            <w:pPr>
              <w:shd w:val="clear"/>
              <w:jc w:val="center"/>
              <w:rPr>
                <w:rFonts w:ascii="宋体" w:hAnsi="宋体"/>
                <w:color w:val="auto"/>
                <w:sz w:val="24"/>
                <w:highlight w:val="none"/>
              </w:rPr>
            </w:pPr>
          </w:p>
        </w:tc>
        <w:tc>
          <w:tcPr>
            <w:tcW w:w="1867" w:type="dxa"/>
            <w:tcBorders>
              <w:tl2br w:val="nil"/>
              <w:tr2bl w:val="nil"/>
            </w:tcBorders>
            <w:noWrap/>
            <w:vAlign w:val="center"/>
          </w:tcPr>
          <w:p w14:paraId="4DF081AD">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2A4A6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324D0ABC">
            <w:pPr>
              <w:shd w:val="clear"/>
              <w:jc w:val="center"/>
              <w:rPr>
                <w:rFonts w:ascii="宋体" w:hAnsi="宋体" w:cs="宋体"/>
                <w:color w:val="auto"/>
                <w:sz w:val="24"/>
                <w:szCs w:val="24"/>
                <w:highlight w:val="none"/>
              </w:rPr>
            </w:pPr>
          </w:p>
        </w:tc>
        <w:tc>
          <w:tcPr>
            <w:tcW w:w="2398" w:type="dxa"/>
            <w:tcBorders>
              <w:tl2br w:val="nil"/>
              <w:tr2bl w:val="nil"/>
            </w:tcBorders>
            <w:noWrap/>
            <w:vAlign w:val="center"/>
          </w:tcPr>
          <w:p w14:paraId="5FE3AA04">
            <w:pPr>
              <w:shd w:val="clear"/>
              <w:jc w:val="center"/>
              <w:rPr>
                <w:rFonts w:ascii="宋体" w:hAnsi="宋体" w:cs="宋体"/>
                <w:color w:val="auto"/>
                <w:sz w:val="24"/>
                <w:szCs w:val="24"/>
                <w:highlight w:val="none"/>
              </w:rPr>
            </w:pPr>
          </w:p>
        </w:tc>
        <w:tc>
          <w:tcPr>
            <w:tcW w:w="2399" w:type="dxa"/>
            <w:tcBorders>
              <w:tl2br w:val="nil"/>
              <w:tr2bl w:val="nil"/>
            </w:tcBorders>
            <w:noWrap/>
            <w:vAlign w:val="center"/>
          </w:tcPr>
          <w:p w14:paraId="0C75D2D4">
            <w:pPr>
              <w:shd w:val="clear"/>
              <w:jc w:val="center"/>
              <w:rPr>
                <w:rFonts w:ascii="宋体" w:hAnsi="宋体" w:cs="宋体"/>
                <w:color w:val="auto"/>
                <w:sz w:val="24"/>
                <w:szCs w:val="24"/>
                <w:highlight w:val="none"/>
              </w:rPr>
            </w:pPr>
          </w:p>
        </w:tc>
        <w:tc>
          <w:tcPr>
            <w:tcW w:w="1180" w:type="dxa"/>
            <w:tcBorders>
              <w:tl2br w:val="nil"/>
              <w:tr2bl w:val="nil"/>
            </w:tcBorders>
            <w:noWrap/>
            <w:vAlign w:val="center"/>
          </w:tcPr>
          <w:p w14:paraId="5BD088B3">
            <w:pPr>
              <w:shd w:val="clear"/>
              <w:jc w:val="center"/>
              <w:rPr>
                <w:rFonts w:ascii="宋体" w:hAnsi="宋体"/>
                <w:color w:val="auto"/>
                <w:sz w:val="24"/>
                <w:highlight w:val="none"/>
              </w:rPr>
            </w:pPr>
          </w:p>
        </w:tc>
        <w:tc>
          <w:tcPr>
            <w:tcW w:w="1867" w:type="dxa"/>
            <w:tcBorders>
              <w:tl2br w:val="nil"/>
              <w:tr2bl w:val="nil"/>
            </w:tcBorders>
            <w:noWrap/>
            <w:vAlign w:val="center"/>
          </w:tcPr>
          <w:p w14:paraId="031FD081">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7197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5A57A0A1">
            <w:pPr>
              <w:shd w:val="clear"/>
              <w:jc w:val="center"/>
              <w:rPr>
                <w:rFonts w:ascii="宋体" w:hAnsi="宋体" w:cs="宋体"/>
                <w:color w:val="auto"/>
                <w:sz w:val="24"/>
                <w:szCs w:val="24"/>
                <w:highlight w:val="none"/>
              </w:rPr>
            </w:pPr>
          </w:p>
        </w:tc>
        <w:tc>
          <w:tcPr>
            <w:tcW w:w="2398" w:type="dxa"/>
            <w:tcBorders>
              <w:tl2br w:val="nil"/>
              <w:tr2bl w:val="nil"/>
            </w:tcBorders>
            <w:noWrap/>
            <w:vAlign w:val="center"/>
          </w:tcPr>
          <w:p w14:paraId="279C5272">
            <w:pPr>
              <w:shd w:val="clear"/>
              <w:jc w:val="center"/>
              <w:rPr>
                <w:rFonts w:ascii="宋体" w:hAnsi="宋体" w:cs="宋体"/>
                <w:color w:val="auto"/>
                <w:sz w:val="24"/>
                <w:szCs w:val="24"/>
                <w:highlight w:val="none"/>
              </w:rPr>
            </w:pPr>
          </w:p>
        </w:tc>
        <w:tc>
          <w:tcPr>
            <w:tcW w:w="2399" w:type="dxa"/>
            <w:tcBorders>
              <w:tl2br w:val="nil"/>
              <w:tr2bl w:val="nil"/>
            </w:tcBorders>
            <w:noWrap/>
            <w:vAlign w:val="center"/>
          </w:tcPr>
          <w:p w14:paraId="10C78831">
            <w:pPr>
              <w:shd w:val="clear"/>
              <w:jc w:val="center"/>
              <w:rPr>
                <w:rFonts w:ascii="宋体" w:hAnsi="宋体" w:cs="宋体"/>
                <w:color w:val="auto"/>
                <w:sz w:val="24"/>
                <w:szCs w:val="24"/>
                <w:highlight w:val="none"/>
              </w:rPr>
            </w:pPr>
          </w:p>
        </w:tc>
        <w:tc>
          <w:tcPr>
            <w:tcW w:w="1180" w:type="dxa"/>
            <w:tcBorders>
              <w:tl2br w:val="nil"/>
              <w:tr2bl w:val="nil"/>
            </w:tcBorders>
            <w:noWrap/>
            <w:vAlign w:val="center"/>
          </w:tcPr>
          <w:p w14:paraId="3E83C9DC">
            <w:pPr>
              <w:shd w:val="clear"/>
              <w:jc w:val="center"/>
              <w:rPr>
                <w:rFonts w:ascii="宋体" w:hAnsi="宋体"/>
                <w:color w:val="auto"/>
                <w:sz w:val="24"/>
                <w:highlight w:val="none"/>
              </w:rPr>
            </w:pPr>
          </w:p>
        </w:tc>
        <w:tc>
          <w:tcPr>
            <w:tcW w:w="1867" w:type="dxa"/>
            <w:tcBorders>
              <w:tl2br w:val="nil"/>
              <w:tr2bl w:val="nil"/>
            </w:tcBorders>
            <w:noWrap/>
            <w:vAlign w:val="center"/>
          </w:tcPr>
          <w:p w14:paraId="0C072480">
            <w:pPr>
              <w:shd w:val="clear"/>
              <w:jc w:val="center"/>
              <w:rPr>
                <w:rFonts w:ascii="宋体" w:hAnsi="宋体"/>
                <w:color w:val="auto"/>
                <w:sz w:val="24"/>
                <w:highlight w:val="none"/>
              </w:rPr>
            </w:pPr>
            <w:r>
              <w:rPr>
                <w:rFonts w:hint="eastAsia" w:ascii="宋体" w:hAnsi="宋体"/>
                <w:color w:val="auto"/>
                <w:sz w:val="24"/>
                <w:highlight w:val="none"/>
              </w:rPr>
              <w:t>详见投标文件第（）页</w:t>
            </w:r>
          </w:p>
        </w:tc>
      </w:tr>
      <w:tr w14:paraId="63912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641DFF86">
            <w:pPr>
              <w:shd w:val="clear"/>
              <w:jc w:val="center"/>
              <w:rPr>
                <w:rFonts w:ascii="宋体" w:hAnsi="宋体" w:cs="宋体"/>
                <w:color w:val="auto"/>
                <w:sz w:val="24"/>
                <w:szCs w:val="24"/>
                <w:highlight w:val="none"/>
              </w:rPr>
            </w:pPr>
          </w:p>
        </w:tc>
        <w:tc>
          <w:tcPr>
            <w:tcW w:w="2398" w:type="dxa"/>
            <w:tcBorders>
              <w:tl2br w:val="nil"/>
              <w:tr2bl w:val="nil"/>
            </w:tcBorders>
            <w:noWrap/>
            <w:vAlign w:val="center"/>
          </w:tcPr>
          <w:p w14:paraId="72CDE787">
            <w:pPr>
              <w:shd w:val="clear"/>
              <w:jc w:val="center"/>
              <w:rPr>
                <w:rFonts w:ascii="宋体" w:hAnsi="宋体" w:cs="宋体"/>
                <w:color w:val="auto"/>
                <w:sz w:val="24"/>
                <w:szCs w:val="24"/>
                <w:highlight w:val="none"/>
              </w:rPr>
            </w:pPr>
          </w:p>
        </w:tc>
        <w:tc>
          <w:tcPr>
            <w:tcW w:w="2399" w:type="dxa"/>
            <w:tcBorders>
              <w:tl2br w:val="nil"/>
              <w:tr2bl w:val="nil"/>
            </w:tcBorders>
            <w:noWrap/>
            <w:vAlign w:val="center"/>
          </w:tcPr>
          <w:p w14:paraId="70F7F9F2">
            <w:pPr>
              <w:shd w:val="clear"/>
              <w:jc w:val="center"/>
              <w:rPr>
                <w:rFonts w:ascii="宋体" w:hAnsi="宋体" w:cs="宋体"/>
                <w:color w:val="auto"/>
                <w:sz w:val="24"/>
                <w:szCs w:val="24"/>
                <w:highlight w:val="none"/>
              </w:rPr>
            </w:pPr>
          </w:p>
        </w:tc>
        <w:tc>
          <w:tcPr>
            <w:tcW w:w="1180" w:type="dxa"/>
            <w:tcBorders>
              <w:tl2br w:val="nil"/>
              <w:tr2bl w:val="nil"/>
            </w:tcBorders>
            <w:noWrap/>
            <w:vAlign w:val="center"/>
          </w:tcPr>
          <w:p w14:paraId="1876CF41">
            <w:pPr>
              <w:shd w:val="clear"/>
              <w:jc w:val="center"/>
              <w:rPr>
                <w:rFonts w:ascii="宋体" w:hAnsi="宋体"/>
                <w:color w:val="auto"/>
                <w:sz w:val="24"/>
                <w:highlight w:val="none"/>
              </w:rPr>
            </w:pPr>
          </w:p>
        </w:tc>
        <w:tc>
          <w:tcPr>
            <w:tcW w:w="1867" w:type="dxa"/>
            <w:tcBorders>
              <w:tl2br w:val="nil"/>
              <w:tr2bl w:val="nil"/>
            </w:tcBorders>
            <w:noWrap/>
            <w:vAlign w:val="center"/>
          </w:tcPr>
          <w:p w14:paraId="21053A4C">
            <w:pPr>
              <w:shd w:val="clear"/>
              <w:jc w:val="center"/>
              <w:rPr>
                <w:rFonts w:ascii="宋体" w:hAnsi="宋体"/>
                <w:color w:val="auto"/>
                <w:sz w:val="24"/>
                <w:highlight w:val="none"/>
              </w:rPr>
            </w:pPr>
            <w:r>
              <w:rPr>
                <w:rFonts w:hint="eastAsia" w:ascii="宋体" w:hAnsi="宋体"/>
                <w:color w:val="auto"/>
                <w:sz w:val="24"/>
                <w:highlight w:val="none"/>
              </w:rPr>
              <w:t>详见投标文件第（）页</w:t>
            </w:r>
          </w:p>
        </w:tc>
      </w:tr>
      <w:tr w14:paraId="634EE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149E124C">
            <w:pPr>
              <w:shd w:val="clear"/>
              <w:jc w:val="center"/>
              <w:rPr>
                <w:rFonts w:ascii="宋体" w:hAnsi="宋体" w:cs="宋体"/>
                <w:color w:val="auto"/>
                <w:sz w:val="24"/>
                <w:szCs w:val="24"/>
                <w:highlight w:val="none"/>
              </w:rPr>
            </w:pPr>
          </w:p>
        </w:tc>
        <w:tc>
          <w:tcPr>
            <w:tcW w:w="2398" w:type="dxa"/>
            <w:tcBorders>
              <w:tl2br w:val="nil"/>
              <w:tr2bl w:val="nil"/>
            </w:tcBorders>
            <w:noWrap/>
            <w:vAlign w:val="center"/>
          </w:tcPr>
          <w:p w14:paraId="4079CA07">
            <w:pPr>
              <w:shd w:val="clear"/>
              <w:jc w:val="center"/>
              <w:rPr>
                <w:rFonts w:ascii="宋体" w:hAnsi="宋体" w:cs="宋体"/>
                <w:color w:val="auto"/>
                <w:sz w:val="24"/>
                <w:szCs w:val="24"/>
                <w:highlight w:val="none"/>
              </w:rPr>
            </w:pPr>
          </w:p>
        </w:tc>
        <w:tc>
          <w:tcPr>
            <w:tcW w:w="2399" w:type="dxa"/>
            <w:tcBorders>
              <w:tl2br w:val="nil"/>
              <w:tr2bl w:val="nil"/>
            </w:tcBorders>
            <w:noWrap/>
            <w:vAlign w:val="center"/>
          </w:tcPr>
          <w:p w14:paraId="51FE001C">
            <w:pPr>
              <w:shd w:val="clear"/>
              <w:jc w:val="center"/>
              <w:rPr>
                <w:rFonts w:ascii="宋体" w:hAnsi="宋体" w:cs="宋体"/>
                <w:color w:val="auto"/>
                <w:sz w:val="24"/>
                <w:szCs w:val="24"/>
                <w:highlight w:val="none"/>
              </w:rPr>
            </w:pPr>
          </w:p>
        </w:tc>
        <w:tc>
          <w:tcPr>
            <w:tcW w:w="1180" w:type="dxa"/>
            <w:tcBorders>
              <w:tl2br w:val="nil"/>
              <w:tr2bl w:val="nil"/>
            </w:tcBorders>
            <w:noWrap/>
            <w:vAlign w:val="center"/>
          </w:tcPr>
          <w:p w14:paraId="1EAFA1E1">
            <w:pPr>
              <w:shd w:val="clear"/>
              <w:jc w:val="center"/>
              <w:rPr>
                <w:rFonts w:ascii="宋体" w:hAnsi="宋体"/>
                <w:color w:val="auto"/>
                <w:sz w:val="24"/>
                <w:highlight w:val="none"/>
              </w:rPr>
            </w:pPr>
          </w:p>
        </w:tc>
        <w:tc>
          <w:tcPr>
            <w:tcW w:w="1867" w:type="dxa"/>
            <w:tcBorders>
              <w:tl2br w:val="nil"/>
              <w:tr2bl w:val="nil"/>
            </w:tcBorders>
            <w:noWrap/>
            <w:vAlign w:val="center"/>
          </w:tcPr>
          <w:p w14:paraId="1E46E4D6">
            <w:pPr>
              <w:shd w:val="clea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2B8EB48A">
      <w:pPr>
        <w:shd w:val="clear"/>
        <w:rPr>
          <w:rFonts w:ascii="宋体" w:hAnsi="宋体"/>
          <w:color w:val="auto"/>
          <w:szCs w:val="21"/>
          <w:highlight w:val="none"/>
        </w:rPr>
      </w:pPr>
    </w:p>
    <w:p w14:paraId="37D9096C">
      <w:pPr>
        <w:shd w:val="clear"/>
        <w:rPr>
          <w:color w:val="auto"/>
          <w:highlight w:val="none"/>
        </w:rPr>
      </w:pPr>
    </w:p>
    <w:p w14:paraId="41FF1406">
      <w:pPr>
        <w:shd w:val="clear"/>
        <w:rPr>
          <w:rFonts w:ascii="宋体" w:hAnsi="宋体"/>
          <w:color w:val="auto"/>
          <w:szCs w:val="21"/>
          <w:highlight w:val="none"/>
        </w:rPr>
      </w:pPr>
      <w:r>
        <w:rPr>
          <w:rFonts w:hint="eastAsia" w:ascii="宋体" w:hAnsi="宋体"/>
          <w:color w:val="auto"/>
          <w:szCs w:val="21"/>
          <w:highlight w:val="none"/>
        </w:rPr>
        <w:t>投标人代表签字：</w:t>
      </w:r>
    </w:p>
    <w:p w14:paraId="437A5C5B">
      <w:pPr>
        <w:shd w:val="clear"/>
        <w:rPr>
          <w:rFonts w:ascii="宋体" w:hAnsi="宋体"/>
          <w:color w:val="auto"/>
          <w:szCs w:val="21"/>
          <w:highlight w:val="none"/>
        </w:rPr>
      </w:pPr>
      <w:r>
        <w:rPr>
          <w:rFonts w:hint="eastAsia" w:ascii="宋体" w:hAnsi="宋体"/>
          <w:color w:val="auto"/>
          <w:szCs w:val="21"/>
          <w:highlight w:val="none"/>
        </w:rPr>
        <w:t>投标人盖章：</w:t>
      </w:r>
    </w:p>
    <w:p w14:paraId="08C9DA73">
      <w:pPr>
        <w:shd w:val="clear"/>
        <w:rPr>
          <w:color w:val="auto"/>
          <w:highlight w:val="none"/>
        </w:rPr>
      </w:pPr>
    </w:p>
    <w:p w14:paraId="4820D775">
      <w:pPr>
        <w:shd w:val="clear"/>
        <w:rPr>
          <w:color w:val="auto"/>
          <w:highlight w:val="none"/>
        </w:rPr>
      </w:pPr>
    </w:p>
    <w:p w14:paraId="41A29FBE">
      <w:pPr>
        <w:shd w:val="clear"/>
        <w:rPr>
          <w:color w:val="auto"/>
          <w:highlight w:val="none"/>
        </w:rPr>
      </w:pPr>
      <w:r>
        <w:rPr>
          <w:rFonts w:hint="eastAsia"/>
          <w:color w:val="auto"/>
          <w:highlight w:val="none"/>
        </w:rPr>
        <w:t>注：</w:t>
      </w:r>
    </w:p>
    <w:p w14:paraId="519F0407">
      <w:pPr>
        <w:shd w:val="clea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70B77224">
      <w:pPr>
        <w:shd w:val="clea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4F536358">
      <w:pPr>
        <w:shd w:val="clear"/>
        <w:ind w:firstLine="420" w:firstLineChars="200"/>
        <w:rPr>
          <w:color w:val="auto"/>
          <w:highlight w:val="none"/>
        </w:rPr>
      </w:pPr>
      <w:r>
        <w:rPr>
          <w:rFonts w:hint="eastAsia"/>
          <w:color w:val="auto"/>
          <w:highlight w:val="none"/>
        </w:rPr>
        <w:t>3、若招标文件未设定实质性条款的，可删除本格式。</w:t>
      </w:r>
    </w:p>
    <w:p w14:paraId="1DE4D20B">
      <w:pPr>
        <w:pStyle w:val="4"/>
        <w:shd w:val="clear"/>
        <w:jc w:val="center"/>
        <w:rPr>
          <w:color w:val="auto"/>
          <w:highlight w:val="none"/>
        </w:rPr>
      </w:pPr>
      <w:bookmarkStart w:id="368" w:name="_Toc21519"/>
      <w:r>
        <w:rPr>
          <w:rFonts w:hint="eastAsia"/>
          <w:color w:val="auto"/>
          <w:highlight w:val="none"/>
        </w:rPr>
        <w:t>四、项目技术方案</w:t>
      </w:r>
      <w:bookmarkEnd w:id="367"/>
      <w:bookmarkEnd w:id="368"/>
    </w:p>
    <w:p w14:paraId="19AAFBB6">
      <w:pPr>
        <w:shd w:val="clea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12078061">
      <w:pPr>
        <w:shd w:val="clear"/>
        <w:ind w:left="718" w:leftChars="200" w:hanging="298" w:hangingChars="142"/>
        <w:rPr>
          <w:rFonts w:ascii="宋体" w:hAnsi="宋体"/>
          <w:color w:val="auto"/>
          <w:szCs w:val="21"/>
          <w:highlight w:val="none"/>
        </w:rPr>
      </w:pPr>
    </w:p>
    <w:p w14:paraId="495B4A91">
      <w:pPr>
        <w:shd w:val="clear"/>
        <w:ind w:left="718" w:leftChars="200" w:hanging="298" w:hangingChars="142"/>
        <w:rPr>
          <w:rFonts w:ascii="宋体" w:hAnsi="宋体"/>
          <w:color w:val="auto"/>
          <w:szCs w:val="21"/>
          <w:highlight w:val="none"/>
        </w:rPr>
      </w:pPr>
    </w:p>
    <w:p w14:paraId="6BED44A5">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129CB387">
      <w:pPr>
        <w:pStyle w:val="4"/>
        <w:shd w:val="clear"/>
        <w:jc w:val="center"/>
        <w:rPr>
          <w:color w:val="auto"/>
          <w:highlight w:val="none"/>
        </w:rPr>
      </w:pPr>
      <w:bookmarkStart w:id="369" w:name="_Toc16328"/>
      <w:bookmarkStart w:id="370" w:name="_Toc26880"/>
      <w:r>
        <w:rPr>
          <w:rFonts w:hint="eastAsia"/>
          <w:color w:val="auto"/>
          <w:highlight w:val="none"/>
        </w:rPr>
        <w:t>五、项目负责人及团队成员资料表</w:t>
      </w:r>
      <w:bookmarkEnd w:id="369"/>
      <w:bookmarkEnd w:id="370"/>
    </w:p>
    <w:p w14:paraId="0D6B28D9">
      <w:pPr>
        <w:shd w:val="clea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6D3AFC70">
      <w:pPr>
        <w:shd w:val="clear"/>
        <w:rPr>
          <w:rFonts w:ascii="宋体" w:hAnsi="宋体"/>
          <w:color w:val="auto"/>
          <w:szCs w:val="21"/>
          <w:highlight w:val="none"/>
        </w:rPr>
      </w:pPr>
      <w:r>
        <w:rPr>
          <w:rFonts w:hint="eastAsia" w:ascii="宋体" w:hAnsi="宋体"/>
          <w:color w:val="auto"/>
          <w:szCs w:val="21"/>
          <w:highlight w:val="none"/>
        </w:rPr>
        <w:t>注：</w:t>
      </w:r>
    </w:p>
    <w:p w14:paraId="49261E92">
      <w:pPr>
        <w:shd w:val="clear"/>
        <w:rPr>
          <w:rFonts w:ascii="宋体" w:hAnsi="宋体"/>
          <w:color w:val="auto"/>
          <w:szCs w:val="21"/>
          <w:highlight w:val="none"/>
        </w:rPr>
      </w:pPr>
      <w:r>
        <w:rPr>
          <w:rFonts w:hint="eastAsia" w:ascii="宋体" w:hAnsi="宋体"/>
          <w:color w:val="auto"/>
          <w:szCs w:val="21"/>
          <w:highlight w:val="none"/>
        </w:rPr>
        <w:t>1、证明资料须加盖公章。</w:t>
      </w:r>
    </w:p>
    <w:p w14:paraId="5134C581">
      <w:pPr>
        <w:shd w:val="clea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0527CBE8">
      <w:pPr>
        <w:shd w:val="clear"/>
        <w:ind w:firstLine="178" w:firstLineChars="85"/>
        <w:rPr>
          <w:rFonts w:ascii="宋体" w:hAnsi="宋体"/>
          <w:color w:val="auto"/>
          <w:szCs w:val="21"/>
          <w:highlight w:val="none"/>
        </w:rPr>
      </w:pPr>
    </w:p>
    <w:p w14:paraId="568B03E5">
      <w:pPr>
        <w:pStyle w:val="8"/>
        <w:shd w:val="clear"/>
        <w:rPr>
          <w:color w:val="auto"/>
          <w:highlight w:val="none"/>
        </w:rPr>
      </w:pPr>
    </w:p>
    <w:p w14:paraId="41699FEE">
      <w:pPr>
        <w:shd w:val="clear"/>
        <w:rPr>
          <w:rFonts w:ascii="黑体" w:eastAsia="黑体"/>
          <w:color w:val="auto"/>
          <w:sz w:val="28"/>
          <w:szCs w:val="28"/>
          <w:highlight w:val="none"/>
        </w:rPr>
      </w:pPr>
      <w:r>
        <w:rPr>
          <w:rFonts w:hint="eastAsia" w:ascii="宋体" w:hAnsi="宋体"/>
          <w:color w:val="auto"/>
          <w:szCs w:val="21"/>
          <w:highlight w:val="none"/>
        </w:rPr>
        <w:br w:type="page"/>
      </w:r>
    </w:p>
    <w:p w14:paraId="4F45A7BE">
      <w:pPr>
        <w:pStyle w:val="4"/>
        <w:shd w:val="clear"/>
        <w:jc w:val="center"/>
        <w:rPr>
          <w:color w:val="auto"/>
          <w:highlight w:val="none"/>
        </w:rPr>
      </w:pPr>
      <w:bookmarkStart w:id="371" w:name="_Toc26980"/>
      <w:bookmarkStart w:id="372" w:name="_Toc15431"/>
      <w:r>
        <w:rPr>
          <w:rFonts w:hint="eastAsia"/>
          <w:color w:val="auto"/>
          <w:highlight w:val="none"/>
        </w:rPr>
        <w:t>六、投标货物明细一览表</w:t>
      </w:r>
      <w:bookmarkEnd w:id="371"/>
      <w:bookmarkEnd w:id="372"/>
    </w:p>
    <w:tbl>
      <w:tblPr>
        <w:tblStyle w:val="25"/>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7D2A3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48935865">
            <w:pPr>
              <w:pStyle w:val="11"/>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4897C046">
            <w:pPr>
              <w:pStyle w:val="11"/>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40380958">
            <w:pPr>
              <w:pStyle w:val="11"/>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389EB0C0">
            <w:pPr>
              <w:pStyle w:val="11"/>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3D36848B">
            <w:pPr>
              <w:pStyle w:val="11"/>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0550CCD0">
            <w:pPr>
              <w:pStyle w:val="11"/>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40D29A9B">
            <w:pPr>
              <w:pStyle w:val="11"/>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4C67E25A">
            <w:pPr>
              <w:pStyle w:val="11"/>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09BB7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205DECE">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E1F41C3">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2448779">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786D586">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B9F0EB0">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1ACBCA55">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5FFB6734">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1448381">
            <w:pPr>
              <w:pStyle w:val="11"/>
              <w:shd w:val="clear"/>
              <w:spacing w:line="300" w:lineRule="auto"/>
              <w:jc w:val="center"/>
              <w:rPr>
                <w:rFonts w:hAnsi="宋体" w:cs="宋体"/>
                <w:b w:val="0"/>
                <w:bCs/>
                <w:color w:val="auto"/>
                <w:szCs w:val="21"/>
                <w:highlight w:val="none"/>
              </w:rPr>
            </w:pPr>
          </w:p>
        </w:tc>
      </w:tr>
      <w:tr w14:paraId="190FD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DC1AD0C">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FDFA736">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44E3092">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73B2E32">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3E06819">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1DAF9D26">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3AB0A852">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6A51A2E">
            <w:pPr>
              <w:pStyle w:val="11"/>
              <w:shd w:val="clear"/>
              <w:spacing w:line="300" w:lineRule="auto"/>
              <w:jc w:val="center"/>
              <w:rPr>
                <w:rFonts w:hAnsi="宋体" w:cs="宋体"/>
                <w:b w:val="0"/>
                <w:bCs/>
                <w:color w:val="auto"/>
                <w:szCs w:val="21"/>
                <w:highlight w:val="none"/>
              </w:rPr>
            </w:pPr>
          </w:p>
        </w:tc>
      </w:tr>
      <w:tr w14:paraId="23D26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1F0D673">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6747FF8">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14F1132">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D35EEF9">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3A432E8">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3C3357B5">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2E7B115F">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0B3031C">
            <w:pPr>
              <w:pStyle w:val="11"/>
              <w:shd w:val="clear"/>
              <w:spacing w:line="300" w:lineRule="auto"/>
              <w:jc w:val="center"/>
              <w:rPr>
                <w:rFonts w:hAnsi="宋体" w:cs="宋体"/>
                <w:b w:val="0"/>
                <w:bCs/>
                <w:color w:val="auto"/>
                <w:szCs w:val="21"/>
                <w:highlight w:val="none"/>
              </w:rPr>
            </w:pPr>
          </w:p>
        </w:tc>
      </w:tr>
      <w:tr w14:paraId="71767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7AD3D79">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90A0E4F">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A81B691">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155B3DE">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8E5FDA3">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12EAB793">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6E9E1344">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F382912">
            <w:pPr>
              <w:pStyle w:val="11"/>
              <w:shd w:val="clear"/>
              <w:spacing w:line="300" w:lineRule="auto"/>
              <w:jc w:val="center"/>
              <w:rPr>
                <w:rFonts w:hAnsi="宋体" w:cs="宋体"/>
                <w:b w:val="0"/>
                <w:bCs/>
                <w:color w:val="auto"/>
                <w:szCs w:val="21"/>
                <w:highlight w:val="none"/>
              </w:rPr>
            </w:pPr>
          </w:p>
        </w:tc>
      </w:tr>
      <w:tr w14:paraId="1B09C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6183215">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6FAB109">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101FF7F">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40FD4E8">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DEFB00F">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323F7759">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346C733E">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1B6B7B6">
            <w:pPr>
              <w:pStyle w:val="11"/>
              <w:shd w:val="clear"/>
              <w:spacing w:line="300" w:lineRule="auto"/>
              <w:jc w:val="center"/>
              <w:rPr>
                <w:rFonts w:hAnsi="宋体" w:cs="宋体"/>
                <w:b w:val="0"/>
                <w:bCs/>
                <w:color w:val="auto"/>
                <w:szCs w:val="21"/>
                <w:highlight w:val="none"/>
              </w:rPr>
            </w:pPr>
          </w:p>
        </w:tc>
      </w:tr>
      <w:tr w14:paraId="017EE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5F57532">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DC07DA2">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A921C3B">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D32A72F">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E396EA5">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735369DE">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1D8640EB">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6CB032F">
            <w:pPr>
              <w:pStyle w:val="11"/>
              <w:shd w:val="clear"/>
              <w:spacing w:line="300" w:lineRule="auto"/>
              <w:jc w:val="center"/>
              <w:rPr>
                <w:rFonts w:hAnsi="宋体" w:cs="宋体"/>
                <w:b w:val="0"/>
                <w:bCs/>
                <w:color w:val="auto"/>
                <w:szCs w:val="21"/>
                <w:highlight w:val="none"/>
              </w:rPr>
            </w:pPr>
          </w:p>
        </w:tc>
      </w:tr>
      <w:tr w14:paraId="35F5A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0C93006">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FA3896F">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9C1DF66">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D60AE8E">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EC71C1E">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617F27C9">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01788B17">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52BC963">
            <w:pPr>
              <w:pStyle w:val="11"/>
              <w:shd w:val="clear"/>
              <w:spacing w:line="300" w:lineRule="auto"/>
              <w:jc w:val="center"/>
              <w:rPr>
                <w:rFonts w:hAnsi="宋体" w:cs="宋体"/>
                <w:b w:val="0"/>
                <w:bCs/>
                <w:color w:val="auto"/>
                <w:szCs w:val="21"/>
                <w:highlight w:val="none"/>
              </w:rPr>
            </w:pPr>
          </w:p>
        </w:tc>
      </w:tr>
      <w:tr w14:paraId="550CF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93F43ED">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3166293">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AD68FCD">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CB17C80">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C89CC17">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3A18DC2A">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1E7E3893">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A2E9098">
            <w:pPr>
              <w:pStyle w:val="11"/>
              <w:shd w:val="clear"/>
              <w:spacing w:line="300" w:lineRule="auto"/>
              <w:jc w:val="center"/>
              <w:rPr>
                <w:rFonts w:hAnsi="宋体" w:cs="宋体"/>
                <w:b w:val="0"/>
                <w:bCs/>
                <w:color w:val="auto"/>
                <w:szCs w:val="21"/>
                <w:highlight w:val="none"/>
              </w:rPr>
            </w:pPr>
          </w:p>
        </w:tc>
      </w:tr>
      <w:tr w14:paraId="111ED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C5023B0">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50B76EE">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304D21A">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42DA1D4">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97D9925">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014B080C">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7670CD04">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A23F591">
            <w:pPr>
              <w:pStyle w:val="11"/>
              <w:shd w:val="clear"/>
              <w:spacing w:line="300" w:lineRule="auto"/>
              <w:jc w:val="center"/>
              <w:rPr>
                <w:rFonts w:hAnsi="宋体" w:cs="宋体"/>
                <w:b w:val="0"/>
                <w:bCs/>
                <w:color w:val="auto"/>
                <w:szCs w:val="21"/>
                <w:highlight w:val="none"/>
              </w:rPr>
            </w:pPr>
          </w:p>
        </w:tc>
      </w:tr>
      <w:tr w14:paraId="20FB3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E1AF63B">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9DDACD1">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48A375F">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ECE05A8">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422B71A">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3DE77858">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7C0FE80D">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7721676">
            <w:pPr>
              <w:pStyle w:val="11"/>
              <w:shd w:val="clear"/>
              <w:spacing w:line="300" w:lineRule="auto"/>
              <w:jc w:val="center"/>
              <w:rPr>
                <w:rFonts w:hAnsi="宋体" w:cs="宋体"/>
                <w:b w:val="0"/>
                <w:bCs/>
                <w:color w:val="auto"/>
                <w:szCs w:val="21"/>
                <w:highlight w:val="none"/>
              </w:rPr>
            </w:pPr>
          </w:p>
        </w:tc>
      </w:tr>
      <w:tr w14:paraId="6F766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C274CF0">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1C65627">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98701A7">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E4188B6">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6D6A0BB">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332BAEE0">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2628C521">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222553A">
            <w:pPr>
              <w:pStyle w:val="11"/>
              <w:shd w:val="clear"/>
              <w:spacing w:line="300" w:lineRule="auto"/>
              <w:jc w:val="center"/>
              <w:rPr>
                <w:rFonts w:hAnsi="宋体" w:cs="宋体"/>
                <w:b w:val="0"/>
                <w:bCs/>
                <w:color w:val="auto"/>
                <w:szCs w:val="21"/>
                <w:highlight w:val="none"/>
              </w:rPr>
            </w:pPr>
          </w:p>
        </w:tc>
      </w:tr>
      <w:tr w14:paraId="62B2C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40EEF6A">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53A7695">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6B56FED">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BB7A77A">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F2F17A3">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0A062014">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366F781B">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2AF6E94">
            <w:pPr>
              <w:pStyle w:val="11"/>
              <w:shd w:val="clear"/>
              <w:spacing w:line="300" w:lineRule="auto"/>
              <w:jc w:val="center"/>
              <w:rPr>
                <w:rFonts w:hAnsi="宋体" w:cs="宋体"/>
                <w:b w:val="0"/>
                <w:bCs/>
                <w:color w:val="auto"/>
                <w:szCs w:val="21"/>
                <w:highlight w:val="none"/>
              </w:rPr>
            </w:pPr>
          </w:p>
        </w:tc>
      </w:tr>
      <w:tr w14:paraId="67330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8153E74">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07BB0B3">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8932E07">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53F5056">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969B3DF">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5D88E5B6">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13EC7D76">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809C021">
            <w:pPr>
              <w:pStyle w:val="11"/>
              <w:shd w:val="clear"/>
              <w:spacing w:line="300" w:lineRule="auto"/>
              <w:jc w:val="center"/>
              <w:rPr>
                <w:rFonts w:hAnsi="宋体" w:cs="宋体"/>
                <w:b w:val="0"/>
                <w:bCs/>
                <w:color w:val="auto"/>
                <w:szCs w:val="21"/>
                <w:highlight w:val="none"/>
              </w:rPr>
            </w:pPr>
          </w:p>
        </w:tc>
      </w:tr>
      <w:tr w14:paraId="7F3DB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963B3ED">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1BDF94C">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16CB974">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D118746">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2CDF904">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764A77B9">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670C3CF8">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E7A580D">
            <w:pPr>
              <w:pStyle w:val="11"/>
              <w:shd w:val="clear"/>
              <w:spacing w:line="300" w:lineRule="auto"/>
              <w:jc w:val="center"/>
              <w:rPr>
                <w:rFonts w:hAnsi="宋体" w:cs="宋体"/>
                <w:b w:val="0"/>
                <w:bCs/>
                <w:color w:val="auto"/>
                <w:szCs w:val="21"/>
                <w:highlight w:val="none"/>
              </w:rPr>
            </w:pPr>
          </w:p>
        </w:tc>
      </w:tr>
      <w:tr w14:paraId="413C8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A6731CD">
            <w:pPr>
              <w:pStyle w:val="11"/>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E822B4D">
            <w:pPr>
              <w:pStyle w:val="11"/>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BB13259">
            <w:pPr>
              <w:pStyle w:val="11"/>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A243BBD">
            <w:pPr>
              <w:pStyle w:val="11"/>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4692C67">
            <w:pPr>
              <w:pStyle w:val="11"/>
              <w:shd w:val="clear"/>
              <w:spacing w:line="300" w:lineRule="auto"/>
              <w:jc w:val="center"/>
              <w:rPr>
                <w:rFonts w:hAnsi="宋体" w:cs="宋体"/>
                <w:b w:val="0"/>
                <w:bCs/>
                <w:color w:val="auto"/>
                <w:szCs w:val="21"/>
                <w:highlight w:val="none"/>
              </w:rPr>
            </w:pPr>
          </w:p>
        </w:tc>
        <w:tc>
          <w:tcPr>
            <w:tcW w:w="738" w:type="dxa"/>
            <w:tcBorders>
              <w:tl2br w:val="nil"/>
              <w:tr2bl w:val="nil"/>
            </w:tcBorders>
          </w:tcPr>
          <w:p w14:paraId="03A896A1">
            <w:pPr>
              <w:pStyle w:val="11"/>
              <w:shd w:val="clear"/>
              <w:spacing w:line="300" w:lineRule="auto"/>
              <w:jc w:val="center"/>
              <w:rPr>
                <w:rFonts w:hAnsi="宋体" w:cs="宋体"/>
                <w:b w:val="0"/>
                <w:bCs/>
                <w:color w:val="auto"/>
                <w:szCs w:val="21"/>
                <w:highlight w:val="none"/>
              </w:rPr>
            </w:pPr>
          </w:p>
        </w:tc>
        <w:tc>
          <w:tcPr>
            <w:tcW w:w="1616" w:type="dxa"/>
            <w:tcBorders>
              <w:tl2br w:val="nil"/>
              <w:tr2bl w:val="nil"/>
            </w:tcBorders>
          </w:tcPr>
          <w:p w14:paraId="21410A2D">
            <w:pPr>
              <w:pStyle w:val="11"/>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55A2750">
            <w:pPr>
              <w:pStyle w:val="11"/>
              <w:shd w:val="clear"/>
              <w:spacing w:line="300" w:lineRule="auto"/>
              <w:jc w:val="center"/>
              <w:rPr>
                <w:rFonts w:hAnsi="宋体" w:cs="宋体"/>
                <w:b w:val="0"/>
                <w:bCs/>
                <w:color w:val="auto"/>
                <w:szCs w:val="21"/>
                <w:highlight w:val="none"/>
              </w:rPr>
            </w:pPr>
          </w:p>
        </w:tc>
      </w:tr>
    </w:tbl>
    <w:p w14:paraId="7198566F">
      <w:pPr>
        <w:shd w:val="clea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1BBB77D3">
      <w:pPr>
        <w:shd w:val="clear"/>
        <w:rPr>
          <w:rFonts w:ascii="宋体" w:hAnsi="宋体" w:cs="Times New Roman"/>
          <w:color w:val="auto"/>
          <w:szCs w:val="21"/>
          <w:highlight w:val="none"/>
        </w:rPr>
      </w:pPr>
    </w:p>
    <w:p w14:paraId="50776602">
      <w:pPr>
        <w:shd w:val="clear"/>
        <w:rPr>
          <w:rFonts w:ascii="宋体" w:hAnsi="宋体" w:cs="Times New Roman"/>
          <w:color w:val="auto"/>
          <w:szCs w:val="21"/>
          <w:highlight w:val="none"/>
        </w:rPr>
      </w:pPr>
    </w:p>
    <w:p w14:paraId="6B04C49D">
      <w:pPr>
        <w:shd w:val="clea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694D7FC0">
      <w:pPr>
        <w:shd w:val="clea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39314A1B">
      <w:pPr>
        <w:pStyle w:val="4"/>
        <w:shd w:val="clear"/>
        <w:jc w:val="center"/>
        <w:rPr>
          <w:color w:val="auto"/>
          <w:highlight w:val="none"/>
        </w:rPr>
      </w:pPr>
      <w:bookmarkStart w:id="373" w:name="_Toc16710"/>
      <w:bookmarkStart w:id="374" w:name="_Toc21541"/>
      <w:r>
        <w:rPr>
          <w:rFonts w:hint="eastAsia"/>
          <w:color w:val="auto"/>
          <w:highlight w:val="none"/>
        </w:rPr>
        <w:t>七、投标保证金汇入情况说明</w:t>
      </w:r>
      <w:bookmarkEnd w:id="373"/>
      <w:bookmarkEnd w:id="374"/>
    </w:p>
    <w:p w14:paraId="0FC1BF6E">
      <w:pPr>
        <w:shd w:val="clea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14:paraId="71984AD5">
      <w:pPr>
        <w:shd w:val="clea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14:paraId="645BEF26">
      <w:pPr>
        <w:shd w:val="clea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14:paraId="3E7676A5">
      <w:pPr>
        <w:shd w:val="clea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14:paraId="342BE57E">
      <w:pPr>
        <w:shd w:val="clea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14:paraId="42C06548">
      <w:pPr>
        <w:shd w:val="clea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14:paraId="6BDEFD92">
      <w:pPr>
        <w:shd w:val="clea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14:paraId="69353FCB">
      <w:pPr>
        <w:shd w:val="clea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14:paraId="6681F1DF">
      <w:pPr>
        <w:shd w:val="clea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14:paraId="77E70BC4">
      <w:pPr>
        <w:shd w:val="clea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14:paraId="407A157E">
      <w:pPr>
        <w:shd w:val="clea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14:paraId="67FB9ADE">
      <w:pPr>
        <w:shd w:val="clea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14:paraId="7B2D77B6">
      <w:pPr>
        <w:shd w:val="clear"/>
        <w:rPr>
          <w:rFonts w:ascii="宋体" w:hAnsi="宋体"/>
          <w:color w:val="auto"/>
          <w:szCs w:val="21"/>
          <w:highlight w:val="none"/>
        </w:rPr>
      </w:pPr>
      <w:r>
        <w:rPr>
          <w:rFonts w:hint="eastAsia" w:ascii="宋体" w:hAnsi="宋体"/>
          <w:color w:val="auto"/>
          <w:szCs w:val="21"/>
          <w:highlight w:val="none"/>
        </w:rPr>
        <w:t>单位名称：</w:t>
      </w:r>
    </w:p>
    <w:p w14:paraId="61862627">
      <w:pPr>
        <w:shd w:val="clear"/>
        <w:rPr>
          <w:rFonts w:ascii="宋体" w:hAnsi="宋体"/>
          <w:color w:val="auto"/>
          <w:szCs w:val="21"/>
          <w:highlight w:val="none"/>
        </w:rPr>
      </w:pPr>
      <w:r>
        <w:rPr>
          <w:rFonts w:hint="eastAsia" w:ascii="宋体" w:hAnsi="宋体"/>
          <w:color w:val="auto"/>
          <w:szCs w:val="21"/>
          <w:highlight w:val="none"/>
        </w:rPr>
        <w:t>单位地址：</w:t>
      </w:r>
    </w:p>
    <w:p w14:paraId="6929476F">
      <w:pPr>
        <w:shd w:val="clear"/>
        <w:rPr>
          <w:rFonts w:ascii="宋体" w:hAnsi="宋体"/>
          <w:color w:val="auto"/>
          <w:szCs w:val="21"/>
          <w:highlight w:val="none"/>
        </w:rPr>
      </w:pPr>
      <w:r>
        <w:rPr>
          <w:rFonts w:hint="eastAsia" w:ascii="宋体" w:hAnsi="宋体"/>
          <w:color w:val="auto"/>
          <w:szCs w:val="21"/>
          <w:highlight w:val="none"/>
        </w:rPr>
        <w:t>联系人：</w:t>
      </w:r>
    </w:p>
    <w:p w14:paraId="4032D281">
      <w:pPr>
        <w:shd w:val="clear"/>
        <w:rPr>
          <w:rFonts w:ascii="宋体" w:hAnsi="宋体"/>
          <w:color w:val="auto"/>
          <w:szCs w:val="21"/>
          <w:highlight w:val="none"/>
        </w:rPr>
      </w:pPr>
      <w:r>
        <w:rPr>
          <w:rFonts w:hint="eastAsia" w:ascii="宋体" w:hAnsi="宋体"/>
          <w:color w:val="auto"/>
          <w:szCs w:val="21"/>
          <w:highlight w:val="none"/>
        </w:rPr>
        <w:t xml:space="preserve">单位电话： </w:t>
      </w:r>
    </w:p>
    <w:p w14:paraId="04D6B346">
      <w:pPr>
        <w:shd w:val="clear"/>
        <w:rPr>
          <w:rFonts w:ascii="宋体" w:hAnsi="宋体"/>
          <w:color w:val="auto"/>
          <w:szCs w:val="21"/>
          <w:highlight w:val="none"/>
        </w:rPr>
      </w:pPr>
      <w:r>
        <w:rPr>
          <w:rFonts w:hint="eastAsia" w:ascii="宋体" w:hAnsi="宋体"/>
          <w:color w:val="auto"/>
          <w:szCs w:val="21"/>
          <w:highlight w:val="none"/>
        </w:rPr>
        <w:t>联系人手机：</w:t>
      </w:r>
    </w:p>
    <w:p w14:paraId="378F7F71">
      <w:pPr>
        <w:shd w:val="clear"/>
        <w:rPr>
          <w:rFonts w:ascii="宋体" w:hAnsi="宋体"/>
          <w:color w:val="auto"/>
          <w:szCs w:val="21"/>
          <w:highlight w:val="none"/>
        </w:rPr>
      </w:pPr>
    </w:p>
    <w:p w14:paraId="1C13F195">
      <w:pPr>
        <w:shd w:val="clea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14:paraId="515F68C3">
      <w:pPr>
        <w:shd w:val="clea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5"/>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14:paraId="2417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9" w:hRule="atLeast"/>
        </w:trPr>
        <w:tc>
          <w:tcPr>
            <w:tcW w:w="8316" w:type="dxa"/>
            <w:vAlign w:val="center"/>
          </w:tcPr>
          <w:p w14:paraId="66F9DC1C">
            <w:pPr>
              <w:shd w:val="clea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14:paraId="4F457945">
      <w:pPr>
        <w:shd w:val="clea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14:paraId="7506C9A7">
      <w:pPr>
        <w:shd w:val="clea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14:paraId="7E2BCB6A">
      <w:pPr>
        <w:shd w:val="clear"/>
        <w:rPr>
          <w:rFonts w:ascii="黑体" w:eastAsia="黑体"/>
          <w:color w:val="auto"/>
          <w:sz w:val="28"/>
          <w:szCs w:val="28"/>
          <w:highlight w:val="none"/>
        </w:rPr>
      </w:pPr>
      <w:r>
        <w:rPr>
          <w:rFonts w:hint="eastAsia" w:ascii="宋体" w:hAnsi="宋体"/>
          <w:color w:val="auto"/>
          <w:szCs w:val="21"/>
          <w:highlight w:val="none"/>
        </w:rPr>
        <w:br w:type="page"/>
      </w:r>
    </w:p>
    <w:p w14:paraId="0B217547">
      <w:pPr>
        <w:pStyle w:val="4"/>
        <w:shd w:val="clear"/>
        <w:jc w:val="center"/>
        <w:rPr>
          <w:color w:val="auto"/>
          <w:highlight w:val="none"/>
        </w:rPr>
      </w:pPr>
      <w:bookmarkStart w:id="375" w:name="_Toc24545"/>
      <w:bookmarkStart w:id="376" w:name="_Toc26855"/>
      <w:r>
        <w:rPr>
          <w:rFonts w:hint="eastAsia"/>
          <w:color w:val="auto"/>
          <w:highlight w:val="none"/>
        </w:rPr>
        <w:t>八、政府采购投标担保函</w:t>
      </w:r>
      <w:bookmarkEnd w:id="375"/>
      <w:bookmarkEnd w:id="376"/>
    </w:p>
    <w:p w14:paraId="5C576F50">
      <w:pPr>
        <w:shd w:val="clea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14:paraId="40243AD3">
      <w:pPr>
        <w:shd w:val="clea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14:paraId="36249312">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14:paraId="610C5E85">
      <w:pPr>
        <w:shd w:val="clea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785BE70D">
      <w:pPr>
        <w:shd w:val="clea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636A4532">
      <w:pPr>
        <w:shd w:val="clea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14:paraId="50AFB45F">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14:paraId="352830D6">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14:paraId="1E7797C8">
      <w:pPr>
        <w:shd w:val="clea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14:paraId="0255A1DA">
      <w:pPr>
        <w:shd w:val="clea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4D5ADC7E">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74D9E7FC">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14:paraId="698DE4D9">
      <w:pPr>
        <w:shd w:val="clea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5AEB54C2">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1A712A9B">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14:paraId="3450F7B6">
      <w:pPr>
        <w:shd w:val="clea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5EE5AA8C">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14:paraId="5D0A82E5">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14:paraId="23B8062B">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14:paraId="3A5B802A">
      <w:pPr>
        <w:shd w:val="clea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7FBC42C0">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14:paraId="572536F7">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14:paraId="1B7C7778">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14:paraId="731DAE9C">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14:paraId="25102AFD">
      <w:pPr>
        <w:shd w:val="clea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559D5164">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736C87E5">
      <w:pPr>
        <w:shd w:val="clea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16E0CBBA">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4F400DD7">
      <w:pPr>
        <w:shd w:val="clear"/>
        <w:spacing w:line="480" w:lineRule="auto"/>
        <w:jc w:val="right"/>
        <w:rPr>
          <w:rFonts w:ascii="宋体" w:hAnsi="宋体" w:cs="宋体"/>
          <w:color w:val="auto"/>
          <w:szCs w:val="21"/>
          <w:highlight w:val="none"/>
        </w:rPr>
      </w:pPr>
    </w:p>
    <w:p w14:paraId="22B3155A">
      <w:pPr>
        <w:shd w:val="clea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484FB838">
      <w:pPr>
        <w:shd w:val="clea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14:paraId="023E25B5">
      <w:pPr>
        <w:shd w:val="clear"/>
        <w:rPr>
          <w:rFonts w:ascii="宋体" w:hAnsi="宋体"/>
          <w:color w:val="auto"/>
          <w:szCs w:val="21"/>
          <w:highlight w:val="none"/>
        </w:rPr>
      </w:pPr>
    </w:p>
    <w:p w14:paraId="724C5F87">
      <w:pPr>
        <w:shd w:val="clear"/>
        <w:rPr>
          <w:rFonts w:ascii="宋体" w:hAnsi="宋体"/>
          <w:b/>
          <w:bCs/>
          <w:color w:val="auto"/>
          <w:szCs w:val="21"/>
          <w:highlight w:val="none"/>
        </w:rPr>
      </w:pPr>
      <w:r>
        <w:rPr>
          <w:rFonts w:hint="eastAsia" w:ascii="宋体" w:hAnsi="宋体"/>
          <w:b/>
          <w:bCs/>
          <w:color w:val="auto"/>
          <w:szCs w:val="21"/>
          <w:highlight w:val="none"/>
        </w:rPr>
        <w:t>注：</w:t>
      </w:r>
    </w:p>
    <w:p w14:paraId="59DF5510">
      <w:pPr>
        <w:shd w:val="clea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14:paraId="37BAB309">
      <w:pPr>
        <w:shd w:val="clea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14:paraId="06B3036F">
      <w:pPr>
        <w:shd w:val="clear"/>
        <w:rPr>
          <w:rFonts w:ascii="黑体" w:eastAsia="黑体"/>
          <w:color w:val="auto"/>
          <w:sz w:val="30"/>
          <w:szCs w:val="30"/>
          <w:highlight w:val="none"/>
        </w:rPr>
      </w:pPr>
      <w:r>
        <w:rPr>
          <w:rFonts w:hint="eastAsia" w:ascii="宋体" w:hAnsi="宋体"/>
          <w:color w:val="auto"/>
          <w:szCs w:val="21"/>
          <w:highlight w:val="none"/>
        </w:rPr>
        <w:br w:type="page"/>
      </w:r>
    </w:p>
    <w:p w14:paraId="2BBAD925">
      <w:pPr>
        <w:pStyle w:val="4"/>
        <w:shd w:val="clear"/>
        <w:jc w:val="center"/>
        <w:rPr>
          <w:color w:val="auto"/>
          <w:highlight w:val="none"/>
        </w:rPr>
      </w:pPr>
      <w:bookmarkStart w:id="377" w:name="_Toc6961"/>
      <w:r>
        <w:rPr>
          <w:rFonts w:hint="eastAsia"/>
          <w:color w:val="auto"/>
          <w:highlight w:val="none"/>
        </w:rPr>
        <w:t>九、政府采购履约担保函</w:t>
      </w:r>
      <w:bookmarkEnd w:id="377"/>
    </w:p>
    <w:p w14:paraId="4F3AAA36">
      <w:pPr>
        <w:shd w:val="clea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5CF592CB">
      <w:pPr>
        <w:shd w:val="clear"/>
        <w:rPr>
          <w:rFonts w:ascii="宋体" w:hAnsi="宋体" w:cs="宋体"/>
          <w:color w:val="auto"/>
          <w:szCs w:val="21"/>
          <w:highlight w:val="none"/>
        </w:rPr>
      </w:pPr>
      <w:r>
        <w:rPr>
          <w:rFonts w:hint="eastAsia" w:ascii="宋体" w:hAnsi="宋体" w:cs="宋体"/>
          <w:color w:val="auto"/>
          <w:szCs w:val="21"/>
          <w:highlight w:val="none"/>
        </w:rPr>
        <w:t>（采购人）：</w:t>
      </w:r>
    </w:p>
    <w:p w14:paraId="621CE2E3">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72E14EB8">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6E3546E9">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643BCA12">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5337388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451EC576">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1B614F01">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61499EDD">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1C1AAD4E">
      <w:pPr>
        <w:shd w:val="clea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355CEAD0">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5E3EB1E5">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53B2F6ED">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0A56FB20">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4CC5CF2D">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487FAFA6">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202F2A15">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3BF94FB5">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0FAA2515">
      <w:pPr>
        <w:shd w:val="clea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46673DCA">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1761FEF6">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5AFCBD88">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0F8FF84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6FB34C2B">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5CED0B12">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0B14A3FB">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1D9C53FC">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2E1A7B5A">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0C50EEC7">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4255D21B">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7AC8BA13">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63AC7B9C">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27499B7F">
      <w:pPr>
        <w:shd w:val="clear"/>
        <w:rPr>
          <w:rFonts w:ascii="宋体" w:hAnsi="宋体" w:cs="宋体"/>
          <w:color w:val="auto"/>
          <w:szCs w:val="21"/>
          <w:highlight w:val="none"/>
        </w:rPr>
      </w:pPr>
    </w:p>
    <w:p w14:paraId="5CAB2B94">
      <w:pPr>
        <w:shd w:val="clear"/>
        <w:rPr>
          <w:rFonts w:ascii="宋体" w:hAnsi="宋体" w:cs="宋体"/>
          <w:color w:val="auto"/>
          <w:szCs w:val="21"/>
          <w:highlight w:val="none"/>
        </w:rPr>
      </w:pPr>
    </w:p>
    <w:p w14:paraId="027F6433">
      <w:pPr>
        <w:shd w:val="clea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451338C2">
      <w:pPr>
        <w:shd w:val="clear"/>
        <w:jc w:val="right"/>
        <w:rPr>
          <w:rFonts w:ascii="宋体" w:hAnsi="宋体" w:cs="宋体"/>
          <w:color w:val="auto"/>
          <w:szCs w:val="21"/>
          <w:highlight w:val="none"/>
        </w:rPr>
      </w:pPr>
      <w:r>
        <w:rPr>
          <w:rFonts w:hint="eastAsia" w:ascii="宋体" w:hAnsi="宋体" w:cs="宋体"/>
          <w:color w:val="auto"/>
          <w:szCs w:val="21"/>
          <w:highlight w:val="none"/>
        </w:rPr>
        <w:t>年     月      日</w:t>
      </w:r>
    </w:p>
    <w:p w14:paraId="5E2F777D">
      <w:pPr>
        <w:shd w:val="clear"/>
        <w:rPr>
          <w:rFonts w:ascii="宋体" w:hAnsi="宋体"/>
          <w:color w:val="auto"/>
          <w:szCs w:val="21"/>
          <w:highlight w:val="none"/>
        </w:rPr>
      </w:pPr>
      <w:r>
        <w:rPr>
          <w:rFonts w:hint="eastAsia" w:ascii="宋体" w:hAnsi="宋体"/>
          <w:color w:val="auto"/>
          <w:szCs w:val="21"/>
          <w:highlight w:val="none"/>
        </w:rPr>
        <w:t>注：</w:t>
      </w:r>
    </w:p>
    <w:p w14:paraId="4465790D">
      <w:pPr>
        <w:shd w:val="clea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032523A5">
      <w:pPr>
        <w:pStyle w:val="8"/>
        <w:shd w:val="clear"/>
        <w:rPr>
          <w:color w:val="auto"/>
          <w:highlight w:val="none"/>
        </w:rPr>
      </w:pPr>
    </w:p>
    <w:p w14:paraId="1D22BD25">
      <w:pPr>
        <w:shd w:val="clear"/>
        <w:rPr>
          <w:color w:val="auto"/>
          <w:highlight w:val="none"/>
        </w:rPr>
      </w:pPr>
      <w:r>
        <w:rPr>
          <w:color w:val="auto"/>
          <w:highlight w:val="none"/>
        </w:rPr>
        <w:br w:type="page"/>
      </w:r>
    </w:p>
    <w:p w14:paraId="07D415DD">
      <w:pPr>
        <w:pStyle w:val="4"/>
        <w:shd w:val="clear"/>
        <w:jc w:val="center"/>
        <w:rPr>
          <w:color w:val="auto"/>
          <w:highlight w:val="none"/>
        </w:rPr>
      </w:pPr>
      <w:bookmarkStart w:id="378" w:name="_Toc26772"/>
      <w:bookmarkStart w:id="379" w:name="_Toc26782"/>
      <w:r>
        <w:rPr>
          <w:rFonts w:hint="eastAsia"/>
          <w:color w:val="auto"/>
          <w:highlight w:val="none"/>
        </w:rPr>
        <w:t>第四章唱标信封（单独封装）</w:t>
      </w:r>
      <w:bookmarkEnd w:id="378"/>
      <w:bookmarkEnd w:id="379"/>
    </w:p>
    <w:p w14:paraId="191B8AB9">
      <w:pPr>
        <w:shd w:val="clear"/>
        <w:ind w:firstLine="420" w:firstLineChars="200"/>
        <w:rPr>
          <w:color w:val="auto"/>
          <w:highlight w:val="none"/>
        </w:rPr>
      </w:pPr>
      <w:r>
        <w:rPr>
          <w:rFonts w:hint="eastAsia"/>
          <w:color w:val="auto"/>
          <w:highlight w:val="none"/>
        </w:rPr>
        <w:t>（1）开标一览表；</w:t>
      </w:r>
    </w:p>
    <w:p w14:paraId="43ACF662">
      <w:pPr>
        <w:shd w:val="clear"/>
        <w:ind w:firstLine="420" w:firstLineChars="200"/>
        <w:rPr>
          <w:color w:val="auto"/>
          <w:highlight w:val="none"/>
        </w:rPr>
      </w:pPr>
      <w:r>
        <w:rPr>
          <w:rFonts w:hint="eastAsia"/>
          <w:color w:val="auto"/>
          <w:highlight w:val="none"/>
        </w:rPr>
        <w:t>（2）法人代表授权书及被授权代表身份证（复印件加盖公章）；</w:t>
      </w:r>
    </w:p>
    <w:p w14:paraId="2C4B015A">
      <w:pPr>
        <w:shd w:val="clea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14:paraId="5F1CA343">
      <w:pPr>
        <w:shd w:val="clear"/>
        <w:rPr>
          <w:color w:val="auto"/>
          <w:highlight w:val="none"/>
        </w:rPr>
      </w:pPr>
    </w:p>
    <w:p w14:paraId="746B4CBA">
      <w:pPr>
        <w:shd w:val="clear"/>
        <w:rPr>
          <w:color w:val="auto"/>
          <w:highlight w:val="none"/>
        </w:rPr>
      </w:pPr>
    </w:p>
    <w:p w14:paraId="4290BBCE">
      <w:pPr>
        <w:shd w:val="clear"/>
        <w:rPr>
          <w:color w:val="auto"/>
          <w:highlight w:val="none"/>
        </w:rPr>
      </w:pPr>
    </w:p>
    <w:p w14:paraId="7CCBD3C5">
      <w:pPr>
        <w:shd w:val="clear"/>
        <w:rPr>
          <w:color w:val="auto"/>
          <w:highlight w:val="none"/>
        </w:rPr>
      </w:pPr>
    </w:p>
    <w:p w14:paraId="421B4CDB">
      <w:pPr>
        <w:shd w:val="clear"/>
        <w:rPr>
          <w:color w:val="auto"/>
          <w:highlight w:val="none"/>
        </w:rPr>
      </w:pPr>
    </w:p>
    <w:p w14:paraId="37CFE9AD">
      <w:pPr>
        <w:shd w:val="clear"/>
        <w:rPr>
          <w:color w:val="auto"/>
          <w:highlight w:val="none"/>
        </w:rPr>
      </w:pPr>
    </w:p>
    <w:p w14:paraId="0449620B">
      <w:pPr>
        <w:shd w:val="clear"/>
        <w:rPr>
          <w:color w:val="auto"/>
          <w:highlight w:val="none"/>
        </w:rPr>
      </w:pPr>
    </w:p>
    <w:p w14:paraId="0A881AED">
      <w:pPr>
        <w:shd w:val="clear"/>
        <w:rPr>
          <w:color w:val="auto"/>
          <w:highlight w:val="none"/>
        </w:rPr>
      </w:pPr>
    </w:p>
    <w:p w14:paraId="265B06B3">
      <w:pPr>
        <w:shd w:val="clear"/>
        <w:rPr>
          <w:color w:val="auto"/>
          <w:highlight w:val="none"/>
        </w:rPr>
      </w:pPr>
    </w:p>
    <w:p w14:paraId="6A8FCDE0">
      <w:pPr>
        <w:shd w:val="clear"/>
        <w:rPr>
          <w:color w:val="auto"/>
          <w:highlight w:val="none"/>
        </w:rPr>
      </w:pPr>
    </w:p>
    <w:p w14:paraId="1DAFA225">
      <w:pPr>
        <w:shd w:val="clear"/>
        <w:rPr>
          <w:color w:val="auto"/>
          <w:highlight w:val="none"/>
        </w:rPr>
      </w:pPr>
    </w:p>
    <w:p w14:paraId="2A7CD056">
      <w:pPr>
        <w:shd w:val="clear"/>
        <w:rPr>
          <w:color w:val="auto"/>
          <w:highlight w:val="none"/>
        </w:rPr>
      </w:pPr>
    </w:p>
    <w:p w14:paraId="32D0365A">
      <w:pPr>
        <w:shd w:val="clear"/>
        <w:rPr>
          <w:color w:val="auto"/>
          <w:highlight w:val="none"/>
        </w:rPr>
      </w:pPr>
      <w:bookmarkStart w:id="380" w:name="_Toc11182"/>
    </w:p>
    <w:p w14:paraId="3BE2C65D">
      <w:pPr>
        <w:shd w:val="clear"/>
        <w:rPr>
          <w:color w:val="auto"/>
          <w:highlight w:val="none"/>
        </w:rPr>
      </w:pPr>
    </w:p>
    <w:p w14:paraId="383EFCE4">
      <w:pPr>
        <w:shd w:val="clear"/>
        <w:rPr>
          <w:color w:val="auto"/>
          <w:highlight w:val="none"/>
        </w:rPr>
      </w:pPr>
    </w:p>
    <w:p w14:paraId="3B2BCE65">
      <w:pPr>
        <w:shd w:val="clear"/>
        <w:rPr>
          <w:color w:val="auto"/>
          <w:highlight w:val="none"/>
        </w:rPr>
      </w:pPr>
    </w:p>
    <w:p w14:paraId="6F76328E">
      <w:pPr>
        <w:shd w:val="clear"/>
        <w:rPr>
          <w:color w:val="auto"/>
          <w:highlight w:val="none"/>
        </w:rPr>
      </w:pPr>
    </w:p>
    <w:p w14:paraId="7781E7D6">
      <w:pPr>
        <w:shd w:val="clear"/>
        <w:rPr>
          <w:color w:val="auto"/>
          <w:highlight w:val="none"/>
        </w:rPr>
      </w:pPr>
    </w:p>
    <w:p w14:paraId="040B1F9B">
      <w:pPr>
        <w:shd w:val="clear"/>
        <w:rPr>
          <w:color w:val="auto"/>
          <w:highlight w:val="none"/>
        </w:rPr>
      </w:pPr>
    </w:p>
    <w:p w14:paraId="63AFAEFF">
      <w:pPr>
        <w:pStyle w:val="8"/>
        <w:shd w:val="clear"/>
        <w:rPr>
          <w:color w:val="auto"/>
          <w:highlight w:val="none"/>
        </w:rPr>
      </w:pPr>
    </w:p>
    <w:p w14:paraId="73295CD6">
      <w:pPr>
        <w:shd w:val="clear"/>
        <w:rPr>
          <w:color w:val="auto"/>
          <w:highlight w:val="none"/>
        </w:rPr>
      </w:pPr>
    </w:p>
    <w:p w14:paraId="634AD243">
      <w:pPr>
        <w:pStyle w:val="8"/>
        <w:shd w:val="clear"/>
        <w:rPr>
          <w:color w:val="auto"/>
          <w:highlight w:val="none"/>
        </w:rPr>
      </w:pPr>
    </w:p>
    <w:p w14:paraId="0BF131CF">
      <w:pPr>
        <w:shd w:val="clear"/>
        <w:rPr>
          <w:color w:val="auto"/>
          <w:highlight w:val="none"/>
        </w:rPr>
      </w:pPr>
    </w:p>
    <w:p w14:paraId="61DD8A1B">
      <w:pPr>
        <w:pStyle w:val="8"/>
        <w:shd w:val="clear"/>
        <w:rPr>
          <w:color w:val="auto"/>
          <w:highlight w:val="none"/>
        </w:rPr>
      </w:pPr>
    </w:p>
    <w:p w14:paraId="0970D622">
      <w:pPr>
        <w:shd w:val="clear"/>
        <w:rPr>
          <w:color w:val="auto"/>
          <w:highlight w:val="none"/>
        </w:rPr>
      </w:pPr>
    </w:p>
    <w:p w14:paraId="584E5734">
      <w:pPr>
        <w:pStyle w:val="8"/>
        <w:shd w:val="clear"/>
        <w:rPr>
          <w:color w:val="auto"/>
          <w:highlight w:val="none"/>
        </w:rPr>
      </w:pPr>
    </w:p>
    <w:p w14:paraId="67288820">
      <w:pPr>
        <w:shd w:val="clear"/>
        <w:rPr>
          <w:color w:val="auto"/>
          <w:highlight w:val="none"/>
        </w:rPr>
      </w:pPr>
    </w:p>
    <w:p w14:paraId="126B2C25">
      <w:pPr>
        <w:pStyle w:val="4"/>
        <w:shd w:val="clear"/>
        <w:jc w:val="center"/>
        <w:rPr>
          <w:color w:val="auto"/>
          <w:highlight w:val="none"/>
        </w:rPr>
      </w:pPr>
      <w:bookmarkStart w:id="381" w:name="_Toc22736"/>
      <w:bookmarkStart w:id="382" w:name="_Toc2710"/>
      <w:r>
        <w:rPr>
          <w:rFonts w:hint="eastAsia"/>
          <w:color w:val="auto"/>
          <w:highlight w:val="none"/>
        </w:rPr>
        <w:t>第五章联合体共同投标协议书（如有需要）</w:t>
      </w:r>
      <w:bookmarkEnd w:id="381"/>
      <w:bookmarkEnd w:id="382"/>
    </w:p>
    <w:p w14:paraId="03AF81DE">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34DEDB8B">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33903B90">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5E1ECDC2">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4C2A34B6">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2C5BECE6">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1C3ABCD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5CD54805">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76096C9F">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3E5DA120">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48246A94">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4945A65A">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3506AB75">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6B5D6EF7">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6007605D">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5A9FAB22">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570C2357">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14:paraId="54180946">
      <w:pPr>
        <w:shd w:val="clea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38ADA880">
      <w:pPr>
        <w:shd w:val="clea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3D3B1E75">
      <w:pPr>
        <w:shd w:val="clea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0"/>
    <w:p w14:paraId="5B16D645">
      <w:pPr>
        <w:pStyle w:val="8"/>
        <w:shd w:val="clear"/>
        <w:ind w:left="0"/>
        <w:rPr>
          <w:color w:val="auto"/>
          <w:highlight w:val="none"/>
          <w:lang w:val="en-US"/>
        </w:rPr>
      </w:pPr>
    </w:p>
    <w:p w14:paraId="0FCA0BEB">
      <w:pPr>
        <w:shd w:val="clea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219B5771">
      <w:pPr>
        <w:shd w:val="clea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205CF368">
      <w:pPr>
        <w:shd w:val="clear"/>
        <w:rPr>
          <w:rFonts w:ascii="宋体" w:hAnsi="宋体" w:cs="宋体"/>
          <w:color w:val="auto"/>
          <w:szCs w:val="21"/>
          <w:highlight w:val="none"/>
        </w:rPr>
      </w:pPr>
    </w:p>
    <w:p w14:paraId="2955D25F">
      <w:pPr>
        <w:shd w:val="clea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0DAED694">
      <w:pPr>
        <w:shd w:val="clea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73D7BF47">
      <w:pPr>
        <w:shd w:val="clear"/>
        <w:rPr>
          <w:rFonts w:ascii="宋体" w:hAnsi="宋体" w:cs="宋体"/>
          <w:color w:val="auto"/>
          <w:szCs w:val="21"/>
          <w:highlight w:val="none"/>
          <w:u w:val="dotted"/>
        </w:rPr>
      </w:pPr>
      <w:r>
        <w:rPr>
          <w:rFonts w:hint="eastAsia" w:ascii="宋体" w:hAnsi="宋体" w:cs="宋体"/>
          <w:color w:val="auto"/>
          <w:szCs w:val="21"/>
          <w:highlight w:val="none"/>
        </w:rPr>
        <w:t>质疑供应商：</w:t>
      </w:r>
    </w:p>
    <w:p w14:paraId="20D5BC79">
      <w:pPr>
        <w:shd w:val="clear"/>
        <w:rPr>
          <w:rFonts w:ascii="宋体" w:hAnsi="宋体" w:cs="宋体"/>
          <w:color w:val="auto"/>
          <w:szCs w:val="21"/>
          <w:highlight w:val="none"/>
        </w:rPr>
      </w:pPr>
      <w:r>
        <w:rPr>
          <w:rFonts w:hint="eastAsia" w:ascii="宋体" w:hAnsi="宋体" w:cs="宋体"/>
          <w:color w:val="auto"/>
          <w:szCs w:val="21"/>
          <w:highlight w:val="none"/>
        </w:rPr>
        <w:t>地址：邮编：</w:t>
      </w:r>
    </w:p>
    <w:p w14:paraId="3F134C87">
      <w:pPr>
        <w:shd w:val="clear"/>
        <w:rPr>
          <w:rFonts w:ascii="宋体" w:hAnsi="宋体" w:cs="宋体"/>
          <w:color w:val="auto"/>
          <w:szCs w:val="21"/>
          <w:highlight w:val="none"/>
        </w:rPr>
      </w:pPr>
      <w:r>
        <w:rPr>
          <w:rFonts w:hint="eastAsia" w:ascii="宋体" w:hAnsi="宋体" w:cs="宋体"/>
          <w:color w:val="auto"/>
          <w:szCs w:val="21"/>
          <w:highlight w:val="none"/>
        </w:rPr>
        <w:t>联系人：联系电话：</w:t>
      </w:r>
    </w:p>
    <w:p w14:paraId="53AC0A5B">
      <w:pPr>
        <w:shd w:val="clear"/>
        <w:rPr>
          <w:rFonts w:ascii="宋体" w:hAnsi="宋体" w:cs="宋体"/>
          <w:color w:val="auto"/>
          <w:szCs w:val="21"/>
          <w:highlight w:val="none"/>
          <w:u w:val="dotted"/>
        </w:rPr>
      </w:pPr>
      <w:r>
        <w:rPr>
          <w:rFonts w:hint="eastAsia" w:ascii="宋体" w:hAnsi="宋体" w:cs="宋体"/>
          <w:color w:val="auto"/>
          <w:szCs w:val="21"/>
          <w:highlight w:val="none"/>
        </w:rPr>
        <w:t>授权代表：</w:t>
      </w:r>
    </w:p>
    <w:p w14:paraId="3AF5741C">
      <w:pPr>
        <w:shd w:val="clear"/>
        <w:rPr>
          <w:rFonts w:ascii="宋体" w:hAnsi="宋体" w:cs="宋体"/>
          <w:color w:val="auto"/>
          <w:szCs w:val="21"/>
          <w:highlight w:val="none"/>
        </w:rPr>
      </w:pPr>
      <w:r>
        <w:rPr>
          <w:rFonts w:hint="eastAsia" w:ascii="宋体" w:hAnsi="宋体" w:cs="宋体"/>
          <w:color w:val="auto"/>
          <w:szCs w:val="21"/>
          <w:highlight w:val="none"/>
        </w:rPr>
        <w:t>联系电话：</w:t>
      </w:r>
    </w:p>
    <w:p w14:paraId="63A80BFC">
      <w:pPr>
        <w:shd w:val="clear"/>
        <w:rPr>
          <w:rFonts w:ascii="宋体" w:hAnsi="宋体" w:cs="宋体"/>
          <w:color w:val="auto"/>
          <w:szCs w:val="21"/>
          <w:highlight w:val="none"/>
        </w:rPr>
      </w:pPr>
      <w:r>
        <w:rPr>
          <w:rFonts w:hint="eastAsia" w:ascii="宋体" w:hAnsi="宋体" w:cs="宋体"/>
          <w:color w:val="auto"/>
          <w:szCs w:val="21"/>
          <w:highlight w:val="none"/>
        </w:rPr>
        <w:t>地址： 邮编：</w:t>
      </w:r>
    </w:p>
    <w:p w14:paraId="7D7787C1">
      <w:pPr>
        <w:shd w:val="clea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13481798">
      <w:pPr>
        <w:shd w:val="clea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14:paraId="45015EA7">
      <w:pPr>
        <w:shd w:val="clear"/>
        <w:rPr>
          <w:rFonts w:ascii="宋体" w:hAnsi="宋体" w:cs="宋体"/>
          <w:color w:val="auto"/>
          <w:szCs w:val="21"/>
          <w:highlight w:val="none"/>
        </w:rPr>
      </w:pPr>
      <w:r>
        <w:rPr>
          <w:rFonts w:hint="eastAsia" w:ascii="宋体" w:hAnsi="宋体" w:cs="宋体"/>
          <w:color w:val="auto"/>
          <w:szCs w:val="21"/>
          <w:highlight w:val="none"/>
        </w:rPr>
        <w:t>质疑项目的编号：包号：</w:t>
      </w:r>
    </w:p>
    <w:p w14:paraId="426E28B3">
      <w:pPr>
        <w:shd w:val="clear"/>
        <w:rPr>
          <w:rFonts w:ascii="宋体" w:hAnsi="宋体" w:cs="宋体"/>
          <w:color w:val="auto"/>
          <w:szCs w:val="21"/>
          <w:highlight w:val="none"/>
          <w:u w:val="dotted"/>
        </w:rPr>
      </w:pPr>
      <w:r>
        <w:rPr>
          <w:rFonts w:hint="eastAsia" w:ascii="宋体" w:hAnsi="宋体" w:cs="宋体"/>
          <w:color w:val="auto"/>
          <w:szCs w:val="21"/>
          <w:highlight w:val="none"/>
        </w:rPr>
        <w:t>采购人名称：</w:t>
      </w:r>
    </w:p>
    <w:p w14:paraId="7734798A">
      <w:pPr>
        <w:shd w:val="clear"/>
        <w:rPr>
          <w:rFonts w:ascii="宋体" w:hAnsi="宋体" w:cs="宋体"/>
          <w:color w:val="auto"/>
          <w:szCs w:val="21"/>
          <w:highlight w:val="none"/>
        </w:rPr>
      </w:pPr>
      <w:r>
        <w:rPr>
          <w:rFonts w:hint="eastAsia" w:ascii="宋体" w:hAnsi="宋体" w:cs="宋体"/>
          <w:color w:val="auto"/>
          <w:szCs w:val="21"/>
          <w:highlight w:val="none"/>
        </w:rPr>
        <w:t>采购文件获取日期：</w:t>
      </w:r>
    </w:p>
    <w:p w14:paraId="548FE05B">
      <w:pPr>
        <w:shd w:val="clea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7F3297B5">
      <w:pPr>
        <w:shd w:val="clear"/>
        <w:rPr>
          <w:rFonts w:ascii="宋体" w:hAnsi="宋体" w:cs="宋体"/>
          <w:color w:val="auto"/>
          <w:szCs w:val="21"/>
          <w:highlight w:val="none"/>
          <w:u w:val="dotted"/>
        </w:rPr>
      </w:pPr>
      <w:r>
        <w:rPr>
          <w:rFonts w:hint="eastAsia" w:ascii="宋体" w:hAnsi="宋体" w:cs="宋体"/>
          <w:color w:val="auto"/>
          <w:szCs w:val="21"/>
          <w:highlight w:val="none"/>
        </w:rPr>
        <w:t>质疑事项1：</w:t>
      </w:r>
    </w:p>
    <w:p w14:paraId="6B5CA51C">
      <w:pPr>
        <w:shd w:val="clear"/>
        <w:rPr>
          <w:rFonts w:ascii="宋体" w:hAnsi="宋体" w:cs="宋体"/>
          <w:color w:val="auto"/>
          <w:szCs w:val="21"/>
          <w:highlight w:val="none"/>
          <w:u w:val="dotted"/>
        </w:rPr>
      </w:pPr>
      <w:r>
        <w:rPr>
          <w:rFonts w:hint="eastAsia" w:ascii="宋体" w:hAnsi="宋体" w:cs="宋体"/>
          <w:color w:val="auto"/>
          <w:szCs w:val="21"/>
          <w:highlight w:val="none"/>
        </w:rPr>
        <w:t>事实依据：</w:t>
      </w:r>
    </w:p>
    <w:p w14:paraId="39225C9A">
      <w:pPr>
        <w:shd w:val="clear"/>
        <w:rPr>
          <w:rFonts w:ascii="宋体" w:hAnsi="宋体" w:cs="宋体"/>
          <w:color w:val="auto"/>
          <w:szCs w:val="21"/>
          <w:highlight w:val="none"/>
        </w:rPr>
      </w:pPr>
    </w:p>
    <w:p w14:paraId="5E1E088E">
      <w:pPr>
        <w:shd w:val="clear"/>
        <w:rPr>
          <w:rFonts w:ascii="宋体" w:hAnsi="宋体" w:cs="宋体"/>
          <w:color w:val="auto"/>
          <w:szCs w:val="21"/>
          <w:highlight w:val="none"/>
          <w:u w:val="dotted"/>
        </w:rPr>
      </w:pPr>
      <w:r>
        <w:rPr>
          <w:rFonts w:hint="eastAsia" w:ascii="宋体" w:hAnsi="宋体" w:cs="宋体"/>
          <w:color w:val="auto"/>
          <w:szCs w:val="21"/>
          <w:highlight w:val="none"/>
        </w:rPr>
        <w:t>法律依据：</w:t>
      </w:r>
    </w:p>
    <w:p w14:paraId="34D44BFC">
      <w:pPr>
        <w:shd w:val="clear"/>
        <w:rPr>
          <w:rFonts w:ascii="宋体" w:hAnsi="宋体" w:cs="宋体"/>
          <w:color w:val="auto"/>
          <w:szCs w:val="21"/>
          <w:highlight w:val="none"/>
          <w:u w:val="dotted"/>
        </w:rPr>
      </w:pPr>
    </w:p>
    <w:p w14:paraId="41EDD254">
      <w:pPr>
        <w:shd w:val="clea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2C77009C">
      <w:pPr>
        <w:shd w:val="clear"/>
        <w:rPr>
          <w:rFonts w:ascii="宋体" w:hAnsi="宋体" w:cs="宋体"/>
          <w:color w:val="auto"/>
          <w:szCs w:val="21"/>
          <w:highlight w:val="none"/>
        </w:rPr>
      </w:pPr>
      <w:r>
        <w:rPr>
          <w:rFonts w:hint="eastAsia" w:ascii="宋体" w:hAnsi="宋体" w:cs="宋体"/>
          <w:color w:val="auto"/>
          <w:szCs w:val="21"/>
          <w:highlight w:val="none"/>
        </w:rPr>
        <w:t>……</w:t>
      </w:r>
    </w:p>
    <w:p w14:paraId="5F6DEE8B">
      <w:pPr>
        <w:shd w:val="clea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1B563336">
      <w:pPr>
        <w:shd w:val="clear"/>
        <w:rPr>
          <w:rFonts w:ascii="宋体" w:hAnsi="宋体" w:cs="宋体"/>
          <w:color w:val="auto"/>
          <w:szCs w:val="21"/>
          <w:highlight w:val="none"/>
          <w:u w:val="dotted"/>
        </w:rPr>
      </w:pPr>
      <w:r>
        <w:rPr>
          <w:rFonts w:hint="eastAsia" w:ascii="宋体" w:hAnsi="宋体" w:cs="宋体"/>
          <w:color w:val="auto"/>
          <w:szCs w:val="21"/>
          <w:highlight w:val="none"/>
        </w:rPr>
        <w:t>请求：</w:t>
      </w:r>
    </w:p>
    <w:p w14:paraId="428E330C">
      <w:pPr>
        <w:shd w:val="clear"/>
        <w:rPr>
          <w:rFonts w:ascii="宋体" w:hAnsi="宋体" w:cs="宋体"/>
          <w:color w:val="auto"/>
          <w:szCs w:val="21"/>
          <w:highlight w:val="none"/>
        </w:rPr>
      </w:pPr>
    </w:p>
    <w:p w14:paraId="1A9B5FA5">
      <w:pPr>
        <w:shd w:val="clea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4046FDF7">
      <w:pPr>
        <w:shd w:val="clear"/>
        <w:rPr>
          <w:rFonts w:ascii="宋体" w:hAnsi="宋体" w:cs="宋体"/>
          <w:color w:val="auto"/>
          <w:szCs w:val="21"/>
          <w:highlight w:val="none"/>
        </w:rPr>
      </w:pPr>
      <w:r>
        <w:rPr>
          <w:rFonts w:hint="eastAsia" w:ascii="宋体" w:hAnsi="宋体" w:cs="宋体"/>
          <w:color w:val="auto"/>
          <w:szCs w:val="21"/>
          <w:highlight w:val="none"/>
        </w:rPr>
        <w:t>日期：</w:t>
      </w:r>
    </w:p>
    <w:p w14:paraId="45821213">
      <w:pPr>
        <w:shd w:val="clear"/>
        <w:rPr>
          <w:rFonts w:ascii="宋体" w:hAnsi="宋体" w:cs="宋体"/>
          <w:color w:val="auto"/>
          <w:szCs w:val="21"/>
          <w:highlight w:val="none"/>
        </w:rPr>
      </w:pPr>
    </w:p>
    <w:p w14:paraId="6363C0E8">
      <w:pPr>
        <w:pStyle w:val="8"/>
        <w:shd w:val="clear"/>
        <w:rPr>
          <w:color w:val="auto"/>
          <w:sz w:val="21"/>
          <w:szCs w:val="21"/>
          <w:highlight w:val="none"/>
        </w:rPr>
      </w:pPr>
    </w:p>
    <w:p w14:paraId="7DC46F95">
      <w:pPr>
        <w:shd w:val="clear"/>
        <w:rPr>
          <w:rFonts w:ascii="宋体" w:hAnsi="宋体" w:cs="宋体"/>
          <w:color w:val="auto"/>
          <w:szCs w:val="21"/>
          <w:highlight w:val="none"/>
        </w:rPr>
      </w:pPr>
    </w:p>
    <w:p w14:paraId="00050B75">
      <w:pPr>
        <w:pStyle w:val="8"/>
        <w:shd w:val="clear"/>
        <w:rPr>
          <w:color w:val="auto"/>
          <w:highlight w:val="none"/>
        </w:rPr>
      </w:pPr>
    </w:p>
    <w:p w14:paraId="17F580C5">
      <w:pPr>
        <w:shd w:val="clear"/>
        <w:rPr>
          <w:rFonts w:ascii="宋体" w:hAnsi="宋体" w:cs="宋体"/>
          <w:color w:val="auto"/>
          <w:szCs w:val="21"/>
          <w:highlight w:val="none"/>
        </w:rPr>
      </w:pPr>
      <w:r>
        <w:rPr>
          <w:rFonts w:hint="eastAsia" w:ascii="宋体" w:hAnsi="宋体" w:cs="宋体"/>
          <w:color w:val="auto"/>
          <w:szCs w:val="21"/>
          <w:highlight w:val="none"/>
        </w:rPr>
        <w:t>质疑函制作说明：</w:t>
      </w:r>
    </w:p>
    <w:p w14:paraId="79A57B69">
      <w:pPr>
        <w:shd w:val="clea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68709F21">
      <w:pPr>
        <w:shd w:val="clea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93DAD00">
      <w:pPr>
        <w:shd w:val="clea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1F30BA65">
      <w:pPr>
        <w:shd w:val="clea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17D57EB7">
      <w:pPr>
        <w:shd w:val="clea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28569E45">
      <w:pPr>
        <w:shd w:val="clea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755370F3">
      <w:pPr>
        <w:pStyle w:val="8"/>
        <w:shd w:val="clear"/>
        <w:rPr>
          <w:color w:val="auto"/>
          <w:highlight w:val="none"/>
        </w:rPr>
      </w:pPr>
    </w:p>
    <w:p w14:paraId="0C0B7469">
      <w:pPr>
        <w:shd w:val="clear"/>
        <w:rPr>
          <w:color w:val="auto"/>
          <w:highlight w:val="none"/>
        </w:rPr>
      </w:pPr>
    </w:p>
    <w:p w14:paraId="7EACC441">
      <w:pPr>
        <w:pStyle w:val="8"/>
        <w:shd w:val="clear"/>
        <w:rPr>
          <w:color w:val="auto"/>
          <w:highlight w:val="none"/>
        </w:rPr>
      </w:pPr>
    </w:p>
    <w:p w14:paraId="50686951">
      <w:pPr>
        <w:pStyle w:val="24"/>
        <w:shd w:val="clear"/>
        <w:ind w:firstLine="240"/>
        <w:rPr>
          <w:color w:val="auto"/>
          <w:highlight w:val="none"/>
        </w:rPr>
      </w:pPr>
    </w:p>
    <w:p w14:paraId="3D290855">
      <w:pPr>
        <w:pStyle w:val="24"/>
        <w:shd w:val="clear"/>
        <w:ind w:firstLine="240"/>
        <w:rPr>
          <w:color w:val="auto"/>
          <w:highlight w:val="none"/>
        </w:rPr>
      </w:pPr>
    </w:p>
    <w:p w14:paraId="7200B553">
      <w:pPr>
        <w:pStyle w:val="24"/>
        <w:shd w:val="clear"/>
        <w:ind w:firstLine="240"/>
        <w:rPr>
          <w:color w:val="auto"/>
          <w:highlight w:val="none"/>
        </w:rPr>
      </w:pPr>
    </w:p>
    <w:p w14:paraId="0ED4B8D1">
      <w:pPr>
        <w:pStyle w:val="24"/>
        <w:shd w:val="clear"/>
        <w:ind w:firstLine="240"/>
        <w:rPr>
          <w:color w:val="auto"/>
          <w:highlight w:val="none"/>
        </w:rPr>
      </w:pPr>
    </w:p>
    <w:p w14:paraId="153022A7">
      <w:pPr>
        <w:pStyle w:val="24"/>
        <w:shd w:val="clear"/>
        <w:ind w:firstLine="240"/>
        <w:rPr>
          <w:color w:val="auto"/>
          <w:highlight w:val="none"/>
        </w:rPr>
      </w:pPr>
    </w:p>
    <w:p w14:paraId="6E3ABD47">
      <w:pPr>
        <w:pStyle w:val="24"/>
        <w:shd w:val="clear"/>
        <w:ind w:firstLine="240"/>
        <w:rPr>
          <w:color w:val="auto"/>
          <w:highlight w:val="none"/>
        </w:rPr>
      </w:pPr>
    </w:p>
    <w:p w14:paraId="4B057FC7">
      <w:pPr>
        <w:pStyle w:val="24"/>
        <w:shd w:val="clear"/>
        <w:ind w:firstLine="240"/>
        <w:rPr>
          <w:color w:val="auto"/>
          <w:highlight w:val="none"/>
        </w:rPr>
      </w:pPr>
    </w:p>
    <w:p w14:paraId="7FD1095D">
      <w:pPr>
        <w:pStyle w:val="24"/>
        <w:shd w:val="clear"/>
        <w:ind w:firstLine="240"/>
        <w:rPr>
          <w:color w:val="auto"/>
          <w:highlight w:val="none"/>
        </w:rPr>
      </w:pPr>
    </w:p>
    <w:p w14:paraId="1CE5FBE7">
      <w:pPr>
        <w:pStyle w:val="24"/>
        <w:shd w:val="clear"/>
        <w:ind w:firstLine="240"/>
        <w:rPr>
          <w:color w:val="auto"/>
          <w:highlight w:val="none"/>
        </w:rPr>
      </w:pPr>
    </w:p>
    <w:p w14:paraId="60D01787">
      <w:pPr>
        <w:pStyle w:val="24"/>
        <w:shd w:val="clear"/>
        <w:ind w:firstLine="240"/>
        <w:rPr>
          <w:color w:val="auto"/>
          <w:highlight w:val="none"/>
        </w:rPr>
      </w:pPr>
    </w:p>
    <w:p w14:paraId="0750DFDD">
      <w:pPr>
        <w:pStyle w:val="24"/>
        <w:shd w:val="clear"/>
        <w:ind w:firstLine="240"/>
        <w:rPr>
          <w:color w:val="auto"/>
          <w:highlight w:val="none"/>
        </w:rPr>
      </w:pPr>
    </w:p>
    <w:p w14:paraId="703ABAF4">
      <w:pPr>
        <w:pStyle w:val="24"/>
        <w:shd w:val="clear"/>
        <w:ind w:firstLine="240"/>
        <w:rPr>
          <w:color w:val="auto"/>
          <w:highlight w:val="none"/>
        </w:rPr>
      </w:pPr>
    </w:p>
    <w:p w14:paraId="5C5DF965">
      <w:pPr>
        <w:pStyle w:val="24"/>
        <w:shd w:val="clear"/>
        <w:ind w:firstLine="240"/>
        <w:rPr>
          <w:color w:val="auto"/>
          <w:highlight w:val="none"/>
        </w:rPr>
      </w:pPr>
    </w:p>
    <w:p w14:paraId="6FA537E2">
      <w:pPr>
        <w:shd w:val="clear"/>
        <w:jc w:val="both"/>
        <w:rPr>
          <w:rFonts w:ascii="黑体" w:hAnsi="黑体" w:eastAsia="黑体" w:cs="黑体"/>
          <w:color w:val="auto"/>
          <w:sz w:val="36"/>
          <w:szCs w:val="36"/>
          <w:highlight w:val="none"/>
        </w:rPr>
      </w:pPr>
    </w:p>
    <w:p w14:paraId="1151AB3E">
      <w:pPr>
        <w:shd w:val="clea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5"/>
        <w:tblW w:w="4998" w:type="pct"/>
        <w:tblInd w:w="0" w:type="dxa"/>
        <w:tblLayout w:type="fixed"/>
        <w:tblCellMar>
          <w:top w:w="0" w:type="dxa"/>
          <w:left w:w="108" w:type="dxa"/>
          <w:bottom w:w="0" w:type="dxa"/>
          <w:right w:w="108" w:type="dxa"/>
        </w:tblCellMar>
      </w:tblPr>
      <w:tblGrid>
        <w:gridCol w:w="2769"/>
        <w:gridCol w:w="2355"/>
        <w:gridCol w:w="1015"/>
        <w:gridCol w:w="2380"/>
      </w:tblGrid>
      <w:tr w14:paraId="047F7DD9">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F5B62">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80805">
            <w:pPr>
              <w:shd w:val="clear"/>
              <w:jc w:val="center"/>
              <w:rPr>
                <w:rFonts w:ascii="宋体" w:hAnsi="宋体" w:cs="宋体"/>
                <w:color w:val="auto"/>
                <w:sz w:val="28"/>
                <w:szCs w:val="28"/>
                <w:highlight w:val="none"/>
              </w:rPr>
            </w:pPr>
          </w:p>
        </w:tc>
      </w:tr>
      <w:tr w14:paraId="511380A8">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1792F">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BA11D">
            <w:pPr>
              <w:shd w:val="clea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BBFEC">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85E0">
            <w:pPr>
              <w:shd w:val="clear"/>
              <w:jc w:val="center"/>
              <w:rPr>
                <w:rFonts w:ascii="宋体" w:hAnsi="宋体" w:cs="宋体"/>
                <w:color w:val="auto"/>
                <w:sz w:val="28"/>
                <w:szCs w:val="28"/>
                <w:highlight w:val="none"/>
              </w:rPr>
            </w:pPr>
          </w:p>
        </w:tc>
      </w:tr>
      <w:tr w14:paraId="428CAAF9">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3D18">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4D5D4">
            <w:pPr>
              <w:shd w:val="clear"/>
              <w:jc w:val="center"/>
              <w:rPr>
                <w:rFonts w:ascii="宋体" w:hAnsi="宋体" w:cs="宋体"/>
                <w:color w:val="auto"/>
                <w:sz w:val="28"/>
                <w:szCs w:val="28"/>
                <w:highlight w:val="none"/>
              </w:rPr>
            </w:pPr>
          </w:p>
        </w:tc>
      </w:tr>
      <w:tr w14:paraId="57645851">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BE6F9">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E495">
            <w:pPr>
              <w:shd w:val="clear"/>
              <w:jc w:val="center"/>
              <w:rPr>
                <w:rFonts w:ascii="宋体" w:hAnsi="宋体" w:cs="宋体"/>
                <w:color w:val="auto"/>
                <w:sz w:val="28"/>
                <w:szCs w:val="28"/>
                <w:highlight w:val="none"/>
              </w:rPr>
            </w:pPr>
          </w:p>
        </w:tc>
      </w:tr>
      <w:tr w14:paraId="6261BE75">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0D84">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B840">
            <w:pPr>
              <w:shd w:val="clea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76AC">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916E">
            <w:pPr>
              <w:shd w:val="clear"/>
              <w:jc w:val="center"/>
              <w:rPr>
                <w:rFonts w:ascii="宋体" w:hAnsi="宋体" w:cs="宋体"/>
                <w:color w:val="auto"/>
                <w:sz w:val="28"/>
                <w:szCs w:val="28"/>
                <w:highlight w:val="none"/>
              </w:rPr>
            </w:pPr>
          </w:p>
        </w:tc>
      </w:tr>
      <w:tr w14:paraId="0EC5AB79">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3A27">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DA7A">
            <w:pPr>
              <w:shd w:val="clear"/>
              <w:jc w:val="center"/>
              <w:rPr>
                <w:rFonts w:ascii="宋体" w:hAnsi="宋体" w:cs="宋体"/>
                <w:color w:val="auto"/>
                <w:sz w:val="28"/>
                <w:szCs w:val="28"/>
                <w:highlight w:val="none"/>
              </w:rPr>
            </w:pPr>
          </w:p>
        </w:tc>
      </w:tr>
      <w:tr w14:paraId="368DEFCB">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3787E">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5B337">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14:paraId="499AB011">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180E8">
            <w:pPr>
              <w:shd w:val="clea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14:paraId="01F83CED">
            <w:pPr>
              <w:numPr>
                <w:ilvl w:val="0"/>
                <w:numId w:val="10"/>
              </w:numPr>
              <w:shd w:val="clea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14:paraId="588A6A4A">
            <w:pPr>
              <w:numPr>
                <w:ilvl w:val="0"/>
                <w:numId w:val="10"/>
              </w:numPr>
              <w:shd w:val="clea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14:paraId="1161F5D6">
            <w:pPr>
              <w:numPr>
                <w:ilvl w:val="0"/>
                <w:numId w:val="10"/>
              </w:numPr>
              <w:shd w:val="clea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14:paraId="12BB22D0">
            <w:pPr>
              <w:shd w:val="clea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14:paraId="35A4EB43">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11E9E">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CB548">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14:paraId="1032A262">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04496">
            <w:pPr>
              <w:shd w:val="clea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14:paraId="34519064">
      <w:pPr>
        <w:pStyle w:val="24"/>
        <w:shd w:val="clear"/>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0C2E9">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4319FD">
                          <w:pPr>
                            <w:pStyle w:val="14"/>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654319FD">
                    <w:pPr>
                      <w:pStyle w:val="14"/>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33122">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16570">
    <w:pPr>
      <w:pStyle w:val="14"/>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F7F596"/>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7FF7F596"/>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771C3">
    <w:pPr>
      <w:pStyle w:val="14"/>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C31A0F3">
                          <w:pPr>
                            <w:pStyle w:val="14"/>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2C31A0F3">
                    <w:pPr>
                      <w:pStyle w:val="14"/>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C86B586">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4C86B586">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5E9A2">
    <w:pPr>
      <w:pStyle w:val="1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32AA9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7F32AA93"/>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B75B5D2">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0B75B5D2">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CC3DD">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6907B2">
                          <w:pPr>
                            <w:pStyle w:val="14"/>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5D6907B2">
                    <w:pPr>
                      <w:pStyle w:val="14"/>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7F012ADD">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7F012ADD">
                    <w:pPr>
                      <w:pStyle w:val="14"/>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EAE96">
    <w:pPr>
      <w:pStyle w:val="14"/>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DC359F">
                          <w:pPr>
                            <w:pStyle w:val="14"/>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14:paraId="70DC359F">
                    <w:pPr>
                      <w:pStyle w:val="14"/>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E5E1AA"/>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02E5E1AA"/>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7B41BE70">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7B41BE70">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571F3680">
      <w:pPr>
        <w:pStyle w:val="21"/>
        <w:rPr>
          <w:rFonts w:eastAsia="微软雅黑"/>
        </w:rPr>
      </w:pPr>
      <w:r>
        <w:rPr>
          <w:rStyle w:val="31"/>
        </w:rPr>
        <w:footnoteRef/>
      </w:r>
      <w:r>
        <w:rPr>
          <w:rFonts w:hint="eastAsia"/>
        </w:rPr>
        <w:t>从业人员、营业人员、资产总额填报上一年度数据，无上一年度数据的新成立企业可不填报。</w:t>
      </w:r>
    </w:p>
  </w:footnote>
  <w:footnote w:id="1">
    <w:p w14:paraId="696317CF">
      <w:pPr>
        <w:pStyle w:val="21"/>
      </w:pPr>
      <w:r>
        <w:rPr>
          <w:rStyle w:val="31"/>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E7A8B">
    <w:pPr>
      <w:pStyle w:val="15"/>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1DB24">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40E56">
    <w:pPr>
      <w:pStyle w:val="15"/>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num w:numId="1">
    <w:abstractNumId w:val="6"/>
  </w:num>
  <w:num w:numId="2">
    <w:abstractNumId w:val="9"/>
  </w:num>
  <w:num w:numId="3">
    <w:abstractNumId w:val="7"/>
  </w:num>
  <w:num w:numId="4">
    <w:abstractNumId w:val="3"/>
  </w:num>
  <w:num w:numId="5">
    <w:abstractNumId w:val="4"/>
  </w:num>
  <w:num w:numId="6">
    <w:abstractNumId w:val="1"/>
  </w:num>
  <w:num w:numId="7">
    <w:abstractNumId w:val="2"/>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601c17f3-00bd-4cba-ba64-8aa7f80c76a8"/>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08F7"/>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3D89"/>
    <w:rsid w:val="01E74B6E"/>
    <w:rsid w:val="02126CDB"/>
    <w:rsid w:val="021832B7"/>
    <w:rsid w:val="024E2E49"/>
    <w:rsid w:val="02A741FD"/>
    <w:rsid w:val="02C16E5D"/>
    <w:rsid w:val="02D964CF"/>
    <w:rsid w:val="02FA6F65"/>
    <w:rsid w:val="032D0464"/>
    <w:rsid w:val="0340787C"/>
    <w:rsid w:val="03707410"/>
    <w:rsid w:val="037F03E3"/>
    <w:rsid w:val="03A0770F"/>
    <w:rsid w:val="03A27BF9"/>
    <w:rsid w:val="03A448B8"/>
    <w:rsid w:val="03A4578A"/>
    <w:rsid w:val="03AD071E"/>
    <w:rsid w:val="03B67E12"/>
    <w:rsid w:val="03D10969"/>
    <w:rsid w:val="03EC464C"/>
    <w:rsid w:val="04DF1036"/>
    <w:rsid w:val="050F6021"/>
    <w:rsid w:val="055214B8"/>
    <w:rsid w:val="05A97DEC"/>
    <w:rsid w:val="05C81981"/>
    <w:rsid w:val="05C935B6"/>
    <w:rsid w:val="065A32ED"/>
    <w:rsid w:val="06BC41F2"/>
    <w:rsid w:val="06DF3DBD"/>
    <w:rsid w:val="06FA1908"/>
    <w:rsid w:val="07197D08"/>
    <w:rsid w:val="071C2CFD"/>
    <w:rsid w:val="071E5C55"/>
    <w:rsid w:val="07391925"/>
    <w:rsid w:val="073A47CB"/>
    <w:rsid w:val="073F7319"/>
    <w:rsid w:val="07536A42"/>
    <w:rsid w:val="07595F41"/>
    <w:rsid w:val="07615EC0"/>
    <w:rsid w:val="076E24F4"/>
    <w:rsid w:val="077005AB"/>
    <w:rsid w:val="078F4581"/>
    <w:rsid w:val="07995C5E"/>
    <w:rsid w:val="07B34F45"/>
    <w:rsid w:val="07BE179A"/>
    <w:rsid w:val="07BF027F"/>
    <w:rsid w:val="08031A31"/>
    <w:rsid w:val="081A5CC7"/>
    <w:rsid w:val="087400C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7B2220"/>
    <w:rsid w:val="0CC538D1"/>
    <w:rsid w:val="0D890E47"/>
    <w:rsid w:val="0DC64A00"/>
    <w:rsid w:val="0DFC60BA"/>
    <w:rsid w:val="0E4249F1"/>
    <w:rsid w:val="0F2955F4"/>
    <w:rsid w:val="0F6C5A53"/>
    <w:rsid w:val="0F7C5FF6"/>
    <w:rsid w:val="0FC63FBD"/>
    <w:rsid w:val="10382D43"/>
    <w:rsid w:val="106C564D"/>
    <w:rsid w:val="107224BA"/>
    <w:rsid w:val="107B7B8F"/>
    <w:rsid w:val="107C67CE"/>
    <w:rsid w:val="107F6A03"/>
    <w:rsid w:val="1080523F"/>
    <w:rsid w:val="108F06C9"/>
    <w:rsid w:val="10971067"/>
    <w:rsid w:val="109D68CB"/>
    <w:rsid w:val="10A949B8"/>
    <w:rsid w:val="10C54639"/>
    <w:rsid w:val="11200D07"/>
    <w:rsid w:val="11DA73AF"/>
    <w:rsid w:val="122F79FB"/>
    <w:rsid w:val="12C60D80"/>
    <w:rsid w:val="131867D4"/>
    <w:rsid w:val="131F7A3A"/>
    <w:rsid w:val="132645D0"/>
    <w:rsid w:val="13455ABC"/>
    <w:rsid w:val="1370322B"/>
    <w:rsid w:val="138C240A"/>
    <w:rsid w:val="13B27845"/>
    <w:rsid w:val="13BE469F"/>
    <w:rsid w:val="13F87121"/>
    <w:rsid w:val="14192F58"/>
    <w:rsid w:val="141A03E1"/>
    <w:rsid w:val="143B2E0B"/>
    <w:rsid w:val="14672B11"/>
    <w:rsid w:val="14892735"/>
    <w:rsid w:val="14CC769D"/>
    <w:rsid w:val="151A7563"/>
    <w:rsid w:val="157D38E3"/>
    <w:rsid w:val="15CD368A"/>
    <w:rsid w:val="15D359D7"/>
    <w:rsid w:val="15D81E0F"/>
    <w:rsid w:val="161771F3"/>
    <w:rsid w:val="16222D6D"/>
    <w:rsid w:val="163C77BE"/>
    <w:rsid w:val="16632F86"/>
    <w:rsid w:val="1679588C"/>
    <w:rsid w:val="16994962"/>
    <w:rsid w:val="16A71041"/>
    <w:rsid w:val="16AA24BF"/>
    <w:rsid w:val="16F72341"/>
    <w:rsid w:val="17680CAB"/>
    <w:rsid w:val="176E4128"/>
    <w:rsid w:val="1783371F"/>
    <w:rsid w:val="17B76003"/>
    <w:rsid w:val="17E62B67"/>
    <w:rsid w:val="180C0192"/>
    <w:rsid w:val="180F4499"/>
    <w:rsid w:val="18221ECE"/>
    <w:rsid w:val="184A6EA2"/>
    <w:rsid w:val="18DD0A66"/>
    <w:rsid w:val="190B7894"/>
    <w:rsid w:val="19A2789F"/>
    <w:rsid w:val="19B7100D"/>
    <w:rsid w:val="1A460CF5"/>
    <w:rsid w:val="1A515546"/>
    <w:rsid w:val="1A7F297D"/>
    <w:rsid w:val="1AB16AC1"/>
    <w:rsid w:val="1AB2605D"/>
    <w:rsid w:val="1B034A52"/>
    <w:rsid w:val="1B1F34AD"/>
    <w:rsid w:val="1B5A51FC"/>
    <w:rsid w:val="1B8D5DC6"/>
    <w:rsid w:val="1BFE1D3B"/>
    <w:rsid w:val="1C2775EC"/>
    <w:rsid w:val="1C750ECE"/>
    <w:rsid w:val="1CA22168"/>
    <w:rsid w:val="1D0836D7"/>
    <w:rsid w:val="1D196139"/>
    <w:rsid w:val="1D206843"/>
    <w:rsid w:val="1DB85900"/>
    <w:rsid w:val="1DF051AF"/>
    <w:rsid w:val="1E010AF7"/>
    <w:rsid w:val="1E0178EB"/>
    <w:rsid w:val="1E301173"/>
    <w:rsid w:val="1E38333E"/>
    <w:rsid w:val="1E5C7612"/>
    <w:rsid w:val="1E636E30"/>
    <w:rsid w:val="1EA40BB4"/>
    <w:rsid w:val="1ECC0A3A"/>
    <w:rsid w:val="1F43381C"/>
    <w:rsid w:val="1FA4148D"/>
    <w:rsid w:val="20121621"/>
    <w:rsid w:val="201A421D"/>
    <w:rsid w:val="20341172"/>
    <w:rsid w:val="204E554F"/>
    <w:rsid w:val="20590035"/>
    <w:rsid w:val="209A0C32"/>
    <w:rsid w:val="20B24198"/>
    <w:rsid w:val="20C35213"/>
    <w:rsid w:val="20FC799E"/>
    <w:rsid w:val="21072664"/>
    <w:rsid w:val="21693C0A"/>
    <w:rsid w:val="219604F3"/>
    <w:rsid w:val="21D434A9"/>
    <w:rsid w:val="22154DDD"/>
    <w:rsid w:val="22213E42"/>
    <w:rsid w:val="22336873"/>
    <w:rsid w:val="225C57F7"/>
    <w:rsid w:val="23175889"/>
    <w:rsid w:val="232C5C75"/>
    <w:rsid w:val="236E6394"/>
    <w:rsid w:val="238C2182"/>
    <w:rsid w:val="239015D1"/>
    <w:rsid w:val="23B02530"/>
    <w:rsid w:val="23BB4E7D"/>
    <w:rsid w:val="23C172D6"/>
    <w:rsid w:val="23C72D74"/>
    <w:rsid w:val="23F04F64"/>
    <w:rsid w:val="24814CBE"/>
    <w:rsid w:val="248642B7"/>
    <w:rsid w:val="24AC168B"/>
    <w:rsid w:val="24F237A2"/>
    <w:rsid w:val="25857F75"/>
    <w:rsid w:val="258C3BEC"/>
    <w:rsid w:val="25E576CC"/>
    <w:rsid w:val="260E3862"/>
    <w:rsid w:val="262569FC"/>
    <w:rsid w:val="26344C98"/>
    <w:rsid w:val="264B6870"/>
    <w:rsid w:val="26847193"/>
    <w:rsid w:val="26B11EDE"/>
    <w:rsid w:val="26F56CE2"/>
    <w:rsid w:val="272D1F94"/>
    <w:rsid w:val="27435D49"/>
    <w:rsid w:val="27A34F71"/>
    <w:rsid w:val="27B36A67"/>
    <w:rsid w:val="27EB0D9B"/>
    <w:rsid w:val="28180606"/>
    <w:rsid w:val="286602C8"/>
    <w:rsid w:val="28665C95"/>
    <w:rsid w:val="28A64522"/>
    <w:rsid w:val="28CC5B40"/>
    <w:rsid w:val="28F525D1"/>
    <w:rsid w:val="290B3EB9"/>
    <w:rsid w:val="291418C2"/>
    <w:rsid w:val="2950768C"/>
    <w:rsid w:val="29794227"/>
    <w:rsid w:val="297A5FC4"/>
    <w:rsid w:val="2A1113BC"/>
    <w:rsid w:val="2A2919E5"/>
    <w:rsid w:val="2A8D4F8F"/>
    <w:rsid w:val="2A911082"/>
    <w:rsid w:val="2A917B34"/>
    <w:rsid w:val="2AA33C87"/>
    <w:rsid w:val="2AE3766F"/>
    <w:rsid w:val="2B4B680F"/>
    <w:rsid w:val="2B7E4054"/>
    <w:rsid w:val="2BC92502"/>
    <w:rsid w:val="2BF22742"/>
    <w:rsid w:val="2C8D2AE8"/>
    <w:rsid w:val="2C987C56"/>
    <w:rsid w:val="2CBD45CF"/>
    <w:rsid w:val="2CEB5F6D"/>
    <w:rsid w:val="2CFF149A"/>
    <w:rsid w:val="2D201865"/>
    <w:rsid w:val="2D4B5CEA"/>
    <w:rsid w:val="2D652658"/>
    <w:rsid w:val="2DC80C49"/>
    <w:rsid w:val="2DCA6355"/>
    <w:rsid w:val="2DF0699F"/>
    <w:rsid w:val="2E166748"/>
    <w:rsid w:val="2E556F01"/>
    <w:rsid w:val="2E8D4786"/>
    <w:rsid w:val="2E8E20B4"/>
    <w:rsid w:val="2ED06066"/>
    <w:rsid w:val="2ED1223D"/>
    <w:rsid w:val="2EE470F7"/>
    <w:rsid w:val="2F000139"/>
    <w:rsid w:val="2F561B8A"/>
    <w:rsid w:val="2F7035E8"/>
    <w:rsid w:val="2F9F42DC"/>
    <w:rsid w:val="2FE04319"/>
    <w:rsid w:val="2FF37AB3"/>
    <w:rsid w:val="307350B9"/>
    <w:rsid w:val="308C7755"/>
    <w:rsid w:val="30914729"/>
    <w:rsid w:val="30FF27D2"/>
    <w:rsid w:val="31170995"/>
    <w:rsid w:val="31264A30"/>
    <w:rsid w:val="31884E67"/>
    <w:rsid w:val="31A0275E"/>
    <w:rsid w:val="31B060CA"/>
    <w:rsid w:val="31B7357A"/>
    <w:rsid w:val="31ED6B08"/>
    <w:rsid w:val="31F915C9"/>
    <w:rsid w:val="32310A09"/>
    <w:rsid w:val="32610CE6"/>
    <w:rsid w:val="32631A32"/>
    <w:rsid w:val="328464CE"/>
    <w:rsid w:val="32AB70C5"/>
    <w:rsid w:val="32DC33E0"/>
    <w:rsid w:val="3309322B"/>
    <w:rsid w:val="335D0AF5"/>
    <w:rsid w:val="3370088C"/>
    <w:rsid w:val="33A3154A"/>
    <w:rsid w:val="33DC2F78"/>
    <w:rsid w:val="3428227C"/>
    <w:rsid w:val="34FF258F"/>
    <w:rsid w:val="350D6342"/>
    <w:rsid w:val="35260F83"/>
    <w:rsid w:val="35602226"/>
    <w:rsid w:val="356B72E7"/>
    <w:rsid w:val="3572424F"/>
    <w:rsid w:val="35FC3844"/>
    <w:rsid w:val="366061FD"/>
    <w:rsid w:val="36794DEF"/>
    <w:rsid w:val="36AD519D"/>
    <w:rsid w:val="36B57705"/>
    <w:rsid w:val="36F7249E"/>
    <w:rsid w:val="37432014"/>
    <w:rsid w:val="374F1A0B"/>
    <w:rsid w:val="37A103ED"/>
    <w:rsid w:val="37EA5E6E"/>
    <w:rsid w:val="37FF016F"/>
    <w:rsid w:val="38427C0B"/>
    <w:rsid w:val="387C5ABE"/>
    <w:rsid w:val="389B3A1E"/>
    <w:rsid w:val="38EB6119"/>
    <w:rsid w:val="38F84ADB"/>
    <w:rsid w:val="39DE33DA"/>
    <w:rsid w:val="39FA5B4A"/>
    <w:rsid w:val="39FE0BE9"/>
    <w:rsid w:val="3A3C1AAF"/>
    <w:rsid w:val="3A424C25"/>
    <w:rsid w:val="3A4B7CC1"/>
    <w:rsid w:val="3A51228C"/>
    <w:rsid w:val="3A552E60"/>
    <w:rsid w:val="3A5D642F"/>
    <w:rsid w:val="3AB210FC"/>
    <w:rsid w:val="3ACE216B"/>
    <w:rsid w:val="3AD95C13"/>
    <w:rsid w:val="3B0E42D3"/>
    <w:rsid w:val="3B1E260C"/>
    <w:rsid w:val="3B261E51"/>
    <w:rsid w:val="3B973F88"/>
    <w:rsid w:val="3BCD72F7"/>
    <w:rsid w:val="3C414142"/>
    <w:rsid w:val="3CE114D9"/>
    <w:rsid w:val="3CF737A2"/>
    <w:rsid w:val="3CF7509A"/>
    <w:rsid w:val="3D10295A"/>
    <w:rsid w:val="3D116008"/>
    <w:rsid w:val="3DF623A2"/>
    <w:rsid w:val="3E0572FD"/>
    <w:rsid w:val="3E1A5292"/>
    <w:rsid w:val="3E5A7FE7"/>
    <w:rsid w:val="3EC8179E"/>
    <w:rsid w:val="3EF66B2E"/>
    <w:rsid w:val="3F217914"/>
    <w:rsid w:val="3F942B76"/>
    <w:rsid w:val="3FAB5A5B"/>
    <w:rsid w:val="3FD70BB0"/>
    <w:rsid w:val="3FFB55AC"/>
    <w:rsid w:val="401C5F9D"/>
    <w:rsid w:val="401C690C"/>
    <w:rsid w:val="401D7195"/>
    <w:rsid w:val="405F1BE4"/>
    <w:rsid w:val="40936FE6"/>
    <w:rsid w:val="40A51286"/>
    <w:rsid w:val="40CE3DC0"/>
    <w:rsid w:val="40D7455A"/>
    <w:rsid w:val="40E743E5"/>
    <w:rsid w:val="40F35EEC"/>
    <w:rsid w:val="4110038E"/>
    <w:rsid w:val="41734CBA"/>
    <w:rsid w:val="41C01B53"/>
    <w:rsid w:val="41DD7057"/>
    <w:rsid w:val="41E9341E"/>
    <w:rsid w:val="420F7A65"/>
    <w:rsid w:val="4216611A"/>
    <w:rsid w:val="423E300F"/>
    <w:rsid w:val="425656C8"/>
    <w:rsid w:val="4257273C"/>
    <w:rsid w:val="425D7213"/>
    <w:rsid w:val="4267716E"/>
    <w:rsid w:val="42677B61"/>
    <w:rsid w:val="42756DB0"/>
    <w:rsid w:val="42B21AD2"/>
    <w:rsid w:val="42D208E8"/>
    <w:rsid w:val="42FD694D"/>
    <w:rsid w:val="434A6D8F"/>
    <w:rsid w:val="43FA5777"/>
    <w:rsid w:val="44044D92"/>
    <w:rsid w:val="441C1611"/>
    <w:rsid w:val="443C440B"/>
    <w:rsid w:val="443F7DBF"/>
    <w:rsid w:val="44514F52"/>
    <w:rsid w:val="446B348A"/>
    <w:rsid w:val="448965CB"/>
    <w:rsid w:val="44C5497E"/>
    <w:rsid w:val="44FA2D53"/>
    <w:rsid w:val="4571374F"/>
    <w:rsid w:val="458B1BB0"/>
    <w:rsid w:val="4611075B"/>
    <w:rsid w:val="461A2EB2"/>
    <w:rsid w:val="46214818"/>
    <w:rsid w:val="467A0297"/>
    <w:rsid w:val="468B7125"/>
    <w:rsid w:val="46C4691F"/>
    <w:rsid w:val="470228CE"/>
    <w:rsid w:val="47841568"/>
    <w:rsid w:val="479D1D34"/>
    <w:rsid w:val="47B609C0"/>
    <w:rsid w:val="47CF543E"/>
    <w:rsid w:val="482D31EA"/>
    <w:rsid w:val="485970A0"/>
    <w:rsid w:val="48847961"/>
    <w:rsid w:val="48946B91"/>
    <w:rsid w:val="48A41906"/>
    <w:rsid w:val="48B65C71"/>
    <w:rsid w:val="48F303D7"/>
    <w:rsid w:val="492837FF"/>
    <w:rsid w:val="492E6A57"/>
    <w:rsid w:val="49B86103"/>
    <w:rsid w:val="4A0030EE"/>
    <w:rsid w:val="4AC36065"/>
    <w:rsid w:val="4AE174A5"/>
    <w:rsid w:val="4B560086"/>
    <w:rsid w:val="4B7501F5"/>
    <w:rsid w:val="4B8C2DEB"/>
    <w:rsid w:val="4BFA3C9F"/>
    <w:rsid w:val="4BFB5208"/>
    <w:rsid w:val="4C0E3379"/>
    <w:rsid w:val="4C107F48"/>
    <w:rsid w:val="4C3277BC"/>
    <w:rsid w:val="4C686851"/>
    <w:rsid w:val="4CB25875"/>
    <w:rsid w:val="4CC353EB"/>
    <w:rsid w:val="4CF36F3C"/>
    <w:rsid w:val="4D3739CE"/>
    <w:rsid w:val="4D4F67BA"/>
    <w:rsid w:val="4D603399"/>
    <w:rsid w:val="4D867EE1"/>
    <w:rsid w:val="4DBC4C65"/>
    <w:rsid w:val="4DD731F1"/>
    <w:rsid w:val="4DF6568D"/>
    <w:rsid w:val="4E2E1A80"/>
    <w:rsid w:val="4E4F670F"/>
    <w:rsid w:val="4E550010"/>
    <w:rsid w:val="4E5F14CB"/>
    <w:rsid w:val="4ED81ECB"/>
    <w:rsid w:val="4F2D3AEF"/>
    <w:rsid w:val="4F3705F8"/>
    <w:rsid w:val="4F651D09"/>
    <w:rsid w:val="4FAC3540"/>
    <w:rsid w:val="4FBB12F4"/>
    <w:rsid w:val="4FCF1583"/>
    <w:rsid w:val="4FFA7625"/>
    <w:rsid w:val="501B0BF9"/>
    <w:rsid w:val="506F29A5"/>
    <w:rsid w:val="507D2599"/>
    <w:rsid w:val="5096229D"/>
    <w:rsid w:val="50B44FCE"/>
    <w:rsid w:val="50DC4184"/>
    <w:rsid w:val="51475B39"/>
    <w:rsid w:val="514C3EA7"/>
    <w:rsid w:val="51821A40"/>
    <w:rsid w:val="519849E5"/>
    <w:rsid w:val="51B36892"/>
    <w:rsid w:val="52506DA7"/>
    <w:rsid w:val="53123F32"/>
    <w:rsid w:val="533B2B84"/>
    <w:rsid w:val="537A7243"/>
    <w:rsid w:val="539C1B81"/>
    <w:rsid w:val="53AA6184"/>
    <w:rsid w:val="53AE750F"/>
    <w:rsid w:val="53EB0895"/>
    <w:rsid w:val="53F263AD"/>
    <w:rsid w:val="54693932"/>
    <w:rsid w:val="549A6BFA"/>
    <w:rsid w:val="54C61423"/>
    <w:rsid w:val="54E72921"/>
    <w:rsid w:val="55436613"/>
    <w:rsid w:val="55806F07"/>
    <w:rsid w:val="558F3CE2"/>
    <w:rsid w:val="55F3454C"/>
    <w:rsid w:val="55FA2961"/>
    <w:rsid w:val="565E3E0E"/>
    <w:rsid w:val="565E7F4F"/>
    <w:rsid w:val="56712BDE"/>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8E5D27"/>
    <w:rsid w:val="5A9847F3"/>
    <w:rsid w:val="5AC7121C"/>
    <w:rsid w:val="5ACC12DE"/>
    <w:rsid w:val="5AD90B8D"/>
    <w:rsid w:val="5AE07AA2"/>
    <w:rsid w:val="5AE12927"/>
    <w:rsid w:val="5B2243E9"/>
    <w:rsid w:val="5B287640"/>
    <w:rsid w:val="5B4E1A44"/>
    <w:rsid w:val="5B666742"/>
    <w:rsid w:val="5B6919B0"/>
    <w:rsid w:val="5B873201"/>
    <w:rsid w:val="5B89551D"/>
    <w:rsid w:val="5B967767"/>
    <w:rsid w:val="5B9E55DE"/>
    <w:rsid w:val="5C1D18D2"/>
    <w:rsid w:val="5C286807"/>
    <w:rsid w:val="5C446BC8"/>
    <w:rsid w:val="5C4C687B"/>
    <w:rsid w:val="5C7C2768"/>
    <w:rsid w:val="5CB23AE6"/>
    <w:rsid w:val="5CB843E0"/>
    <w:rsid w:val="5CBB0F9F"/>
    <w:rsid w:val="5CF55792"/>
    <w:rsid w:val="5CFD533A"/>
    <w:rsid w:val="5D893B14"/>
    <w:rsid w:val="5D947139"/>
    <w:rsid w:val="5D9F3D30"/>
    <w:rsid w:val="5E2810D5"/>
    <w:rsid w:val="5E2B7D62"/>
    <w:rsid w:val="5E2F31A6"/>
    <w:rsid w:val="5E704EA1"/>
    <w:rsid w:val="5E71411E"/>
    <w:rsid w:val="5EA06921"/>
    <w:rsid w:val="5ED5006A"/>
    <w:rsid w:val="5F576E4B"/>
    <w:rsid w:val="5F593DC7"/>
    <w:rsid w:val="5F5D4EDE"/>
    <w:rsid w:val="5F7A2C30"/>
    <w:rsid w:val="5FBE370A"/>
    <w:rsid w:val="5FC75220"/>
    <w:rsid w:val="60292845"/>
    <w:rsid w:val="60963707"/>
    <w:rsid w:val="61027308"/>
    <w:rsid w:val="612E1A5D"/>
    <w:rsid w:val="61816046"/>
    <w:rsid w:val="61881DE7"/>
    <w:rsid w:val="62182687"/>
    <w:rsid w:val="62391564"/>
    <w:rsid w:val="623E50A4"/>
    <w:rsid w:val="62816669"/>
    <w:rsid w:val="62BA0953"/>
    <w:rsid w:val="62D03A7C"/>
    <w:rsid w:val="62F16BCB"/>
    <w:rsid w:val="62F648FE"/>
    <w:rsid w:val="630A30D8"/>
    <w:rsid w:val="63341DB1"/>
    <w:rsid w:val="63447612"/>
    <w:rsid w:val="63511EF9"/>
    <w:rsid w:val="63907004"/>
    <w:rsid w:val="63A10995"/>
    <w:rsid w:val="63B7664D"/>
    <w:rsid w:val="63C23EFA"/>
    <w:rsid w:val="63C41644"/>
    <w:rsid w:val="643A070A"/>
    <w:rsid w:val="644C573D"/>
    <w:rsid w:val="647F1ACC"/>
    <w:rsid w:val="648667A7"/>
    <w:rsid w:val="64DB383A"/>
    <w:rsid w:val="65032F85"/>
    <w:rsid w:val="65136B50"/>
    <w:rsid w:val="653B0C50"/>
    <w:rsid w:val="657E2A35"/>
    <w:rsid w:val="65A94E9D"/>
    <w:rsid w:val="65AA5B01"/>
    <w:rsid w:val="65C60A92"/>
    <w:rsid w:val="662203DD"/>
    <w:rsid w:val="66615FB2"/>
    <w:rsid w:val="666B723B"/>
    <w:rsid w:val="6678045A"/>
    <w:rsid w:val="66DD6702"/>
    <w:rsid w:val="66E84F59"/>
    <w:rsid w:val="673557C2"/>
    <w:rsid w:val="679406CB"/>
    <w:rsid w:val="67AB52F1"/>
    <w:rsid w:val="67C35C0B"/>
    <w:rsid w:val="681233D2"/>
    <w:rsid w:val="681D5EE5"/>
    <w:rsid w:val="681E3671"/>
    <w:rsid w:val="68652AB3"/>
    <w:rsid w:val="688D56DD"/>
    <w:rsid w:val="6895578E"/>
    <w:rsid w:val="689F1926"/>
    <w:rsid w:val="68AD17BB"/>
    <w:rsid w:val="68D94D22"/>
    <w:rsid w:val="692B2E4A"/>
    <w:rsid w:val="692E7663"/>
    <w:rsid w:val="694303FB"/>
    <w:rsid w:val="696A0B34"/>
    <w:rsid w:val="698D6A17"/>
    <w:rsid w:val="69A233E7"/>
    <w:rsid w:val="69DA61FF"/>
    <w:rsid w:val="69EE3535"/>
    <w:rsid w:val="69F954C1"/>
    <w:rsid w:val="6A2031B6"/>
    <w:rsid w:val="6A440C53"/>
    <w:rsid w:val="6A507D0C"/>
    <w:rsid w:val="6AC61F6F"/>
    <w:rsid w:val="6ADE74F0"/>
    <w:rsid w:val="6B1002C0"/>
    <w:rsid w:val="6B1F5CFA"/>
    <w:rsid w:val="6B723594"/>
    <w:rsid w:val="6B805156"/>
    <w:rsid w:val="6BD50977"/>
    <w:rsid w:val="6BEA2A9B"/>
    <w:rsid w:val="6BEE7B02"/>
    <w:rsid w:val="6C9C0875"/>
    <w:rsid w:val="6C9D1F03"/>
    <w:rsid w:val="6CAA3931"/>
    <w:rsid w:val="6CF31086"/>
    <w:rsid w:val="6D3907C2"/>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A114FA"/>
    <w:rsid w:val="6FD47A25"/>
    <w:rsid w:val="6FF44026"/>
    <w:rsid w:val="6FFB146E"/>
    <w:rsid w:val="701A5C74"/>
    <w:rsid w:val="706516C3"/>
    <w:rsid w:val="70864A71"/>
    <w:rsid w:val="70896E68"/>
    <w:rsid w:val="70E04F61"/>
    <w:rsid w:val="71322C59"/>
    <w:rsid w:val="714556B4"/>
    <w:rsid w:val="715B60E9"/>
    <w:rsid w:val="71693B92"/>
    <w:rsid w:val="71860FA0"/>
    <w:rsid w:val="719B29A3"/>
    <w:rsid w:val="71E96309"/>
    <w:rsid w:val="71EA1FED"/>
    <w:rsid w:val="72284A0C"/>
    <w:rsid w:val="728409C4"/>
    <w:rsid w:val="72C16204"/>
    <w:rsid w:val="730313F6"/>
    <w:rsid w:val="731E1007"/>
    <w:rsid w:val="73370D24"/>
    <w:rsid w:val="7359268C"/>
    <w:rsid w:val="739503EB"/>
    <w:rsid w:val="73A05B28"/>
    <w:rsid w:val="73BE7013"/>
    <w:rsid w:val="73C07D69"/>
    <w:rsid w:val="749E2255"/>
    <w:rsid w:val="74B42AE4"/>
    <w:rsid w:val="750A429D"/>
    <w:rsid w:val="75167F59"/>
    <w:rsid w:val="754D77D2"/>
    <w:rsid w:val="755D38A7"/>
    <w:rsid w:val="755F5A0F"/>
    <w:rsid w:val="75614792"/>
    <w:rsid w:val="756672DA"/>
    <w:rsid w:val="756E5849"/>
    <w:rsid w:val="75784473"/>
    <w:rsid w:val="757E044C"/>
    <w:rsid w:val="75977BC3"/>
    <w:rsid w:val="75B161B3"/>
    <w:rsid w:val="75E470E3"/>
    <w:rsid w:val="761F4290"/>
    <w:rsid w:val="76736B32"/>
    <w:rsid w:val="76E3765E"/>
    <w:rsid w:val="76FC2AFA"/>
    <w:rsid w:val="773F0836"/>
    <w:rsid w:val="77653671"/>
    <w:rsid w:val="777618F7"/>
    <w:rsid w:val="778546CC"/>
    <w:rsid w:val="77B56730"/>
    <w:rsid w:val="77B911F9"/>
    <w:rsid w:val="77C04A8B"/>
    <w:rsid w:val="77D85DB3"/>
    <w:rsid w:val="780252A0"/>
    <w:rsid w:val="78027772"/>
    <w:rsid w:val="78671E95"/>
    <w:rsid w:val="78A50513"/>
    <w:rsid w:val="78B92B9D"/>
    <w:rsid w:val="78CC45F8"/>
    <w:rsid w:val="79385FFF"/>
    <w:rsid w:val="793B7339"/>
    <w:rsid w:val="796518DD"/>
    <w:rsid w:val="796E0C55"/>
    <w:rsid w:val="79AA0532"/>
    <w:rsid w:val="79B82D71"/>
    <w:rsid w:val="79F70999"/>
    <w:rsid w:val="79FE1DDD"/>
    <w:rsid w:val="7A075767"/>
    <w:rsid w:val="7A212062"/>
    <w:rsid w:val="7A282A11"/>
    <w:rsid w:val="7A3A3240"/>
    <w:rsid w:val="7A8535A3"/>
    <w:rsid w:val="7AB90FF6"/>
    <w:rsid w:val="7AC21562"/>
    <w:rsid w:val="7AD474A4"/>
    <w:rsid w:val="7B115232"/>
    <w:rsid w:val="7B3E6396"/>
    <w:rsid w:val="7B416BDC"/>
    <w:rsid w:val="7B5350AD"/>
    <w:rsid w:val="7B6867EB"/>
    <w:rsid w:val="7B697C89"/>
    <w:rsid w:val="7B8D34C3"/>
    <w:rsid w:val="7B971D84"/>
    <w:rsid w:val="7BEB6E6E"/>
    <w:rsid w:val="7BF32F03"/>
    <w:rsid w:val="7C1724A5"/>
    <w:rsid w:val="7C8E3CCF"/>
    <w:rsid w:val="7CA54112"/>
    <w:rsid w:val="7CBC5262"/>
    <w:rsid w:val="7CE50CE4"/>
    <w:rsid w:val="7D2177E3"/>
    <w:rsid w:val="7D2E5ABF"/>
    <w:rsid w:val="7DBD6AEE"/>
    <w:rsid w:val="7E2142A2"/>
    <w:rsid w:val="7E424172"/>
    <w:rsid w:val="7E460D6F"/>
    <w:rsid w:val="7E4F5384"/>
    <w:rsid w:val="7E5A6DFA"/>
    <w:rsid w:val="7E730D4D"/>
    <w:rsid w:val="7E7B0BF2"/>
    <w:rsid w:val="7E7C7A78"/>
    <w:rsid w:val="7E8D75B6"/>
    <w:rsid w:val="7EB2417D"/>
    <w:rsid w:val="7EF760EE"/>
    <w:rsid w:val="7F2A21E7"/>
    <w:rsid w:val="7F763FE8"/>
    <w:rsid w:val="7F8048A8"/>
    <w:rsid w:val="7FAE1D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outlineLvl w:val="2"/>
    </w:pPr>
    <w:rPr>
      <w:b/>
      <w:bCs/>
      <w:sz w:val="28"/>
      <w:szCs w:val="32"/>
    </w:rPr>
  </w:style>
  <w:style w:type="paragraph" w:styleId="5">
    <w:name w:val="heading 4"/>
    <w:basedOn w:val="1"/>
    <w:next w:val="1"/>
    <w:link w:val="36"/>
    <w:unhideWhenUsed/>
    <w:qFormat/>
    <w:uiPriority w:val="9"/>
    <w:pPr>
      <w:keepNext/>
      <w:keepLines/>
      <w:outlineLvl w:val="3"/>
    </w:pPr>
    <w:rPr>
      <w:rFonts w:asciiTheme="majorHAnsi" w:hAnsiTheme="majorHAnsi" w:cstheme="majorBidi"/>
      <w:b/>
      <w:bCs/>
      <w:sz w:val="24"/>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pPr>
      <w:ind w:firstLine="420" w:firstLineChars="200"/>
    </w:pPr>
  </w:style>
  <w:style w:type="paragraph" w:styleId="7">
    <w:name w:val="annotation text"/>
    <w:basedOn w:val="1"/>
    <w:semiHidden/>
    <w:unhideWhenUsed/>
    <w:qFormat/>
    <w:uiPriority w:val="99"/>
  </w:style>
  <w:style w:type="paragraph" w:styleId="8">
    <w:name w:val="Body Text"/>
    <w:basedOn w:val="1"/>
    <w:next w:val="1"/>
    <w:qFormat/>
    <w:uiPriority w:val="1"/>
    <w:pPr>
      <w:spacing w:before="161"/>
      <w:ind w:left="120"/>
    </w:pPr>
    <w:rPr>
      <w:rFonts w:ascii="宋体" w:hAnsi="宋体" w:cs="宋体"/>
      <w:sz w:val="24"/>
      <w:lang w:val="zh-CN" w:bidi="zh-CN"/>
    </w:rPr>
  </w:style>
  <w:style w:type="paragraph" w:styleId="9">
    <w:name w:val="Body Text Indent"/>
    <w:basedOn w:val="1"/>
    <w:qFormat/>
    <w:uiPriority w:val="0"/>
    <w:pPr>
      <w:ind w:left="540"/>
    </w:pPr>
    <w:rPr>
      <w:rFonts w:ascii="Times New Roman" w:hAnsi="Times New Roman" w:eastAsia="宋体" w:cs="Times New Roman"/>
      <w:szCs w:val="20"/>
    </w:rPr>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next w:val="1"/>
    <w:link w:val="47"/>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50"/>
    <w:semiHidden/>
    <w:unhideWhenUsed/>
    <w:qFormat/>
    <w:uiPriority w:val="99"/>
    <w:rPr>
      <w:sz w:val="18"/>
      <w:szCs w:val="18"/>
    </w:rPr>
  </w:style>
  <w:style w:type="paragraph" w:styleId="14">
    <w:name w:val="footer"/>
    <w:basedOn w:val="1"/>
    <w:link w:val="49"/>
    <w:unhideWhenUsed/>
    <w:qFormat/>
    <w:uiPriority w:val="99"/>
    <w:pPr>
      <w:tabs>
        <w:tab w:val="center" w:pos="4153"/>
        <w:tab w:val="right" w:pos="8306"/>
      </w:tabs>
    </w:pPr>
    <w:rPr>
      <w:sz w:val="18"/>
      <w:szCs w:val="18"/>
    </w:rPr>
  </w:style>
  <w:style w:type="paragraph" w:styleId="15">
    <w:name w:val="header"/>
    <w:basedOn w:val="1"/>
    <w:link w:val="48"/>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1">
    <w:name w:val="footnote text"/>
    <w:basedOn w:val="1"/>
    <w:semiHidden/>
    <w:unhideWhenUsed/>
    <w:qFormat/>
    <w:uiPriority w:val="99"/>
    <w:rPr>
      <w:sz w:val="18"/>
    </w:rPr>
  </w:style>
  <w:style w:type="paragraph" w:styleId="22">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3">
    <w:name w:val="Normal (Web)"/>
    <w:basedOn w:val="1"/>
    <w:link w:val="52"/>
    <w:qFormat/>
    <w:uiPriority w:val="0"/>
    <w:pPr>
      <w:widowControl w:val="0"/>
      <w:adjustRightInd/>
      <w:snapToGrid/>
      <w:jc w:val="both"/>
    </w:pPr>
    <w:rPr>
      <w:rFonts w:asciiTheme="minorHAnsi" w:hAnsiTheme="minorHAnsi"/>
      <w:kern w:val="2"/>
      <w:sz w:val="24"/>
      <w:szCs w:val="24"/>
    </w:rPr>
  </w:style>
  <w:style w:type="paragraph" w:styleId="24">
    <w:name w:val="Body Text First Indent"/>
    <w:basedOn w:val="8"/>
    <w:unhideWhenUsed/>
    <w:qFormat/>
    <w:uiPriority w:val="99"/>
    <w:pPr>
      <w:ind w:firstLine="420" w:firstLineChars="100"/>
    </w:pPr>
    <w:rPr>
      <w:rFonts w:ascii="Times New Roman" w:hAnsi="Times New Roman" w:cs="Times New Roman"/>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Emphasis"/>
    <w:basedOn w:val="27"/>
    <w:qFormat/>
    <w:uiPriority w:val="20"/>
    <w:rPr>
      <w:i/>
      <w:iCs/>
    </w:rPr>
  </w:style>
  <w:style w:type="character" w:styleId="29">
    <w:name w:val="Hyperlink"/>
    <w:qFormat/>
    <w:uiPriority w:val="99"/>
    <w:rPr>
      <w:rFonts w:hint="eastAsia" w:ascii="宋体" w:hAnsi="宋体" w:eastAsia="宋体" w:cs="宋体"/>
      <w:b/>
      <w:color w:val="0031C1"/>
      <w:kern w:val="0"/>
      <w:sz w:val="18"/>
      <w:szCs w:val="18"/>
      <w:u w:val="none"/>
      <w:lang w:eastAsia="en-US"/>
    </w:rPr>
  </w:style>
  <w:style w:type="character" w:styleId="30">
    <w:name w:val="annotation reference"/>
    <w:basedOn w:val="27"/>
    <w:semiHidden/>
    <w:unhideWhenUsed/>
    <w:qFormat/>
    <w:uiPriority w:val="99"/>
    <w:rPr>
      <w:sz w:val="21"/>
      <w:szCs w:val="21"/>
    </w:rPr>
  </w:style>
  <w:style w:type="character" w:styleId="31">
    <w:name w:val="footnote reference"/>
    <w:basedOn w:val="27"/>
    <w:semiHidden/>
    <w:unhideWhenUsed/>
    <w:qFormat/>
    <w:uiPriority w:val="99"/>
    <w:rPr>
      <w:vertAlign w:val="superscript"/>
    </w:rPr>
  </w:style>
  <w:style w:type="paragraph" w:customStyle="1" w:styleId="32">
    <w:name w:val="表格文字"/>
    <w:basedOn w:val="1"/>
    <w:qFormat/>
    <w:uiPriority w:val="0"/>
    <w:pPr>
      <w:adjustRightInd/>
      <w:spacing w:before="25" w:after="25"/>
    </w:pPr>
    <w:rPr>
      <w:rFonts w:ascii="Times New Roman"/>
      <w:bCs/>
      <w:spacing w:val="10"/>
      <w:szCs w:val="20"/>
    </w:rPr>
  </w:style>
  <w:style w:type="character" w:customStyle="1" w:styleId="33">
    <w:name w:val="标题 2 Char"/>
    <w:basedOn w:val="27"/>
    <w:link w:val="3"/>
    <w:qFormat/>
    <w:uiPriority w:val="9"/>
    <w:rPr>
      <w:rFonts w:asciiTheme="majorHAnsi" w:hAnsiTheme="majorHAnsi" w:eastAsiaTheme="majorEastAsia" w:cstheme="majorBidi"/>
      <w:b/>
      <w:bCs/>
      <w:sz w:val="32"/>
      <w:szCs w:val="32"/>
    </w:rPr>
  </w:style>
  <w:style w:type="character" w:customStyle="1" w:styleId="34">
    <w:name w:val="标题 3 Char"/>
    <w:basedOn w:val="27"/>
    <w:link w:val="4"/>
    <w:qFormat/>
    <w:uiPriority w:val="9"/>
    <w:rPr>
      <w:rFonts w:ascii="Tahoma" w:hAnsi="Tahoma" w:eastAsia="宋体"/>
      <w:b/>
      <w:bCs/>
      <w:sz w:val="28"/>
      <w:szCs w:val="32"/>
    </w:rPr>
  </w:style>
  <w:style w:type="paragraph" w:styleId="35">
    <w:name w:val="List Paragraph"/>
    <w:basedOn w:val="1"/>
    <w:qFormat/>
    <w:uiPriority w:val="34"/>
    <w:pPr>
      <w:ind w:firstLine="420" w:firstLineChars="200"/>
    </w:pPr>
  </w:style>
  <w:style w:type="character" w:customStyle="1" w:styleId="36">
    <w:name w:val="标题 4 Char"/>
    <w:basedOn w:val="27"/>
    <w:link w:val="5"/>
    <w:qFormat/>
    <w:uiPriority w:val="9"/>
    <w:rPr>
      <w:rFonts w:eastAsia="宋体" w:asciiTheme="majorHAnsi" w:hAnsiTheme="majorHAnsi" w:cstheme="majorBidi"/>
      <w:b/>
      <w:bCs/>
      <w:sz w:val="24"/>
      <w:szCs w:val="28"/>
    </w:rPr>
  </w:style>
  <w:style w:type="character" w:customStyle="1" w:styleId="37">
    <w:name w:val="正文缩进2格 Char"/>
    <w:link w:val="38"/>
    <w:qFormat/>
    <w:uiPriority w:val="0"/>
    <w:rPr>
      <w:rFonts w:ascii="仿宋_GB2312" w:hAnsi="宋体" w:eastAsia="仿宋_GB2312"/>
      <w:kern w:val="2"/>
      <w:sz w:val="31"/>
    </w:rPr>
  </w:style>
  <w:style w:type="paragraph" w:customStyle="1" w:styleId="38">
    <w:name w:val="正文缩进2格"/>
    <w:basedOn w:val="1"/>
    <w:link w:val="37"/>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9">
    <w:name w:val="正文缩进4格"/>
    <w:basedOn w:val="38"/>
    <w:qFormat/>
    <w:uiPriority w:val="0"/>
    <w:pPr>
      <w:ind w:left="2" w:firstLine="538" w:firstLineChars="192"/>
    </w:pPr>
    <w:rPr>
      <w:color w:val="0000FF"/>
      <w:sz w:val="28"/>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1">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2">
    <w:name w:val="标题1"/>
    <w:qFormat/>
    <w:uiPriority w:val="0"/>
    <w:rPr>
      <w:rFonts w:ascii="Times New Roman" w:hAnsi="Times New Roman" w:eastAsia="宋体" w:cs="Times New Roman"/>
      <w:b/>
      <w:kern w:val="0"/>
      <w:sz w:val="24"/>
      <w:szCs w:val="20"/>
      <w:lang w:eastAsia="en-US"/>
    </w:rPr>
  </w:style>
  <w:style w:type="character" w:customStyle="1" w:styleId="43">
    <w:name w:val="标题 3.1 Char"/>
    <w:link w:val="44"/>
    <w:qFormat/>
    <w:uiPriority w:val="0"/>
    <w:rPr>
      <w:rFonts w:ascii="宋体" w:hAnsi="宋体" w:eastAsia="宋体"/>
      <w:b/>
      <w:color w:val="FF0000"/>
      <w:kern w:val="2"/>
      <w:sz w:val="32"/>
    </w:rPr>
  </w:style>
  <w:style w:type="paragraph" w:customStyle="1" w:styleId="44">
    <w:name w:val="标题 3.1"/>
    <w:basedOn w:val="4"/>
    <w:link w:val="43"/>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5">
    <w:name w:val="样式 楷体_GB2312 小四"/>
    <w:qFormat/>
    <w:uiPriority w:val="0"/>
    <w:rPr>
      <w:rFonts w:ascii="楷体_GB2312" w:hAnsi="楷体_GB2312" w:eastAsia="仿宋_GB2312"/>
      <w:sz w:val="24"/>
    </w:rPr>
  </w:style>
  <w:style w:type="character" w:customStyle="1" w:styleId="46">
    <w:name w:val="纯文本 Char"/>
    <w:qFormat/>
    <w:uiPriority w:val="0"/>
    <w:rPr>
      <w:rFonts w:ascii="宋体" w:hAnsi="Courier New" w:eastAsia="宋体" w:cs="Times New Roman"/>
      <w:b/>
      <w:kern w:val="2"/>
      <w:sz w:val="21"/>
      <w:szCs w:val="20"/>
    </w:rPr>
  </w:style>
  <w:style w:type="character" w:customStyle="1" w:styleId="47">
    <w:name w:val="纯文本 Char1"/>
    <w:basedOn w:val="27"/>
    <w:link w:val="11"/>
    <w:semiHidden/>
    <w:qFormat/>
    <w:uiPriority w:val="99"/>
    <w:rPr>
      <w:rFonts w:ascii="宋体" w:hAnsi="Courier New" w:eastAsia="宋体" w:cs="Courier New"/>
      <w:sz w:val="21"/>
      <w:szCs w:val="21"/>
    </w:rPr>
  </w:style>
  <w:style w:type="character" w:customStyle="1" w:styleId="48">
    <w:name w:val="页眉 Char"/>
    <w:basedOn w:val="27"/>
    <w:link w:val="15"/>
    <w:qFormat/>
    <w:uiPriority w:val="99"/>
    <w:rPr>
      <w:rFonts w:ascii="Tahoma" w:hAnsi="Tahoma"/>
      <w:sz w:val="18"/>
      <w:szCs w:val="18"/>
    </w:rPr>
  </w:style>
  <w:style w:type="character" w:customStyle="1" w:styleId="49">
    <w:name w:val="页脚 Char"/>
    <w:basedOn w:val="27"/>
    <w:link w:val="14"/>
    <w:qFormat/>
    <w:uiPriority w:val="99"/>
    <w:rPr>
      <w:rFonts w:ascii="Tahoma" w:hAnsi="Tahoma"/>
      <w:sz w:val="18"/>
      <w:szCs w:val="18"/>
    </w:rPr>
  </w:style>
  <w:style w:type="character" w:customStyle="1" w:styleId="50">
    <w:name w:val="批注框文本 Char"/>
    <w:basedOn w:val="27"/>
    <w:link w:val="13"/>
    <w:semiHidden/>
    <w:qFormat/>
    <w:uiPriority w:val="99"/>
    <w:rPr>
      <w:rFonts w:ascii="Tahoma" w:hAnsi="Tahoma"/>
      <w:sz w:val="18"/>
      <w:szCs w:val="18"/>
    </w:rPr>
  </w:style>
  <w:style w:type="paragraph" w:customStyle="1" w:styleId="51">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2">
    <w:name w:val="普通(网站) Char"/>
    <w:link w:val="23"/>
    <w:qFormat/>
    <w:uiPriority w:val="0"/>
    <w:rPr>
      <w:rFonts w:eastAsia="宋体"/>
      <w:kern w:val="2"/>
      <w:sz w:val="24"/>
      <w:szCs w:val="24"/>
    </w:rPr>
  </w:style>
  <w:style w:type="paragraph" w:customStyle="1" w:styleId="53">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4">
    <w:name w:val="p141"/>
    <w:qFormat/>
    <w:uiPriority w:val="0"/>
    <w:rPr>
      <w:sz w:val="21"/>
      <w:szCs w:val="21"/>
    </w:rPr>
  </w:style>
  <w:style w:type="paragraph" w:customStyle="1" w:styleId="55">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6">
    <w:name w:val="正文无缩进"/>
    <w:basedOn w:val="38"/>
    <w:qFormat/>
    <w:uiPriority w:val="0"/>
    <w:pPr>
      <w:ind w:firstLine="0" w:firstLineChars="0"/>
    </w:pPr>
  </w:style>
  <w:style w:type="paragraph" w:customStyle="1" w:styleId="57">
    <w:name w:val="一级条标题"/>
    <w:basedOn w:val="58"/>
    <w:next w:val="59"/>
    <w:qFormat/>
    <w:uiPriority w:val="0"/>
    <w:pPr>
      <w:tabs>
        <w:tab w:val="left" w:pos="720"/>
      </w:tabs>
      <w:spacing w:beforeLines="0" w:afterLines="0"/>
      <w:outlineLvl w:val="2"/>
    </w:pPr>
  </w:style>
  <w:style w:type="paragraph" w:customStyle="1" w:styleId="58">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9">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60">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1">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2">
    <w:name w:val="font131"/>
    <w:basedOn w:val="27"/>
    <w:qFormat/>
    <w:uiPriority w:val="0"/>
    <w:rPr>
      <w:rFonts w:hint="eastAsia" w:ascii="宋体" w:hAnsi="宋体" w:eastAsia="宋体" w:cs="宋体"/>
      <w:color w:val="000000"/>
      <w:sz w:val="18"/>
      <w:szCs w:val="18"/>
      <w:u w:val="none"/>
    </w:rPr>
  </w:style>
  <w:style w:type="paragraph" w:customStyle="1" w:styleId="63">
    <w:name w:val="Table Paragraph"/>
    <w:basedOn w:val="1"/>
    <w:qFormat/>
    <w:uiPriority w:val="1"/>
    <w:rPr>
      <w:rFonts w:ascii="宋体" w:hAnsi="宋体" w:eastAsia="宋体" w:cs="宋体"/>
      <w:lang w:val="zh-CN" w:eastAsia="zh-CN" w:bidi="zh-CN"/>
    </w:rPr>
  </w:style>
  <w:style w:type="character" w:customStyle="1" w:styleId="64">
    <w:name w:val="font31"/>
    <w:basedOn w:val="27"/>
    <w:qFormat/>
    <w:uiPriority w:val="0"/>
    <w:rPr>
      <w:rFonts w:hint="eastAsia" w:ascii="宋体" w:hAnsi="宋体" w:eastAsia="宋体" w:cs="宋体"/>
      <w:color w:val="000000"/>
      <w:sz w:val="21"/>
      <w:szCs w:val="21"/>
      <w:u w:val="none"/>
    </w:rPr>
  </w:style>
  <w:style w:type="character" w:customStyle="1" w:styleId="65">
    <w:name w:val="font21"/>
    <w:basedOn w:val="27"/>
    <w:qFormat/>
    <w:uiPriority w:val="0"/>
    <w:rPr>
      <w:rFonts w:hint="default" w:ascii="Calibri" w:hAnsi="Calibri" w:cs="Calibri"/>
      <w:color w:val="000000"/>
      <w:sz w:val="21"/>
      <w:szCs w:val="21"/>
      <w:u w:val="none"/>
    </w:rPr>
  </w:style>
  <w:style w:type="paragraph" w:customStyle="1" w:styleId="6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7">
    <w:name w:val="null3"/>
    <w:qFormat/>
    <w:uiPriority w:val="0"/>
    <w:rPr>
      <w:rFonts w:hint="eastAsia" w:ascii="Calibri" w:hAnsi="Calibri" w:eastAsia="宋体" w:cs="Times New Roman"/>
      <w:lang w:val="en-US" w:eastAsia="zh-Hans"/>
    </w:rPr>
  </w:style>
  <w:style w:type="paragraph" w:customStyle="1" w:styleId="68">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135</Pages>
  <Words>12118</Words>
  <Characters>12759</Characters>
  <Lines>349</Lines>
  <Paragraphs>98</Paragraphs>
  <TotalTime>0</TotalTime>
  <ScaleCrop>false</ScaleCrop>
  <LinksUpToDate>false</LinksUpToDate>
  <CharactersWithSpaces>12932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Opt</cp:lastModifiedBy>
  <cp:lastPrinted>2021-04-23T09:50:00Z</cp:lastPrinted>
  <dcterms:modified xsi:type="dcterms:W3CDTF">2025-06-05T09:49:16Z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2EDD6C847F1F471FA21F53767F6E2323_13</vt:lpwstr>
  </property>
  <property fmtid="{D5CDD505-2E9C-101B-9397-08002B2CF9AE}" pid="4" name="KSOTemplateDocerSaveRecord">
    <vt:lpwstr>eyJoZGlkIjoiM2U2YWM2YjFjM2NjMjgwNTJhZTk4ZmQ4MjE1NDdmZTEiLCJ1c2VySWQiOiI0MTk5NTE4MTIifQ==</vt:lpwstr>
  </property>
</Properties>
</file>