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616D23">
      <w:pPr>
        <w:jc w:val="both"/>
        <w:rPr>
          <w:rFonts w:hint="default" w:ascii="黑体" w:eastAsia="黑体"/>
          <w:b/>
          <w:color w:val="auto"/>
          <w:sz w:val="32"/>
          <w:szCs w:val="32"/>
          <w:highlight w:val="none"/>
          <w:lang w:val="en-US" w:eastAsia="zh-CN"/>
        </w:rPr>
      </w:pPr>
    </w:p>
    <w:p w14:paraId="41F2004C">
      <w:pPr>
        <w:tabs>
          <w:tab w:val="left" w:pos="1056"/>
          <w:tab w:val="center" w:pos="4212"/>
        </w:tabs>
        <w:jc w:val="left"/>
        <w:rPr>
          <w:rFonts w:hint="eastAsia" w:ascii="黑体" w:hAnsi="黑体" w:eastAsia="黑体" w:cs="黑体"/>
          <w:b w:val="0"/>
          <w:bCs/>
          <w:color w:val="auto"/>
          <w:spacing w:val="57"/>
          <w:sz w:val="72"/>
          <w:szCs w:val="72"/>
          <w:highlight w:val="none"/>
        </w:rPr>
      </w:pPr>
      <w:r>
        <w:rPr>
          <w:rFonts w:hint="eastAsia" w:ascii="黑体" w:hAnsi="黑体" w:eastAsia="黑体" w:cs="黑体"/>
          <w:b w:val="0"/>
          <w:bCs/>
          <w:color w:val="auto"/>
          <w:spacing w:val="57"/>
          <w:sz w:val="72"/>
          <w:szCs w:val="72"/>
          <w:highlight w:val="none"/>
          <w:lang w:eastAsia="zh-CN"/>
        </w:rPr>
        <w:tab/>
      </w:r>
      <w:r>
        <w:rPr>
          <w:rFonts w:hint="eastAsia" w:ascii="黑体" w:hAnsi="黑体" w:eastAsia="黑体" w:cs="黑体"/>
          <w:b w:val="0"/>
          <w:bCs/>
          <w:color w:val="auto"/>
          <w:spacing w:val="57"/>
          <w:sz w:val="72"/>
          <w:szCs w:val="72"/>
          <w:highlight w:val="none"/>
          <w:lang w:eastAsia="zh-CN"/>
        </w:rPr>
        <w:tab/>
      </w:r>
      <w:r>
        <w:rPr>
          <w:rFonts w:hint="eastAsia" w:ascii="黑体" w:hAnsi="黑体" w:eastAsia="黑体" w:cs="黑体"/>
          <w:b w:val="0"/>
          <w:bCs/>
          <w:color w:val="auto"/>
          <w:spacing w:val="57"/>
          <w:sz w:val="72"/>
          <w:szCs w:val="72"/>
          <w:highlight w:val="none"/>
        </w:rPr>
        <w:t>竞争性磋商文件</w:t>
      </w:r>
    </w:p>
    <w:p w14:paraId="4441C570">
      <w:pPr>
        <w:jc w:val="center"/>
        <w:rPr>
          <w:rFonts w:hint="eastAsia"/>
          <w:color w:val="auto"/>
          <w:highlight w:val="none"/>
        </w:rPr>
      </w:pPr>
      <w:r>
        <w:rPr>
          <w:rFonts w:hint="eastAsia" w:ascii="黑体" w:hAnsi="黑体" w:eastAsia="黑体" w:cs="黑体"/>
          <w:b w:val="0"/>
          <w:bCs/>
          <w:color w:val="auto"/>
          <w:spacing w:val="57"/>
          <w:sz w:val="72"/>
          <w:szCs w:val="72"/>
          <w:highlight w:val="none"/>
          <w:lang w:val="en-US" w:eastAsia="zh-CN"/>
        </w:rPr>
        <w:t>国内</w:t>
      </w:r>
      <w:r>
        <w:rPr>
          <w:rFonts w:hint="eastAsia" w:ascii="黑体" w:hAnsi="黑体" w:eastAsia="黑体" w:cs="黑体"/>
          <w:b w:val="0"/>
          <w:bCs/>
          <w:color w:val="auto"/>
          <w:spacing w:val="57"/>
          <w:sz w:val="72"/>
          <w:szCs w:val="72"/>
          <w:highlight w:val="none"/>
        </w:rPr>
        <w:t>采购</w:t>
      </w:r>
    </w:p>
    <w:p w14:paraId="555B94BC">
      <w:pPr>
        <w:pStyle w:val="7"/>
        <w:jc w:val="center"/>
        <w:rPr>
          <w:rFonts w:hint="eastAsia" w:ascii="黑体" w:eastAsia="黑体"/>
          <w:color w:val="auto"/>
          <w:szCs w:val="21"/>
          <w:highlight w:val="none"/>
          <w:lang w:eastAsia="zh-CN"/>
        </w:rPr>
      </w:pPr>
      <w:r>
        <w:rPr>
          <w:rFonts w:hint="eastAsia" w:ascii="黑体" w:eastAsia="黑体"/>
          <w:color w:val="auto"/>
          <w:szCs w:val="21"/>
          <w:highlight w:val="none"/>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14:paraId="4C0C86B0">
      <w:pPr>
        <w:pStyle w:val="21"/>
        <w:ind w:left="0" w:leftChars="0" w:firstLine="0" w:firstLineChars="0"/>
        <w:rPr>
          <w:rFonts w:hint="eastAsia" w:ascii="黑体" w:eastAsia="黑体"/>
          <w:color w:val="auto"/>
          <w:szCs w:val="21"/>
          <w:highlight w:val="none"/>
          <w:lang w:eastAsia="zh-CN"/>
        </w:rPr>
      </w:pPr>
    </w:p>
    <w:tbl>
      <w:tblPr>
        <w:tblStyle w:val="23"/>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14:paraId="23365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515EFAF5">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项目编号</w:t>
            </w:r>
            <w:r>
              <w:rPr>
                <w:rFonts w:hint="eastAsia" w:ascii="黑体" w:hAnsi="黑体" w:eastAsia="黑体" w:cs="黑体"/>
                <w:bCs/>
                <w:color w:val="auto"/>
                <w:sz w:val="32"/>
                <w:szCs w:val="24"/>
                <w:highlight w:val="none"/>
              </w:rPr>
              <w:t>：</w:t>
            </w:r>
          </w:p>
        </w:tc>
        <w:tc>
          <w:tcPr>
            <w:tcW w:w="5716" w:type="dxa"/>
            <w:noWrap/>
            <w:vAlign w:val="center"/>
          </w:tcPr>
          <w:p w14:paraId="22811382">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GDZT2025117C</w:t>
            </w:r>
          </w:p>
        </w:tc>
      </w:tr>
      <w:tr w14:paraId="13934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335DF132">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14:paraId="0434D17F">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2025-2026年“帮扶街面流浪乞讨人员”服务项目</w:t>
            </w:r>
          </w:p>
        </w:tc>
      </w:tr>
      <w:tr w14:paraId="37BF1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6C050FCC">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lang w:val="en-US" w:eastAsia="zh-CN"/>
              </w:rPr>
              <w:t>盖章</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rPr>
              <w:t>：</w:t>
            </w:r>
          </w:p>
        </w:tc>
        <w:tc>
          <w:tcPr>
            <w:tcW w:w="5716" w:type="dxa"/>
            <w:noWrap/>
            <w:vAlign w:val="center"/>
          </w:tcPr>
          <w:p w14:paraId="682972E6">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东莞市民政局</w:t>
            </w:r>
          </w:p>
        </w:tc>
      </w:tr>
      <w:tr w14:paraId="568CF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3B4B4878">
            <w:pPr>
              <w:spacing w:before="200"/>
              <w:jc w:val="both"/>
              <w:rPr>
                <w:rFonts w:hint="eastAsia"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招标代理（盖章）：</w:t>
            </w:r>
          </w:p>
        </w:tc>
        <w:tc>
          <w:tcPr>
            <w:tcW w:w="5716" w:type="dxa"/>
            <w:noWrap/>
            <w:vAlign w:val="center"/>
          </w:tcPr>
          <w:p w14:paraId="40DB3C78">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广东政通招标有限公司</w:t>
            </w:r>
          </w:p>
        </w:tc>
      </w:tr>
    </w:tbl>
    <w:p w14:paraId="79F38808">
      <w:pPr>
        <w:jc w:val="both"/>
        <w:rPr>
          <w:rFonts w:ascii="黑体" w:eastAsia="黑体"/>
          <w:color w:val="auto"/>
          <w:szCs w:val="21"/>
          <w:highlight w:val="none"/>
        </w:rPr>
      </w:pPr>
    </w:p>
    <w:p w14:paraId="18EA407D">
      <w:pPr>
        <w:pStyle w:val="19"/>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14:paraId="2209F1B6">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温馨提示</w:t>
      </w:r>
    </w:p>
    <w:p w14:paraId="6B9700BE">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为准）</w:t>
      </w:r>
    </w:p>
    <w:p w14:paraId="115B8604">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请各供应商在制作</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时认真阅读本</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的内容。</w:t>
      </w:r>
    </w:p>
    <w:p w14:paraId="0D78F4A4">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建议供应商将</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正本、副本、</w:t>
      </w:r>
      <w:r>
        <w:rPr>
          <w:rFonts w:hint="eastAsia" w:ascii="宋体" w:hAnsi="宋体" w:cs="宋体"/>
          <w:b/>
          <w:bCs w:val="0"/>
          <w:color w:val="auto"/>
          <w:sz w:val="21"/>
          <w:szCs w:val="21"/>
          <w:highlight w:val="none"/>
          <w:u w:val="none"/>
          <w:lang w:eastAsia="zh-CN"/>
        </w:rPr>
        <w:t>报价</w:t>
      </w:r>
      <w:r>
        <w:rPr>
          <w:rFonts w:hint="eastAsia" w:ascii="宋体" w:hAnsi="宋体" w:eastAsia="宋体" w:cs="宋体"/>
          <w:b/>
          <w:bCs w:val="0"/>
          <w:color w:val="auto"/>
          <w:sz w:val="21"/>
          <w:szCs w:val="21"/>
          <w:highlight w:val="none"/>
          <w:u w:val="none"/>
        </w:rPr>
        <w:t>信封分别密封包装，并按照</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w:t>
      </w:r>
      <w:r>
        <w:rPr>
          <w:rFonts w:hint="eastAsia" w:ascii="宋体" w:hAnsi="宋体" w:cs="宋体"/>
          <w:b/>
          <w:bCs w:val="0"/>
          <w:color w:val="auto"/>
          <w:sz w:val="21"/>
          <w:szCs w:val="21"/>
          <w:highlight w:val="none"/>
          <w:u w:val="none"/>
          <w:lang w:eastAsia="zh-CN"/>
        </w:rPr>
        <w:t>供应商</w:t>
      </w:r>
      <w:r>
        <w:rPr>
          <w:rFonts w:hint="eastAsia" w:ascii="宋体" w:hAnsi="宋体" w:eastAsia="宋体" w:cs="宋体"/>
          <w:b/>
          <w:bCs w:val="0"/>
          <w:color w:val="auto"/>
          <w:sz w:val="21"/>
          <w:szCs w:val="21"/>
          <w:highlight w:val="none"/>
          <w:u w:val="none"/>
        </w:rPr>
        <w:t xml:space="preserve">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的递交”中相关要求进行提交，避免因密封包装不符合要求而导致</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被退回。</w:t>
      </w:r>
    </w:p>
    <w:p w14:paraId="2BBB9093">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请正确填写《</w:t>
      </w:r>
      <w:r>
        <w:rPr>
          <w:rFonts w:hint="eastAsia" w:ascii="宋体" w:hAnsi="宋体" w:cs="宋体"/>
          <w:b/>
          <w:bCs w:val="0"/>
          <w:color w:val="auto"/>
          <w:sz w:val="21"/>
          <w:szCs w:val="21"/>
          <w:highlight w:val="none"/>
          <w:u w:val="none"/>
          <w:lang w:val="en-US" w:eastAsia="zh-CN"/>
        </w:rPr>
        <w:t>报价</w:t>
      </w:r>
      <w:r>
        <w:rPr>
          <w:rFonts w:hint="eastAsia" w:ascii="宋体" w:hAnsi="宋体" w:eastAsia="宋体" w:cs="宋体"/>
          <w:b/>
          <w:bCs w:val="0"/>
          <w:color w:val="auto"/>
          <w:sz w:val="21"/>
          <w:szCs w:val="21"/>
          <w:highlight w:val="none"/>
          <w:u w:val="none"/>
        </w:rPr>
        <w:t>一览表》。多包项目请仔细检查包组号，包组号跟包组名称必须一致。</w:t>
      </w:r>
    </w:p>
    <w:p w14:paraId="6D46FE7B">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lang w:val="en-US" w:eastAsia="zh-CN"/>
        </w:rPr>
        <w:t>、</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14:paraId="01BECEEA">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请仔细检查</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是否已按</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盖章、签名(或盖私章)、签署日期。</w:t>
      </w:r>
    </w:p>
    <w:p w14:paraId="7C7F9479">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lang w:val="en-US" w:eastAsia="zh-CN"/>
        </w:rPr>
        <w:t>、加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w:t>
      </w:r>
      <w:r>
        <w:rPr>
          <w:rFonts w:hint="eastAsia" w:ascii="宋体" w:hAnsi="宋体" w:cs="宋体"/>
          <w:b/>
          <w:bCs w:val="0"/>
          <w:color w:val="auto"/>
          <w:sz w:val="21"/>
          <w:szCs w:val="21"/>
          <w:highlight w:val="none"/>
          <w:u w:val="none"/>
          <w:lang w:val="en-US" w:eastAsia="zh-CN"/>
        </w:rPr>
        <w:t>响应文件</w:t>
      </w:r>
      <w:r>
        <w:rPr>
          <w:rFonts w:hint="eastAsia" w:ascii="宋体" w:hAnsi="宋体" w:eastAsia="宋体" w:cs="宋体"/>
          <w:b/>
          <w:bCs w:val="0"/>
          <w:color w:val="auto"/>
          <w:sz w:val="21"/>
          <w:szCs w:val="21"/>
          <w:highlight w:val="none"/>
          <w:u w:val="none"/>
        </w:rPr>
        <w:t>无效</w:t>
      </w:r>
      <w:r>
        <w:rPr>
          <w:rFonts w:hint="eastAsia" w:ascii="宋体" w:hAnsi="宋体" w:eastAsia="宋体" w:cs="宋体"/>
          <w:b/>
          <w:bCs w:val="0"/>
          <w:color w:val="auto"/>
          <w:sz w:val="21"/>
          <w:szCs w:val="21"/>
          <w:highlight w:val="none"/>
          <w:u w:val="none"/>
          <w:lang w:eastAsia="zh-CN"/>
        </w:rPr>
        <w:t>。</w:t>
      </w:r>
    </w:p>
    <w:p w14:paraId="45695B6F">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cs="宋体"/>
          <w:b/>
          <w:bCs w:val="0"/>
          <w:color w:val="auto"/>
          <w:sz w:val="21"/>
          <w:szCs w:val="21"/>
          <w:highlight w:val="none"/>
          <w:u w:val="none"/>
          <w:lang w:val="en-US" w:eastAsia="zh-CN"/>
        </w:rPr>
        <w:t>7</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为避免因迟到而无法按时递交</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递交截止时间之前30分钟内到达开标地点</w:t>
      </w:r>
      <w:r>
        <w:rPr>
          <w:rFonts w:hint="eastAsia" w:ascii="宋体" w:hAnsi="宋体" w:eastAsia="宋体" w:cs="宋体"/>
          <w:b/>
          <w:bCs w:val="0"/>
          <w:color w:val="auto"/>
          <w:sz w:val="21"/>
          <w:szCs w:val="21"/>
          <w:highlight w:val="none"/>
          <w:u w:val="none"/>
          <w:lang w:eastAsia="zh-CN"/>
        </w:rPr>
        <w:t>，</w:t>
      </w:r>
      <w:r>
        <w:rPr>
          <w:rFonts w:hint="eastAsia" w:ascii="宋体" w:hAnsi="宋体" w:cs="宋体"/>
          <w:b/>
          <w:bCs w:val="0"/>
          <w:color w:val="auto"/>
          <w:sz w:val="21"/>
          <w:szCs w:val="21"/>
          <w:highlight w:val="none"/>
          <w:u w:val="none"/>
          <w:lang w:val="en-US" w:eastAsia="zh-CN"/>
        </w:rPr>
        <w:t>响应</w:t>
      </w:r>
      <w:r>
        <w:rPr>
          <w:rFonts w:hint="eastAsia" w:ascii="宋体" w:hAnsi="宋体" w:eastAsia="宋体" w:cs="宋体"/>
          <w:b/>
          <w:bCs w:val="0"/>
          <w:color w:val="auto"/>
          <w:sz w:val="21"/>
          <w:szCs w:val="21"/>
          <w:highlight w:val="none"/>
          <w:u w:val="none"/>
          <w:lang w:eastAsia="zh-CN"/>
        </w:rPr>
        <w:t>截止时间一到，本公司不接收任何</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lang w:eastAsia="zh-CN"/>
        </w:rPr>
        <w:t>。</w:t>
      </w:r>
    </w:p>
    <w:p w14:paraId="34837599">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为了提高政府采购效率，节约社会交易成本与时间，希望领购了</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而决定不参加本项目的供应商，在</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w:t>
      </w:r>
      <w:r>
        <w:rPr>
          <w:rFonts w:hint="eastAsia" w:ascii="宋体" w:hAnsi="宋体" w:cs="宋体"/>
          <w:b/>
          <w:bCs w:val="0"/>
          <w:color w:val="auto"/>
          <w:sz w:val="21"/>
          <w:szCs w:val="21"/>
          <w:highlight w:val="none"/>
          <w:u w:val="none"/>
          <w:lang w:val="en-US" w:eastAsia="zh-CN"/>
        </w:rPr>
        <w:t>磋商</w:t>
      </w:r>
      <w:r>
        <w:rPr>
          <w:rFonts w:hint="eastAsia" w:ascii="宋体" w:hAnsi="宋体" w:eastAsia="宋体" w:cs="宋体"/>
          <w:b/>
          <w:bCs w:val="0"/>
          <w:color w:val="auto"/>
          <w:sz w:val="21"/>
          <w:szCs w:val="21"/>
          <w:highlight w:val="none"/>
          <w:u w:val="none"/>
        </w:rPr>
        <w:t>邀请函》中的联系方式，以书面形式告知采购代理机构。对您的支持与配合，谨此致谢。</w:t>
      </w:r>
    </w:p>
    <w:p w14:paraId="6BE2EE40">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default" w:ascii="宋体" w:hAnsi="宋体" w:eastAsia="宋体" w:cs="宋体"/>
          <w:b/>
          <w:bCs w:val="0"/>
          <w:color w:val="auto"/>
          <w:sz w:val="21"/>
          <w:szCs w:val="21"/>
          <w:highlight w:val="none"/>
          <w:u w:val="none"/>
          <w:lang w:val="en-US" w:eastAsia="zh-CN"/>
        </w:rPr>
      </w:pPr>
      <w:r>
        <w:rPr>
          <w:rFonts w:hint="eastAsia" w:ascii="宋体" w:hAnsi="宋体" w:eastAsia="宋体" w:cs="宋体"/>
          <w:b/>
          <w:bCs w:val="0"/>
          <w:color w:val="auto"/>
          <w:sz w:val="21"/>
          <w:szCs w:val="21"/>
          <w:highlight w:val="none"/>
          <w:u w:val="none"/>
          <w:lang w:val="en-US" w:eastAsia="zh-CN"/>
        </w:rPr>
        <w:t>9、公司位置：</w:t>
      </w:r>
    </w:p>
    <w:p w14:paraId="783174A0">
      <w:pPr>
        <w:pStyle w:val="19"/>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eastAsia="宋体"/>
          <w:color w:val="auto"/>
          <w:sz w:val="40"/>
          <w:szCs w:val="40"/>
          <w:highlight w:val="none"/>
          <w:lang w:eastAsia="zh-CN"/>
        </w:rPr>
        <w:drawing>
          <wp:inline distT="0" distB="0" distL="114300" distR="114300">
            <wp:extent cx="5266690" cy="2573655"/>
            <wp:effectExtent l="0" t="0" r="10160" b="17145"/>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73655"/>
                    </a:xfrm>
                    <a:prstGeom prst="rect">
                      <a:avLst/>
                    </a:prstGeom>
                  </pic:spPr>
                </pic:pic>
              </a:graphicData>
            </a:graphic>
          </wp:inline>
        </w:drawing>
      </w:r>
    </w:p>
    <w:p w14:paraId="0A9BA5BA">
      <w:pPr>
        <w:rPr>
          <w:rFonts w:hint="eastAsia"/>
          <w:color w:val="auto"/>
          <w:highlight w:val="none"/>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14:paraId="3ACBEEE3">
      <w:pPr>
        <w:pStyle w:val="19"/>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highlight w:val="none"/>
        </w:rPr>
      </w:pPr>
      <w:r>
        <w:rPr>
          <w:rFonts w:hint="eastAsia"/>
          <w:color w:val="auto"/>
          <w:sz w:val="40"/>
          <w:szCs w:val="40"/>
          <w:highlight w:val="none"/>
        </w:rPr>
        <w:t>目录</w:t>
      </w:r>
    </w:p>
    <w:p w14:paraId="1AA9B913">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_Toc14033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 xml:space="preserve">第一部分 </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_Toc14033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B10E92D">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_Toc7988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_Toc7988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F172A82">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_Toc31060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第二部分 磋商资料表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_Toc31060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4F4C6A8">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_Toc4043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第三部分 评分权重分配表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_Toc4043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BA3018C">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商务技术评分及价格权重细则表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4C157D6">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 xml:space="preserve">部分 </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D0D2DB2">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w:t>
      </w:r>
      <w:r>
        <w:rPr>
          <w:rFonts w:hint="eastAsia" w:ascii="宋体" w:hAnsi="宋体" w:eastAsia="宋体" w:cs="宋体"/>
          <w:color w:val="auto"/>
          <w:sz w:val="21"/>
          <w:szCs w:val="21"/>
          <w:highlight w:val="none"/>
        </w:rPr>
        <w:t>说  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_Toc28014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81E0696">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_Toc17291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 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_Toc17291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8AEF30C">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_Toc8868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 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_Toc8868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FF419A6">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_Toc1083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 适用法律</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_Toc1083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E300C7B">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_Toc18833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 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_Toc18833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14F11BB">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_Toc5242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 关于联合体报价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_Toc5242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EBEF442">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_Toc25157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 关于分支机构报价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_Toc25157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9E60DE5">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_Toc18108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 保密及其它注意事项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_Toc18108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28857B2">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_Toc25468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w:t>
      </w:r>
      <w:r>
        <w:rPr>
          <w:rFonts w:hint="eastAsia" w:ascii="宋体" w:hAnsi="宋体" w:eastAsia="宋体" w:cs="宋体"/>
          <w:color w:val="auto"/>
          <w:sz w:val="21"/>
          <w:szCs w:val="21"/>
          <w:highlight w:val="none"/>
        </w:rPr>
        <w:t>磋商文件说明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_Toc25468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194FAAA">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_Toc21439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 采购文件构成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_Toc21439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AA48F71">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w:t>
      </w:r>
      <w:r>
        <w:rPr>
          <w:rFonts w:hint="eastAsia" w:ascii="宋体" w:hAnsi="宋体" w:eastAsia="宋体" w:cs="宋体"/>
          <w:color w:val="auto"/>
          <w:sz w:val="21"/>
          <w:szCs w:val="21"/>
          <w:highlight w:val="none"/>
        </w:rPr>
        <w:t>响应文件的编制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023D79B">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_Toc19833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 响应文件的语言及度量衡单位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_Toc19833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4BE4B43">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_Toc18228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 响应文件编制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_Toc18228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C166222">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 响应文件的内容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8B6C937">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 响应文件格式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9A119ED">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 磋商保证金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本项目不需提供</w:t>
      </w:r>
      <w:r>
        <w:rPr>
          <w:rFonts w:hint="eastAsia" w:ascii="宋体" w:hAnsi="宋体" w:eastAsia="宋体" w:cs="宋体"/>
          <w:color w:val="auto"/>
          <w:sz w:val="21"/>
          <w:szCs w:val="21"/>
          <w:highlight w:val="none"/>
        </w:rPr>
        <w:t>磋商保证金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99BA398">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 ★报价（响应文件）有效期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_Toc10456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68E1E9D">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_Toc7006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w:t>
      </w:r>
      <w:r>
        <w:rPr>
          <w:rFonts w:hint="eastAsia" w:ascii="宋体" w:hAnsi="宋体" w:eastAsia="宋体" w:cs="宋体"/>
          <w:color w:val="auto"/>
          <w:sz w:val="21"/>
          <w:szCs w:val="21"/>
          <w:highlight w:val="none"/>
        </w:rPr>
        <w:t>响应文件的递交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_Toc7006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5564948">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_Toc13611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 响应文件的密封和标记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_Toc13611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DD8DDA1">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 响应文件的递交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06B4DAE">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 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_Toc8440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5A417CA">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_Toc3401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w:t>
      </w:r>
      <w:r>
        <w:rPr>
          <w:rFonts w:hint="eastAsia" w:ascii="宋体" w:hAnsi="宋体" w:eastAsia="宋体" w:cs="宋体"/>
          <w:color w:val="auto"/>
          <w:sz w:val="21"/>
          <w:szCs w:val="21"/>
          <w:highlight w:val="none"/>
        </w:rPr>
        <w:t>磋商、评审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_Toc3401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E91610A">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_Toc8137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 签到及评审方法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_Toc8137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326BD28">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_Toc10080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 磋商小组</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_Toc10080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FB70963">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_Toc17157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 对响应文件的初审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_Toc17157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3E19ED8">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_Toc18895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 技术商务磋商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_Toc18895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D083977">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_Toc5492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 最终报价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_Toc5492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BEFEFA9">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 综合评分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C3D963B">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_Toc30725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 优惠政策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_Toc30725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765FAB5">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_Toc1066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第六章</w:t>
      </w:r>
      <w:r>
        <w:rPr>
          <w:rFonts w:hint="eastAsia" w:ascii="宋体" w:hAnsi="宋体" w:eastAsia="宋体" w:cs="宋体"/>
          <w:color w:val="auto"/>
          <w:sz w:val="21"/>
          <w:szCs w:val="21"/>
          <w:highlight w:val="none"/>
        </w:rPr>
        <w:t>确定成交供应商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_Toc1066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F47618D">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_Toc29068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 确定成交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_Toc29068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04E9637">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_Toc3941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 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_Toc3941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468D12B">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 原件核查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_Toc29067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2840869">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_Toc3829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第七章</w:t>
      </w:r>
      <w:r>
        <w:rPr>
          <w:rFonts w:hint="eastAsia" w:ascii="宋体" w:hAnsi="宋体" w:eastAsia="宋体" w:cs="宋体"/>
          <w:color w:val="auto"/>
          <w:sz w:val="21"/>
          <w:szCs w:val="21"/>
          <w:highlight w:val="none"/>
        </w:rPr>
        <w:t>签订合同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9186265">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_Toc18000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 签订合同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_Toc18000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0C58801">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_Toc8165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第八章</w:t>
      </w:r>
      <w:r>
        <w:rPr>
          <w:rFonts w:hint="eastAsia" w:ascii="宋体" w:hAnsi="宋体" w:eastAsia="宋体" w:cs="宋体"/>
          <w:color w:val="auto"/>
          <w:sz w:val="21"/>
          <w:szCs w:val="21"/>
          <w:highlight w:val="none"/>
        </w:rPr>
        <w:t>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_Toc8165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4C10085">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_Toc18663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 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_Toc18663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35B60A8">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_Toc20114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 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_Toc20114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B3E628F">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_Toc5551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第九章</w:t>
      </w:r>
      <w:r>
        <w:rPr>
          <w:rFonts w:hint="eastAsia" w:ascii="宋体" w:hAnsi="宋体" w:eastAsia="宋体" w:cs="宋体"/>
          <w:color w:val="auto"/>
          <w:sz w:val="21"/>
          <w:szCs w:val="21"/>
          <w:highlight w:val="none"/>
        </w:rPr>
        <w:t>成交服务费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CBB4C75">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_Toc26991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 成交服务费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_Toc26991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113C80E">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_Toc7834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第十章</w:t>
      </w: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8C3C94E">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_Toc10953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 磋商文件的解释权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_Toc10953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7C26D27">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8769BED">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_Toc31162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 商务需求书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_Toc31162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D2555B0">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_Toc19981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 技术需求书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_Toc19981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F3A7DCF">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_Toc17329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_Toc17329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1F2EAEC">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_Toc29470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合同格式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_Toc29470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ACC489F">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_Toc15158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 xml:space="preserve">部分  </w:t>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_Toc15158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0D66C54">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D4E4C8C">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_Toc28116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_Toc28116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2B4724E">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_Toc19057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618B0B3">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一、报价一览表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_Toc29262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51C665C">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_Toc29258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_Toc29258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C848A07">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_Toc14734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三、小型或微型企业（货物/服务/承担的工程）明细表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26AB930">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_Toc17483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四、节能产品或环境标志产品明细表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_Toc17483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5A86426">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五、中小企业声明函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2CE1350">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六、残疾人福利性单位声明函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18BC1AB">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_Toc2486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_Toc2486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245AA7D">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_Toc4151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一、响应函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_Toc4151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AC705FC">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_Toc27961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6BFBF9B">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_Toc21335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三、在参与政府采购活动前三年未有重大违法记录、没有不良信用记录的声明函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_Toc21335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951E321">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_Toc32128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_Toc32128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0D1FF45">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_Toc11689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_Toc11689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20400A1">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六、供应商基本情况说明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BF5C5D9">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_Toc11992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709966E">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_Toc12706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w:t>
      </w:r>
      <w:r>
        <w:rPr>
          <w:rFonts w:hint="eastAsia" w:ascii="宋体" w:hAnsi="宋体" w:eastAsia="宋体" w:cs="宋体"/>
          <w:color w:val="auto"/>
          <w:sz w:val="21"/>
          <w:szCs w:val="21"/>
          <w:highlight w:val="none"/>
        </w:rPr>
        <w:t>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_Toc12706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85A6C54">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_Toc14482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w:t>
      </w:r>
      <w:r>
        <w:rPr>
          <w:rFonts w:hint="eastAsia" w:ascii="宋体" w:hAnsi="宋体" w:eastAsia="宋体" w:cs="宋体"/>
          <w:color w:val="auto"/>
          <w:sz w:val="21"/>
          <w:szCs w:val="21"/>
          <w:highlight w:val="none"/>
        </w:rPr>
        <w:t>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_Toc14482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A601D6C">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_Toc31815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7579B77">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_Toc21582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十一、</w:t>
      </w:r>
      <w:r>
        <w:rPr>
          <w:rFonts w:hint="eastAsia" w:ascii="宋体" w:hAnsi="宋体" w:eastAsia="宋体" w:cs="宋体"/>
          <w:color w:val="auto"/>
          <w:sz w:val="21"/>
          <w:szCs w:val="21"/>
          <w:highlight w:val="none"/>
        </w:rPr>
        <w:t>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_Toc21582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58D376B">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_Toc7350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十二、</w:t>
      </w:r>
      <w:r>
        <w:rPr>
          <w:rFonts w:hint="eastAsia" w:ascii="宋体" w:hAnsi="宋体" w:eastAsia="宋体" w:cs="宋体"/>
          <w:color w:val="auto"/>
          <w:sz w:val="21"/>
          <w:szCs w:val="21"/>
          <w:highlight w:val="none"/>
        </w:rPr>
        <w:t>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_Toc7350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764A575">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_Toc25650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_Toc25650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3635546">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_Toc13588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_Toc13588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5ECE92F">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_Toc28702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_Toc28702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0A2714E">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_Toc25570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实质性条款（标记★）响应表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_Toc25570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02578A8">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AAB223B">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_Toc16875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_Toc16875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97284A6">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六、响应货物明细一览表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_Toc27978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1455627">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_Toc31841 </w:instrText>
      </w:r>
      <w:r>
        <w:rPr>
          <w:rFonts w:hint="eastAsia" w:ascii="宋体" w:hAnsi="宋体" w:eastAsia="宋体" w:cs="宋体"/>
          <w:color w:val="auto"/>
          <w:sz w:val="21"/>
          <w:szCs w:val="21"/>
          <w:highlight w:val="none"/>
        </w:rPr>
        <w:fldChar w:fldCharType="separate"/>
      </w:r>
      <w:r>
        <w:rPr>
          <w:rFonts w:hint="eastAsia" w:ascii="宋体" w:hAnsi="宋体" w:cs="宋体"/>
          <w:color w:val="auto"/>
          <w:sz w:val="21"/>
          <w:szCs w:val="21"/>
          <w:highlight w:val="none"/>
          <w:lang w:val="en-US" w:eastAsia="zh-CN"/>
        </w:rPr>
        <w:t>七</w:t>
      </w:r>
      <w:r>
        <w:rPr>
          <w:rFonts w:hint="eastAsia" w:ascii="宋体" w:hAnsi="宋体" w:eastAsia="宋体" w:cs="宋体"/>
          <w:color w:val="auto"/>
          <w:sz w:val="21"/>
          <w:szCs w:val="21"/>
          <w:highlight w:val="none"/>
          <w:lang w:val="en-US" w:eastAsia="zh-CN"/>
        </w:rPr>
        <w:t>、政府采购履约担保函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_Toc31841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78E2890">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_Toc17348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第四章报价信封（单独封装）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_Toc17348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DAF86E9">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_Toc13881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第五章联合体共同报价协议书（如有需要）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_Toc13881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ADAE1E1">
      <w:pPr>
        <w:pStyle w:val="15"/>
        <w:tabs>
          <w:tab w:val="right" w:leader="dot" w:pos="8306"/>
          <w:tab w:val="clear" w:pos="8296"/>
        </w:tabs>
        <w:spacing w:after="0" w:line="360" w:lineRule="auto"/>
        <w:ind w:left="0" w:leftChars="0"/>
        <w:jc w:val="both"/>
        <w:rPr>
          <w:rFonts w:cs="宋体"/>
          <w:color w:val="auto"/>
          <w:szCs w:val="21"/>
          <w:highlight w:val="none"/>
        </w:rPr>
      </w:pPr>
      <w:r>
        <w:rPr>
          <w:rFonts w:cs="宋体"/>
          <w:color w:val="auto"/>
          <w:szCs w:val="21"/>
          <w:highlight w:val="none"/>
        </w:rPr>
        <w:fldChar w:fldCharType="end"/>
      </w:r>
    </w:p>
    <w:p w14:paraId="60F2493B">
      <w:pPr>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14:paraId="15C156EE">
      <w:pPr>
        <w:pStyle w:val="3"/>
        <w:spacing w:before="0" w:after="0" w:line="240" w:lineRule="auto"/>
        <w:rPr>
          <w:color w:val="auto"/>
          <w:sz w:val="28"/>
          <w:szCs w:val="28"/>
          <w:highlight w:val="none"/>
        </w:rPr>
      </w:pPr>
      <w:bookmarkStart w:id="0" w:name="_Toc14033"/>
      <w:bookmarkStart w:id="1" w:name="_Toc17306"/>
      <w:r>
        <w:rPr>
          <w:rFonts w:hint="eastAsia"/>
          <w:color w:val="auto"/>
          <w:sz w:val="28"/>
          <w:szCs w:val="28"/>
          <w:highlight w:val="none"/>
        </w:rPr>
        <w:t xml:space="preserve">第一部分 </w:t>
      </w:r>
      <w:r>
        <w:rPr>
          <w:rFonts w:hint="eastAsia"/>
          <w:color w:val="auto"/>
          <w:sz w:val="28"/>
          <w:szCs w:val="28"/>
          <w:highlight w:val="none"/>
          <w:lang w:eastAsia="zh-CN"/>
        </w:rPr>
        <w:t>磋商</w:t>
      </w:r>
      <w:r>
        <w:rPr>
          <w:rFonts w:hint="eastAsia"/>
          <w:color w:val="auto"/>
          <w:sz w:val="28"/>
          <w:szCs w:val="28"/>
          <w:highlight w:val="none"/>
        </w:rPr>
        <w:t>邀请</w:t>
      </w:r>
      <w:bookmarkEnd w:id="0"/>
      <w:bookmarkEnd w:id="1"/>
    </w:p>
    <w:p w14:paraId="3972353D">
      <w:pPr>
        <w:pStyle w:val="4"/>
        <w:spacing w:before="0" w:after="0" w:line="360" w:lineRule="auto"/>
        <w:jc w:val="center"/>
        <w:rPr>
          <w:rFonts w:ascii="宋体" w:hAnsi="宋体" w:eastAsia="宋体" w:cs="宋体"/>
          <w:color w:val="auto"/>
          <w:highlight w:val="none"/>
        </w:rPr>
      </w:pPr>
      <w:bookmarkStart w:id="2" w:name="_Toc1420"/>
      <w:bookmarkStart w:id="3" w:name="_Toc8850"/>
      <w:bookmarkStart w:id="4" w:name="_Toc7988"/>
      <w:r>
        <w:rPr>
          <w:rFonts w:hint="eastAsia" w:ascii="宋体" w:hAnsi="宋体" w:cs="宋体"/>
          <w:color w:val="auto"/>
          <w:highlight w:val="none"/>
          <w:lang w:eastAsia="zh-CN"/>
        </w:rPr>
        <w:t>磋商</w:t>
      </w:r>
      <w:r>
        <w:rPr>
          <w:rFonts w:hint="eastAsia" w:ascii="宋体" w:hAnsi="宋体" w:eastAsia="宋体" w:cs="宋体"/>
          <w:color w:val="auto"/>
          <w:highlight w:val="none"/>
        </w:rPr>
        <w:t>邀请书</w:t>
      </w:r>
      <w:bookmarkEnd w:id="2"/>
      <w:bookmarkEnd w:id="3"/>
      <w:bookmarkEnd w:id="4"/>
    </w:p>
    <w:p w14:paraId="4DD89EFD">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）受</w:t>
      </w:r>
      <w:r>
        <w:rPr>
          <w:rFonts w:hint="eastAsia" w:ascii="宋体" w:hAnsi="宋体"/>
          <w:b/>
          <w:color w:val="auto"/>
          <w:sz w:val="21"/>
          <w:szCs w:val="21"/>
          <w:highlight w:val="none"/>
          <w:u w:val="single"/>
          <w:lang w:eastAsia="zh-CN"/>
        </w:rPr>
        <w:t>东莞市民政局</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）委托，</w:t>
      </w:r>
      <w:r>
        <w:rPr>
          <w:rFonts w:hint="eastAsia" w:ascii="宋体" w:hAnsi="宋体" w:eastAsia="宋体"/>
          <w:color w:val="auto"/>
          <w:sz w:val="21"/>
          <w:szCs w:val="21"/>
          <w:highlight w:val="none"/>
        </w:rPr>
        <w:t>现</w:t>
      </w:r>
      <w:r>
        <w:rPr>
          <w:rFonts w:ascii="宋体" w:hAnsi="宋体" w:eastAsia="宋体"/>
          <w:color w:val="auto"/>
          <w:sz w:val="21"/>
          <w:szCs w:val="21"/>
          <w:highlight w:val="none"/>
        </w:rPr>
        <w:t>就</w:t>
      </w:r>
      <w:r>
        <w:rPr>
          <w:rFonts w:hint="eastAsia" w:ascii="宋体" w:hAnsi="宋体"/>
          <w:color w:val="auto"/>
          <w:sz w:val="21"/>
          <w:szCs w:val="21"/>
          <w:highlight w:val="none"/>
          <w:lang w:val="en-US" w:eastAsia="zh-CN"/>
        </w:rPr>
        <w:t>2025-2026年“帮扶街面流浪乞讨人员”服务项目</w:t>
      </w:r>
      <w:r>
        <w:rPr>
          <w:rFonts w:hint="eastAsia" w:ascii="宋体" w:hAnsi="宋体" w:eastAsia="宋体" w:cs="Times New Roman"/>
          <w:color w:val="auto"/>
          <w:sz w:val="21"/>
          <w:szCs w:val="21"/>
          <w:highlight w:val="none"/>
        </w:rPr>
        <w:t>进行国内</w:t>
      </w:r>
      <w:r>
        <w:rPr>
          <w:rFonts w:hint="eastAsia" w:ascii="宋体" w:hAnsi="宋体" w:cs="Times New Roman"/>
          <w:color w:val="auto"/>
          <w:sz w:val="21"/>
          <w:szCs w:val="21"/>
          <w:highlight w:val="none"/>
          <w:lang w:eastAsia="zh-CN"/>
        </w:rPr>
        <w:t>竞争性磋商</w:t>
      </w:r>
      <w:r>
        <w:rPr>
          <w:rFonts w:hint="eastAsia" w:ascii="宋体" w:hAnsi="宋体" w:eastAsia="宋体" w:cs="Times New Roman"/>
          <w:color w:val="auto"/>
          <w:sz w:val="21"/>
          <w:szCs w:val="21"/>
          <w:highlight w:val="none"/>
        </w:rPr>
        <w:t>采购</w:t>
      </w:r>
      <w:r>
        <w:rPr>
          <w:rFonts w:hint="eastAsia" w:ascii="宋体" w:hAnsi="宋体" w:eastAsia="宋体"/>
          <w:color w:val="auto"/>
          <w:sz w:val="21"/>
          <w:szCs w:val="21"/>
          <w:highlight w:val="none"/>
        </w:rPr>
        <w:t>，欢迎符合</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要求的国内</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参加</w:t>
      </w:r>
      <w:r>
        <w:rPr>
          <w:rFonts w:hint="eastAsia" w:hAnsi="宋体"/>
          <w:color w:val="auto"/>
          <w:szCs w:val="21"/>
          <w:highlight w:val="none"/>
        </w:rPr>
        <w:t>参与本次政府采购活动</w:t>
      </w:r>
      <w:r>
        <w:rPr>
          <w:rFonts w:ascii="宋体" w:hAnsi="宋体" w:eastAsia="宋体"/>
          <w:color w:val="auto"/>
          <w:sz w:val="21"/>
          <w:szCs w:val="21"/>
          <w:highlight w:val="none"/>
        </w:rPr>
        <w:t>。</w:t>
      </w:r>
    </w:p>
    <w:p w14:paraId="69D4F228">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highlight w:val="none"/>
        </w:rPr>
      </w:pPr>
    </w:p>
    <w:p w14:paraId="07E51D13">
      <w:pPr>
        <w:numPr>
          <w:ilvl w:val="0"/>
          <w:numId w:val="1"/>
        </w:numPr>
        <w:spacing w:after="0" w:line="360" w:lineRule="auto"/>
        <w:ind w:firstLine="413" w:firstLineChars="196"/>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rPr>
        <w:t>招标项目</w:t>
      </w:r>
      <w:r>
        <w:rPr>
          <w:rFonts w:hint="eastAsia" w:ascii="宋体" w:hAnsi="宋体" w:eastAsia="宋体"/>
          <w:b/>
          <w:color w:val="auto"/>
          <w:sz w:val="21"/>
          <w:szCs w:val="21"/>
          <w:highlight w:val="none"/>
          <w:lang w:val="en-US" w:eastAsia="zh-CN"/>
        </w:rPr>
        <w:t>信息</w:t>
      </w:r>
    </w:p>
    <w:p w14:paraId="065BEFFD">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编号：</w:t>
      </w:r>
      <w:r>
        <w:rPr>
          <w:rFonts w:hint="eastAsia" w:ascii="宋体" w:hAnsi="宋体"/>
          <w:color w:val="auto"/>
          <w:sz w:val="21"/>
          <w:szCs w:val="21"/>
          <w:highlight w:val="none"/>
          <w:lang w:val="en-US" w:eastAsia="zh-CN"/>
        </w:rPr>
        <w:t>GDZT2025117C</w:t>
      </w:r>
      <w:r>
        <w:rPr>
          <w:rFonts w:hint="eastAsia" w:ascii="宋体" w:hAnsi="宋体" w:eastAsia="宋体"/>
          <w:color w:val="auto"/>
          <w:sz w:val="21"/>
          <w:szCs w:val="21"/>
          <w:highlight w:val="none"/>
          <w:lang w:val="en-US" w:eastAsia="zh-CN"/>
        </w:rPr>
        <w:t>；</w:t>
      </w:r>
    </w:p>
    <w:p w14:paraId="6B125FEF">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名称：</w:t>
      </w:r>
      <w:r>
        <w:rPr>
          <w:rFonts w:hint="eastAsia" w:ascii="宋体" w:hAnsi="宋体"/>
          <w:color w:val="auto"/>
          <w:sz w:val="21"/>
          <w:szCs w:val="21"/>
          <w:highlight w:val="none"/>
          <w:lang w:val="en-US" w:eastAsia="zh-CN"/>
        </w:rPr>
        <w:t>2025-2026年“帮扶街面流浪乞讨人员”服务项目</w:t>
      </w:r>
      <w:r>
        <w:rPr>
          <w:rFonts w:hint="eastAsia" w:ascii="宋体" w:hAnsi="宋体" w:eastAsia="宋体"/>
          <w:color w:val="auto"/>
          <w:sz w:val="21"/>
          <w:szCs w:val="21"/>
          <w:highlight w:val="none"/>
          <w:lang w:val="en-US" w:eastAsia="zh-CN"/>
        </w:rPr>
        <w:t>；</w:t>
      </w:r>
    </w:p>
    <w:p w14:paraId="310322B5">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、项目内容：</w:t>
      </w:r>
    </w:p>
    <w:tbl>
      <w:tblPr>
        <w:tblStyle w:val="22"/>
        <w:tblW w:w="44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95"/>
        <w:gridCol w:w="4606"/>
        <w:gridCol w:w="490"/>
        <w:gridCol w:w="1795"/>
      </w:tblGrid>
      <w:tr w14:paraId="3D4D6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1" w:type="pct"/>
            <w:noWrap/>
            <w:tcMar>
              <w:top w:w="15" w:type="dxa"/>
              <w:left w:w="15" w:type="dxa"/>
              <w:right w:w="15" w:type="dxa"/>
            </w:tcMar>
            <w:vAlign w:val="center"/>
          </w:tcPr>
          <w:p w14:paraId="321743F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2590" w:type="pct"/>
            <w:noWrap/>
            <w:tcMar>
              <w:top w:w="15" w:type="dxa"/>
              <w:left w:w="15" w:type="dxa"/>
              <w:right w:w="15" w:type="dxa"/>
            </w:tcMar>
            <w:vAlign w:val="center"/>
          </w:tcPr>
          <w:p w14:paraId="088B438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包组内容</w:t>
            </w:r>
          </w:p>
        </w:tc>
        <w:tc>
          <w:tcPr>
            <w:tcW w:w="507" w:type="pct"/>
            <w:noWrap/>
            <w:tcMar>
              <w:top w:w="15" w:type="dxa"/>
              <w:left w:w="15" w:type="dxa"/>
              <w:right w:w="15" w:type="dxa"/>
            </w:tcMar>
            <w:vAlign w:val="center"/>
          </w:tcPr>
          <w:p w14:paraId="795978A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数量</w:t>
            </w:r>
          </w:p>
        </w:tc>
        <w:tc>
          <w:tcPr>
            <w:tcW w:w="1390" w:type="pct"/>
            <w:noWrap/>
            <w:tcMar>
              <w:top w:w="15" w:type="dxa"/>
              <w:left w:w="15" w:type="dxa"/>
              <w:right w:w="15" w:type="dxa"/>
            </w:tcMar>
            <w:vAlign w:val="center"/>
          </w:tcPr>
          <w:p w14:paraId="13444E1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预算</w:t>
            </w:r>
          </w:p>
        </w:tc>
      </w:tr>
      <w:tr w14:paraId="6CAF0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511" w:type="pct"/>
            <w:noWrap/>
            <w:tcMar>
              <w:top w:w="15" w:type="dxa"/>
              <w:left w:w="15" w:type="dxa"/>
              <w:right w:w="15" w:type="dxa"/>
            </w:tcMar>
            <w:vAlign w:val="center"/>
          </w:tcPr>
          <w:p w14:paraId="365617A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w:t>
            </w:r>
          </w:p>
        </w:tc>
        <w:tc>
          <w:tcPr>
            <w:tcW w:w="2590" w:type="pct"/>
            <w:noWrap/>
            <w:tcMar>
              <w:top w:w="15" w:type="dxa"/>
              <w:left w:w="15" w:type="dxa"/>
              <w:right w:w="15" w:type="dxa"/>
            </w:tcMar>
            <w:vAlign w:val="center"/>
          </w:tcPr>
          <w:p w14:paraId="743F7BC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lang w:val="en-US" w:eastAsia="zh-CN"/>
              </w:rPr>
            </w:pPr>
            <w:r>
              <w:rPr>
                <w:rFonts w:hint="eastAsia" w:ascii="宋体" w:hAnsi="宋体"/>
                <w:b/>
                <w:color w:val="auto"/>
                <w:sz w:val="21"/>
                <w:szCs w:val="21"/>
                <w:highlight w:val="none"/>
                <w:u w:val="single"/>
                <w:lang w:eastAsia="zh-CN"/>
              </w:rPr>
              <w:t>2025-2026年</w:t>
            </w:r>
            <w:r>
              <w:rPr>
                <w:rFonts w:hint="eastAsia" w:ascii="宋体" w:hAnsi="宋体"/>
                <w:color w:val="auto"/>
                <w:sz w:val="21"/>
                <w:szCs w:val="21"/>
                <w:highlight w:val="none"/>
                <w:lang w:val="en-US" w:eastAsia="zh-CN"/>
              </w:rPr>
              <w:t>“帮扶街面流浪乞讨人员”服务项目</w:t>
            </w:r>
          </w:p>
        </w:tc>
        <w:tc>
          <w:tcPr>
            <w:tcW w:w="507" w:type="pct"/>
            <w:noWrap/>
            <w:tcMar>
              <w:top w:w="15" w:type="dxa"/>
              <w:left w:w="15" w:type="dxa"/>
              <w:right w:w="15" w:type="dxa"/>
            </w:tcMar>
            <w:vAlign w:val="center"/>
          </w:tcPr>
          <w:p w14:paraId="7802EEF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1项</w:t>
            </w:r>
          </w:p>
        </w:tc>
        <w:tc>
          <w:tcPr>
            <w:tcW w:w="1390" w:type="pct"/>
            <w:noWrap/>
            <w:tcMar>
              <w:top w:w="15" w:type="dxa"/>
              <w:left w:w="15" w:type="dxa"/>
              <w:right w:w="15" w:type="dxa"/>
            </w:tcMar>
            <w:vAlign w:val="center"/>
          </w:tcPr>
          <w:p w14:paraId="6614065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olor w:val="auto"/>
                <w:sz w:val="21"/>
                <w:szCs w:val="21"/>
                <w:highlight w:val="none"/>
                <w:lang w:val="en-US" w:eastAsia="zh-CN"/>
              </w:rPr>
            </w:pPr>
            <w:r>
              <w:rPr>
                <w:rFonts w:hint="eastAsia" w:ascii="宋体" w:hAnsi="宋体"/>
                <w:b/>
                <w:bCs/>
                <w:color w:val="auto"/>
                <w:sz w:val="21"/>
                <w:szCs w:val="21"/>
                <w:highlight w:val="none"/>
                <w:u w:val="single"/>
                <w:lang w:eastAsia="zh-CN"/>
              </w:rPr>
              <w:t>589,700.00</w:t>
            </w:r>
            <w:r>
              <w:rPr>
                <w:rFonts w:hint="eastAsia" w:ascii="宋体" w:hAnsi="宋体" w:eastAsia="宋体"/>
                <w:b/>
                <w:bCs/>
                <w:color w:val="auto"/>
                <w:sz w:val="21"/>
                <w:szCs w:val="21"/>
                <w:highlight w:val="none"/>
                <w:u w:val="single"/>
              </w:rPr>
              <w:t>元</w:t>
            </w:r>
          </w:p>
        </w:tc>
      </w:tr>
    </w:tbl>
    <w:p w14:paraId="57100FB2">
      <w:pPr>
        <w:pStyle w:val="7"/>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highlight w:val="none"/>
        </w:rPr>
      </w:pPr>
    </w:p>
    <w:p w14:paraId="747ECB1A">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二、</w:t>
      </w: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资格要求</w:t>
      </w:r>
    </w:p>
    <w:p w14:paraId="05A5B365">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1、一般要求：</w:t>
      </w:r>
    </w:p>
    <w:p w14:paraId="4AA5B69E">
      <w:pPr>
        <w:pStyle w:val="7"/>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420" w:firstLineChars="200"/>
        <w:textAlignment w:val="auto"/>
        <w:rPr>
          <w:rFonts w:hint="eastAsia"/>
          <w:color w:val="auto"/>
          <w:sz w:val="21"/>
          <w:szCs w:val="21"/>
          <w:highlight w:val="none"/>
        </w:rPr>
      </w:pPr>
      <w:r>
        <w:rPr>
          <w:rFonts w:hint="eastAsia"/>
          <w:color w:val="auto"/>
          <w:sz w:val="21"/>
          <w:szCs w:val="21"/>
          <w:highlight w:val="none"/>
        </w:rPr>
        <w:t>（1）</w:t>
      </w:r>
      <w:r>
        <w:rPr>
          <w:rFonts w:hint="eastAsia"/>
          <w:color w:val="auto"/>
          <w:sz w:val="21"/>
          <w:szCs w:val="21"/>
          <w:highlight w:val="none"/>
          <w:lang w:eastAsia="zh-CN"/>
        </w:rPr>
        <w:t>供应商</w:t>
      </w:r>
      <w:r>
        <w:rPr>
          <w:rFonts w:hint="eastAsia"/>
          <w:color w:val="auto"/>
          <w:sz w:val="21"/>
          <w:szCs w:val="21"/>
          <w:highlight w:val="none"/>
        </w:rPr>
        <w:t>应具备《中华人民共和国政府采购法》第二十二条规定的条件，提供下列材料：</w:t>
      </w:r>
    </w:p>
    <w:p w14:paraId="531A86DA">
      <w:pPr>
        <w:pStyle w:val="7"/>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420" w:firstLineChars="200"/>
        <w:textAlignment w:val="auto"/>
        <w:rPr>
          <w:rFonts w:hint="eastAsia"/>
          <w:color w:val="auto"/>
          <w:sz w:val="21"/>
          <w:szCs w:val="21"/>
          <w:highlight w:val="none"/>
        </w:rPr>
      </w:pPr>
      <w:r>
        <w:rPr>
          <w:rFonts w:hint="eastAsia"/>
          <w:color w:val="auto"/>
          <w:sz w:val="21"/>
          <w:szCs w:val="21"/>
          <w:highlight w:val="none"/>
        </w:rPr>
        <w:t>1）具有独立承担民事责任的能力：在中华人民共和国境内注册的法人或其他组织或自然人，投标（响应）时提交有效的营业执照（或事业法人登记证或身份证等相关证明） 副本复印件。分支机构投标的，须提供总公司和分公司营业执照副本复印件，总公司出具给分支机构的授权书。</w:t>
      </w:r>
    </w:p>
    <w:p w14:paraId="5179BA49">
      <w:pPr>
        <w:pStyle w:val="7"/>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420" w:firstLineChars="200"/>
        <w:textAlignment w:val="auto"/>
        <w:rPr>
          <w:rFonts w:hint="eastAsia"/>
          <w:color w:val="auto"/>
          <w:sz w:val="21"/>
          <w:szCs w:val="21"/>
          <w:highlight w:val="none"/>
        </w:rPr>
      </w:pPr>
      <w:r>
        <w:rPr>
          <w:rFonts w:hint="eastAsia"/>
          <w:color w:val="auto"/>
          <w:sz w:val="21"/>
          <w:szCs w:val="21"/>
          <w:highlight w:val="none"/>
        </w:rPr>
        <w:t>2）有依法缴纳税收和社会保障资金的良好记录：投标（响应）文件中提供《</w:t>
      </w:r>
      <w:r>
        <w:rPr>
          <w:rFonts w:hint="eastAsia"/>
          <w:color w:val="auto"/>
          <w:sz w:val="21"/>
          <w:szCs w:val="21"/>
          <w:highlight w:val="none"/>
          <w:lang w:val="en-US" w:eastAsia="zh-CN"/>
        </w:rPr>
        <w:t>资格声明函</w:t>
      </w:r>
      <w:r>
        <w:rPr>
          <w:rFonts w:hint="eastAsia"/>
          <w:color w:val="auto"/>
          <w:sz w:val="21"/>
          <w:szCs w:val="21"/>
          <w:highlight w:val="none"/>
        </w:rPr>
        <w:t xml:space="preserve">》。 </w:t>
      </w:r>
    </w:p>
    <w:p w14:paraId="6B607C8E">
      <w:pPr>
        <w:pStyle w:val="7"/>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420" w:firstLineChars="200"/>
        <w:textAlignment w:val="auto"/>
        <w:rPr>
          <w:rFonts w:hint="eastAsia"/>
          <w:color w:val="auto"/>
          <w:sz w:val="21"/>
          <w:szCs w:val="21"/>
          <w:highlight w:val="none"/>
        </w:rPr>
      </w:pPr>
      <w:r>
        <w:rPr>
          <w:rFonts w:hint="eastAsia"/>
          <w:color w:val="auto"/>
          <w:sz w:val="21"/>
          <w:szCs w:val="21"/>
          <w:highlight w:val="none"/>
        </w:rPr>
        <w:t>3）具有良好的商业信誉和健全的财务会计制度：投标（响应）文件中提供《</w:t>
      </w:r>
      <w:r>
        <w:rPr>
          <w:rFonts w:hint="eastAsia"/>
          <w:color w:val="auto"/>
          <w:sz w:val="21"/>
          <w:szCs w:val="21"/>
          <w:highlight w:val="none"/>
          <w:lang w:val="en-US" w:eastAsia="zh-CN"/>
        </w:rPr>
        <w:t>资格声明函</w:t>
      </w:r>
      <w:r>
        <w:rPr>
          <w:rFonts w:hint="eastAsia"/>
          <w:color w:val="auto"/>
          <w:sz w:val="21"/>
          <w:szCs w:val="21"/>
          <w:highlight w:val="none"/>
        </w:rPr>
        <w:t xml:space="preserve">》。 </w:t>
      </w:r>
    </w:p>
    <w:p w14:paraId="37D25083">
      <w:pPr>
        <w:pStyle w:val="7"/>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420" w:firstLineChars="200"/>
        <w:textAlignment w:val="auto"/>
        <w:rPr>
          <w:rFonts w:hint="eastAsia"/>
          <w:color w:val="auto"/>
          <w:sz w:val="21"/>
          <w:szCs w:val="21"/>
          <w:highlight w:val="none"/>
        </w:rPr>
      </w:pPr>
      <w:r>
        <w:rPr>
          <w:rFonts w:hint="eastAsia"/>
          <w:color w:val="auto"/>
          <w:sz w:val="21"/>
          <w:szCs w:val="21"/>
          <w:highlight w:val="none"/>
        </w:rPr>
        <w:t>4）履行合同所必需的设备和专业技术能力：投标（响应）文件中提供《</w:t>
      </w:r>
      <w:r>
        <w:rPr>
          <w:rFonts w:hint="eastAsia"/>
          <w:color w:val="auto"/>
          <w:sz w:val="21"/>
          <w:szCs w:val="21"/>
          <w:highlight w:val="none"/>
          <w:lang w:val="en-US" w:eastAsia="zh-CN"/>
        </w:rPr>
        <w:t>资格声明函</w:t>
      </w:r>
      <w:r>
        <w:rPr>
          <w:rFonts w:hint="eastAsia"/>
          <w:color w:val="auto"/>
          <w:sz w:val="21"/>
          <w:szCs w:val="21"/>
          <w:highlight w:val="none"/>
        </w:rPr>
        <w:t xml:space="preserve">》。 </w:t>
      </w:r>
    </w:p>
    <w:p w14:paraId="132E35D8">
      <w:pPr>
        <w:pStyle w:val="7"/>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420" w:firstLineChars="200"/>
        <w:textAlignment w:val="auto"/>
        <w:rPr>
          <w:rFonts w:hint="eastAsia"/>
          <w:color w:val="auto"/>
          <w:sz w:val="21"/>
          <w:szCs w:val="21"/>
          <w:highlight w:val="none"/>
        </w:rPr>
      </w:pPr>
      <w:r>
        <w:rPr>
          <w:rFonts w:hint="eastAsia"/>
          <w:color w:val="auto"/>
          <w:sz w:val="21"/>
          <w:szCs w:val="21"/>
          <w:highlight w:val="none"/>
          <w:lang w:val="en-US" w:eastAsia="zh-CN"/>
        </w:rPr>
        <w:t>5</w:t>
      </w:r>
      <w:r>
        <w:rPr>
          <w:rFonts w:hint="eastAsia"/>
          <w:color w:val="auto"/>
          <w:sz w:val="21"/>
          <w:szCs w:val="21"/>
          <w:highlight w:val="none"/>
        </w:rPr>
        <w:t>）参加采购活动前三年内，在经营活动中没有重大违法记录</w:t>
      </w:r>
      <w:r>
        <w:rPr>
          <w:rFonts w:hint="eastAsia"/>
          <w:color w:val="auto"/>
          <w:sz w:val="21"/>
          <w:szCs w:val="21"/>
          <w:highlight w:val="none"/>
          <w:lang w:eastAsia="zh-CN"/>
        </w:rPr>
        <w:t>：</w:t>
      </w:r>
      <w:r>
        <w:rPr>
          <w:rFonts w:hint="eastAsia"/>
          <w:color w:val="auto"/>
          <w:sz w:val="21"/>
          <w:szCs w:val="21"/>
          <w:highlight w:val="none"/>
        </w:rPr>
        <w:t>投标（响应）文件中提供《</w:t>
      </w:r>
      <w:r>
        <w:rPr>
          <w:rFonts w:hint="eastAsia"/>
          <w:color w:val="auto"/>
          <w:sz w:val="21"/>
          <w:szCs w:val="21"/>
          <w:highlight w:val="none"/>
          <w:lang w:val="en-US" w:eastAsia="zh-CN"/>
        </w:rPr>
        <w:t>资格声明函</w:t>
      </w:r>
      <w:r>
        <w:rPr>
          <w:rFonts w:hint="eastAsia"/>
          <w:color w:val="auto"/>
          <w:sz w:val="21"/>
          <w:szCs w:val="21"/>
          <w:highlight w:val="none"/>
        </w:rPr>
        <w:t>》。 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14:paraId="469350B2">
      <w:pPr>
        <w:pStyle w:val="7"/>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420" w:firstLineChars="200"/>
        <w:textAlignment w:val="auto"/>
        <w:rPr>
          <w:color w:val="auto"/>
          <w:sz w:val="21"/>
          <w:szCs w:val="21"/>
          <w:highlight w:val="none"/>
        </w:rPr>
      </w:pPr>
      <w:r>
        <w:rPr>
          <w:rFonts w:hint="eastAsia"/>
          <w:color w:val="auto"/>
          <w:sz w:val="21"/>
          <w:szCs w:val="21"/>
          <w:highlight w:val="none"/>
        </w:rPr>
        <w:t>（</w:t>
      </w:r>
      <w:r>
        <w:rPr>
          <w:rFonts w:hint="eastAsia"/>
          <w:color w:val="auto"/>
          <w:sz w:val="21"/>
          <w:szCs w:val="21"/>
          <w:highlight w:val="none"/>
          <w:lang w:val="en-US" w:eastAsia="zh-CN"/>
        </w:rPr>
        <w:t>2</w:t>
      </w:r>
      <w:r>
        <w:rPr>
          <w:rFonts w:hint="eastAsia"/>
          <w:color w:val="auto"/>
          <w:sz w:val="21"/>
          <w:szCs w:val="21"/>
          <w:highlight w:val="none"/>
        </w:rPr>
        <w:t>）</w:t>
      </w:r>
      <w:r>
        <w:rPr>
          <w:rFonts w:hint="eastAsia"/>
          <w:color w:val="auto"/>
          <w:sz w:val="21"/>
          <w:szCs w:val="21"/>
          <w:highlight w:val="none"/>
          <w:lang w:eastAsia="zh-CN"/>
        </w:rPr>
        <w:t>供应商</w:t>
      </w:r>
      <w:r>
        <w:rPr>
          <w:rFonts w:hint="eastAsia"/>
          <w:color w:val="auto"/>
          <w:sz w:val="21"/>
          <w:szCs w:val="21"/>
          <w:highlight w:val="none"/>
        </w:rPr>
        <w:t>的单位负责人为同一人或者存在直接控股、管理关系的不同</w:t>
      </w:r>
      <w:r>
        <w:rPr>
          <w:rFonts w:hint="eastAsia"/>
          <w:color w:val="auto"/>
          <w:sz w:val="21"/>
          <w:szCs w:val="21"/>
          <w:highlight w:val="none"/>
          <w:lang w:eastAsia="zh-CN"/>
        </w:rPr>
        <w:t>供应商</w:t>
      </w:r>
      <w:r>
        <w:rPr>
          <w:rFonts w:hint="eastAsia"/>
          <w:color w:val="auto"/>
          <w:sz w:val="21"/>
          <w:szCs w:val="21"/>
          <w:highlight w:val="none"/>
        </w:rPr>
        <w:t>，不得参加同一合同项下的政府采购活动。为本项目提供整体设计、规范编制或者项目管理、监理、检测等服务的</w:t>
      </w:r>
      <w:r>
        <w:rPr>
          <w:rFonts w:hint="eastAsia"/>
          <w:color w:val="auto"/>
          <w:sz w:val="21"/>
          <w:szCs w:val="21"/>
          <w:highlight w:val="none"/>
          <w:lang w:eastAsia="zh-CN"/>
        </w:rPr>
        <w:t>供应商</w:t>
      </w:r>
      <w:r>
        <w:rPr>
          <w:rFonts w:hint="eastAsia"/>
          <w:color w:val="auto"/>
          <w:sz w:val="21"/>
          <w:szCs w:val="21"/>
          <w:highlight w:val="none"/>
        </w:rPr>
        <w:t xml:space="preserve">，不得参加本采购项目的采购活动； </w:t>
      </w:r>
    </w:p>
    <w:p w14:paraId="0897891A">
      <w:pPr>
        <w:pStyle w:val="7"/>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420" w:firstLineChars="200"/>
        <w:textAlignment w:val="auto"/>
        <w:rPr>
          <w:color w:val="auto"/>
          <w:sz w:val="21"/>
          <w:szCs w:val="21"/>
          <w:highlight w:val="none"/>
        </w:rPr>
      </w:pPr>
      <w:r>
        <w:rPr>
          <w:rFonts w:hint="eastAsia"/>
          <w:color w:val="auto"/>
          <w:sz w:val="21"/>
          <w:szCs w:val="21"/>
          <w:highlight w:val="none"/>
        </w:rPr>
        <w:t>（</w:t>
      </w:r>
      <w:r>
        <w:rPr>
          <w:rFonts w:hint="eastAsia"/>
          <w:color w:val="auto"/>
          <w:sz w:val="21"/>
          <w:szCs w:val="21"/>
          <w:highlight w:val="none"/>
          <w:lang w:val="en-US" w:eastAsia="zh-CN"/>
        </w:rPr>
        <w:t>3</w:t>
      </w:r>
      <w:r>
        <w:rPr>
          <w:rFonts w:hint="eastAsia"/>
          <w:color w:val="auto"/>
          <w:sz w:val="21"/>
          <w:szCs w:val="21"/>
          <w:highlight w:val="none"/>
        </w:rPr>
        <w:t>）未被列入“信用中国”网站(www.creditchina.gov.cn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w:t>
      </w:r>
      <w:r>
        <w:rPr>
          <w:rFonts w:hint="eastAsia"/>
          <w:color w:val="auto"/>
          <w:sz w:val="21"/>
          <w:szCs w:val="21"/>
          <w:highlight w:val="none"/>
          <w:lang w:eastAsia="zh-CN"/>
        </w:rPr>
        <w:t>供应商</w:t>
      </w:r>
      <w:r>
        <w:rPr>
          <w:rFonts w:hint="eastAsia"/>
          <w:color w:val="auto"/>
          <w:sz w:val="21"/>
          <w:szCs w:val="21"/>
          <w:highlight w:val="none"/>
        </w:rPr>
        <w:t>需提供相关证明资料。</w:t>
      </w:r>
    </w:p>
    <w:p w14:paraId="761C790A">
      <w:pPr>
        <w:pStyle w:val="7"/>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420" w:firstLineChars="200"/>
        <w:textAlignment w:val="auto"/>
        <w:rPr>
          <w:rFonts w:hint="eastAsia"/>
          <w:color w:val="auto"/>
          <w:sz w:val="21"/>
          <w:szCs w:val="21"/>
          <w:highlight w:val="none"/>
        </w:rPr>
      </w:pPr>
      <w:r>
        <w:rPr>
          <w:rFonts w:hint="eastAsia"/>
          <w:color w:val="auto"/>
          <w:sz w:val="21"/>
          <w:szCs w:val="21"/>
          <w:highlight w:val="none"/>
        </w:rPr>
        <w:t>（</w:t>
      </w:r>
      <w:r>
        <w:rPr>
          <w:rFonts w:hint="eastAsia"/>
          <w:color w:val="auto"/>
          <w:sz w:val="21"/>
          <w:szCs w:val="21"/>
          <w:highlight w:val="none"/>
          <w:lang w:val="en-US" w:eastAsia="zh-CN"/>
        </w:rPr>
        <w:t>4</w:t>
      </w:r>
      <w:r>
        <w:rPr>
          <w:rFonts w:hint="eastAsia"/>
          <w:color w:val="auto"/>
          <w:sz w:val="21"/>
          <w:szCs w:val="21"/>
          <w:highlight w:val="none"/>
        </w:rPr>
        <w:t>）本项目（是/否）接受联合体投标：否</w:t>
      </w:r>
    </w:p>
    <w:p w14:paraId="73B24940">
      <w:pPr>
        <w:rPr>
          <w:color w:val="auto"/>
          <w:highlight w:val="none"/>
        </w:rPr>
      </w:pPr>
    </w:p>
    <w:p w14:paraId="2BF6B205">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三、项目公示时间、</w:t>
      </w:r>
      <w:r>
        <w:rPr>
          <w:rFonts w:hint="eastAsia" w:ascii="宋体" w:hAnsi="宋体"/>
          <w:b/>
          <w:color w:val="auto"/>
          <w:sz w:val="21"/>
          <w:szCs w:val="21"/>
          <w:highlight w:val="none"/>
          <w:lang w:eastAsia="zh-CN"/>
        </w:rPr>
        <w:t>磋商文件</w:t>
      </w:r>
      <w:r>
        <w:rPr>
          <w:rFonts w:hint="eastAsia" w:ascii="宋体" w:hAnsi="宋体" w:eastAsia="宋体"/>
          <w:b/>
          <w:color w:val="auto"/>
          <w:sz w:val="21"/>
          <w:szCs w:val="21"/>
          <w:highlight w:val="none"/>
        </w:rPr>
        <w:t>领购时间、地点、方式</w:t>
      </w:r>
    </w:p>
    <w:p w14:paraId="279B51A7">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1、项目公示时间：</w:t>
      </w:r>
      <w:r>
        <w:rPr>
          <w:rFonts w:hint="eastAsia" w:ascii="宋体" w:hAnsi="宋体"/>
          <w:color w:val="auto"/>
          <w:sz w:val="21"/>
          <w:szCs w:val="21"/>
          <w:highlight w:val="none"/>
          <w:lang w:eastAsia="zh-CN"/>
        </w:rPr>
        <w:t>2025年</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3</w:t>
      </w:r>
      <w:r>
        <w:rPr>
          <w:rFonts w:hint="eastAsia" w:ascii="宋体" w:hAnsi="宋体" w:eastAsia="宋体"/>
          <w:color w:val="auto"/>
          <w:sz w:val="21"/>
          <w:szCs w:val="21"/>
          <w:highlight w:val="none"/>
        </w:rPr>
        <w:t>日起至</w:t>
      </w:r>
      <w:r>
        <w:rPr>
          <w:rFonts w:hint="eastAsia" w:ascii="宋体" w:hAnsi="宋体"/>
          <w:color w:val="auto"/>
          <w:sz w:val="21"/>
          <w:szCs w:val="21"/>
          <w:highlight w:val="none"/>
          <w:lang w:eastAsia="zh-CN"/>
        </w:rPr>
        <w:t>2025年</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10</w:t>
      </w:r>
      <w:r>
        <w:rPr>
          <w:rFonts w:hint="eastAsia" w:ascii="宋体" w:hAnsi="宋体" w:eastAsia="宋体"/>
          <w:color w:val="auto"/>
          <w:sz w:val="21"/>
          <w:szCs w:val="21"/>
          <w:highlight w:val="none"/>
        </w:rPr>
        <w:t>日。</w:t>
      </w:r>
    </w:p>
    <w:p w14:paraId="2E0B0F96">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w:t>
      </w:r>
      <w:r>
        <w:rPr>
          <w:rFonts w:ascii="宋体" w:hAnsi="宋体" w:eastAsia="宋体"/>
          <w:color w:val="auto"/>
          <w:sz w:val="21"/>
          <w:szCs w:val="21"/>
          <w:highlight w:val="none"/>
        </w:rPr>
        <w:t>时间：</w:t>
      </w:r>
      <w:r>
        <w:rPr>
          <w:rFonts w:hint="eastAsia" w:ascii="宋体" w:hAnsi="宋体"/>
          <w:color w:val="auto"/>
          <w:sz w:val="21"/>
          <w:szCs w:val="21"/>
          <w:highlight w:val="none"/>
          <w:lang w:eastAsia="zh-CN"/>
        </w:rPr>
        <w:t>2025年</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3</w:t>
      </w:r>
      <w:r>
        <w:rPr>
          <w:rFonts w:hint="eastAsia" w:ascii="宋体" w:hAnsi="宋体" w:eastAsia="宋体"/>
          <w:color w:val="auto"/>
          <w:sz w:val="21"/>
          <w:szCs w:val="21"/>
          <w:highlight w:val="none"/>
        </w:rPr>
        <w:t>日起至</w:t>
      </w:r>
      <w:r>
        <w:rPr>
          <w:rFonts w:hint="eastAsia" w:ascii="宋体" w:hAnsi="宋体"/>
          <w:color w:val="auto"/>
          <w:sz w:val="21"/>
          <w:szCs w:val="21"/>
          <w:highlight w:val="none"/>
          <w:lang w:eastAsia="zh-CN"/>
        </w:rPr>
        <w:t>2025年</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10</w:t>
      </w:r>
      <w:r>
        <w:rPr>
          <w:rFonts w:hint="eastAsia" w:ascii="宋体" w:hAnsi="宋体" w:eastAsia="宋体"/>
          <w:color w:val="auto"/>
          <w:sz w:val="21"/>
          <w:szCs w:val="21"/>
          <w:highlight w:val="none"/>
        </w:rPr>
        <w:t xml:space="preserve">日（节假日除外），上午9：00～12：00，下午14：30～17：30（北京时间）。 </w:t>
      </w:r>
    </w:p>
    <w:p w14:paraId="1DFAAF66">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注：（1）</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可自行打印</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lang w:val="en-US" w:eastAsia="zh-CN"/>
        </w:rPr>
        <w:t>最后1页</w:t>
      </w:r>
      <w:r>
        <w:rPr>
          <w:rFonts w:hint="eastAsia" w:ascii="宋体" w:hAnsi="宋体" w:eastAsia="宋体"/>
          <w:color w:val="auto"/>
          <w:sz w:val="21"/>
          <w:szCs w:val="21"/>
          <w:highlight w:val="none"/>
        </w:rPr>
        <w:t>中的“获取</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登记表”进行填写并带到现场进行领购，并现场领取发票。（</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领购价：人民币</w:t>
      </w:r>
      <w:r>
        <w:rPr>
          <w:rFonts w:hint="eastAsia" w:ascii="宋体" w:hAnsi="宋体"/>
          <w:color w:val="auto"/>
          <w:sz w:val="21"/>
          <w:szCs w:val="21"/>
          <w:highlight w:val="none"/>
          <w:lang w:val="en-US" w:eastAsia="zh-CN"/>
        </w:rPr>
        <w:t>300</w:t>
      </w:r>
      <w:r>
        <w:rPr>
          <w:rFonts w:hint="eastAsia" w:ascii="宋体" w:hAnsi="宋体" w:eastAsia="宋体"/>
          <w:color w:val="auto"/>
          <w:sz w:val="21"/>
          <w:szCs w:val="21"/>
          <w:highlight w:val="none"/>
        </w:rPr>
        <w:t>元整）</w:t>
      </w:r>
    </w:p>
    <w:p w14:paraId="126978F1">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（2）现场支持现金支付、微信支付、支付宝支付等支付方式，请将相应表格交予我司</w:t>
      </w:r>
      <w:r>
        <w:rPr>
          <w:rFonts w:hint="eastAsia" w:ascii="宋体" w:hAnsi="宋体"/>
          <w:color w:val="auto"/>
          <w:sz w:val="21"/>
          <w:szCs w:val="21"/>
          <w:highlight w:val="none"/>
          <w:lang w:val="en-US" w:eastAsia="zh-CN"/>
        </w:rPr>
        <w:t>梁先生</w:t>
      </w:r>
      <w:r>
        <w:rPr>
          <w:rFonts w:hint="eastAsia" w:ascii="宋体" w:hAnsi="宋体" w:eastAsia="宋体"/>
          <w:color w:val="auto"/>
          <w:sz w:val="21"/>
          <w:szCs w:val="21"/>
          <w:highlight w:val="none"/>
        </w:rPr>
        <w:t>。</w:t>
      </w:r>
    </w:p>
    <w:p w14:paraId="12F5C8A9">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电子版可在政通招标网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相关</w:t>
      </w:r>
      <w:r>
        <w:rPr>
          <w:rFonts w:hint="eastAsia" w:ascii="宋体" w:hAnsi="宋体"/>
          <w:color w:val="auto"/>
          <w:sz w:val="21"/>
          <w:szCs w:val="21"/>
          <w:highlight w:val="none"/>
          <w:lang w:val="en-US" w:eastAsia="zh-CN"/>
        </w:rPr>
        <w:t>采购</w:t>
      </w:r>
      <w:r>
        <w:rPr>
          <w:rFonts w:hint="eastAsia" w:ascii="宋体" w:hAnsi="宋体" w:eastAsia="宋体"/>
          <w:color w:val="auto"/>
          <w:sz w:val="21"/>
          <w:szCs w:val="21"/>
          <w:highlight w:val="none"/>
        </w:rPr>
        <w:t>信息公告下自行下载。</w:t>
      </w:r>
    </w:p>
    <w:p w14:paraId="6EE221F9">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14:paraId="62EEB0B7">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联系人：</w:t>
      </w:r>
      <w:r>
        <w:rPr>
          <w:rFonts w:hint="eastAsia" w:ascii="宋体" w:hAnsi="宋体"/>
          <w:color w:val="auto"/>
          <w:sz w:val="21"/>
          <w:szCs w:val="21"/>
          <w:highlight w:val="none"/>
          <w:lang w:eastAsia="zh-CN"/>
        </w:rPr>
        <w:t>梁先生</w:t>
      </w:r>
    </w:p>
    <w:p w14:paraId="52D543A8">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lang w:eastAsia="zh-CN"/>
        </w:rPr>
        <w:t>0769-22881803</w:t>
      </w:r>
    </w:p>
    <w:p w14:paraId="2FFA937B">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领购方式：现场领购。</w:t>
      </w:r>
    </w:p>
    <w:p w14:paraId="1E3BFC1F">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在领购</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时须提供如下证明材料：《营业执照》复印件（加盖公章）或《事业单位法人证书》复印件（加盖公章）或其他主体证书复印件（加盖公章），自然人参加</w:t>
      </w:r>
      <w:r>
        <w:rPr>
          <w:rFonts w:hint="eastAsia" w:ascii="宋体" w:hAnsi="宋体"/>
          <w:color w:val="auto"/>
          <w:sz w:val="21"/>
          <w:szCs w:val="21"/>
          <w:highlight w:val="none"/>
          <w:lang w:val="en-US" w:eastAsia="zh-CN"/>
        </w:rPr>
        <w:t>报价</w:t>
      </w:r>
      <w:r>
        <w:rPr>
          <w:rFonts w:hint="eastAsia" w:ascii="宋体" w:hAnsi="宋体" w:eastAsia="宋体"/>
          <w:color w:val="auto"/>
          <w:sz w:val="21"/>
          <w:szCs w:val="21"/>
          <w:highlight w:val="none"/>
        </w:rPr>
        <w:t>须提供自然人的身份证明材料</w:t>
      </w:r>
      <w:r>
        <w:rPr>
          <w:rFonts w:hint="eastAsia" w:ascii="宋体" w:hAnsi="宋体" w:eastAsia="宋体"/>
          <w:color w:val="auto"/>
          <w:sz w:val="21"/>
          <w:szCs w:val="21"/>
          <w:highlight w:val="none"/>
          <w:lang w:eastAsia="zh-CN"/>
        </w:rPr>
        <w:t>。</w:t>
      </w:r>
    </w:p>
    <w:p w14:paraId="359C0968">
      <w:pPr>
        <w:bidi w:val="0"/>
        <w:rPr>
          <w:rFonts w:hint="default"/>
          <w:color w:val="auto"/>
          <w:highlight w:val="none"/>
          <w:lang w:val="en-US" w:eastAsia="zh-CN"/>
        </w:rPr>
      </w:pPr>
    </w:p>
    <w:p w14:paraId="6FF55BA8">
      <w:pPr>
        <w:spacing w:after="0" w:line="360" w:lineRule="auto"/>
        <w:ind w:firstLine="413" w:firstLineChars="196"/>
        <w:rPr>
          <w:rFonts w:ascii="宋体" w:hAnsi="宋体" w:eastAsia="宋体"/>
          <w:b/>
          <w:color w:val="auto"/>
          <w:sz w:val="21"/>
          <w:szCs w:val="21"/>
          <w:highlight w:val="none"/>
        </w:rPr>
      </w:pPr>
      <w:r>
        <w:rPr>
          <w:rFonts w:hint="eastAsia" w:ascii="宋体" w:hAnsi="宋体"/>
          <w:b/>
          <w:color w:val="auto"/>
          <w:sz w:val="21"/>
          <w:szCs w:val="21"/>
          <w:highlight w:val="none"/>
          <w:lang w:val="en-US" w:eastAsia="zh-CN"/>
        </w:rPr>
        <w:t>四</w:t>
      </w:r>
      <w:r>
        <w:rPr>
          <w:rFonts w:hint="eastAsia" w:ascii="宋体" w:hAnsi="宋体" w:eastAsia="宋体"/>
          <w:b/>
          <w:color w:val="auto"/>
          <w:sz w:val="21"/>
          <w:szCs w:val="21"/>
          <w:highlight w:val="none"/>
        </w:rPr>
        <w:t>、</w:t>
      </w:r>
      <w:r>
        <w:rPr>
          <w:rFonts w:hint="eastAsia" w:ascii="宋体" w:hAnsi="宋体"/>
          <w:b/>
          <w:color w:val="auto"/>
          <w:sz w:val="21"/>
          <w:szCs w:val="21"/>
          <w:highlight w:val="none"/>
          <w:lang w:eastAsia="zh-CN"/>
        </w:rPr>
        <w:t>响应</w:t>
      </w:r>
      <w:r>
        <w:rPr>
          <w:rFonts w:hint="eastAsia" w:ascii="宋体" w:hAnsi="宋体" w:eastAsia="宋体"/>
          <w:b/>
          <w:color w:val="auto"/>
          <w:sz w:val="21"/>
          <w:szCs w:val="21"/>
          <w:highlight w:val="none"/>
        </w:rPr>
        <w:t>截止时间、开标时间及地点</w:t>
      </w:r>
    </w:p>
    <w:p w14:paraId="3E940086">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1、递交</w:t>
      </w:r>
      <w:r>
        <w:rPr>
          <w:rFonts w:hint="eastAsia" w:ascii="宋体" w:hAnsi="宋体"/>
          <w:bCs/>
          <w:color w:val="auto"/>
          <w:sz w:val="21"/>
          <w:szCs w:val="21"/>
          <w:highlight w:val="none"/>
          <w:lang w:eastAsia="zh-CN"/>
        </w:rPr>
        <w:t>响应文件</w:t>
      </w:r>
      <w:r>
        <w:rPr>
          <w:rFonts w:hint="eastAsia" w:ascii="宋体" w:hAnsi="宋体" w:eastAsia="宋体"/>
          <w:bCs/>
          <w:color w:val="auto"/>
          <w:sz w:val="21"/>
          <w:szCs w:val="21"/>
          <w:highlight w:val="none"/>
        </w:rPr>
        <w:t>时间：</w:t>
      </w:r>
      <w:r>
        <w:rPr>
          <w:rFonts w:hint="eastAsia" w:ascii="宋体" w:hAnsi="宋体"/>
          <w:color w:val="auto"/>
          <w:sz w:val="21"/>
          <w:szCs w:val="21"/>
          <w:highlight w:val="none"/>
          <w:lang w:eastAsia="zh-CN"/>
        </w:rPr>
        <w:t>2025年</w:t>
      </w:r>
      <w:r>
        <w:rPr>
          <w:rFonts w:hint="eastAsia" w:ascii="宋体" w:hAnsi="宋体"/>
          <w:bCs/>
          <w:color w:val="auto"/>
          <w:sz w:val="21"/>
          <w:szCs w:val="21"/>
          <w:highlight w:val="none"/>
          <w:lang w:val="en-US" w:eastAsia="zh-CN"/>
        </w:rPr>
        <w:t>6</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16</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下</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：00～</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：30。</w:t>
      </w:r>
    </w:p>
    <w:p w14:paraId="7400B601">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2、</w:t>
      </w:r>
      <w:r>
        <w:rPr>
          <w:rFonts w:hint="eastAsia" w:ascii="宋体" w:hAnsi="宋体"/>
          <w:bCs/>
          <w:color w:val="auto"/>
          <w:sz w:val="21"/>
          <w:szCs w:val="21"/>
          <w:highlight w:val="none"/>
          <w:lang w:val="en-US" w:eastAsia="zh-CN"/>
        </w:rPr>
        <w:t>响应</w:t>
      </w:r>
      <w:r>
        <w:rPr>
          <w:rFonts w:ascii="宋体" w:hAnsi="宋体" w:eastAsia="宋体"/>
          <w:bCs/>
          <w:color w:val="auto"/>
          <w:sz w:val="21"/>
          <w:szCs w:val="21"/>
          <w:highlight w:val="none"/>
        </w:rPr>
        <w:t>截止</w:t>
      </w:r>
      <w:r>
        <w:rPr>
          <w:rFonts w:hint="eastAsia" w:ascii="宋体" w:hAnsi="宋体" w:eastAsia="宋体"/>
          <w:bCs/>
          <w:color w:val="auto"/>
          <w:sz w:val="21"/>
          <w:szCs w:val="21"/>
          <w:highlight w:val="none"/>
        </w:rPr>
        <w:t>及开标时间：</w:t>
      </w:r>
      <w:r>
        <w:rPr>
          <w:rFonts w:hint="eastAsia" w:ascii="宋体" w:hAnsi="宋体"/>
          <w:color w:val="auto"/>
          <w:sz w:val="21"/>
          <w:szCs w:val="21"/>
          <w:highlight w:val="none"/>
          <w:lang w:eastAsia="zh-CN"/>
        </w:rPr>
        <w:t>2025年</w:t>
      </w:r>
      <w:r>
        <w:rPr>
          <w:rFonts w:hint="eastAsia" w:ascii="宋体" w:hAnsi="宋体"/>
          <w:bCs/>
          <w:color w:val="auto"/>
          <w:sz w:val="21"/>
          <w:szCs w:val="21"/>
          <w:highlight w:val="none"/>
          <w:lang w:val="en-US" w:eastAsia="zh-CN"/>
        </w:rPr>
        <w:t>6</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16</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下</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时30分。</w:t>
      </w:r>
    </w:p>
    <w:p w14:paraId="292C2AFC">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3、</w:t>
      </w:r>
      <w:r>
        <w:rPr>
          <w:rFonts w:hint="eastAsia" w:ascii="宋体" w:hAnsi="宋体" w:eastAsia="宋体"/>
          <w:color w:val="auto"/>
          <w:sz w:val="21"/>
          <w:szCs w:val="21"/>
          <w:highlight w:val="none"/>
        </w:rPr>
        <w:t>接收响应文件地点</w:t>
      </w:r>
      <w:r>
        <w:rPr>
          <w:rFonts w:ascii="宋体" w:hAnsi="宋体" w:eastAsia="宋体"/>
          <w:bCs/>
          <w:color w:val="auto"/>
          <w:sz w:val="21"/>
          <w:szCs w:val="21"/>
          <w:highlight w:val="none"/>
        </w:rPr>
        <w:t>：</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bCs/>
          <w:color w:val="auto"/>
          <w:sz w:val="21"/>
          <w:szCs w:val="21"/>
          <w:highlight w:val="none"/>
        </w:rPr>
        <w:t>。</w:t>
      </w:r>
    </w:p>
    <w:p w14:paraId="11A66A04">
      <w:pPr>
        <w:spacing w:after="0" w:line="360" w:lineRule="auto"/>
        <w:ind w:firstLine="411" w:firstLineChars="196"/>
        <w:rPr>
          <w:rFonts w:ascii="宋体" w:hAnsi="宋体" w:eastAsia="宋体"/>
          <w:bCs/>
          <w:color w:val="auto"/>
          <w:sz w:val="21"/>
          <w:szCs w:val="21"/>
          <w:highlight w:val="none"/>
        </w:rPr>
      </w:pPr>
    </w:p>
    <w:p w14:paraId="11DADA3B">
      <w:pPr>
        <w:spacing w:after="0" w:line="360" w:lineRule="auto"/>
        <w:ind w:firstLine="413" w:firstLineChars="196"/>
        <w:rPr>
          <w:rFonts w:ascii="宋体" w:hAnsi="宋体" w:eastAsia="宋体"/>
          <w:bCs/>
          <w:color w:val="auto"/>
          <w:sz w:val="21"/>
          <w:szCs w:val="21"/>
          <w:highlight w:val="none"/>
        </w:rPr>
      </w:pPr>
      <w:r>
        <w:rPr>
          <w:rFonts w:hint="eastAsia" w:ascii="宋体" w:hAnsi="宋体"/>
          <w:b/>
          <w:color w:val="auto"/>
          <w:sz w:val="21"/>
          <w:szCs w:val="21"/>
          <w:highlight w:val="none"/>
          <w:lang w:val="en-US" w:eastAsia="zh-CN"/>
        </w:rPr>
        <w:t>五</w:t>
      </w:r>
      <w:r>
        <w:rPr>
          <w:rFonts w:hint="eastAsia" w:ascii="宋体" w:hAnsi="宋体" w:eastAsia="宋体"/>
          <w:b/>
          <w:color w:val="auto"/>
          <w:sz w:val="21"/>
          <w:szCs w:val="21"/>
          <w:highlight w:val="none"/>
        </w:rPr>
        <w:t>、采购人及采购代理机构的名称、地址和联系方法：</w:t>
      </w:r>
    </w:p>
    <w:p w14:paraId="6D617AFE">
      <w:p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采购人联系人：陈小姐</w:t>
      </w:r>
    </w:p>
    <w:p w14:paraId="30BF2F16">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地址： 东莞市莞城街道汇峰路1号汇峰中心H座四楼</w:t>
      </w:r>
    </w:p>
    <w:p w14:paraId="4F47E5A5">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 xml:space="preserve">联系电话：0769-22832541 </w:t>
      </w:r>
    </w:p>
    <w:p w14:paraId="295353C8">
      <w:pPr>
        <w:spacing w:after="0" w:line="360" w:lineRule="auto"/>
        <w:ind w:firstLine="420" w:firstLineChars="200"/>
        <w:rPr>
          <w:rFonts w:ascii="宋体" w:hAnsi="宋体" w:eastAsia="宋体"/>
          <w:color w:val="auto"/>
          <w:sz w:val="21"/>
          <w:szCs w:val="21"/>
          <w:highlight w:val="none"/>
        </w:rPr>
      </w:pPr>
    </w:p>
    <w:p w14:paraId="64F37029">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采购代理机构名称：</w:t>
      </w:r>
      <w:r>
        <w:rPr>
          <w:rFonts w:hint="eastAsia" w:ascii="宋体" w:hAnsi="宋体" w:eastAsia="宋体"/>
          <w:color w:val="auto"/>
          <w:sz w:val="21"/>
          <w:szCs w:val="21"/>
          <w:highlight w:val="none"/>
          <w:lang w:eastAsia="zh-CN"/>
        </w:rPr>
        <w:t>广东政通招标有限公司</w:t>
      </w:r>
    </w:p>
    <w:p w14:paraId="2EB9A04A">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地址：</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14:paraId="30755C69">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采购代理机构联系人：</w:t>
      </w:r>
      <w:r>
        <w:rPr>
          <w:rFonts w:hint="eastAsia" w:ascii="宋体" w:hAnsi="宋体" w:eastAsia="宋体"/>
          <w:color w:val="auto"/>
          <w:sz w:val="21"/>
          <w:szCs w:val="21"/>
          <w:highlight w:val="none"/>
          <w:lang w:val="en-US" w:eastAsia="zh-CN"/>
        </w:rPr>
        <w:t>杨</w:t>
      </w:r>
      <w:r>
        <w:rPr>
          <w:rFonts w:hint="eastAsia" w:ascii="宋体" w:hAnsi="宋体"/>
          <w:color w:val="auto"/>
          <w:sz w:val="21"/>
          <w:szCs w:val="21"/>
          <w:highlight w:val="none"/>
          <w:lang w:val="en-US" w:eastAsia="zh-CN"/>
        </w:rPr>
        <w:t>先生</w:t>
      </w:r>
    </w:p>
    <w:p w14:paraId="4C9416B1">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联系电话：0769-22881803</w:t>
      </w:r>
    </w:p>
    <w:p w14:paraId="686472D7">
      <w:pPr>
        <w:spacing w:after="0" w:line="360" w:lineRule="auto"/>
        <w:ind w:firstLine="420" w:firstLineChars="200"/>
        <w:rPr>
          <w:rFonts w:hint="default" w:eastAsia="宋体"/>
          <w:color w:val="auto"/>
          <w:highlight w:val="none"/>
          <w:lang w:val="en-US" w:eastAsia="zh-CN"/>
        </w:rPr>
      </w:pPr>
      <w:r>
        <w:rPr>
          <w:rFonts w:hint="eastAsia" w:ascii="宋体" w:hAnsi="宋体" w:eastAsia="宋体"/>
          <w:color w:val="auto"/>
          <w:sz w:val="21"/>
          <w:szCs w:val="21"/>
          <w:highlight w:val="none"/>
        </w:rPr>
        <w:t>E－ mail：</w:t>
      </w:r>
      <w:r>
        <w:rPr>
          <w:rFonts w:hint="eastAsia" w:ascii="宋体" w:hAnsi="宋体" w:eastAsia="宋体"/>
          <w:color w:val="auto"/>
          <w:sz w:val="21"/>
          <w:szCs w:val="21"/>
          <w:highlight w:val="none"/>
          <w:lang w:val="en-US" w:eastAsia="zh-CN"/>
        </w:rPr>
        <w:t>471539976@qq.com</w:t>
      </w:r>
    </w:p>
    <w:p w14:paraId="459EE319">
      <w:pPr>
        <w:rPr>
          <w:color w:val="auto"/>
          <w:highlight w:val="none"/>
        </w:rPr>
      </w:pPr>
    </w:p>
    <w:p w14:paraId="17EA141C">
      <w:pPr>
        <w:ind w:right="752" w:rightChars="358"/>
        <w:jc w:val="both"/>
        <w:rPr>
          <w:color w:val="auto"/>
          <w:highlight w:val="none"/>
        </w:rPr>
      </w:pPr>
    </w:p>
    <w:p w14:paraId="45F83993">
      <w:pPr>
        <w:ind w:right="752" w:rightChars="358"/>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广东政通招标有限公司</w:t>
      </w:r>
    </w:p>
    <w:p w14:paraId="6FFDE36C">
      <w:pPr>
        <w:ind w:left="6205" w:leftChars="2755" w:hanging="420" w:hangingChars="200"/>
        <w:rPr>
          <w:rFonts w:hint="eastAsia" w:ascii="宋体" w:hAnsi="宋体" w:eastAsia="宋体" w:cs="宋体"/>
          <w:color w:val="auto"/>
          <w:sz w:val="21"/>
          <w:szCs w:val="21"/>
          <w:highlight w:val="none"/>
        </w:rPr>
      </w:pPr>
      <w:r>
        <w:rPr>
          <w:rFonts w:hint="eastAsia" w:ascii="宋体" w:hAnsi="宋体"/>
          <w:color w:val="auto"/>
          <w:sz w:val="21"/>
          <w:szCs w:val="21"/>
          <w:highlight w:val="none"/>
          <w:lang w:eastAsia="zh-CN"/>
        </w:rPr>
        <w:t>2025年</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月</w:t>
      </w:r>
    </w:p>
    <w:p w14:paraId="1BF14484">
      <w:pPr>
        <w:pStyle w:val="7"/>
        <w:rPr>
          <w:rFonts w:hint="eastAsia" w:ascii="宋体" w:hAnsi="宋体" w:eastAsia="宋体" w:cs="宋体"/>
          <w:color w:val="auto"/>
          <w:sz w:val="21"/>
          <w:szCs w:val="21"/>
          <w:highlight w:val="none"/>
        </w:rPr>
      </w:pPr>
    </w:p>
    <w:p w14:paraId="1B7A540E">
      <w:pPr>
        <w:pStyle w:val="21"/>
        <w:rPr>
          <w:rFonts w:hint="eastAsia" w:ascii="宋体" w:hAnsi="宋体" w:eastAsia="宋体" w:cs="宋体"/>
          <w:color w:val="auto"/>
          <w:sz w:val="21"/>
          <w:szCs w:val="21"/>
          <w:highlight w:val="none"/>
        </w:rPr>
      </w:pPr>
    </w:p>
    <w:p w14:paraId="03B946BE">
      <w:pPr>
        <w:pStyle w:val="21"/>
        <w:rPr>
          <w:rFonts w:hint="eastAsia" w:ascii="宋体" w:hAnsi="宋体" w:eastAsia="宋体" w:cs="宋体"/>
          <w:color w:val="auto"/>
          <w:sz w:val="21"/>
          <w:szCs w:val="21"/>
          <w:highlight w:val="none"/>
        </w:rPr>
      </w:pPr>
    </w:p>
    <w:p w14:paraId="1384638F">
      <w:pPr>
        <w:pStyle w:val="21"/>
        <w:rPr>
          <w:rFonts w:hint="eastAsia" w:ascii="宋体" w:hAnsi="宋体" w:eastAsia="宋体" w:cs="宋体"/>
          <w:color w:val="auto"/>
          <w:sz w:val="21"/>
          <w:szCs w:val="21"/>
          <w:highlight w:val="none"/>
        </w:rPr>
      </w:pPr>
    </w:p>
    <w:p w14:paraId="1C6BB204">
      <w:pPr>
        <w:pStyle w:val="21"/>
        <w:rPr>
          <w:rFonts w:hint="eastAsia" w:ascii="宋体" w:hAnsi="宋体" w:eastAsia="宋体" w:cs="宋体"/>
          <w:color w:val="auto"/>
          <w:sz w:val="21"/>
          <w:szCs w:val="21"/>
          <w:highlight w:val="none"/>
        </w:rPr>
      </w:pPr>
    </w:p>
    <w:p w14:paraId="47B509EB">
      <w:pPr>
        <w:pStyle w:val="21"/>
        <w:rPr>
          <w:rFonts w:hint="eastAsia" w:ascii="宋体" w:hAnsi="宋体" w:eastAsia="宋体" w:cs="宋体"/>
          <w:color w:val="auto"/>
          <w:sz w:val="21"/>
          <w:szCs w:val="21"/>
          <w:highlight w:val="none"/>
        </w:rPr>
      </w:pPr>
      <w:bookmarkStart w:id="401" w:name="_GoBack"/>
      <w:bookmarkEnd w:id="401"/>
    </w:p>
    <w:p w14:paraId="3B9608E6">
      <w:pPr>
        <w:pStyle w:val="21"/>
        <w:rPr>
          <w:rFonts w:hint="eastAsia" w:ascii="宋体" w:hAnsi="宋体" w:eastAsia="宋体" w:cs="宋体"/>
          <w:color w:val="auto"/>
          <w:sz w:val="21"/>
          <w:szCs w:val="21"/>
          <w:highlight w:val="none"/>
        </w:rPr>
      </w:pPr>
    </w:p>
    <w:p w14:paraId="340D36B0">
      <w:pPr>
        <w:pStyle w:val="21"/>
        <w:rPr>
          <w:rFonts w:hint="eastAsia" w:ascii="宋体" w:hAnsi="宋体" w:eastAsia="宋体" w:cs="宋体"/>
          <w:color w:val="auto"/>
          <w:sz w:val="21"/>
          <w:szCs w:val="21"/>
          <w:highlight w:val="none"/>
        </w:rPr>
      </w:pPr>
    </w:p>
    <w:p w14:paraId="7071110D">
      <w:pPr>
        <w:pStyle w:val="21"/>
        <w:rPr>
          <w:rFonts w:hint="eastAsia" w:ascii="宋体" w:hAnsi="宋体" w:eastAsia="宋体" w:cs="宋体"/>
          <w:color w:val="auto"/>
          <w:sz w:val="21"/>
          <w:szCs w:val="21"/>
          <w:highlight w:val="none"/>
        </w:rPr>
      </w:pPr>
    </w:p>
    <w:p w14:paraId="524B0D27">
      <w:pPr>
        <w:pStyle w:val="21"/>
        <w:rPr>
          <w:rFonts w:hint="eastAsia" w:ascii="宋体" w:hAnsi="宋体" w:eastAsia="宋体" w:cs="宋体"/>
          <w:color w:val="auto"/>
          <w:sz w:val="21"/>
          <w:szCs w:val="21"/>
          <w:highlight w:val="none"/>
        </w:rPr>
      </w:pPr>
    </w:p>
    <w:p w14:paraId="4C791702">
      <w:pPr>
        <w:pStyle w:val="21"/>
        <w:rPr>
          <w:rFonts w:hint="eastAsia" w:ascii="宋体" w:hAnsi="宋体" w:eastAsia="宋体" w:cs="宋体"/>
          <w:color w:val="auto"/>
          <w:sz w:val="21"/>
          <w:szCs w:val="21"/>
          <w:highlight w:val="none"/>
        </w:rPr>
      </w:pPr>
    </w:p>
    <w:p w14:paraId="3A91CFBE">
      <w:pPr>
        <w:pStyle w:val="21"/>
        <w:rPr>
          <w:rFonts w:hint="eastAsia" w:ascii="宋体" w:hAnsi="宋体" w:eastAsia="宋体" w:cs="宋体"/>
          <w:color w:val="auto"/>
          <w:sz w:val="21"/>
          <w:szCs w:val="21"/>
          <w:highlight w:val="none"/>
        </w:rPr>
      </w:pPr>
    </w:p>
    <w:p w14:paraId="38E83A6D">
      <w:pPr>
        <w:pStyle w:val="21"/>
        <w:rPr>
          <w:rFonts w:hint="eastAsia" w:ascii="宋体" w:hAnsi="宋体" w:eastAsia="宋体" w:cs="宋体"/>
          <w:color w:val="auto"/>
          <w:sz w:val="21"/>
          <w:szCs w:val="21"/>
          <w:highlight w:val="none"/>
        </w:rPr>
      </w:pPr>
    </w:p>
    <w:p w14:paraId="0BF85371">
      <w:pPr>
        <w:pStyle w:val="21"/>
        <w:rPr>
          <w:rFonts w:hint="eastAsia" w:ascii="宋体" w:hAnsi="宋体" w:eastAsia="宋体" w:cs="宋体"/>
          <w:color w:val="auto"/>
          <w:sz w:val="21"/>
          <w:szCs w:val="21"/>
          <w:highlight w:val="none"/>
        </w:rPr>
      </w:pPr>
    </w:p>
    <w:p w14:paraId="1ABE7FA0">
      <w:pPr>
        <w:pStyle w:val="21"/>
        <w:rPr>
          <w:rFonts w:hint="eastAsia" w:ascii="宋体" w:hAnsi="宋体" w:eastAsia="宋体" w:cs="宋体"/>
          <w:color w:val="auto"/>
          <w:sz w:val="21"/>
          <w:szCs w:val="21"/>
          <w:highlight w:val="none"/>
        </w:rPr>
      </w:pPr>
    </w:p>
    <w:p w14:paraId="61336506">
      <w:pPr>
        <w:rPr>
          <w:rFonts w:hint="eastAsia"/>
          <w:color w:val="auto"/>
          <w:sz w:val="28"/>
          <w:szCs w:val="28"/>
          <w:highlight w:val="none"/>
          <w:lang w:val="en-US" w:eastAsia="zh-CN"/>
        </w:rPr>
      </w:pPr>
      <w:bookmarkStart w:id="5" w:name="_Toc28550"/>
      <w:bookmarkStart w:id="6" w:name="_Toc31060"/>
      <w:r>
        <w:rPr>
          <w:rFonts w:hint="eastAsia"/>
          <w:color w:val="auto"/>
          <w:sz w:val="28"/>
          <w:szCs w:val="28"/>
          <w:highlight w:val="none"/>
          <w:lang w:val="en-US" w:eastAsia="zh-CN"/>
        </w:rPr>
        <w:br w:type="page"/>
      </w:r>
    </w:p>
    <w:p w14:paraId="4CAB05E1">
      <w:pPr>
        <w:pStyle w:val="3"/>
        <w:spacing w:before="0" w:after="0" w:line="240" w:lineRule="auto"/>
        <w:rPr>
          <w:rFonts w:hint="eastAsia"/>
          <w:color w:val="auto"/>
          <w:sz w:val="28"/>
          <w:szCs w:val="28"/>
          <w:highlight w:val="none"/>
          <w:lang w:val="en-US" w:eastAsia="zh-CN"/>
        </w:rPr>
      </w:pPr>
      <w:r>
        <w:rPr>
          <w:rFonts w:hint="eastAsia"/>
          <w:color w:val="auto"/>
          <w:sz w:val="28"/>
          <w:szCs w:val="28"/>
          <w:highlight w:val="none"/>
          <w:lang w:val="en-US" w:eastAsia="zh-CN"/>
        </w:rPr>
        <w:t>第二部分</w:t>
      </w:r>
      <w:bookmarkStart w:id="7" w:name="_Toc20683"/>
      <w:r>
        <w:rPr>
          <w:rFonts w:hint="eastAsia"/>
          <w:color w:val="auto"/>
          <w:sz w:val="28"/>
          <w:szCs w:val="28"/>
          <w:highlight w:val="none"/>
          <w:lang w:val="en-US" w:eastAsia="zh-CN"/>
        </w:rPr>
        <w:t xml:space="preserve"> 磋商资料表</w:t>
      </w:r>
      <w:bookmarkEnd w:id="5"/>
      <w:bookmarkEnd w:id="6"/>
      <w:bookmarkEnd w:id="7"/>
    </w:p>
    <w:tbl>
      <w:tblPr>
        <w:tblStyle w:val="22"/>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14:paraId="71CD3C7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14:paraId="3CD3BB50">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7532" w:type="dxa"/>
            <w:gridSpan w:val="4"/>
            <w:vAlign w:val="center"/>
          </w:tcPr>
          <w:p w14:paraId="00CADC81">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内容</w:t>
            </w:r>
          </w:p>
        </w:tc>
      </w:tr>
      <w:tr w14:paraId="7AAA7A6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14:paraId="228C264B">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一、说明</w:t>
            </w:r>
          </w:p>
        </w:tc>
      </w:tr>
      <w:tr w14:paraId="2DB7F35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77E1776E">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w:t>
            </w:r>
          </w:p>
        </w:tc>
        <w:tc>
          <w:tcPr>
            <w:tcW w:w="7532" w:type="dxa"/>
            <w:gridSpan w:val="4"/>
            <w:vAlign w:val="center"/>
          </w:tcPr>
          <w:p w14:paraId="1B3366FC">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项目类型</w:t>
            </w:r>
          </w:p>
        </w:tc>
      </w:tr>
      <w:tr w14:paraId="72692BD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0AB973B7">
            <w:pPr>
              <w:spacing w:after="0"/>
              <w:jc w:val="center"/>
              <w:rPr>
                <w:rFonts w:ascii="宋体" w:hAnsi="宋体" w:eastAsia="宋体"/>
                <w:color w:val="auto"/>
                <w:sz w:val="21"/>
                <w:szCs w:val="21"/>
                <w:highlight w:val="none"/>
              </w:rPr>
            </w:pPr>
          </w:p>
        </w:tc>
        <w:tc>
          <w:tcPr>
            <w:tcW w:w="7532" w:type="dxa"/>
            <w:gridSpan w:val="4"/>
            <w:vAlign w:val="center"/>
          </w:tcPr>
          <w:p w14:paraId="665F3F68">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货物</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服务</w:t>
            </w:r>
            <w:r>
              <w:rPr>
                <w:rFonts w:hint="eastAsia" w:ascii="宋体" w:hAnsi="宋体" w:eastAsia="宋体"/>
                <w:bCs/>
                <w:color w:val="auto"/>
                <w:sz w:val="21"/>
                <w:szCs w:val="21"/>
                <w:highlight w:val="none"/>
                <w:lang w:val="en-US" w:eastAsia="zh-CN"/>
              </w:rPr>
              <w:sym w:font="Wingdings" w:char="00FE"/>
            </w:r>
            <w:r>
              <w:rPr>
                <w:rFonts w:hint="eastAsia" w:ascii="宋体" w:hAnsi="宋体" w:eastAsia="宋体"/>
                <w:bCs/>
                <w:color w:val="auto"/>
                <w:sz w:val="21"/>
                <w:szCs w:val="21"/>
                <w:highlight w:val="none"/>
                <w:lang w:val="en-US" w:eastAsia="zh-CN"/>
              </w:rPr>
              <w:t xml:space="preserve">  工程</w:t>
            </w:r>
            <w:r>
              <w:rPr>
                <w:rFonts w:hint="eastAsia" w:ascii="宋体" w:hAnsi="宋体" w:eastAsia="宋体"/>
                <w:bCs/>
                <w:color w:val="auto"/>
                <w:sz w:val="21"/>
                <w:szCs w:val="21"/>
                <w:highlight w:val="none"/>
                <w:lang w:val="en-US" w:eastAsia="zh-CN"/>
              </w:rPr>
              <w:sym w:font="Wingdings" w:char="00A8"/>
            </w:r>
          </w:p>
        </w:tc>
      </w:tr>
      <w:tr w14:paraId="256E63C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2B077F0B">
            <w:pPr>
              <w:spacing w:after="0"/>
              <w:jc w:val="center"/>
              <w:rPr>
                <w:rFonts w:ascii="宋体" w:hAnsi="宋体" w:eastAsia="宋体"/>
                <w:color w:val="auto"/>
                <w:sz w:val="21"/>
                <w:szCs w:val="21"/>
                <w:highlight w:val="none"/>
              </w:rPr>
            </w:pPr>
          </w:p>
        </w:tc>
        <w:tc>
          <w:tcPr>
            <w:tcW w:w="7532" w:type="dxa"/>
            <w:gridSpan w:val="4"/>
            <w:vAlign w:val="center"/>
          </w:tcPr>
          <w:p w14:paraId="10E3E755">
            <w:pPr>
              <w:spacing w:after="0"/>
              <w:rPr>
                <w:rFonts w:hint="default" w:ascii="宋体" w:hAnsi="宋体" w:eastAsia="宋体"/>
                <w:bCs/>
                <w:color w:val="auto"/>
                <w:sz w:val="21"/>
                <w:szCs w:val="21"/>
                <w:highlight w:val="none"/>
                <w:lang w:val="en-US"/>
              </w:rPr>
            </w:pPr>
            <w:r>
              <w:rPr>
                <w:rFonts w:hint="eastAsia" w:ascii="宋体" w:hAnsi="宋体" w:eastAsia="宋体"/>
                <w:bCs/>
                <w:color w:val="auto"/>
                <w:sz w:val="21"/>
                <w:szCs w:val="21"/>
                <w:highlight w:val="none"/>
                <w:lang w:val="en-US" w:eastAsia="zh-CN"/>
              </w:rPr>
              <w:t>所属行业：</w:t>
            </w:r>
            <w:r>
              <w:rPr>
                <w:rFonts w:hint="eastAsia" w:ascii="宋体" w:hAnsi="宋体"/>
                <w:bCs/>
                <w:color w:val="auto"/>
                <w:sz w:val="21"/>
                <w:szCs w:val="21"/>
                <w:highlight w:val="none"/>
                <w:lang w:val="en-US" w:eastAsia="zh-CN"/>
              </w:rPr>
              <w:t>其他未列明行业</w:t>
            </w:r>
          </w:p>
        </w:tc>
      </w:tr>
      <w:tr w14:paraId="2B53833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209C4F7A">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2</w:t>
            </w:r>
          </w:p>
        </w:tc>
        <w:tc>
          <w:tcPr>
            <w:tcW w:w="7532" w:type="dxa"/>
            <w:gridSpan w:val="4"/>
            <w:vAlign w:val="center"/>
          </w:tcPr>
          <w:p w14:paraId="1E310428">
            <w:pPr>
              <w:spacing w:after="0"/>
              <w:rPr>
                <w:rFonts w:ascii="宋体" w:hAnsi="宋体" w:eastAsia="宋体"/>
                <w:b/>
                <w:bCs/>
                <w:color w:val="auto"/>
                <w:sz w:val="21"/>
                <w:szCs w:val="21"/>
                <w:highlight w:val="none"/>
              </w:rPr>
            </w:pPr>
            <w:r>
              <w:rPr>
                <w:rFonts w:hint="eastAsia" w:ascii="宋体" w:hAnsi="宋体" w:eastAsia="宋体"/>
                <w:b/>
                <w:color w:val="auto"/>
                <w:sz w:val="21"/>
                <w:szCs w:val="21"/>
                <w:highlight w:val="none"/>
                <w:lang w:eastAsia="zh-CN"/>
              </w:rPr>
              <w:t>是否为专门面向中小企业采购的采购项目</w:t>
            </w:r>
          </w:p>
        </w:tc>
      </w:tr>
      <w:tr w14:paraId="044D008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790E62EB">
            <w:pPr>
              <w:spacing w:after="0"/>
              <w:jc w:val="center"/>
              <w:rPr>
                <w:rFonts w:ascii="宋体" w:hAnsi="宋体" w:eastAsia="宋体"/>
                <w:color w:val="auto"/>
                <w:sz w:val="21"/>
                <w:szCs w:val="21"/>
                <w:highlight w:val="none"/>
              </w:rPr>
            </w:pPr>
          </w:p>
        </w:tc>
        <w:tc>
          <w:tcPr>
            <w:tcW w:w="7532" w:type="dxa"/>
            <w:gridSpan w:val="4"/>
            <w:vAlign w:val="center"/>
          </w:tcPr>
          <w:p w14:paraId="7FFD684E">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是</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否</w:t>
            </w:r>
            <w:r>
              <w:rPr>
                <w:rFonts w:hint="eastAsia" w:ascii="宋体" w:hAnsi="宋体" w:eastAsia="宋体"/>
                <w:bCs/>
                <w:color w:val="auto"/>
                <w:sz w:val="21"/>
                <w:szCs w:val="21"/>
                <w:highlight w:val="none"/>
                <w:lang w:val="en-US" w:eastAsia="zh-CN"/>
              </w:rPr>
              <w:sym w:font="Wingdings" w:char="00FE"/>
            </w:r>
          </w:p>
        </w:tc>
      </w:tr>
      <w:tr w14:paraId="55AD329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7F73AA77">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3</w:t>
            </w:r>
          </w:p>
        </w:tc>
        <w:tc>
          <w:tcPr>
            <w:tcW w:w="7532" w:type="dxa"/>
            <w:gridSpan w:val="4"/>
            <w:vAlign w:val="center"/>
          </w:tcPr>
          <w:p w14:paraId="586F3FFC">
            <w:pPr>
              <w:spacing w:after="0"/>
              <w:rPr>
                <w:rFonts w:hint="eastAsia" w:ascii="宋体" w:hAnsi="宋体" w:eastAsia="宋体"/>
                <w:b/>
                <w:color w:val="auto"/>
                <w:sz w:val="21"/>
                <w:szCs w:val="21"/>
                <w:highlight w:val="none"/>
                <w:lang w:eastAsia="zh-CN"/>
              </w:rPr>
            </w:pPr>
            <w:r>
              <w:rPr>
                <w:rFonts w:hint="eastAsia" w:ascii="宋体" w:hAnsi="宋体" w:eastAsia="宋体"/>
                <w:b/>
                <w:bCs/>
                <w:color w:val="auto"/>
                <w:sz w:val="21"/>
                <w:szCs w:val="21"/>
                <w:highlight w:val="none"/>
              </w:rPr>
              <w:t>资金来源</w:t>
            </w:r>
          </w:p>
        </w:tc>
      </w:tr>
      <w:tr w14:paraId="18549A8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06B11D9F">
            <w:pPr>
              <w:spacing w:after="0"/>
              <w:jc w:val="center"/>
              <w:rPr>
                <w:rFonts w:hint="eastAsia" w:ascii="宋体" w:hAnsi="宋体" w:eastAsia="宋体"/>
                <w:color w:val="auto"/>
                <w:sz w:val="21"/>
                <w:szCs w:val="21"/>
                <w:highlight w:val="none"/>
              </w:rPr>
            </w:pPr>
          </w:p>
        </w:tc>
        <w:tc>
          <w:tcPr>
            <w:tcW w:w="7532" w:type="dxa"/>
            <w:gridSpan w:val="4"/>
            <w:vAlign w:val="center"/>
          </w:tcPr>
          <w:p w14:paraId="4D68E038">
            <w:pPr>
              <w:spacing w:after="0"/>
              <w:rPr>
                <w:rFonts w:hint="default" w:ascii="宋体" w:hAnsi="宋体" w:eastAsia="宋体"/>
                <w:b/>
                <w:color w:val="auto"/>
                <w:sz w:val="21"/>
                <w:szCs w:val="21"/>
                <w:highlight w:val="none"/>
                <w:lang w:val="en-US" w:eastAsia="zh-CN"/>
              </w:rPr>
            </w:pPr>
            <w:r>
              <w:rPr>
                <w:rFonts w:hint="eastAsia" w:ascii="宋体" w:hAnsi="宋体" w:eastAsia="宋体"/>
                <w:color w:val="auto"/>
                <w:sz w:val="21"/>
                <w:szCs w:val="21"/>
                <w:highlight w:val="none"/>
              </w:rPr>
              <w:t>财政性资金。</w:t>
            </w:r>
          </w:p>
        </w:tc>
      </w:tr>
      <w:tr w14:paraId="4960730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75CDEEE6">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4</w:t>
            </w:r>
          </w:p>
        </w:tc>
        <w:tc>
          <w:tcPr>
            <w:tcW w:w="7532" w:type="dxa"/>
            <w:gridSpan w:val="4"/>
            <w:vAlign w:val="center"/>
          </w:tcPr>
          <w:p w14:paraId="398C6CDC">
            <w:pPr>
              <w:spacing w:after="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rPr>
              <w:t>项目最高限价（单位：元）</w:t>
            </w:r>
          </w:p>
        </w:tc>
      </w:tr>
      <w:tr w14:paraId="71D51E9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614EDF00">
            <w:pPr>
              <w:spacing w:after="0"/>
              <w:jc w:val="center"/>
              <w:rPr>
                <w:rFonts w:hint="eastAsia" w:ascii="宋体" w:hAnsi="宋体" w:eastAsia="宋体"/>
                <w:color w:val="auto"/>
                <w:sz w:val="21"/>
                <w:szCs w:val="21"/>
                <w:highlight w:val="none"/>
              </w:rPr>
            </w:pPr>
          </w:p>
        </w:tc>
        <w:tc>
          <w:tcPr>
            <w:tcW w:w="7532" w:type="dxa"/>
            <w:gridSpan w:val="4"/>
            <w:vAlign w:val="center"/>
          </w:tcPr>
          <w:p w14:paraId="3AE734F9">
            <w:pPr>
              <w:spacing w:after="0"/>
              <w:rPr>
                <w:rFonts w:hint="eastAsia" w:ascii="宋体" w:hAnsi="宋体" w:eastAsia="宋体"/>
                <w:color w:val="auto"/>
                <w:sz w:val="21"/>
                <w:szCs w:val="21"/>
                <w:highlight w:val="none"/>
                <w:lang w:val="en-US" w:eastAsia="zh-CN"/>
              </w:rPr>
            </w:pPr>
            <w:r>
              <w:rPr>
                <w:rFonts w:hint="eastAsia" w:ascii="宋体" w:hAnsi="宋体" w:eastAsia="宋体"/>
                <w:bCs/>
                <w:color w:val="auto"/>
                <w:sz w:val="21"/>
                <w:szCs w:val="21"/>
                <w:highlight w:val="none"/>
              </w:rPr>
              <w:t>与项目预算一致。</w:t>
            </w:r>
          </w:p>
        </w:tc>
      </w:tr>
      <w:tr w14:paraId="773E1E1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70212519">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5</w:t>
            </w:r>
          </w:p>
        </w:tc>
        <w:tc>
          <w:tcPr>
            <w:tcW w:w="7532" w:type="dxa"/>
            <w:gridSpan w:val="4"/>
            <w:vAlign w:val="center"/>
          </w:tcPr>
          <w:p w14:paraId="6FFE40F6">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踏勘现场</w:t>
            </w:r>
          </w:p>
        </w:tc>
      </w:tr>
      <w:tr w14:paraId="7023257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685DCC5">
            <w:pPr>
              <w:spacing w:after="0"/>
              <w:jc w:val="center"/>
              <w:rPr>
                <w:rFonts w:ascii="宋体" w:hAnsi="宋体" w:eastAsia="宋体"/>
                <w:color w:val="auto"/>
                <w:sz w:val="21"/>
                <w:szCs w:val="21"/>
                <w:highlight w:val="none"/>
              </w:rPr>
            </w:pPr>
          </w:p>
        </w:tc>
        <w:tc>
          <w:tcPr>
            <w:tcW w:w="7532" w:type="dxa"/>
            <w:gridSpan w:val="4"/>
            <w:vAlign w:val="center"/>
          </w:tcPr>
          <w:p w14:paraId="44709CB7">
            <w:pPr>
              <w:spacing w:after="0"/>
              <w:rPr>
                <w:rFonts w:ascii="宋体" w:hAnsi="宋体" w:eastAsia="宋体"/>
                <w:b/>
                <w:color w:val="auto"/>
                <w:sz w:val="21"/>
                <w:szCs w:val="21"/>
                <w:highlight w:val="none"/>
              </w:rPr>
            </w:pPr>
            <w:r>
              <w:rPr>
                <w:rFonts w:hint="eastAsia" w:ascii="宋体" w:hAnsi="宋体" w:eastAsia="宋体"/>
                <w:bCs/>
                <w:color w:val="auto"/>
                <w:sz w:val="21"/>
                <w:szCs w:val="21"/>
                <w:highlight w:val="none"/>
              </w:rPr>
              <w:t>本项目不组织踏勘现场。</w:t>
            </w:r>
          </w:p>
        </w:tc>
      </w:tr>
      <w:tr w14:paraId="0941F76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14:paraId="08D1F2D8">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6</w:t>
            </w:r>
          </w:p>
        </w:tc>
        <w:tc>
          <w:tcPr>
            <w:tcW w:w="7532" w:type="dxa"/>
            <w:gridSpan w:val="4"/>
            <w:vAlign w:val="center"/>
          </w:tcPr>
          <w:p w14:paraId="6CBA72B1">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val="en-US" w:eastAsia="zh-CN"/>
              </w:rPr>
              <w:t>采购</w:t>
            </w:r>
            <w:r>
              <w:rPr>
                <w:rFonts w:hint="eastAsia" w:ascii="宋体" w:hAnsi="宋体" w:eastAsia="宋体"/>
                <w:b/>
                <w:color w:val="auto"/>
                <w:sz w:val="21"/>
                <w:szCs w:val="21"/>
                <w:highlight w:val="none"/>
              </w:rPr>
              <w:t>信息发布网站</w:t>
            </w:r>
          </w:p>
        </w:tc>
      </w:tr>
      <w:tr w14:paraId="3EC6318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018AA22F">
            <w:pPr>
              <w:spacing w:after="0"/>
              <w:jc w:val="center"/>
              <w:rPr>
                <w:rFonts w:ascii="宋体" w:hAnsi="宋体" w:eastAsia="宋体"/>
                <w:color w:val="auto"/>
                <w:sz w:val="21"/>
                <w:szCs w:val="21"/>
                <w:highlight w:val="none"/>
              </w:rPr>
            </w:pPr>
          </w:p>
        </w:tc>
        <w:tc>
          <w:tcPr>
            <w:tcW w:w="3841" w:type="dxa"/>
            <w:gridSpan w:val="3"/>
            <w:vAlign w:val="center"/>
          </w:tcPr>
          <w:p w14:paraId="2F89A618">
            <w:pPr>
              <w:spacing w:after="0"/>
              <w:jc w:val="center"/>
              <w:rPr>
                <w:rFonts w:ascii="宋体" w:hAnsi="宋体" w:eastAsia="宋体"/>
                <w:b/>
                <w:color w:val="auto"/>
                <w:sz w:val="21"/>
                <w:szCs w:val="21"/>
                <w:highlight w:val="none"/>
              </w:rPr>
            </w:pPr>
            <w:r>
              <w:rPr>
                <w:rFonts w:hint="eastAsia" w:ascii="宋体" w:hAnsi="宋体" w:eastAsia="宋体"/>
                <w:b/>
                <w:bCs/>
                <w:color w:val="auto"/>
                <w:sz w:val="21"/>
                <w:szCs w:val="21"/>
                <w:highlight w:val="none"/>
              </w:rPr>
              <w:t>政通招标网</w:t>
            </w:r>
          </w:p>
        </w:tc>
        <w:tc>
          <w:tcPr>
            <w:tcW w:w="3691" w:type="dxa"/>
            <w:vAlign w:val="center"/>
          </w:tcPr>
          <w:p w14:paraId="7214DDA7">
            <w:pPr>
              <w:jc w:val="center"/>
              <w:rPr>
                <w:rFonts w:ascii="宋体" w:hAnsi="宋体" w:eastAsia="宋体"/>
                <w:b/>
                <w:color w:val="auto"/>
                <w:sz w:val="21"/>
                <w:szCs w:val="21"/>
                <w:highlight w:val="none"/>
              </w:rPr>
            </w:pPr>
            <w:r>
              <w:rPr>
                <w:rFonts w:hint="eastAsia" w:ascii="宋体" w:hAnsi="宋体"/>
                <w:b/>
                <w:color w:val="auto"/>
                <w:szCs w:val="21"/>
                <w:highlight w:val="none"/>
              </w:rPr>
              <w:t>中国采购与招标网</w:t>
            </w:r>
          </w:p>
        </w:tc>
      </w:tr>
      <w:tr w14:paraId="6C666D3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6D59460B">
            <w:pPr>
              <w:spacing w:after="0"/>
              <w:jc w:val="center"/>
              <w:rPr>
                <w:rFonts w:ascii="宋体" w:hAnsi="宋体" w:eastAsia="宋体"/>
                <w:color w:val="auto"/>
                <w:sz w:val="21"/>
                <w:szCs w:val="21"/>
                <w:highlight w:val="none"/>
              </w:rPr>
            </w:pPr>
          </w:p>
        </w:tc>
        <w:tc>
          <w:tcPr>
            <w:tcW w:w="3841" w:type="dxa"/>
            <w:gridSpan w:val="3"/>
            <w:vAlign w:val="center"/>
          </w:tcPr>
          <w:p w14:paraId="554A0C37">
            <w:pPr>
              <w:spacing w:after="0"/>
              <w:jc w:val="center"/>
              <w:rPr>
                <w:rFonts w:ascii="宋体" w:hAnsi="宋体" w:eastAsia="宋体"/>
                <w:b/>
                <w:color w:val="auto"/>
                <w:sz w:val="21"/>
                <w:szCs w:val="21"/>
                <w:highlight w:val="none"/>
              </w:rPr>
            </w:pPr>
            <w:r>
              <w:rPr>
                <w:rFonts w:hint="eastAsia" w:ascii="宋体" w:hAnsi="宋体" w:eastAsia="宋体"/>
                <w:b w:val="0"/>
                <w:bCs w:val="0"/>
                <w:color w:val="auto"/>
                <w:sz w:val="21"/>
                <w:szCs w:val="21"/>
                <w:highlight w:val="none"/>
              </w:rPr>
              <w:t>http://www.zttendering.com/</w:t>
            </w:r>
          </w:p>
        </w:tc>
        <w:tc>
          <w:tcPr>
            <w:tcW w:w="3691" w:type="dxa"/>
            <w:vAlign w:val="center"/>
          </w:tcPr>
          <w:p w14:paraId="5871F949">
            <w:pPr>
              <w:jc w:val="center"/>
              <w:rPr>
                <w:rFonts w:ascii="宋体" w:hAnsi="宋体" w:eastAsia="宋体"/>
                <w:b/>
                <w:color w:val="auto"/>
                <w:sz w:val="21"/>
                <w:szCs w:val="21"/>
                <w:highlight w:val="none"/>
              </w:rPr>
            </w:pPr>
            <w:r>
              <w:rPr>
                <w:rFonts w:hint="eastAsia" w:ascii="宋体" w:hAnsi="宋体"/>
                <w:color w:val="auto"/>
                <w:szCs w:val="21"/>
                <w:highlight w:val="none"/>
              </w:rPr>
              <w:t>https://www.chinabidding.cn/</w:t>
            </w:r>
          </w:p>
        </w:tc>
      </w:tr>
      <w:tr w14:paraId="5BBD0F7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14:paraId="34609C56">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二、</w:t>
            </w: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的编制</w:t>
            </w:r>
          </w:p>
        </w:tc>
      </w:tr>
      <w:tr w14:paraId="12962A8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6377D71C">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7</w:t>
            </w:r>
          </w:p>
        </w:tc>
        <w:tc>
          <w:tcPr>
            <w:tcW w:w="7532" w:type="dxa"/>
            <w:gridSpan w:val="4"/>
            <w:vAlign w:val="center"/>
          </w:tcPr>
          <w:p w14:paraId="02DBF2A6">
            <w:pPr>
              <w:spacing w:after="0"/>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语言</w:t>
            </w:r>
          </w:p>
        </w:tc>
      </w:tr>
      <w:tr w14:paraId="453F7DB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46D3A609">
            <w:pPr>
              <w:spacing w:after="0"/>
              <w:jc w:val="center"/>
              <w:rPr>
                <w:rFonts w:ascii="宋体" w:hAnsi="宋体" w:eastAsia="宋体"/>
                <w:color w:val="auto"/>
                <w:sz w:val="21"/>
                <w:szCs w:val="21"/>
                <w:highlight w:val="none"/>
              </w:rPr>
            </w:pPr>
          </w:p>
        </w:tc>
        <w:tc>
          <w:tcPr>
            <w:tcW w:w="7532" w:type="dxa"/>
            <w:gridSpan w:val="4"/>
            <w:vAlign w:val="center"/>
          </w:tcPr>
          <w:p w14:paraId="00581206">
            <w:pPr>
              <w:spacing w:after="0"/>
              <w:rPr>
                <w:rFonts w:ascii="宋体" w:hAnsi="宋体" w:eastAsia="宋体"/>
                <w:b/>
                <w:color w:val="auto"/>
                <w:sz w:val="21"/>
                <w:szCs w:val="21"/>
                <w:highlight w:val="none"/>
              </w:rPr>
            </w:pPr>
            <w:r>
              <w:rPr>
                <w:rFonts w:hint="eastAsia" w:ascii="宋体" w:hAnsi="宋体" w:eastAsia="宋体"/>
                <w:color w:val="auto"/>
                <w:sz w:val="21"/>
                <w:szCs w:val="21"/>
                <w:highlight w:val="none"/>
              </w:rPr>
              <w:t>中文。</w:t>
            </w:r>
          </w:p>
        </w:tc>
      </w:tr>
      <w:tr w14:paraId="4B36C27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4B21CE2C">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8</w:t>
            </w:r>
          </w:p>
        </w:tc>
        <w:tc>
          <w:tcPr>
            <w:tcW w:w="7532" w:type="dxa"/>
            <w:gridSpan w:val="4"/>
            <w:vAlign w:val="center"/>
          </w:tcPr>
          <w:p w14:paraId="3B71C89F">
            <w:pPr>
              <w:spacing w:after="0"/>
              <w:jc w:val="both"/>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报价</w:t>
            </w:r>
          </w:p>
        </w:tc>
      </w:tr>
      <w:tr w14:paraId="6EBD374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666DE63D">
            <w:pPr>
              <w:spacing w:after="0"/>
              <w:jc w:val="center"/>
              <w:rPr>
                <w:rFonts w:ascii="宋体" w:hAnsi="宋体" w:eastAsia="宋体"/>
                <w:color w:val="auto"/>
                <w:sz w:val="21"/>
                <w:szCs w:val="21"/>
                <w:highlight w:val="none"/>
              </w:rPr>
            </w:pPr>
          </w:p>
        </w:tc>
        <w:tc>
          <w:tcPr>
            <w:tcW w:w="7532" w:type="dxa"/>
            <w:gridSpan w:val="4"/>
            <w:vAlign w:val="center"/>
          </w:tcPr>
          <w:p w14:paraId="515E8515">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w:t>
            </w:r>
          </w:p>
        </w:tc>
      </w:tr>
      <w:tr w14:paraId="21AD85A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48739AB3">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9</w:t>
            </w:r>
          </w:p>
        </w:tc>
        <w:tc>
          <w:tcPr>
            <w:tcW w:w="7532" w:type="dxa"/>
            <w:gridSpan w:val="4"/>
            <w:vAlign w:val="center"/>
          </w:tcPr>
          <w:p w14:paraId="1F961CFD">
            <w:pPr>
              <w:spacing w:after="0"/>
              <w:jc w:val="both"/>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样品</w:t>
            </w:r>
          </w:p>
        </w:tc>
      </w:tr>
      <w:tr w14:paraId="5626959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6E06F9A">
            <w:pPr>
              <w:spacing w:after="0"/>
              <w:jc w:val="center"/>
              <w:rPr>
                <w:rFonts w:ascii="宋体" w:hAnsi="宋体" w:eastAsia="宋体"/>
                <w:color w:val="auto"/>
                <w:sz w:val="21"/>
                <w:szCs w:val="21"/>
                <w:highlight w:val="none"/>
              </w:rPr>
            </w:pPr>
          </w:p>
        </w:tc>
        <w:tc>
          <w:tcPr>
            <w:tcW w:w="7532" w:type="dxa"/>
            <w:gridSpan w:val="4"/>
            <w:vAlign w:val="center"/>
          </w:tcPr>
          <w:p w14:paraId="62F13446">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详见用户需求。</w:t>
            </w:r>
          </w:p>
        </w:tc>
      </w:tr>
      <w:tr w14:paraId="1AB0D2D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510AC9A0">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10</w:t>
            </w:r>
          </w:p>
        </w:tc>
        <w:tc>
          <w:tcPr>
            <w:tcW w:w="7532" w:type="dxa"/>
            <w:gridSpan w:val="4"/>
            <w:vAlign w:val="center"/>
          </w:tcPr>
          <w:p w14:paraId="602E85B2">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核心产品</w:t>
            </w:r>
          </w:p>
        </w:tc>
      </w:tr>
      <w:tr w14:paraId="2CD194F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4723C9EE">
            <w:pPr>
              <w:spacing w:after="0"/>
              <w:jc w:val="both"/>
              <w:rPr>
                <w:rFonts w:ascii="宋体" w:hAnsi="宋体" w:eastAsia="宋体"/>
                <w:color w:val="auto"/>
                <w:sz w:val="21"/>
                <w:szCs w:val="21"/>
                <w:highlight w:val="none"/>
              </w:rPr>
            </w:pPr>
          </w:p>
        </w:tc>
        <w:tc>
          <w:tcPr>
            <w:tcW w:w="7532" w:type="dxa"/>
            <w:gridSpan w:val="4"/>
            <w:vAlign w:val="center"/>
          </w:tcPr>
          <w:p w14:paraId="06585A5A">
            <w:pPr>
              <w:spacing w:after="0"/>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“●”为核心产品</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本项目无核心产品</w:t>
            </w:r>
            <w:r>
              <w:rPr>
                <w:rFonts w:hint="eastAsia" w:ascii="宋体" w:hAnsi="宋体"/>
                <w:color w:val="auto"/>
                <w:sz w:val="21"/>
                <w:szCs w:val="21"/>
                <w:highlight w:val="none"/>
                <w:lang w:eastAsia="zh-CN"/>
              </w:rPr>
              <w:t>）</w:t>
            </w:r>
          </w:p>
        </w:tc>
      </w:tr>
      <w:tr w14:paraId="704C5DB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14:paraId="2F3DB29E">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11</w:t>
            </w:r>
          </w:p>
        </w:tc>
        <w:tc>
          <w:tcPr>
            <w:tcW w:w="7532" w:type="dxa"/>
            <w:gridSpan w:val="4"/>
            <w:vAlign w:val="center"/>
          </w:tcPr>
          <w:p w14:paraId="6680AD39">
            <w:pPr>
              <w:spacing w:after="0"/>
              <w:jc w:val="both"/>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保证金</w:t>
            </w:r>
            <w:r>
              <w:rPr>
                <w:rFonts w:hint="eastAsia" w:ascii="宋体" w:hAnsi="宋体"/>
                <w:b/>
                <w:color w:val="auto"/>
                <w:sz w:val="21"/>
                <w:szCs w:val="21"/>
                <w:highlight w:val="none"/>
                <w:lang w:eastAsia="zh-CN"/>
              </w:rPr>
              <w:t>：</w:t>
            </w:r>
            <w:r>
              <w:rPr>
                <w:rFonts w:hint="eastAsia" w:ascii="宋体" w:hAnsi="宋体"/>
                <w:b/>
                <w:color w:val="auto"/>
                <w:sz w:val="21"/>
                <w:szCs w:val="21"/>
                <w:highlight w:val="none"/>
                <w:lang w:val="en-US" w:eastAsia="zh-CN"/>
              </w:rPr>
              <w:t>本项目不需提供</w:t>
            </w: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保证金</w:t>
            </w:r>
          </w:p>
        </w:tc>
      </w:tr>
      <w:tr w14:paraId="5D56245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45F873CA">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2</w:t>
            </w:r>
          </w:p>
        </w:tc>
        <w:tc>
          <w:tcPr>
            <w:tcW w:w="7532" w:type="dxa"/>
            <w:gridSpan w:val="4"/>
            <w:vAlign w:val="center"/>
          </w:tcPr>
          <w:p w14:paraId="3A1040F8">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rPr>
              <w:t>报价（响应文件）有效期</w:t>
            </w:r>
          </w:p>
        </w:tc>
      </w:tr>
      <w:tr w14:paraId="2111AA4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1071D44">
            <w:pPr>
              <w:spacing w:after="0"/>
              <w:jc w:val="center"/>
              <w:rPr>
                <w:rFonts w:ascii="宋体" w:hAnsi="宋体" w:eastAsia="宋体"/>
                <w:color w:val="auto"/>
                <w:sz w:val="21"/>
                <w:szCs w:val="21"/>
                <w:highlight w:val="none"/>
              </w:rPr>
            </w:pPr>
          </w:p>
        </w:tc>
        <w:tc>
          <w:tcPr>
            <w:tcW w:w="7532" w:type="dxa"/>
            <w:gridSpan w:val="4"/>
            <w:vAlign w:val="center"/>
          </w:tcPr>
          <w:p w14:paraId="3220256D">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九十天。</w:t>
            </w:r>
          </w:p>
        </w:tc>
      </w:tr>
      <w:tr w14:paraId="6AD1A9D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7F4972EC">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3</w:t>
            </w:r>
          </w:p>
        </w:tc>
        <w:tc>
          <w:tcPr>
            <w:tcW w:w="7532" w:type="dxa"/>
            <w:gridSpan w:val="4"/>
            <w:vAlign w:val="center"/>
          </w:tcPr>
          <w:p w14:paraId="5223E20D">
            <w:pPr>
              <w:spacing w:after="0"/>
              <w:jc w:val="center"/>
              <w:rPr>
                <w:rFonts w:ascii="宋体" w:hAnsi="宋体" w:eastAsia="宋体"/>
                <w:color w:val="auto"/>
                <w:sz w:val="21"/>
                <w:szCs w:val="21"/>
                <w:highlight w:val="none"/>
              </w:rPr>
            </w:pPr>
            <w:r>
              <w:rPr>
                <w:rFonts w:hint="eastAsia" w:ascii="宋体" w:hAnsi="宋体" w:eastAsia="宋体"/>
                <w:b/>
                <w:color w:val="auto"/>
                <w:sz w:val="21"/>
                <w:szCs w:val="21"/>
                <w:highlight w:val="none"/>
              </w:rPr>
              <w:t>信用信息查询渠道</w:t>
            </w:r>
          </w:p>
        </w:tc>
      </w:tr>
      <w:tr w14:paraId="3D1BC88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7537CD32">
            <w:pPr>
              <w:spacing w:after="0"/>
              <w:jc w:val="center"/>
              <w:rPr>
                <w:rFonts w:ascii="宋体" w:hAnsi="宋体" w:eastAsia="宋体"/>
                <w:color w:val="auto"/>
                <w:sz w:val="21"/>
                <w:szCs w:val="21"/>
                <w:highlight w:val="none"/>
              </w:rPr>
            </w:pPr>
          </w:p>
        </w:tc>
        <w:tc>
          <w:tcPr>
            <w:tcW w:w="3766" w:type="dxa"/>
            <w:gridSpan w:val="2"/>
            <w:vAlign w:val="center"/>
          </w:tcPr>
          <w:p w14:paraId="3EDA2E80">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信用中国</w:t>
            </w:r>
          </w:p>
        </w:tc>
        <w:tc>
          <w:tcPr>
            <w:tcW w:w="3766" w:type="dxa"/>
            <w:gridSpan w:val="2"/>
            <w:vAlign w:val="center"/>
          </w:tcPr>
          <w:p w14:paraId="3034B7F9">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14:paraId="5B80481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296A7A7C">
            <w:pPr>
              <w:spacing w:after="0"/>
              <w:jc w:val="center"/>
              <w:rPr>
                <w:rFonts w:ascii="宋体" w:hAnsi="宋体" w:eastAsia="宋体"/>
                <w:color w:val="auto"/>
                <w:sz w:val="21"/>
                <w:szCs w:val="21"/>
                <w:highlight w:val="none"/>
              </w:rPr>
            </w:pPr>
          </w:p>
        </w:tc>
        <w:tc>
          <w:tcPr>
            <w:tcW w:w="3766" w:type="dxa"/>
            <w:gridSpan w:val="2"/>
            <w:vAlign w:val="center"/>
          </w:tcPr>
          <w:p w14:paraId="5D1EC4DA">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https://www.creditchina.gov.cn/</w:t>
            </w:r>
          </w:p>
        </w:tc>
        <w:tc>
          <w:tcPr>
            <w:tcW w:w="3766" w:type="dxa"/>
            <w:gridSpan w:val="2"/>
            <w:vAlign w:val="center"/>
          </w:tcPr>
          <w:p w14:paraId="7C0AA2D1">
            <w:pPr>
              <w:spacing w:after="0"/>
              <w:jc w:val="center"/>
              <w:rPr>
                <w:rFonts w:ascii="宋体" w:hAnsi="宋体" w:eastAsia="宋体"/>
                <w:color w:val="auto"/>
                <w:sz w:val="21"/>
                <w:szCs w:val="21"/>
                <w:highlight w:val="none"/>
              </w:rPr>
            </w:pPr>
            <w:r>
              <w:rPr>
                <w:rFonts w:ascii="宋体" w:hAnsi="宋体" w:eastAsia="宋体"/>
                <w:color w:val="auto"/>
                <w:sz w:val="21"/>
                <w:szCs w:val="21"/>
                <w:highlight w:val="none"/>
              </w:rPr>
              <w:t>http://www.ccgp.gov.cn/</w:t>
            </w:r>
          </w:p>
        </w:tc>
      </w:tr>
      <w:tr w14:paraId="23EBB1C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14:paraId="22D145E3">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4</w:t>
            </w:r>
          </w:p>
        </w:tc>
        <w:tc>
          <w:tcPr>
            <w:tcW w:w="7532" w:type="dxa"/>
            <w:gridSpan w:val="4"/>
            <w:vAlign w:val="center"/>
          </w:tcPr>
          <w:p w14:paraId="3D936108">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应提交以下</w:t>
            </w:r>
            <w:r>
              <w:rPr>
                <w:rFonts w:hint="eastAsia" w:ascii="宋体" w:hAnsi="宋体"/>
                <w:b/>
                <w:color w:val="auto"/>
                <w:sz w:val="21"/>
                <w:szCs w:val="21"/>
                <w:highlight w:val="none"/>
                <w:lang w:eastAsia="zh-CN"/>
              </w:rPr>
              <w:t>响应文件</w:t>
            </w:r>
          </w:p>
        </w:tc>
      </w:tr>
      <w:tr w14:paraId="2388F35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2B560682">
            <w:pPr>
              <w:spacing w:after="0"/>
              <w:jc w:val="center"/>
              <w:rPr>
                <w:rFonts w:ascii="宋体" w:hAnsi="宋体" w:eastAsia="宋体"/>
                <w:color w:val="auto"/>
                <w:sz w:val="21"/>
                <w:szCs w:val="21"/>
                <w:highlight w:val="none"/>
              </w:rPr>
            </w:pPr>
          </w:p>
        </w:tc>
        <w:tc>
          <w:tcPr>
            <w:tcW w:w="2608" w:type="dxa"/>
            <w:vAlign w:val="center"/>
          </w:tcPr>
          <w:p w14:paraId="0AFE9E39">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类型</w:t>
            </w:r>
          </w:p>
        </w:tc>
        <w:tc>
          <w:tcPr>
            <w:tcW w:w="4924" w:type="dxa"/>
            <w:gridSpan w:val="3"/>
            <w:vAlign w:val="center"/>
          </w:tcPr>
          <w:p w14:paraId="19B5C125">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份数</w:t>
            </w:r>
          </w:p>
        </w:tc>
      </w:tr>
      <w:tr w14:paraId="7504EA0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5B80A361">
            <w:pPr>
              <w:spacing w:after="0"/>
              <w:jc w:val="center"/>
              <w:rPr>
                <w:rFonts w:ascii="宋体" w:hAnsi="宋体" w:eastAsia="宋体"/>
                <w:color w:val="auto"/>
                <w:sz w:val="21"/>
                <w:szCs w:val="21"/>
                <w:highlight w:val="none"/>
              </w:rPr>
            </w:pPr>
          </w:p>
        </w:tc>
        <w:tc>
          <w:tcPr>
            <w:tcW w:w="2608" w:type="dxa"/>
            <w:vAlign w:val="center"/>
          </w:tcPr>
          <w:p w14:paraId="44E065E4">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报价</w:t>
            </w:r>
            <w:r>
              <w:rPr>
                <w:rFonts w:hint="eastAsia" w:ascii="宋体" w:hAnsi="宋体" w:eastAsia="宋体"/>
                <w:b/>
                <w:color w:val="auto"/>
                <w:sz w:val="21"/>
                <w:szCs w:val="21"/>
                <w:highlight w:val="none"/>
                <w:lang w:eastAsia="zh-CN"/>
              </w:rPr>
              <w:t>文件</w:t>
            </w:r>
          </w:p>
        </w:tc>
        <w:tc>
          <w:tcPr>
            <w:tcW w:w="4924" w:type="dxa"/>
            <w:gridSpan w:val="3"/>
            <w:vAlign w:val="center"/>
          </w:tcPr>
          <w:p w14:paraId="1DF2CA36">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14:paraId="60B64DD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61756694">
            <w:pPr>
              <w:spacing w:after="0"/>
              <w:jc w:val="center"/>
              <w:rPr>
                <w:rFonts w:ascii="宋体" w:hAnsi="宋体" w:eastAsia="宋体"/>
                <w:color w:val="auto"/>
                <w:sz w:val="21"/>
                <w:szCs w:val="21"/>
                <w:highlight w:val="none"/>
              </w:rPr>
            </w:pPr>
          </w:p>
        </w:tc>
        <w:tc>
          <w:tcPr>
            <w:tcW w:w="2608" w:type="dxa"/>
            <w:vAlign w:val="center"/>
          </w:tcPr>
          <w:p w14:paraId="42272848">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正本</w:t>
            </w:r>
          </w:p>
        </w:tc>
        <w:tc>
          <w:tcPr>
            <w:tcW w:w="4924" w:type="dxa"/>
            <w:gridSpan w:val="3"/>
            <w:vAlign w:val="center"/>
          </w:tcPr>
          <w:p w14:paraId="1C7A31CA">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14:paraId="4826C1F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01F4C80A">
            <w:pPr>
              <w:spacing w:after="0"/>
              <w:jc w:val="center"/>
              <w:rPr>
                <w:rFonts w:ascii="宋体" w:hAnsi="宋体" w:eastAsia="宋体"/>
                <w:color w:val="auto"/>
                <w:sz w:val="21"/>
                <w:szCs w:val="21"/>
                <w:highlight w:val="none"/>
              </w:rPr>
            </w:pPr>
          </w:p>
        </w:tc>
        <w:tc>
          <w:tcPr>
            <w:tcW w:w="2608" w:type="dxa"/>
            <w:vAlign w:val="center"/>
          </w:tcPr>
          <w:p w14:paraId="6465B749">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副本</w:t>
            </w:r>
          </w:p>
        </w:tc>
        <w:tc>
          <w:tcPr>
            <w:tcW w:w="4924" w:type="dxa"/>
            <w:gridSpan w:val="3"/>
            <w:vAlign w:val="center"/>
          </w:tcPr>
          <w:p w14:paraId="737C73F5">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val="en-US" w:eastAsia="zh-CN"/>
              </w:rPr>
              <w:t>3</w:t>
            </w:r>
          </w:p>
        </w:tc>
      </w:tr>
      <w:tr w14:paraId="51B1676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5A050FAA">
            <w:pPr>
              <w:spacing w:after="0"/>
              <w:jc w:val="center"/>
              <w:rPr>
                <w:rFonts w:ascii="宋体" w:hAnsi="宋体" w:eastAsia="宋体"/>
                <w:color w:val="auto"/>
                <w:sz w:val="21"/>
                <w:szCs w:val="21"/>
                <w:highlight w:val="none"/>
              </w:rPr>
            </w:pPr>
          </w:p>
        </w:tc>
        <w:tc>
          <w:tcPr>
            <w:tcW w:w="2608" w:type="dxa"/>
            <w:vAlign w:val="center"/>
          </w:tcPr>
          <w:p w14:paraId="744C12CF">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电子文档</w:t>
            </w:r>
          </w:p>
        </w:tc>
        <w:tc>
          <w:tcPr>
            <w:tcW w:w="4924" w:type="dxa"/>
            <w:gridSpan w:val="3"/>
            <w:vAlign w:val="center"/>
          </w:tcPr>
          <w:p w14:paraId="51A174CC">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14:paraId="189FD30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14:paraId="664AE28A">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三、开标与评标</w:t>
            </w:r>
          </w:p>
        </w:tc>
      </w:tr>
      <w:tr w14:paraId="68B2E00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06B239BD">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5</w:t>
            </w:r>
          </w:p>
        </w:tc>
        <w:tc>
          <w:tcPr>
            <w:tcW w:w="7532" w:type="dxa"/>
            <w:gridSpan w:val="4"/>
            <w:vAlign w:val="center"/>
          </w:tcPr>
          <w:p w14:paraId="59E1088F">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本项目评标方法</w:t>
            </w:r>
          </w:p>
        </w:tc>
      </w:tr>
      <w:tr w14:paraId="6DE5616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7BA42A8C">
            <w:pPr>
              <w:spacing w:after="0"/>
              <w:jc w:val="center"/>
              <w:rPr>
                <w:rFonts w:ascii="宋体" w:hAnsi="宋体" w:eastAsia="宋体"/>
                <w:color w:val="auto"/>
                <w:sz w:val="21"/>
                <w:szCs w:val="21"/>
                <w:highlight w:val="none"/>
              </w:rPr>
            </w:pPr>
          </w:p>
        </w:tc>
        <w:tc>
          <w:tcPr>
            <w:tcW w:w="7532" w:type="dxa"/>
            <w:gridSpan w:val="4"/>
            <w:vAlign w:val="center"/>
          </w:tcPr>
          <w:p w14:paraId="45C48372">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综合评分法。</w:t>
            </w:r>
          </w:p>
        </w:tc>
      </w:tr>
      <w:tr w14:paraId="60D3821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14:paraId="3EB6F0C9">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lang w:val="en-US" w:eastAsia="zh-CN"/>
              </w:rPr>
              <w:t>（仅适用于政府采购）</w:t>
            </w:r>
          </w:p>
        </w:tc>
        <w:tc>
          <w:tcPr>
            <w:tcW w:w="7532" w:type="dxa"/>
            <w:gridSpan w:val="4"/>
            <w:vAlign w:val="center"/>
          </w:tcPr>
          <w:p w14:paraId="53D8BA0F">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小型或微型企业、监狱企业、残疾人福利性单位</w:t>
            </w: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价格折扣标准</w:t>
            </w:r>
          </w:p>
        </w:tc>
      </w:tr>
      <w:tr w14:paraId="33F4799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1C195561">
            <w:pPr>
              <w:spacing w:after="0"/>
              <w:jc w:val="center"/>
              <w:rPr>
                <w:rFonts w:ascii="宋体" w:hAnsi="宋体" w:eastAsia="宋体"/>
                <w:color w:val="auto"/>
                <w:sz w:val="21"/>
                <w:szCs w:val="21"/>
                <w:highlight w:val="none"/>
              </w:rPr>
            </w:pPr>
          </w:p>
        </w:tc>
        <w:tc>
          <w:tcPr>
            <w:tcW w:w="7532" w:type="dxa"/>
            <w:gridSpan w:val="4"/>
            <w:vAlign w:val="center"/>
          </w:tcPr>
          <w:p w14:paraId="54872C56">
            <w:pPr>
              <w:spacing w:after="0"/>
              <w:jc w:val="both"/>
              <w:rPr>
                <w:rFonts w:ascii="宋体" w:hAnsi="宋体" w:eastAsia="宋体"/>
                <w:color w:val="auto"/>
                <w:sz w:val="21"/>
                <w:szCs w:val="21"/>
                <w:highlight w:val="none"/>
              </w:rPr>
            </w:pPr>
            <w:r>
              <w:rPr>
                <w:rFonts w:hint="eastAsia" w:ascii="宋体" w:hAnsi="宋体" w:eastAsia="宋体" w:cs="宋体"/>
                <w:color w:val="auto"/>
                <w:kern w:val="2"/>
                <w:sz w:val="21"/>
                <w:szCs w:val="21"/>
                <w:highlight w:val="none"/>
                <w:lang w:val="en-US" w:eastAsia="zh-CN"/>
              </w:rPr>
              <w:t>10%（工程类5%）</w:t>
            </w:r>
          </w:p>
        </w:tc>
      </w:tr>
      <w:tr w14:paraId="5CD7EBD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5723C889">
            <w:pPr>
              <w:spacing w:after="0"/>
              <w:jc w:val="center"/>
              <w:rPr>
                <w:rFonts w:ascii="宋体" w:hAnsi="宋体" w:eastAsia="宋体"/>
                <w:color w:val="auto"/>
                <w:sz w:val="21"/>
                <w:szCs w:val="21"/>
                <w:highlight w:val="none"/>
              </w:rPr>
            </w:pPr>
          </w:p>
        </w:tc>
        <w:tc>
          <w:tcPr>
            <w:tcW w:w="7532" w:type="dxa"/>
            <w:gridSpan w:val="4"/>
            <w:vAlign w:val="center"/>
          </w:tcPr>
          <w:p w14:paraId="323FDDF6">
            <w:pPr>
              <w:spacing w:after="0"/>
              <w:jc w:val="both"/>
              <w:rPr>
                <w:rFonts w:ascii="宋体" w:hAnsi="宋体" w:eastAsia="宋体"/>
                <w:color w:val="auto"/>
                <w:sz w:val="21"/>
                <w:szCs w:val="21"/>
                <w:highlight w:val="none"/>
              </w:rPr>
            </w:pP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符合须知“优惠政策”中联合体规定的</w:t>
            </w:r>
            <w:r>
              <w:rPr>
                <w:rFonts w:hint="eastAsia" w:ascii="宋体" w:hAnsi="宋体"/>
                <w:b/>
                <w:color w:val="auto"/>
                <w:sz w:val="21"/>
                <w:szCs w:val="21"/>
                <w:highlight w:val="none"/>
                <w:lang w:eastAsia="zh-CN"/>
              </w:rPr>
              <w:t>响应</w:t>
            </w:r>
            <w:r>
              <w:rPr>
                <w:rFonts w:hint="eastAsia" w:ascii="宋体" w:hAnsi="宋体" w:eastAsia="宋体"/>
                <w:b/>
                <w:color w:val="auto"/>
                <w:sz w:val="21"/>
                <w:szCs w:val="21"/>
                <w:highlight w:val="none"/>
              </w:rPr>
              <w:t>价格折扣标准</w:t>
            </w:r>
          </w:p>
        </w:tc>
      </w:tr>
      <w:tr w14:paraId="13ADBF5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7DC32163">
            <w:pPr>
              <w:spacing w:after="0"/>
              <w:jc w:val="center"/>
              <w:rPr>
                <w:rFonts w:ascii="宋体" w:hAnsi="宋体" w:eastAsia="宋体"/>
                <w:color w:val="auto"/>
                <w:sz w:val="21"/>
                <w:szCs w:val="21"/>
                <w:highlight w:val="none"/>
              </w:rPr>
            </w:pPr>
          </w:p>
        </w:tc>
        <w:tc>
          <w:tcPr>
            <w:tcW w:w="7532" w:type="dxa"/>
            <w:gridSpan w:val="4"/>
            <w:vAlign w:val="center"/>
          </w:tcPr>
          <w:p w14:paraId="51F9717A">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对于联合协议或者分包意向协议约定小微企业的合同份额占到合同总金额30%以上的，报价给予</w:t>
            </w:r>
            <w:r>
              <w:rPr>
                <w:rFonts w:hint="eastAsia" w:ascii="宋体" w:hAnsi="宋体"/>
                <w:b/>
                <w:bCs/>
                <w:color w:val="auto"/>
                <w:sz w:val="21"/>
                <w:szCs w:val="21"/>
                <w:highlight w:val="none"/>
                <w:u w:val="single"/>
                <w:lang w:val="en-US" w:eastAsia="zh-CN"/>
              </w:rPr>
              <w:t>4</w:t>
            </w:r>
            <w:r>
              <w:rPr>
                <w:rFonts w:hint="default" w:ascii="宋体" w:hAnsi="宋体" w:eastAsia="宋体"/>
                <w:b/>
                <w:bCs/>
                <w:color w:val="auto"/>
                <w:sz w:val="21"/>
                <w:szCs w:val="21"/>
                <w:highlight w:val="none"/>
                <w:u w:val="single"/>
              </w:rPr>
              <w:t>%</w:t>
            </w:r>
            <w:r>
              <w:rPr>
                <w:rFonts w:hint="eastAsia" w:ascii="宋体" w:hAnsi="宋体" w:eastAsia="宋体"/>
                <w:color w:val="auto"/>
                <w:sz w:val="21"/>
                <w:szCs w:val="21"/>
                <w:highlight w:val="none"/>
              </w:rPr>
              <w:t>的扣除。</w:t>
            </w:r>
          </w:p>
        </w:tc>
      </w:tr>
      <w:tr w14:paraId="220E83B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14D4A3CD">
            <w:pPr>
              <w:spacing w:after="0"/>
              <w:jc w:val="center"/>
              <w:rPr>
                <w:rFonts w:ascii="宋体" w:hAnsi="宋体" w:eastAsia="宋体"/>
                <w:color w:val="auto"/>
                <w:sz w:val="21"/>
                <w:szCs w:val="21"/>
                <w:highlight w:val="none"/>
              </w:rPr>
            </w:pPr>
          </w:p>
        </w:tc>
        <w:tc>
          <w:tcPr>
            <w:tcW w:w="7532" w:type="dxa"/>
            <w:gridSpan w:val="4"/>
            <w:vAlign w:val="center"/>
          </w:tcPr>
          <w:p w14:paraId="073C070A">
            <w:pPr>
              <w:spacing w:after="0"/>
              <w:jc w:val="both"/>
              <w:rPr>
                <w:rFonts w:ascii="宋体" w:hAnsi="宋体" w:eastAsia="宋体"/>
                <w:color w:val="auto"/>
                <w:sz w:val="21"/>
                <w:szCs w:val="21"/>
                <w:highlight w:val="none"/>
              </w:rPr>
            </w:pP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所投产品为获得节能产品认证或环境标志产品认证证书的价格折扣标准（相关规定详见</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须知“优惠政策”）</w:t>
            </w:r>
          </w:p>
        </w:tc>
      </w:tr>
      <w:tr w14:paraId="77BA759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5CA39B70">
            <w:pPr>
              <w:spacing w:after="0"/>
              <w:jc w:val="center"/>
              <w:rPr>
                <w:rFonts w:ascii="宋体" w:hAnsi="宋体" w:eastAsia="宋体"/>
                <w:color w:val="auto"/>
                <w:sz w:val="21"/>
                <w:szCs w:val="21"/>
                <w:highlight w:val="none"/>
              </w:rPr>
            </w:pPr>
          </w:p>
        </w:tc>
        <w:tc>
          <w:tcPr>
            <w:tcW w:w="7532" w:type="dxa"/>
            <w:gridSpan w:val="4"/>
            <w:vAlign w:val="center"/>
          </w:tcPr>
          <w:p w14:paraId="35FD83E1">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该项节能或环境标志产品折扣3%。</w:t>
            </w:r>
          </w:p>
        </w:tc>
      </w:tr>
      <w:tr w14:paraId="6C8D847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14:paraId="5BDF6457">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四、授予合同</w:t>
            </w:r>
          </w:p>
        </w:tc>
      </w:tr>
      <w:tr w14:paraId="1F019A7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14:paraId="4051D841">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7</w:t>
            </w:r>
          </w:p>
        </w:tc>
        <w:tc>
          <w:tcPr>
            <w:tcW w:w="7532" w:type="dxa"/>
            <w:gridSpan w:val="4"/>
            <w:shd w:val="clear" w:color="auto" w:fill="auto"/>
            <w:vAlign w:val="center"/>
          </w:tcPr>
          <w:p w14:paraId="3D98CC78">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履约保证金（如有需要）</w:t>
            </w:r>
          </w:p>
        </w:tc>
      </w:tr>
      <w:tr w14:paraId="326E205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14:paraId="167E2B9D">
            <w:pPr>
              <w:spacing w:after="0"/>
              <w:jc w:val="center"/>
              <w:rPr>
                <w:rFonts w:ascii="宋体" w:hAnsi="宋体" w:eastAsia="宋体"/>
                <w:color w:val="auto"/>
                <w:sz w:val="21"/>
                <w:szCs w:val="21"/>
                <w:highlight w:val="none"/>
              </w:rPr>
            </w:pPr>
          </w:p>
        </w:tc>
        <w:tc>
          <w:tcPr>
            <w:tcW w:w="7532" w:type="dxa"/>
            <w:gridSpan w:val="4"/>
            <w:shd w:val="clear" w:color="auto" w:fill="auto"/>
            <w:vAlign w:val="center"/>
          </w:tcPr>
          <w:p w14:paraId="0FB33038">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履约保证金的数额为政府采购合同金额的5%。</w:t>
            </w:r>
          </w:p>
        </w:tc>
      </w:tr>
      <w:tr w14:paraId="5E745F9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14:paraId="650C444E">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8</w:t>
            </w:r>
          </w:p>
        </w:tc>
        <w:tc>
          <w:tcPr>
            <w:tcW w:w="7532" w:type="dxa"/>
            <w:gridSpan w:val="4"/>
            <w:vAlign w:val="center"/>
          </w:tcPr>
          <w:p w14:paraId="70F7B966">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中标服务费</w:t>
            </w:r>
          </w:p>
        </w:tc>
      </w:tr>
      <w:tr w14:paraId="40B44A5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14:paraId="761282E0">
            <w:pPr>
              <w:spacing w:after="0"/>
              <w:jc w:val="center"/>
              <w:rPr>
                <w:rFonts w:ascii="宋体" w:hAnsi="宋体" w:eastAsia="宋体"/>
                <w:color w:val="auto"/>
                <w:sz w:val="21"/>
                <w:szCs w:val="21"/>
                <w:highlight w:val="none"/>
              </w:rPr>
            </w:pPr>
          </w:p>
        </w:tc>
        <w:tc>
          <w:tcPr>
            <w:tcW w:w="7532" w:type="dxa"/>
            <w:gridSpan w:val="4"/>
            <w:vAlign w:val="center"/>
          </w:tcPr>
          <w:p w14:paraId="2B8AB7E2">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 w:val="21"/>
                <w:szCs w:val="21"/>
                <w:highlight w:val="none"/>
                <w:lang w:val="en-US" w:eastAsia="zh-CN"/>
              </w:rPr>
              <w:t>陆仟元</w:t>
            </w:r>
            <w:r>
              <w:rPr>
                <w:rFonts w:hint="eastAsia" w:ascii="宋体" w:hAnsi="宋体" w:eastAsia="宋体"/>
                <w:color w:val="auto"/>
                <w:sz w:val="21"/>
                <w:szCs w:val="21"/>
                <w:highlight w:val="none"/>
              </w:rPr>
              <w:t>整。</w:t>
            </w:r>
          </w:p>
        </w:tc>
      </w:tr>
      <w:tr w14:paraId="6D00548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14:paraId="2E5FB127">
            <w:pPr>
              <w:spacing w:after="0"/>
              <w:jc w:val="center"/>
              <w:rPr>
                <w:rFonts w:ascii="宋体" w:hAnsi="宋体" w:eastAsia="宋体"/>
                <w:color w:val="auto"/>
                <w:sz w:val="21"/>
                <w:szCs w:val="21"/>
                <w:highlight w:val="none"/>
              </w:rPr>
            </w:pPr>
          </w:p>
        </w:tc>
        <w:tc>
          <w:tcPr>
            <w:tcW w:w="7532" w:type="dxa"/>
            <w:gridSpan w:val="4"/>
            <w:vAlign w:val="center"/>
          </w:tcPr>
          <w:p w14:paraId="58933EA8">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（2）中标服务费以转账或现金的形式支付。采购代理机构服务费汇入账号：</w:t>
            </w:r>
          </w:p>
          <w:p w14:paraId="3C54B9ED">
            <w:pPr>
              <w:widowControl w:val="0"/>
              <w:tabs>
                <w:tab w:val="left" w:pos="907"/>
              </w:tabs>
              <w:adjustRightInd/>
              <w:snapToGrid/>
              <w:spacing w:after="0" w:line="360" w:lineRule="exact"/>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收 款 人：</w:t>
            </w:r>
            <w:r>
              <w:rPr>
                <w:rFonts w:hint="eastAsia" w:ascii="宋体" w:hAnsi="宋体" w:eastAsia="宋体"/>
                <w:color w:val="auto"/>
                <w:sz w:val="21"/>
                <w:szCs w:val="21"/>
                <w:highlight w:val="none"/>
                <w:lang w:eastAsia="zh-CN"/>
              </w:rPr>
              <w:t>广东政通招标有限公司</w:t>
            </w:r>
          </w:p>
          <w:p w14:paraId="60BD1225">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14:paraId="61757542">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tc>
      </w:tr>
      <w:tr w14:paraId="1315766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14:paraId="40CE96C3">
            <w:pPr>
              <w:widowControl w:val="0"/>
              <w:tabs>
                <w:tab w:val="left" w:pos="907"/>
              </w:tabs>
              <w:adjustRightInd/>
              <w:snapToGrid/>
              <w:spacing w:after="0"/>
              <w:ind w:firstLine="420" w:firstLineChars="20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注：本表关于要采购项目的具体资料，是对</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须知的具体补充和修改，如有矛盾，应以本资料表为准。</w:t>
            </w:r>
          </w:p>
        </w:tc>
      </w:tr>
    </w:tbl>
    <w:p w14:paraId="137A458D">
      <w:pPr>
        <w:bidi w:val="0"/>
        <w:rPr>
          <w:rFonts w:hint="eastAsia"/>
          <w:color w:val="auto"/>
          <w:highlight w:val="none"/>
        </w:rPr>
      </w:pPr>
    </w:p>
    <w:p w14:paraId="65238EEB">
      <w:pPr>
        <w:bidi w:val="0"/>
        <w:rPr>
          <w:rFonts w:hint="eastAsia"/>
          <w:color w:val="auto"/>
          <w:highlight w:val="none"/>
        </w:rPr>
      </w:pPr>
    </w:p>
    <w:p w14:paraId="351A65AE">
      <w:pPr>
        <w:bidi w:val="0"/>
        <w:rPr>
          <w:rFonts w:hint="eastAsia"/>
          <w:color w:val="auto"/>
          <w:highlight w:val="none"/>
        </w:rPr>
      </w:pPr>
    </w:p>
    <w:p w14:paraId="1E510B7D">
      <w:pPr>
        <w:bidi w:val="0"/>
        <w:rPr>
          <w:rFonts w:hint="eastAsia"/>
          <w:color w:val="auto"/>
          <w:highlight w:val="none"/>
        </w:rPr>
      </w:pPr>
    </w:p>
    <w:p w14:paraId="53E13ECE">
      <w:pPr>
        <w:bidi w:val="0"/>
        <w:rPr>
          <w:rFonts w:hint="eastAsia"/>
          <w:color w:val="auto"/>
          <w:highlight w:val="none"/>
        </w:rPr>
      </w:pPr>
    </w:p>
    <w:p w14:paraId="6154797D">
      <w:pPr>
        <w:bidi w:val="0"/>
        <w:rPr>
          <w:rFonts w:hint="eastAsia"/>
          <w:color w:val="auto"/>
          <w:highlight w:val="none"/>
        </w:rPr>
      </w:pPr>
    </w:p>
    <w:p w14:paraId="2E215F05">
      <w:pPr>
        <w:bidi w:val="0"/>
        <w:rPr>
          <w:rFonts w:hint="eastAsia"/>
          <w:color w:val="auto"/>
          <w:highlight w:val="none"/>
        </w:rPr>
      </w:pPr>
    </w:p>
    <w:p w14:paraId="0E3FC1B5">
      <w:pPr>
        <w:bidi w:val="0"/>
        <w:rPr>
          <w:rFonts w:hint="eastAsia"/>
          <w:color w:val="auto"/>
          <w:highlight w:val="none"/>
        </w:rPr>
      </w:pPr>
    </w:p>
    <w:p w14:paraId="31AF92C1">
      <w:pPr>
        <w:bidi w:val="0"/>
        <w:rPr>
          <w:rFonts w:hint="eastAsia"/>
          <w:color w:val="auto"/>
          <w:highlight w:val="none"/>
        </w:rPr>
      </w:pPr>
    </w:p>
    <w:p w14:paraId="4E311B76">
      <w:pPr>
        <w:bidi w:val="0"/>
        <w:rPr>
          <w:rFonts w:hint="eastAsia"/>
          <w:color w:val="auto"/>
          <w:highlight w:val="none"/>
        </w:rPr>
      </w:pPr>
    </w:p>
    <w:p w14:paraId="40BDA866">
      <w:pPr>
        <w:bidi w:val="0"/>
        <w:rPr>
          <w:rFonts w:hint="eastAsia"/>
          <w:color w:val="auto"/>
          <w:highlight w:val="none"/>
        </w:rPr>
      </w:pPr>
    </w:p>
    <w:p w14:paraId="5A0F5544">
      <w:pPr>
        <w:bidi w:val="0"/>
        <w:rPr>
          <w:rFonts w:hint="eastAsia"/>
          <w:color w:val="auto"/>
          <w:highlight w:val="none"/>
        </w:rPr>
      </w:pPr>
    </w:p>
    <w:p w14:paraId="2A2E681C">
      <w:pPr>
        <w:bidi w:val="0"/>
        <w:rPr>
          <w:rFonts w:hint="eastAsia"/>
          <w:color w:val="auto"/>
          <w:highlight w:val="none"/>
        </w:rPr>
      </w:pPr>
    </w:p>
    <w:p w14:paraId="2431FDD9">
      <w:pPr>
        <w:bidi w:val="0"/>
        <w:rPr>
          <w:rFonts w:hint="eastAsia"/>
          <w:color w:val="auto"/>
          <w:highlight w:val="none"/>
        </w:rPr>
      </w:pPr>
    </w:p>
    <w:p w14:paraId="2A1BB158">
      <w:pPr>
        <w:bidi w:val="0"/>
        <w:rPr>
          <w:rFonts w:hint="eastAsia"/>
          <w:color w:val="auto"/>
          <w:highlight w:val="none"/>
        </w:rPr>
      </w:pPr>
    </w:p>
    <w:p w14:paraId="37D19A81">
      <w:pPr>
        <w:bidi w:val="0"/>
        <w:rPr>
          <w:rFonts w:hint="eastAsia"/>
          <w:color w:val="auto"/>
          <w:highlight w:val="none"/>
        </w:rPr>
      </w:pPr>
    </w:p>
    <w:p w14:paraId="44862685">
      <w:pPr>
        <w:bidi w:val="0"/>
        <w:rPr>
          <w:rFonts w:hint="eastAsia"/>
          <w:color w:val="auto"/>
          <w:highlight w:val="none"/>
        </w:rPr>
      </w:pPr>
    </w:p>
    <w:p w14:paraId="55C2085C">
      <w:pPr>
        <w:bidi w:val="0"/>
        <w:rPr>
          <w:rFonts w:hint="eastAsia"/>
          <w:color w:val="auto"/>
          <w:highlight w:val="none"/>
        </w:rPr>
      </w:pPr>
    </w:p>
    <w:p w14:paraId="771E8A18">
      <w:pPr>
        <w:bidi w:val="0"/>
        <w:rPr>
          <w:rFonts w:hint="eastAsia"/>
          <w:color w:val="auto"/>
          <w:highlight w:val="none"/>
        </w:rPr>
      </w:pPr>
    </w:p>
    <w:p w14:paraId="26659948">
      <w:pPr>
        <w:bidi w:val="0"/>
        <w:rPr>
          <w:rFonts w:hint="eastAsia"/>
          <w:color w:val="auto"/>
          <w:highlight w:val="none"/>
        </w:rPr>
      </w:pPr>
    </w:p>
    <w:p w14:paraId="45160D4D">
      <w:pPr>
        <w:bidi w:val="0"/>
        <w:rPr>
          <w:rFonts w:hint="eastAsia"/>
          <w:color w:val="auto"/>
          <w:highlight w:val="none"/>
        </w:rPr>
      </w:pPr>
    </w:p>
    <w:p w14:paraId="148C78AB">
      <w:pPr>
        <w:bidi w:val="0"/>
        <w:rPr>
          <w:rFonts w:hint="eastAsia"/>
          <w:color w:val="auto"/>
          <w:highlight w:val="none"/>
        </w:rPr>
      </w:pPr>
    </w:p>
    <w:p w14:paraId="798045ED">
      <w:pPr>
        <w:bidi w:val="0"/>
        <w:rPr>
          <w:rFonts w:hint="eastAsia"/>
          <w:color w:val="auto"/>
          <w:highlight w:val="none"/>
        </w:rPr>
      </w:pPr>
    </w:p>
    <w:p w14:paraId="19A2E7B2">
      <w:pPr>
        <w:rPr>
          <w:rFonts w:hint="eastAsia"/>
          <w:color w:val="auto"/>
          <w:highlight w:val="none"/>
        </w:rPr>
      </w:pPr>
    </w:p>
    <w:p w14:paraId="37B63F53">
      <w:pPr>
        <w:pStyle w:val="3"/>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highlight w:val="none"/>
        </w:rPr>
      </w:pPr>
      <w:bookmarkStart w:id="8" w:name="_Toc4043"/>
      <w:bookmarkStart w:id="9" w:name="_Hlk55300595"/>
      <w:bookmarkStart w:id="10" w:name="_Toc13473"/>
      <w:bookmarkStart w:id="11" w:name="_Toc9572"/>
      <w:r>
        <w:rPr>
          <w:rFonts w:hint="eastAsia"/>
          <w:color w:val="auto"/>
          <w:sz w:val="28"/>
          <w:szCs w:val="28"/>
          <w:highlight w:val="none"/>
          <w:lang w:val="en-US" w:eastAsia="zh-CN"/>
        </w:rPr>
        <w:t xml:space="preserve">第三部分 </w:t>
      </w:r>
      <w:bookmarkStart w:id="12" w:name="_Toc71133523"/>
      <w:bookmarkStart w:id="13" w:name="_Hlk55300643"/>
      <w:r>
        <w:rPr>
          <w:rFonts w:hint="eastAsia"/>
          <w:color w:val="auto"/>
          <w:sz w:val="28"/>
          <w:szCs w:val="28"/>
          <w:highlight w:val="none"/>
          <w:lang w:val="en-US" w:eastAsia="zh-CN"/>
        </w:rPr>
        <w:t>评分</w:t>
      </w:r>
      <w:bookmarkStart w:id="14" w:name="_Hlk55209874"/>
      <w:r>
        <w:rPr>
          <w:rFonts w:hint="eastAsia"/>
          <w:color w:val="auto"/>
          <w:sz w:val="28"/>
          <w:szCs w:val="28"/>
          <w:highlight w:val="none"/>
          <w:lang w:val="en-US" w:eastAsia="zh-CN"/>
        </w:rPr>
        <w:t>权重分配表</w:t>
      </w:r>
      <w:bookmarkEnd w:id="8"/>
      <w:bookmarkEnd w:id="9"/>
      <w:bookmarkEnd w:id="10"/>
      <w:bookmarkEnd w:id="12"/>
      <w:bookmarkEnd w:id="13"/>
      <w:bookmarkEnd w:id="14"/>
    </w:p>
    <w:p w14:paraId="76998632">
      <w:pPr>
        <w:pStyle w:val="4"/>
        <w:spacing w:before="0" w:after="0" w:line="240" w:lineRule="auto"/>
        <w:jc w:val="center"/>
        <w:rPr>
          <w:rFonts w:ascii="宋体" w:hAnsi="宋体" w:eastAsia="宋体" w:cs="宋体"/>
          <w:color w:val="auto"/>
          <w:sz w:val="24"/>
          <w:szCs w:val="24"/>
          <w:highlight w:val="none"/>
        </w:rPr>
      </w:pPr>
      <w:bookmarkStart w:id="15" w:name="_Toc18413"/>
      <w:bookmarkStart w:id="16" w:name="_Toc462"/>
      <w:r>
        <w:rPr>
          <w:rFonts w:hint="eastAsia" w:ascii="宋体" w:hAnsi="宋体" w:eastAsia="宋体" w:cs="宋体"/>
          <w:color w:val="auto"/>
          <w:sz w:val="24"/>
          <w:szCs w:val="24"/>
          <w:highlight w:val="none"/>
        </w:rPr>
        <w:t>价格</w:t>
      </w:r>
      <w:r>
        <w:rPr>
          <w:rFonts w:hint="eastAsia" w:ascii="宋体" w:hAnsi="宋体" w:cs="宋体"/>
          <w:color w:val="auto"/>
          <w:sz w:val="24"/>
          <w:szCs w:val="24"/>
          <w:highlight w:val="none"/>
          <w:lang w:val="en-US" w:eastAsia="zh-CN"/>
        </w:rPr>
        <w:t>及</w:t>
      </w:r>
      <w:r>
        <w:rPr>
          <w:rFonts w:hint="eastAsia" w:ascii="宋体" w:hAnsi="宋体" w:eastAsia="宋体" w:cs="宋体"/>
          <w:color w:val="auto"/>
          <w:sz w:val="24"/>
          <w:szCs w:val="24"/>
          <w:highlight w:val="none"/>
        </w:rPr>
        <w:t>商务技术评分权重细则表</w:t>
      </w:r>
      <w:bookmarkEnd w:id="11"/>
      <w:bookmarkEnd w:id="15"/>
      <w:bookmarkEnd w:id="16"/>
    </w:p>
    <w:tbl>
      <w:tblPr>
        <w:tblStyle w:val="2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106"/>
        <w:gridCol w:w="660"/>
        <w:gridCol w:w="6066"/>
      </w:tblGrid>
      <w:tr w14:paraId="73D94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0F1AAE67">
            <w:pPr>
              <w:pStyle w:val="35"/>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106" w:type="dxa"/>
            <w:tcBorders>
              <w:top w:val="single" w:color="auto" w:sz="4" w:space="0"/>
              <w:left w:val="single" w:color="auto" w:sz="4" w:space="0"/>
              <w:bottom w:val="single" w:color="auto" w:sz="4" w:space="0"/>
              <w:right w:val="single" w:color="auto" w:sz="4" w:space="0"/>
            </w:tcBorders>
            <w:noWrap w:val="0"/>
            <w:vAlign w:val="center"/>
          </w:tcPr>
          <w:p w14:paraId="5ED3BDAB">
            <w:pPr>
              <w:pStyle w:val="35"/>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评审项目</w:t>
            </w:r>
          </w:p>
        </w:tc>
        <w:tc>
          <w:tcPr>
            <w:tcW w:w="660" w:type="dxa"/>
            <w:tcBorders>
              <w:top w:val="single" w:color="auto" w:sz="4" w:space="0"/>
              <w:left w:val="single" w:color="auto" w:sz="4" w:space="0"/>
              <w:bottom w:val="single" w:color="auto" w:sz="4" w:space="0"/>
              <w:right w:val="single" w:color="auto" w:sz="4" w:space="0"/>
            </w:tcBorders>
            <w:noWrap w:val="0"/>
            <w:vAlign w:val="center"/>
          </w:tcPr>
          <w:p w14:paraId="19FB1811">
            <w:pPr>
              <w:pStyle w:val="35"/>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c>
          <w:tcPr>
            <w:tcW w:w="6066" w:type="dxa"/>
            <w:tcBorders>
              <w:top w:val="single" w:color="auto" w:sz="4" w:space="0"/>
              <w:left w:val="single" w:color="auto" w:sz="4" w:space="0"/>
              <w:bottom w:val="single" w:color="auto" w:sz="4" w:space="0"/>
              <w:right w:val="single" w:color="auto" w:sz="4" w:space="0"/>
            </w:tcBorders>
            <w:noWrap w:val="0"/>
            <w:vAlign w:val="center"/>
          </w:tcPr>
          <w:p w14:paraId="641DC051">
            <w:pPr>
              <w:pStyle w:val="35"/>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评审细则</w:t>
            </w:r>
          </w:p>
        </w:tc>
      </w:tr>
      <w:tr w14:paraId="2DF59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4"/>
            <w:tcBorders>
              <w:top w:val="single" w:color="auto" w:sz="4" w:space="0"/>
              <w:left w:val="single" w:color="auto" w:sz="4" w:space="0"/>
              <w:bottom w:val="single" w:color="auto" w:sz="4" w:space="0"/>
              <w:right w:val="single" w:color="auto" w:sz="4" w:space="0"/>
            </w:tcBorders>
            <w:noWrap w:val="0"/>
            <w:vAlign w:val="center"/>
          </w:tcPr>
          <w:p w14:paraId="2A880F56">
            <w:pPr>
              <w:pStyle w:val="35"/>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商务评审</w:t>
            </w:r>
            <w:r>
              <w:rPr>
                <w:rFonts w:hint="eastAsia" w:ascii="宋体" w:hAns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30</w:t>
            </w:r>
            <w:r>
              <w:rPr>
                <w:rFonts w:hint="eastAsia" w:ascii="宋体" w:hAnsi="宋体" w:eastAsia="宋体" w:cs="宋体"/>
                <w:b/>
                <w:bCs/>
                <w:color w:val="auto"/>
                <w:sz w:val="21"/>
                <w:szCs w:val="21"/>
                <w:highlight w:val="none"/>
                <w:lang w:val="en-US" w:eastAsia="zh-CN"/>
              </w:rPr>
              <w:t>分</w:t>
            </w:r>
            <w:r>
              <w:rPr>
                <w:rFonts w:hint="eastAsia" w:ascii="宋体" w:hAnsi="宋体" w:eastAsia="宋体" w:cs="宋体"/>
                <w:b/>
                <w:bCs/>
                <w:color w:val="auto"/>
                <w:sz w:val="21"/>
                <w:szCs w:val="21"/>
                <w:highlight w:val="none"/>
                <w:lang w:eastAsia="zh-CN"/>
              </w:rPr>
              <w:t>）</w:t>
            </w:r>
          </w:p>
        </w:tc>
      </w:tr>
      <w:tr w14:paraId="193A2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0CEAA024">
            <w:pPr>
              <w:pStyle w:val="35"/>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106" w:type="dxa"/>
            <w:tcBorders>
              <w:top w:val="single" w:color="auto" w:sz="4" w:space="0"/>
              <w:left w:val="single" w:color="auto" w:sz="4" w:space="0"/>
              <w:bottom w:val="single" w:color="auto" w:sz="4" w:space="0"/>
              <w:right w:val="single" w:color="auto" w:sz="4" w:space="0"/>
            </w:tcBorders>
            <w:noWrap w:val="0"/>
            <w:vAlign w:val="center"/>
          </w:tcPr>
          <w:p w14:paraId="5A25A871">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综合实力</w:t>
            </w:r>
          </w:p>
        </w:tc>
        <w:tc>
          <w:tcPr>
            <w:tcW w:w="660" w:type="dxa"/>
            <w:tcBorders>
              <w:top w:val="single" w:color="auto" w:sz="4" w:space="0"/>
              <w:left w:val="single" w:color="auto" w:sz="4" w:space="0"/>
              <w:bottom w:val="single" w:color="auto" w:sz="4" w:space="0"/>
              <w:right w:val="single" w:color="auto" w:sz="4" w:space="0"/>
            </w:tcBorders>
            <w:noWrap w:val="0"/>
            <w:vAlign w:val="center"/>
          </w:tcPr>
          <w:p w14:paraId="5622BDE1">
            <w:pPr>
              <w:pStyle w:val="35"/>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10</w:t>
            </w:r>
          </w:p>
        </w:tc>
        <w:tc>
          <w:tcPr>
            <w:tcW w:w="6066" w:type="dxa"/>
            <w:tcBorders>
              <w:top w:val="single" w:color="auto" w:sz="4" w:space="0"/>
              <w:left w:val="single" w:color="auto" w:sz="4" w:space="0"/>
              <w:bottom w:val="single" w:color="auto" w:sz="4" w:space="0"/>
              <w:right w:val="single" w:color="auto" w:sz="4" w:space="0"/>
            </w:tcBorders>
            <w:noWrap w:val="0"/>
            <w:vAlign w:val="top"/>
          </w:tcPr>
          <w:p w14:paraId="7F21BDED">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获得</w:t>
            </w:r>
            <w:r>
              <w:rPr>
                <w:rFonts w:hint="eastAsia" w:ascii="宋体" w:hAnsi="宋体" w:eastAsia="宋体" w:cs="宋体"/>
                <w:color w:val="auto"/>
                <w:sz w:val="21"/>
                <w:szCs w:val="21"/>
                <w:highlight w:val="none"/>
                <w:lang w:eastAsia="zh-CN"/>
              </w:rPr>
              <w:t>政府部门</w:t>
            </w:r>
            <w:r>
              <w:rPr>
                <w:rFonts w:hint="eastAsia" w:ascii="宋体" w:hAnsi="宋体" w:eastAsia="宋体" w:cs="宋体"/>
                <w:color w:val="auto"/>
                <w:sz w:val="21"/>
                <w:szCs w:val="21"/>
                <w:highlight w:val="none"/>
              </w:rPr>
              <w:t>或其委托的第三方机构出具的年度社会工作</w:t>
            </w:r>
            <w:r>
              <w:rPr>
                <w:rFonts w:hint="eastAsia" w:ascii="宋体" w:hAnsi="宋体" w:eastAsia="宋体" w:cs="宋体"/>
                <w:color w:val="auto"/>
                <w:sz w:val="21"/>
                <w:szCs w:val="21"/>
                <w:highlight w:val="none"/>
                <w:lang w:eastAsia="zh-CN"/>
              </w:rPr>
              <w:t>相关</w:t>
            </w:r>
            <w:r>
              <w:rPr>
                <w:rFonts w:hint="eastAsia" w:ascii="宋体" w:hAnsi="宋体" w:eastAsia="宋体" w:cs="宋体"/>
                <w:color w:val="auto"/>
                <w:sz w:val="21"/>
                <w:szCs w:val="21"/>
                <w:highlight w:val="none"/>
              </w:rPr>
              <w:t>综合评估等级进行评分：优秀等级的，得3分；良好等级的，得2分；合格等级的，得1分，其他情况不得分，历年评估结果可累计，最高得10分。</w:t>
            </w:r>
          </w:p>
          <w:p w14:paraId="10119C4F">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cs="宋体"/>
                <w:color w:val="auto"/>
                <w:sz w:val="21"/>
                <w:szCs w:val="21"/>
                <w:highlight w:val="none"/>
                <w:lang w:val="en-US" w:eastAsia="zh-CN"/>
              </w:rPr>
              <w:t>注：</w:t>
            </w:r>
            <w:r>
              <w:rPr>
                <w:rFonts w:hint="eastAsia" w:ascii="宋体" w:hAnsi="宋体" w:eastAsia="宋体" w:cs="宋体"/>
                <w:color w:val="auto"/>
                <w:sz w:val="21"/>
                <w:szCs w:val="21"/>
                <w:highlight w:val="none"/>
              </w:rPr>
              <w:t>须提供评估结果相关证明，复印件并加盖</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公章；如评估结果非“优秀、良好、合格”的，按同等级得分，</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须对评估结果的级别情况进行说明</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否则不得分</w:t>
            </w:r>
            <w:r>
              <w:rPr>
                <w:rFonts w:hint="eastAsia" w:ascii="宋体" w:hAnsi="宋体" w:cs="宋体"/>
                <w:color w:val="auto"/>
                <w:sz w:val="21"/>
                <w:szCs w:val="21"/>
                <w:highlight w:val="none"/>
                <w:lang w:eastAsia="zh-CN"/>
              </w:rPr>
              <w:t>。</w:t>
            </w:r>
          </w:p>
        </w:tc>
      </w:tr>
      <w:tr w14:paraId="78D6F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157D1F17">
            <w:pPr>
              <w:pStyle w:val="35"/>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106" w:type="dxa"/>
            <w:tcBorders>
              <w:top w:val="single" w:color="auto" w:sz="4" w:space="0"/>
              <w:left w:val="single" w:color="auto" w:sz="4" w:space="0"/>
              <w:bottom w:val="single" w:color="auto" w:sz="4" w:space="0"/>
              <w:right w:val="single" w:color="auto" w:sz="4" w:space="0"/>
            </w:tcBorders>
            <w:noWrap w:val="0"/>
            <w:vAlign w:val="center"/>
          </w:tcPr>
          <w:p w14:paraId="10D9DD12">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业绩经验</w:t>
            </w:r>
          </w:p>
        </w:tc>
        <w:tc>
          <w:tcPr>
            <w:tcW w:w="660" w:type="dxa"/>
            <w:tcBorders>
              <w:top w:val="single" w:color="auto" w:sz="4" w:space="0"/>
              <w:left w:val="single" w:color="auto" w:sz="4" w:space="0"/>
              <w:bottom w:val="single" w:color="auto" w:sz="4" w:space="0"/>
              <w:right w:val="single" w:color="auto" w:sz="4" w:space="0"/>
            </w:tcBorders>
            <w:noWrap w:val="0"/>
            <w:vAlign w:val="center"/>
          </w:tcPr>
          <w:p w14:paraId="66A6AC99">
            <w:pPr>
              <w:pStyle w:val="35"/>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宋体" w:hAnsi="宋体" w:eastAsia="宋体" w:cs="宋体"/>
                <w:color w:val="auto"/>
                <w:kern w:val="2"/>
                <w:sz w:val="21"/>
                <w:szCs w:val="21"/>
                <w:highlight w:val="none"/>
                <w:lang w:val="en-US" w:eastAsia="zh-CN" w:bidi="ar-SA"/>
              </w:rPr>
            </w:pPr>
            <w:r>
              <w:rPr>
                <w:rFonts w:hint="eastAsia" w:ascii="宋体" w:eastAsia="宋体" w:cs="宋体"/>
                <w:color w:val="auto"/>
                <w:sz w:val="21"/>
                <w:szCs w:val="21"/>
                <w:highlight w:val="none"/>
                <w:lang w:val="en-US" w:eastAsia="zh-CN"/>
              </w:rPr>
              <w:t>20</w:t>
            </w:r>
          </w:p>
        </w:tc>
        <w:tc>
          <w:tcPr>
            <w:tcW w:w="6066" w:type="dxa"/>
            <w:tcBorders>
              <w:top w:val="single" w:color="auto" w:sz="4" w:space="0"/>
              <w:left w:val="single" w:color="auto" w:sz="4" w:space="0"/>
              <w:bottom w:val="single" w:color="auto" w:sz="4" w:space="0"/>
              <w:right w:val="single" w:color="auto" w:sz="4" w:space="0"/>
            </w:tcBorders>
            <w:noWrap w:val="0"/>
            <w:vAlign w:val="top"/>
          </w:tcPr>
          <w:p w14:paraId="007BB782">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lang w:eastAsia="zh-CN"/>
              </w:rPr>
              <w:t>具有同类项目（合同内容须包含社会工作服务）业绩的</w:t>
            </w:r>
            <w:r>
              <w:rPr>
                <w:rFonts w:hint="eastAsia" w:ascii="宋体" w:hAnsi="宋体" w:eastAsia="宋体" w:cs="宋体"/>
                <w:color w:val="auto"/>
                <w:sz w:val="21"/>
                <w:szCs w:val="21"/>
                <w:highlight w:val="none"/>
              </w:rPr>
              <w:t>，每个得</w:t>
            </w:r>
            <w:r>
              <w:rPr>
                <w:rFonts w:hint="eastAsia" w:ascii="宋体" w:hAnsi="宋体" w:cs="宋体"/>
                <w:color w:val="auto"/>
                <w:sz w:val="21"/>
                <w:szCs w:val="21"/>
                <w:highlight w:val="none"/>
                <w:lang w:val="en-US" w:eastAsia="zh-CN"/>
              </w:rPr>
              <w:t>2.5</w:t>
            </w:r>
            <w:r>
              <w:rPr>
                <w:rFonts w:hint="eastAsia" w:ascii="宋体" w:hAnsi="宋体" w:eastAsia="宋体" w:cs="宋体"/>
                <w:color w:val="auto"/>
                <w:sz w:val="21"/>
                <w:szCs w:val="21"/>
                <w:highlight w:val="none"/>
              </w:rPr>
              <w:t>分，最高得20分。</w:t>
            </w:r>
          </w:p>
          <w:p w14:paraId="25ED7BFD">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注：</w:t>
            </w:r>
            <w:r>
              <w:rPr>
                <w:rFonts w:hint="eastAsia" w:ascii="宋体" w:hAnsi="宋体" w:eastAsia="宋体" w:cs="宋体"/>
                <w:color w:val="auto"/>
                <w:sz w:val="21"/>
                <w:szCs w:val="21"/>
                <w:highlight w:val="none"/>
              </w:rPr>
              <w:t>须提供合同和合同任意发票，复印件加盖</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公章</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否则不得分。</w:t>
            </w:r>
          </w:p>
        </w:tc>
      </w:tr>
      <w:tr w14:paraId="0E38D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4"/>
            <w:tcBorders>
              <w:top w:val="single" w:color="auto" w:sz="4" w:space="0"/>
              <w:left w:val="single" w:color="auto" w:sz="4" w:space="0"/>
              <w:bottom w:val="single" w:color="auto" w:sz="4" w:space="0"/>
              <w:right w:val="single" w:color="auto" w:sz="4" w:space="0"/>
            </w:tcBorders>
            <w:noWrap w:val="0"/>
            <w:vAlign w:val="center"/>
          </w:tcPr>
          <w:p w14:paraId="517863C4">
            <w:pPr>
              <w:pStyle w:val="35"/>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rPr>
              <w:t>技术评审</w:t>
            </w:r>
            <w:r>
              <w:rPr>
                <w:rFonts w:hint="eastAsia" w:ascii="宋体" w:hAns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60</w:t>
            </w:r>
            <w:r>
              <w:rPr>
                <w:rFonts w:hint="eastAsia" w:ascii="宋体" w:hAnsi="宋体" w:eastAsia="宋体" w:cs="宋体"/>
                <w:b/>
                <w:bCs/>
                <w:color w:val="auto"/>
                <w:sz w:val="21"/>
                <w:szCs w:val="21"/>
                <w:highlight w:val="none"/>
                <w:lang w:val="en-US" w:eastAsia="zh-CN"/>
              </w:rPr>
              <w:t>分</w:t>
            </w:r>
            <w:r>
              <w:rPr>
                <w:rFonts w:hint="eastAsia" w:ascii="宋体" w:hAnsi="宋体" w:eastAsia="宋体" w:cs="宋体"/>
                <w:b/>
                <w:bCs/>
                <w:color w:val="auto"/>
                <w:sz w:val="21"/>
                <w:szCs w:val="21"/>
                <w:highlight w:val="none"/>
                <w:lang w:eastAsia="zh-CN"/>
              </w:rPr>
              <w:t>）</w:t>
            </w:r>
          </w:p>
        </w:tc>
      </w:tr>
      <w:tr w14:paraId="4001F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436015E2">
            <w:pPr>
              <w:pStyle w:val="35"/>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106" w:type="dxa"/>
            <w:tcBorders>
              <w:top w:val="single" w:color="auto" w:sz="4" w:space="0"/>
              <w:left w:val="single" w:color="auto" w:sz="4" w:space="0"/>
              <w:bottom w:val="single" w:color="auto" w:sz="4" w:space="0"/>
              <w:right w:val="single" w:color="auto" w:sz="4" w:space="0"/>
            </w:tcBorders>
            <w:noWrap w:val="0"/>
            <w:vAlign w:val="center"/>
          </w:tcPr>
          <w:p w14:paraId="2D4F17F0">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项目重点难点分析</w:t>
            </w:r>
          </w:p>
        </w:tc>
        <w:tc>
          <w:tcPr>
            <w:tcW w:w="660" w:type="dxa"/>
            <w:tcBorders>
              <w:top w:val="single" w:color="auto" w:sz="4" w:space="0"/>
              <w:left w:val="single" w:color="auto" w:sz="4" w:space="0"/>
              <w:bottom w:val="single" w:color="auto" w:sz="4" w:space="0"/>
              <w:right w:val="single" w:color="auto" w:sz="4" w:space="0"/>
            </w:tcBorders>
            <w:noWrap w:val="0"/>
            <w:vAlign w:val="center"/>
          </w:tcPr>
          <w:p w14:paraId="471D7995">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w:t>
            </w:r>
          </w:p>
        </w:tc>
        <w:tc>
          <w:tcPr>
            <w:tcW w:w="6066" w:type="dxa"/>
            <w:tcBorders>
              <w:top w:val="single" w:color="auto" w:sz="4" w:space="0"/>
              <w:left w:val="single" w:color="auto" w:sz="4" w:space="0"/>
              <w:bottom w:val="single" w:color="auto" w:sz="4" w:space="0"/>
              <w:right w:val="single" w:color="auto" w:sz="4" w:space="0"/>
            </w:tcBorders>
            <w:noWrap w:val="0"/>
            <w:vAlign w:val="center"/>
          </w:tcPr>
          <w:p w14:paraId="6F459E3C">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根据采购需求提供的项目重点难点分析进行评分：</w:t>
            </w:r>
          </w:p>
          <w:p w14:paraId="11EC83C2">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①项目重点难点分析详细完整，对服务对象现状和当前可能存在的问题分析到位，提供具体的解决方案，可行性高，有利于项目实施，得10分；</w:t>
            </w:r>
          </w:p>
          <w:p w14:paraId="232F743E">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②项目重点难点分析基本完整，基本了解服务对象现状，解决方案具备一定可行性，得6分；</w:t>
            </w:r>
          </w:p>
          <w:p w14:paraId="2D43729E">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③项目重点难点分析不到位，未能对服务对象现状进行有效分析，解决方案缺乏合理性，得2分；</w:t>
            </w:r>
          </w:p>
          <w:p w14:paraId="3E1F9DC3">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④未提供不得分。</w:t>
            </w:r>
          </w:p>
        </w:tc>
      </w:tr>
      <w:tr w14:paraId="405FE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45720BEF">
            <w:pPr>
              <w:pStyle w:val="35"/>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106" w:type="dxa"/>
            <w:tcBorders>
              <w:top w:val="single" w:color="auto" w:sz="4" w:space="0"/>
              <w:left w:val="single" w:color="auto" w:sz="4" w:space="0"/>
              <w:bottom w:val="single" w:color="auto" w:sz="4" w:space="0"/>
              <w:right w:val="single" w:color="auto" w:sz="4" w:space="0"/>
            </w:tcBorders>
            <w:noWrap w:val="0"/>
            <w:vAlign w:val="center"/>
          </w:tcPr>
          <w:p w14:paraId="10D34C31">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总体服务方案</w:t>
            </w:r>
          </w:p>
        </w:tc>
        <w:tc>
          <w:tcPr>
            <w:tcW w:w="660" w:type="dxa"/>
            <w:tcBorders>
              <w:top w:val="single" w:color="auto" w:sz="4" w:space="0"/>
              <w:left w:val="single" w:color="auto" w:sz="4" w:space="0"/>
              <w:bottom w:val="single" w:color="auto" w:sz="4" w:space="0"/>
              <w:right w:val="single" w:color="auto" w:sz="4" w:space="0"/>
            </w:tcBorders>
            <w:noWrap w:val="0"/>
            <w:vAlign w:val="center"/>
          </w:tcPr>
          <w:p w14:paraId="0F32F1B2">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10</w:t>
            </w:r>
          </w:p>
        </w:tc>
        <w:tc>
          <w:tcPr>
            <w:tcW w:w="6066" w:type="dxa"/>
            <w:tcBorders>
              <w:top w:val="single" w:color="auto" w:sz="4" w:space="0"/>
              <w:left w:val="single" w:color="auto" w:sz="4" w:space="0"/>
              <w:bottom w:val="single" w:color="auto" w:sz="4" w:space="0"/>
              <w:right w:val="single" w:color="auto" w:sz="4" w:space="0"/>
            </w:tcBorders>
            <w:noWrap w:val="0"/>
            <w:vAlign w:val="center"/>
          </w:tcPr>
          <w:p w14:paraId="13C20DAB">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根据采购需求提供的总体服务方案（包括但不限于实施服务方案、服务标准、服务细则等）进行评分：</w:t>
            </w:r>
          </w:p>
          <w:p w14:paraId="06F14746">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①总体服务方案详细完整，服务标准清晰明确，服务细则完善规范，可行性高，完全满足或优于采购需求的，得10分；</w:t>
            </w:r>
          </w:p>
          <w:p w14:paraId="172BE51C">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②总体服务方案基本完整，服务标准基本清晰，服务细则较为规范，基本满足采购需求的，得6分；</w:t>
            </w:r>
          </w:p>
          <w:p w14:paraId="0AF5E3DD">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③总体服务方案不完整、服务标准或服务细则缺乏合理性，得2分；</w:t>
            </w:r>
          </w:p>
          <w:p w14:paraId="316AD626">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④未提供不得分。</w:t>
            </w:r>
          </w:p>
        </w:tc>
      </w:tr>
      <w:tr w14:paraId="0FDC4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7BADB1AB">
            <w:pPr>
              <w:pStyle w:val="35"/>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106" w:type="dxa"/>
            <w:tcBorders>
              <w:top w:val="single" w:color="auto" w:sz="4" w:space="0"/>
              <w:left w:val="single" w:color="auto" w:sz="4" w:space="0"/>
              <w:bottom w:val="single" w:color="auto" w:sz="4" w:space="0"/>
              <w:right w:val="single" w:color="auto" w:sz="4" w:space="0"/>
            </w:tcBorders>
            <w:noWrap w:val="0"/>
            <w:vAlign w:val="center"/>
          </w:tcPr>
          <w:p w14:paraId="7DD4A771">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人员管理方案</w:t>
            </w:r>
          </w:p>
        </w:tc>
        <w:tc>
          <w:tcPr>
            <w:tcW w:w="660" w:type="dxa"/>
            <w:tcBorders>
              <w:top w:val="single" w:color="auto" w:sz="4" w:space="0"/>
              <w:left w:val="single" w:color="auto" w:sz="4" w:space="0"/>
              <w:bottom w:val="single" w:color="auto" w:sz="4" w:space="0"/>
              <w:right w:val="single" w:color="auto" w:sz="4" w:space="0"/>
            </w:tcBorders>
            <w:noWrap w:val="0"/>
            <w:vAlign w:val="center"/>
          </w:tcPr>
          <w:p w14:paraId="611F1B4C">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10</w:t>
            </w:r>
          </w:p>
        </w:tc>
        <w:tc>
          <w:tcPr>
            <w:tcW w:w="6066" w:type="dxa"/>
            <w:tcBorders>
              <w:top w:val="single" w:color="auto" w:sz="4" w:space="0"/>
              <w:left w:val="single" w:color="auto" w:sz="4" w:space="0"/>
              <w:bottom w:val="single" w:color="auto" w:sz="4" w:space="0"/>
              <w:right w:val="single" w:color="auto" w:sz="4" w:space="0"/>
            </w:tcBorders>
            <w:noWrap w:val="0"/>
            <w:vAlign w:val="center"/>
          </w:tcPr>
          <w:p w14:paraId="18A09C4D">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根据采购需求提供的人员管理方案（包括但不限于服务人员招聘、培训、管理等）进行评分：</w:t>
            </w:r>
          </w:p>
          <w:p w14:paraId="27B6E01E">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①人员招聘、培训方案详细完整，清晰明确，人员管理、考核方案完善规范，可行性高，完全满足或优于采购需求的，得10分；</w:t>
            </w:r>
          </w:p>
          <w:p w14:paraId="774CD604">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②人员招聘、培训方案基本完整，人员管理、考核方案较为规范，基本满足采购需求的，得6分；</w:t>
            </w:r>
          </w:p>
          <w:p w14:paraId="52F10CE9">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③人员管理方案有缺漏或缺乏合理性，得2分；</w:t>
            </w:r>
          </w:p>
          <w:p w14:paraId="4A0A28FA">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④未提供不得分。</w:t>
            </w:r>
          </w:p>
        </w:tc>
      </w:tr>
      <w:tr w14:paraId="3EDDC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right w:val="single" w:color="auto" w:sz="4" w:space="0"/>
            </w:tcBorders>
            <w:noWrap w:val="0"/>
            <w:vAlign w:val="center"/>
          </w:tcPr>
          <w:p w14:paraId="13C5BD2D">
            <w:pPr>
              <w:pStyle w:val="35"/>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4</w:t>
            </w:r>
          </w:p>
        </w:tc>
        <w:tc>
          <w:tcPr>
            <w:tcW w:w="1106" w:type="dxa"/>
            <w:tcBorders>
              <w:top w:val="single" w:color="auto" w:sz="4" w:space="0"/>
              <w:left w:val="single" w:color="auto" w:sz="4" w:space="0"/>
              <w:right w:val="single" w:color="auto" w:sz="4" w:space="0"/>
            </w:tcBorders>
            <w:noWrap w:val="0"/>
            <w:vAlign w:val="center"/>
          </w:tcPr>
          <w:p w14:paraId="6E27BA39">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服务质量保障措施</w:t>
            </w:r>
          </w:p>
        </w:tc>
        <w:tc>
          <w:tcPr>
            <w:tcW w:w="660" w:type="dxa"/>
            <w:tcBorders>
              <w:top w:val="single" w:color="auto" w:sz="4" w:space="0"/>
              <w:left w:val="single" w:color="auto" w:sz="4" w:space="0"/>
              <w:bottom w:val="single" w:color="auto" w:sz="4" w:space="0"/>
              <w:right w:val="single" w:color="auto" w:sz="4" w:space="0"/>
            </w:tcBorders>
            <w:noWrap w:val="0"/>
            <w:vAlign w:val="center"/>
          </w:tcPr>
          <w:p w14:paraId="2E4BD8F4">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10</w:t>
            </w:r>
          </w:p>
        </w:tc>
        <w:tc>
          <w:tcPr>
            <w:tcW w:w="6066" w:type="dxa"/>
            <w:tcBorders>
              <w:top w:val="single" w:color="auto" w:sz="4" w:space="0"/>
              <w:left w:val="single" w:color="auto" w:sz="4" w:space="0"/>
              <w:bottom w:val="single" w:color="auto" w:sz="4" w:space="0"/>
              <w:right w:val="single" w:color="auto" w:sz="4" w:space="0"/>
            </w:tcBorders>
            <w:noWrap w:val="0"/>
            <w:vAlign w:val="center"/>
          </w:tcPr>
          <w:p w14:paraId="299F7C6D">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根据采购需求提供的服务质量保障措施进行评分：</w:t>
            </w:r>
          </w:p>
          <w:p w14:paraId="0478C476">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①服务质量保障措施详细完整，各项保障措施科学合理，能有效保障项目服务质量，得10分；</w:t>
            </w:r>
          </w:p>
          <w:p w14:paraId="27E558A1">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②服务质量保障措施完整，各项保障措施基本合理，能保障项目服务质量，得6分；</w:t>
            </w:r>
          </w:p>
          <w:p w14:paraId="5064DD0C">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③服务质量保障措施不完整，各项保障措施缺乏合理性，得2分；</w:t>
            </w:r>
          </w:p>
          <w:p w14:paraId="751D6C64">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④未提供不得分。</w:t>
            </w:r>
          </w:p>
        </w:tc>
      </w:tr>
      <w:tr w14:paraId="72DD6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right w:val="single" w:color="auto" w:sz="4" w:space="0"/>
            </w:tcBorders>
            <w:noWrap w:val="0"/>
            <w:vAlign w:val="center"/>
          </w:tcPr>
          <w:p w14:paraId="02815BFD">
            <w:pPr>
              <w:pStyle w:val="35"/>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5</w:t>
            </w:r>
          </w:p>
        </w:tc>
        <w:tc>
          <w:tcPr>
            <w:tcW w:w="1106" w:type="dxa"/>
            <w:tcBorders>
              <w:top w:val="single" w:color="auto" w:sz="4" w:space="0"/>
              <w:left w:val="single" w:color="auto" w:sz="4" w:space="0"/>
              <w:right w:val="single" w:color="auto" w:sz="4" w:space="0"/>
            </w:tcBorders>
            <w:noWrap w:val="0"/>
            <w:vAlign w:val="center"/>
          </w:tcPr>
          <w:p w14:paraId="75CFEBDE">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安全、应急管理方案</w:t>
            </w:r>
          </w:p>
        </w:tc>
        <w:tc>
          <w:tcPr>
            <w:tcW w:w="660" w:type="dxa"/>
            <w:tcBorders>
              <w:top w:val="single" w:color="auto" w:sz="4" w:space="0"/>
              <w:left w:val="single" w:color="auto" w:sz="4" w:space="0"/>
              <w:bottom w:val="single" w:color="auto" w:sz="4" w:space="0"/>
              <w:right w:val="single" w:color="auto" w:sz="4" w:space="0"/>
            </w:tcBorders>
            <w:noWrap w:val="0"/>
            <w:vAlign w:val="center"/>
          </w:tcPr>
          <w:p w14:paraId="29626F27">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default" w:ascii="宋体" w:hAnsi="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10</w:t>
            </w:r>
          </w:p>
        </w:tc>
        <w:tc>
          <w:tcPr>
            <w:tcW w:w="6066" w:type="dxa"/>
            <w:tcBorders>
              <w:top w:val="single" w:color="auto" w:sz="4" w:space="0"/>
              <w:left w:val="single" w:color="auto" w:sz="4" w:space="0"/>
              <w:bottom w:val="single" w:color="auto" w:sz="4" w:space="0"/>
              <w:right w:val="single" w:color="auto" w:sz="4" w:space="0"/>
            </w:tcBorders>
            <w:noWrap w:val="0"/>
            <w:vAlign w:val="center"/>
          </w:tcPr>
          <w:p w14:paraId="21989DA2">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根据采购需求提供的安全、应急管理方案进行评分：</w:t>
            </w:r>
          </w:p>
          <w:p w14:paraId="1502220D">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①安全、应急管理方案详细完整，有完善的应急处理机制，应急资源准备科学充分、可行性高，得10分；</w:t>
            </w:r>
          </w:p>
          <w:p w14:paraId="688DA20B">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②安全、应急管理方案完整，有基本的应急处理机制，应急资源准备具备可行性，得6分；</w:t>
            </w:r>
          </w:p>
          <w:p w14:paraId="63A69FF1">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③安全、应急管理方案不完整，应急处理机制及应急资源准备缺乏合理性，得2分；</w:t>
            </w:r>
          </w:p>
          <w:p w14:paraId="766FA9A6">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④未提供不得分。</w:t>
            </w:r>
          </w:p>
        </w:tc>
      </w:tr>
      <w:tr w14:paraId="36890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right w:val="single" w:color="auto" w:sz="4" w:space="0"/>
            </w:tcBorders>
            <w:noWrap w:val="0"/>
            <w:vAlign w:val="center"/>
          </w:tcPr>
          <w:p w14:paraId="7092A292">
            <w:pPr>
              <w:pStyle w:val="35"/>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6</w:t>
            </w:r>
          </w:p>
        </w:tc>
        <w:tc>
          <w:tcPr>
            <w:tcW w:w="1106" w:type="dxa"/>
            <w:tcBorders>
              <w:top w:val="single" w:color="auto" w:sz="4" w:space="0"/>
              <w:left w:val="single" w:color="auto" w:sz="4" w:space="0"/>
              <w:right w:val="single" w:color="auto" w:sz="4" w:space="0"/>
            </w:tcBorders>
            <w:noWrap w:val="0"/>
            <w:vAlign w:val="center"/>
          </w:tcPr>
          <w:p w14:paraId="12F11651">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内部管理制度</w:t>
            </w:r>
          </w:p>
        </w:tc>
        <w:tc>
          <w:tcPr>
            <w:tcW w:w="660" w:type="dxa"/>
            <w:tcBorders>
              <w:top w:val="single" w:color="auto" w:sz="4" w:space="0"/>
              <w:left w:val="single" w:color="auto" w:sz="4" w:space="0"/>
              <w:bottom w:val="single" w:color="auto" w:sz="4" w:space="0"/>
              <w:right w:val="single" w:color="auto" w:sz="4" w:space="0"/>
            </w:tcBorders>
            <w:noWrap w:val="0"/>
            <w:vAlign w:val="center"/>
          </w:tcPr>
          <w:p w14:paraId="1186FE44">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default" w:ascii="宋体" w:hAnsi="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10</w:t>
            </w:r>
          </w:p>
        </w:tc>
        <w:tc>
          <w:tcPr>
            <w:tcW w:w="6066" w:type="dxa"/>
            <w:tcBorders>
              <w:top w:val="single" w:color="auto" w:sz="4" w:space="0"/>
              <w:left w:val="single" w:color="auto" w:sz="4" w:space="0"/>
              <w:bottom w:val="single" w:color="auto" w:sz="4" w:space="0"/>
              <w:right w:val="single" w:color="auto" w:sz="4" w:space="0"/>
            </w:tcBorders>
            <w:noWrap w:val="0"/>
            <w:vAlign w:val="center"/>
          </w:tcPr>
          <w:p w14:paraId="19FF1394">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根据采购需求提供的内部管理制度（包括但不限于企业组织管理架构、财务管理制度、物资使用管理制度、员工晋升制度、档案管理制度等）进行评分：</w:t>
            </w:r>
          </w:p>
          <w:p w14:paraId="5499EDEC">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①管理制度具体完善、条理清晰，岗位职责清晰明确，可行性高，完全满足或优于采购需求的，得10分；</w:t>
            </w:r>
          </w:p>
          <w:p w14:paraId="0ED5FB83">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②管理制度基本清晰、岗位职责基本明确，具备一定可行性，得6分；</w:t>
            </w:r>
          </w:p>
          <w:p w14:paraId="36C5D01D">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③管理制度、岗位职责有缺漏或缺乏合理性，得2分；</w:t>
            </w:r>
          </w:p>
          <w:p w14:paraId="3EA3F5B2">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④未提供不得分。</w:t>
            </w:r>
          </w:p>
        </w:tc>
      </w:tr>
      <w:tr w14:paraId="14AD1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8522" w:type="dxa"/>
            <w:gridSpan w:val="4"/>
            <w:tcBorders>
              <w:top w:val="single" w:color="auto" w:sz="4" w:space="0"/>
              <w:left w:val="single" w:color="auto" w:sz="4" w:space="0"/>
              <w:bottom w:val="single" w:color="auto" w:sz="4" w:space="0"/>
              <w:right w:val="single" w:color="auto" w:sz="4" w:space="0"/>
            </w:tcBorders>
            <w:noWrap w:val="0"/>
            <w:vAlign w:val="center"/>
          </w:tcPr>
          <w:p w14:paraId="02659605">
            <w:pPr>
              <w:pStyle w:val="35"/>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b/>
                <w:bCs/>
                <w:color w:val="auto"/>
                <w:sz w:val="21"/>
                <w:szCs w:val="21"/>
                <w:highlight w:val="none"/>
              </w:rPr>
              <w:t>价格评审</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10分</w:t>
            </w:r>
            <w:r>
              <w:rPr>
                <w:rFonts w:hint="eastAsia" w:ascii="宋体" w:hAnsi="宋体" w:eastAsia="宋体" w:cs="宋体"/>
                <w:b/>
                <w:bCs/>
                <w:color w:val="auto"/>
                <w:sz w:val="21"/>
                <w:szCs w:val="21"/>
                <w:highlight w:val="none"/>
                <w:lang w:eastAsia="zh-CN"/>
              </w:rPr>
              <w:t>）</w:t>
            </w:r>
          </w:p>
        </w:tc>
      </w:tr>
      <w:tr w14:paraId="7BDCF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545A7429">
            <w:pPr>
              <w:pStyle w:val="35"/>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106" w:type="dxa"/>
            <w:tcBorders>
              <w:top w:val="single" w:color="auto" w:sz="4" w:space="0"/>
              <w:left w:val="single" w:color="auto" w:sz="4" w:space="0"/>
              <w:bottom w:val="single" w:color="auto" w:sz="4" w:space="0"/>
              <w:right w:val="single" w:color="auto" w:sz="4" w:space="0"/>
            </w:tcBorders>
            <w:noWrap w:val="0"/>
            <w:vAlign w:val="center"/>
          </w:tcPr>
          <w:p w14:paraId="3B494507">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响应报价</w:t>
            </w:r>
          </w:p>
        </w:tc>
        <w:tc>
          <w:tcPr>
            <w:tcW w:w="660" w:type="dxa"/>
            <w:tcBorders>
              <w:top w:val="single" w:color="auto" w:sz="4" w:space="0"/>
              <w:left w:val="single" w:color="auto" w:sz="4" w:space="0"/>
              <w:bottom w:val="single" w:color="auto" w:sz="4" w:space="0"/>
              <w:right w:val="single" w:color="auto" w:sz="4" w:space="0"/>
            </w:tcBorders>
            <w:noWrap w:val="0"/>
            <w:vAlign w:val="center"/>
          </w:tcPr>
          <w:p w14:paraId="17F6EEDC">
            <w:pPr>
              <w:keepNext w:val="0"/>
              <w:keepLines w:val="0"/>
              <w:pageBreakBefore w:val="0"/>
              <w:kinsoku/>
              <w:wordWrap/>
              <w:overflowPunct/>
              <w:topLinePunct w:val="0"/>
              <w:autoSpaceDE/>
              <w:autoSpaceDN/>
              <w:bidi w:val="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10</w:t>
            </w:r>
          </w:p>
        </w:tc>
        <w:tc>
          <w:tcPr>
            <w:tcW w:w="6066" w:type="dxa"/>
            <w:tcBorders>
              <w:top w:val="single" w:color="auto" w:sz="4" w:space="0"/>
              <w:left w:val="single" w:color="auto" w:sz="4" w:space="0"/>
              <w:bottom w:val="single" w:color="auto" w:sz="4" w:space="0"/>
              <w:right w:val="single" w:color="auto" w:sz="4" w:space="0"/>
            </w:tcBorders>
            <w:noWrap w:val="0"/>
            <w:vAlign w:val="center"/>
          </w:tcPr>
          <w:p w14:paraId="7E043725">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w:t>
            </w:r>
            <w:r>
              <w:rPr>
                <w:rFonts w:hint="eastAsia" w:ascii="宋体" w:hAnsi="宋体" w:eastAsia="宋体" w:cs="宋体"/>
                <w:color w:val="auto"/>
                <w:sz w:val="21"/>
                <w:szCs w:val="21"/>
                <w:highlight w:val="none"/>
                <w:lang w:eastAsia="zh-CN"/>
              </w:rPr>
              <w:t>磋商文件</w:t>
            </w:r>
            <w:r>
              <w:rPr>
                <w:rFonts w:hint="eastAsia" w:ascii="宋体" w:hAnsi="宋体" w:eastAsia="宋体" w:cs="宋体"/>
                <w:color w:val="auto"/>
                <w:sz w:val="21"/>
                <w:szCs w:val="21"/>
                <w:highlight w:val="none"/>
              </w:rPr>
              <w:t>要求且</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价格最低的</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报价为评标基准价，其价格分为满分。其他</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的价格分统一按照下列公式计算：</w:t>
            </w:r>
          </w:p>
          <w:p w14:paraId="1C2832B1">
            <w:pPr>
              <w:keepNext w:val="0"/>
              <w:keepLines w:val="0"/>
              <w:pageBreakBefore w:val="0"/>
              <w:kinsoku/>
              <w:wordWrap/>
              <w:overflowPunct/>
              <w:topLinePunct w:val="0"/>
              <w:autoSpaceDE/>
              <w:autoSpaceDN/>
              <w:bidi w:val="0"/>
              <w:ind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报价得分=(评标基准价／</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报价)×价格权值</w:t>
            </w:r>
          </w:p>
        </w:tc>
      </w:tr>
    </w:tbl>
    <w:p w14:paraId="2EBF7338">
      <w:pPr>
        <w:bidi w:val="0"/>
        <w:rPr>
          <w:rFonts w:hint="eastAsia"/>
          <w:color w:val="auto"/>
          <w:highlight w:val="none"/>
        </w:rPr>
      </w:pPr>
      <w:r>
        <w:rPr>
          <w:rFonts w:hint="eastAsia"/>
          <w:color w:val="auto"/>
          <w:highlight w:val="none"/>
        </w:rPr>
        <w:br w:type="page"/>
      </w:r>
    </w:p>
    <w:p w14:paraId="36E6B3B8">
      <w:pPr>
        <w:pStyle w:val="3"/>
        <w:spacing w:before="0" w:after="0" w:line="240" w:lineRule="auto"/>
        <w:rPr>
          <w:color w:val="auto"/>
          <w:sz w:val="24"/>
          <w:szCs w:val="24"/>
          <w:highlight w:val="none"/>
        </w:rPr>
      </w:pPr>
      <w:bookmarkStart w:id="17" w:name="_Toc29685"/>
      <w:bookmarkStart w:id="18" w:name="_Toc24511"/>
      <w:bookmarkStart w:id="19" w:name="_Toc2479"/>
      <w:bookmarkStart w:id="20" w:name="_Toc14146"/>
      <w:r>
        <w:rPr>
          <w:rFonts w:hint="eastAsia"/>
          <w:color w:val="auto"/>
          <w:sz w:val="28"/>
          <w:szCs w:val="28"/>
          <w:highlight w:val="none"/>
        </w:rPr>
        <w:t>第</w:t>
      </w:r>
      <w:r>
        <w:rPr>
          <w:rFonts w:hint="eastAsia"/>
          <w:color w:val="auto"/>
          <w:sz w:val="28"/>
          <w:szCs w:val="28"/>
          <w:highlight w:val="none"/>
          <w:lang w:val="en-US" w:eastAsia="zh-CN"/>
        </w:rPr>
        <w:t>四</w:t>
      </w:r>
      <w:r>
        <w:rPr>
          <w:rFonts w:hint="eastAsia"/>
          <w:color w:val="auto"/>
          <w:sz w:val="28"/>
          <w:szCs w:val="28"/>
          <w:highlight w:val="none"/>
        </w:rPr>
        <w:t xml:space="preserve">部分 </w:t>
      </w:r>
      <w:r>
        <w:rPr>
          <w:rFonts w:hint="eastAsia"/>
          <w:color w:val="auto"/>
          <w:sz w:val="28"/>
          <w:szCs w:val="28"/>
          <w:highlight w:val="none"/>
          <w:lang w:eastAsia="zh-CN"/>
        </w:rPr>
        <w:t>供应商</w:t>
      </w:r>
      <w:r>
        <w:rPr>
          <w:rFonts w:hint="eastAsia"/>
          <w:color w:val="auto"/>
          <w:sz w:val="28"/>
          <w:szCs w:val="28"/>
          <w:highlight w:val="none"/>
        </w:rPr>
        <w:t>须知</w:t>
      </w:r>
      <w:bookmarkEnd w:id="17"/>
      <w:bookmarkEnd w:id="18"/>
      <w:bookmarkEnd w:id="19"/>
    </w:p>
    <w:p w14:paraId="0E05C46F">
      <w:pPr>
        <w:pStyle w:val="3"/>
        <w:keepNext w:val="0"/>
        <w:keepLines w:val="0"/>
        <w:spacing w:before="0" w:after="0" w:line="360" w:lineRule="auto"/>
        <w:jc w:val="center"/>
        <w:rPr>
          <w:rFonts w:ascii="宋体" w:hAnsi="宋体" w:eastAsia="宋体"/>
          <w:color w:val="auto"/>
          <w:sz w:val="24"/>
          <w:szCs w:val="21"/>
          <w:highlight w:val="none"/>
        </w:rPr>
      </w:pPr>
      <w:bookmarkStart w:id="21" w:name="_Toc507407359"/>
      <w:bookmarkStart w:id="22" w:name="_Toc6882675"/>
      <w:bookmarkStart w:id="23" w:name="_Toc28014"/>
      <w:bookmarkStart w:id="24" w:name="_Toc6968687"/>
      <w:bookmarkStart w:id="25" w:name="_Toc466786434"/>
      <w:bookmarkStart w:id="26" w:name="_Toc102277756"/>
      <w:bookmarkStart w:id="27" w:name="_Toc24057"/>
      <w:bookmarkStart w:id="28" w:name="_Toc467236724"/>
      <w:bookmarkStart w:id="29" w:name="_Toc48207756"/>
      <w:bookmarkStart w:id="30" w:name="_Toc480171863"/>
      <w:bookmarkStart w:id="31" w:name="_Toc458262599"/>
      <w:bookmarkStart w:id="32" w:name="_Toc480021037"/>
      <w:bookmarkStart w:id="33" w:name="_Toc467987807"/>
      <w:bookmarkStart w:id="34" w:name="_Toc479991566"/>
      <w:bookmarkStart w:id="35" w:name="_Toc468606013"/>
      <w:bookmarkStart w:id="36" w:name="_Toc468157520"/>
      <w:bookmarkStart w:id="37" w:name="_Toc480010692"/>
      <w:bookmarkStart w:id="38" w:name="_Toc480020241"/>
      <w:r>
        <w:rPr>
          <w:rFonts w:hint="eastAsia" w:ascii="宋体" w:hAnsi="宋体" w:eastAsia="宋体"/>
          <w:color w:val="auto"/>
          <w:sz w:val="24"/>
          <w:szCs w:val="21"/>
          <w:highlight w:val="none"/>
          <w:lang w:val="en-US" w:eastAsia="zh-CN"/>
        </w:rPr>
        <w:t>第一章</w:t>
      </w:r>
      <w:r>
        <w:rPr>
          <w:rFonts w:hint="eastAsia" w:ascii="宋体" w:hAnsi="宋体" w:eastAsia="宋体"/>
          <w:color w:val="auto"/>
          <w:sz w:val="24"/>
          <w:szCs w:val="21"/>
          <w:highlight w:val="none"/>
        </w:rPr>
        <w:t>说  明</w:t>
      </w:r>
      <w:bookmarkEnd w:id="21"/>
      <w:bookmarkEnd w:id="22"/>
      <w:bookmarkEnd w:id="23"/>
      <w:bookmarkEnd w:id="24"/>
      <w:bookmarkEnd w:id="25"/>
      <w:bookmarkEnd w:id="26"/>
      <w:bookmarkEnd w:id="27"/>
    </w:p>
    <w:p w14:paraId="3458B684">
      <w:pPr>
        <w:pStyle w:val="4"/>
        <w:keepNext w:val="0"/>
        <w:keepLines w:val="0"/>
        <w:numPr>
          <w:ilvl w:val="0"/>
          <w:numId w:val="3"/>
        </w:numPr>
        <w:adjustRightInd/>
        <w:spacing w:before="0" w:after="0" w:line="360" w:lineRule="auto"/>
        <w:rPr>
          <w:rFonts w:hAnsi="宋体"/>
          <w:color w:val="auto"/>
          <w:sz w:val="21"/>
          <w:szCs w:val="21"/>
          <w:highlight w:val="none"/>
        </w:rPr>
      </w:pPr>
      <w:bookmarkStart w:id="39" w:name="_Toc10228"/>
      <w:bookmarkStart w:id="40" w:name="_Toc17291"/>
      <w:bookmarkStart w:id="41" w:name="_Toc475249114"/>
      <w:r>
        <w:rPr>
          <w:rFonts w:hint="eastAsia" w:hAnsi="宋体"/>
          <w:color w:val="auto"/>
          <w:sz w:val="21"/>
          <w:szCs w:val="21"/>
          <w:highlight w:val="none"/>
        </w:rPr>
        <w:t>适用范围</w:t>
      </w:r>
      <w:bookmarkEnd w:id="39"/>
      <w:bookmarkEnd w:id="40"/>
      <w:bookmarkEnd w:id="41"/>
    </w:p>
    <w:p w14:paraId="4D0CCC82">
      <w:pPr>
        <w:numPr>
          <w:ilvl w:val="1"/>
          <w:numId w:val="4"/>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本磋商文件仅适用于本次采购邀请中所叙述的项目。</w:t>
      </w:r>
    </w:p>
    <w:p w14:paraId="49E65E89">
      <w:pPr>
        <w:jc w:val="left"/>
        <w:rPr>
          <w:rFonts w:ascii="宋体" w:hAnsi="宋体" w:eastAsia="宋体" w:cs="宋体"/>
          <w:color w:val="auto"/>
          <w:sz w:val="21"/>
          <w:szCs w:val="21"/>
          <w:highlight w:val="none"/>
        </w:rPr>
      </w:pPr>
      <w:bookmarkStart w:id="42" w:name="_Toc475249115"/>
    </w:p>
    <w:p w14:paraId="59A3F42E">
      <w:pPr>
        <w:pStyle w:val="4"/>
        <w:keepNext w:val="0"/>
        <w:keepLines w:val="0"/>
        <w:numPr>
          <w:ilvl w:val="0"/>
          <w:numId w:val="3"/>
        </w:numPr>
        <w:adjustRightInd/>
        <w:spacing w:before="0" w:after="0" w:line="360" w:lineRule="auto"/>
        <w:rPr>
          <w:rFonts w:hAnsi="宋体"/>
          <w:color w:val="auto"/>
          <w:sz w:val="21"/>
          <w:szCs w:val="21"/>
          <w:highlight w:val="none"/>
        </w:rPr>
      </w:pPr>
      <w:bookmarkStart w:id="43" w:name="_Toc8868"/>
      <w:bookmarkStart w:id="44" w:name="_Toc22176"/>
      <w:r>
        <w:rPr>
          <w:rFonts w:hint="eastAsia" w:hAnsi="宋体"/>
          <w:color w:val="auto"/>
          <w:sz w:val="21"/>
          <w:szCs w:val="21"/>
          <w:highlight w:val="none"/>
        </w:rPr>
        <w:t>定义</w:t>
      </w:r>
      <w:bookmarkEnd w:id="42"/>
      <w:bookmarkEnd w:id="43"/>
      <w:bookmarkEnd w:id="44"/>
    </w:p>
    <w:p w14:paraId="1BF71431">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是指依法进行政府采购的国家机关、事业单位</w:t>
      </w:r>
      <w:r>
        <w:rPr>
          <w:rFonts w:hint="eastAsia" w:ascii="宋体" w:hAnsi="宋体" w:eastAsia="宋体"/>
          <w:color w:val="auto"/>
          <w:sz w:val="21"/>
          <w:szCs w:val="21"/>
          <w:highlight w:val="none"/>
        </w:rPr>
        <w:t>等</w:t>
      </w:r>
      <w:r>
        <w:rPr>
          <w:rFonts w:ascii="宋体" w:hAnsi="宋体" w:eastAsia="宋体"/>
          <w:color w:val="auto"/>
          <w:sz w:val="21"/>
          <w:szCs w:val="21"/>
          <w:highlight w:val="none"/>
        </w:rPr>
        <w:t>团体组织</w:t>
      </w:r>
      <w:r>
        <w:rPr>
          <w:rFonts w:hint="eastAsia" w:ascii="宋体" w:hAnsi="宋体" w:eastAsia="宋体"/>
          <w:color w:val="auto"/>
          <w:sz w:val="21"/>
          <w:szCs w:val="21"/>
          <w:highlight w:val="none"/>
        </w:rPr>
        <w:t>。</w:t>
      </w:r>
    </w:p>
    <w:p w14:paraId="4411372E">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“采购代理机构”是指广东政通招标有限公司。</w:t>
      </w:r>
    </w:p>
    <w:p w14:paraId="5FF82971">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“供应商”指根据磋商文件要求进行文件领购并向采购代理机构提交响应文件参与本项目的法人。</w:t>
      </w:r>
    </w:p>
    <w:p w14:paraId="3DEA147A">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“法人”是依法在国内进行注册并具有民事权利能力和民事行为能力，依法独立享有民事权利和承担民事义务的组织。</w:t>
      </w:r>
    </w:p>
    <w:p w14:paraId="5A055FC8">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“货物”是指</w:t>
      </w:r>
      <w:r>
        <w:rPr>
          <w:rFonts w:ascii="宋体" w:hAnsi="宋体" w:eastAsia="宋体"/>
          <w:color w:val="auto"/>
          <w:sz w:val="21"/>
          <w:szCs w:val="21"/>
          <w:highlight w:val="none"/>
        </w:rPr>
        <w:t>各种形态和种类的物品，包括原材料、燃料、设备、产品等</w:t>
      </w:r>
      <w:r>
        <w:rPr>
          <w:rFonts w:hint="eastAsia" w:ascii="宋体" w:hAnsi="宋体" w:eastAsia="宋体"/>
          <w:color w:val="auto"/>
          <w:sz w:val="21"/>
          <w:szCs w:val="21"/>
          <w:highlight w:val="none"/>
        </w:rPr>
        <w:t>。</w:t>
      </w:r>
    </w:p>
    <w:p w14:paraId="058110A0">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“服务”是指</w:t>
      </w:r>
      <w:r>
        <w:rPr>
          <w:rFonts w:ascii="宋体" w:hAnsi="宋体" w:eastAsia="宋体"/>
          <w:color w:val="auto"/>
          <w:sz w:val="21"/>
          <w:szCs w:val="21"/>
          <w:highlight w:val="none"/>
        </w:rPr>
        <w:t>除货物和工程以外的其他政府采购对象</w:t>
      </w:r>
      <w:r>
        <w:rPr>
          <w:rFonts w:hint="eastAsia" w:ascii="宋体" w:hAnsi="宋体" w:eastAsia="宋体"/>
          <w:color w:val="auto"/>
          <w:sz w:val="21"/>
          <w:szCs w:val="21"/>
          <w:highlight w:val="none"/>
        </w:rPr>
        <w:t>。</w:t>
      </w:r>
    </w:p>
    <w:p w14:paraId="57156AB6">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“工程”是指建设工程，包括建筑物和构筑物的新建、改建、扩建及其相关的装修、拆除、修缮等。</w:t>
      </w:r>
    </w:p>
    <w:p w14:paraId="51853492">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“语言”是指采购文件的语言为简体中文。</w:t>
      </w:r>
    </w:p>
    <w:p w14:paraId="50E288FA">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“日期”是指公历日。</w:t>
      </w:r>
    </w:p>
    <w:p w14:paraId="48C724FF">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“时间”是指北京时间。</w:t>
      </w:r>
    </w:p>
    <w:p w14:paraId="41A553D7">
      <w:pPr>
        <w:rPr>
          <w:rFonts w:ascii="宋体" w:hAnsi="宋体" w:eastAsia="宋体" w:cs="宋体"/>
          <w:color w:val="auto"/>
          <w:sz w:val="21"/>
          <w:szCs w:val="21"/>
          <w:highlight w:val="none"/>
        </w:rPr>
      </w:pPr>
      <w:bookmarkStart w:id="45" w:name="_Toc110953831"/>
      <w:bookmarkStart w:id="46" w:name="_Toc466786435"/>
      <w:bookmarkStart w:id="47" w:name="_Toc507407360"/>
      <w:bookmarkStart w:id="48" w:name="_Toc6968688"/>
      <w:bookmarkStart w:id="49" w:name="_Toc6882676"/>
      <w:bookmarkStart w:id="50" w:name="_Toc102277757"/>
    </w:p>
    <w:p w14:paraId="2E78B82A">
      <w:pPr>
        <w:pStyle w:val="4"/>
        <w:keepNext w:val="0"/>
        <w:keepLines w:val="0"/>
        <w:numPr>
          <w:ilvl w:val="0"/>
          <w:numId w:val="3"/>
        </w:numPr>
        <w:adjustRightInd/>
        <w:spacing w:before="0" w:after="0" w:line="360" w:lineRule="auto"/>
        <w:rPr>
          <w:rFonts w:hAnsi="宋体"/>
          <w:color w:val="auto"/>
          <w:sz w:val="21"/>
          <w:szCs w:val="21"/>
          <w:highlight w:val="none"/>
        </w:rPr>
      </w:pPr>
      <w:bookmarkStart w:id="51" w:name="_Toc1083"/>
      <w:bookmarkStart w:id="52" w:name="_Toc31412"/>
      <w:r>
        <w:rPr>
          <w:rFonts w:hint="eastAsia" w:hAnsi="宋体"/>
          <w:color w:val="auto"/>
          <w:sz w:val="21"/>
          <w:szCs w:val="21"/>
          <w:highlight w:val="none"/>
        </w:rPr>
        <w:t>适用法律</w:t>
      </w:r>
      <w:bookmarkEnd w:id="45"/>
      <w:bookmarkEnd w:id="51"/>
      <w:bookmarkEnd w:id="52"/>
    </w:p>
    <w:p w14:paraId="2E4E1089">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供应商和采购代理机构均应当遵守《中华人民共和国政府采购法》、《中华人民共和国政府采购法实施条例》、《财政部关于印发&lt;政府采购竞争性磋商采购方式管理暂行办法&gt;的通知》（财库[2014]214号）及相关法律法规。</w:t>
      </w:r>
    </w:p>
    <w:p w14:paraId="25EB2400">
      <w:pPr>
        <w:rPr>
          <w:color w:val="auto"/>
          <w:highlight w:val="none"/>
        </w:rPr>
      </w:pPr>
      <w:bookmarkStart w:id="53" w:name="_Toc110953832"/>
    </w:p>
    <w:bookmarkEnd w:id="53"/>
    <w:p w14:paraId="045F2CB7">
      <w:pPr>
        <w:pStyle w:val="4"/>
        <w:keepNext w:val="0"/>
        <w:keepLines w:val="0"/>
        <w:numPr>
          <w:ilvl w:val="0"/>
          <w:numId w:val="3"/>
        </w:numPr>
        <w:adjustRightInd/>
        <w:spacing w:before="0" w:after="0" w:line="360" w:lineRule="auto"/>
        <w:rPr>
          <w:rFonts w:hAnsi="宋体"/>
          <w:color w:val="auto"/>
          <w:sz w:val="21"/>
          <w:szCs w:val="21"/>
          <w:highlight w:val="none"/>
        </w:rPr>
      </w:pPr>
      <w:bookmarkStart w:id="54" w:name="_Toc15452"/>
      <w:bookmarkStart w:id="55" w:name="_Toc18833"/>
      <w:bookmarkStart w:id="56" w:name="_Toc5242"/>
      <w:bookmarkStart w:id="57" w:name="_Toc29484"/>
      <w:bookmarkStart w:id="58" w:name="_Toc110953833"/>
      <w:r>
        <w:rPr>
          <w:rFonts w:hint="eastAsia" w:hAnsi="宋体"/>
          <w:color w:val="auto"/>
          <w:sz w:val="21"/>
          <w:szCs w:val="21"/>
          <w:highlight w:val="none"/>
        </w:rPr>
        <w:t>知识产权</w:t>
      </w:r>
      <w:bookmarkEnd w:id="54"/>
      <w:bookmarkEnd w:id="55"/>
    </w:p>
    <w:p w14:paraId="02B81395">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0CC50C41">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采购人享有本项目实施过程中产生的知识成果及知识产权。</w:t>
      </w:r>
    </w:p>
    <w:p w14:paraId="3559079E">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供应商如欲在项目实施过程中采用自有知识成果，需在响应文件中声明，并提供相关知识产权证明文件。使用该知识成果后，供应商需提供开发接口和开发手册等技术文档。</w:t>
      </w:r>
    </w:p>
    <w:p w14:paraId="0C8B9906">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采购货物为计算机办公设备或含有计算机办公设备时，供应商提供的产品必须是预装正版操作系统软件的计算机产品。</w:t>
      </w:r>
    </w:p>
    <w:p w14:paraId="4000513A">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供应商提供的服务、货物经认定存在侵权行为的，其响应文件无效，并上报相关监管部门。</w:t>
      </w:r>
    </w:p>
    <w:p w14:paraId="5C162334">
      <w:pPr>
        <w:rPr>
          <w:rFonts w:ascii="宋体" w:hAnsi="宋体" w:eastAsia="宋体" w:cs="宋体"/>
          <w:color w:val="auto"/>
          <w:sz w:val="21"/>
          <w:szCs w:val="21"/>
          <w:highlight w:val="none"/>
        </w:rPr>
      </w:pPr>
    </w:p>
    <w:p w14:paraId="4501893B">
      <w:pPr>
        <w:pStyle w:val="4"/>
        <w:keepNext w:val="0"/>
        <w:keepLines w:val="0"/>
        <w:numPr>
          <w:ilvl w:val="0"/>
          <w:numId w:val="3"/>
        </w:numPr>
        <w:adjustRightInd/>
        <w:spacing w:before="0" w:after="0" w:line="360" w:lineRule="auto"/>
        <w:rPr>
          <w:rFonts w:hAnsi="宋体"/>
          <w:color w:val="auto"/>
          <w:sz w:val="21"/>
          <w:szCs w:val="21"/>
          <w:highlight w:val="none"/>
        </w:rPr>
      </w:pPr>
      <w:r>
        <w:rPr>
          <w:rFonts w:hint="eastAsia" w:hAnsi="宋体"/>
          <w:color w:val="auto"/>
          <w:sz w:val="21"/>
          <w:szCs w:val="21"/>
          <w:highlight w:val="none"/>
        </w:rPr>
        <w:t>关于联合体报价</w:t>
      </w:r>
      <w:bookmarkEnd w:id="56"/>
      <w:bookmarkEnd w:id="57"/>
    </w:p>
    <w:p w14:paraId="10BC2284">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对接受联合体报价的项目：两个以上的自然人、法人或者其他组织可以组成一个联合体，以一个供应商的身份共同参加政府采购。</w:t>
      </w:r>
    </w:p>
    <w:p w14:paraId="55E10D97">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以联合体形式参与项目的供应商在领购磋商文件时，应提供所有联合体组成成员的营业执照复印件，并加盖各联合体组成成员的公章。</w:t>
      </w:r>
    </w:p>
    <w:p w14:paraId="36E59D46">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联合体各方均应当符合《政府采购法》第二十二条规定的条件。</w:t>
      </w:r>
    </w:p>
    <w:p w14:paraId="3D82591E">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0F641FE">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采购人根据采购项目的特殊要求规定供应商特定条件的，联合体各方中至少应当有一方符合采购人规定的特定条件。</w:t>
      </w:r>
    </w:p>
    <w:p w14:paraId="0AE68DF9">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各方之间应当签订联合体协议并在响应文件内提交，明确约定联合体各方承担的工作和相应的责任。联合体各方签订联合体协议后，不得再以自己名义单独在同一项目中报价，也不得组成新的联合体参加同一项目的磋商。</w:t>
      </w:r>
    </w:p>
    <w:p w14:paraId="2717586B">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供应商为联合体的，可以由联合体中的任意一方交纳保证金，其交纳的保证金对联合体各方均具有约束力。</w:t>
      </w:r>
    </w:p>
    <w:p w14:paraId="6C4C0F19">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联合体中有同类资质的供应商按照联合体分工承担相同工作的，应当按照资质等级较低的联合体成员确定资质等级。</w:t>
      </w:r>
    </w:p>
    <w:p w14:paraId="55922253">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以联合体形式参加政府采购活动，联合体各方均为中小企业的，联合体视同中小企业。其中，联合体各方均为小微企业的，联合体视同小微企业。双方均应提供《中小企业声明函》。</w:t>
      </w:r>
    </w:p>
    <w:p w14:paraId="4EB499EA">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除联合体协议明确授权盖章单位外，联合体报价时响应文件中所有要求盖章的地方均须加盖联合体所有组成成员的公章，否则该处盖章无效。</w:t>
      </w:r>
    </w:p>
    <w:p w14:paraId="521D2B77">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进行评分时，业绩、奖项等的认定和评分根据联合体协议约定的各方承担的工作和相应责任，确定一方打分，不累加打分，若评分项中有明确以哪方为打分主体，则按要求进行评分；评审标准不明确或难以明确以哪一方计算评分情况时，则按主体方情况评分。</w:t>
      </w:r>
    </w:p>
    <w:p w14:paraId="713247EF">
      <w:pPr>
        <w:bidi w:val="0"/>
        <w:rPr>
          <w:color w:val="auto"/>
          <w:highlight w:val="none"/>
        </w:rPr>
      </w:pPr>
    </w:p>
    <w:bookmarkEnd w:id="58"/>
    <w:p w14:paraId="78D37F80">
      <w:pPr>
        <w:pStyle w:val="4"/>
        <w:keepNext w:val="0"/>
        <w:keepLines w:val="0"/>
        <w:numPr>
          <w:ilvl w:val="0"/>
          <w:numId w:val="3"/>
        </w:numPr>
        <w:adjustRightInd/>
        <w:spacing w:before="0" w:after="0" w:line="360" w:lineRule="auto"/>
        <w:rPr>
          <w:rFonts w:hAnsi="宋体"/>
          <w:color w:val="auto"/>
          <w:sz w:val="21"/>
          <w:szCs w:val="21"/>
          <w:highlight w:val="none"/>
        </w:rPr>
      </w:pPr>
      <w:bookmarkStart w:id="59" w:name="_Toc2836"/>
      <w:bookmarkStart w:id="60" w:name="_Toc25157"/>
      <w:r>
        <w:rPr>
          <w:rFonts w:hint="eastAsia" w:hAnsi="宋体"/>
          <w:color w:val="auto"/>
          <w:sz w:val="21"/>
          <w:szCs w:val="21"/>
          <w:highlight w:val="none"/>
        </w:rPr>
        <w:t>关于分支机构报价</w:t>
      </w:r>
      <w:bookmarkEnd w:id="59"/>
      <w:bookmarkEnd w:id="60"/>
    </w:p>
    <w:p w14:paraId="4709B054">
      <w:pPr>
        <w:numPr>
          <w:ilvl w:val="1"/>
          <w:numId w:val="3"/>
        </w:numPr>
        <w:spacing w:line="360" w:lineRule="auto"/>
        <w:rPr>
          <w:rFonts w:ascii="宋体" w:hAnsi="宋体" w:eastAsia="宋体" w:cs="宋体"/>
          <w:color w:val="auto"/>
          <w:sz w:val="21"/>
          <w:szCs w:val="21"/>
          <w:highlight w:val="none"/>
        </w:rPr>
      </w:pPr>
      <w:bookmarkStart w:id="61" w:name="_Toc98126220"/>
      <w:bookmarkStart w:id="62" w:name="_Toc98126295"/>
      <w:r>
        <w:rPr>
          <w:rFonts w:hint="eastAsia" w:ascii="宋体" w:hAnsi="宋体" w:eastAsia="宋体" w:cs="宋体"/>
          <w:color w:val="auto"/>
          <w:sz w:val="21"/>
          <w:szCs w:val="21"/>
          <w:highlight w:val="none"/>
        </w:rPr>
        <w:t>对可接受分支机构报价的项目，分支机构报价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61"/>
      <w:bookmarkEnd w:id="62"/>
    </w:p>
    <w:p w14:paraId="4CE4328A">
      <w:pPr>
        <w:bidi w:val="0"/>
        <w:rPr>
          <w:color w:val="auto"/>
          <w:highlight w:val="none"/>
        </w:rPr>
      </w:pPr>
    </w:p>
    <w:p w14:paraId="2129F15A">
      <w:pPr>
        <w:pStyle w:val="4"/>
        <w:keepNext w:val="0"/>
        <w:keepLines w:val="0"/>
        <w:numPr>
          <w:ilvl w:val="0"/>
          <w:numId w:val="3"/>
        </w:numPr>
        <w:adjustRightInd/>
        <w:spacing w:before="0" w:after="0" w:line="360" w:lineRule="auto"/>
        <w:rPr>
          <w:rFonts w:hAnsi="宋体"/>
          <w:color w:val="auto"/>
          <w:sz w:val="21"/>
          <w:szCs w:val="21"/>
          <w:highlight w:val="none"/>
        </w:rPr>
      </w:pPr>
      <w:bookmarkStart w:id="63" w:name="_Toc110953834"/>
      <w:bookmarkStart w:id="64" w:name="_Toc18108"/>
      <w:bookmarkStart w:id="65" w:name="_Toc16198"/>
      <w:r>
        <w:rPr>
          <w:rFonts w:hint="eastAsia" w:hAnsi="宋体"/>
          <w:color w:val="auto"/>
          <w:sz w:val="21"/>
          <w:szCs w:val="21"/>
          <w:highlight w:val="none"/>
        </w:rPr>
        <w:t>保密及其它注意事项</w:t>
      </w:r>
      <w:bookmarkEnd w:id="63"/>
      <w:bookmarkEnd w:id="64"/>
      <w:bookmarkEnd w:id="65"/>
    </w:p>
    <w:p w14:paraId="3B520590">
      <w:pPr>
        <w:numPr>
          <w:ilvl w:val="1"/>
          <w:numId w:val="3"/>
        </w:numPr>
        <w:spacing w:line="360" w:lineRule="auto"/>
        <w:rPr>
          <w:rFonts w:ascii="宋体" w:hAnsi="宋体" w:eastAsia="宋体" w:cs="宋体"/>
          <w:color w:val="auto"/>
          <w:sz w:val="21"/>
          <w:szCs w:val="21"/>
          <w:highlight w:val="none"/>
        </w:rPr>
      </w:pPr>
      <w:bookmarkStart w:id="66" w:name="_Toc98126222"/>
      <w:bookmarkStart w:id="67" w:name="_Toc98126297"/>
      <w:r>
        <w:rPr>
          <w:rFonts w:hint="eastAsia" w:ascii="宋体" w:hAnsi="宋体" w:eastAsia="宋体" w:cs="宋体"/>
          <w:color w:val="auto"/>
          <w:sz w:val="21"/>
          <w:szCs w:val="21"/>
          <w:highlight w:val="none"/>
        </w:rPr>
        <w:t>凡参与采购工作的有关人员均应自觉接受有关主管部门的监督，不得向他人透露可能影响公平竞争的有关情况。</w:t>
      </w:r>
      <w:bookmarkEnd w:id="66"/>
      <w:bookmarkEnd w:id="67"/>
    </w:p>
    <w:p w14:paraId="501DF6FA">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开启响应文件后，凡与审查、澄清、评估和比较有关资料以及评审意见等，均不得向供应商及与评审无关的其他人透露。在采购工作结束后，与评审情况有接触的任何人，不得将评审情况扩散出磋商小组人员之外。</w:t>
      </w:r>
    </w:p>
    <w:p w14:paraId="1B6573CA">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在评审期间，供应商不得向磋商小组成员询问评审情况，不得进行旨在影响评审结果的活动。</w:t>
      </w:r>
    </w:p>
    <w:p w14:paraId="751ABECD">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供应商应承担所有与准备和参加报价有关的费用。不论报价的结果如何，采购代理机构和采购人均无义务和责任承担这些费用。</w:t>
      </w:r>
    </w:p>
    <w:p w14:paraId="544B2015">
      <w:pPr>
        <w:spacing w:line="360" w:lineRule="auto"/>
        <w:ind w:firstLine="420" w:firstLineChars="200"/>
        <w:rPr>
          <w:rFonts w:ascii="宋体" w:hAnsi="宋体" w:eastAsia="宋体" w:cs="宋体"/>
          <w:color w:val="auto"/>
          <w:sz w:val="21"/>
          <w:szCs w:val="21"/>
          <w:highlight w:val="none"/>
        </w:rPr>
      </w:pPr>
    </w:p>
    <w:p w14:paraId="5C8D5788">
      <w:pPr>
        <w:pStyle w:val="3"/>
        <w:keepNext w:val="0"/>
        <w:keepLines w:val="0"/>
        <w:spacing w:before="0" w:after="0" w:line="360" w:lineRule="auto"/>
        <w:jc w:val="center"/>
        <w:rPr>
          <w:rFonts w:ascii="宋体" w:hAnsi="宋体" w:eastAsia="宋体"/>
          <w:color w:val="auto"/>
          <w:sz w:val="24"/>
          <w:szCs w:val="21"/>
          <w:highlight w:val="none"/>
        </w:rPr>
      </w:pPr>
      <w:bookmarkStart w:id="68" w:name="_Toc23588"/>
      <w:bookmarkStart w:id="69" w:name="_Toc25468"/>
      <w:r>
        <w:rPr>
          <w:rFonts w:hint="eastAsia" w:ascii="宋体" w:hAnsi="宋体" w:eastAsia="宋体"/>
          <w:color w:val="auto"/>
          <w:sz w:val="24"/>
          <w:szCs w:val="21"/>
          <w:highlight w:val="none"/>
          <w:lang w:val="en-US" w:eastAsia="zh-CN"/>
        </w:rPr>
        <w:t>第二章</w:t>
      </w:r>
      <w:r>
        <w:rPr>
          <w:rFonts w:hint="eastAsia" w:ascii="宋体" w:hAnsi="宋体" w:eastAsia="宋体"/>
          <w:color w:val="auto"/>
          <w:sz w:val="24"/>
          <w:szCs w:val="21"/>
          <w:highlight w:val="none"/>
        </w:rPr>
        <w:t>磋商文件说明</w:t>
      </w:r>
      <w:bookmarkEnd w:id="46"/>
      <w:bookmarkEnd w:id="47"/>
      <w:bookmarkEnd w:id="48"/>
      <w:bookmarkEnd w:id="49"/>
      <w:bookmarkEnd w:id="50"/>
      <w:bookmarkEnd w:id="68"/>
      <w:bookmarkEnd w:id="69"/>
    </w:p>
    <w:p w14:paraId="116AEA1D">
      <w:pPr>
        <w:pStyle w:val="4"/>
        <w:keepNext w:val="0"/>
        <w:keepLines w:val="0"/>
        <w:numPr>
          <w:ilvl w:val="0"/>
          <w:numId w:val="3"/>
        </w:numPr>
        <w:adjustRightInd/>
        <w:spacing w:before="0" w:after="0" w:line="360" w:lineRule="auto"/>
        <w:rPr>
          <w:rFonts w:hAnsi="宋体"/>
          <w:color w:val="auto"/>
          <w:sz w:val="21"/>
          <w:szCs w:val="21"/>
          <w:highlight w:val="none"/>
        </w:rPr>
      </w:pPr>
      <w:bookmarkStart w:id="70" w:name="_Toc4511"/>
      <w:bookmarkStart w:id="71" w:name="_Toc110953836"/>
      <w:bookmarkStart w:id="72" w:name="_Toc21439"/>
      <w:bookmarkStart w:id="73" w:name="_Toc507407361"/>
      <w:bookmarkStart w:id="74" w:name="_Toc6882677"/>
      <w:bookmarkStart w:id="75" w:name="_Toc466786436"/>
      <w:bookmarkStart w:id="76" w:name="_Toc6968689"/>
      <w:bookmarkStart w:id="77" w:name="_Toc102277758"/>
      <w:r>
        <w:rPr>
          <w:rFonts w:hint="eastAsia" w:hAnsi="宋体"/>
          <w:color w:val="auto"/>
          <w:sz w:val="21"/>
          <w:szCs w:val="21"/>
          <w:highlight w:val="none"/>
        </w:rPr>
        <w:t>采购文件构成</w:t>
      </w:r>
      <w:bookmarkEnd w:id="70"/>
      <w:bookmarkEnd w:id="71"/>
      <w:bookmarkEnd w:id="72"/>
    </w:p>
    <w:p w14:paraId="526F1B7D">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采购文件由下列文件以及在采购过程中发出的澄清更正文件组成：</w:t>
      </w:r>
    </w:p>
    <w:p w14:paraId="4BCC688D">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磋商邀请函；</w:t>
      </w:r>
    </w:p>
    <w:p w14:paraId="2398F691">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磋商资料表；</w:t>
      </w:r>
    </w:p>
    <w:p w14:paraId="187CE87B">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供应商须知；</w:t>
      </w:r>
    </w:p>
    <w:p w14:paraId="068E88A7">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用户需求；</w:t>
      </w:r>
    </w:p>
    <w:p w14:paraId="6C3D91B0">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合同书格式；</w:t>
      </w:r>
    </w:p>
    <w:p w14:paraId="32AF08EC">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响应文件格式；</w:t>
      </w:r>
    </w:p>
    <w:p w14:paraId="169D95E9">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在采购过程中由集中采购机构发出的澄清更正文件等。</w:t>
      </w:r>
    </w:p>
    <w:p w14:paraId="7488BFF2">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采购文件的澄清更正：</w:t>
      </w:r>
    </w:p>
    <w:p w14:paraId="39119D31">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机构对采购文件进行必要的澄清更正的，澄清或者修改的内容可能影响响应文件编制的，于提交首次响应文件截止之日5日前在指定媒体上发布公告，并通知所有报名及购买采购文件的供应商，该澄清更正的内容为采购文件的组成部分。</w:t>
      </w:r>
    </w:p>
    <w:p w14:paraId="2D08EFBE">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采购期间，供应商有义务上网查看，公告一经上网发布，即视为送达。因供应商未及时上网查看而造成的所有后果，由供应商自行承担。</w:t>
      </w:r>
    </w:p>
    <w:p w14:paraId="35B625BF">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根据采购的具体情况，采购代理机构可延长响应文件递交截止时间和磋商时间，并将变更时间在指定媒体上发布公告及通知所有报名及购买采购文件的供应商。</w:t>
      </w:r>
    </w:p>
    <w:p w14:paraId="4145EF5A">
      <w:pPr>
        <w:pStyle w:val="7"/>
        <w:rPr>
          <w:rFonts w:ascii="宋体" w:hAnsi="宋体" w:eastAsia="宋体" w:cs="宋体"/>
          <w:color w:val="auto"/>
          <w:sz w:val="21"/>
          <w:szCs w:val="21"/>
          <w:highlight w:val="none"/>
        </w:rPr>
      </w:pPr>
    </w:p>
    <w:bookmarkEnd w:id="73"/>
    <w:bookmarkEnd w:id="74"/>
    <w:bookmarkEnd w:id="75"/>
    <w:bookmarkEnd w:id="76"/>
    <w:bookmarkEnd w:id="77"/>
    <w:p w14:paraId="27E09246">
      <w:pPr>
        <w:pStyle w:val="3"/>
        <w:keepNext w:val="0"/>
        <w:keepLines w:val="0"/>
        <w:spacing w:before="0" w:after="0" w:line="360" w:lineRule="auto"/>
        <w:jc w:val="center"/>
        <w:rPr>
          <w:rFonts w:ascii="宋体" w:hAnsi="宋体" w:eastAsia="宋体"/>
          <w:color w:val="auto"/>
          <w:sz w:val="24"/>
          <w:szCs w:val="21"/>
          <w:highlight w:val="none"/>
        </w:rPr>
      </w:pPr>
      <w:bookmarkStart w:id="78" w:name="_Toc110953838"/>
      <w:bookmarkStart w:id="79" w:name="_Toc158"/>
      <w:bookmarkStart w:id="80" w:name="_Toc25500"/>
      <w:bookmarkStart w:id="81" w:name="_Toc6882678"/>
      <w:bookmarkStart w:id="82" w:name="_Toc6968690"/>
      <w:bookmarkStart w:id="83" w:name="_Toc102277759"/>
      <w:bookmarkStart w:id="84" w:name="_Toc466786437"/>
      <w:bookmarkStart w:id="85" w:name="_Toc507407362"/>
      <w:r>
        <w:rPr>
          <w:rFonts w:hint="eastAsia" w:ascii="宋体" w:hAnsi="宋体" w:eastAsia="宋体"/>
          <w:color w:val="auto"/>
          <w:sz w:val="24"/>
          <w:szCs w:val="21"/>
          <w:highlight w:val="none"/>
          <w:lang w:val="en-US" w:eastAsia="zh-CN"/>
        </w:rPr>
        <w:t>第三章</w:t>
      </w:r>
      <w:r>
        <w:rPr>
          <w:rFonts w:hint="eastAsia" w:ascii="宋体" w:hAnsi="宋体" w:eastAsia="宋体"/>
          <w:color w:val="auto"/>
          <w:sz w:val="24"/>
          <w:szCs w:val="21"/>
          <w:highlight w:val="none"/>
        </w:rPr>
        <w:t>响应文件的</w:t>
      </w:r>
      <w:bookmarkEnd w:id="78"/>
      <w:r>
        <w:rPr>
          <w:rFonts w:hint="eastAsia" w:ascii="宋体" w:hAnsi="宋体" w:eastAsia="宋体"/>
          <w:color w:val="auto"/>
          <w:sz w:val="24"/>
          <w:szCs w:val="21"/>
          <w:highlight w:val="none"/>
        </w:rPr>
        <w:t>编制</w:t>
      </w:r>
      <w:bookmarkEnd w:id="79"/>
      <w:bookmarkEnd w:id="80"/>
    </w:p>
    <w:p w14:paraId="7954F5CA">
      <w:pPr>
        <w:pStyle w:val="4"/>
        <w:keepNext w:val="0"/>
        <w:keepLines w:val="0"/>
        <w:numPr>
          <w:ilvl w:val="0"/>
          <w:numId w:val="3"/>
        </w:numPr>
        <w:adjustRightInd/>
        <w:spacing w:before="0" w:after="0" w:line="360" w:lineRule="auto"/>
        <w:rPr>
          <w:rFonts w:hAnsi="宋体"/>
          <w:color w:val="auto"/>
          <w:sz w:val="21"/>
          <w:szCs w:val="21"/>
          <w:highlight w:val="none"/>
        </w:rPr>
      </w:pPr>
      <w:bookmarkStart w:id="86" w:name="_Toc19833"/>
      <w:bookmarkStart w:id="87" w:name="_Toc4681"/>
      <w:bookmarkStart w:id="88" w:name="_Toc110953839"/>
      <w:r>
        <w:rPr>
          <w:rFonts w:hint="eastAsia" w:hAnsi="宋体"/>
          <w:color w:val="auto"/>
          <w:sz w:val="21"/>
          <w:szCs w:val="21"/>
          <w:highlight w:val="none"/>
        </w:rPr>
        <w:t>响应文件的语言及度量衡单位</w:t>
      </w:r>
      <w:bookmarkEnd w:id="86"/>
      <w:bookmarkEnd w:id="87"/>
    </w:p>
    <w:p w14:paraId="693C09EF">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提交的响应文件以及供应商与集中采购机构就有关报价的所有来往函电均应使用中文。供应商提交的支持文件或印刷的资料可以用另一种语言，但相应内容应附有中文翻译本，两种语言不一致时以中文翻译本为准</w:t>
      </w:r>
      <w:r>
        <w:rPr>
          <w:rFonts w:hint="eastAsia" w:ascii="宋体" w:hAnsi="宋体" w:eastAsia="宋体"/>
          <w:color w:val="auto"/>
          <w:sz w:val="21"/>
          <w:szCs w:val="21"/>
          <w:highlight w:val="none"/>
        </w:rPr>
        <w:t>（中文译本应由翻译机构盖章或者翻译人员签名确认，否则按无效处理）</w:t>
      </w:r>
      <w:r>
        <w:rPr>
          <w:rFonts w:hint="eastAsia" w:ascii="宋体" w:hAnsi="宋体" w:eastAsia="宋体"/>
          <w:bCs/>
          <w:color w:val="auto"/>
          <w:sz w:val="21"/>
          <w:szCs w:val="21"/>
          <w:highlight w:val="none"/>
        </w:rPr>
        <w:t>。</w:t>
      </w:r>
    </w:p>
    <w:p w14:paraId="0D8E67A4">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除非采购文件在技术规格中另有规定，供应商在采购文件中及其与采购代理机构和采购人所有往来文件中的所有计量单位均应采用中华人民共和国法定计量单位。</w:t>
      </w:r>
    </w:p>
    <w:p w14:paraId="7F615B2A">
      <w:pPr>
        <w:bidi w:val="0"/>
        <w:rPr>
          <w:color w:val="auto"/>
          <w:highlight w:val="none"/>
        </w:rPr>
      </w:pPr>
    </w:p>
    <w:bookmarkEnd w:id="88"/>
    <w:p w14:paraId="7C6E2855">
      <w:pPr>
        <w:pStyle w:val="4"/>
        <w:keepNext w:val="0"/>
        <w:keepLines w:val="0"/>
        <w:numPr>
          <w:ilvl w:val="0"/>
          <w:numId w:val="3"/>
        </w:numPr>
        <w:adjustRightInd/>
        <w:spacing w:before="0" w:after="0" w:line="360" w:lineRule="auto"/>
        <w:rPr>
          <w:rFonts w:hAnsi="宋体"/>
          <w:color w:val="auto"/>
          <w:sz w:val="21"/>
          <w:szCs w:val="21"/>
          <w:highlight w:val="none"/>
        </w:rPr>
      </w:pPr>
      <w:bookmarkStart w:id="89" w:name="_Toc11910"/>
      <w:bookmarkStart w:id="90" w:name="_Toc26897"/>
      <w:bookmarkStart w:id="91" w:name="_Toc110953840"/>
      <w:r>
        <w:rPr>
          <w:rFonts w:hint="eastAsia" w:hAnsi="宋体"/>
          <w:color w:val="auto"/>
          <w:sz w:val="21"/>
          <w:szCs w:val="21"/>
          <w:highlight w:val="none"/>
        </w:rPr>
        <w:t>响应文件的内容</w:t>
      </w:r>
      <w:bookmarkEnd w:id="89"/>
      <w:bookmarkEnd w:id="90"/>
      <w:bookmarkEnd w:id="91"/>
    </w:p>
    <w:p w14:paraId="79F946B9">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证明供应商合格和资格的文件。</w:t>
      </w:r>
    </w:p>
    <w:p w14:paraId="73857B17">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响应文件格式中要求必须提供的表格。</w:t>
      </w:r>
    </w:p>
    <w:p w14:paraId="3D38EBCC">
      <w:pPr>
        <w:spacing w:line="360" w:lineRule="auto"/>
        <w:rPr>
          <w:rFonts w:ascii="宋体" w:hAnsi="宋体" w:eastAsia="宋体" w:cs="宋体"/>
          <w:color w:val="auto"/>
          <w:sz w:val="21"/>
          <w:szCs w:val="21"/>
          <w:highlight w:val="none"/>
        </w:rPr>
      </w:pPr>
    </w:p>
    <w:p w14:paraId="51432E29">
      <w:pPr>
        <w:pStyle w:val="4"/>
        <w:keepNext w:val="0"/>
        <w:keepLines w:val="0"/>
        <w:numPr>
          <w:ilvl w:val="0"/>
          <w:numId w:val="3"/>
        </w:numPr>
        <w:adjustRightInd/>
        <w:spacing w:before="0" w:after="0" w:line="360" w:lineRule="auto"/>
        <w:rPr>
          <w:rFonts w:hAnsi="宋体"/>
          <w:color w:val="auto"/>
          <w:sz w:val="21"/>
          <w:szCs w:val="21"/>
          <w:highlight w:val="none"/>
        </w:rPr>
      </w:pPr>
      <w:bookmarkStart w:id="92" w:name="_Toc25730"/>
      <w:bookmarkStart w:id="93" w:name="_Toc18228"/>
      <w:bookmarkStart w:id="94" w:name="_Toc15387"/>
      <w:bookmarkStart w:id="95" w:name="_Toc1662"/>
      <w:bookmarkStart w:id="96" w:name="_Toc110953841"/>
      <w:r>
        <w:rPr>
          <w:rFonts w:hint="eastAsia" w:hAnsi="宋体"/>
          <w:color w:val="auto"/>
          <w:sz w:val="21"/>
          <w:szCs w:val="21"/>
          <w:highlight w:val="none"/>
        </w:rPr>
        <w:t>响应文件编制</w:t>
      </w:r>
      <w:bookmarkEnd w:id="92"/>
      <w:bookmarkEnd w:id="93"/>
    </w:p>
    <w:p w14:paraId="14BE9017">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认真阅读、并充分理解采购文件的全部内容（包括所有的补充、修改内容、重要事项、格式、条款和技术规范、参数及要求等），并应完整、真实、准确的填写采购文件中规定的所有内容。供应商没有按照采购文件要求提交全部资料，或者报价没有对采购文件在各方面都作出实质性响应是供应商的风险，有可能导致其报价被拒绝，或被认定为无效响应或被确定为报价无效。</w:t>
      </w:r>
    </w:p>
    <w:p w14:paraId="22FF662B">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供应商必须对响应文件所提供的全部资料的真实性承担法律责任，并无条件接受采购人或采购代理机构及政府采购监督管理部门等对其中任何资料进行核实的要求。</w:t>
      </w:r>
    </w:p>
    <w:p w14:paraId="613A2360">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如果因为供应商响应文件填报的内容不详，或没有提供采购文件中所要求的全部资料及数据，由此造成的后果，其责任由供应商承担。</w:t>
      </w:r>
    </w:p>
    <w:p w14:paraId="36AD5A4D">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为方便磋商小组进行供应商授权代表人身份审查及供应商报价审查，供应商应将首次报价一览表及授权委托书单独密封提交，并在信封上标明“报价文件”字样。供应商的法定代表人参加磋商时，须开具法定代表人证明书，按上述要求一并密封提交。“报价文件”份数及签章等要求与响应文件正本相同（1份）。</w:t>
      </w:r>
    </w:p>
    <w:p w14:paraId="0B98A067">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报价：</w:t>
      </w:r>
    </w:p>
    <w:p w14:paraId="3ABB404C">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供应商应按响应文件的</w:t>
      </w:r>
      <w:r>
        <w:rPr>
          <w:rFonts w:hint="eastAsia" w:ascii="宋体" w:hAnsi="宋体" w:eastAsia="宋体"/>
          <w:color w:val="auto"/>
          <w:sz w:val="21"/>
          <w:szCs w:val="21"/>
          <w:highlight w:val="none"/>
        </w:rPr>
        <w:t>用户需求中的要求进行一次报价</w:t>
      </w:r>
      <w:r>
        <w:rPr>
          <w:rFonts w:hint="eastAsia" w:ascii="宋体" w:hAnsi="宋体" w:eastAsia="宋体"/>
          <w:bCs/>
          <w:color w:val="auto"/>
          <w:sz w:val="21"/>
          <w:szCs w:val="21"/>
          <w:highlight w:val="none"/>
        </w:rPr>
        <w:t>；</w:t>
      </w:r>
    </w:p>
    <w:p w14:paraId="53537F67">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供应商所提供的货物和服务均应以人民币</w:t>
      </w:r>
      <w:r>
        <w:rPr>
          <w:rFonts w:hint="eastAsia" w:ascii="宋体" w:hAnsi="宋体" w:eastAsia="宋体"/>
          <w:color w:val="auto"/>
          <w:sz w:val="21"/>
          <w:szCs w:val="21"/>
          <w:highlight w:val="none"/>
        </w:rPr>
        <w:t>（或相关费率）</w:t>
      </w:r>
      <w:r>
        <w:rPr>
          <w:rFonts w:hint="eastAsia" w:ascii="宋体" w:hAnsi="宋体" w:eastAsia="宋体"/>
          <w:bCs/>
          <w:color w:val="auto"/>
          <w:sz w:val="21"/>
          <w:szCs w:val="21"/>
          <w:highlight w:val="none"/>
        </w:rPr>
        <w:t>报价（具体报价要求详见用户需求）；</w:t>
      </w:r>
    </w:p>
    <w:p w14:paraId="58B28F73">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报价应包含完成本次采购所有服务内容的费用，包含各种税务费及合同实施过程中的全部费用；</w:t>
      </w:r>
    </w:p>
    <w:p w14:paraId="1C511268">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经磋商后，供应商所报的最后磋商报价在合同执行过程中是固定不变的，不得以任何理由予以变更；</w:t>
      </w:r>
    </w:p>
    <w:p w14:paraId="489E1729">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供应商只能就单个项目提供唯一的方案和报价，不接受选择性的方案和报价，方案或报价不是唯一的响应文件作无效处理；</w:t>
      </w:r>
    </w:p>
    <w:p w14:paraId="6FC3334A">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最终报价文件为供应商响应文件组成的一部分，其报价有效期应与响应文件有效期保持一致；</w:t>
      </w:r>
    </w:p>
    <w:p w14:paraId="31FA6320">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磋商小组认为供应商的报价明显低于其他通过初审的供应商的报价，有可能影响产品质量或者不能诚信履约的，应当要求其在磋商现场合理的时间内提供书面说明，必要时提交相关证明材料；供应商不能证明其报价合理性的，磋商小组应当将其作为无效报价处理。</w:t>
      </w:r>
    </w:p>
    <w:p w14:paraId="6ECF95B3">
      <w:pPr>
        <w:numPr>
          <w:ilvl w:val="1"/>
          <w:numId w:val="3"/>
        </w:numPr>
        <w:spacing w:line="360" w:lineRule="auto"/>
        <w:rPr>
          <w:rFonts w:ascii="宋体" w:hAnsi="宋体" w:eastAsia="宋体"/>
          <w:color w:val="auto"/>
          <w:sz w:val="21"/>
          <w:szCs w:val="21"/>
          <w:highlight w:val="none"/>
        </w:rPr>
      </w:pPr>
      <w:r>
        <w:rPr>
          <w:rFonts w:hint="eastAsia" w:ascii="宋体" w:hAnsi="宋体" w:eastAsia="宋体"/>
          <w:bCs/>
          <w:color w:val="auto"/>
          <w:sz w:val="21"/>
          <w:szCs w:val="21"/>
          <w:highlight w:val="none"/>
        </w:rPr>
        <w:t>供应商名称与供应商公章不一致，若供应商名称已进行变更，应在响应文件中提供相应的证明材料并加盖公章，否则响应文件无效。</w:t>
      </w:r>
    </w:p>
    <w:p w14:paraId="3BC39451">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响应文件密封、标记及内容与本项目采购信息不符，导致无法分辨所参与项目为本项目的，响应文件无效。</w:t>
      </w:r>
    </w:p>
    <w:p w14:paraId="5506550C">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除供应商对错处作必要修改外，响应文件中不允许涂改或改写。任何行间插字、涂改和增删，必须由供应商的法定代表人或委托代理人在修改处签字或加盖公章才有效，否则其该处内容无效。</w:t>
      </w:r>
    </w:p>
    <w:p w14:paraId="3300589F">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响应文件的签署：未按采购文件要求或未按响应文件所要求格式对响应文件进行签署授权的，其报价无效。</w:t>
      </w:r>
    </w:p>
    <w:p w14:paraId="128EC420">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电报、电话、传真、电子邮件形式的响应文件概不接受。</w:t>
      </w:r>
    </w:p>
    <w:p w14:paraId="0211170A">
      <w:pPr>
        <w:spacing w:line="360" w:lineRule="auto"/>
        <w:rPr>
          <w:rFonts w:ascii="宋体" w:hAnsi="宋体" w:eastAsia="宋体"/>
          <w:bCs/>
          <w:color w:val="auto"/>
          <w:sz w:val="21"/>
          <w:szCs w:val="21"/>
          <w:highlight w:val="none"/>
        </w:rPr>
      </w:pPr>
    </w:p>
    <w:p w14:paraId="2945CDB8">
      <w:pPr>
        <w:pStyle w:val="4"/>
        <w:keepNext w:val="0"/>
        <w:keepLines w:val="0"/>
        <w:numPr>
          <w:ilvl w:val="0"/>
          <w:numId w:val="3"/>
        </w:numPr>
        <w:adjustRightInd/>
        <w:spacing w:before="0" w:after="0" w:line="360" w:lineRule="auto"/>
        <w:rPr>
          <w:rFonts w:hAnsi="宋体"/>
          <w:color w:val="auto"/>
          <w:sz w:val="21"/>
          <w:szCs w:val="21"/>
          <w:highlight w:val="none"/>
        </w:rPr>
      </w:pPr>
      <w:r>
        <w:rPr>
          <w:rFonts w:hint="eastAsia" w:hAnsi="宋体"/>
          <w:color w:val="auto"/>
          <w:sz w:val="21"/>
          <w:szCs w:val="21"/>
          <w:highlight w:val="none"/>
        </w:rPr>
        <w:t>响应文件格式</w:t>
      </w:r>
      <w:bookmarkEnd w:id="94"/>
      <w:bookmarkEnd w:id="95"/>
      <w:bookmarkEnd w:id="96"/>
    </w:p>
    <w:p w14:paraId="791D5B02">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供应商应将响应文件装订成册，并制作“响应文件目录”。响应文件格式中要求必须提交的文件或表格，各供应商可以根据实际情况增加内容，但不得擅自减少有关内容。响应文件的完整性是评审的内容之一。</w:t>
      </w:r>
    </w:p>
    <w:p w14:paraId="2F0C22EC">
      <w:pPr>
        <w:rPr>
          <w:rFonts w:ascii="宋体" w:hAnsi="宋体" w:eastAsia="宋体" w:cs="宋体"/>
          <w:color w:val="auto"/>
          <w:sz w:val="21"/>
          <w:szCs w:val="21"/>
          <w:highlight w:val="none"/>
        </w:rPr>
      </w:pPr>
    </w:p>
    <w:p w14:paraId="53E91E89">
      <w:pPr>
        <w:pStyle w:val="4"/>
        <w:keepNext w:val="0"/>
        <w:keepLines w:val="0"/>
        <w:numPr>
          <w:ilvl w:val="0"/>
          <w:numId w:val="3"/>
        </w:numPr>
        <w:adjustRightInd/>
        <w:spacing w:before="0" w:after="0" w:line="360" w:lineRule="auto"/>
        <w:rPr>
          <w:rFonts w:hAnsi="宋体"/>
          <w:color w:val="auto"/>
          <w:sz w:val="21"/>
          <w:szCs w:val="21"/>
          <w:highlight w:val="none"/>
        </w:rPr>
      </w:pPr>
      <w:bookmarkStart w:id="97" w:name="_Toc1898"/>
      <w:bookmarkStart w:id="98" w:name="_Toc21656"/>
      <w:r>
        <w:rPr>
          <w:rFonts w:hint="eastAsia" w:hAnsi="宋体"/>
          <w:color w:val="auto"/>
          <w:sz w:val="21"/>
          <w:szCs w:val="21"/>
          <w:highlight w:val="none"/>
        </w:rPr>
        <w:t>磋商保证金</w:t>
      </w:r>
      <w:bookmarkEnd w:id="97"/>
      <w:bookmarkEnd w:id="98"/>
      <w:r>
        <w:rPr>
          <w:rFonts w:hint="eastAsia" w:hAnsi="宋体"/>
          <w:color w:val="auto"/>
          <w:sz w:val="21"/>
          <w:szCs w:val="21"/>
          <w:highlight w:val="none"/>
          <w:lang w:eastAsia="zh-CN"/>
        </w:rPr>
        <w:t>（</w:t>
      </w:r>
      <w:r>
        <w:rPr>
          <w:rFonts w:hint="eastAsia" w:ascii="宋体" w:hAnsi="宋体"/>
          <w:b/>
          <w:color w:val="auto"/>
          <w:sz w:val="21"/>
          <w:szCs w:val="21"/>
          <w:highlight w:val="none"/>
          <w:lang w:val="en-US" w:eastAsia="zh-CN"/>
        </w:rPr>
        <w:t>本项目不需提供</w:t>
      </w:r>
      <w:r>
        <w:rPr>
          <w:rFonts w:hint="eastAsia" w:hAnsi="宋体"/>
          <w:color w:val="auto"/>
          <w:sz w:val="21"/>
          <w:szCs w:val="21"/>
          <w:highlight w:val="none"/>
        </w:rPr>
        <w:t>磋商保证金</w:t>
      </w:r>
      <w:r>
        <w:rPr>
          <w:rFonts w:hint="eastAsia" w:hAnsi="宋体"/>
          <w:color w:val="auto"/>
          <w:sz w:val="21"/>
          <w:szCs w:val="21"/>
          <w:highlight w:val="none"/>
          <w:lang w:eastAsia="zh-CN"/>
        </w:rPr>
        <w:t>）</w:t>
      </w:r>
    </w:p>
    <w:p w14:paraId="4EF03B03">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color w:val="auto"/>
          <w:sz w:val="21"/>
          <w:szCs w:val="21"/>
          <w:highlight w:val="none"/>
        </w:rPr>
        <w:t>磋商保证金金额与采购文件要求金额保持一致（详见磋商资料表）。</w:t>
      </w:r>
    </w:p>
    <w:p w14:paraId="16912C6D">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供应商应按磋商资料表中规定数额及法律规定的时间按相应包号保证金金额要求一次性提交磋商保证金，以多次汇入达到采购文件要求金额的磋商保证金无效。</w:t>
      </w:r>
    </w:p>
    <w:p w14:paraId="140D76EC">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磋商保证金有效期与响应文件有效期保持一致。</w:t>
      </w:r>
    </w:p>
    <w:p w14:paraId="48CAFA8C">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缴纳磋商保证金的供应商与参与本项目的供应商名称必须一致，非参与本项目的供应商缴纳的磋商保证金无效。</w:t>
      </w:r>
    </w:p>
    <w:p w14:paraId="4354B956">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采用银行转账、电汇方式提交的,付至采购代理机构指定账户上。 (详见磋商资料表)</w:t>
      </w:r>
    </w:p>
    <w:p w14:paraId="104490CC">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担保是指由担保机构为供应商交纳磋商保证金向采购人或者采购代理机构提供的保证担保。供应商在响应有效期内撤回响应文件或成交后不签订政府采购合同的，由担保机构按照担保函的约定履行支付磋商保证金的责任。</w:t>
      </w:r>
    </w:p>
    <w:p w14:paraId="65BEAF1A">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采用担保函提交的，应符合下列规定：</w:t>
      </w:r>
    </w:p>
    <w:p w14:paraId="06EF144B">
      <w:pPr>
        <w:pStyle w:val="7"/>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担保函有效期应与响应文件有效期一致；</w:t>
      </w:r>
    </w:p>
    <w:p w14:paraId="5766B213">
      <w:pPr>
        <w:pStyle w:val="7"/>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担保金额应与本项目的磋商保证金一致；</w:t>
      </w:r>
    </w:p>
    <w:p w14:paraId="46D5C63F">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保证金不接受现金方式（包括以存现方式）提交，未按要求提交磋商保证金的供应商其响应文件作无效处理。</w:t>
      </w:r>
    </w:p>
    <w:p w14:paraId="7C3468AD">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未成交的供应商保证金在采购结果公示发出后5个工作日内退还，成交供应商的保证金在采购合同签订后5个工作日内退还。</w:t>
      </w:r>
    </w:p>
    <w:p w14:paraId="26FE76B6">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为方便退还未成交的供应商保证金，供应商应制作《磋商保证金汇入情况说明》随响应文件一并递交。</w:t>
      </w:r>
    </w:p>
    <w:p w14:paraId="011AA680">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有下列情形之一的，磋商保证金不予退还：</w:t>
      </w:r>
    </w:p>
    <w:p w14:paraId="4D7BC0F2">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供应商在提交响应文件截止时间后撤回响应文件的；</w:t>
      </w:r>
    </w:p>
    <w:p w14:paraId="6218C7D3">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供应商在响应文件中提供虚假材料的；</w:t>
      </w:r>
    </w:p>
    <w:p w14:paraId="52062782">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除因不可抗力或磋商文件（本文件）、询价通知书（本文件）认可的情形以外，成交供应商不与采购人签订合同的；</w:t>
      </w:r>
    </w:p>
    <w:p w14:paraId="25BC150F">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供应商与采购人、其他供应商或者采购代理机构恶意串通的；</w:t>
      </w:r>
    </w:p>
    <w:p w14:paraId="39F44535">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采购文件规定的其他情形。</w:t>
      </w:r>
    </w:p>
    <w:p w14:paraId="26BC62A0">
      <w:pPr>
        <w:spacing w:line="480" w:lineRule="exact"/>
        <w:ind w:firstLine="480" w:firstLineChars="200"/>
        <w:rPr>
          <w:rFonts w:ascii="宋体" w:hAnsi="宋体" w:eastAsia="宋体"/>
          <w:color w:val="auto"/>
          <w:sz w:val="24"/>
          <w:szCs w:val="21"/>
          <w:highlight w:val="none"/>
        </w:rPr>
      </w:pPr>
    </w:p>
    <w:p w14:paraId="73D52550">
      <w:pPr>
        <w:pStyle w:val="4"/>
        <w:keepNext w:val="0"/>
        <w:keepLines w:val="0"/>
        <w:numPr>
          <w:ilvl w:val="0"/>
          <w:numId w:val="3"/>
        </w:numPr>
        <w:adjustRightInd/>
        <w:spacing w:before="0" w:after="0" w:line="360" w:lineRule="auto"/>
        <w:rPr>
          <w:rFonts w:hAnsi="宋体"/>
          <w:color w:val="auto"/>
          <w:sz w:val="21"/>
          <w:szCs w:val="21"/>
          <w:highlight w:val="none"/>
        </w:rPr>
      </w:pPr>
      <w:bookmarkStart w:id="99" w:name="_Toc480010709"/>
      <w:bookmarkStart w:id="100" w:name="_Toc467236741"/>
      <w:bookmarkStart w:id="101" w:name="_Toc458262615"/>
      <w:bookmarkStart w:id="102" w:name="_Toc467987824"/>
      <w:bookmarkStart w:id="103" w:name="_Toc480171880"/>
      <w:bookmarkStart w:id="104" w:name="_Toc468157537"/>
      <w:bookmarkStart w:id="105" w:name="_Toc479991583"/>
      <w:bookmarkStart w:id="106" w:name="_Toc503758471"/>
      <w:bookmarkStart w:id="107" w:name="_Toc480021054"/>
      <w:bookmarkStart w:id="108" w:name="_Toc10456"/>
      <w:bookmarkStart w:id="109" w:name="_Toc110953842"/>
      <w:bookmarkStart w:id="110" w:name="_Toc468606030"/>
      <w:bookmarkStart w:id="111" w:name="_Toc480020258"/>
      <w:bookmarkStart w:id="112" w:name="_Toc454701382"/>
      <w:bookmarkStart w:id="113" w:name="_Toc25734"/>
      <w:r>
        <w:rPr>
          <w:rFonts w:hint="eastAsia" w:hAnsi="宋体"/>
          <w:color w:val="auto"/>
          <w:sz w:val="21"/>
          <w:szCs w:val="21"/>
          <w:highlight w:val="none"/>
        </w:rPr>
        <w:t>★报价（响应文件）有效期</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53058D7A">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响应文件从开启响应文件之日起，报价（响应文件）有效期为</w:t>
      </w:r>
      <w:r>
        <w:rPr>
          <w:rFonts w:hint="eastAsia" w:ascii="宋体" w:hAnsi="宋体" w:eastAsia="宋体"/>
          <w:bCs/>
          <w:color w:val="auto"/>
          <w:sz w:val="21"/>
          <w:szCs w:val="21"/>
          <w:highlight w:val="none"/>
          <w:lang w:eastAsia="zh-CN"/>
        </w:rPr>
        <w:t>90个日历日</w:t>
      </w:r>
      <w:r>
        <w:rPr>
          <w:rFonts w:hint="eastAsia" w:ascii="宋体" w:hAnsi="宋体" w:eastAsia="宋体"/>
          <w:bCs/>
          <w:color w:val="auto"/>
          <w:sz w:val="21"/>
          <w:szCs w:val="21"/>
          <w:highlight w:val="none"/>
        </w:rPr>
        <w:t>。</w:t>
      </w:r>
    </w:p>
    <w:p w14:paraId="20F160F7">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特殊情况下，采购代理机构可于响应有效期期满之前，要求供应商同意延长响应有效期，要求与答复均应为书面形式。对于同意该要求的供应商，既不要求也不允许其修改响应文件。</w:t>
      </w:r>
    </w:p>
    <w:p w14:paraId="7690209E">
      <w:pPr>
        <w:pStyle w:val="7"/>
        <w:rPr>
          <w:rFonts w:ascii="宋体" w:hAnsi="宋体" w:eastAsia="宋体" w:cs="宋体"/>
          <w:color w:val="auto"/>
          <w:sz w:val="21"/>
          <w:szCs w:val="21"/>
          <w:highlight w:val="none"/>
        </w:rPr>
      </w:pPr>
    </w:p>
    <w:bookmarkEnd w:id="81"/>
    <w:bookmarkEnd w:id="82"/>
    <w:bookmarkEnd w:id="83"/>
    <w:bookmarkEnd w:id="84"/>
    <w:bookmarkEnd w:id="85"/>
    <w:p w14:paraId="64F1A9E8">
      <w:pPr>
        <w:pStyle w:val="3"/>
        <w:keepNext w:val="0"/>
        <w:keepLines w:val="0"/>
        <w:spacing w:before="0" w:after="0" w:line="360" w:lineRule="auto"/>
        <w:jc w:val="center"/>
        <w:rPr>
          <w:rFonts w:ascii="宋体" w:hAnsi="宋体" w:eastAsia="宋体"/>
          <w:color w:val="auto"/>
          <w:sz w:val="24"/>
          <w:szCs w:val="21"/>
          <w:highlight w:val="none"/>
        </w:rPr>
      </w:pPr>
      <w:bookmarkStart w:id="114" w:name="_Toc110953843"/>
      <w:bookmarkStart w:id="115" w:name="_Toc32392"/>
      <w:bookmarkStart w:id="116" w:name="_Toc7006"/>
      <w:bookmarkStart w:id="117" w:name="_Toc6882679"/>
      <w:bookmarkStart w:id="118" w:name="_Toc102277760"/>
      <w:bookmarkStart w:id="119" w:name="_Toc6968691"/>
      <w:bookmarkStart w:id="120" w:name="_Toc507407363"/>
      <w:bookmarkStart w:id="121" w:name="_Toc466786438"/>
      <w:r>
        <w:rPr>
          <w:rFonts w:hint="eastAsia" w:ascii="宋体" w:hAnsi="宋体" w:eastAsia="宋体"/>
          <w:color w:val="auto"/>
          <w:sz w:val="24"/>
          <w:szCs w:val="21"/>
          <w:highlight w:val="none"/>
          <w:lang w:val="en-US" w:eastAsia="zh-CN"/>
        </w:rPr>
        <w:t>第四章</w:t>
      </w:r>
      <w:r>
        <w:rPr>
          <w:rFonts w:hint="eastAsia" w:ascii="宋体" w:hAnsi="宋体" w:eastAsia="宋体"/>
          <w:color w:val="auto"/>
          <w:sz w:val="24"/>
          <w:szCs w:val="21"/>
          <w:highlight w:val="none"/>
        </w:rPr>
        <w:t>响应文件的递交</w:t>
      </w:r>
      <w:bookmarkEnd w:id="114"/>
      <w:bookmarkEnd w:id="115"/>
      <w:bookmarkEnd w:id="116"/>
    </w:p>
    <w:p w14:paraId="647C285E">
      <w:pPr>
        <w:pStyle w:val="4"/>
        <w:keepNext w:val="0"/>
        <w:keepLines w:val="0"/>
        <w:numPr>
          <w:ilvl w:val="0"/>
          <w:numId w:val="3"/>
        </w:numPr>
        <w:adjustRightInd/>
        <w:spacing w:before="0" w:after="0" w:line="360" w:lineRule="auto"/>
        <w:rPr>
          <w:rFonts w:hAnsi="宋体"/>
          <w:color w:val="auto"/>
          <w:sz w:val="21"/>
          <w:szCs w:val="21"/>
          <w:highlight w:val="none"/>
        </w:rPr>
      </w:pPr>
      <w:bookmarkStart w:id="122" w:name="_Toc13611"/>
      <w:bookmarkStart w:id="123" w:name="_Toc4400"/>
      <w:bookmarkStart w:id="124" w:name="_Toc110953844"/>
      <w:r>
        <w:rPr>
          <w:rFonts w:hint="eastAsia" w:hAnsi="宋体"/>
          <w:color w:val="auto"/>
          <w:sz w:val="21"/>
          <w:szCs w:val="21"/>
          <w:highlight w:val="none"/>
        </w:rPr>
        <w:t>响应文件的密封和标记</w:t>
      </w:r>
      <w:bookmarkEnd w:id="122"/>
      <w:bookmarkEnd w:id="123"/>
      <w:bookmarkEnd w:id="124"/>
    </w:p>
    <w:p w14:paraId="4963EC5E">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供应商应当对响应文件进行装订，价格文件、商务文件、技术文件可</w:t>
      </w:r>
      <w:r>
        <w:rPr>
          <w:rFonts w:hint="eastAsia" w:ascii="宋体" w:hAnsi="宋体" w:eastAsia="宋体"/>
          <w:bCs/>
          <w:color w:val="auto"/>
          <w:sz w:val="21"/>
          <w:szCs w:val="21"/>
          <w:highlight w:val="none"/>
          <w:lang w:val="en-US" w:eastAsia="zh-CN"/>
        </w:rPr>
        <w:t>合装订</w:t>
      </w:r>
      <w:r>
        <w:rPr>
          <w:rFonts w:hint="eastAsia" w:ascii="宋体" w:hAnsi="宋体" w:eastAsia="宋体"/>
          <w:bCs/>
          <w:color w:val="auto"/>
          <w:sz w:val="21"/>
          <w:szCs w:val="21"/>
          <w:highlight w:val="none"/>
        </w:rPr>
        <w:t>为一册，也可根据自身需要分册</w:t>
      </w:r>
      <w:r>
        <w:rPr>
          <w:rFonts w:hint="eastAsia" w:ascii="宋体" w:hAnsi="宋体" w:eastAsia="宋体"/>
          <w:bCs/>
          <w:color w:val="auto"/>
          <w:sz w:val="21"/>
          <w:szCs w:val="21"/>
          <w:highlight w:val="none"/>
          <w:lang w:val="en-US" w:eastAsia="zh-CN"/>
        </w:rPr>
        <w:t>装订，</w:t>
      </w:r>
      <w:r>
        <w:rPr>
          <w:rFonts w:hint="eastAsia" w:ascii="宋体" w:hAnsi="宋体" w:eastAsia="宋体"/>
          <w:bCs/>
          <w:color w:val="auto"/>
          <w:sz w:val="21"/>
          <w:szCs w:val="21"/>
          <w:highlight w:val="none"/>
        </w:rPr>
        <w:t>对未经装订的响应文件可能发生的文件散落或缺损，由此产生的后果由供应商承担。</w:t>
      </w:r>
    </w:p>
    <w:p w14:paraId="23B3855F">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正本均须用不褪色墨水书写或打印。响应文件的副本可采用响应文件的正本复印件，每套响应文件应当标明“正本”、“副本”的字样。响应文件的【正本】及所有【副本】的封面及骑缝均须加盖供应商公章（文件每页盖章等同于盖骑缝章）。若正本与副本不符，以正本为准。</w:t>
      </w:r>
    </w:p>
    <w:p w14:paraId="2699857C">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联合体响应文件的【正本】及【副本】的封面及骑缝均须加盖所有联合体组成成员的公章。（文件每页盖章等同于盖骑缝章）</w:t>
      </w:r>
    </w:p>
    <w:p w14:paraId="477B7612">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供应商可将响应文件正本和所有的副本分开密封装在单独的信封中，且在信封上标明“正本”“副本”字样。然后再将所有信封封装在一个外层信封中。</w:t>
      </w:r>
    </w:p>
    <w:p w14:paraId="4E188C47">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电子文件内容包括：由供应商自行制作的与正本文件一致的所有文件。</w:t>
      </w:r>
      <w:r>
        <w:rPr>
          <w:rFonts w:ascii="宋体" w:hAnsi="宋体" w:eastAsia="宋体"/>
          <w:color w:val="auto"/>
          <w:sz w:val="21"/>
          <w:szCs w:val="21"/>
          <w:highlight w:val="none"/>
        </w:rPr>
        <w:t>电子文件</w:t>
      </w:r>
      <w:r>
        <w:rPr>
          <w:rFonts w:hint="eastAsia" w:ascii="宋体" w:hAnsi="宋体" w:eastAsia="宋体"/>
          <w:color w:val="auto"/>
          <w:sz w:val="21"/>
          <w:szCs w:val="21"/>
          <w:highlight w:val="none"/>
        </w:rPr>
        <w:t>由</w:t>
      </w:r>
      <w:r>
        <w:rPr>
          <w:rFonts w:ascii="宋体" w:hAnsi="宋体" w:eastAsia="宋体"/>
          <w:color w:val="auto"/>
          <w:sz w:val="21"/>
          <w:szCs w:val="21"/>
          <w:highlight w:val="none"/>
        </w:rPr>
        <w:t>光盘</w:t>
      </w:r>
      <w:r>
        <w:rPr>
          <w:rFonts w:hint="eastAsia" w:ascii="宋体" w:hAnsi="宋体" w:eastAsia="宋体"/>
          <w:color w:val="auto"/>
          <w:sz w:val="21"/>
          <w:szCs w:val="21"/>
          <w:highlight w:val="none"/>
        </w:rPr>
        <w:t>或U盘</w:t>
      </w:r>
      <w:r>
        <w:rPr>
          <w:rFonts w:ascii="宋体" w:hAnsi="宋体" w:eastAsia="宋体"/>
          <w:color w:val="auto"/>
          <w:sz w:val="21"/>
          <w:szCs w:val="21"/>
          <w:highlight w:val="none"/>
        </w:rPr>
        <w:t>储存</w:t>
      </w:r>
      <w:r>
        <w:rPr>
          <w:rFonts w:hint="eastAsia" w:ascii="宋体" w:hAnsi="宋体" w:eastAsia="宋体"/>
          <w:color w:val="auto"/>
          <w:sz w:val="21"/>
          <w:szCs w:val="21"/>
          <w:highlight w:val="none"/>
        </w:rPr>
        <w:t>，与正本密封包装，随正本提交。</w:t>
      </w:r>
      <w:r>
        <w:rPr>
          <w:rFonts w:hint="eastAsia" w:ascii="宋体" w:hAnsi="宋体" w:eastAsia="宋体"/>
          <w:bCs/>
          <w:color w:val="auto"/>
          <w:sz w:val="21"/>
          <w:szCs w:val="21"/>
          <w:highlight w:val="none"/>
        </w:rPr>
        <w:t>电报、电话、传真、电子邮件形式的电子响应文件概不接受。</w:t>
      </w:r>
    </w:p>
    <w:p w14:paraId="5C91E7B8">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color w:val="auto"/>
          <w:sz w:val="21"/>
          <w:szCs w:val="21"/>
          <w:highlight w:val="none"/>
        </w:rPr>
        <w:t>所有的信封均应注明：</w:t>
      </w:r>
    </w:p>
    <w:p w14:paraId="4D2EF48B">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收件人：广东政通招标有限公司</w:t>
      </w:r>
    </w:p>
    <w:p w14:paraId="348B57F6">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供应商名称：</w:t>
      </w:r>
    </w:p>
    <w:p w14:paraId="3B8F11B3">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p w14:paraId="4A6A86DF">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采购项目编号：</w:t>
      </w:r>
    </w:p>
    <w:p w14:paraId="0E0EF6F8">
      <w:pPr>
        <w:bidi w:val="0"/>
        <w:rPr>
          <w:color w:val="auto"/>
          <w:highlight w:val="none"/>
        </w:rPr>
      </w:pPr>
    </w:p>
    <w:p w14:paraId="6CDAD6EB">
      <w:pPr>
        <w:pStyle w:val="4"/>
        <w:keepNext w:val="0"/>
        <w:keepLines w:val="0"/>
        <w:numPr>
          <w:ilvl w:val="0"/>
          <w:numId w:val="3"/>
        </w:numPr>
        <w:adjustRightInd/>
        <w:spacing w:before="0" w:after="0" w:line="360" w:lineRule="auto"/>
        <w:rPr>
          <w:rFonts w:hAnsi="宋体"/>
          <w:color w:val="auto"/>
          <w:sz w:val="21"/>
          <w:szCs w:val="21"/>
          <w:highlight w:val="none"/>
        </w:rPr>
      </w:pPr>
      <w:bookmarkStart w:id="125" w:name="_Toc110953845"/>
      <w:bookmarkStart w:id="126" w:name="_Toc5658"/>
      <w:bookmarkStart w:id="127" w:name="_Toc6425"/>
      <w:r>
        <w:rPr>
          <w:rFonts w:hint="eastAsia" w:hAnsi="宋体"/>
          <w:color w:val="auto"/>
          <w:sz w:val="21"/>
          <w:szCs w:val="21"/>
          <w:highlight w:val="none"/>
        </w:rPr>
        <w:t>响应文件的递交</w:t>
      </w:r>
      <w:bookmarkEnd w:id="125"/>
      <w:bookmarkEnd w:id="126"/>
      <w:bookmarkEnd w:id="127"/>
    </w:p>
    <w:p w14:paraId="4EFCAD07">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所有经密封的响应文件及单独密封的报价文件都必须在响应截止时间之前送至采购代理机构。</w:t>
      </w:r>
    </w:p>
    <w:p w14:paraId="1A7EF508">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报价文件作为响应文件组成的一部分，采购文件所规定的初审事项适用于报价文件。</w:t>
      </w:r>
    </w:p>
    <w:p w14:paraId="50553071">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采购代理机构将拒绝接收出现以下情况的响应文件：</w:t>
      </w:r>
    </w:p>
    <w:p w14:paraId="5B1E4E29">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采用透明包装进行密封或未进行密封的响应文件；</w:t>
      </w:r>
    </w:p>
    <w:p w14:paraId="404DB9DB">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密封破损导致响应文件内容直接或间接泄露的响应文件；</w:t>
      </w:r>
    </w:p>
    <w:p w14:paraId="1F42813A">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密封信封上项目编号错误的响应文件；</w:t>
      </w:r>
    </w:p>
    <w:p w14:paraId="3650509F">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未进行项目报名的供应商（以采购代理机构报名表及报名发票为准）递交的响应文件；</w:t>
      </w:r>
    </w:p>
    <w:p w14:paraId="764B6B22">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项目名称出现严重歧义或未标注所参与项目信息导致无法分辨所参与项目为本项目的响应文件；</w:t>
      </w:r>
    </w:p>
    <w:p w14:paraId="38CEDB7F">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未递交磋商保证金供应商递交的响应文件；</w:t>
      </w:r>
    </w:p>
    <w:p w14:paraId="015A372F">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采用传真、电传的响应文件；</w:t>
      </w:r>
    </w:p>
    <w:p w14:paraId="22D7A15C">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多个包号的一并密封的响应文件；</w:t>
      </w:r>
    </w:p>
    <w:p w14:paraId="31B76F6F">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迟交的响应文件；</w:t>
      </w:r>
    </w:p>
    <w:p w14:paraId="13C008AE">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磋商文件规定的其他情形。</w:t>
      </w:r>
    </w:p>
    <w:p w14:paraId="50F4C01E">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采购代理机构对所有响应文件的误投或提前启封概不负责。</w:t>
      </w:r>
    </w:p>
    <w:p w14:paraId="58309223">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供应商同时参加几个包磋商时必须按采购文件要求按包号分别制作响应文件，分别密封递交。</w:t>
      </w:r>
    </w:p>
    <w:p w14:paraId="28D4477E">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递交的响应文件中所提供的通讯方式应保持联络畅通，因联系不上而导致的所有后果由供应商自行承担。</w:t>
      </w:r>
    </w:p>
    <w:p w14:paraId="3E6EBC8F">
      <w:pPr>
        <w:bidi w:val="0"/>
        <w:rPr>
          <w:color w:val="auto"/>
          <w:highlight w:val="none"/>
        </w:rPr>
      </w:pPr>
    </w:p>
    <w:p w14:paraId="2D5F2EAE">
      <w:pPr>
        <w:pStyle w:val="4"/>
        <w:keepNext w:val="0"/>
        <w:keepLines w:val="0"/>
        <w:numPr>
          <w:ilvl w:val="0"/>
          <w:numId w:val="3"/>
        </w:numPr>
        <w:adjustRightInd/>
        <w:spacing w:before="0" w:after="0" w:line="360" w:lineRule="auto"/>
        <w:rPr>
          <w:rFonts w:hAnsi="宋体" w:cs="宋体"/>
          <w:color w:val="auto"/>
          <w:sz w:val="21"/>
          <w:szCs w:val="21"/>
          <w:highlight w:val="none"/>
        </w:rPr>
      </w:pPr>
      <w:bookmarkStart w:id="128" w:name="_Toc23533"/>
      <w:bookmarkStart w:id="129" w:name="_Toc8440"/>
      <w:r>
        <w:rPr>
          <w:rFonts w:hint="eastAsia" w:hAnsi="宋体"/>
          <w:color w:val="auto"/>
          <w:sz w:val="21"/>
          <w:szCs w:val="21"/>
          <w:highlight w:val="none"/>
        </w:rPr>
        <w:t>样品（如需提交）</w:t>
      </w:r>
      <w:bookmarkEnd w:id="128"/>
      <w:bookmarkEnd w:id="129"/>
    </w:p>
    <w:p w14:paraId="01B74B23">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如有必要，采购代理机构可以要求供应商提供本服务项目涉及的部分设备或产品样品，供应商在磋商时应提交《样品清单》。</w:t>
      </w:r>
    </w:p>
    <w:p w14:paraId="45348919">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为方便评审，供应商在提供样品时，应在所提供的样品表面显著位置标注供应商的名称、包号、样品名称、采购文件规定的服务或货物编号。</w:t>
      </w:r>
    </w:p>
    <w:p w14:paraId="33D76AFD">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样品作为响应文件的一部分，除非另有说明，成交单位的样品将作为履约验收标准的参考不再退还，未成交单位须在采购结果公示发布后五个工作日内，前往采购代理机构领取样品，逾期不领，采购代理机构将不承担样品的保管责任，由此引发的样品丢失、毁损，采购代理机构不予负责。</w:t>
      </w:r>
    </w:p>
    <w:p w14:paraId="0D09E1EB">
      <w:pPr>
        <w:spacing w:line="360" w:lineRule="auto"/>
        <w:rPr>
          <w:rFonts w:ascii="宋体" w:hAnsi="宋体" w:eastAsia="宋体" w:cs="宋体"/>
          <w:color w:val="auto"/>
          <w:sz w:val="21"/>
          <w:szCs w:val="21"/>
          <w:highlight w:val="none"/>
        </w:rPr>
      </w:pPr>
    </w:p>
    <w:p w14:paraId="440BBBB4">
      <w:pPr>
        <w:pStyle w:val="3"/>
        <w:keepNext w:val="0"/>
        <w:keepLines w:val="0"/>
        <w:spacing w:before="0" w:after="0" w:line="360" w:lineRule="auto"/>
        <w:jc w:val="center"/>
        <w:rPr>
          <w:rFonts w:ascii="宋体" w:hAnsi="宋体" w:eastAsia="宋体"/>
          <w:color w:val="auto"/>
          <w:sz w:val="24"/>
          <w:szCs w:val="21"/>
          <w:highlight w:val="none"/>
        </w:rPr>
      </w:pPr>
      <w:bookmarkStart w:id="130" w:name="_Toc3401"/>
      <w:bookmarkStart w:id="131" w:name="_Toc30009"/>
      <w:r>
        <w:rPr>
          <w:rFonts w:hint="eastAsia" w:ascii="宋体" w:hAnsi="宋体" w:eastAsia="宋体"/>
          <w:color w:val="auto"/>
          <w:sz w:val="24"/>
          <w:szCs w:val="21"/>
          <w:highlight w:val="none"/>
          <w:lang w:val="en-US" w:eastAsia="zh-CN"/>
        </w:rPr>
        <w:t>第五章</w:t>
      </w:r>
      <w:bookmarkEnd w:id="117"/>
      <w:bookmarkEnd w:id="118"/>
      <w:bookmarkEnd w:id="119"/>
      <w:bookmarkEnd w:id="120"/>
      <w:bookmarkEnd w:id="121"/>
      <w:r>
        <w:rPr>
          <w:rFonts w:hint="eastAsia" w:ascii="宋体" w:hAnsi="宋体" w:eastAsia="宋体"/>
          <w:color w:val="auto"/>
          <w:sz w:val="24"/>
          <w:szCs w:val="21"/>
          <w:highlight w:val="none"/>
        </w:rPr>
        <w:t>磋商、评审</w:t>
      </w:r>
      <w:bookmarkEnd w:id="130"/>
      <w:bookmarkEnd w:id="131"/>
    </w:p>
    <w:p w14:paraId="62D36714">
      <w:pPr>
        <w:pStyle w:val="4"/>
        <w:keepNext w:val="0"/>
        <w:keepLines w:val="0"/>
        <w:numPr>
          <w:ilvl w:val="0"/>
          <w:numId w:val="3"/>
        </w:numPr>
        <w:adjustRightInd/>
        <w:spacing w:before="0" w:after="0" w:line="360" w:lineRule="auto"/>
        <w:rPr>
          <w:rFonts w:hAnsi="宋体"/>
          <w:color w:val="auto"/>
          <w:sz w:val="21"/>
          <w:szCs w:val="21"/>
          <w:highlight w:val="none"/>
        </w:rPr>
      </w:pPr>
      <w:bookmarkStart w:id="132" w:name="_Toc8137"/>
      <w:bookmarkStart w:id="133" w:name="_Toc28590"/>
      <w:r>
        <w:rPr>
          <w:rFonts w:hint="eastAsia" w:hAnsi="宋体"/>
          <w:color w:val="auto"/>
          <w:sz w:val="21"/>
          <w:szCs w:val="21"/>
          <w:highlight w:val="none"/>
        </w:rPr>
        <w:t>签到及评审方法</w:t>
      </w:r>
      <w:bookmarkEnd w:id="132"/>
      <w:bookmarkEnd w:id="133"/>
    </w:p>
    <w:p w14:paraId="087C93BC">
      <w:pPr>
        <w:numPr>
          <w:ilvl w:val="1"/>
          <w:numId w:val="3"/>
        </w:numPr>
        <w:spacing w:line="360" w:lineRule="auto"/>
        <w:rPr>
          <w:rFonts w:ascii="宋体" w:hAnsi="宋体" w:eastAsia="宋体"/>
          <w:color w:val="auto"/>
          <w:sz w:val="21"/>
          <w:szCs w:val="21"/>
          <w:highlight w:val="none"/>
        </w:rPr>
      </w:pPr>
      <w:bookmarkStart w:id="134" w:name="_Toc475249135"/>
      <w:bookmarkStart w:id="135" w:name="_Toc475249138"/>
      <w:r>
        <w:rPr>
          <w:rFonts w:hint="eastAsia" w:ascii="宋体" w:hAnsi="宋体" w:eastAsia="宋体"/>
          <w:color w:val="auto"/>
          <w:sz w:val="21"/>
          <w:szCs w:val="21"/>
          <w:highlight w:val="none"/>
        </w:rPr>
        <w:t>供应商应在《磋商邀请函》规定的日期、时间和地点递交响应文件并进行现场签到。</w:t>
      </w:r>
    </w:p>
    <w:p w14:paraId="6F290C50">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递交响应文件时间截止后，由参与磋商的供应商代表或者其推选的代表检查响应文件的密封情况，经确认密封完好后的响应文件不当众予以拆封，不宣读第一次报价和响应文件的其它主要内容。</w:t>
      </w:r>
    </w:p>
    <w:p w14:paraId="05278895">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本项目采用综合评分法。</w:t>
      </w:r>
    </w:p>
    <w:p w14:paraId="6E1D6724">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通过资格性和符合性审查的有效供应商方有资格提交最终报价及进入综合评审。</w:t>
      </w:r>
    </w:p>
    <w:p w14:paraId="40E759D0">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根据财库〔2015〕124 号，在采购过程中符合要求的供应商只有 2 家的，竞争性磋商采购活动继续进行。</w:t>
      </w:r>
    </w:p>
    <w:p w14:paraId="54711ECF">
      <w:pPr>
        <w:bidi w:val="0"/>
        <w:rPr>
          <w:color w:val="auto"/>
          <w:highlight w:val="none"/>
        </w:rPr>
      </w:pPr>
    </w:p>
    <w:p w14:paraId="28AC7812">
      <w:pPr>
        <w:pStyle w:val="4"/>
        <w:keepNext w:val="0"/>
        <w:keepLines w:val="0"/>
        <w:numPr>
          <w:ilvl w:val="0"/>
          <w:numId w:val="3"/>
        </w:numPr>
        <w:adjustRightInd/>
        <w:spacing w:before="0" w:after="0" w:line="360" w:lineRule="auto"/>
        <w:rPr>
          <w:rFonts w:hAnsi="宋体"/>
          <w:color w:val="auto"/>
          <w:sz w:val="21"/>
          <w:szCs w:val="21"/>
          <w:highlight w:val="none"/>
        </w:rPr>
      </w:pPr>
      <w:bookmarkStart w:id="136" w:name="_Toc10800"/>
      <w:bookmarkStart w:id="137" w:name="_Toc10080"/>
      <w:r>
        <w:rPr>
          <w:rFonts w:hint="eastAsia" w:hAnsi="宋体"/>
          <w:color w:val="auto"/>
          <w:sz w:val="21"/>
          <w:szCs w:val="21"/>
          <w:highlight w:val="none"/>
        </w:rPr>
        <w:t>磋商小组</w:t>
      </w:r>
      <w:bookmarkEnd w:id="134"/>
      <w:bookmarkEnd w:id="136"/>
      <w:bookmarkEnd w:id="137"/>
    </w:p>
    <w:p w14:paraId="02875EE1">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本次采购依法组建磋商小组。</w:t>
      </w:r>
    </w:p>
    <w:p w14:paraId="77A3A551">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磋商小组将按照采购文件确定的评审方法进行评审。对采购文件中描述有歧义或前后不一致的地方，磋商小组有权按法律法规的规定进行评判，但对同一条款的评判应适用于每个供应商。</w:t>
      </w:r>
    </w:p>
    <w:p w14:paraId="01DF189B">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从递交响应文件截止到签订合同，凡与审查、澄清、评审和供应商响应文件有关的资料，均不得向任何供应商及与磋商无关的其他人透露。</w:t>
      </w:r>
    </w:p>
    <w:p w14:paraId="7E4A8D10">
      <w:pPr>
        <w:spacing w:line="360" w:lineRule="auto"/>
        <w:rPr>
          <w:rFonts w:ascii="宋体" w:hAnsi="宋体" w:eastAsia="宋体"/>
          <w:color w:val="auto"/>
          <w:sz w:val="21"/>
          <w:szCs w:val="21"/>
          <w:highlight w:val="none"/>
        </w:rPr>
      </w:pPr>
    </w:p>
    <w:p w14:paraId="7639A601">
      <w:pPr>
        <w:pStyle w:val="4"/>
        <w:keepNext w:val="0"/>
        <w:keepLines w:val="0"/>
        <w:numPr>
          <w:ilvl w:val="0"/>
          <w:numId w:val="3"/>
        </w:numPr>
        <w:adjustRightInd/>
        <w:spacing w:before="0" w:after="0" w:line="360" w:lineRule="auto"/>
        <w:rPr>
          <w:rFonts w:hAnsi="宋体"/>
          <w:color w:val="auto"/>
          <w:sz w:val="21"/>
          <w:szCs w:val="21"/>
          <w:highlight w:val="none"/>
        </w:rPr>
      </w:pPr>
      <w:bookmarkStart w:id="138" w:name="_Toc17157"/>
      <w:bookmarkStart w:id="139" w:name="_Toc535141844"/>
      <w:bookmarkStart w:id="140" w:name="_Toc17978"/>
      <w:bookmarkStart w:id="141" w:name="_Toc37121259"/>
      <w:r>
        <w:rPr>
          <w:rFonts w:hint="eastAsia" w:hAnsi="宋体"/>
          <w:color w:val="auto"/>
          <w:sz w:val="21"/>
          <w:szCs w:val="21"/>
          <w:highlight w:val="none"/>
        </w:rPr>
        <w:t>对响应文件的初审</w:t>
      </w:r>
      <w:bookmarkEnd w:id="138"/>
      <w:bookmarkEnd w:id="139"/>
      <w:bookmarkEnd w:id="140"/>
      <w:bookmarkEnd w:id="141"/>
    </w:p>
    <w:p w14:paraId="1A256846">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开启响应文件后，采购代理机构将组织磋商小组对响应文件进行初审，初审包括资格性审查和符合性审查。</w:t>
      </w:r>
    </w:p>
    <w:p w14:paraId="2ED1F230">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资格性审查是指依据法律规定和磋商文件的规定，对响应文件中的资格证明等进行审查，确定供应商是否具备响应资格。</w:t>
      </w:r>
      <w:r>
        <w:rPr>
          <w:rFonts w:hint="eastAsia" w:ascii="宋体" w:hAnsi="宋体" w:eastAsia="宋体"/>
          <w:b/>
          <w:color w:val="auto"/>
          <w:sz w:val="21"/>
          <w:szCs w:val="21"/>
          <w:highlight w:val="none"/>
        </w:rPr>
        <w:t>资格性检查中发现下列情形之一的，其报价及响应文件作无效处理。</w:t>
      </w:r>
    </w:p>
    <w:p w14:paraId="00990510">
      <w:pPr>
        <w:numPr>
          <w:ilvl w:val="0"/>
          <w:numId w:val="12"/>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资格瑕疵</w:t>
      </w:r>
    </w:p>
    <w:p w14:paraId="45B9A678">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包括但不限于：①资格证明文件未提供或不符合采购文件要求的；</w:t>
      </w:r>
      <w:r>
        <w:rPr>
          <w:rFonts w:ascii="宋体" w:hAnsi="宋体" w:eastAsia="宋体"/>
          <w:color w:val="auto"/>
          <w:sz w:val="21"/>
          <w:szCs w:val="21"/>
          <w:highlight w:val="none"/>
        </w:rPr>
        <w:t xml:space="preserve"> </w:t>
      </w:r>
      <w:r>
        <w:rPr>
          <w:rFonts w:hint="eastAsia" w:ascii="宋体" w:hAnsi="宋体" w:eastAsia="宋体"/>
          <w:color w:val="auto"/>
          <w:sz w:val="21"/>
          <w:szCs w:val="21"/>
          <w:highlight w:val="none"/>
        </w:rPr>
        <w:t>②资格证明文件有效期过期的；③《营业执照》复印件（加盖公章）或《事业单位法人证书》复印件（加盖公章）或其他主体证书复印件（加盖公章）未提供或有效期过期的；④提供的资质材料模糊不清导致无法辨认的。</w:t>
      </w:r>
    </w:p>
    <w:p w14:paraId="31DD09D5">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性审查是指依据磋商文件的规定，从响应文件的有效性、完整性和对磋商文件的响应程度进行审查，以确定是否对磋商文件的实质性要求作出响应，包括审查响应文件是否完整，有否计算错误，文件签署是否合格等。</w:t>
      </w:r>
      <w:r>
        <w:rPr>
          <w:rFonts w:hint="eastAsia" w:ascii="宋体" w:hAnsi="宋体" w:eastAsia="宋体"/>
          <w:b/>
          <w:color w:val="auto"/>
          <w:sz w:val="21"/>
          <w:szCs w:val="21"/>
          <w:highlight w:val="none"/>
        </w:rPr>
        <w:t>符合性检查中发现下列情形之一的，其报价及响应文件作无效处理。</w:t>
      </w:r>
    </w:p>
    <w:p w14:paraId="712A52D0">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响应文件的有效性、完整性瑕疵</w:t>
      </w:r>
    </w:p>
    <w:p w14:paraId="00D27DC9">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响应文件的数量、制作不符合要求、响应文件内容与采购内容不符的（包括但不限于响应文件项目采购项目编号错误，响应文件项目名称错误导致无法分辨所报价项目为本项目的）；②响应文件中要求签字的内容无法定代表人或其授权代表签字，或签字人无法定代表人有效授权的；③签字盖章不符合采购文件要求的；④响应文件内容有严重缺漏项的；⑤响应文件的关键内容字迹模糊、无法辨认的；⑥响应文件（报价）有效期不符合文件要求的。</w:t>
      </w:r>
    </w:p>
    <w:p w14:paraId="3C6FB151">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技术响应瑕疵</w:t>
      </w:r>
    </w:p>
    <w:p w14:paraId="105F7234">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响应文件不满足采购文件中加注星号（★）的主要参数要求或加注星号的主要参数无技术资料支持的；②一般参数超出允许偏离的最大范围或最高项数的；③响应文件技术响应与事实不符或虚假应标的；④《技术规格偏离表》未提供的；⑤将一个包中的内容拆开响应的；⑥供应商对同一货物或服务报价时，方案不唯一；⑦明显不符合技术规格、技术标准要求的；⑧其他未实质性响应采购文件技术要求的。</w:t>
      </w:r>
    </w:p>
    <w:p w14:paraId="2ED65B64">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商务响应瑕疵</w:t>
      </w:r>
    </w:p>
    <w:p w14:paraId="2B8B943F">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采购文件加注星号（★）的商务要求负偏离的；②完成期（包括但不限于：工期，服务期，交货期等）未满足采购文件要求的；③响应文件载明的货物包装方式、检验标准和方法不符合采购文件要求，采购人无法接受的；④《商务条款偏离表》未提供的；⑤采购文件附有采购人不能接受的条件的；⑥其他未实质性响应磋商文件商务要求的。</w:t>
      </w:r>
    </w:p>
    <w:p w14:paraId="244C9767">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报价瑕疵</w:t>
      </w:r>
    </w:p>
    <w:p w14:paraId="6E468270">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包括但不限于：①一次报价或最终报价超过本采购文件明确的项目预算或文件明确的最高限价；②未按采购文件要求进行报价的；③报价内容或报价格式不符合采购文件要求的；④报价有严重缺漏项的。</w:t>
      </w:r>
    </w:p>
    <w:p w14:paraId="31D16EB4">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违规行为</w:t>
      </w:r>
    </w:p>
    <w:p w14:paraId="555C5138">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包括但不限于：①以他人的名义报价、串通投标、以行贿手段谋取成交或者以其他弄虚作假方式响应磋商的；②扰乱磋商评审秩序，干扰采购工作正常进行的。③存在经磋商小组认定的其他违规违法行为。</w:t>
      </w:r>
    </w:p>
    <w:p w14:paraId="7727DA2F">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法律法规及磋商文件中规定的其它情形</w:t>
      </w:r>
    </w:p>
    <w:p w14:paraId="4B6FA7AA">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根据项目情况，磋商小组有权决定采购文件中“可能导致废标”或“可能导致其报价被拒绝”等具体条款是否实施“废标”或“投标被拒绝”，但对同一条款的裁决应适用于每个供应商。</w:t>
      </w:r>
    </w:p>
    <w:p w14:paraId="22AD5E28">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磋商过程中，供应商提交的澄清文件和最终响应文件，由供应商法定代表人或授权代表签署后生效，供应商应受其约束。因此，该签字人参加磋商时需出示有效的身份证明文件，否则，其签字的澄清文件和最终响应（报价）文件无效。</w:t>
      </w:r>
    </w:p>
    <w:p w14:paraId="0B3C7952">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对响应文件进行详细评估之前，磋商小组将审查每份响应文件是否实质上响应了采购文件的要求。实质性响应的响应应该是与磋商文件要求的全部条款、条件和规格相符，没有重大偏离的响应。对关键条文的偏离、保留或反对，例如关于适用法律、税及关税等的偏离将被认为是实质上的偏离，而纠正这些偏离将影响到其他提交实质性响应响应的供应商的公平竞争地位。</w:t>
      </w:r>
    </w:p>
    <w:p w14:paraId="657BF983">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磋商小组确定响应文件的响应性，只根据响应文件本身的内容，而不寻找外部的证据。</w:t>
      </w:r>
    </w:p>
    <w:p w14:paraId="2EFE4DD8">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实质上没有响应磋商文件要求的响应文件将被拒绝。供应商不得通过修正或撤销不合要求的偏离或保留从而使其响应成为实质上的响应。</w:t>
      </w:r>
    </w:p>
    <w:p w14:paraId="30855583">
      <w:pPr>
        <w:bidi w:val="0"/>
        <w:rPr>
          <w:color w:val="auto"/>
          <w:highlight w:val="none"/>
        </w:rPr>
      </w:pPr>
    </w:p>
    <w:p w14:paraId="17F3E5FB">
      <w:pPr>
        <w:pStyle w:val="4"/>
        <w:keepNext w:val="0"/>
        <w:keepLines w:val="0"/>
        <w:numPr>
          <w:ilvl w:val="0"/>
          <w:numId w:val="3"/>
        </w:numPr>
        <w:adjustRightInd/>
        <w:spacing w:before="0" w:after="0" w:line="360" w:lineRule="auto"/>
        <w:rPr>
          <w:rFonts w:hAnsi="宋体"/>
          <w:color w:val="auto"/>
          <w:sz w:val="21"/>
          <w:szCs w:val="21"/>
          <w:highlight w:val="none"/>
        </w:rPr>
      </w:pPr>
      <w:bookmarkStart w:id="142" w:name="_Toc29665"/>
      <w:bookmarkStart w:id="143" w:name="_Toc18895"/>
      <w:r>
        <w:rPr>
          <w:rFonts w:hint="eastAsia" w:hAnsi="宋体"/>
          <w:color w:val="auto"/>
          <w:sz w:val="21"/>
          <w:szCs w:val="21"/>
          <w:highlight w:val="none"/>
        </w:rPr>
        <w:t>技术商务</w:t>
      </w:r>
      <w:bookmarkEnd w:id="142"/>
      <w:r>
        <w:rPr>
          <w:rFonts w:hint="eastAsia" w:hAnsi="宋体"/>
          <w:color w:val="auto"/>
          <w:sz w:val="21"/>
          <w:szCs w:val="21"/>
          <w:highlight w:val="none"/>
        </w:rPr>
        <w:t>磋商</w:t>
      </w:r>
      <w:bookmarkEnd w:id="143"/>
    </w:p>
    <w:p w14:paraId="279ADA95">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磋商小组所有成员应当集中与单一供应商分别进行磋商，并给予所有参加磋商的供应商平等的磋商机会。其磋商顺序以供应商签到顺序为准。</w:t>
      </w:r>
    </w:p>
    <w:p w14:paraId="69249CC7">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磋商使用语言为中文。</w:t>
      </w:r>
    </w:p>
    <w:p w14:paraId="666C229D">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磋商小组将拒绝与出现以下情况的供应商授权代表进行磋商：</w:t>
      </w:r>
    </w:p>
    <w:p w14:paraId="1B0FD11C">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供应商授权代表无有效授权的；</w:t>
      </w:r>
    </w:p>
    <w:p w14:paraId="0C2C1D33">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供应商响应文件中的授权代表与现场进行磋商的授权代表不一致的；</w:t>
      </w:r>
    </w:p>
    <w:p w14:paraId="510F0454">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法人参加磋商但无法定代表人证明书的；</w:t>
      </w:r>
    </w:p>
    <w:p w14:paraId="7DD94C5E">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授权代表现场不能出具可证明其身份信息的证件或文件的；</w:t>
      </w:r>
    </w:p>
    <w:p w14:paraId="38CDF7E4">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供应商一次报价超出采购文件所规定的预算或最高限价的；</w:t>
      </w:r>
    </w:p>
    <w:p w14:paraId="1EC67D7A">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扰乱磋商秩序，干扰采购工作正常进行的；</w:t>
      </w:r>
    </w:p>
    <w:p w14:paraId="15CBC397">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直接或间接影响其他供应商进行最终报价的；</w:t>
      </w:r>
    </w:p>
    <w:p w14:paraId="44DDF7FE">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磋商小组认定为违规的情况；</w:t>
      </w:r>
    </w:p>
    <w:p w14:paraId="063A980F">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采购文件规定的其他情况。</w:t>
      </w:r>
    </w:p>
    <w:p w14:paraId="5BFD9377">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磋商小组与供应商分别进行磋商（除特殊情况外，磋商小组仅对各供应商进行一轮磋商）。在磋商过程中，磋商小组应当严格遵循保密原则，未经供应商同意不得向任何人透露当事人技术、价格和其他重要信息。</w:t>
      </w:r>
    </w:p>
    <w:p w14:paraId="25EB5070">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文件的修正：磋商小组调整或修改采购需求内容时，应取得磋商小组的一致同意，并以书面形式通知所有参加磋商的供应商。但任何形式的决定须以符合公平、公正原则和有利于项目的顺利实施为前提。对磋商文件作出的实质性变动是磋商文件的有效组成部分。</w:t>
      </w:r>
    </w:p>
    <w:p w14:paraId="4D1A9DC7">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应当按照磋商文件的变动情况和磋商小组的要求重新提交响应文件（或补充以书面材料），并由其法定代表人或授权代表签字或者加盖公章。由授权代表签字的，应当附法定代表人授权书。供应商为自然人的，应当由本人签字并附身份证明。补充文件是响应文件的组成部分。</w:t>
      </w:r>
    </w:p>
    <w:p w14:paraId="13FED334">
      <w:pPr>
        <w:bidi w:val="0"/>
        <w:rPr>
          <w:color w:val="auto"/>
          <w:highlight w:val="none"/>
        </w:rPr>
      </w:pPr>
    </w:p>
    <w:p w14:paraId="38005018">
      <w:pPr>
        <w:pStyle w:val="4"/>
        <w:keepNext w:val="0"/>
        <w:keepLines w:val="0"/>
        <w:numPr>
          <w:ilvl w:val="0"/>
          <w:numId w:val="3"/>
        </w:numPr>
        <w:adjustRightInd/>
        <w:spacing w:before="0" w:after="0" w:line="360" w:lineRule="auto"/>
        <w:rPr>
          <w:rFonts w:hAnsi="宋体"/>
          <w:color w:val="auto"/>
          <w:sz w:val="21"/>
          <w:szCs w:val="21"/>
          <w:highlight w:val="none"/>
        </w:rPr>
      </w:pPr>
      <w:bookmarkStart w:id="144" w:name="_Toc30797"/>
      <w:bookmarkStart w:id="145" w:name="_Toc5492"/>
      <w:r>
        <w:rPr>
          <w:rFonts w:hint="eastAsia" w:hAnsi="宋体"/>
          <w:color w:val="auto"/>
          <w:sz w:val="21"/>
          <w:szCs w:val="21"/>
          <w:highlight w:val="none"/>
        </w:rPr>
        <w:t>最终报价</w:t>
      </w:r>
      <w:bookmarkEnd w:id="144"/>
      <w:bookmarkEnd w:id="145"/>
    </w:p>
    <w:p w14:paraId="5B26E809">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文件能够详细列明采购标的的技术、服务要求的，磋商结束后，磋商小组应当要求所有实质性响应的供应商在规定时间内提交最终报价（最终报价时间视磋商进程由磋商小组决定）。最后报价是供应商响应文件的有效组成部分。</w:t>
      </w:r>
    </w:p>
    <w:p w14:paraId="7DBE53DC">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通过初审，但未在规定时间内进行最终报价的供应商，其报价文件上的报价视为其最终报价。</w:t>
      </w:r>
    </w:p>
    <w:p w14:paraId="3586842E">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已提交响应文件的供应商，在提交最后报价之前，可以根据磋商情况退出磋商。响应文件不予退还，磋商保证金按采购文件规定进行退还。退出磋商的供应商不进入综合评分环节。</w:t>
      </w:r>
    </w:p>
    <w:p w14:paraId="384ACB67">
      <w:pPr>
        <w:bidi w:val="0"/>
        <w:rPr>
          <w:color w:val="auto"/>
          <w:highlight w:val="none"/>
        </w:rPr>
      </w:pPr>
    </w:p>
    <w:bookmarkEnd w:id="135"/>
    <w:p w14:paraId="5E2F4DC5">
      <w:pPr>
        <w:pStyle w:val="4"/>
        <w:keepNext w:val="0"/>
        <w:keepLines w:val="0"/>
        <w:numPr>
          <w:ilvl w:val="0"/>
          <w:numId w:val="3"/>
        </w:numPr>
        <w:adjustRightInd/>
        <w:spacing w:before="0" w:after="0" w:line="360" w:lineRule="auto"/>
        <w:rPr>
          <w:rFonts w:hAnsi="宋体"/>
          <w:color w:val="auto"/>
          <w:sz w:val="21"/>
          <w:szCs w:val="21"/>
          <w:highlight w:val="none"/>
        </w:rPr>
      </w:pPr>
      <w:bookmarkStart w:id="146" w:name="_Toc19157"/>
      <w:bookmarkStart w:id="147" w:name="_Toc2794"/>
      <w:r>
        <w:rPr>
          <w:rFonts w:hint="eastAsia" w:hAnsi="宋体"/>
          <w:color w:val="auto"/>
          <w:sz w:val="21"/>
          <w:szCs w:val="21"/>
          <w:highlight w:val="none"/>
        </w:rPr>
        <w:t>综合评分</w:t>
      </w:r>
      <w:bookmarkEnd w:id="146"/>
      <w:bookmarkEnd w:id="147"/>
    </w:p>
    <w:p w14:paraId="534FBE87">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经磋商确定最终采购需求和提交最后报价的供应商后，由磋商小组采用综合评分法对提交最后报价的供应商的响应文件和最后报价进行综合评分。</w:t>
      </w:r>
    </w:p>
    <w:p w14:paraId="6D5DD96B">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价格评审：</w:t>
      </w:r>
    </w:p>
    <w:p w14:paraId="744C5EAB">
      <w:pPr>
        <w:pStyle w:val="7"/>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以各供应商最终报价进行评审；</w:t>
      </w:r>
    </w:p>
    <w:p w14:paraId="13F4F94D">
      <w:pPr>
        <w:pStyle w:val="7"/>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报价错误修正原则：</w:t>
      </w:r>
    </w:p>
    <w:p w14:paraId="324D8021">
      <w:pPr>
        <w:pStyle w:val="7"/>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①大写金额与小写金额不一致的，以大写金额为准；总价金额与按单价汇总金额不一致的，以单价金额计算结果为准；单价金额小数点有明显错位的，应以总价为准，并修改单价；同时出现上述两种以上不一致的，按照前款规定的顺序修正。修正价后的价格作为核实价。</w:t>
      </w:r>
    </w:p>
    <w:p w14:paraId="184B70AE">
      <w:pPr>
        <w:pStyle w:val="7"/>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② 以上修正后的报价应当经报价供应商采用书面形式，并加盖公章，或者由法定代表人或其授权的代表签字确认，并对报价供应商产生约束力，报价供应商不确认的，其报价无效。</w:t>
      </w:r>
    </w:p>
    <w:p w14:paraId="6C2FB632">
      <w:pPr>
        <w:pStyle w:val="7"/>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对报价服务报价漏项的，作非实质性响应处理。</w:t>
      </w:r>
    </w:p>
    <w:p w14:paraId="477F0349">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技术商务评审要求详见《商务技术评分及价格权重表》。</w:t>
      </w:r>
    </w:p>
    <w:p w14:paraId="752952E0">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对通过资格审查、符合性审查及进行最终报价的供应商的响应文件进行详细评审。磋商小组对每一响应文件进行详细的商务评审、技术评审。按照评审程序的规定和依据评分标准，对每个供应商响应文件的技术、商务状况及其对采购文件要求的响应情况进行评议和比较，评出其技术评分和商务评分。根据采购文件规定评出得分，将价格得分、商务得分、技术得分相加得出最终评标得分（最终评标得分分值按四舍五入原则精确到小数点后两位）。</w:t>
      </w:r>
    </w:p>
    <w:p w14:paraId="61B79B92">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使用综合评分法的采购项目，核心产品提供相同品牌产品且通过资格审查、符合性审查的不同供应商参加同一合同项下报价的，按一家供应商计算，评审后得分最高的同品牌供应商获得成交供应商推荐资格。</w:t>
      </w:r>
    </w:p>
    <w:p w14:paraId="50E5EF0F">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核心产品提供相同品牌产品且通过资格审查、符合性审查的不同供应商参加同一合同项下报价且评审得分相同的，按照评审因素的技术评审得分最高的供应商为排名第一的成交候选人，其他同品牌供应商不作为成交候选人。</w:t>
      </w:r>
    </w:p>
    <w:p w14:paraId="41F08FC6">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综合评分法的，评标结果按评审后得分由高到低顺序排列。得分相同的，按最终报价由低到高顺序排列。得分且最终报价相同的并列，响应文件满足采购文件全部实质性要求，且按照评审因素的量化指标评审得分最高的供应商为排名第一的成交候选人。</w:t>
      </w:r>
    </w:p>
    <w:p w14:paraId="06A54E3A">
      <w:pPr>
        <w:bidi w:val="0"/>
        <w:rPr>
          <w:color w:val="auto"/>
          <w:highlight w:val="none"/>
        </w:rPr>
      </w:pPr>
    </w:p>
    <w:p w14:paraId="71A94BA1">
      <w:pPr>
        <w:pStyle w:val="4"/>
        <w:keepNext w:val="0"/>
        <w:keepLines w:val="0"/>
        <w:numPr>
          <w:ilvl w:val="0"/>
          <w:numId w:val="3"/>
        </w:numPr>
        <w:adjustRightInd/>
        <w:spacing w:before="0" w:after="0" w:line="360" w:lineRule="auto"/>
        <w:rPr>
          <w:rFonts w:hAnsi="宋体"/>
          <w:color w:val="auto"/>
          <w:sz w:val="21"/>
          <w:szCs w:val="21"/>
          <w:highlight w:val="none"/>
        </w:rPr>
      </w:pPr>
      <w:bookmarkStart w:id="148" w:name="_Toc30725"/>
      <w:bookmarkStart w:id="149" w:name="_Toc23560"/>
      <w:r>
        <w:rPr>
          <w:rFonts w:hint="eastAsia" w:hAnsi="宋体"/>
          <w:color w:val="auto"/>
          <w:sz w:val="21"/>
          <w:szCs w:val="21"/>
          <w:highlight w:val="none"/>
        </w:rPr>
        <w:t>优惠政策</w:t>
      </w:r>
      <w:bookmarkEnd w:id="148"/>
      <w:bookmarkEnd w:id="149"/>
    </w:p>
    <w:p w14:paraId="073C4D08">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对小型或微型企业、监狱企业、残疾人福利性单位</w:t>
      </w:r>
      <w:r>
        <w:rPr>
          <w:rFonts w:hint="eastAsia" w:ascii="宋体" w:hAnsi="宋体"/>
          <w:color w:val="auto"/>
          <w:sz w:val="21"/>
          <w:szCs w:val="21"/>
          <w:highlight w:val="none"/>
          <w:lang w:eastAsia="zh-CN"/>
        </w:rPr>
        <w:t>报价</w:t>
      </w:r>
      <w:r>
        <w:rPr>
          <w:rFonts w:hint="eastAsia" w:ascii="宋体" w:hAnsi="宋体" w:eastAsia="宋体"/>
          <w:color w:val="auto"/>
          <w:sz w:val="21"/>
          <w:szCs w:val="21"/>
          <w:highlight w:val="none"/>
        </w:rPr>
        <w:t>的扶持：</w:t>
      </w:r>
    </w:p>
    <w:p w14:paraId="51E8ECE7">
      <w:pPr>
        <w:spacing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根据财政部、工业和信息化部制定了《政府采购促进中小企业发展管理办法》（财库〔2020〕46号）的规定，对小型或微型企业产品的价格给予一定比例扣除，用扣除后的价格参与评审。（参加政府采购活动的中小企业应按照磋商文件中磋商文件格式提出《中小企业声明函》）残疾人福利性单位、监狱企业（注：参加政府采购活动的监狱企业必须提供由省级以上监狱管理局、戒毒管理局(含新疆生产建设兵团)出具的监狱企业证明文件）视同小型、微型企业。</w:t>
      </w:r>
    </w:p>
    <w:p w14:paraId="6231EB48">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14:paraId="3E3F15FA">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供应商为小型或微型企业且</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产品含小型或微型企业产品时，其对应产品价格的扣除详见</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资料表。</w:t>
      </w:r>
    </w:p>
    <w:p w14:paraId="73616A8E">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14:paraId="1DF2668A">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供应商同时为小型、微型企业、监狱企业、残疾人福利性单位任两种或以上情况的，评审中只享受一次价格扣除，不重复进行价格扣除。</w:t>
      </w:r>
    </w:p>
    <w:p w14:paraId="7FA0DCE2">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14:paraId="2A45CD9C">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符合享受政府采购支持政策的残疾人福利性单位划分标准（根据财政部 民政部 中国残疾人联合会关于促进残疾人就业政府采购政策的通知(财库[2017]141号)）：</w:t>
      </w:r>
    </w:p>
    <w:p w14:paraId="79D65DE9">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安置的残疾人占本单位在职职工人数的比例不低于25%（含25%），并且安置的残疾人人数不少于10人（含10人）；</w:t>
      </w:r>
    </w:p>
    <w:p w14:paraId="3421CC67">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依法与安置的每位残疾人签订了一年以上（含一年）的劳动合同或服务协议；</w:t>
      </w:r>
    </w:p>
    <w:p w14:paraId="714B6708">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为安置的每位残疾人按月足额缴纳了基本养老保险、基本医疗保险、失业保险、工伤保险和生育保险等社会保险费；</w:t>
      </w:r>
    </w:p>
    <w:p w14:paraId="18101BC9">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通过银行等金融机构向安置的每位残疾人，按月支付了不低于单位所在区县适用的经省级人民政府批准的月最低工资标准的工资；</w:t>
      </w:r>
    </w:p>
    <w:p w14:paraId="3F75F127">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提供本单位制造的货物、承担的工程或者服务（以下简称产品），或者提供其他残疾人福利性单位制造的货物（不包括使用非残疾人福利性单位注册商标的货物）。</w:t>
      </w:r>
    </w:p>
    <w:p w14:paraId="31F627E0">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41517D08">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对节能产品或环境标志产品的扶持：</w:t>
      </w:r>
    </w:p>
    <w:p w14:paraId="2FB37199">
      <w:pPr>
        <w:spacing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根据《关于调整优化节能产品、环境标志产品政府采购执行机制的通知》（财库〔2020〕9号）及《转发财政部 发展改革委 生态环境部 市场监管总局关于调整优化节能产品 环境标志产品政府采购执行机制的通知》（粤财采购函〔2020〕1号）的规定，对提供节能产品或环境标志产品的</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单位的价格给予一定比例扣除（扣除比例详见</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资料表）。</w:t>
      </w:r>
    </w:p>
    <w:p w14:paraId="02F53FA6">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提供节能产品或环境标志产品的供应商其产品应符合以下规定：</w:t>
      </w:r>
    </w:p>
    <w:p w14:paraId="18703489">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所投产品属于《节能产品政府采购品目清单》或《环境标志产品政府采购品目清单》的，供应商应如实填写《节能产品或环境标志产品列价表》并提供在有效期内的“节能产品认证证书”或“环境标志产品认证证书”。</w:t>
      </w:r>
    </w:p>
    <w:p w14:paraId="1DBAE7BB">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所投节能产品或环境标志产品其认证证书的认证机构应属于《市场监管总局关于发布参与实施政府采购节能产品、环境标志产品认证机构名录的公告（2020年第16号）》公告中所公示的认证机构，若供应商所提供的产品认证证书其认证机构不属于以上公示中的机构，则视为无效认证，不给予价格扣除优惠。</w:t>
      </w:r>
    </w:p>
    <w:p w14:paraId="152823EA">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若用户需求中含有《节能产品政府采购品目清单》中的政府强制采购产品，供应商应根据要求提供所对应的节能产品，否则做</w:t>
      </w:r>
      <w:r>
        <w:rPr>
          <w:rFonts w:hint="eastAsia" w:cs="宋体"/>
          <w:color w:val="auto"/>
          <w:sz w:val="21"/>
          <w:szCs w:val="21"/>
          <w:highlight w:val="none"/>
          <w:lang w:eastAsia="zh-CN"/>
        </w:rPr>
        <w:t>响应</w:t>
      </w:r>
      <w:r>
        <w:rPr>
          <w:rFonts w:hint="eastAsia" w:ascii="宋体" w:hAnsi="宋体" w:eastAsia="宋体" w:cs="宋体"/>
          <w:color w:val="auto"/>
          <w:sz w:val="21"/>
          <w:szCs w:val="21"/>
          <w:highlight w:val="none"/>
        </w:rPr>
        <w:t>无效处理。</w:t>
      </w:r>
    </w:p>
    <w:p w14:paraId="64948F74">
      <w:pPr>
        <w:bidi w:val="0"/>
        <w:rPr>
          <w:color w:val="auto"/>
          <w:highlight w:val="none"/>
        </w:rPr>
      </w:pPr>
    </w:p>
    <w:p w14:paraId="0CFFE6FB">
      <w:pPr>
        <w:pStyle w:val="3"/>
        <w:keepNext w:val="0"/>
        <w:keepLines w:val="0"/>
        <w:spacing w:before="0" w:after="0" w:line="360" w:lineRule="auto"/>
        <w:jc w:val="center"/>
        <w:rPr>
          <w:rFonts w:ascii="宋体" w:hAnsi="宋体" w:eastAsia="宋体"/>
          <w:color w:val="auto"/>
          <w:sz w:val="24"/>
          <w:szCs w:val="21"/>
          <w:highlight w:val="none"/>
        </w:rPr>
      </w:pPr>
      <w:bookmarkStart w:id="150" w:name="_Toc21886"/>
      <w:bookmarkStart w:id="151" w:name="_Toc1066"/>
      <w:r>
        <w:rPr>
          <w:rFonts w:hint="eastAsia" w:ascii="宋体" w:hAnsi="宋体" w:eastAsia="宋体"/>
          <w:color w:val="auto"/>
          <w:sz w:val="24"/>
          <w:szCs w:val="21"/>
          <w:highlight w:val="none"/>
          <w:lang w:val="en-US" w:eastAsia="zh-CN"/>
        </w:rPr>
        <w:t>第六章</w:t>
      </w:r>
      <w:r>
        <w:rPr>
          <w:rFonts w:hint="eastAsia" w:ascii="宋体" w:hAnsi="宋体" w:eastAsia="宋体"/>
          <w:color w:val="auto"/>
          <w:sz w:val="24"/>
          <w:szCs w:val="21"/>
          <w:highlight w:val="none"/>
        </w:rPr>
        <w:t>确定成交供应商</w:t>
      </w:r>
      <w:bookmarkEnd w:id="150"/>
      <w:bookmarkEnd w:id="151"/>
    </w:p>
    <w:p w14:paraId="015214EA">
      <w:pPr>
        <w:pStyle w:val="4"/>
        <w:keepNext w:val="0"/>
        <w:keepLines w:val="0"/>
        <w:numPr>
          <w:ilvl w:val="0"/>
          <w:numId w:val="3"/>
        </w:numPr>
        <w:adjustRightInd/>
        <w:spacing w:before="0" w:after="0" w:line="360" w:lineRule="auto"/>
        <w:rPr>
          <w:rFonts w:hAnsi="宋体"/>
          <w:color w:val="auto"/>
          <w:sz w:val="21"/>
          <w:szCs w:val="21"/>
          <w:highlight w:val="none"/>
        </w:rPr>
      </w:pPr>
      <w:bookmarkStart w:id="152" w:name="_Toc19359"/>
      <w:bookmarkStart w:id="153" w:name="_Toc29068"/>
      <w:r>
        <w:rPr>
          <w:rFonts w:hint="eastAsia" w:hAnsi="宋体"/>
          <w:color w:val="auto"/>
          <w:sz w:val="21"/>
          <w:szCs w:val="21"/>
          <w:highlight w:val="none"/>
        </w:rPr>
        <w:t>确定成交</w:t>
      </w:r>
      <w:bookmarkEnd w:id="152"/>
      <w:bookmarkEnd w:id="153"/>
    </w:p>
    <w:p w14:paraId="5B034433">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磋商小组完成评审工作后，出具评审报告，推荐3名以上成交候选供应商。符合法律法规允许的情况的，可以推荐2家成交候选供应商。</w:t>
      </w:r>
    </w:p>
    <w:p w14:paraId="79034EFB">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采购人从成交候选供应商名单中按照综合得分排序确定1名成交供应商。</w:t>
      </w:r>
    </w:p>
    <w:p w14:paraId="3AE4E7AF">
      <w:pPr>
        <w:bidi w:val="0"/>
        <w:rPr>
          <w:color w:val="auto"/>
          <w:highlight w:val="none"/>
        </w:rPr>
      </w:pPr>
    </w:p>
    <w:p w14:paraId="6848E1FD">
      <w:pPr>
        <w:pStyle w:val="4"/>
        <w:keepNext w:val="0"/>
        <w:keepLines w:val="0"/>
        <w:numPr>
          <w:ilvl w:val="0"/>
          <w:numId w:val="3"/>
        </w:numPr>
        <w:adjustRightInd/>
        <w:spacing w:before="0" w:after="0" w:line="360" w:lineRule="auto"/>
        <w:rPr>
          <w:rFonts w:hAnsi="宋体"/>
          <w:color w:val="auto"/>
          <w:sz w:val="21"/>
          <w:szCs w:val="21"/>
          <w:highlight w:val="none"/>
        </w:rPr>
      </w:pPr>
      <w:bookmarkStart w:id="154" w:name="_Toc3941"/>
      <w:bookmarkStart w:id="155" w:name="_Toc17569"/>
      <w:r>
        <w:rPr>
          <w:rFonts w:hint="eastAsia" w:hAnsi="宋体"/>
          <w:color w:val="auto"/>
          <w:sz w:val="21"/>
          <w:szCs w:val="21"/>
          <w:highlight w:val="none"/>
        </w:rPr>
        <w:t>发布采购结果</w:t>
      </w:r>
      <w:bookmarkEnd w:id="154"/>
      <w:bookmarkEnd w:id="155"/>
    </w:p>
    <w:p w14:paraId="4E695E1B">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磋商小组提出评标书面报告和推荐成交意见报采购人确认后，采购代理机构将在指定的信息发布媒体上发布公告。</w:t>
      </w:r>
    </w:p>
    <w:p w14:paraId="5D6EEA90">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公告期限为1个工作日。</w:t>
      </w:r>
    </w:p>
    <w:p w14:paraId="612C2587">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结果公示发布后，成交单位应及时领取成交通知书。《成交通知书》是合同的一个组成部分，《成交通知书》对采购人和成交供应商均具有同等法律效力。</w:t>
      </w:r>
    </w:p>
    <w:p w14:paraId="0DC921A7">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成交供应商无正当理由不得放弃中标，因成交供应商放弃中标而对采购人造成的损失由放弃中标的成交供应商承担。</w:t>
      </w:r>
    </w:p>
    <w:p w14:paraId="3BC78841">
      <w:pPr>
        <w:pStyle w:val="7"/>
        <w:rPr>
          <w:rFonts w:ascii="宋体" w:hAnsi="宋体" w:eastAsia="宋体" w:cs="宋体"/>
          <w:color w:val="auto"/>
          <w:sz w:val="21"/>
          <w:szCs w:val="21"/>
          <w:highlight w:val="none"/>
        </w:rPr>
      </w:pPr>
    </w:p>
    <w:p w14:paraId="2755161E">
      <w:pPr>
        <w:pStyle w:val="4"/>
        <w:keepNext w:val="0"/>
        <w:keepLines w:val="0"/>
        <w:numPr>
          <w:ilvl w:val="0"/>
          <w:numId w:val="3"/>
        </w:numPr>
        <w:adjustRightInd/>
        <w:spacing w:before="0" w:after="0" w:line="360" w:lineRule="auto"/>
        <w:rPr>
          <w:rFonts w:hAnsi="宋体"/>
          <w:color w:val="auto"/>
          <w:sz w:val="21"/>
          <w:szCs w:val="21"/>
          <w:highlight w:val="none"/>
        </w:rPr>
      </w:pPr>
      <w:bookmarkStart w:id="156" w:name="_Toc29067"/>
      <w:bookmarkStart w:id="157" w:name="_Toc32414"/>
      <w:r>
        <w:rPr>
          <w:rFonts w:hint="eastAsia" w:hAnsi="宋体"/>
          <w:color w:val="auto"/>
          <w:sz w:val="21"/>
          <w:szCs w:val="21"/>
          <w:highlight w:val="none"/>
        </w:rPr>
        <w:t>原件核查</w:t>
      </w:r>
      <w:bookmarkEnd w:id="156"/>
      <w:bookmarkEnd w:id="157"/>
    </w:p>
    <w:p w14:paraId="2D21D8AE">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采购结果发布后，采购代理机构及采购人有权对成交的供应商进行原件核查。成交供应商应在五个工作日内递交相关资质原件到采购代理机构办公地址或采购人指定地址进行核查。</w:t>
      </w:r>
    </w:p>
    <w:p w14:paraId="47D7505F">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成交供应商有下列情形之一的，取消中标资格：</w:t>
      </w:r>
    </w:p>
    <w:p w14:paraId="41959F2F">
      <w:pPr>
        <w:pStyle w:val="7"/>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拒绝采购人或采购代理机构原件核查要求的；</w:t>
      </w:r>
    </w:p>
    <w:p w14:paraId="551F7CC3">
      <w:pPr>
        <w:pStyle w:val="7"/>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未在规定时间内将原件递交到到采购代理机构办公地址或采购人指定地址进行核查的；</w:t>
      </w:r>
    </w:p>
    <w:p w14:paraId="2F0C69F2">
      <w:pPr>
        <w:pStyle w:val="7"/>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在规定时间内递交的原件数量、内容与采购人、采购代理机构要求不一致的；</w:t>
      </w:r>
    </w:p>
    <w:p w14:paraId="47C2904F">
      <w:pPr>
        <w:pStyle w:val="7"/>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因原件续期、更改等原因不能按时递交原件且未能在规定时间内提供相应部门开具的变更、续期等证明的；</w:t>
      </w:r>
    </w:p>
    <w:p w14:paraId="557F5D5B">
      <w:pPr>
        <w:pStyle w:val="7"/>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经查原件，响应文件内容有造假行为的。</w:t>
      </w:r>
    </w:p>
    <w:p w14:paraId="10760703">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结果发布后，采购代理机构及采购人有权根据磋商小组的建议或要求，对递交了响应文件的未成交的供应商进行原件核查。供应商应在采购代理机构或采购人发出纸质通知五个工作日内将原件递交到采购代理机构办公地址或采购人指定地址进行核查。</w:t>
      </w:r>
    </w:p>
    <w:p w14:paraId="6AA8853E">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供应商有下列情形之一的，响应文件作无效处理，其报价无效：</w:t>
      </w:r>
    </w:p>
    <w:p w14:paraId="157FB72B">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拒绝采购人或采购代理机构原件核查要求的；</w:t>
      </w:r>
    </w:p>
    <w:p w14:paraId="120D78DA">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未在规定时间内将原件递交到到采购代理机构办公地址或采购人指定地址进行核查的；</w:t>
      </w:r>
    </w:p>
    <w:p w14:paraId="28BBB815">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在规定时间内递交的原件数量、内容不符合采购人、采购代理机构要求的；</w:t>
      </w:r>
    </w:p>
    <w:p w14:paraId="5C4335B9">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因原件续期、更改等原因不能按时递交原件且未能在规定时间内提供相应部门开具的变更、续期等证明的；</w:t>
      </w:r>
    </w:p>
    <w:p w14:paraId="6645C253">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经查原件，响应文件内容有造假行为的。</w:t>
      </w:r>
    </w:p>
    <w:p w14:paraId="0751AD3B">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若供应商出现虚假应标情况，响应文件作无效处理，其报价、成交无效。并根据相关法律上报相关监管部门。</w:t>
      </w:r>
    </w:p>
    <w:p w14:paraId="7D7CD949">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属于建办市函[2016]462号通知内的证件可不提供原件，仅提供带二维码原件的复印件即可。</w:t>
      </w:r>
    </w:p>
    <w:p w14:paraId="6ECA9EC1">
      <w:pPr>
        <w:bidi w:val="0"/>
        <w:rPr>
          <w:color w:val="auto"/>
          <w:highlight w:val="none"/>
        </w:rPr>
      </w:pPr>
    </w:p>
    <w:p w14:paraId="694A8212">
      <w:pPr>
        <w:pStyle w:val="3"/>
        <w:keepNext w:val="0"/>
        <w:keepLines w:val="0"/>
        <w:spacing w:before="0" w:after="0" w:line="360" w:lineRule="auto"/>
        <w:jc w:val="center"/>
        <w:rPr>
          <w:rFonts w:ascii="宋体" w:hAnsi="宋体" w:eastAsia="宋体"/>
          <w:color w:val="auto"/>
          <w:sz w:val="24"/>
          <w:szCs w:val="21"/>
          <w:highlight w:val="none"/>
        </w:rPr>
      </w:pPr>
      <w:bookmarkStart w:id="158" w:name="_Toc110953852"/>
      <w:bookmarkStart w:id="159" w:name="_Toc3829"/>
      <w:bookmarkStart w:id="160" w:name="_Toc31756"/>
      <w:bookmarkStart w:id="161" w:name="_Toc37756778"/>
      <w:bookmarkStart w:id="162" w:name="_Toc475249143"/>
      <w:r>
        <w:rPr>
          <w:rFonts w:hint="eastAsia" w:ascii="宋体" w:hAnsi="宋体" w:eastAsia="宋体"/>
          <w:color w:val="auto"/>
          <w:sz w:val="24"/>
          <w:szCs w:val="21"/>
          <w:highlight w:val="none"/>
          <w:lang w:val="en-US" w:eastAsia="zh-CN"/>
        </w:rPr>
        <w:t>第七章</w:t>
      </w:r>
      <w:r>
        <w:rPr>
          <w:rFonts w:hint="eastAsia" w:ascii="宋体" w:hAnsi="宋体" w:eastAsia="宋体"/>
          <w:color w:val="auto"/>
          <w:sz w:val="24"/>
          <w:szCs w:val="21"/>
          <w:highlight w:val="none"/>
        </w:rPr>
        <w:t>签订合同</w:t>
      </w:r>
      <w:bookmarkEnd w:id="158"/>
      <w:bookmarkEnd w:id="159"/>
      <w:bookmarkEnd w:id="160"/>
      <w:bookmarkEnd w:id="161"/>
    </w:p>
    <w:p w14:paraId="3ECBCA10">
      <w:pPr>
        <w:pStyle w:val="4"/>
        <w:keepNext w:val="0"/>
        <w:keepLines w:val="0"/>
        <w:numPr>
          <w:ilvl w:val="0"/>
          <w:numId w:val="3"/>
        </w:numPr>
        <w:adjustRightInd/>
        <w:spacing w:before="0" w:after="0" w:line="360" w:lineRule="auto"/>
        <w:rPr>
          <w:rFonts w:hAnsi="宋体"/>
          <w:color w:val="auto"/>
          <w:sz w:val="21"/>
          <w:szCs w:val="21"/>
          <w:highlight w:val="none"/>
        </w:rPr>
      </w:pPr>
      <w:bookmarkStart w:id="163" w:name="_Toc18000"/>
      <w:bookmarkStart w:id="164" w:name="_Toc29253"/>
      <w:r>
        <w:rPr>
          <w:rFonts w:hint="eastAsia" w:hAnsi="宋体"/>
          <w:color w:val="auto"/>
          <w:sz w:val="21"/>
          <w:szCs w:val="21"/>
          <w:highlight w:val="none"/>
        </w:rPr>
        <w:t>签订合同</w:t>
      </w:r>
      <w:bookmarkEnd w:id="163"/>
      <w:bookmarkEnd w:id="164"/>
    </w:p>
    <w:p w14:paraId="774458BA">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采购人与成交供应商应当在成交通知书发出之日起30日内，按照采购文件确定的事项签订政府采购合同。</w:t>
      </w:r>
    </w:p>
    <w:p w14:paraId="78F9001E">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合同内容不得与磋商文件和响应文件内容有实质性偏离。</w:t>
      </w:r>
    </w:p>
    <w:p w14:paraId="3B0A61C8">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合同签订之日起2个工作日内，成交供应商应将所签订的合同副本（加盖公章）交至广东政通招标有限公司归档。</w:t>
      </w:r>
    </w:p>
    <w:p w14:paraId="008BCADB">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在评审结束当天至合同履行结束，若因不可抗力的因素（如国家出台新法律法规等）造成资质的变动，成交供应商应以纸质版形式通知采购人。若资质变动导致成交供应商不再具备履行合同资质要求，采购人有权中止合同。</w:t>
      </w:r>
    </w:p>
    <w:p w14:paraId="3FC16475">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拒绝签订政府采购合同的，采购人可以按照评审报告中推荐的其他成交候选人以由高到低原则确定其他供应商作为成交供应商并签订政府采购合同，也可以重新开展采购活动。拒绝签订政府采购合同的成交供应商不得参加对该项目重新开展的采购活动。</w:t>
      </w:r>
    </w:p>
    <w:p w14:paraId="73DA53B8">
      <w:pPr>
        <w:bidi w:val="0"/>
        <w:rPr>
          <w:color w:val="auto"/>
          <w:highlight w:val="none"/>
        </w:rPr>
      </w:pPr>
    </w:p>
    <w:p w14:paraId="1E6F58E8">
      <w:pPr>
        <w:pStyle w:val="3"/>
        <w:keepNext w:val="0"/>
        <w:keepLines w:val="0"/>
        <w:spacing w:before="0" w:after="0" w:line="360" w:lineRule="auto"/>
        <w:jc w:val="center"/>
        <w:rPr>
          <w:rFonts w:ascii="宋体" w:hAnsi="宋体" w:eastAsia="宋体"/>
          <w:color w:val="auto"/>
          <w:sz w:val="24"/>
          <w:szCs w:val="21"/>
          <w:highlight w:val="none"/>
        </w:rPr>
      </w:pPr>
      <w:bookmarkStart w:id="165" w:name="_Toc12802"/>
      <w:bookmarkStart w:id="166" w:name="_Toc8165"/>
      <w:r>
        <w:rPr>
          <w:rFonts w:hint="eastAsia" w:ascii="宋体" w:hAnsi="宋体" w:eastAsia="宋体"/>
          <w:color w:val="auto"/>
          <w:sz w:val="24"/>
          <w:szCs w:val="21"/>
          <w:highlight w:val="none"/>
          <w:lang w:val="en-US" w:eastAsia="zh-CN"/>
        </w:rPr>
        <w:t>第八章</w:t>
      </w:r>
      <w:r>
        <w:rPr>
          <w:rFonts w:hint="eastAsia" w:ascii="宋体" w:hAnsi="宋体" w:eastAsia="宋体"/>
          <w:color w:val="auto"/>
          <w:sz w:val="24"/>
          <w:szCs w:val="21"/>
          <w:highlight w:val="none"/>
        </w:rPr>
        <w:t>询问或质疑</w:t>
      </w:r>
      <w:bookmarkEnd w:id="165"/>
      <w:bookmarkEnd w:id="166"/>
    </w:p>
    <w:p w14:paraId="01A55219">
      <w:pPr>
        <w:pStyle w:val="4"/>
        <w:keepNext w:val="0"/>
        <w:keepLines w:val="0"/>
        <w:numPr>
          <w:ilvl w:val="0"/>
          <w:numId w:val="3"/>
        </w:numPr>
        <w:adjustRightInd/>
        <w:spacing w:before="0" w:after="0" w:line="360" w:lineRule="auto"/>
        <w:rPr>
          <w:rFonts w:hAnsi="宋体"/>
          <w:color w:val="auto"/>
          <w:sz w:val="21"/>
          <w:szCs w:val="21"/>
          <w:highlight w:val="none"/>
        </w:rPr>
      </w:pPr>
      <w:bookmarkStart w:id="167" w:name="_Toc18663"/>
      <w:bookmarkStart w:id="168" w:name="_Toc452"/>
      <w:r>
        <w:rPr>
          <w:rFonts w:hint="eastAsia" w:hAnsi="宋体"/>
          <w:color w:val="auto"/>
          <w:sz w:val="21"/>
          <w:szCs w:val="21"/>
          <w:highlight w:val="none"/>
        </w:rPr>
        <w:t>询问</w:t>
      </w:r>
      <w:bookmarkEnd w:id="167"/>
      <w:bookmarkEnd w:id="168"/>
    </w:p>
    <w:p w14:paraId="08AFBAC6">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供应商对政府采购活动事项（采购文件、采购过程和采购结果）有疑问的，可以按规定向采购代理机构提出询问。</w:t>
      </w:r>
    </w:p>
    <w:p w14:paraId="130F989D">
      <w:pPr>
        <w:bidi w:val="0"/>
        <w:rPr>
          <w:color w:val="auto"/>
          <w:highlight w:val="none"/>
        </w:rPr>
      </w:pPr>
    </w:p>
    <w:p w14:paraId="3D597F0F">
      <w:pPr>
        <w:pStyle w:val="4"/>
        <w:keepNext w:val="0"/>
        <w:keepLines w:val="0"/>
        <w:numPr>
          <w:ilvl w:val="0"/>
          <w:numId w:val="3"/>
        </w:numPr>
        <w:adjustRightInd/>
        <w:spacing w:before="0" w:after="0" w:line="360" w:lineRule="auto"/>
        <w:rPr>
          <w:rFonts w:hAnsi="宋体"/>
          <w:color w:val="auto"/>
          <w:sz w:val="21"/>
          <w:szCs w:val="21"/>
          <w:highlight w:val="none"/>
        </w:rPr>
      </w:pPr>
      <w:bookmarkStart w:id="169" w:name="_Toc17155"/>
      <w:bookmarkStart w:id="170" w:name="_Toc20114"/>
      <w:r>
        <w:rPr>
          <w:rFonts w:hint="eastAsia" w:hAnsi="宋体"/>
          <w:color w:val="auto"/>
          <w:sz w:val="21"/>
          <w:szCs w:val="21"/>
          <w:highlight w:val="none"/>
        </w:rPr>
        <w:t>质疑</w:t>
      </w:r>
      <w:bookmarkEnd w:id="169"/>
      <w:bookmarkEnd w:id="170"/>
    </w:p>
    <w:p w14:paraId="41F00D2E">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提出质疑的供应商应当是参与所质疑项目采购活动的供应商或是在规定的时间内已依法获取其可质疑的磋商文件的潜在供应商。</w:t>
      </w:r>
    </w:p>
    <w:p w14:paraId="75E193D6">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认为磋商文件、采购过程、成交或者成交结果使自己的权益受到损害的，可以在知道或者应知其权益受到损害之日起7个工作日内，以书面形式向采购人、采购代理机构提出质疑。超过规定时间提交的质疑函不予受理。</w:t>
      </w:r>
    </w:p>
    <w:p w14:paraId="05290EE4">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供应商在法定质疑期内须一次性提出针对同一采购程序环节的质疑，对同一采购程序环节的二次质疑采购代理机构不予受理。</w:t>
      </w:r>
    </w:p>
    <w:p w14:paraId="12C5C364">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应将磋商文件所规定的纸质版形式（质疑须提交以下资料并加盖供应商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磋商邀请书）。供应商以电话、传真或电邮形式提交的质疑属于无效质疑。</w:t>
      </w:r>
    </w:p>
    <w:p w14:paraId="2C2F9C46">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授权委托书应当载明代理人的姓名或者名称、代理事项、具体权限、期限和相关事项。</w:t>
      </w:r>
    </w:p>
    <w:p w14:paraId="4DF52C39">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供应商提出质疑应当提交质疑函和必要的证明材料（须注明法律依据），因缺少相关证明材料或证明材料存在不真实而导致的后果由供应商自行承担。</w:t>
      </w:r>
    </w:p>
    <w:p w14:paraId="79CED765">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不涉及对供应商利益造成损害的相关内容，不能作为质疑内容提交。</w:t>
      </w:r>
    </w:p>
    <w:p w14:paraId="3808949E">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投诉人在全国范围12个月内三次以上投诉查无实据的，由财政部门列入不良行为记录名单。</w:t>
      </w:r>
    </w:p>
    <w:p w14:paraId="25B9EAF0">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投诉人有下列行为之一的，属于虚假、恶意投诉，由财政部门列入不良行为记录名单，禁止其1至3年内参加全国范围内的政府采购活动：</w:t>
      </w:r>
    </w:p>
    <w:p w14:paraId="3CD31BB0">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（一）捏造事实;</w:t>
      </w:r>
    </w:p>
    <w:p w14:paraId="32162721">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（二）提供虚假材料;</w:t>
      </w:r>
    </w:p>
    <w:p w14:paraId="28C314B7">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（三）以非法手段取得证明材料。证据来源的合法性存在明显疑问，投诉人无法证明其取得方式合法的，视为以非法手段取得证明材料。</w:t>
      </w:r>
    </w:p>
    <w:p w14:paraId="6ACC1335">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以联合体形式参加政府采购活动的，其质疑应当由组成联合体的所有供应商共同提出。</w:t>
      </w:r>
    </w:p>
    <w:p w14:paraId="6817F893">
      <w:pPr>
        <w:bidi w:val="0"/>
        <w:rPr>
          <w:color w:val="auto"/>
          <w:highlight w:val="none"/>
        </w:rPr>
      </w:pPr>
    </w:p>
    <w:bookmarkEnd w:id="162"/>
    <w:p w14:paraId="71B760A0">
      <w:pPr>
        <w:pStyle w:val="3"/>
        <w:keepNext w:val="0"/>
        <w:keepLines w:val="0"/>
        <w:spacing w:before="0" w:after="0" w:line="360" w:lineRule="auto"/>
        <w:jc w:val="center"/>
        <w:rPr>
          <w:rFonts w:ascii="宋体" w:hAnsi="宋体" w:eastAsia="宋体"/>
          <w:color w:val="auto"/>
          <w:sz w:val="24"/>
          <w:szCs w:val="21"/>
          <w:highlight w:val="none"/>
        </w:rPr>
      </w:pPr>
      <w:bookmarkStart w:id="171" w:name="_Toc5551"/>
      <w:bookmarkStart w:id="172" w:name="_Toc5474"/>
      <w:r>
        <w:rPr>
          <w:rFonts w:hint="eastAsia" w:ascii="宋体" w:hAnsi="宋体" w:eastAsia="宋体"/>
          <w:color w:val="auto"/>
          <w:sz w:val="24"/>
          <w:szCs w:val="21"/>
          <w:highlight w:val="none"/>
          <w:lang w:val="en-US" w:eastAsia="zh-CN"/>
        </w:rPr>
        <w:t>第九章</w:t>
      </w:r>
      <w:r>
        <w:rPr>
          <w:rFonts w:hint="eastAsia" w:ascii="宋体" w:hAnsi="宋体" w:eastAsia="宋体"/>
          <w:color w:val="auto"/>
          <w:sz w:val="24"/>
          <w:szCs w:val="21"/>
          <w:highlight w:val="none"/>
        </w:rPr>
        <w:t>成交服务费</w:t>
      </w:r>
      <w:bookmarkEnd w:id="171"/>
      <w:bookmarkEnd w:id="172"/>
    </w:p>
    <w:p w14:paraId="4F771DDC">
      <w:pPr>
        <w:pStyle w:val="4"/>
        <w:keepNext w:val="0"/>
        <w:keepLines w:val="0"/>
        <w:numPr>
          <w:ilvl w:val="0"/>
          <w:numId w:val="3"/>
        </w:numPr>
        <w:adjustRightInd/>
        <w:spacing w:before="0" w:after="0" w:line="360" w:lineRule="auto"/>
        <w:rPr>
          <w:rFonts w:hAnsi="宋体"/>
          <w:color w:val="auto"/>
          <w:sz w:val="21"/>
          <w:szCs w:val="21"/>
          <w:highlight w:val="none"/>
        </w:rPr>
      </w:pPr>
      <w:bookmarkStart w:id="173" w:name="_Toc26991"/>
      <w:bookmarkStart w:id="174" w:name="_Toc9437"/>
      <w:r>
        <w:rPr>
          <w:rFonts w:hint="eastAsia" w:hAnsi="宋体"/>
          <w:color w:val="auto"/>
          <w:sz w:val="21"/>
          <w:szCs w:val="21"/>
          <w:highlight w:val="none"/>
        </w:rPr>
        <w:t>成交服务费</w:t>
      </w:r>
      <w:bookmarkEnd w:id="173"/>
      <w:bookmarkEnd w:id="174"/>
    </w:p>
    <w:p w14:paraId="0CC5DD27">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成交供应商须向招标代理机构按如下标准和规定交纳成交服务费。</w:t>
      </w:r>
    </w:p>
    <w:p w14:paraId="0C9BA116">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以《成交通知书》中规定的成交总金额作为收费的计算基数。</w:t>
      </w:r>
    </w:p>
    <w:p w14:paraId="68F7604F">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服务费按照国家计委关于印发《招标代理服务收费管理暂行办法》的通知（计价格[2002]1980号)和《国家发展改革委关于降低部门建设项目收费标准规范收费行为等有关问题的通知》(发改价格[2011]534)的规定标准服务类收取，成交服务费最低收费标准为伍仟元整。</w:t>
      </w:r>
    </w:p>
    <w:p w14:paraId="66D451C1">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服务费的货币为人民币。</w:t>
      </w:r>
    </w:p>
    <w:p w14:paraId="5A1263EF">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服务费应由成交人在采购结果公示发出之后，成交通知书发出前交纳，不在报价中单列。</w:t>
      </w:r>
    </w:p>
    <w:p w14:paraId="47C08B51">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服务费以转账或现金的形式支付，</w:t>
      </w:r>
      <w:bookmarkStart w:id="175" w:name="_Ref179619574"/>
      <w:r>
        <w:rPr>
          <w:rFonts w:hint="eastAsia" w:ascii="宋体" w:hAnsi="宋体" w:eastAsia="宋体"/>
          <w:color w:val="auto"/>
          <w:sz w:val="21"/>
          <w:szCs w:val="21"/>
          <w:highlight w:val="none"/>
        </w:rPr>
        <w:t>成交人应按照磋商文件中的规定交纳成交服务费。</w:t>
      </w:r>
      <w:bookmarkEnd w:id="175"/>
    </w:p>
    <w:p w14:paraId="4DD45DA8">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招标代理服务费汇入账号：</w:t>
      </w:r>
    </w:p>
    <w:p w14:paraId="03A88458">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收 款 人：广东政通招标有限公司</w:t>
      </w:r>
    </w:p>
    <w:p w14:paraId="5DBAFD09">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14:paraId="2688A4DC">
      <w:pPr>
        <w:spacing w:line="360" w:lineRule="auto"/>
        <w:ind w:firstLine="567"/>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p w14:paraId="7A81C684">
      <w:pPr>
        <w:bidi w:val="0"/>
        <w:rPr>
          <w:color w:val="auto"/>
          <w:highlight w:val="none"/>
        </w:rPr>
      </w:pPr>
    </w:p>
    <w:bookmarkEnd w:id="28"/>
    <w:bookmarkEnd w:id="29"/>
    <w:bookmarkEnd w:id="30"/>
    <w:bookmarkEnd w:id="31"/>
    <w:bookmarkEnd w:id="32"/>
    <w:bookmarkEnd w:id="33"/>
    <w:bookmarkEnd w:id="34"/>
    <w:bookmarkEnd w:id="35"/>
    <w:bookmarkEnd w:id="36"/>
    <w:bookmarkEnd w:id="37"/>
    <w:bookmarkEnd w:id="38"/>
    <w:p w14:paraId="222A2EAA">
      <w:pPr>
        <w:pStyle w:val="3"/>
        <w:keepNext w:val="0"/>
        <w:keepLines w:val="0"/>
        <w:spacing w:before="0" w:after="0" w:line="360" w:lineRule="auto"/>
        <w:jc w:val="center"/>
        <w:rPr>
          <w:rFonts w:ascii="宋体" w:hAnsi="宋体" w:eastAsia="宋体"/>
          <w:color w:val="auto"/>
          <w:sz w:val="24"/>
          <w:szCs w:val="21"/>
          <w:highlight w:val="none"/>
        </w:rPr>
      </w:pPr>
      <w:bookmarkStart w:id="176" w:name="_Toc7834"/>
      <w:bookmarkStart w:id="177" w:name="_Toc18389"/>
      <w:bookmarkStart w:id="178" w:name="_Toc467050236"/>
      <w:bookmarkStart w:id="179" w:name="_Toc467049706"/>
      <w:bookmarkStart w:id="180" w:name="_Toc457975339"/>
      <w:bookmarkStart w:id="181" w:name="_Toc51939456"/>
      <w:bookmarkStart w:id="182" w:name="_Toc486671570"/>
      <w:bookmarkStart w:id="183" w:name="_Toc52027926"/>
      <w:bookmarkStart w:id="184" w:name="_Toc56353011"/>
      <w:bookmarkStart w:id="185" w:name="_Toc51756491"/>
      <w:bookmarkStart w:id="186" w:name="_Toc467236766"/>
      <w:bookmarkStart w:id="187" w:name="_Toc52021538"/>
      <w:bookmarkStart w:id="188" w:name="_Toc476976198"/>
      <w:r>
        <w:rPr>
          <w:rFonts w:hint="eastAsia" w:ascii="宋体" w:hAnsi="宋体" w:eastAsia="宋体"/>
          <w:color w:val="auto"/>
          <w:sz w:val="24"/>
          <w:szCs w:val="21"/>
          <w:highlight w:val="none"/>
          <w:lang w:val="en-US" w:eastAsia="zh-CN"/>
        </w:rPr>
        <w:t>第十章</w:t>
      </w:r>
      <w:r>
        <w:rPr>
          <w:rFonts w:hint="eastAsia" w:ascii="宋体" w:hAnsi="宋体" w:eastAsia="宋体"/>
          <w:color w:val="auto"/>
          <w:sz w:val="24"/>
          <w:szCs w:val="21"/>
          <w:highlight w:val="none"/>
        </w:rPr>
        <w:t>其他</w:t>
      </w:r>
      <w:bookmarkEnd w:id="176"/>
      <w:bookmarkEnd w:id="177"/>
    </w:p>
    <w:p w14:paraId="1C0CA6E8">
      <w:pPr>
        <w:pStyle w:val="4"/>
        <w:keepNext w:val="0"/>
        <w:keepLines w:val="0"/>
        <w:numPr>
          <w:ilvl w:val="0"/>
          <w:numId w:val="3"/>
        </w:numPr>
        <w:adjustRightInd/>
        <w:spacing w:before="0" w:after="0" w:line="360" w:lineRule="auto"/>
        <w:rPr>
          <w:rFonts w:hAnsi="宋体"/>
          <w:color w:val="auto"/>
          <w:sz w:val="21"/>
          <w:szCs w:val="21"/>
          <w:highlight w:val="none"/>
        </w:rPr>
      </w:pPr>
      <w:bookmarkStart w:id="189" w:name="_Toc10953"/>
      <w:bookmarkStart w:id="190" w:name="_Toc31522"/>
      <w:r>
        <w:rPr>
          <w:rFonts w:hint="eastAsia" w:hAnsi="宋体"/>
          <w:color w:val="auto"/>
          <w:sz w:val="21"/>
          <w:szCs w:val="21"/>
          <w:highlight w:val="none"/>
        </w:rPr>
        <w:t>磋商文件的解释权</w:t>
      </w:r>
      <w:bookmarkEnd w:id="189"/>
      <w:bookmarkEnd w:id="190"/>
    </w:p>
    <w:p w14:paraId="01EB4F7E">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采购文件版本号：广东政通20210</w:t>
      </w:r>
      <w:r>
        <w:rPr>
          <w:rFonts w:hint="eastAsia" w:ascii="宋体" w:hAnsi="宋体"/>
          <w:color w:val="auto"/>
          <w:sz w:val="21"/>
          <w:szCs w:val="21"/>
          <w:highlight w:val="none"/>
          <w:lang w:val="en-US" w:eastAsia="zh-CN"/>
        </w:rPr>
        <w:t>618</w:t>
      </w:r>
      <w:r>
        <w:rPr>
          <w:rFonts w:hint="eastAsia" w:ascii="宋体" w:hAnsi="宋体" w:eastAsia="宋体"/>
          <w:color w:val="auto"/>
          <w:sz w:val="21"/>
          <w:szCs w:val="21"/>
          <w:highlight w:val="none"/>
        </w:rPr>
        <w:t>。</w:t>
      </w:r>
    </w:p>
    <w:p w14:paraId="77B64E82">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本采购文件是根据国家有关法律、法规以及政府采购管理有关规定和参照国际惯例编制，解释权属本采购代理机构。</w:t>
      </w:r>
    </w:p>
    <w:p w14:paraId="75534F0F">
      <w:pPr>
        <w:bidi w:val="0"/>
        <w:rPr>
          <w:color w:val="auto"/>
          <w:highlight w:val="none"/>
        </w:rPr>
      </w:pPr>
      <w:r>
        <w:rPr>
          <w:color w:val="auto"/>
          <w:highlight w:val="none"/>
        </w:rPr>
        <w:br w:type="page"/>
      </w:r>
      <w:bookmarkEnd w:id="178"/>
      <w:bookmarkEnd w:id="179"/>
      <w:bookmarkEnd w:id="180"/>
      <w:bookmarkEnd w:id="181"/>
      <w:bookmarkEnd w:id="182"/>
      <w:bookmarkEnd w:id="183"/>
      <w:bookmarkEnd w:id="184"/>
      <w:bookmarkEnd w:id="185"/>
      <w:bookmarkEnd w:id="186"/>
      <w:bookmarkEnd w:id="187"/>
      <w:bookmarkEnd w:id="188"/>
    </w:p>
    <w:bookmarkEnd w:id="20"/>
    <w:p w14:paraId="3D32EB0F">
      <w:pPr>
        <w:pStyle w:val="3"/>
        <w:spacing w:before="0" w:after="0" w:line="240" w:lineRule="auto"/>
        <w:rPr>
          <w:rFonts w:hint="eastAsia"/>
          <w:color w:val="auto"/>
          <w:sz w:val="28"/>
          <w:szCs w:val="28"/>
          <w:highlight w:val="none"/>
        </w:rPr>
      </w:pPr>
      <w:bookmarkStart w:id="191" w:name="_Toc3162"/>
      <w:bookmarkStart w:id="192" w:name="_Toc7011"/>
      <w:bookmarkStart w:id="193" w:name="_Toc31854"/>
      <w:r>
        <w:rPr>
          <w:rFonts w:hint="eastAsia"/>
          <w:color w:val="auto"/>
          <w:sz w:val="28"/>
          <w:szCs w:val="28"/>
          <w:highlight w:val="none"/>
        </w:rPr>
        <w:t>第</w:t>
      </w:r>
      <w:r>
        <w:rPr>
          <w:rFonts w:hint="eastAsia"/>
          <w:color w:val="auto"/>
          <w:sz w:val="28"/>
          <w:szCs w:val="28"/>
          <w:highlight w:val="none"/>
          <w:lang w:val="en-US" w:eastAsia="zh-CN"/>
        </w:rPr>
        <w:t>五</w:t>
      </w:r>
      <w:r>
        <w:rPr>
          <w:rFonts w:hint="eastAsia"/>
          <w:color w:val="auto"/>
          <w:sz w:val="28"/>
          <w:szCs w:val="28"/>
          <w:highlight w:val="none"/>
        </w:rPr>
        <w:t>部分 用户需求书</w:t>
      </w:r>
      <w:bookmarkEnd w:id="191"/>
      <w:bookmarkEnd w:id="192"/>
      <w:bookmarkEnd w:id="193"/>
    </w:p>
    <w:p w14:paraId="4BF8A997">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highlight w:val="none"/>
          <w:lang w:val="en-US" w:eastAsia="zh-CN"/>
        </w:rPr>
      </w:pPr>
      <w:bookmarkStart w:id="194" w:name="_Toc31162"/>
      <w:r>
        <w:rPr>
          <w:rFonts w:hint="eastAsia" w:ascii="宋体" w:hAnsi="宋体"/>
          <w:color w:val="auto"/>
          <w:highlight w:val="none"/>
          <w:lang w:val="en-US" w:eastAsia="zh-CN"/>
        </w:rPr>
        <w:t>第一章 商务需求书</w:t>
      </w:r>
      <w:bookmarkEnd w:id="194"/>
    </w:p>
    <w:tbl>
      <w:tblPr>
        <w:tblStyle w:val="22"/>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14:paraId="43D359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14:paraId="542ADE98">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1" w:type="dxa"/>
            <w:vAlign w:val="center"/>
          </w:tcPr>
          <w:p w14:paraId="4897BEAE">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66" w:type="dxa"/>
            <w:vAlign w:val="center"/>
          </w:tcPr>
          <w:p w14:paraId="1CB628B4">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14:paraId="3ED1BF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14:paraId="2D399834">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p>
        </w:tc>
        <w:tc>
          <w:tcPr>
            <w:tcW w:w="1501" w:type="dxa"/>
            <w:vAlign w:val="center"/>
          </w:tcPr>
          <w:p w14:paraId="310F4943">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合格</w:t>
            </w:r>
            <w:r>
              <w:rPr>
                <w:rFonts w:hint="eastAsia" w:ascii="宋体" w:hAnsi="宋体" w:cs="宋体"/>
                <w:color w:val="auto"/>
                <w:sz w:val="21"/>
                <w:szCs w:val="21"/>
                <w:highlight w:val="none"/>
                <w:lang w:eastAsia="zh-CN"/>
              </w:rPr>
              <w:t>供应商</w:t>
            </w:r>
          </w:p>
        </w:tc>
        <w:tc>
          <w:tcPr>
            <w:tcW w:w="6466" w:type="dxa"/>
            <w:vAlign w:val="center"/>
          </w:tcPr>
          <w:p w14:paraId="4498FBD0">
            <w:pPr>
              <w:pStyle w:val="32"/>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420" w:firstLineChars="200"/>
              <w:textAlignment w:val="auto"/>
              <w:rPr>
                <w:rFonts w:hint="eastAsia" w:ascii="宋体" w:hAnsi="宋体" w:eastAsia="宋体" w:cs="宋体"/>
                <w:bCs/>
                <w:color w:val="auto"/>
                <w:kern w:val="44"/>
                <w:sz w:val="21"/>
                <w:szCs w:val="21"/>
                <w:highlight w:val="none"/>
              </w:rPr>
            </w:pPr>
            <w:r>
              <w:rPr>
                <w:rFonts w:hint="eastAsia" w:ascii="宋体" w:hAnsi="宋体" w:eastAsia="宋体" w:cs="宋体"/>
                <w:color w:val="auto"/>
                <w:kern w:val="0"/>
                <w:sz w:val="21"/>
                <w:szCs w:val="21"/>
                <w:highlight w:val="none"/>
                <w:lang w:val="en-US" w:eastAsia="zh-CN"/>
              </w:rPr>
              <w:t>详见“</w:t>
            </w:r>
            <w:r>
              <w:rPr>
                <w:rFonts w:hint="eastAsia" w:ascii="宋体" w:hAnsi="宋体" w:cs="宋体"/>
                <w:color w:val="auto"/>
                <w:kern w:val="0"/>
                <w:sz w:val="21"/>
                <w:szCs w:val="21"/>
                <w:highlight w:val="none"/>
                <w:lang w:val="en-US" w:eastAsia="zh-CN"/>
              </w:rPr>
              <w:t>供应商</w:t>
            </w:r>
            <w:r>
              <w:rPr>
                <w:rFonts w:hint="eastAsia" w:ascii="宋体" w:hAnsi="宋体" w:eastAsia="宋体" w:cs="宋体"/>
                <w:color w:val="auto"/>
                <w:kern w:val="0"/>
                <w:sz w:val="21"/>
                <w:szCs w:val="21"/>
                <w:highlight w:val="none"/>
                <w:lang w:val="en-US" w:eastAsia="zh-CN"/>
              </w:rPr>
              <w:t>资格要求”</w:t>
            </w:r>
          </w:p>
        </w:tc>
      </w:tr>
      <w:tr w14:paraId="626089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14:paraId="01A57A4B">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p>
        </w:tc>
        <w:tc>
          <w:tcPr>
            <w:tcW w:w="1501" w:type="dxa"/>
            <w:vAlign w:val="center"/>
          </w:tcPr>
          <w:p w14:paraId="6FF0EE41">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服务期</w:t>
            </w:r>
          </w:p>
        </w:tc>
        <w:tc>
          <w:tcPr>
            <w:tcW w:w="6466" w:type="dxa"/>
            <w:vAlign w:val="center"/>
          </w:tcPr>
          <w:p w14:paraId="522BEA6C">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一年，2025年6月19日至2026年6月18日。（具体以合同签订时间为准）</w:t>
            </w:r>
          </w:p>
        </w:tc>
      </w:tr>
      <w:tr w14:paraId="057D9D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94" w:hRule="atLeast"/>
        </w:trPr>
        <w:tc>
          <w:tcPr>
            <w:tcW w:w="718" w:type="dxa"/>
            <w:vAlign w:val="center"/>
          </w:tcPr>
          <w:p w14:paraId="5AE24F8E">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p>
        </w:tc>
        <w:tc>
          <w:tcPr>
            <w:tcW w:w="1501" w:type="dxa"/>
            <w:vAlign w:val="center"/>
          </w:tcPr>
          <w:p w14:paraId="4E44415B">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466" w:type="dxa"/>
            <w:vAlign w:val="center"/>
          </w:tcPr>
          <w:p w14:paraId="5182A2F4">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1.采购方根据合同约定，向</w:t>
            </w:r>
            <w:r>
              <w:rPr>
                <w:rFonts w:hint="eastAsia" w:ascii="宋体" w:hAnsi="宋体" w:cs="宋体"/>
                <w:color w:val="auto"/>
                <w:sz w:val="21"/>
                <w:szCs w:val="21"/>
                <w:highlight w:val="none"/>
                <w:lang w:val="en-US" w:eastAsia="zh-CN"/>
              </w:rPr>
              <w:t>成交人</w:t>
            </w:r>
            <w:r>
              <w:rPr>
                <w:rFonts w:hint="eastAsia" w:ascii="宋体" w:hAnsi="宋体" w:eastAsia="宋体" w:cs="宋体"/>
                <w:color w:val="auto"/>
                <w:sz w:val="21"/>
                <w:szCs w:val="21"/>
                <w:highlight w:val="none"/>
                <w:lang w:val="en-US" w:eastAsia="zh-CN"/>
              </w:rPr>
              <w:t>支付项目经费，</w:t>
            </w:r>
            <w:r>
              <w:rPr>
                <w:rFonts w:hint="eastAsia" w:ascii="宋体" w:hAnsi="宋体" w:cs="宋体"/>
                <w:color w:val="auto"/>
                <w:sz w:val="21"/>
                <w:szCs w:val="21"/>
                <w:highlight w:val="none"/>
                <w:lang w:val="en-US" w:eastAsia="zh-CN"/>
              </w:rPr>
              <w:t>成交人</w:t>
            </w:r>
            <w:r>
              <w:rPr>
                <w:rFonts w:hint="eastAsia" w:ascii="宋体" w:hAnsi="宋体" w:eastAsia="宋体" w:cs="宋体"/>
                <w:color w:val="auto"/>
                <w:sz w:val="21"/>
                <w:szCs w:val="21"/>
                <w:highlight w:val="none"/>
                <w:lang w:val="en-US" w:eastAsia="zh-CN"/>
              </w:rPr>
              <w:t>要严格按照《东莞市民政局 东莞市财政局关于印发〈政府购买社会工作服务资金使用管理办法〉的通知》（东民规〔2021〕2号）要求使用项目经费。合同期结束后，服务活动成本有结余的，需将结余部分退回采购人。</w:t>
            </w:r>
          </w:p>
          <w:p w14:paraId="5F28CD1E">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（1）项目实施后1个月内，采购人向</w:t>
            </w:r>
            <w:r>
              <w:rPr>
                <w:rFonts w:hint="eastAsia" w:ascii="宋体" w:hAnsi="宋体" w:cs="宋体"/>
                <w:color w:val="auto"/>
                <w:sz w:val="21"/>
                <w:szCs w:val="21"/>
                <w:highlight w:val="none"/>
                <w:lang w:val="en-US" w:eastAsia="zh-CN"/>
              </w:rPr>
              <w:t>成交人</w:t>
            </w:r>
            <w:r>
              <w:rPr>
                <w:rFonts w:hint="eastAsia" w:ascii="宋体" w:hAnsi="宋体" w:eastAsia="宋体" w:cs="宋体"/>
                <w:color w:val="auto"/>
                <w:sz w:val="21"/>
                <w:szCs w:val="21"/>
                <w:highlight w:val="none"/>
                <w:lang w:val="en-US" w:eastAsia="zh-CN"/>
              </w:rPr>
              <w:t>支付项目50%合同经费。</w:t>
            </w:r>
          </w:p>
          <w:p w14:paraId="2C688E99">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（2）项目运营满9个月并经采购人验收合格后，采购人向</w:t>
            </w:r>
            <w:r>
              <w:rPr>
                <w:rFonts w:hint="eastAsia" w:ascii="宋体" w:hAnsi="宋体" w:cs="宋体"/>
                <w:color w:val="auto"/>
                <w:sz w:val="21"/>
                <w:szCs w:val="21"/>
                <w:highlight w:val="none"/>
                <w:lang w:val="en-US" w:eastAsia="zh-CN"/>
              </w:rPr>
              <w:t>成交人</w:t>
            </w:r>
            <w:r>
              <w:rPr>
                <w:rFonts w:hint="eastAsia" w:ascii="宋体" w:hAnsi="宋体" w:eastAsia="宋体" w:cs="宋体"/>
                <w:color w:val="auto"/>
                <w:sz w:val="21"/>
                <w:szCs w:val="21"/>
                <w:highlight w:val="none"/>
                <w:lang w:val="en-US" w:eastAsia="zh-CN"/>
              </w:rPr>
              <w:t>支付项目30%合同经费。</w:t>
            </w:r>
          </w:p>
          <w:p w14:paraId="67BECB25">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（3）完成合同约定工作后，采购人向</w:t>
            </w:r>
            <w:r>
              <w:rPr>
                <w:rFonts w:hint="eastAsia" w:ascii="宋体" w:hAnsi="宋体" w:cs="宋体"/>
                <w:color w:val="auto"/>
                <w:sz w:val="21"/>
                <w:szCs w:val="21"/>
                <w:highlight w:val="none"/>
                <w:lang w:val="en-US" w:eastAsia="zh-CN"/>
              </w:rPr>
              <w:t>成交人</w:t>
            </w:r>
            <w:r>
              <w:rPr>
                <w:rFonts w:hint="eastAsia" w:ascii="宋体" w:hAnsi="宋体" w:eastAsia="宋体" w:cs="宋体"/>
                <w:color w:val="auto"/>
                <w:sz w:val="21"/>
                <w:szCs w:val="21"/>
                <w:highlight w:val="none"/>
                <w:lang w:val="en-US" w:eastAsia="zh-CN"/>
              </w:rPr>
              <w:t>支付项目10%合同经费。</w:t>
            </w:r>
          </w:p>
          <w:p w14:paraId="447C06BA">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（4）剩余10%合同经费根据《东莞市政府购买社会工作服务考核评估实施办法》项目考核评估结果拨付，评估结果为合格或以上的，余下10%合同经费全额支付；评估结果为不合格的，扣减余下10%合同经费。</w:t>
            </w:r>
          </w:p>
          <w:p w14:paraId="404FA33C">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2.如项目期内，</w:t>
            </w:r>
            <w:r>
              <w:rPr>
                <w:rFonts w:hint="eastAsia" w:ascii="宋体" w:hAnsi="宋体" w:cs="宋体"/>
                <w:color w:val="auto"/>
                <w:sz w:val="21"/>
                <w:szCs w:val="21"/>
                <w:highlight w:val="none"/>
                <w:lang w:val="en-US" w:eastAsia="zh-CN"/>
              </w:rPr>
              <w:t>成交人</w:t>
            </w:r>
            <w:r>
              <w:rPr>
                <w:rFonts w:hint="eastAsia" w:ascii="宋体" w:hAnsi="宋体" w:eastAsia="宋体" w:cs="宋体"/>
                <w:color w:val="auto"/>
                <w:sz w:val="21"/>
                <w:szCs w:val="21"/>
                <w:highlight w:val="none"/>
                <w:lang w:val="en-US" w:eastAsia="zh-CN"/>
              </w:rPr>
              <w:t>安排的项目人员存在缺岗情况，且缺岗时间超过15天以上（按自然日计算）仍未安排人员上岗的，由采购人根据缺岗天数扣减项目经费，具体如下:</w:t>
            </w:r>
          </w:p>
          <w:p w14:paraId="472F604C">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（1）单个项目人员缺岗15天以上30天（含）以下的，按照每名项目人员人力成本的4%标准扣减； </w:t>
            </w:r>
          </w:p>
          <w:p w14:paraId="75506C91">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（2）单个项目人员缺岗30天以上45天（含）以下，按照每名项目人员人力成本的8%标准扣减；</w:t>
            </w:r>
          </w:p>
          <w:p w14:paraId="4A76DE5B">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（3）单个项目人员缺岗45天以上60天（含）以下的，按照每名项目人员人力成本的12%标准扣减。 </w:t>
            </w:r>
          </w:p>
          <w:p w14:paraId="68D467B9">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（4）单个项目人员缺岗60天以上90天（含）以下的，按照每名项目人员人力成本的30%标准扣减。</w:t>
            </w:r>
          </w:p>
          <w:p w14:paraId="06952297">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（6）单个项目人员缺岗90天以上的，按照每名项目人员人力成本的100%标准扣减。 </w:t>
            </w:r>
          </w:p>
          <w:p w14:paraId="3474020F">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（根据《东莞市政府购买社会工作服务实施办法》，本项目社工人力成本按照10.197万元标准</w:t>
            </w:r>
            <w:r>
              <w:rPr>
                <w:rFonts w:hint="eastAsia" w:ascii="宋体" w:hAnsi="宋体" w:cs="宋体"/>
                <w:color w:val="auto"/>
                <w:sz w:val="21"/>
                <w:szCs w:val="21"/>
                <w:highlight w:val="none"/>
                <w:lang w:val="en-US" w:eastAsia="zh-CN"/>
              </w:rPr>
              <w:t>核算</w:t>
            </w:r>
            <w:r>
              <w:rPr>
                <w:rFonts w:hint="eastAsia" w:ascii="宋体" w:hAnsi="宋体" w:eastAsia="宋体" w:cs="宋体"/>
                <w:color w:val="auto"/>
                <w:sz w:val="21"/>
                <w:szCs w:val="21"/>
                <w:highlight w:val="none"/>
                <w:lang w:val="en-US" w:eastAsia="zh-CN"/>
              </w:rPr>
              <w:t>。如：项目有两名社工缺岗达20天，按照每名项目人员人力成本的4%标准扣减，则共需扣减10.197万元*4%*2）。扣减部分先从未拨付经费中抵扣，未拨付经费不足以支付扣减部分的，由</w:t>
            </w:r>
            <w:r>
              <w:rPr>
                <w:rFonts w:hint="eastAsia" w:ascii="宋体" w:hAnsi="宋体" w:cs="宋体"/>
                <w:color w:val="auto"/>
                <w:sz w:val="21"/>
                <w:szCs w:val="21"/>
                <w:highlight w:val="none"/>
                <w:lang w:val="en-US" w:eastAsia="zh-CN"/>
              </w:rPr>
              <w:t>成交人</w:t>
            </w:r>
            <w:r>
              <w:rPr>
                <w:rFonts w:hint="eastAsia" w:ascii="宋体" w:hAnsi="宋体" w:eastAsia="宋体" w:cs="宋体"/>
                <w:color w:val="auto"/>
                <w:sz w:val="21"/>
                <w:szCs w:val="21"/>
                <w:highlight w:val="none"/>
                <w:lang w:val="en-US" w:eastAsia="zh-CN"/>
              </w:rPr>
              <w:t>退还至采购人指定账户。</w:t>
            </w:r>
          </w:p>
          <w:p w14:paraId="42652FA9">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3.在采购方每期拨款前，</w:t>
            </w:r>
            <w:r>
              <w:rPr>
                <w:rFonts w:hint="eastAsia" w:ascii="宋体" w:hAnsi="宋体" w:cs="宋体"/>
                <w:color w:val="auto"/>
                <w:sz w:val="21"/>
                <w:szCs w:val="21"/>
                <w:highlight w:val="none"/>
                <w:lang w:val="en-US" w:eastAsia="zh-CN"/>
              </w:rPr>
              <w:t>成交人</w:t>
            </w:r>
            <w:r>
              <w:rPr>
                <w:rFonts w:hint="eastAsia" w:ascii="宋体" w:hAnsi="宋体" w:eastAsia="宋体" w:cs="宋体"/>
                <w:color w:val="auto"/>
                <w:sz w:val="21"/>
                <w:szCs w:val="21"/>
                <w:highlight w:val="none"/>
                <w:lang w:val="en-US" w:eastAsia="zh-CN"/>
              </w:rPr>
              <w:t>应及时向采购方提供等额合法发票。若</w:t>
            </w:r>
            <w:r>
              <w:rPr>
                <w:rFonts w:hint="eastAsia" w:ascii="宋体" w:hAnsi="宋体" w:cs="宋体"/>
                <w:color w:val="auto"/>
                <w:sz w:val="21"/>
                <w:szCs w:val="21"/>
                <w:highlight w:val="none"/>
                <w:lang w:val="en-US" w:eastAsia="zh-CN"/>
              </w:rPr>
              <w:t>成交人</w:t>
            </w:r>
            <w:r>
              <w:rPr>
                <w:rFonts w:hint="eastAsia" w:ascii="宋体" w:hAnsi="宋体" w:eastAsia="宋体" w:cs="宋体"/>
                <w:color w:val="auto"/>
                <w:sz w:val="21"/>
                <w:szCs w:val="21"/>
                <w:highlight w:val="none"/>
                <w:lang w:val="en-US" w:eastAsia="zh-CN"/>
              </w:rPr>
              <w:t>未及时提供合法有效的发票，则付款时间顺延。</w:t>
            </w:r>
          </w:p>
        </w:tc>
      </w:tr>
      <w:tr w14:paraId="5E290C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14:paraId="7A13BA00">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4</w:t>
            </w:r>
          </w:p>
        </w:tc>
        <w:tc>
          <w:tcPr>
            <w:tcW w:w="1501" w:type="dxa"/>
            <w:vAlign w:val="center"/>
          </w:tcPr>
          <w:p w14:paraId="25FDAC91">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466" w:type="dxa"/>
            <w:vAlign w:val="center"/>
          </w:tcPr>
          <w:p w14:paraId="3490F91D">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东莞市行政区域内</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或</w:t>
            </w:r>
            <w:r>
              <w:rPr>
                <w:rFonts w:hint="eastAsia" w:ascii="宋体" w:hAnsi="宋体" w:eastAsia="宋体" w:cs="宋体"/>
                <w:color w:val="auto"/>
                <w:sz w:val="21"/>
                <w:szCs w:val="21"/>
                <w:highlight w:val="none"/>
              </w:rPr>
              <w:t>采购人指定地点</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w:t>
            </w:r>
          </w:p>
        </w:tc>
      </w:tr>
      <w:tr w14:paraId="2E6ED6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14:paraId="1261D43A">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5</w:t>
            </w:r>
          </w:p>
        </w:tc>
        <w:tc>
          <w:tcPr>
            <w:tcW w:w="1501" w:type="dxa"/>
            <w:vAlign w:val="center"/>
          </w:tcPr>
          <w:p w14:paraId="23A3806E">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14:paraId="5DFC012C">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响应</w:t>
            </w:r>
            <w:r>
              <w:rPr>
                <w:rFonts w:hint="eastAsia" w:ascii="宋体" w:hAnsi="宋体" w:eastAsia="宋体" w:cs="宋体"/>
                <w:color w:val="auto"/>
                <w:sz w:val="21"/>
                <w:szCs w:val="21"/>
                <w:highlight w:val="none"/>
                <w:lang w:val="zh-CN"/>
              </w:rPr>
              <w:t>报价</w:t>
            </w:r>
            <w:r>
              <w:rPr>
                <w:rFonts w:hint="eastAsia" w:ascii="宋体" w:hAnsi="宋体" w:eastAsia="宋体" w:cs="宋体"/>
                <w:color w:val="auto"/>
                <w:sz w:val="21"/>
                <w:szCs w:val="21"/>
                <w:highlight w:val="none"/>
                <w:lang w:val="en-US" w:eastAsia="zh-CN" w:bidi="zh-CN"/>
              </w:rPr>
              <w:t>包括材料、工具、人工、管理费、利润、税金、风险等一切因素所有应该和可能发生的费用因素。</w:t>
            </w:r>
          </w:p>
        </w:tc>
      </w:tr>
      <w:tr w14:paraId="69AE30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14:paraId="3E62F3C8">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1501" w:type="dxa"/>
            <w:vAlign w:val="center"/>
          </w:tcPr>
          <w:p w14:paraId="099EA314">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14:paraId="045B88A7">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14:paraId="5EEBE8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14:paraId="38CC366E">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7</w:t>
            </w:r>
          </w:p>
        </w:tc>
        <w:tc>
          <w:tcPr>
            <w:tcW w:w="1501" w:type="dxa"/>
            <w:vAlign w:val="center"/>
          </w:tcPr>
          <w:p w14:paraId="63F50073">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其他</w:t>
            </w:r>
          </w:p>
        </w:tc>
        <w:tc>
          <w:tcPr>
            <w:tcW w:w="6466" w:type="dxa"/>
            <w:vAlign w:val="center"/>
          </w:tcPr>
          <w:p w14:paraId="3965A327">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bidi="ar-SA"/>
              </w:rPr>
              <w:t>1、</w:t>
            </w:r>
            <w:r>
              <w:rPr>
                <w:rFonts w:hint="eastAsia" w:ascii="宋体" w:hAnsi="宋体" w:cs="宋体"/>
                <w:color w:val="auto"/>
                <w:sz w:val="21"/>
                <w:szCs w:val="21"/>
                <w:highlight w:val="none"/>
                <w:lang w:val="en-US" w:eastAsia="zh-CN"/>
              </w:rPr>
              <w:t>供应商响应各合同条款；</w:t>
            </w:r>
          </w:p>
          <w:p w14:paraId="09D9796F">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bidi="ar-SA"/>
              </w:rPr>
              <w:t>2、</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应充分结合本招标文件上下文了解项目招标需求、采购文件未尽事宜，将在合同签订或项目执行过程中双方协商确定，</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须无条件满足采购单位的合理要求。</w:t>
            </w:r>
          </w:p>
        </w:tc>
      </w:tr>
    </w:tbl>
    <w:p w14:paraId="724B3040">
      <w:pPr>
        <w:bidi w:val="0"/>
        <w:rPr>
          <w:rFonts w:hint="eastAsia"/>
          <w:color w:val="auto"/>
          <w:highlight w:val="none"/>
          <w:lang w:val="en-US" w:eastAsia="zh-CN"/>
        </w:rPr>
      </w:pPr>
    </w:p>
    <w:p w14:paraId="7D547319">
      <w:pPr>
        <w:rPr>
          <w:rFonts w:hint="eastAsia"/>
          <w:color w:val="auto"/>
          <w:highlight w:val="none"/>
          <w:lang w:val="en-US" w:eastAsia="zh-CN"/>
        </w:rPr>
      </w:pPr>
    </w:p>
    <w:p w14:paraId="09512A01">
      <w:pPr>
        <w:rPr>
          <w:rFonts w:hint="eastAsia" w:ascii="宋体" w:hAnsi="宋体"/>
          <w:color w:val="auto"/>
          <w:highlight w:val="none"/>
          <w:lang w:val="en-US" w:eastAsia="zh-CN"/>
        </w:rPr>
      </w:pPr>
      <w:bookmarkStart w:id="195" w:name="_Toc19981"/>
      <w:r>
        <w:rPr>
          <w:rFonts w:hint="eastAsia" w:ascii="宋体" w:hAnsi="宋体"/>
          <w:color w:val="auto"/>
          <w:highlight w:val="none"/>
          <w:lang w:val="en-US" w:eastAsia="zh-CN"/>
        </w:rPr>
        <w:br w:type="page"/>
      </w:r>
    </w:p>
    <w:p w14:paraId="5E872EF5">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color w:val="auto"/>
          <w:highlight w:val="none"/>
        </w:rPr>
      </w:pPr>
      <w:r>
        <w:rPr>
          <w:rFonts w:hint="eastAsia" w:ascii="宋体" w:hAnsi="宋体"/>
          <w:color w:val="auto"/>
          <w:highlight w:val="none"/>
          <w:lang w:val="en-US" w:eastAsia="zh-CN"/>
        </w:rPr>
        <w:t>第二章 技术需求书</w:t>
      </w:r>
      <w:bookmarkEnd w:id="195"/>
      <w:bookmarkStart w:id="196" w:name="_Toc14462"/>
      <w:bookmarkStart w:id="197" w:name="_Toc31278"/>
      <w:bookmarkStart w:id="198" w:name="_Toc13112"/>
      <w:bookmarkStart w:id="199" w:name="_Toc24679"/>
    </w:p>
    <w:p w14:paraId="66228B48">
      <w:pPr>
        <w:pStyle w:val="5"/>
        <w:bidi w:val="0"/>
        <w:rPr>
          <w:rFonts w:hint="eastAsia"/>
          <w:color w:val="auto"/>
          <w:highlight w:val="none"/>
          <w:lang w:eastAsia="zh-CN"/>
        </w:rPr>
      </w:pPr>
      <w:r>
        <w:rPr>
          <w:rFonts w:hint="eastAsia"/>
          <w:color w:val="auto"/>
          <w:highlight w:val="none"/>
          <w:lang w:eastAsia="zh-CN"/>
        </w:rPr>
        <w:t>一、服务内容</w:t>
      </w:r>
    </w:p>
    <w:p w14:paraId="7D533C1A">
      <w:pPr>
        <w:keepNext w:val="0"/>
        <w:keepLines w:val="0"/>
        <w:pageBreakBefore w:val="0"/>
        <w:widowControl w:val="0"/>
        <w:kinsoku/>
        <w:wordWrap/>
        <w:overflowPunct/>
        <w:topLinePunct w:val="0"/>
        <w:autoSpaceDE/>
        <w:autoSpaceDN/>
        <w:bidi w:val="0"/>
        <w:adjustRightInd/>
        <w:snapToGrid/>
        <w:spacing w:line="360" w:lineRule="auto"/>
        <w:ind w:right="0" w:rightChars="0" w:firstLine="420" w:firstLineChars="200"/>
        <w:textAlignment w:val="auto"/>
        <w:rPr>
          <w:rFonts w:hint="eastAsia" w:asciiTheme="majorEastAsia" w:hAnsiTheme="majorEastAsia" w:eastAsiaTheme="majorEastAsia" w:cstheme="majorEastAsia"/>
          <w:color w:val="auto"/>
          <w:sz w:val="21"/>
          <w:szCs w:val="21"/>
          <w:highlight w:val="none"/>
          <w:lang w:val="en-US" w:eastAsia="zh-CN"/>
        </w:rPr>
      </w:pPr>
      <w:r>
        <w:rPr>
          <w:rFonts w:hint="eastAsia" w:asciiTheme="majorEastAsia" w:hAnsiTheme="majorEastAsia" w:eastAsiaTheme="majorEastAsia" w:cstheme="majorEastAsia"/>
          <w:color w:val="auto"/>
          <w:sz w:val="21"/>
          <w:szCs w:val="21"/>
          <w:highlight w:val="none"/>
          <w:lang w:val="en-US" w:eastAsia="zh-CN"/>
        </w:rPr>
        <w:t>按照采购人要求，开展街面巡查救助工作，每两个月对全市所有镇街（园区）进行全面覆盖一次，及时、有效为符合救助条件的街面流浪乞讨人员提供急需的、基本的救助；建立救助档案，提供必要的物资救助，劝导街面流浪乞讨人员进站接受救助或到相关医院接受救治并联系护送；核实确定街面流浪人员[包括各镇街（园区）送医救治的街面流浪乞讨人员]身份信息，提供身份核查、问询寻亲、协助返乡或者转介相关部门和镇街等救助服务；协助收集全市街面流浪乞讨人员分布情况；根据服务对象的需求提供专业社工服务，使他们能融入社会、回归家庭。</w:t>
      </w:r>
    </w:p>
    <w:p w14:paraId="396A04A3">
      <w:pPr>
        <w:pStyle w:val="5"/>
        <w:bidi w:val="0"/>
        <w:rPr>
          <w:rFonts w:hint="eastAsia"/>
          <w:color w:val="auto"/>
          <w:highlight w:val="none"/>
          <w:lang w:eastAsia="zh-CN"/>
        </w:rPr>
      </w:pPr>
      <w:r>
        <w:rPr>
          <w:rFonts w:hint="eastAsia"/>
          <w:color w:val="auto"/>
          <w:highlight w:val="none"/>
          <w:lang w:eastAsia="zh-CN"/>
        </w:rPr>
        <w:t>二</w:t>
      </w:r>
      <w:r>
        <w:rPr>
          <w:rFonts w:hint="eastAsia"/>
          <w:color w:val="auto"/>
          <w:highlight w:val="none"/>
        </w:rPr>
        <w:t>、服务地点</w:t>
      </w:r>
      <w:r>
        <w:rPr>
          <w:rFonts w:hint="eastAsia"/>
          <w:color w:val="auto"/>
          <w:highlight w:val="none"/>
          <w:lang w:eastAsia="zh-CN"/>
        </w:rPr>
        <w:t>及服务对象</w:t>
      </w:r>
    </w:p>
    <w:p w14:paraId="3F7E365B">
      <w:pPr>
        <w:pStyle w:val="57"/>
        <w:keepNext w:val="0"/>
        <w:keepLines w:val="0"/>
        <w:pageBreakBefore w:val="0"/>
        <w:widowControl w:val="0"/>
        <w:kinsoku/>
        <w:wordWrap/>
        <w:overflowPunct/>
        <w:topLinePunct w:val="0"/>
        <w:autoSpaceDE/>
        <w:autoSpaceDN/>
        <w:bidi w:val="0"/>
        <w:adjustRightInd/>
        <w:snapToGrid/>
        <w:spacing w:line="360" w:lineRule="auto"/>
        <w:ind w:right="0" w:rightChars="0" w:firstLine="420" w:firstLineChars="200"/>
        <w:textAlignment w:val="auto"/>
        <w:rPr>
          <w:rFonts w:hint="eastAsia" w:asciiTheme="majorEastAsia" w:hAnsiTheme="majorEastAsia" w:eastAsiaTheme="majorEastAsia" w:cstheme="majorEastAsia"/>
          <w:color w:val="auto"/>
          <w:spacing w:val="0"/>
          <w:sz w:val="21"/>
          <w:szCs w:val="21"/>
          <w:highlight w:val="none"/>
          <w:lang w:eastAsia="zh-CN"/>
        </w:rPr>
      </w:pPr>
      <w:r>
        <w:rPr>
          <w:rFonts w:hint="eastAsia" w:asciiTheme="majorEastAsia" w:hAnsiTheme="majorEastAsia" w:eastAsiaTheme="majorEastAsia" w:cstheme="majorEastAsia"/>
          <w:color w:val="auto"/>
          <w:spacing w:val="0"/>
          <w:sz w:val="21"/>
          <w:szCs w:val="21"/>
          <w:highlight w:val="none"/>
          <w:lang w:val="en-US" w:eastAsia="zh-CN"/>
        </w:rPr>
        <w:t>（一）服务地点：</w:t>
      </w:r>
      <w:r>
        <w:rPr>
          <w:rFonts w:hint="eastAsia" w:asciiTheme="majorEastAsia" w:hAnsiTheme="majorEastAsia" w:eastAsiaTheme="majorEastAsia" w:cstheme="majorEastAsia"/>
          <w:color w:val="auto"/>
          <w:spacing w:val="0"/>
          <w:sz w:val="21"/>
          <w:szCs w:val="21"/>
          <w:highlight w:val="none"/>
          <w:lang w:eastAsia="zh-CN"/>
        </w:rPr>
        <w:t>东莞市行政区域内</w:t>
      </w:r>
    </w:p>
    <w:p w14:paraId="2055AF30">
      <w:pPr>
        <w:pStyle w:val="57"/>
        <w:keepNext w:val="0"/>
        <w:keepLines w:val="0"/>
        <w:pageBreakBefore w:val="0"/>
        <w:widowControl w:val="0"/>
        <w:kinsoku/>
        <w:wordWrap/>
        <w:overflowPunct/>
        <w:topLinePunct w:val="0"/>
        <w:autoSpaceDE/>
        <w:autoSpaceDN/>
        <w:bidi w:val="0"/>
        <w:adjustRightInd/>
        <w:snapToGrid/>
        <w:spacing w:line="360" w:lineRule="auto"/>
        <w:ind w:right="0" w:rightChars="0" w:firstLine="420" w:firstLineChars="200"/>
        <w:textAlignment w:val="auto"/>
        <w:rPr>
          <w:rFonts w:hint="eastAsia" w:asciiTheme="majorEastAsia" w:hAnsiTheme="majorEastAsia" w:eastAsiaTheme="majorEastAsia" w:cstheme="majorEastAsia"/>
          <w:color w:val="auto"/>
          <w:spacing w:val="0"/>
          <w:sz w:val="21"/>
          <w:szCs w:val="21"/>
          <w:highlight w:val="none"/>
          <w:lang w:eastAsia="zh-CN"/>
        </w:rPr>
      </w:pPr>
      <w:r>
        <w:rPr>
          <w:rFonts w:hint="eastAsia" w:asciiTheme="majorEastAsia" w:hAnsiTheme="majorEastAsia" w:eastAsiaTheme="majorEastAsia" w:cstheme="majorEastAsia"/>
          <w:color w:val="auto"/>
          <w:spacing w:val="0"/>
          <w:sz w:val="21"/>
          <w:szCs w:val="21"/>
          <w:highlight w:val="none"/>
          <w:lang w:val="en-US" w:eastAsia="zh-CN"/>
        </w:rPr>
        <w:t>（二）</w:t>
      </w:r>
      <w:r>
        <w:rPr>
          <w:rFonts w:hint="eastAsia" w:asciiTheme="majorEastAsia" w:hAnsiTheme="majorEastAsia" w:eastAsiaTheme="majorEastAsia" w:cstheme="majorEastAsia"/>
          <w:color w:val="auto"/>
          <w:spacing w:val="0"/>
          <w:sz w:val="21"/>
          <w:szCs w:val="21"/>
          <w:highlight w:val="none"/>
          <w:lang w:eastAsia="zh-CN"/>
        </w:rPr>
        <w:t>服务对象：</w:t>
      </w:r>
    </w:p>
    <w:p w14:paraId="28FB2BA1">
      <w:pPr>
        <w:pStyle w:val="57"/>
        <w:keepNext w:val="0"/>
        <w:keepLines w:val="0"/>
        <w:pageBreakBefore w:val="0"/>
        <w:widowControl w:val="0"/>
        <w:kinsoku/>
        <w:wordWrap/>
        <w:overflowPunct/>
        <w:topLinePunct w:val="0"/>
        <w:autoSpaceDE/>
        <w:autoSpaceDN/>
        <w:bidi w:val="0"/>
        <w:adjustRightInd/>
        <w:snapToGrid/>
        <w:spacing w:line="360" w:lineRule="auto"/>
        <w:ind w:right="0" w:rightChars="0" w:firstLine="420" w:firstLineChars="200"/>
        <w:textAlignment w:val="auto"/>
        <w:rPr>
          <w:rFonts w:hint="eastAsia" w:asciiTheme="majorEastAsia" w:hAnsiTheme="majorEastAsia" w:eastAsiaTheme="majorEastAsia" w:cstheme="majorEastAsia"/>
          <w:b w:val="0"/>
          <w:bCs w:val="0"/>
          <w:color w:val="auto"/>
          <w:spacing w:val="0"/>
          <w:sz w:val="21"/>
          <w:szCs w:val="21"/>
          <w:highlight w:val="none"/>
          <w:lang w:eastAsia="zh-CN"/>
        </w:rPr>
      </w:pPr>
      <w:r>
        <w:rPr>
          <w:rFonts w:hint="eastAsia" w:asciiTheme="majorEastAsia" w:hAnsiTheme="majorEastAsia" w:eastAsiaTheme="majorEastAsia" w:cstheme="majorEastAsia"/>
          <w:b w:val="0"/>
          <w:bCs w:val="0"/>
          <w:color w:val="auto"/>
          <w:spacing w:val="0"/>
          <w:sz w:val="21"/>
          <w:szCs w:val="21"/>
          <w:highlight w:val="none"/>
          <w:lang w:eastAsia="zh-CN"/>
        </w:rPr>
        <w:t>（</w:t>
      </w:r>
      <w:r>
        <w:rPr>
          <w:rFonts w:hint="eastAsia" w:asciiTheme="majorEastAsia" w:hAnsiTheme="majorEastAsia" w:eastAsiaTheme="majorEastAsia" w:cstheme="majorEastAsia"/>
          <w:b w:val="0"/>
          <w:bCs w:val="0"/>
          <w:color w:val="auto"/>
          <w:spacing w:val="0"/>
          <w:sz w:val="21"/>
          <w:szCs w:val="21"/>
          <w:highlight w:val="none"/>
          <w:lang w:val="en-US" w:eastAsia="zh-CN"/>
        </w:rPr>
        <w:t>1</w:t>
      </w:r>
      <w:r>
        <w:rPr>
          <w:rFonts w:hint="eastAsia" w:asciiTheme="majorEastAsia" w:hAnsiTheme="majorEastAsia" w:eastAsiaTheme="majorEastAsia" w:cstheme="majorEastAsia"/>
          <w:b w:val="0"/>
          <w:bCs w:val="0"/>
          <w:color w:val="auto"/>
          <w:spacing w:val="0"/>
          <w:sz w:val="21"/>
          <w:szCs w:val="21"/>
          <w:highlight w:val="none"/>
          <w:lang w:eastAsia="zh-CN"/>
        </w:rPr>
        <w:t>）直接服务对象：东莞市行政区域内离家在外、自身无力解决食宿、正在或即将处于流浪或乞讨状态的人员，包括走失、务工不着、家庭暴力受害者等临时遇困人员（简称流浪乞讨人员）。</w:t>
      </w:r>
    </w:p>
    <w:p w14:paraId="3036673B">
      <w:pPr>
        <w:pStyle w:val="57"/>
        <w:keepNext w:val="0"/>
        <w:keepLines w:val="0"/>
        <w:pageBreakBefore w:val="0"/>
        <w:widowControl w:val="0"/>
        <w:kinsoku/>
        <w:wordWrap/>
        <w:overflowPunct/>
        <w:topLinePunct w:val="0"/>
        <w:autoSpaceDE/>
        <w:autoSpaceDN/>
        <w:bidi w:val="0"/>
        <w:adjustRightInd/>
        <w:snapToGrid/>
        <w:spacing w:line="360" w:lineRule="auto"/>
        <w:ind w:right="0" w:rightChars="0" w:firstLine="420" w:firstLineChars="200"/>
        <w:textAlignment w:val="auto"/>
        <w:rPr>
          <w:rFonts w:hint="eastAsia" w:asciiTheme="majorEastAsia" w:hAnsiTheme="majorEastAsia" w:eastAsiaTheme="majorEastAsia" w:cstheme="majorEastAsia"/>
          <w:b w:val="0"/>
          <w:bCs w:val="0"/>
          <w:color w:val="auto"/>
          <w:spacing w:val="0"/>
          <w:sz w:val="21"/>
          <w:szCs w:val="21"/>
          <w:highlight w:val="none"/>
          <w:lang w:eastAsia="zh-CN"/>
        </w:rPr>
      </w:pPr>
      <w:r>
        <w:rPr>
          <w:rFonts w:hint="eastAsia" w:asciiTheme="majorEastAsia" w:hAnsiTheme="majorEastAsia" w:eastAsiaTheme="majorEastAsia" w:cstheme="majorEastAsia"/>
          <w:b w:val="0"/>
          <w:bCs w:val="0"/>
          <w:color w:val="auto"/>
          <w:spacing w:val="0"/>
          <w:sz w:val="21"/>
          <w:szCs w:val="21"/>
          <w:highlight w:val="none"/>
          <w:lang w:val="en-US" w:eastAsia="zh-CN"/>
        </w:rPr>
        <w:t>（2）</w:t>
      </w:r>
      <w:r>
        <w:rPr>
          <w:rFonts w:hint="eastAsia" w:asciiTheme="majorEastAsia" w:hAnsiTheme="majorEastAsia" w:eastAsiaTheme="majorEastAsia" w:cstheme="majorEastAsia"/>
          <w:b w:val="0"/>
          <w:bCs w:val="0"/>
          <w:color w:val="auto"/>
          <w:spacing w:val="0"/>
          <w:sz w:val="21"/>
          <w:szCs w:val="21"/>
          <w:highlight w:val="none"/>
          <w:lang w:eastAsia="zh-CN"/>
        </w:rPr>
        <w:t>间接服务对象：东莞市行政区域内离家在外、自身无力解决食宿、正在或即将处于流浪或乞讨状态的人员的家属、亲友。</w:t>
      </w:r>
    </w:p>
    <w:p w14:paraId="2F06C116">
      <w:pPr>
        <w:pStyle w:val="5"/>
        <w:bidi w:val="0"/>
        <w:rPr>
          <w:rFonts w:hint="eastAsia"/>
          <w:color w:val="auto"/>
          <w:highlight w:val="none"/>
          <w:lang w:eastAsia="zh-CN"/>
        </w:rPr>
      </w:pPr>
      <w:r>
        <w:rPr>
          <w:rFonts w:hint="eastAsia"/>
          <w:color w:val="auto"/>
          <w:highlight w:val="none"/>
          <w:lang w:eastAsia="zh-CN"/>
        </w:rPr>
        <w:t>三、服务要求</w:t>
      </w:r>
    </w:p>
    <w:p w14:paraId="72122156">
      <w:pPr>
        <w:pStyle w:val="57"/>
        <w:keepNext w:val="0"/>
        <w:keepLines w:val="0"/>
        <w:pageBreakBefore w:val="0"/>
        <w:widowControl w:val="0"/>
        <w:kinsoku/>
        <w:wordWrap/>
        <w:overflowPunct/>
        <w:topLinePunct w:val="0"/>
        <w:autoSpaceDE/>
        <w:autoSpaceDN/>
        <w:bidi w:val="0"/>
        <w:adjustRightInd/>
        <w:snapToGrid/>
        <w:spacing w:line="360" w:lineRule="auto"/>
        <w:ind w:right="0" w:rightChars="0" w:firstLine="420" w:firstLineChars="200"/>
        <w:textAlignment w:val="auto"/>
        <w:rPr>
          <w:rFonts w:hint="eastAsia" w:asciiTheme="majorEastAsia" w:hAnsiTheme="majorEastAsia" w:eastAsiaTheme="majorEastAsia" w:cstheme="majorEastAsia"/>
          <w:color w:val="auto"/>
          <w:spacing w:val="0"/>
          <w:sz w:val="21"/>
          <w:szCs w:val="21"/>
          <w:highlight w:val="none"/>
          <w:lang w:eastAsia="zh-CN"/>
        </w:rPr>
      </w:pPr>
      <w:r>
        <w:rPr>
          <w:rFonts w:hint="eastAsia" w:asciiTheme="majorEastAsia" w:hAnsiTheme="majorEastAsia" w:eastAsiaTheme="majorEastAsia" w:cstheme="majorEastAsia"/>
          <w:color w:val="auto"/>
          <w:spacing w:val="0"/>
          <w:sz w:val="21"/>
          <w:szCs w:val="21"/>
          <w:highlight w:val="none"/>
          <w:lang w:eastAsia="zh-CN"/>
        </w:rPr>
        <w:t>（一）项目服务标准</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
        <w:gridCol w:w="2024"/>
        <w:gridCol w:w="1118"/>
        <w:gridCol w:w="1601"/>
        <w:gridCol w:w="3272"/>
      </w:tblGrid>
      <w:tr w14:paraId="7BF7A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blHeader/>
          <w:jc w:val="center"/>
        </w:trPr>
        <w:tc>
          <w:tcPr>
            <w:tcW w:w="507" w:type="dxa"/>
            <w:tcBorders>
              <w:top w:val="single" w:color="auto" w:sz="4" w:space="0"/>
              <w:left w:val="single" w:color="auto" w:sz="4" w:space="0"/>
              <w:bottom w:val="single" w:color="auto" w:sz="4" w:space="0"/>
              <w:right w:val="single" w:color="auto" w:sz="4" w:space="0"/>
            </w:tcBorders>
            <w:noWrap w:val="0"/>
            <w:vAlign w:val="center"/>
          </w:tcPr>
          <w:p w14:paraId="1753D7BA">
            <w:pPr>
              <w:keepNext w:val="0"/>
              <w:keepLines w:val="0"/>
              <w:pageBreakBefore w:val="0"/>
              <w:widowControl w:val="0"/>
              <w:kinsoku/>
              <w:wordWrap w:val="0"/>
              <w:overflowPunct/>
              <w:topLinePunct w:val="0"/>
              <w:autoSpaceDE/>
              <w:autoSpaceDN/>
              <w:bidi w:val="0"/>
              <w:adjustRightInd w:val="0"/>
              <w:snapToGrid w:val="0"/>
              <w:spacing w:line="460" w:lineRule="exact"/>
              <w:jc w:val="center"/>
              <w:textAlignment w:val="auto"/>
              <w:rPr>
                <w:rFonts w:hint="eastAsia" w:asciiTheme="majorEastAsia" w:hAnsiTheme="majorEastAsia" w:eastAsiaTheme="majorEastAsia" w:cstheme="majorEastAsia"/>
                <w:b/>
                <w:bCs/>
                <w:color w:val="auto"/>
                <w:kern w:val="0"/>
                <w:sz w:val="21"/>
                <w:szCs w:val="21"/>
                <w:highlight w:val="none"/>
                <w:shd w:val="clear" w:color="auto" w:fill="FFFFFF"/>
              </w:rPr>
            </w:pPr>
            <w:r>
              <w:rPr>
                <w:rFonts w:hint="eastAsia" w:asciiTheme="majorEastAsia" w:hAnsiTheme="majorEastAsia" w:eastAsiaTheme="majorEastAsia" w:cstheme="majorEastAsia"/>
                <w:b/>
                <w:bCs/>
                <w:color w:val="auto"/>
                <w:kern w:val="0"/>
                <w:sz w:val="21"/>
                <w:szCs w:val="21"/>
                <w:highlight w:val="none"/>
                <w:shd w:val="clear" w:color="auto" w:fill="FFFFFF"/>
              </w:rPr>
              <w:t>序号</w:t>
            </w:r>
          </w:p>
        </w:tc>
        <w:tc>
          <w:tcPr>
            <w:tcW w:w="2024" w:type="dxa"/>
            <w:tcBorders>
              <w:top w:val="single" w:color="auto" w:sz="4" w:space="0"/>
              <w:left w:val="nil"/>
              <w:bottom w:val="single" w:color="auto" w:sz="4" w:space="0"/>
              <w:right w:val="single" w:color="auto" w:sz="4" w:space="0"/>
            </w:tcBorders>
            <w:noWrap w:val="0"/>
            <w:vAlign w:val="center"/>
          </w:tcPr>
          <w:p w14:paraId="2F1C8495">
            <w:pPr>
              <w:keepNext w:val="0"/>
              <w:keepLines w:val="0"/>
              <w:pageBreakBefore w:val="0"/>
              <w:widowControl w:val="0"/>
              <w:kinsoku/>
              <w:wordWrap w:val="0"/>
              <w:overflowPunct/>
              <w:topLinePunct w:val="0"/>
              <w:autoSpaceDE/>
              <w:autoSpaceDN/>
              <w:bidi w:val="0"/>
              <w:adjustRightInd w:val="0"/>
              <w:snapToGrid w:val="0"/>
              <w:spacing w:line="460" w:lineRule="exact"/>
              <w:jc w:val="center"/>
              <w:textAlignment w:val="auto"/>
              <w:rPr>
                <w:rFonts w:hint="eastAsia" w:asciiTheme="majorEastAsia" w:hAnsiTheme="majorEastAsia" w:eastAsiaTheme="majorEastAsia" w:cstheme="majorEastAsia"/>
                <w:b/>
                <w:bCs/>
                <w:color w:val="auto"/>
                <w:kern w:val="0"/>
                <w:sz w:val="21"/>
                <w:szCs w:val="21"/>
                <w:highlight w:val="none"/>
                <w:shd w:val="clear" w:color="auto" w:fill="FFFFFF"/>
              </w:rPr>
            </w:pPr>
            <w:r>
              <w:rPr>
                <w:rFonts w:hint="eastAsia" w:asciiTheme="majorEastAsia" w:hAnsiTheme="majorEastAsia" w:eastAsiaTheme="majorEastAsia" w:cstheme="majorEastAsia"/>
                <w:b/>
                <w:bCs/>
                <w:color w:val="auto"/>
                <w:kern w:val="0"/>
                <w:sz w:val="21"/>
                <w:szCs w:val="21"/>
                <w:highlight w:val="none"/>
                <w:shd w:val="clear" w:color="auto" w:fill="FFFFFF"/>
              </w:rPr>
              <w:t>服务项目</w:t>
            </w:r>
          </w:p>
        </w:tc>
        <w:tc>
          <w:tcPr>
            <w:tcW w:w="0" w:type="auto"/>
            <w:tcBorders>
              <w:top w:val="single" w:color="auto" w:sz="4" w:space="0"/>
              <w:left w:val="nil"/>
              <w:bottom w:val="single" w:color="auto" w:sz="4" w:space="0"/>
              <w:right w:val="single" w:color="auto" w:sz="4" w:space="0"/>
            </w:tcBorders>
            <w:noWrap w:val="0"/>
            <w:vAlign w:val="center"/>
          </w:tcPr>
          <w:p w14:paraId="371D3722">
            <w:pPr>
              <w:keepNext w:val="0"/>
              <w:keepLines w:val="0"/>
              <w:pageBreakBefore w:val="0"/>
              <w:widowControl w:val="0"/>
              <w:kinsoku/>
              <w:wordWrap w:val="0"/>
              <w:overflowPunct/>
              <w:topLinePunct w:val="0"/>
              <w:autoSpaceDE/>
              <w:autoSpaceDN/>
              <w:bidi w:val="0"/>
              <w:adjustRightInd w:val="0"/>
              <w:snapToGrid w:val="0"/>
              <w:spacing w:line="460" w:lineRule="exact"/>
              <w:jc w:val="center"/>
              <w:textAlignment w:val="auto"/>
              <w:rPr>
                <w:rFonts w:hint="eastAsia" w:asciiTheme="majorEastAsia" w:hAnsiTheme="majorEastAsia" w:eastAsiaTheme="majorEastAsia" w:cstheme="majorEastAsia"/>
                <w:b/>
                <w:bCs/>
                <w:color w:val="auto"/>
                <w:kern w:val="0"/>
                <w:sz w:val="21"/>
                <w:szCs w:val="21"/>
                <w:highlight w:val="none"/>
                <w:shd w:val="clear" w:color="auto" w:fill="FFFFFF"/>
              </w:rPr>
            </w:pPr>
            <w:r>
              <w:rPr>
                <w:rFonts w:hint="eastAsia" w:asciiTheme="majorEastAsia" w:hAnsiTheme="majorEastAsia" w:eastAsiaTheme="majorEastAsia" w:cstheme="majorEastAsia"/>
                <w:b/>
                <w:bCs/>
                <w:color w:val="auto"/>
                <w:kern w:val="0"/>
                <w:sz w:val="21"/>
                <w:szCs w:val="21"/>
                <w:highlight w:val="none"/>
                <w:shd w:val="clear" w:color="auto" w:fill="FFFFFF"/>
                <w:lang w:eastAsia="zh-CN"/>
              </w:rPr>
              <w:t>服务期总</w:t>
            </w:r>
            <w:r>
              <w:rPr>
                <w:rFonts w:hint="eastAsia" w:asciiTheme="majorEastAsia" w:hAnsiTheme="majorEastAsia" w:eastAsiaTheme="majorEastAsia" w:cstheme="majorEastAsia"/>
                <w:b/>
                <w:bCs/>
                <w:color w:val="auto"/>
                <w:kern w:val="0"/>
                <w:sz w:val="21"/>
                <w:szCs w:val="21"/>
                <w:highlight w:val="none"/>
                <w:shd w:val="clear" w:color="auto" w:fill="FFFFFF"/>
              </w:rPr>
              <w:t>产出数量</w:t>
            </w:r>
          </w:p>
        </w:tc>
        <w:tc>
          <w:tcPr>
            <w:tcW w:w="0" w:type="auto"/>
            <w:tcBorders>
              <w:top w:val="single" w:color="auto" w:sz="4" w:space="0"/>
              <w:left w:val="nil"/>
              <w:bottom w:val="single" w:color="auto" w:sz="4" w:space="0"/>
              <w:right w:val="single" w:color="auto" w:sz="4" w:space="0"/>
            </w:tcBorders>
            <w:noWrap w:val="0"/>
            <w:vAlign w:val="center"/>
          </w:tcPr>
          <w:p w14:paraId="6FD85530">
            <w:pPr>
              <w:keepNext w:val="0"/>
              <w:keepLines w:val="0"/>
              <w:pageBreakBefore w:val="0"/>
              <w:widowControl w:val="0"/>
              <w:kinsoku/>
              <w:wordWrap w:val="0"/>
              <w:overflowPunct/>
              <w:topLinePunct w:val="0"/>
              <w:autoSpaceDE/>
              <w:autoSpaceDN/>
              <w:bidi w:val="0"/>
              <w:adjustRightInd w:val="0"/>
              <w:snapToGrid w:val="0"/>
              <w:spacing w:line="460" w:lineRule="exact"/>
              <w:jc w:val="center"/>
              <w:textAlignment w:val="auto"/>
              <w:rPr>
                <w:rFonts w:hint="eastAsia" w:asciiTheme="majorEastAsia" w:hAnsiTheme="majorEastAsia" w:eastAsiaTheme="majorEastAsia" w:cstheme="majorEastAsia"/>
                <w:b/>
                <w:bCs/>
                <w:color w:val="auto"/>
                <w:kern w:val="0"/>
                <w:sz w:val="21"/>
                <w:szCs w:val="21"/>
                <w:highlight w:val="none"/>
                <w:shd w:val="clear" w:color="auto" w:fill="FFFFFF"/>
                <w:lang w:eastAsia="zh-CN"/>
              </w:rPr>
            </w:pPr>
            <w:r>
              <w:rPr>
                <w:rFonts w:hint="eastAsia" w:asciiTheme="majorEastAsia" w:hAnsiTheme="majorEastAsia" w:eastAsiaTheme="majorEastAsia" w:cstheme="majorEastAsia"/>
                <w:b/>
                <w:bCs/>
                <w:color w:val="auto"/>
                <w:kern w:val="0"/>
                <w:sz w:val="21"/>
                <w:szCs w:val="21"/>
                <w:highlight w:val="none"/>
                <w:shd w:val="clear" w:color="auto" w:fill="FFFFFF"/>
                <w:lang w:eastAsia="zh-CN"/>
              </w:rPr>
              <w:t>中期验收（满</w:t>
            </w:r>
            <w:r>
              <w:rPr>
                <w:rFonts w:hint="eastAsia" w:asciiTheme="majorEastAsia" w:hAnsiTheme="majorEastAsia" w:eastAsiaTheme="majorEastAsia" w:cstheme="majorEastAsia"/>
                <w:b/>
                <w:bCs/>
                <w:color w:val="auto"/>
                <w:kern w:val="0"/>
                <w:sz w:val="21"/>
                <w:szCs w:val="21"/>
                <w:highlight w:val="none"/>
                <w:shd w:val="clear" w:color="auto" w:fill="FFFFFF"/>
                <w:lang w:val="en-US" w:eastAsia="zh-CN"/>
              </w:rPr>
              <w:t>9个月）产出数量</w:t>
            </w:r>
          </w:p>
        </w:tc>
        <w:tc>
          <w:tcPr>
            <w:tcW w:w="0" w:type="auto"/>
            <w:tcBorders>
              <w:top w:val="single" w:color="auto" w:sz="4" w:space="0"/>
              <w:left w:val="nil"/>
              <w:bottom w:val="single" w:color="auto" w:sz="4" w:space="0"/>
              <w:right w:val="single" w:color="auto" w:sz="4" w:space="0"/>
            </w:tcBorders>
            <w:noWrap w:val="0"/>
            <w:vAlign w:val="center"/>
          </w:tcPr>
          <w:p w14:paraId="54718B5A">
            <w:pPr>
              <w:keepNext w:val="0"/>
              <w:keepLines w:val="0"/>
              <w:pageBreakBefore w:val="0"/>
              <w:widowControl w:val="0"/>
              <w:kinsoku/>
              <w:wordWrap w:val="0"/>
              <w:overflowPunct/>
              <w:topLinePunct w:val="0"/>
              <w:autoSpaceDE/>
              <w:autoSpaceDN/>
              <w:bidi w:val="0"/>
              <w:adjustRightInd w:val="0"/>
              <w:snapToGrid w:val="0"/>
              <w:spacing w:line="460" w:lineRule="exact"/>
              <w:jc w:val="center"/>
              <w:textAlignment w:val="auto"/>
              <w:rPr>
                <w:rFonts w:hint="eastAsia" w:asciiTheme="majorEastAsia" w:hAnsiTheme="majorEastAsia" w:eastAsiaTheme="majorEastAsia" w:cstheme="majorEastAsia"/>
                <w:b/>
                <w:bCs/>
                <w:color w:val="auto"/>
                <w:kern w:val="0"/>
                <w:sz w:val="21"/>
                <w:szCs w:val="21"/>
                <w:highlight w:val="none"/>
                <w:shd w:val="clear" w:color="auto" w:fill="FFFFFF"/>
              </w:rPr>
            </w:pPr>
            <w:r>
              <w:rPr>
                <w:rFonts w:hint="eastAsia" w:asciiTheme="majorEastAsia" w:hAnsiTheme="majorEastAsia" w:eastAsiaTheme="majorEastAsia" w:cstheme="majorEastAsia"/>
                <w:b/>
                <w:bCs/>
                <w:color w:val="auto"/>
                <w:kern w:val="0"/>
                <w:sz w:val="21"/>
                <w:szCs w:val="21"/>
                <w:highlight w:val="none"/>
                <w:shd w:val="clear" w:color="auto" w:fill="FFFFFF"/>
              </w:rPr>
              <w:t>质量标准</w:t>
            </w:r>
          </w:p>
        </w:tc>
      </w:tr>
      <w:tr w14:paraId="69CC7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 w:type="dxa"/>
            <w:tcBorders>
              <w:top w:val="single" w:color="auto" w:sz="4" w:space="0"/>
              <w:left w:val="single" w:color="auto" w:sz="4" w:space="0"/>
              <w:bottom w:val="single" w:color="auto" w:sz="4" w:space="0"/>
              <w:right w:val="single" w:color="auto" w:sz="4" w:space="0"/>
            </w:tcBorders>
            <w:noWrap w:val="0"/>
            <w:vAlign w:val="center"/>
          </w:tcPr>
          <w:p w14:paraId="18B03F26">
            <w:pPr>
              <w:keepNext w:val="0"/>
              <w:keepLines w:val="0"/>
              <w:pageBreakBefore w:val="0"/>
              <w:widowControl w:val="0"/>
              <w:kinsoku/>
              <w:wordWrap w:val="0"/>
              <w:overflowPunct/>
              <w:topLinePunct w:val="0"/>
              <w:autoSpaceDE/>
              <w:autoSpaceDN/>
              <w:bidi w:val="0"/>
              <w:adjustRightInd w:val="0"/>
              <w:snapToGrid w:val="0"/>
              <w:spacing w:line="460" w:lineRule="exact"/>
              <w:jc w:val="center"/>
              <w:textAlignment w:val="auto"/>
              <w:rPr>
                <w:rFonts w:hint="eastAsia" w:asciiTheme="majorEastAsia" w:hAnsiTheme="majorEastAsia" w:eastAsiaTheme="majorEastAsia" w:cstheme="majorEastAsia"/>
                <w:color w:val="auto"/>
                <w:kern w:val="0"/>
                <w:sz w:val="21"/>
                <w:szCs w:val="21"/>
                <w:highlight w:val="none"/>
                <w:shd w:val="clear" w:color="auto" w:fill="FFFFFF"/>
              </w:rPr>
            </w:pPr>
            <w:r>
              <w:rPr>
                <w:rFonts w:hint="eastAsia" w:asciiTheme="majorEastAsia" w:hAnsiTheme="majorEastAsia" w:eastAsiaTheme="majorEastAsia" w:cstheme="majorEastAsia"/>
                <w:color w:val="auto"/>
                <w:kern w:val="0"/>
                <w:sz w:val="21"/>
                <w:szCs w:val="21"/>
                <w:highlight w:val="none"/>
                <w:shd w:val="clear" w:color="auto" w:fill="FFFFFF"/>
              </w:rPr>
              <w:t>1</w:t>
            </w:r>
          </w:p>
        </w:tc>
        <w:tc>
          <w:tcPr>
            <w:tcW w:w="2024" w:type="dxa"/>
            <w:tcBorders>
              <w:top w:val="single" w:color="auto" w:sz="4" w:space="0"/>
              <w:left w:val="nil"/>
              <w:bottom w:val="single" w:color="auto" w:sz="4" w:space="0"/>
              <w:right w:val="single" w:color="auto" w:sz="4" w:space="0"/>
            </w:tcBorders>
            <w:noWrap w:val="0"/>
            <w:vAlign w:val="center"/>
          </w:tcPr>
          <w:p w14:paraId="0DAC717F">
            <w:pPr>
              <w:keepNext w:val="0"/>
              <w:keepLines w:val="0"/>
              <w:pageBreakBefore w:val="0"/>
              <w:widowControl w:val="0"/>
              <w:kinsoku/>
              <w:wordWrap/>
              <w:overflowPunct/>
              <w:topLinePunct w:val="0"/>
              <w:autoSpaceDE w:val="0"/>
              <w:autoSpaceDN w:val="0"/>
              <w:bidi w:val="0"/>
              <w:adjustRightInd/>
              <w:snapToGrid/>
              <w:spacing w:line="460" w:lineRule="exact"/>
              <w:ind w:firstLine="0" w:firstLineChars="0"/>
              <w:jc w:val="left"/>
              <w:textAlignment w:val="auto"/>
              <w:rPr>
                <w:rFonts w:hint="eastAsia" w:asciiTheme="majorEastAsia" w:hAnsiTheme="majorEastAsia" w:eastAsiaTheme="majorEastAsia" w:cstheme="majorEastAsia"/>
                <w:color w:val="auto"/>
                <w:kern w:val="0"/>
                <w:sz w:val="21"/>
                <w:szCs w:val="21"/>
                <w:highlight w:val="none"/>
                <w:shd w:val="clear" w:color="auto" w:fill="FFFFFF"/>
              </w:rPr>
            </w:pPr>
            <w:r>
              <w:rPr>
                <w:rFonts w:hint="eastAsia" w:asciiTheme="majorEastAsia" w:hAnsiTheme="majorEastAsia" w:eastAsiaTheme="majorEastAsia" w:cstheme="majorEastAsia"/>
                <w:color w:val="auto"/>
                <w:kern w:val="0"/>
                <w:sz w:val="21"/>
                <w:szCs w:val="21"/>
                <w:highlight w:val="none"/>
              </w:rPr>
              <w:t>为站外流浪人员提供救助服务</w:t>
            </w:r>
          </w:p>
        </w:tc>
        <w:tc>
          <w:tcPr>
            <w:tcW w:w="0" w:type="auto"/>
            <w:tcBorders>
              <w:top w:val="single" w:color="auto" w:sz="4" w:space="0"/>
              <w:left w:val="nil"/>
              <w:bottom w:val="single" w:color="auto" w:sz="4" w:space="0"/>
              <w:right w:val="single" w:color="auto" w:sz="4" w:space="0"/>
            </w:tcBorders>
            <w:noWrap w:val="0"/>
            <w:vAlign w:val="center"/>
          </w:tcPr>
          <w:p w14:paraId="072DA2E9">
            <w:pPr>
              <w:keepNext w:val="0"/>
              <w:keepLines w:val="0"/>
              <w:pageBreakBefore w:val="0"/>
              <w:widowControl w:val="0"/>
              <w:kinsoku/>
              <w:wordWrap/>
              <w:overflowPunct/>
              <w:topLinePunct w:val="0"/>
              <w:autoSpaceDE w:val="0"/>
              <w:autoSpaceDN w:val="0"/>
              <w:bidi w:val="0"/>
              <w:adjustRightInd/>
              <w:snapToGrid/>
              <w:spacing w:line="460" w:lineRule="exact"/>
              <w:ind w:firstLine="0" w:firstLineChars="0"/>
              <w:jc w:val="center"/>
              <w:textAlignment w:val="auto"/>
              <w:rPr>
                <w:rFonts w:hint="eastAsia" w:asciiTheme="majorEastAsia" w:hAnsiTheme="majorEastAsia" w:eastAsiaTheme="majorEastAsia" w:cstheme="majorEastAsia"/>
                <w:color w:val="auto"/>
                <w:kern w:val="0"/>
                <w:sz w:val="21"/>
                <w:szCs w:val="21"/>
                <w:highlight w:val="none"/>
                <w:shd w:val="clear" w:color="auto" w:fill="FFFFFF"/>
              </w:rPr>
            </w:pPr>
            <w:r>
              <w:rPr>
                <w:rFonts w:hint="eastAsia" w:asciiTheme="majorEastAsia" w:hAnsiTheme="majorEastAsia" w:eastAsiaTheme="majorEastAsia" w:cstheme="majorEastAsia"/>
                <w:color w:val="auto"/>
                <w:kern w:val="0"/>
                <w:sz w:val="21"/>
                <w:szCs w:val="21"/>
                <w:highlight w:val="none"/>
                <w:lang w:val="en-US" w:eastAsia="zh-CN"/>
              </w:rPr>
              <w:t>2083</w:t>
            </w:r>
            <w:r>
              <w:rPr>
                <w:rFonts w:hint="eastAsia" w:asciiTheme="majorEastAsia" w:hAnsiTheme="majorEastAsia" w:eastAsiaTheme="majorEastAsia" w:cstheme="majorEastAsia"/>
                <w:color w:val="auto"/>
                <w:kern w:val="0"/>
                <w:sz w:val="21"/>
                <w:szCs w:val="21"/>
                <w:highlight w:val="none"/>
              </w:rPr>
              <w:t>人次</w:t>
            </w:r>
          </w:p>
        </w:tc>
        <w:tc>
          <w:tcPr>
            <w:tcW w:w="0" w:type="auto"/>
            <w:tcBorders>
              <w:top w:val="single" w:color="auto" w:sz="4" w:space="0"/>
              <w:left w:val="nil"/>
              <w:bottom w:val="single" w:color="auto" w:sz="4" w:space="0"/>
              <w:right w:val="single" w:color="auto" w:sz="4" w:space="0"/>
            </w:tcBorders>
            <w:noWrap w:val="0"/>
            <w:vAlign w:val="center"/>
          </w:tcPr>
          <w:p w14:paraId="6226D3F8">
            <w:pPr>
              <w:keepNext w:val="0"/>
              <w:keepLines w:val="0"/>
              <w:pageBreakBefore w:val="0"/>
              <w:widowControl w:val="0"/>
              <w:kinsoku/>
              <w:wordWrap/>
              <w:overflowPunct/>
              <w:topLinePunct w:val="0"/>
              <w:autoSpaceDE w:val="0"/>
              <w:autoSpaceDN w:val="0"/>
              <w:bidi w:val="0"/>
              <w:adjustRightInd/>
              <w:snapToGrid/>
              <w:spacing w:line="460" w:lineRule="exact"/>
              <w:ind w:firstLine="0" w:firstLineChars="0"/>
              <w:jc w:val="center"/>
              <w:textAlignment w:val="auto"/>
              <w:rPr>
                <w:rFonts w:hint="eastAsia" w:asciiTheme="majorEastAsia" w:hAnsiTheme="majorEastAsia" w:eastAsiaTheme="majorEastAsia" w:cstheme="majorEastAsia"/>
                <w:color w:val="auto"/>
                <w:kern w:val="0"/>
                <w:sz w:val="21"/>
                <w:szCs w:val="21"/>
                <w:highlight w:val="none"/>
                <w:lang w:val="en-US" w:eastAsia="zh-CN" w:bidi="ar"/>
              </w:rPr>
            </w:pPr>
            <w:r>
              <w:rPr>
                <w:rFonts w:hint="eastAsia" w:asciiTheme="majorEastAsia" w:hAnsiTheme="majorEastAsia" w:eastAsiaTheme="majorEastAsia" w:cstheme="majorEastAsia"/>
                <w:color w:val="auto"/>
                <w:kern w:val="0"/>
                <w:sz w:val="21"/>
                <w:szCs w:val="21"/>
                <w:highlight w:val="none"/>
                <w:lang w:val="en-US" w:eastAsia="zh-CN" w:bidi="ar"/>
              </w:rPr>
              <w:t>1563人次</w:t>
            </w:r>
          </w:p>
        </w:tc>
        <w:tc>
          <w:tcPr>
            <w:tcW w:w="0" w:type="auto"/>
            <w:tcBorders>
              <w:top w:val="single" w:color="auto" w:sz="4" w:space="0"/>
              <w:left w:val="nil"/>
              <w:bottom w:val="single" w:color="auto" w:sz="4" w:space="0"/>
              <w:right w:val="single" w:color="auto" w:sz="4" w:space="0"/>
            </w:tcBorders>
            <w:noWrap w:val="0"/>
            <w:vAlign w:val="center"/>
          </w:tcPr>
          <w:p w14:paraId="2C27D581">
            <w:pPr>
              <w:keepNext w:val="0"/>
              <w:keepLines w:val="0"/>
              <w:pageBreakBefore w:val="0"/>
              <w:widowControl w:val="0"/>
              <w:kinsoku/>
              <w:wordWrap/>
              <w:overflowPunct/>
              <w:topLinePunct w:val="0"/>
              <w:autoSpaceDE w:val="0"/>
              <w:autoSpaceDN w:val="0"/>
              <w:bidi w:val="0"/>
              <w:adjustRightInd/>
              <w:snapToGrid/>
              <w:spacing w:line="460" w:lineRule="exact"/>
              <w:ind w:firstLine="0" w:firstLineChars="0"/>
              <w:jc w:val="left"/>
              <w:textAlignment w:val="auto"/>
              <w:rPr>
                <w:rFonts w:hint="eastAsia" w:asciiTheme="majorEastAsia" w:hAnsiTheme="majorEastAsia" w:eastAsiaTheme="majorEastAsia" w:cstheme="majorEastAsia"/>
                <w:color w:val="auto"/>
                <w:kern w:val="0"/>
                <w:sz w:val="21"/>
                <w:szCs w:val="21"/>
                <w:highlight w:val="none"/>
                <w:shd w:val="clear" w:color="auto" w:fill="FFFFFF"/>
              </w:rPr>
            </w:pPr>
            <w:r>
              <w:rPr>
                <w:rFonts w:hint="eastAsia" w:asciiTheme="majorEastAsia" w:hAnsiTheme="majorEastAsia" w:eastAsiaTheme="majorEastAsia" w:cstheme="majorEastAsia"/>
                <w:color w:val="auto"/>
                <w:kern w:val="0"/>
                <w:sz w:val="21"/>
                <w:szCs w:val="21"/>
                <w:highlight w:val="none"/>
                <w:lang w:bidi="ar"/>
              </w:rPr>
              <w:t>有建档立卡，人像、身份信息清晰</w:t>
            </w:r>
          </w:p>
        </w:tc>
      </w:tr>
      <w:tr w14:paraId="4FD70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507" w:type="dxa"/>
            <w:tcBorders>
              <w:top w:val="single" w:color="auto" w:sz="4" w:space="0"/>
              <w:left w:val="single" w:color="auto" w:sz="4" w:space="0"/>
              <w:bottom w:val="single" w:color="auto" w:sz="4" w:space="0"/>
              <w:right w:val="single" w:color="auto" w:sz="4" w:space="0"/>
            </w:tcBorders>
            <w:noWrap w:val="0"/>
            <w:vAlign w:val="center"/>
          </w:tcPr>
          <w:p w14:paraId="6776C104">
            <w:pPr>
              <w:keepNext w:val="0"/>
              <w:keepLines w:val="0"/>
              <w:pageBreakBefore w:val="0"/>
              <w:widowControl w:val="0"/>
              <w:kinsoku/>
              <w:wordWrap w:val="0"/>
              <w:overflowPunct/>
              <w:topLinePunct w:val="0"/>
              <w:autoSpaceDE/>
              <w:autoSpaceDN/>
              <w:bidi w:val="0"/>
              <w:adjustRightInd w:val="0"/>
              <w:snapToGrid w:val="0"/>
              <w:spacing w:line="460" w:lineRule="exact"/>
              <w:jc w:val="center"/>
              <w:textAlignment w:val="auto"/>
              <w:rPr>
                <w:rFonts w:hint="eastAsia" w:asciiTheme="majorEastAsia" w:hAnsiTheme="majorEastAsia" w:eastAsiaTheme="majorEastAsia" w:cstheme="majorEastAsia"/>
                <w:color w:val="auto"/>
                <w:kern w:val="0"/>
                <w:sz w:val="21"/>
                <w:szCs w:val="21"/>
                <w:highlight w:val="none"/>
                <w:shd w:val="clear" w:color="auto" w:fill="FFFFFF"/>
              </w:rPr>
            </w:pPr>
            <w:r>
              <w:rPr>
                <w:rFonts w:hint="eastAsia" w:asciiTheme="majorEastAsia" w:hAnsiTheme="majorEastAsia" w:eastAsiaTheme="majorEastAsia" w:cstheme="majorEastAsia"/>
                <w:color w:val="auto"/>
                <w:kern w:val="0"/>
                <w:sz w:val="21"/>
                <w:szCs w:val="21"/>
                <w:highlight w:val="none"/>
                <w:shd w:val="clear" w:color="auto" w:fill="FFFFFF"/>
              </w:rPr>
              <w:t>2</w:t>
            </w:r>
          </w:p>
        </w:tc>
        <w:tc>
          <w:tcPr>
            <w:tcW w:w="2024" w:type="dxa"/>
            <w:tcBorders>
              <w:top w:val="single" w:color="auto" w:sz="4" w:space="0"/>
              <w:left w:val="nil"/>
              <w:bottom w:val="single" w:color="auto" w:sz="4" w:space="0"/>
              <w:right w:val="single" w:color="auto" w:sz="4" w:space="0"/>
            </w:tcBorders>
            <w:noWrap w:val="0"/>
            <w:vAlign w:val="center"/>
          </w:tcPr>
          <w:p w14:paraId="08DFEC82">
            <w:pPr>
              <w:keepNext w:val="0"/>
              <w:keepLines w:val="0"/>
              <w:pageBreakBefore w:val="0"/>
              <w:widowControl w:val="0"/>
              <w:kinsoku/>
              <w:wordWrap/>
              <w:overflowPunct/>
              <w:topLinePunct w:val="0"/>
              <w:autoSpaceDE w:val="0"/>
              <w:autoSpaceDN w:val="0"/>
              <w:bidi w:val="0"/>
              <w:adjustRightInd/>
              <w:snapToGrid/>
              <w:spacing w:line="460" w:lineRule="exact"/>
              <w:ind w:firstLine="0" w:firstLineChars="0"/>
              <w:jc w:val="left"/>
              <w:textAlignment w:val="auto"/>
              <w:rPr>
                <w:rFonts w:hint="eastAsia" w:asciiTheme="majorEastAsia" w:hAnsiTheme="majorEastAsia" w:eastAsiaTheme="majorEastAsia" w:cstheme="majorEastAsia"/>
                <w:color w:val="auto"/>
                <w:kern w:val="0"/>
                <w:sz w:val="21"/>
                <w:szCs w:val="21"/>
                <w:highlight w:val="none"/>
                <w:shd w:val="clear" w:color="auto" w:fill="FFFFFF"/>
              </w:rPr>
            </w:pPr>
            <w:r>
              <w:rPr>
                <w:rFonts w:hint="eastAsia" w:asciiTheme="majorEastAsia" w:hAnsiTheme="majorEastAsia" w:eastAsiaTheme="majorEastAsia" w:cstheme="majorEastAsia"/>
                <w:color w:val="auto"/>
                <w:kern w:val="0"/>
                <w:sz w:val="21"/>
                <w:szCs w:val="21"/>
                <w:highlight w:val="none"/>
              </w:rPr>
              <w:t>核实流浪人员身份</w:t>
            </w:r>
          </w:p>
        </w:tc>
        <w:tc>
          <w:tcPr>
            <w:tcW w:w="0" w:type="auto"/>
            <w:tcBorders>
              <w:top w:val="single" w:color="auto" w:sz="4" w:space="0"/>
              <w:left w:val="nil"/>
              <w:bottom w:val="single" w:color="auto" w:sz="4" w:space="0"/>
              <w:right w:val="single" w:color="auto" w:sz="4" w:space="0"/>
            </w:tcBorders>
            <w:noWrap w:val="0"/>
            <w:vAlign w:val="center"/>
          </w:tcPr>
          <w:p w14:paraId="39608C94">
            <w:pPr>
              <w:keepNext w:val="0"/>
              <w:keepLines w:val="0"/>
              <w:pageBreakBefore w:val="0"/>
              <w:widowControl w:val="0"/>
              <w:kinsoku/>
              <w:wordWrap/>
              <w:overflowPunct/>
              <w:topLinePunct w:val="0"/>
              <w:autoSpaceDE w:val="0"/>
              <w:autoSpaceDN w:val="0"/>
              <w:bidi w:val="0"/>
              <w:adjustRightInd/>
              <w:snapToGrid/>
              <w:spacing w:line="460" w:lineRule="exact"/>
              <w:ind w:firstLine="0" w:firstLineChars="0"/>
              <w:jc w:val="center"/>
              <w:textAlignment w:val="auto"/>
              <w:rPr>
                <w:rFonts w:hint="eastAsia" w:asciiTheme="majorEastAsia" w:hAnsiTheme="majorEastAsia" w:eastAsiaTheme="majorEastAsia" w:cstheme="majorEastAsia"/>
                <w:color w:val="auto"/>
                <w:kern w:val="0"/>
                <w:sz w:val="21"/>
                <w:szCs w:val="21"/>
                <w:highlight w:val="none"/>
                <w:shd w:val="clear" w:color="auto" w:fill="FFFFFF"/>
              </w:rPr>
            </w:pPr>
            <w:r>
              <w:rPr>
                <w:rFonts w:hint="eastAsia" w:asciiTheme="majorEastAsia" w:hAnsiTheme="majorEastAsia" w:eastAsiaTheme="majorEastAsia" w:cstheme="majorEastAsia"/>
                <w:color w:val="auto"/>
                <w:kern w:val="0"/>
                <w:sz w:val="21"/>
                <w:szCs w:val="21"/>
                <w:highlight w:val="none"/>
                <w:lang w:val="en-US" w:eastAsia="zh-CN"/>
              </w:rPr>
              <w:t>292</w:t>
            </w:r>
            <w:r>
              <w:rPr>
                <w:rFonts w:hint="eastAsia" w:asciiTheme="majorEastAsia" w:hAnsiTheme="majorEastAsia" w:eastAsiaTheme="majorEastAsia" w:cstheme="majorEastAsia"/>
                <w:color w:val="auto"/>
                <w:kern w:val="0"/>
                <w:sz w:val="21"/>
                <w:szCs w:val="21"/>
                <w:highlight w:val="none"/>
              </w:rPr>
              <w:t>人次</w:t>
            </w:r>
          </w:p>
        </w:tc>
        <w:tc>
          <w:tcPr>
            <w:tcW w:w="0" w:type="auto"/>
            <w:tcBorders>
              <w:top w:val="single" w:color="auto" w:sz="4" w:space="0"/>
              <w:left w:val="nil"/>
              <w:bottom w:val="single" w:color="auto" w:sz="4" w:space="0"/>
              <w:right w:val="single" w:color="auto" w:sz="4" w:space="0"/>
            </w:tcBorders>
            <w:noWrap w:val="0"/>
            <w:vAlign w:val="center"/>
          </w:tcPr>
          <w:p w14:paraId="7E47F222">
            <w:pPr>
              <w:keepNext w:val="0"/>
              <w:keepLines w:val="0"/>
              <w:pageBreakBefore w:val="0"/>
              <w:widowControl w:val="0"/>
              <w:kinsoku/>
              <w:wordWrap/>
              <w:overflowPunct/>
              <w:topLinePunct w:val="0"/>
              <w:autoSpaceDE w:val="0"/>
              <w:autoSpaceDN w:val="0"/>
              <w:bidi w:val="0"/>
              <w:adjustRightInd/>
              <w:snapToGrid/>
              <w:spacing w:line="460" w:lineRule="exact"/>
              <w:ind w:left="0" w:leftChars="0" w:firstLine="0" w:firstLineChars="0"/>
              <w:jc w:val="center"/>
              <w:textAlignment w:val="auto"/>
              <w:rPr>
                <w:rFonts w:hint="eastAsia" w:asciiTheme="majorEastAsia" w:hAnsiTheme="majorEastAsia" w:eastAsiaTheme="majorEastAsia" w:cstheme="majorEastAsia"/>
                <w:color w:val="auto"/>
                <w:kern w:val="0"/>
                <w:sz w:val="21"/>
                <w:szCs w:val="21"/>
                <w:highlight w:val="none"/>
                <w:lang w:bidi="ar"/>
              </w:rPr>
            </w:pPr>
            <w:r>
              <w:rPr>
                <w:rFonts w:hint="eastAsia" w:asciiTheme="majorEastAsia" w:hAnsiTheme="majorEastAsia" w:eastAsiaTheme="majorEastAsia" w:cstheme="majorEastAsia"/>
                <w:color w:val="auto"/>
                <w:kern w:val="0"/>
                <w:sz w:val="21"/>
                <w:szCs w:val="21"/>
                <w:highlight w:val="none"/>
                <w:lang w:val="en-US" w:eastAsia="zh-CN"/>
              </w:rPr>
              <w:t>218</w:t>
            </w:r>
            <w:r>
              <w:rPr>
                <w:rFonts w:hint="eastAsia" w:asciiTheme="majorEastAsia" w:hAnsiTheme="majorEastAsia" w:eastAsiaTheme="majorEastAsia" w:cstheme="majorEastAsia"/>
                <w:color w:val="auto"/>
                <w:kern w:val="0"/>
                <w:sz w:val="21"/>
                <w:szCs w:val="21"/>
                <w:highlight w:val="none"/>
              </w:rPr>
              <w:t>人次</w:t>
            </w:r>
          </w:p>
        </w:tc>
        <w:tc>
          <w:tcPr>
            <w:tcW w:w="0" w:type="auto"/>
            <w:tcBorders>
              <w:top w:val="single" w:color="auto" w:sz="4" w:space="0"/>
              <w:left w:val="nil"/>
              <w:bottom w:val="single" w:color="auto" w:sz="4" w:space="0"/>
              <w:right w:val="single" w:color="auto" w:sz="4" w:space="0"/>
            </w:tcBorders>
            <w:noWrap w:val="0"/>
            <w:vAlign w:val="center"/>
          </w:tcPr>
          <w:p w14:paraId="0A1D10B9">
            <w:pPr>
              <w:keepNext w:val="0"/>
              <w:keepLines w:val="0"/>
              <w:pageBreakBefore w:val="0"/>
              <w:widowControl w:val="0"/>
              <w:kinsoku/>
              <w:wordWrap/>
              <w:overflowPunct/>
              <w:topLinePunct w:val="0"/>
              <w:autoSpaceDE w:val="0"/>
              <w:autoSpaceDN w:val="0"/>
              <w:bidi w:val="0"/>
              <w:adjustRightInd/>
              <w:snapToGrid/>
              <w:spacing w:line="460" w:lineRule="exact"/>
              <w:ind w:left="0" w:leftChars="0" w:firstLine="0" w:firstLineChars="0"/>
              <w:jc w:val="left"/>
              <w:textAlignment w:val="auto"/>
              <w:rPr>
                <w:rFonts w:hint="eastAsia" w:asciiTheme="majorEastAsia" w:hAnsiTheme="majorEastAsia" w:eastAsiaTheme="majorEastAsia" w:cstheme="majorEastAsia"/>
                <w:color w:val="auto"/>
                <w:kern w:val="0"/>
                <w:sz w:val="21"/>
                <w:szCs w:val="21"/>
                <w:highlight w:val="none"/>
                <w:shd w:val="clear" w:color="auto" w:fill="FFFFFF"/>
              </w:rPr>
            </w:pPr>
            <w:r>
              <w:rPr>
                <w:rFonts w:hint="eastAsia" w:asciiTheme="majorEastAsia" w:hAnsiTheme="majorEastAsia" w:eastAsiaTheme="majorEastAsia" w:cstheme="majorEastAsia"/>
                <w:color w:val="auto"/>
                <w:kern w:val="0"/>
                <w:sz w:val="21"/>
                <w:szCs w:val="21"/>
                <w:highlight w:val="none"/>
                <w:lang w:bidi="ar"/>
              </w:rPr>
              <w:t>身份信息真实有效</w:t>
            </w:r>
          </w:p>
        </w:tc>
      </w:tr>
      <w:tr w14:paraId="7EF3F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 w:type="dxa"/>
            <w:tcBorders>
              <w:top w:val="single" w:color="auto" w:sz="4" w:space="0"/>
              <w:left w:val="single" w:color="auto" w:sz="4" w:space="0"/>
              <w:bottom w:val="single" w:color="auto" w:sz="4" w:space="0"/>
              <w:right w:val="single" w:color="auto" w:sz="4" w:space="0"/>
            </w:tcBorders>
            <w:noWrap w:val="0"/>
            <w:vAlign w:val="center"/>
          </w:tcPr>
          <w:p w14:paraId="67F7B890">
            <w:pPr>
              <w:keepNext w:val="0"/>
              <w:keepLines w:val="0"/>
              <w:pageBreakBefore w:val="0"/>
              <w:widowControl w:val="0"/>
              <w:kinsoku/>
              <w:wordWrap w:val="0"/>
              <w:overflowPunct/>
              <w:topLinePunct w:val="0"/>
              <w:autoSpaceDE/>
              <w:autoSpaceDN/>
              <w:bidi w:val="0"/>
              <w:adjustRightInd w:val="0"/>
              <w:snapToGrid w:val="0"/>
              <w:spacing w:line="460" w:lineRule="exact"/>
              <w:jc w:val="center"/>
              <w:textAlignment w:val="auto"/>
              <w:rPr>
                <w:rFonts w:hint="eastAsia" w:asciiTheme="majorEastAsia" w:hAnsiTheme="majorEastAsia" w:eastAsiaTheme="majorEastAsia" w:cstheme="majorEastAsia"/>
                <w:color w:val="auto"/>
                <w:kern w:val="0"/>
                <w:sz w:val="21"/>
                <w:szCs w:val="21"/>
                <w:highlight w:val="none"/>
                <w:shd w:val="clear" w:color="auto" w:fill="FFFFFF"/>
              </w:rPr>
            </w:pPr>
            <w:r>
              <w:rPr>
                <w:rFonts w:hint="eastAsia" w:asciiTheme="majorEastAsia" w:hAnsiTheme="majorEastAsia" w:eastAsiaTheme="majorEastAsia" w:cstheme="majorEastAsia"/>
                <w:color w:val="auto"/>
                <w:kern w:val="0"/>
                <w:sz w:val="21"/>
                <w:szCs w:val="21"/>
                <w:highlight w:val="none"/>
                <w:shd w:val="clear" w:color="auto" w:fill="FFFFFF"/>
              </w:rPr>
              <w:t>3</w:t>
            </w:r>
          </w:p>
        </w:tc>
        <w:tc>
          <w:tcPr>
            <w:tcW w:w="2024" w:type="dxa"/>
            <w:tcBorders>
              <w:top w:val="single" w:color="auto" w:sz="4" w:space="0"/>
              <w:left w:val="nil"/>
              <w:bottom w:val="single" w:color="auto" w:sz="4" w:space="0"/>
              <w:right w:val="single" w:color="auto" w:sz="4" w:space="0"/>
            </w:tcBorders>
            <w:noWrap w:val="0"/>
            <w:vAlign w:val="center"/>
          </w:tcPr>
          <w:p w14:paraId="4AEFE65F">
            <w:pPr>
              <w:keepNext w:val="0"/>
              <w:keepLines w:val="0"/>
              <w:pageBreakBefore w:val="0"/>
              <w:widowControl w:val="0"/>
              <w:kinsoku/>
              <w:wordWrap/>
              <w:overflowPunct/>
              <w:topLinePunct w:val="0"/>
              <w:autoSpaceDE w:val="0"/>
              <w:autoSpaceDN w:val="0"/>
              <w:bidi w:val="0"/>
              <w:adjustRightInd/>
              <w:snapToGrid/>
              <w:spacing w:line="460" w:lineRule="exact"/>
              <w:ind w:firstLine="0" w:firstLineChars="0"/>
              <w:jc w:val="left"/>
              <w:textAlignment w:val="auto"/>
              <w:rPr>
                <w:rFonts w:hint="eastAsia" w:asciiTheme="majorEastAsia" w:hAnsiTheme="majorEastAsia" w:eastAsiaTheme="majorEastAsia" w:cstheme="majorEastAsia"/>
                <w:color w:val="auto"/>
                <w:kern w:val="0"/>
                <w:sz w:val="21"/>
                <w:szCs w:val="21"/>
                <w:highlight w:val="none"/>
                <w:shd w:val="clear" w:color="auto" w:fill="FFFFFF"/>
              </w:rPr>
            </w:pPr>
            <w:r>
              <w:rPr>
                <w:rFonts w:hint="eastAsia" w:asciiTheme="majorEastAsia" w:hAnsiTheme="majorEastAsia" w:eastAsiaTheme="majorEastAsia" w:cstheme="majorEastAsia"/>
                <w:color w:val="auto"/>
                <w:kern w:val="0"/>
                <w:sz w:val="21"/>
                <w:szCs w:val="21"/>
                <w:highlight w:val="none"/>
              </w:rPr>
              <w:t>劝导流浪人员入站接受救助或者到医院接受救治</w:t>
            </w:r>
          </w:p>
        </w:tc>
        <w:tc>
          <w:tcPr>
            <w:tcW w:w="0" w:type="auto"/>
            <w:tcBorders>
              <w:top w:val="single" w:color="auto" w:sz="4" w:space="0"/>
              <w:left w:val="nil"/>
              <w:bottom w:val="single" w:color="auto" w:sz="4" w:space="0"/>
              <w:right w:val="single" w:color="auto" w:sz="4" w:space="0"/>
            </w:tcBorders>
            <w:noWrap w:val="0"/>
            <w:vAlign w:val="center"/>
          </w:tcPr>
          <w:p w14:paraId="4A8019D7">
            <w:pPr>
              <w:keepNext w:val="0"/>
              <w:keepLines w:val="0"/>
              <w:pageBreakBefore w:val="0"/>
              <w:widowControl w:val="0"/>
              <w:kinsoku/>
              <w:wordWrap/>
              <w:overflowPunct/>
              <w:topLinePunct w:val="0"/>
              <w:autoSpaceDE w:val="0"/>
              <w:autoSpaceDN w:val="0"/>
              <w:bidi w:val="0"/>
              <w:adjustRightInd/>
              <w:snapToGrid/>
              <w:spacing w:line="460" w:lineRule="exact"/>
              <w:ind w:firstLine="0" w:firstLineChars="0"/>
              <w:jc w:val="center"/>
              <w:textAlignment w:val="auto"/>
              <w:rPr>
                <w:rFonts w:hint="eastAsia" w:asciiTheme="majorEastAsia" w:hAnsiTheme="majorEastAsia" w:eastAsiaTheme="majorEastAsia" w:cstheme="majorEastAsia"/>
                <w:color w:val="auto"/>
                <w:kern w:val="0"/>
                <w:sz w:val="21"/>
                <w:szCs w:val="21"/>
                <w:highlight w:val="none"/>
                <w:shd w:val="clear" w:color="auto" w:fill="FFFFFF"/>
              </w:rPr>
            </w:pPr>
            <w:r>
              <w:rPr>
                <w:rFonts w:hint="eastAsia" w:asciiTheme="majorEastAsia" w:hAnsiTheme="majorEastAsia" w:eastAsiaTheme="majorEastAsia" w:cstheme="majorEastAsia"/>
                <w:color w:val="auto"/>
                <w:kern w:val="0"/>
                <w:sz w:val="21"/>
                <w:szCs w:val="21"/>
                <w:highlight w:val="none"/>
                <w:lang w:val="en-US" w:eastAsia="zh-CN"/>
              </w:rPr>
              <w:t>129</w:t>
            </w:r>
            <w:r>
              <w:rPr>
                <w:rFonts w:hint="eastAsia" w:asciiTheme="majorEastAsia" w:hAnsiTheme="majorEastAsia" w:eastAsiaTheme="majorEastAsia" w:cstheme="majorEastAsia"/>
                <w:color w:val="auto"/>
                <w:kern w:val="0"/>
                <w:sz w:val="21"/>
                <w:szCs w:val="21"/>
                <w:highlight w:val="none"/>
              </w:rPr>
              <w:t>人次</w:t>
            </w:r>
          </w:p>
        </w:tc>
        <w:tc>
          <w:tcPr>
            <w:tcW w:w="0" w:type="auto"/>
            <w:tcBorders>
              <w:top w:val="single" w:color="auto" w:sz="4" w:space="0"/>
              <w:left w:val="nil"/>
              <w:bottom w:val="single" w:color="auto" w:sz="4" w:space="0"/>
              <w:right w:val="single" w:color="auto" w:sz="4" w:space="0"/>
            </w:tcBorders>
            <w:noWrap w:val="0"/>
            <w:vAlign w:val="center"/>
          </w:tcPr>
          <w:p w14:paraId="78D61136">
            <w:pPr>
              <w:keepNext w:val="0"/>
              <w:keepLines w:val="0"/>
              <w:pageBreakBefore w:val="0"/>
              <w:widowControl w:val="0"/>
              <w:kinsoku/>
              <w:wordWrap/>
              <w:overflowPunct/>
              <w:topLinePunct w:val="0"/>
              <w:autoSpaceDE w:val="0"/>
              <w:autoSpaceDN w:val="0"/>
              <w:bidi w:val="0"/>
              <w:adjustRightInd/>
              <w:snapToGrid/>
              <w:spacing w:line="460" w:lineRule="exact"/>
              <w:ind w:firstLine="0" w:firstLineChars="0"/>
              <w:jc w:val="center"/>
              <w:textAlignment w:val="auto"/>
              <w:rPr>
                <w:rFonts w:hint="eastAsia" w:asciiTheme="majorEastAsia" w:hAnsiTheme="majorEastAsia" w:eastAsiaTheme="majorEastAsia" w:cstheme="majorEastAsia"/>
                <w:color w:val="auto"/>
                <w:kern w:val="0"/>
                <w:sz w:val="21"/>
                <w:szCs w:val="21"/>
                <w:highlight w:val="none"/>
                <w:lang w:val="en-US" w:eastAsia="zh-CN" w:bidi="ar"/>
              </w:rPr>
            </w:pPr>
            <w:r>
              <w:rPr>
                <w:rFonts w:hint="eastAsia" w:asciiTheme="majorEastAsia" w:hAnsiTheme="majorEastAsia" w:eastAsiaTheme="majorEastAsia" w:cstheme="majorEastAsia"/>
                <w:color w:val="auto"/>
                <w:kern w:val="0"/>
                <w:sz w:val="21"/>
                <w:szCs w:val="21"/>
                <w:highlight w:val="none"/>
                <w:lang w:val="en-US" w:eastAsia="zh-CN" w:bidi="ar"/>
              </w:rPr>
              <w:t>97人次</w:t>
            </w:r>
          </w:p>
        </w:tc>
        <w:tc>
          <w:tcPr>
            <w:tcW w:w="0" w:type="auto"/>
            <w:tcBorders>
              <w:top w:val="single" w:color="auto" w:sz="4" w:space="0"/>
              <w:left w:val="nil"/>
              <w:bottom w:val="single" w:color="auto" w:sz="4" w:space="0"/>
              <w:right w:val="single" w:color="auto" w:sz="4" w:space="0"/>
            </w:tcBorders>
            <w:noWrap w:val="0"/>
            <w:vAlign w:val="center"/>
          </w:tcPr>
          <w:p w14:paraId="4900101D">
            <w:pPr>
              <w:keepNext w:val="0"/>
              <w:keepLines w:val="0"/>
              <w:pageBreakBefore w:val="0"/>
              <w:widowControl w:val="0"/>
              <w:kinsoku/>
              <w:wordWrap/>
              <w:overflowPunct/>
              <w:topLinePunct w:val="0"/>
              <w:autoSpaceDE w:val="0"/>
              <w:autoSpaceDN w:val="0"/>
              <w:bidi w:val="0"/>
              <w:adjustRightInd/>
              <w:snapToGrid/>
              <w:spacing w:line="460" w:lineRule="exact"/>
              <w:ind w:firstLine="0" w:firstLineChars="0"/>
              <w:jc w:val="left"/>
              <w:textAlignment w:val="auto"/>
              <w:rPr>
                <w:rFonts w:hint="eastAsia" w:asciiTheme="majorEastAsia" w:hAnsiTheme="majorEastAsia" w:eastAsiaTheme="majorEastAsia" w:cstheme="majorEastAsia"/>
                <w:color w:val="auto"/>
                <w:kern w:val="0"/>
                <w:sz w:val="21"/>
                <w:szCs w:val="21"/>
                <w:highlight w:val="none"/>
                <w:shd w:val="clear" w:color="auto" w:fill="FFFFFF"/>
              </w:rPr>
            </w:pPr>
            <w:r>
              <w:rPr>
                <w:rFonts w:hint="eastAsia" w:asciiTheme="majorEastAsia" w:hAnsiTheme="majorEastAsia" w:eastAsiaTheme="majorEastAsia" w:cstheme="majorEastAsia"/>
                <w:color w:val="auto"/>
                <w:kern w:val="0"/>
                <w:sz w:val="21"/>
                <w:szCs w:val="21"/>
                <w:highlight w:val="none"/>
                <w:lang w:bidi="ar"/>
              </w:rPr>
              <w:t>有清晰、规范的入站救助或就医手续</w:t>
            </w:r>
          </w:p>
        </w:tc>
      </w:tr>
      <w:tr w14:paraId="7DD14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 w:type="dxa"/>
            <w:tcBorders>
              <w:top w:val="single" w:color="auto" w:sz="4" w:space="0"/>
              <w:left w:val="single" w:color="auto" w:sz="4" w:space="0"/>
              <w:bottom w:val="single" w:color="auto" w:sz="4" w:space="0"/>
              <w:right w:val="single" w:color="auto" w:sz="4" w:space="0"/>
            </w:tcBorders>
            <w:noWrap w:val="0"/>
            <w:vAlign w:val="center"/>
          </w:tcPr>
          <w:p w14:paraId="16FE4122">
            <w:pPr>
              <w:keepNext w:val="0"/>
              <w:keepLines w:val="0"/>
              <w:pageBreakBefore w:val="0"/>
              <w:widowControl w:val="0"/>
              <w:kinsoku/>
              <w:wordWrap w:val="0"/>
              <w:overflowPunct/>
              <w:topLinePunct w:val="0"/>
              <w:autoSpaceDE/>
              <w:autoSpaceDN/>
              <w:bidi w:val="0"/>
              <w:adjustRightInd w:val="0"/>
              <w:snapToGrid w:val="0"/>
              <w:spacing w:line="460" w:lineRule="exact"/>
              <w:jc w:val="center"/>
              <w:textAlignment w:val="auto"/>
              <w:rPr>
                <w:rFonts w:hint="eastAsia" w:asciiTheme="majorEastAsia" w:hAnsiTheme="majorEastAsia" w:eastAsiaTheme="majorEastAsia" w:cstheme="majorEastAsia"/>
                <w:color w:val="auto"/>
                <w:kern w:val="0"/>
                <w:sz w:val="21"/>
                <w:szCs w:val="21"/>
                <w:highlight w:val="none"/>
                <w:shd w:val="clear" w:color="auto" w:fill="FFFFFF"/>
              </w:rPr>
            </w:pPr>
            <w:r>
              <w:rPr>
                <w:rFonts w:hint="eastAsia" w:asciiTheme="majorEastAsia" w:hAnsiTheme="majorEastAsia" w:eastAsiaTheme="majorEastAsia" w:cstheme="majorEastAsia"/>
                <w:color w:val="auto"/>
                <w:kern w:val="0"/>
                <w:sz w:val="21"/>
                <w:szCs w:val="21"/>
                <w:highlight w:val="none"/>
                <w:shd w:val="clear" w:color="auto" w:fill="FFFFFF"/>
              </w:rPr>
              <w:t>4</w:t>
            </w:r>
          </w:p>
        </w:tc>
        <w:tc>
          <w:tcPr>
            <w:tcW w:w="2024" w:type="dxa"/>
            <w:tcBorders>
              <w:top w:val="single" w:color="auto" w:sz="4" w:space="0"/>
              <w:left w:val="nil"/>
              <w:bottom w:val="single" w:color="auto" w:sz="4" w:space="0"/>
              <w:right w:val="single" w:color="auto" w:sz="4" w:space="0"/>
            </w:tcBorders>
            <w:noWrap w:val="0"/>
            <w:vAlign w:val="center"/>
          </w:tcPr>
          <w:p w14:paraId="57617E52">
            <w:pPr>
              <w:keepNext w:val="0"/>
              <w:keepLines w:val="0"/>
              <w:pageBreakBefore w:val="0"/>
              <w:widowControl w:val="0"/>
              <w:kinsoku/>
              <w:wordWrap/>
              <w:overflowPunct/>
              <w:topLinePunct w:val="0"/>
              <w:autoSpaceDE w:val="0"/>
              <w:autoSpaceDN w:val="0"/>
              <w:bidi w:val="0"/>
              <w:adjustRightInd/>
              <w:snapToGrid/>
              <w:spacing w:line="460" w:lineRule="exact"/>
              <w:ind w:firstLine="0" w:firstLineChars="0"/>
              <w:jc w:val="left"/>
              <w:textAlignment w:val="auto"/>
              <w:rPr>
                <w:rFonts w:hint="eastAsia" w:asciiTheme="majorEastAsia" w:hAnsiTheme="majorEastAsia" w:eastAsiaTheme="majorEastAsia" w:cstheme="majorEastAsia"/>
                <w:color w:val="auto"/>
                <w:kern w:val="0"/>
                <w:sz w:val="21"/>
                <w:szCs w:val="21"/>
                <w:highlight w:val="none"/>
                <w:shd w:val="clear" w:color="auto" w:fill="FFFFFF"/>
              </w:rPr>
            </w:pPr>
            <w:r>
              <w:rPr>
                <w:rFonts w:hint="eastAsia" w:asciiTheme="majorEastAsia" w:hAnsiTheme="majorEastAsia" w:eastAsiaTheme="majorEastAsia" w:cstheme="majorEastAsia"/>
                <w:color w:val="auto"/>
                <w:kern w:val="0"/>
                <w:sz w:val="21"/>
                <w:szCs w:val="21"/>
                <w:highlight w:val="none"/>
              </w:rPr>
              <w:t>联系流浪人员亲属来莞接领返乡</w:t>
            </w:r>
          </w:p>
        </w:tc>
        <w:tc>
          <w:tcPr>
            <w:tcW w:w="0" w:type="auto"/>
            <w:tcBorders>
              <w:top w:val="single" w:color="auto" w:sz="4" w:space="0"/>
              <w:left w:val="nil"/>
              <w:bottom w:val="single" w:color="auto" w:sz="4" w:space="0"/>
              <w:right w:val="single" w:color="auto" w:sz="4" w:space="0"/>
            </w:tcBorders>
            <w:noWrap w:val="0"/>
            <w:vAlign w:val="center"/>
          </w:tcPr>
          <w:p w14:paraId="00605874">
            <w:pPr>
              <w:keepNext w:val="0"/>
              <w:keepLines w:val="0"/>
              <w:pageBreakBefore w:val="0"/>
              <w:widowControl w:val="0"/>
              <w:kinsoku/>
              <w:wordWrap/>
              <w:overflowPunct/>
              <w:topLinePunct w:val="0"/>
              <w:autoSpaceDE w:val="0"/>
              <w:autoSpaceDN w:val="0"/>
              <w:bidi w:val="0"/>
              <w:adjustRightInd/>
              <w:snapToGrid/>
              <w:spacing w:line="460" w:lineRule="exact"/>
              <w:ind w:firstLine="0" w:firstLineChars="0"/>
              <w:jc w:val="center"/>
              <w:textAlignment w:val="auto"/>
              <w:rPr>
                <w:rFonts w:hint="eastAsia" w:asciiTheme="majorEastAsia" w:hAnsiTheme="majorEastAsia" w:eastAsiaTheme="majorEastAsia" w:cstheme="majorEastAsia"/>
                <w:color w:val="auto"/>
                <w:kern w:val="0"/>
                <w:sz w:val="21"/>
                <w:szCs w:val="21"/>
                <w:highlight w:val="none"/>
                <w:shd w:val="clear" w:color="auto" w:fill="FFFFFF"/>
              </w:rPr>
            </w:pPr>
            <w:r>
              <w:rPr>
                <w:rFonts w:hint="eastAsia" w:asciiTheme="majorEastAsia" w:hAnsiTheme="majorEastAsia" w:eastAsiaTheme="majorEastAsia" w:cstheme="majorEastAsia"/>
                <w:color w:val="auto"/>
                <w:kern w:val="0"/>
                <w:sz w:val="21"/>
                <w:szCs w:val="21"/>
                <w:highlight w:val="none"/>
                <w:lang w:val="en-US" w:eastAsia="zh-CN"/>
              </w:rPr>
              <w:t>17</w:t>
            </w:r>
            <w:r>
              <w:rPr>
                <w:rFonts w:hint="eastAsia" w:asciiTheme="majorEastAsia" w:hAnsiTheme="majorEastAsia" w:eastAsiaTheme="majorEastAsia" w:cstheme="majorEastAsia"/>
                <w:color w:val="auto"/>
                <w:kern w:val="0"/>
                <w:sz w:val="21"/>
                <w:szCs w:val="21"/>
                <w:highlight w:val="none"/>
              </w:rPr>
              <w:t>人次</w:t>
            </w:r>
          </w:p>
        </w:tc>
        <w:tc>
          <w:tcPr>
            <w:tcW w:w="0" w:type="auto"/>
            <w:tcBorders>
              <w:top w:val="single" w:color="auto" w:sz="4" w:space="0"/>
              <w:left w:val="nil"/>
              <w:bottom w:val="single" w:color="auto" w:sz="4" w:space="0"/>
              <w:right w:val="single" w:color="auto" w:sz="4" w:space="0"/>
            </w:tcBorders>
            <w:noWrap w:val="0"/>
            <w:vAlign w:val="center"/>
          </w:tcPr>
          <w:p w14:paraId="109EEE5B">
            <w:pPr>
              <w:keepNext w:val="0"/>
              <w:keepLines w:val="0"/>
              <w:pageBreakBefore w:val="0"/>
              <w:widowControl w:val="0"/>
              <w:kinsoku/>
              <w:wordWrap/>
              <w:overflowPunct/>
              <w:topLinePunct w:val="0"/>
              <w:autoSpaceDE w:val="0"/>
              <w:autoSpaceDN w:val="0"/>
              <w:bidi w:val="0"/>
              <w:adjustRightInd/>
              <w:snapToGrid/>
              <w:spacing w:line="460" w:lineRule="exact"/>
              <w:ind w:firstLine="0" w:firstLineChars="0"/>
              <w:jc w:val="center"/>
              <w:textAlignment w:val="auto"/>
              <w:rPr>
                <w:rFonts w:hint="eastAsia" w:asciiTheme="majorEastAsia" w:hAnsiTheme="majorEastAsia" w:eastAsiaTheme="majorEastAsia" w:cstheme="majorEastAsia"/>
                <w:color w:val="auto"/>
                <w:kern w:val="0"/>
                <w:sz w:val="21"/>
                <w:szCs w:val="21"/>
                <w:highlight w:val="none"/>
                <w:lang w:val="en-US" w:eastAsia="zh-CN" w:bidi="ar"/>
              </w:rPr>
            </w:pPr>
            <w:r>
              <w:rPr>
                <w:rFonts w:hint="eastAsia" w:asciiTheme="majorEastAsia" w:hAnsiTheme="majorEastAsia" w:eastAsiaTheme="majorEastAsia" w:cstheme="majorEastAsia"/>
                <w:color w:val="auto"/>
                <w:kern w:val="0"/>
                <w:sz w:val="21"/>
                <w:szCs w:val="21"/>
                <w:highlight w:val="none"/>
                <w:lang w:val="en-US" w:eastAsia="zh-CN" w:bidi="ar"/>
              </w:rPr>
              <w:t>13人次</w:t>
            </w:r>
          </w:p>
        </w:tc>
        <w:tc>
          <w:tcPr>
            <w:tcW w:w="0" w:type="auto"/>
            <w:tcBorders>
              <w:top w:val="single" w:color="auto" w:sz="4" w:space="0"/>
              <w:left w:val="nil"/>
              <w:bottom w:val="single" w:color="auto" w:sz="4" w:space="0"/>
              <w:right w:val="single" w:color="auto" w:sz="4" w:space="0"/>
            </w:tcBorders>
            <w:noWrap w:val="0"/>
            <w:vAlign w:val="center"/>
          </w:tcPr>
          <w:p w14:paraId="2ED3E8A4">
            <w:pPr>
              <w:keepNext w:val="0"/>
              <w:keepLines w:val="0"/>
              <w:pageBreakBefore w:val="0"/>
              <w:widowControl w:val="0"/>
              <w:kinsoku/>
              <w:wordWrap/>
              <w:overflowPunct/>
              <w:topLinePunct w:val="0"/>
              <w:autoSpaceDE w:val="0"/>
              <w:autoSpaceDN w:val="0"/>
              <w:bidi w:val="0"/>
              <w:adjustRightInd/>
              <w:snapToGrid/>
              <w:spacing w:line="460" w:lineRule="exact"/>
              <w:ind w:firstLine="0" w:firstLineChars="0"/>
              <w:jc w:val="left"/>
              <w:textAlignment w:val="auto"/>
              <w:rPr>
                <w:rFonts w:hint="eastAsia" w:asciiTheme="majorEastAsia" w:hAnsiTheme="majorEastAsia" w:eastAsiaTheme="majorEastAsia" w:cstheme="majorEastAsia"/>
                <w:color w:val="auto"/>
                <w:kern w:val="0"/>
                <w:sz w:val="21"/>
                <w:szCs w:val="21"/>
                <w:highlight w:val="none"/>
                <w:shd w:val="clear" w:color="auto" w:fill="FFFFFF"/>
              </w:rPr>
            </w:pPr>
            <w:r>
              <w:rPr>
                <w:rFonts w:hint="eastAsia" w:asciiTheme="majorEastAsia" w:hAnsiTheme="majorEastAsia" w:eastAsiaTheme="majorEastAsia" w:cstheme="majorEastAsia"/>
                <w:color w:val="auto"/>
                <w:kern w:val="0"/>
                <w:sz w:val="21"/>
                <w:szCs w:val="21"/>
                <w:highlight w:val="none"/>
                <w:lang w:bidi="ar"/>
              </w:rPr>
              <w:t>有清晰台账，有视频或图像记录</w:t>
            </w:r>
          </w:p>
        </w:tc>
      </w:tr>
      <w:tr w14:paraId="2EB26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 w:type="dxa"/>
            <w:tcBorders>
              <w:top w:val="single" w:color="auto" w:sz="4" w:space="0"/>
              <w:left w:val="single" w:color="auto" w:sz="4" w:space="0"/>
              <w:bottom w:val="single" w:color="auto" w:sz="4" w:space="0"/>
              <w:right w:val="single" w:color="auto" w:sz="4" w:space="0"/>
            </w:tcBorders>
            <w:noWrap w:val="0"/>
            <w:vAlign w:val="center"/>
          </w:tcPr>
          <w:p w14:paraId="5F3F9E1C">
            <w:pPr>
              <w:keepNext w:val="0"/>
              <w:keepLines w:val="0"/>
              <w:pageBreakBefore w:val="0"/>
              <w:widowControl w:val="0"/>
              <w:kinsoku/>
              <w:wordWrap w:val="0"/>
              <w:overflowPunct/>
              <w:topLinePunct w:val="0"/>
              <w:autoSpaceDE/>
              <w:autoSpaceDN/>
              <w:bidi w:val="0"/>
              <w:adjustRightInd w:val="0"/>
              <w:snapToGrid w:val="0"/>
              <w:spacing w:line="460" w:lineRule="exact"/>
              <w:jc w:val="center"/>
              <w:textAlignment w:val="auto"/>
              <w:rPr>
                <w:rFonts w:hint="eastAsia" w:asciiTheme="majorEastAsia" w:hAnsiTheme="majorEastAsia" w:eastAsiaTheme="majorEastAsia" w:cstheme="majorEastAsia"/>
                <w:color w:val="auto"/>
                <w:kern w:val="0"/>
                <w:sz w:val="21"/>
                <w:szCs w:val="21"/>
                <w:highlight w:val="none"/>
                <w:shd w:val="clear" w:color="auto" w:fill="FFFFFF"/>
              </w:rPr>
            </w:pPr>
            <w:r>
              <w:rPr>
                <w:rFonts w:hint="eastAsia" w:asciiTheme="majorEastAsia" w:hAnsiTheme="majorEastAsia" w:eastAsiaTheme="majorEastAsia" w:cstheme="majorEastAsia"/>
                <w:color w:val="auto"/>
                <w:kern w:val="0"/>
                <w:sz w:val="21"/>
                <w:szCs w:val="21"/>
                <w:highlight w:val="none"/>
                <w:shd w:val="clear" w:color="auto" w:fill="FFFFFF"/>
              </w:rPr>
              <w:t>5</w:t>
            </w:r>
          </w:p>
        </w:tc>
        <w:tc>
          <w:tcPr>
            <w:tcW w:w="4742" w:type="dxa"/>
            <w:gridSpan w:val="3"/>
            <w:tcBorders>
              <w:top w:val="single" w:color="auto" w:sz="4" w:space="0"/>
              <w:left w:val="nil"/>
              <w:bottom w:val="single" w:color="auto" w:sz="4" w:space="0"/>
              <w:right w:val="single" w:color="auto" w:sz="4" w:space="0"/>
            </w:tcBorders>
            <w:noWrap w:val="0"/>
            <w:vAlign w:val="center"/>
          </w:tcPr>
          <w:p w14:paraId="7A739C4A">
            <w:pPr>
              <w:keepNext w:val="0"/>
              <w:keepLines w:val="0"/>
              <w:pageBreakBefore w:val="0"/>
              <w:widowControl w:val="0"/>
              <w:kinsoku/>
              <w:wordWrap/>
              <w:overflowPunct/>
              <w:topLinePunct w:val="0"/>
              <w:autoSpaceDE w:val="0"/>
              <w:autoSpaceDN w:val="0"/>
              <w:bidi w:val="0"/>
              <w:adjustRightInd/>
              <w:snapToGrid/>
              <w:spacing w:line="460" w:lineRule="exact"/>
              <w:ind w:firstLine="0" w:firstLineChars="0"/>
              <w:jc w:val="left"/>
              <w:textAlignment w:val="auto"/>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开展街面巡查活动，每</w:t>
            </w:r>
            <w:r>
              <w:rPr>
                <w:rFonts w:hint="eastAsia" w:asciiTheme="majorEastAsia" w:hAnsiTheme="majorEastAsia" w:eastAsiaTheme="majorEastAsia" w:cstheme="majorEastAsia"/>
                <w:color w:val="auto"/>
                <w:kern w:val="0"/>
                <w:sz w:val="21"/>
                <w:szCs w:val="21"/>
                <w:highlight w:val="none"/>
                <w:lang w:val="en-US" w:eastAsia="zh-CN"/>
              </w:rPr>
              <w:t>2</w:t>
            </w:r>
            <w:r>
              <w:rPr>
                <w:rFonts w:hint="eastAsia" w:asciiTheme="majorEastAsia" w:hAnsiTheme="majorEastAsia" w:eastAsiaTheme="majorEastAsia" w:cstheme="majorEastAsia"/>
                <w:color w:val="auto"/>
                <w:kern w:val="0"/>
                <w:sz w:val="21"/>
                <w:szCs w:val="21"/>
                <w:highlight w:val="none"/>
              </w:rPr>
              <w:t>月对全市所有镇街全面覆盖一次</w:t>
            </w:r>
          </w:p>
        </w:tc>
        <w:tc>
          <w:tcPr>
            <w:tcW w:w="0" w:type="auto"/>
            <w:tcBorders>
              <w:top w:val="single" w:color="auto" w:sz="4" w:space="0"/>
              <w:left w:val="nil"/>
              <w:bottom w:val="single" w:color="auto" w:sz="4" w:space="0"/>
              <w:right w:val="single" w:color="auto" w:sz="4" w:space="0"/>
            </w:tcBorders>
            <w:noWrap w:val="0"/>
            <w:vAlign w:val="center"/>
          </w:tcPr>
          <w:p w14:paraId="7B972BE9">
            <w:pPr>
              <w:keepNext w:val="0"/>
              <w:keepLines w:val="0"/>
              <w:pageBreakBefore w:val="0"/>
              <w:widowControl w:val="0"/>
              <w:kinsoku/>
              <w:wordWrap/>
              <w:overflowPunct/>
              <w:topLinePunct w:val="0"/>
              <w:autoSpaceDE w:val="0"/>
              <w:autoSpaceDN w:val="0"/>
              <w:bidi w:val="0"/>
              <w:adjustRightInd/>
              <w:snapToGrid/>
              <w:spacing w:line="460" w:lineRule="exact"/>
              <w:ind w:firstLine="0" w:firstLineChars="0"/>
              <w:jc w:val="left"/>
              <w:textAlignment w:val="auto"/>
              <w:rPr>
                <w:rFonts w:hint="eastAsia" w:asciiTheme="majorEastAsia" w:hAnsiTheme="majorEastAsia" w:eastAsiaTheme="majorEastAsia" w:cstheme="majorEastAsia"/>
                <w:color w:val="auto"/>
                <w:kern w:val="0"/>
                <w:sz w:val="21"/>
                <w:szCs w:val="21"/>
                <w:highlight w:val="none"/>
                <w:shd w:val="clear" w:color="auto" w:fill="FFFFFF"/>
              </w:rPr>
            </w:pPr>
            <w:r>
              <w:rPr>
                <w:rFonts w:hint="eastAsia" w:asciiTheme="majorEastAsia" w:hAnsiTheme="majorEastAsia" w:eastAsiaTheme="majorEastAsia" w:cstheme="majorEastAsia"/>
                <w:color w:val="auto"/>
                <w:kern w:val="0"/>
                <w:sz w:val="21"/>
                <w:szCs w:val="21"/>
                <w:highlight w:val="none"/>
              </w:rPr>
              <w:t>有清晰明确的巡查救助痕迹</w:t>
            </w:r>
          </w:p>
        </w:tc>
      </w:tr>
      <w:tr w14:paraId="52473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 w:type="dxa"/>
            <w:tcBorders>
              <w:top w:val="single" w:color="auto" w:sz="4" w:space="0"/>
              <w:left w:val="single" w:color="auto" w:sz="4" w:space="0"/>
              <w:bottom w:val="single" w:color="auto" w:sz="4" w:space="0"/>
              <w:right w:val="single" w:color="auto" w:sz="4" w:space="0"/>
            </w:tcBorders>
            <w:noWrap w:val="0"/>
            <w:vAlign w:val="center"/>
          </w:tcPr>
          <w:p w14:paraId="2B9EAB8C">
            <w:pPr>
              <w:keepNext w:val="0"/>
              <w:keepLines w:val="0"/>
              <w:pageBreakBefore w:val="0"/>
              <w:widowControl w:val="0"/>
              <w:kinsoku/>
              <w:wordWrap w:val="0"/>
              <w:overflowPunct/>
              <w:topLinePunct w:val="0"/>
              <w:autoSpaceDE/>
              <w:autoSpaceDN/>
              <w:bidi w:val="0"/>
              <w:adjustRightInd w:val="0"/>
              <w:snapToGrid w:val="0"/>
              <w:spacing w:line="460" w:lineRule="exact"/>
              <w:jc w:val="center"/>
              <w:textAlignment w:val="auto"/>
              <w:rPr>
                <w:rFonts w:hint="eastAsia" w:asciiTheme="majorEastAsia" w:hAnsiTheme="majorEastAsia" w:eastAsiaTheme="majorEastAsia" w:cstheme="majorEastAsia"/>
                <w:color w:val="auto"/>
                <w:kern w:val="0"/>
                <w:sz w:val="21"/>
                <w:szCs w:val="21"/>
                <w:highlight w:val="none"/>
                <w:shd w:val="clear" w:color="auto" w:fill="FFFFFF"/>
                <w:lang w:eastAsia="zh-CN"/>
              </w:rPr>
            </w:pPr>
            <w:r>
              <w:rPr>
                <w:rFonts w:hint="eastAsia" w:asciiTheme="majorEastAsia" w:hAnsiTheme="majorEastAsia" w:eastAsiaTheme="majorEastAsia" w:cstheme="majorEastAsia"/>
                <w:color w:val="auto"/>
                <w:kern w:val="0"/>
                <w:sz w:val="21"/>
                <w:szCs w:val="21"/>
                <w:highlight w:val="none"/>
                <w:shd w:val="clear" w:color="auto" w:fill="FFFFFF"/>
                <w:lang w:val="en-US" w:eastAsia="zh-CN"/>
              </w:rPr>
              <w:t>6</w:t>
            </w:r>
          </w:p>
        </w:tc>
        <w:tc>
          <w:tcPr>
            <w:tcW w:w="2024" w:type="dxa"/>
            <w:tcBorders>
              <w:top w:val="single" w:color="auto" w:sz="4" w:space="0"/>
              <w:left w:val="nil"/>
              <w:bottom w:val="single" w:color="auto" w:sz="4" w:space="0"/>
              <w:right w:val="single" w:color="auto" w:sz="4" w:space="0"/>
            </w:tcBorders>
            <w:noWrap w:val="0"/>
            <w:vAlign w:val="center"/>
          </w:tcPr>
          <w:p w14:paraId="39D87300">
            <w:pPr>
              <w:keepNext w:val="0"/>
              <w:keepLines w:val="0"/>
              <w:pageBreakBefore w:val="0"/>
              <w:widowControl w:val="0"/>
              <w:kinsoku/>
              <w:wordWrap/>
              <w:overflowPunct/>
              <w:topLinePunct w:val="0"/>
              <w:autoSpaceDE w:val="0"/>
              <w:autoSpaceDN w:val="0"/>
              <w:bidi w:val="0"/>
              <w:adjustRightInd/>
              <w:snapToGrid/>
              <w:spacing w:line="460" w:lineRule="exact"/>
              <w:ind w:left="0" w:leftChars="0" w:firstLine="0" w:firstLineChars="0"/>
              <w:jc w:val="left"/>
              <w:textAlignment w:val="auto"/>
              <w:rPr>
                <w:rFonts w:hint="eastAsia" w:asciiTheme="majorEastAsia" w:hAnsiTheme="majorEastAsia" w:eastAsiaTheme="majorEastAsia" w:cstheme="majorEastAsia"/>
                <w:color w:val="auto"/>
                <w:kern w:val="0"/>
                <w:sz w:val="21"/>
                <w:szCs w:val="21"/>
                <w:highlight w:val="none"/>
                <w:shd w:val="clear" w:color="auto" w:fill="FFFFFF"/>
              </w:rPr>
            </w:pPr>
            <w:r>
              <w:rPr>
                <w:rFonts w:hint="eastAsia" w:asciiTheme="majorEastAsia" w:hAnsiTheme="majorEastAsia" w:eastAsiaTheme="majorEastAsia" w:cstheme="majorEastAsia"/>
                <w:color w:val="auto"/>
                <w:kern w:val="0"/>
                <w:sz w:val="21"/>
                <w:szCs w:val="21"/>
                <w:highlight w:val="none"/>
                <w:lang w:eastAsia="zh-CN"/>
              </w:rPr>
              <w:t>通讯简报</w:t>
            </w:r>
          </w:p>
        </w:tc>
        <w:tc>
          <w:tcPr>
            <w:tcW w:w="0" w:type="auto"/>
            <w:tcBorders>
              <w:top w:val="single" w:color="auto" w:sz="4" w:space="0"/>
              <w:left w:val="nil"/>
              <w:bottom w:val="single" w:color="auto" w:sz="4" w:space="0"/>
              <w:right w:val="single" w:color="auto" w:sz="4" w:space="0"/>
            </w:tcBorders>
            <w:noWrap w:val="0"/>
            <w:vAlign w:val="center"/>
          </w:tcPr>
          <w:p w14:paraId="77EC6C34">
            <w:pPr>
              <w:keepNext w:val="0"/>
              <w:keepLines w:val="0"/>
              <w:pageBreakBefore w:val="0"/>
              <w:widowControl w:val="0"/>
              <w:kinsoku/>
              <w:wordWrap/>
              <w:overflowPunct/>
              <w:topLinePunct w:val="0"/>
              <w:autoSpaceDE w:val="0"/>
              <w:autoSpaceDN w:val="0"/>
              <w:bidi w:val="0"/>
              <w:adjustRightInd/>
              <w:snapToGrid/>
              <w:spacing w:line="460" w:lineRule="exact"/>
              <w:ind w:firstLine="0" w:firstLineChars="0"/>
              <w:jc w:val="center"/>
              <w:textAlignment w:val="auto"/>
              <w:rPr>
                <w:rFonts w:hint="eastAsia" w:asciiTheme="majorEastAsia" w:hAnsiTheme="majorEastAsia" w:eastAsiaTheme="majorEastAsia" w:cstheme="majorEastAsia"/>
                <w:color w:val="auto"/>
                <w:kern w:val="0"/>
                <w:sz w:val="21"/>
                <w:szCs w:val="21"/>
                <w:highlight w:val="none"/>
                <w:shd w:val="clear" w:color="auto" w:fill="FFFFFF"/>
              </w:rPr>
            </w:pPr>
            <w:r>
              <w:rPr>
                <w:rFonts w:hint="eastAsia" w:asciiTheme="majorEastAsia" w:hAnsiTheme="majorEastAsia" w:eastAsiaTheme="majorEastAsia" w:cstheme="majorEastAsia"/>
                <w:color w:val="auto"/>
                <w:kern w:val="0"/>
                <w:sz w:val="21"/>
                <w:szCs w:val="21"/>
                <w:highlight w:val="none"/>
                <w:lang w:val="en-US" w:eastAsia="zh-CN"/>
              </w:rPr>
              <w:t>10</w:t>
            </w:r>
            <w:r>
              <w:rPr>
                <w:rFonts w:hint="eastAsia" w:asciiTheme="majorEastAsia" w:hAnsiTheme="majorEastAsia" w:eastAsiaTheme="majorEastAsia" w:cstheme="majorEastAsia"/>
                <w:color w:val="auto"/>
                <w:kern w:val="0"/>
                <w:sz w:val="21"/>
                <w:szCs w:val="21"/>
                <w:highlight w:val="none"/>
              </w:rPr>
              <w:t>篇</w:t>
            </w:r>
          </w:p>
        </w:tc>
        <w:tc>
          <w:tcPr>
            <w:tcW w:w="0" w:type="auto"/>
            <w:tcBorders>
              <w:top w:val="single" w:color="auto" w:sz="4" w:space="0"/>
              <w:left w:val="nil"/>
              <w:bottom w:val="single" w:color="auto" w:sz="4" w:space="0"/>
              <w:right w:val="single" w:color="auto" w:sz="4" w:space="0"/>
            </w:tcBorders>
            <w:noWrap w:val="0"/>
            <w:vAlign w:val="center"/>
          </w:tcPr>
          <w:p w14:paraId="4AE9A6FA">
            <w:pPr>
              <w:keepNext w:val="0"/>
              <w:keepLines w:val="0"/>
              <w:pageBreakBefore w:val="0"/>
              <w:widowControl w:val="0"/>
              <w:kinsoku/>
              <w:wordWrap/>
              <w:overflowPunct/>
              <w:topLinePunct w:val="0"/>
              <w:autoSpaceDE w:val="0"/>
              <w:autoSpaceDN w:val="0"/>
              <w:bidi w:val="0"/>
              <w:adjustRightInd/>
              <w:snapToGrid/>
              <w:spacing w:line="460" w:lineRule="exact"/>
              <w:ind w:left="0" w:leftChars="0" w:firstLine="0" w:firstLineChars="0"/>
              <w:jc w:val="center"/>
              <w:textAlignment w:val="auto"/>
              <w:rPr>
                <w:rFonts w:hint="eastAsia" w:asciiTheme="majorEastAsia" w:hAnsiTheme="majorEastAsia" w:eastAsiaTheme="majorEastAsia" w:cstheme="majorEastAsia"/>
                <w:color w:val="auto"/>
                <w:kern w:val="0"/>
                <w:sz w:val="21"/>
                <w:szCs w:val="21"/>
                <w:highlight w:val="none"/>
                <w:lang w:val="en-US" w:eastAsia="zh-CN" w:bidi="ar"/>
              </w:rPr>
            </w:pPr>
            <w:r>
              <w:rPr>
                <w:rFonts w:hint="eastAsia" w:asciiTheme="majorEastAsia" w:hAnsiTheme="majorEastAsia" w:eastAsiaTheme="majorEastAsia" w:cstheme="majorEastAsia"/>
                <w:color w:val="auto"/>
                <w:kern w:val="0"/>
                <w:sz w:val="21"/>
                <w:szCs w:val="21"/>
                <w:highlight w:val="none"/>
                <w:lang w:val="en-US" w:eastAsia="zh-CN" w:bidi="ar"/>
              </w:rPr>
              <w:t>8篇</w:t>
            </w:r>
          </w:p>
        </w:tc>
        <w:tc>
          <w:tcPr>
            <w:tcW w:w="0" w:type="auto"/>
            <w:tcBorders>
              <w:top w:val="single" w:color="auto" w:sz="4" w:space="0"/>
              <w:left w:val="nil"/>
              <w:bottom w:val="single" w:color="auto" w:sz="4" w:space="0"/>
              <w:right w:val="single" w:color="auto" w:sz="4" w:space="0"/>
            </w:tcBorders>
            <w:noWrap w:val="0"/>
            <w:vAlign w:val="center"/>
          </w:tcPr>
          <w:p w14:paraId="37A5EBC8">
            <w:pPr>
              <w:keepNext w:val="0"/>
              <w:keepLines w:val="0"/>
              <w:pageBreakBefore w:val="0"/>
              <w:widowControl w:val="0"/>
              <w:kinsoku/>
              <w:wordWrap/>
              <w:overflowPunct/>
              <w:topLinePunct w:val="0"/>
              <w:autoSpaceDE w:val="0"/>
              <w:autoSpaceDN w:val="0"/>
              <w:bidi w:val="0"/>
              <w:adjustRightInd/>
              <w:snapToGrid/>
              <w:spacing w:line="460" w:lineRule="exact"/>
              <w:ind w:left="0" w:leftChars="0" w:firstLine="0" w:firstLineChars="0"/>
              <w:jc w:val="left"/>
              <w:textAlignment w:val="auto"/>
              <w:rPr>
                <w:rFonts w:hint="eastAsia" w:asciiTheme="majorEastAsia" w:hAnsiTheme="majorEastAsia" w:eastAsiaTheme="majorEastAsia" w:cstheme="majorEastAsia"/>
                <w:color w:val="auto"/>
                <w:kern w:val="0"/>
                <w:sz w:val="21"/>
                <w:szCs w:val="21"/>
                <w:highlight w:val="none"/>
                <w:shd w:val="clear" w:color="auto" w:fill="FFFFFF"/>
              </w:rPr>
            </w:pPr>
            <w:r>
              <w:rPr>
                <w:rFonts w:hint="eastAsia" w:asciiTheme="majorEastAsia" w:hAnsiTheme="majorEastAsia" w:eastAsiaTheme="majorEastAsia" w:cstheme="majorEastAsia"/>
                <w:color w:val="auto"/>
                <w:kern w:val="0"/>
                <w:sz w:val="21"/>
                <w:szCs w:val="21"/>
                <w:highlight w:val="none"/>
                <w:lang w:bidi="ar"/>
              </w:rPr>
              <w:t>形成书面材料，至少有</w:t>
            </w:r>
            <w:r>
              <w:rPr>
                <w:rFonts w:hint="eastAsia" w:asciiTheme="majorEastAsia" w:hAnsiTheme="majorEastAsia" w:eastAsiaTheme="majorEastAsia" w:cstheme="majorEastAsia"/>
                <w:color w:val="auto"/>
                <w:kern w:val="0"/>
                <w:sz w:val="21"/>
                <w:szCs w:val="21"/>
                <w:highlight w:val="none"/>
                <w:lang w:eastAsia="zh-CN" w:bidi="ar"/>
              </w:rPr>
              <w:t>两篇</w:t>
            </w:r>
            <w:r>
              <w:rPr>
                <w:rFonts w:hint="eastAsia" w:asciiTheme="majorEastAsia" w:hAnsiTheme="majorEastAsia" w:eastAsiaTheme="majorEastAsia" w:cstheme="majorEastAsia"/>
                <w:color w:val="auto"/>
                <w:kern w:val="0"/>
                <w:sz w:val="21"/>
                <w:szCs w:val="21"/>
                <w:highlight w:val="none"/>
                <w:lang w:bidi="ar"/>
              </w:rPr>
              <w:t>由相关新闻媒体报道</w:t>
            </w:r>
            <w:r>
              <w:rPr>
                <w:rFonts w:hint="eastAsia" w:asciiTheme="majorEastAsia" w:hAnsiTheme="majorEastAsia" w:eastAsiaTheme="majorEastAsia" w:cstheme="majorEastAsia"/>
                <w:color w:val="auto"/>
                <w:kern w:val="0"/>
                <w:sz w:val="21"/>
                <w:szCs w:val="21"/>
                <w:highlight w:val="none"/>
                <w:lang w:eastAsia="zh-CN" w:bidi="ar"/>
              </w:rPr>
              <w:t>，需提供报道材料或访问链接</w:t>
            </w:r>
            <w:r>
              <w:rPr>
                <w:rFonts w:hint="eastAsia" w:asciiTheme="majorEastAsia" w:hAnsiTheme="majorEastAsia" w:eastAsiaTheme="majorEastAsia" w:cstheme="majorEastAsia"/>
                <w:color w:val="auto"/>
                <w:kern w:val="0"/>
                <w:sz w:val="21"/>
                <w:szCs w:val="21"/>
                <w:highlight w:val="none"/>
                <w:lang w:bidi="ar"/>
              </w:rPr>
              <w:t>。</w:t>
            </w:r>
          </w:p>
        </w:tc>
      </w:tr>
      <w:tr w14:paraId="3DD86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 w:type="dxa"/>
            <w:tcBorders>
              <w:top w:val="single" w:color="auto" w:sz="4" w:space="0"/>
              <w:left w:val="single" w:color="auto" w:sz="4" w:space="0"/>
              <w:bottom w:val="single" w:color="auto" w:sz="4" w:space="0"/>
              <w:right w:val="single" w:color="auto" w:sz="4" w:space="0"/>
            </w:tcBorders>
            <w:noWrap w:val="0"/>
            <w:vAlign w:val="center"/>
          </w:tcPr>
          <w:p w14:paraId="6767B8F1">
            <w:pPr>
              <w:keepNext w:val="0"/>
              <w:keepLines w:val="0"/>
              <w:pageBreakBefore w:val="0"/>
              <w:widowControl w:val="0"/>
              <w:kinsoku/>
              <w:wordWrap w:val="0"/>
              <w:overflowPunct/>
              <w:topLinePunct w:val="0"/>
              <w:autoSpaceDE/>
              <w:autoSpaceDN/>
              <w:bidi w:val="0"/>
              <w:adjustRightInd w:val="0"/>
              <w:snapToGrid w:val="0"/>
              <w:spacing w:line="460" w:lineRule="exact"/>
              <w:jc w:val="center"/>
              <w:textAlignment w:val="auto"/>
              <w:rPr>
                <w:rFonts w:hint="eastAsia" w:asciiTheme="majorEastAsia" w:hAnsiTheme="majorEastAsia" w:eastAsiaTheme="majorEastAsia" w:cstheme="majorEastAsia"/>
                <w:color w:val="auto"/>
                <w:kern w:val="0"/>
                <w:sz w:val="21"/>
                <w:szCs w:val="21"/>
                <w:highlight w:val="none"/>
                <w:shd w:val="clear" w:color="auto" w:fill="FFFFFF"/>
              </w:rPr>
            </w:pPr>
            <w:r>
              <w:rPr>
                <w:rFonts w:hint="eastAsia" w:asciiTheme="majorEastAsia" w:hAnsiTheme="majorEastAsia" w:eastAsiaTheme="majorEastAsia" w:cstheme="majorEastAsia"/>
                <w:color w:val="auto"/>
                <w:kern w:val="0"/>
                <w:sz w:val="21"/>
                <w:szCs w:val="21"/>
                <w:highlight w:val="none"/>
                <w:shd w:val="clear" w:color="auto" w:fill="FFFFFF"/>
                <w:lang w:val="en-US" w:eastAsia="zh-CN"/>
              </w:rPr>
              <w:t>7</w:t>
            </w:r>
          </w:p>
        </w:tc>
        <w:tc>
          <w:tcPr>
            <w:tcW w:w="2024" w:type="dxa"/>
            <w:tcBorders>
              <w:top w:val="single" w:color="auto" w:sz="4" w:space="0"/>
              <w:left w:val="nil"/>
              <w:bottom w:val="single" w:color="auto" w:sz="4" w:space="0"/>
              <w:right w:val="single" w:color="auto" w:sz="4" w:space="0"/>
            </w:tcBorders>
            <w:noWrap w:val="0"/>
            <w:vAlign w:val="center"/>
          </w:tcPr>
          <w:p w14:paraId="3B86F466">
            <w:pPr>
              <w:keepNext w:val="0"/>
              <w:keepLines w:val="0"/>
              <w:pageBreakBefore w:val="0"/>
              <w:widowControl w:val="0"/>
              <w:kinsoku/>
              <w:overflowPunct/>
              <w:topLinePunct w:val="0"/>
              <w:autoSpaceDE w:val="0"/>
              <w:autoSpaceDN w:val="0"/>
              <w:bidi w:val="0"/>
              <w:spacing w:line="460" w:lineRule="exact"/>
              <w:ind w:firstLine="0" w:firstLineChars="0"/>
              <w:jc w:val="left"/>
              <w:textAlignment w:val="auto"/>
              <w:rPr>
                <w:rFonts w:hint="eastAsia" w:asciiTheme="majorEastAsia" w:hAnsiTheme="majorEastAsia" w:eastAsiaTheme="majorEastAsia" w:cstheme="majorEastAsia"/>
                <w:color w:val="auto"/>
                <w:kern w:val="0"/>
                <w:sz w:val="21"/>
                <w:szCs w:val="21"/>
                <w:highlight w:val="none"/>
                <w:shd w:val="clear" w:color="auto" w:fill="FFFFFF"/>
              </w:rPr>
            </w:pPr>
            <w:r>
              <w:rPr>
                <w:rFonts w:hint="eastAsia" w:asciiTheme="majorEastAsia" w:hAnsiTheme="majorEastAsia" w:eastAsiaTheme="majorEastAsia" w:cstheme="majorEastAsia"/>
                <w:color w:val="auto"/>
                <w:kern w:val="0"/>
                <w:sz w:val="21"/>
                <w:szCs w:val="21"/>
                <w:highlight w:val="none"/>
              </w:rPr>
              <w:t>咨询服务</w:t>
            </w:r>
          </w:p>
        </w:tc>
        <w:tc>
          <w:tcPr>
            <w:tcW w:w="0" w:type="auto"/>
            <w:tcBorders>
              <w:top w:val="single" w:color="auto" w:sz="4" w:space="0"/>
              <w:left w:val="nil"/>
              <w:bottom w:val="single" w:color="auto" w:sz="4" w:space="0"/>
              <w:right w:val="single" w:color="auto" w:sz="4" w:space="0"/>
            </w:tcBorders>
            <w:noWrap w:val="0"/>
            <w:vAlign w:val="center"/>
          </w:tcPr>
          <w:p w14:paraId="65C58D26">
            <w:pPr>
              <w:keepNext w:val="0"/>
              <w:keepLines w:val="0"/>
              <w:pageBreakBefore w:val="0"/>
              <w:widowControl w:val="0"/>
              <w:kinsoku/>
              <w:overflowPunct/>
              <w:topLinePunct w:val="0"/>
              <w:autoSpaceDE w:val="0"/>
              <w:autoSpaceDN w:val="0"/>
              <w:bidi w:val="0"/>
              <w:spacing w:line="460" w:lineRule="exact"/>
              <w:ind w:firstLine="0" w:firstLineChars="0"/>
              <w:jc w:val="center"/>
              <w:textAlignment w:val="auto"/>
              <w:rPr>
                <w:rFonts w:hint="eastAsia" w:asciiTheme="majorEastAsia" w:hAnsiTheme="majorEastAsia" w:eastAsiaTheme="majorEastAsia" w:cstheme="majorEastAsia"/>
                <w:color w:val="auto"/>
                <w:kern w:val="0"/>
                <w:sz w:val="21"/>
                <w:szCs w:val="21"/>
                <w:highlight w:val="none"/>
                <w:shd w:val="clear" w:color="auto" w:fill="FFFFFF"/>
              </w:rPr>
            </w:pPr>
            <w:r>
              <w:rPr>
                <w:rFonts w:hint="eastAsia" w:asciiTheme="majorEastAsia" w:hAnsiTheme="majorEastAsia" w:eastAsiaTheme="majorEastAsia" w:cstheme="majorEastAsia"/>
                <w:color w:val="auto"/>
                <w:kern w:val="0"/>
                <w:sz w:val="21"/>
                <w:szCs w:val="21"/>
                <w:highlight w:val="none"/>
                <w:lang w:val="en-US" w:eastAsia="zh-CN"/>
              </w:rPr>
              <w:t>25</w:t>
            </w:r>
            <w:r>
              <w:rPr>
                <w:rFonts w:hint="eastAsia" w:asciiTheme="majorEastAsia" w:hAnsiTheme="majorEastAsia" w:eastAsiaTheme="majorEastAsia" w:cstheme="majorEastAsia"/>
                <w:color w:val="auto"/>
                <w:kern w:val="0"/>
                <w:sz w:val="21"/>
                <w:szCs w:val="21"/>
                <w:highlight w:val="none"/>
              </w:rPr>
              <w:t>人次</w:t>
            </w:r>
          </w:p>
        </w:tc>
        <w:tc>
          <w:tcPr>
            <w:tcW w:w="0" w:type="auto"/>
            <w:tcBorders>
              <w:top w:val="single" w:color="auto" w:sz="4" w:space="0"/>
              <w:left w:val="nil"/>
              <w:bottom w:val="single" w:color="auto" w:sz="4" w:space="0"/>
              <w:right w:val="single" w:color="auto" w:sz="4" w:space="0"/>
            </w:tcBorders>
            <w:noWrap w:val="0"/>
            <w:vAlign w:val="center"/>
          </w:tcPr>
          <w:p w14:paraId="0B3E676E">
            <w:pPr>
              <w:keepNext w:val="0"/>
              <w:keepLines w:val="0"/>
              <w:pageBreakBefore w:val="0"/>
              <w:widowControl w:val="0"/>
              <w:kinsoku/>
              <w:overflowPunct/>
              <w:topLinePunct w:val="0"/>
              <w:autoSpaceDE w:val="0"/>
              <w:autoSpaceDN w:val="0"/>
              <w:bidi w:val="0"/>
              <w:spacing w:line="460" w:lineRule="exact"/>
              <w:ind w:firstLine="0" w:firstLineChars="0"/>
              <w:jc w:val="center"/>
              <w:textAlignment w:val="auto"/>
              <w:rPr>
                <w:rFonts w:hint="eastAsia" w:asciiTheme="majorEastAsia" w:hAnsiTheme="majorEastAsia" w:eastAsiaTheme="majorEastAsia" w:cstheme="majorEastAsia"/>
                <w:color w:val="auto"/>
                <w:kern w:val="0"/>
                <w:sz w:val="21"/>
                <w:szCs w:val="21"/>
                <w:highlight w:val="none"/>
                <w:lang w:val="en-US" w:eastAsia="zh-CN" w:bidi="ar"/>
              </w:rPr>
            </w:pPr>
            <w:r>
              <w:rPr>
                <w:rFonts w:hint="eastAsia" w:asciiTheme="majorEastAsia" w:hAnsiTheme="majorEastAsia" w:eastAsiaTheme="majorEastAsia" w:cstheme="majorEastAsia"/>
                <w:color w:val="auto"/>
                <w:kern w:val="0"/>
                <w:sz w:val="21"/>
                <w:szCs w:val="21"/>
                <w:highlight w:val="none"/>
                <w:lang w:val="en-US" w:eastAsia="zh-CN" w:bidi="ar"/>
              </w:rPr>
              <w:t>19人次</w:t>
            </w:r>
          </w:p>
        </w:tc>
        <w:tc>
          <w:tcPr>
            <w:tcW w:w="0" w:type="auto"/>
            <w:tcBorders>
              <w:top w:val="single" w:color="auto" w:sz="4" w:space="0"/>
              <w:left w:val="nil"/>
              <w:bottom w:val="single" w:color="auto" w:sz="4" w:space="0"/>
              <w:right w:val="single" w:color="auto" w:sz="4" w:space="0"/>
            </w:tcBorders>
            <w:noWrap w:val="0"/>
            <w:vAlign w:val="center"/>
          </w:tcPr>
          <w:p w14:paraId="336C1B36">
            <w:pPr>
              <w:keepNext w:val="0"/>
              <w:keepLines w:val="0"/>
              <w:pageBreakBefore w:val="0"/>
              <w:widowControl w:val="0"/>
              <w:kinsoku/>
              <w:overflowPunct/>
              <w:topLinePunct w:val="0"/>
              <w:autoSpaceDE w:val="0"/>
              <w:autoSpaceDN w:val="0"/>
              <w:bidi w:val="0"/>
              <w:spacing w:line="460" w:lineRule="exact"/>
              <w:ind w:firstLine="0" w:firstLineChars="0"/>
              <w:jc w:val="left"/>
              <w:textAlignment w:val="auto"/>
              <w:rPr>
                <w:rFonts w:hint="eastAsia" w:asciiTheme="majorEastAsia" w:hAnsiTheme="majorEastAsia" w:eastAsiaTheme="majorEastAsia" w:cstheme="majorEastAsia"/>
                <w:color w:val="auto"/>
                <w:kern w:val="0"/>
                <w:sz w:val="21"/>
                <w:szCs w:val="21"/>
                <w:highlight w:val="none"/>
                <w:shd w:val="clear" w:color="auto" w:fill="FFFFFF"/>
              </w:rPr>
            </w:pPr>
            <w:r>
              <w:rPr>
                <w:rFonts w:hint="eastAsia" w:asciiTheme="majorEastAsia" w:hAnsiTheme="majorEastAsia" w:eastAsiaTheme="majorEastAsia" w:cstheme="majorEastAsia"/>
                <w:color w:val="auto"/>
                <w:kern w:val="0"/>
                <w:sz w:val="21"/>
                <w:szCs w:val="21"/>
                <w:highlight w:val="none"/>
                <w:lang w:bidi="ar"/>
              </w:rPr>
              <w:t>引导全市医疗机构，按政策救治因病住院的流浪人员不少于</w:t>
            </w:r>
            <w:r>
              <w:rPr>
                <w:rFonts w:hint="eastAsia" w:asciiTheme="majorEastAsia" w:hAnsiTheme="majorEastAsia" w:eastAsiaTheme="majorEastAsia" w:cstheme="majorEastAsia"/>
                <w:color w:val="auto"/>
                <w:kern w:val="0"/>
                <w:sz w:val="21"/>
                <w:szCs w:val="21"/>
                <w:highlight w:val="none"/>
                <w:lang w:val="en-US" w:eastAsia="zh-CN" w:bidi="ar"/>
              </w:rPr>
              <w:t>25</w:t>
            </w:r>
            <w:r>
              <w:rPr>
                <w:rFonts w:hint="eastAsia" w:asciiTheme="majorEastAsia" w:hAnsiTheme="majorEastAsia" w:eastAsiaTheme="majorEastAsia" w:cstheme="majorEastAsia"/>
                <w:color w:val="auto"/>
                <w:kern w:val="0"/>
                <w:sz w:val="21"/>
                <w:szCs w:val="21"/>
                <w:highlight w:val="none"/>
                <w:lang w:bidi="ar"/>
              </w:rPr>
              <w:t>人次。</w:t>
            </w:r>
          </w:p>
        </w:tc>
      </w:tr>
      <w:tr w14:paraId="26A9F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 w:type="dxa"/>
            <w:tcBorders>
              <w:top w:val="single" w:color="auto" w:sz="4" w:space="0"/>
              <w:left w:val="single" w:color="auto" w:sz="4" w:space="0"/>
              <w:bottom w:val="single" w:color="auto" w:sz="4" w:space="0"/>
              <w:right w:val="single" w:color="auto" w:sz="4" w:space="0"/>
            </w:tcBorders>
            <w:noWrap w:val="0"/>
            <w:vAlign w:val="center"/>
          </w:tcPr>
          <w:p w14:paraId="15BEC5E7">
            <w:pPr>
              <w:keepNext w:val="0"/>
              <w:keepLines w:val="0"/>
              <w:pageBreakBefore w:val="0"/>
              <w:widowControl w:val="0"/>
              <w:kinsoku/>
              <w:wordWrap w:val="0"/>
              <w:overflowPunct/>
              <w:topLinePunct w:val="0"/>
              <w:autoSpaceDE/>
              <w:autoSpaceDN/>
              <w:bidi w:val="0"/>
              <w:adjustRightInd w:val="0"/>
              <w:snapToGrid w:val="0"/>
              <w:spacing w:line="460" w:lineRule="exact"/>
              <w:jc w:val="center"/>
              <w:textAlignment w:val="auto"/>
              <w:rPr>
                <w:rFonts w:hint="eastAsia" w:asciiTheme="majorEastAsia" w:hAnsiTheme="majorEastAsia" w:eastAsiaTheme="majorEastAsia" w:cstheme="majorEastAsia"/>
                <w:color w:val="auto"/>
                <w:kern w:val="0"/>
                <w:sz w:val="21"/>
                <w:szCs w:val="21"/>
                <w:highlight w:val="none"/>
                <w:shd w:val="clear" w:color="auto" w:fill="FFFFFF"/>
              </w:rPr>
            </w:pPr>
            <w:r>
              <w:rPr>
                <w:rFonts w:hint="eastAsia" w:asciiTheme="majorEastAsia" w:hAnsiTheme="majorEastAsia" w:eastAsiaTheme="majorEastAsia" w:cstheme="majorEastAsia"/>
                <w:color w:val="auto"/>
                <w:kern w:val="0"/>
                <w:sz w:val="21"/>
                <w:szCs w:val="21"/>
                <w:highlight w:val="none"/>
                <w:shd w:val="clear" w:color="auto" w:fill="FFFFFF"/>
                <w:lang w:val="en-US" w:eastAsia="zh-CN"/>
              </w:rPr>
              <w:t>8</w:t>
            </w:r>
          </w:p>
        </w:tc>
        <w:tc>
          <w:tcPr>
            <w:tcW w:w="2024" w:type="dxa"/>
            <w:tcBorders>
              <w:top w:val="single" w:color="auto" w:sz="4" w:space="0"/>
              <w:left w:val="nil"/>
              <w:bottom w:val="single" w:color="auto" w:sz="4" w:space="0"/>
              <w:right w:val="single" w:color="auto" w:sz="4" w:space="0"/>
            </w:tcBorders>
            <w:noWrap w:val="0"/>
            <w:vAlign w:val="center"/>
          </w:tcPr>
          <w:p w14:paraId="2AE3AE18">
            <w:pPr>
              <w:keepNext w:val="0"/>
              <w:keepLines w:val="0"/>
              <w:pageBreakBefore w:val="0"/>
              <w:widowControl w:val="0"/>
              <w:kinsoku/>
              <w:wordWrap/>
              <w:overflowPunct/>
              <w:topLinePunct w:val="0"/>
              <w:autoSpaceDE w:val="0"/>
              <w:autoSpaceDN w:val="0"/>
              <w:bidi w:val="0"/>
              <w:adjustRightInd/>
              <w:snapToGrid/>
              <w:spacing w:line="460" w:lineRule="exact"/>
              <w:ind w:left="0" w:leftChars="0" w:firstLine="0" w:firstLineChars="0"/>
              <w:jc w:val="left"/>
              <w:textAlignment w:val="auto"/>
              <w:rPr>
                <w:rFonts w:hint="eastAsia" w:asciiTheme="majorEastAsia" w:hAnsiTheme="majorEastAsia" w:eastAsiaTheme="majorEastAsia" w:cstheme="majorEastAsia"/>
                <w:color w:val="auto"/>
                <w:kern w:val="0"/>
                <w:sz w:val="21"/>
                <w:szCs w:val="21"/>
                <w:highlight w:val="none"/>
                <w:shd w:val="clear" w:color="auto" w:fill="FFFFFF"/>
              </w:rPr>
            </w:pPr>
            <w:r>
              <w:rPr>
                <w:rFonts w:hint="eastAsia" w:asciiTheme="majorEastAsia" w:hAnsiTheme="majorEastAsia" w:eastAsiaTheme="majorEastAsia" w:cstheme="majorEastAsia"/>
                <w:color w:val="auto"/>
                <w:kern w:val="0"/>
                <w:sz w:val="21"/>
                <w:szCs w:val="21"/>
                <w:highlight w:val="none"/>
                <w:lang w:eastAsia="zh-CN"/>
              </w:rPr>
              <w:t>开展街面救助服务经验分享会</w:t>
            </w:r>
          </w:p>
        </w:tc>
        <w:tc>
          <w:tcPr>
            <w:tcW w:w="0" w:type="auto"/>
            <w:tcBorders>
              <w:top w:val="single" w:color="auto" w:sz="4" w:space="0"/>
              <w:left w:val="nil"/>
              <w:bottom w:val="single" w:color="auto" w:sz="4" w:space="0"/>
              <w:right w:val="single" w:color="auto" w:sz="4" w:space="0"/>
            </w:tcBorders>
            <w:noWrap w:val="0"/>
            <w:vAlign w:val="center"/>
          </w:tcPr>
          <w:p w14:paraId="547F34FF">
            <w:pPr>
              <w:keepNext w:val="0"/>
              <w:keepLines w:val="0"/>
              <w:pageBreakBefore w:val="0"/>
              <w:widowControl w:val="0"/>
              <w:kinsoku/>
              <w:wordWrap/>
              <w:overflowPunct/>
              <w:topLinePunct w:val="0"/>
              <w:autoSpaceDE w:val="0"/>
              <w:autoSpaceDN w:val="0"/>
              <w:bidi w:val="0"/>
              <w:adjustRightInd/>
              <w:snapToGrid/>
              <w:spacing w:line="460" w:lineRule="exact"/>
              <w:ind w:firstLine="0" w:firstLineChars="0"/>
              <w:jc w:val="center"/>
              <w:textAlignment w:val="auto"/>
              <w:rPr>
                <w:rFonts w:hint="eastAsia" w:asciiTheme="majorEastAsia" w:hAnsiTheme="majorEastAsia" w:eastAsiaTheme="majorEastAsia" w:cstheme="majorEastAsia"/>
                <w:color w:val="auto"/>
                <w:kern w:val="0"/>
                <w:sz w:val="21"/>
                <w:szCs w:val="21"/>
                <w:highlight w:val="none"/>
                <w:shd w:val="clear" w:color="auto" w:fill="FFFFFF"/>
              </w:rPr>
            </w:pPr>
            <w:r>
              <w:rPr>
                <w:rFonts w:hint="eastAsia" w:asciiTheme="majorEastAsia" w:hAnsiTheme="majorEastAsia" w:eastAsiaTheme="majorEastAsia" w:cstheme="majorEastAsia"/>
                <w:color w:val="auto"/>
                <w:kern w:val="0"/>
                <w:sz w:val="21"/>
                <w:szCs w:val="21"/>
                <w:highlight w:val="none"/>
                <w:lang w:val="en-US" w:eastAsia="zh-CN"/>
              </w:rPr>
              <w:t>4次</w:t>
            </w:r>
          </w:p>
        </w:tc>
        <w:tc>
          <w:tcPr>
            <w:tcW w:w="0" w:type="auto"/>
            <w:tcBorders>
              <w:top w:val="single" w:color="auto" w:sz="4" w:space="0"/>
              <w:left w:val="nil"/>
              <w:bottom w:val="single" w:color="auto" w:sz="4" w:space="0"/>
              <w:right w:val="single" w:color="auto" w:sz="4" w:space="0"/>
            </w:tcBorders>
            <w:noWrap w:val="0"/>
            <w:vAlign w:val="center"/>
          </w:tcPr>
          <w:p w14:paraId="42080790">
            <w:pPr>
              <w:keepNext w:val="0"/>
              <w:keepLines w:val="0"/>
              <w:pageBreakBefore w:val="0"/>
              <w:widowControl w:val="0"/>
              <w:kinsoku/>
              <w:wordWrap/>
              <w:overflowPunct/>
              <w:topLinePunct w:val="0"/>
              <w:autoSpaceDE w:val="0"/>
              <w:autoSpaceDN w:val="0"/>
              <w:bidi w:val="0"/>
              <w:adjustRightInd/>
              <w:snapToGrid/>
              <w:spacing w:line="460" w:lineRule="exact"/>
              <w:ind w:left="0" w:leftChars="0" w:firstLine="0" w:firstLineChars="0"/>
              <w:jc w:val="center"/>
              <w:textAlignment w:val="auto"/>
              <w:rPr>
                <w:rFonts w:hint="eastAsia" w:asciiTheme="majorEastAsia" w:hAnsiTheme="majorEastAsia" w:eastAsiaTheme="majorEastAsia" w:cstheme="majorEastAsia"/>
                <w:color w:val="auto"/>
                <w:kern w:val="0"/>
                <w:sz w:val="21"/>
                <w:szCs w:val="21"/>
                <w:highlight w:val="none"/>
                <w:lang w:val="en-US" w:eastAsia="zh-CN" w:bidi="ar"/>
              </w:rPr>
            </w:pPr>
            <w:r>
              <w:rPr>
                <w:rFonts w:hint="eastAsia" w:asciiTheme="majorEastAsia" w:hAnsiTheme="majorEastAsia" w:eastAsiaTheme="majorEastAsia" w:cstheme="majorEastAsia"/>
                <w:color w:val="auto"/>
                <w:kern w:val="0"/>
                <w:sz w:val="21"/>
                <w:szCs w:val="21"/>
                <w:highlight w:val="none"/>
                <w:lang w:val="en-US" w:eastAsia="zh-CN" w:bidi="ar"/>
              </w:rPr>
              <w:t>3次</w:t>
            </w:r>
          </w:p>
        </w:tc>
        <w:tc>
          <w:tcPr>
            <w:tcW w:w="0" w:type="auto"/>
            <w:tcBorders>
              <w:top w:val="single" w:color="auto" w:sz="4" w:space="0"/>
              <w:left w:val="nil"/>
              <w:bottom w:val="single" w:color="auto" w:sz="4" w:space="0"/>
              <w:right w:val="single" w:color="auto" w:sz="4" w:space="0"/>
            </w:tcBorders>
            <w:noWrap w:val="0"/>
            <w:vAlign w:val="center"/>
          </w:tcPr>
          <w:p w14:paraId="636539FB">
            <w:pPr>
              <w:keepNext w:val="0"/>
              <w:keepLines w:val="0"/>
              <w:pageBreakBefore w:val="0"/>
              <w:widowControl w:val="0"/>
              <w:kinsoku/>
              <w:wordWrap/>
              <w:overflowPunct/>
              <w:topLinePunct w:val="0"/>
              <w:autoSpaceDE w:val="0"/>
              <w:autoSpaceDN w:val="0"/>
              <w:bidi w:val="0"/>
              <w:adjustRightInd/>
              <w:snapToGrid/>
              <w:spacing w:line="460" w:lineRule="exact"/>
              <w:ind w:left="0" w:leftChars="0" w:firstLine="0" w:firstLineChars="0"/>
              <w:jc w:val="left"/>
              <w:textAlignment w:val="auto"/>
              <w:rPr>
                <w:rFonts w:hint="eastAsia" w:asciiTheme="majorEastAsia" w:hAnsiTheme="majorEastAsia" w:eastAsiaTheme="majorEastAsia" w:cstheme="majorEastAsia"/>
                <w:color w:val="auto"/>
                <w:kern w:val="0"/>
                <w:sz w:val="21"/>
                <w:szCs w:val="21"/>
                <w:highlight w:val="none"/>
                <w:shd w:val="clear" w:color="auto" w:fill="FFFFFF"/>
              </w:rPr>
            </w:pPr>
            <w:r>
              <w:rPr>
                <w:rFonts w:hint="eastAsia" w:asciiTheme="majorEastAsia" w:hAnsiTheme="majorEastAsia" w:eastAsiaTheme="majorEastAsia" w:cstheme="majorEastAsia"/>
                <w:color w:val="auto"/>
                <w:kern w:val="0"/>
                <w:sz w:val="21"/>
                <w:szCs w:val="21"/>
                <w:highlight w:val="none"/>
                <w:lang w:eastAsia="zh-CN" w:bidi="ar"/>
              </w:rPr>
              <w:t>每次开展前</w:t>
            </w:r>
            <w:r>
              <w:rPr>
                <w:rFonts w:hint="eastAsia" w:asciiTheme="majorEastAsia" w:hAnsiTheme="majorEastAsia" w:eastAsiaTheme="majorEastAsia" w:cstheme="majorEastAsia"/>
                <w:color w:val="auto"/>
                <w:kern w:val="0"/>
                <w:sz w:val="21"/>
                <w:szCs w:val="21"/>
                <w:highlight w:val="none"/>
                <w:lang w:val="en-US" w:eastAsia="zh-CN" w:bidi="ar"/>
              </w:rPr>
              <w:t>应形成相关材料，</w:t>
            </w:r>
            <w:r>
              <w:rPr>
                <w:rFonts w:hint="eastAsia" w:asciiTheme="majorEastAsia" w:hAnsiTheme="majorEastAsia" w:eastAsiaTheme="majorEastAsia" w:cstheme="majorEastAsia"/>
                <w:color w:val="auto"/>
                <w:kern w:val="0"/>
                <w:sz w:val="21"/>
                <w:szCs w:val="21"/>
                <w:highlight w:val="none"/>
                <w:lang w:eastAsia="zh-CN" w:bidi="ar"/>
              </w:rPr>
              <w:t>参与者应达</w:t>
            </w:r>
            <w:r>
              <w:rPr>
                <w:rFonts w:hint="eastAsia" w:asciiTheme="majorEastAsia" w:hAnsiTheme="majorEastAsia" w:eastAsiaTheme="majorEastAsia" w:cstheme="majorEastAsia"/>
                <w:color w:val="auto"/>
                <w:kern w:val="0"/>
                <w:sz w:val="21"/>
                <w:szCs w:val="21"/>
                <w:highlight w:val="none"/>
                <w:lang w:val="en-US" w:eastAsia="zh-CN" w:bidi="ar"/>
              </w:rPr>
              <w:t>20人次以上。</w:t>
            </w:r>
          </w:p>
        </w:tc>
      </w:tr>
      <w:tr w14:paraId="5FB60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FB6E2C9">
            <w:pPr>
              <w:keepNext w:val="0"/>
              <w:keepLines w:val="0"/>
              <w:pageBreakBefore w:val="0"/>
              <w:widowControl w:val="0"/>
              <w:kinsoku/>
              <w:wordWrap w:val="0"/>
              <w:overflowPunct/>
              <w:topLinePunct w:val="0"/>
              <w:autoSpaceDE/>
              <w:autoSpaceDN/>
              <w:bidi w:val="0"/>
              <w:adjustRightInd w:val="0"/>
              <w:snapToGrid w:val="0"/>
              <w:spacing w:line="460" w:lineRule="exact"/>
              <w:jc w:val="center"/>
              <w:textAlignment w:val="auto"/>
              <w:rPr>
                <w:rFonts w:hint="eastAsia" w:asciiTheme="majorEastAsia" w:hAnsiTheme="majorEastAsia" w:eastAsiaTheme="majorEastAsia" w:cstheme="majorEastAsia"/>
                <w:color w:val="auto"/>
                <w:kern w:val="0"/>
                <w:sz w:val="21"/>
                <w:szCs w:val="21"/>
                <w:highlight w:val="none"/>
                <w:shd w:val="clear" w:color="auto" w:fill="FFFFFF"/>
                <w:lang w:val="en-US" w:eastAsia="zh-CN" w:bidi="ar-SA"/>
              </w:rPr>
            </w:pPr>
            <w:r>
              <w:rPr>
                <w:rFonts w:hint="eastAsia" w:asciiTheme="majorEastAsia" w:hAnsiTheme="majorEastAsia" w:eastAsiaTheme="majorEastAsia" w:cstheme="majorEastAsia"/>
                <w:color w:val="auto"/>
                <w:kern w:val="0"/>
                <w:sz w:val="21"/>
                <w:szCs w:val="21"/>
                <w:highlight w:val="none"/>
                <w:shd w:val="clear" w:color="auto" w:fill="FFFFFF"/>
                <w:lang w:val="en-US" w:eastAsia="zh-CN"/>
              </w:rPr>
              <w:t>9</w:t>
            </w:r>
          </w:p>
        </w:tc>
        <w:tc>
          <w:tcPr>
            <w:tcW w:w="2024" w:type="dxa"/>
            <w:tcBorders>
              <w:top w:val="single" w:color="auto" w:sz="4" w:space="0"/>
              <w:left w:val="nil"/>
              <w:bottom w:val="single" w:color="auto" w:sz="4" w:space="0"/>
              <w:right w:val="single" w:color="auto" w:sz="4" w:space="0"/>
            </w:tcBorders>
            <w:shd w:val="clear" w:color="auto" w:fill="auto"/>
            <w:noWrap w:val="0"/>
            <w:vAlign w:val="center"/>
          </w:tcPr>
          <w:p w14:paraId="39F4B633">
            <w:pPr>
              <w:keepNext w:val="0"/>
              <w:keepLines w:val="0"/>
              <w:pageBreakBefore w:val="0"/>
              <w:widowControl w:val="0"/>
              <w:kinsoku/>
              <w:wordWrap/>
              <w:overflowPunct/>
              <w:topLinePunct w:val="0"/>
              <w:autoSpaceDE/>
              <w:autoSpaceDN/>
              <w:bidi w:val="0"/>
              <w:adjustRightInd/>
              <w:snapToGrid/>
              <w:spacing w:after="0" w:line="460" w:lineRule="exact"/>
              <w:ind w:left="0" w:leftChars="0" w:firstLine="0" w:firstLineChars="0"/>
              <w:jc w:val="both"/>
              <w:textAlignment w:val="auto"/>
              <w:rPr>
                <w:rFonts w:hint="eastAsia" w:asciiTheme="majorEastAsia" w:hAnsiTheme="majorEastAsia" w:eastAsiaTheme="majorEastAsia" w:cstheme="majorEastAsia"/>
                <w:color w:val="auto"/>
                <w:kern w:val="0"/>
                <w:sz w:val="21"/>
                <w:szCs w:val="21"/>
                <w:highlight w:val="none"/>
                <w:shd w:val="clear" w:color="auto" w:fill="FFFFFF"/>
                <w:lang w:val="en-US" w:eastAsia="zh-CN" w:bidi="ar-SA"/>
              </w:rPr>
            </w:pPr>
            <w:r>
              <w:rPr>
                <w:rFonts w:hint="eastAsia" w:asciiTheme="majorEastAsia" w:hAnsiTheme="majorEastAsia" w:eastAsiaTheme="majorEastAsia" w:cstheme="majorEastAsia"/>
                <w:color w:val="auto"/>
                <w:kern w:val="0"/>
                <w:sz w:val="21"/>
                <w:szCs w:val="21"/>
                <w:highlight w:val="none"/>
                <w:u w:val="none"/>
                <w:shd w:val="clear" w:color="auto" w:fill="FFFFFF"/>
              </w:rPr>
              <w:t>服务协助</w:t>
            </w:r>
          </w:p>
        </w:tc>
        <w:tc>
          <w:tcPr>
            <w:tcW w:w="0" w:type="auto"/>
            <w:tcBorders>
              <w:top w:val="single" w:color="auto" w:sz="4" w:space="0"/>
              <w:left w:val="nil"/>
              <w:bottom w:val="single" w:color="auto" w:sz="4" w:space="0"/>
              <w:right w:val="single" w:color="auto" w:sz="4" w:space="0"/>
            </w:tcBorders>
            <w:shd w:val="clear" w:color="auto" w:fill="auto"/>
            <w:noWrap w:val="0"/>
            <w:vAlign w:val="center"/>
          </w:tcPr>
          <w:p w14:paraId="6505703C">
            <w:pPr>
              <w:keepNext w:val="0"/>
              <w:keepLines w:val="0"/>
              <w:pageBreakBefore w:val="0"/>
              <w:widowControl w:val="0"/>
              <w:kinsoku/>
              <w:wordWrap/>
              <w:overflowPunct/>
              <w:topLinePunct w:val="0"/>
              <w:autoSpaceDE/>
              <w:autoSpaceDN/>
              <w:bidi w:val="0"/>
              <w:adjustRightInd/>
              <w:snapToGrid/>
              <w:spacing w:after="0" w:line="460" w:lineRule="exact"/>
              <w:ind w:left="0" w:leftChars="0" w:firstLine="0" w:firstLineChars="0"/>
              <w:jc w:val="center"/>
              <w:textAlignment w:val="auto"/>
              <w:rPr>
                <w:rFonts w:hint="eastAsia" w:asciiTheme="majorEastAsia" w:hAnsiTheme="majorEastAsia" w:eastAsiaTheme="majorEastAsia" w:cstheme="majorEastAsia"/>
                <w:color w:val="auto"/>
                <w:kern w:val="0"/>
                <w:sz w:val="21"/>
                <w:szCs w:val="21"/>
                <w:highlight w:val="none"/>
                <w:shd w:val="clear" w:color="auto" w:fill="FFFFFF"/>
                <w:lang w:val="en-US" w:eastAsia="zh-CN" w:bidi="ar-SA"/>
              </w:rPr>
            </w:pPr>
            <w:r>
              <w:rPr>
                <w:rFonts w:hint="eastAsia" w:asciiTheme="majorEastAsia" w:hAnsiTheme="majorEastAsia" w:eastAsiaTheme="majorEastAsia" w:cstheme="majorEastAsia"/>
                <w:color w:val="auto"/>
                <w:kern w:val="0"/>
                <w:sz w:val="21"/>
                <w:szCs w:val="21"/>
                <w:highlight w:val="none"/>
                <w:u w:val="none"/>
                <w:shd w:val="clear" w:color="auto" w:fill="FFFFFF"/>
              </w:rPr>
              <w:t>按需</w:t>
            </w:r>
          </w:p>
        </w:tc>
        <w:tc>
          <w:tcPr>
            <w:tcW w:w="0" w:type="auto"/>
            <w:tcBorders>
              <w:top w:val="single" w:color="auto" w:sz="4" w:space="0"/>
              <w:left w:val="nil"/>
              <w:bottom w:val="single" w:color="auto" w:sz="4" w:space="0"/>
              <w:right w:val="single" w:color="auto" w:sz="4" w:space="0"/>
            </w:tcBorders>
            <w:shd w:val="clear" w:color="auto" w:fill="auto"/>
            <w:noWrap w:val="0"/>
            <w:vAlign w:val="center"/>
          </w:tcPr>
          <w:p w14:paraId="2CACFA2F">
            <w:pPr>
              <w:keepNext w:val="0"/>
              <w:keepLines w:val="0"/>
              <w:pageBreakBefore w:val="0"/>
              <w:widowControl w:val="0"/>
              <w:kinsoku/>
              <w:wordWrap/>
              <w:overflowPunct/>
              <w:topLinePunct w:val="0"/>
              <w:autoSpaceDE/>
              <w:autoSpaceDN/>
              <w:bidi w:val="0"/>
              <w:adjustRightInd/>
              <w:snapToGrid/>
              <w:spacing w:after="0" w:line="460" w:lineRule="exact"/>
              <w:ind w:left="0" w:leftChars="0" w:firstLine="0" w:firstLineChars="0"/>
              <w:jc w:val="center"/>
              <w:textAlignment w:val="auto"/>
              <w:rPr>
                <w:rFonts w:hint="eastAsia" w:asciiTheme="majorEastAsia" w:hAnsiTheme="majorEastAsia" w:eastAsiaTheme="majorEastAsia" w:cstheme="majorEastAsia"/>
                <w:color w:val="auto"/>
                <w:kern w:val="0"/>
                <w:sz w:val="21"/>
                <w:szCs w:val="21"/>
                <w:highlight w:val="none"/>
                <w:u w:val="none"/>
                <w:shd w:val="clear" w:color="auto" w:fill="FFFFFF"/>
                <w:lang w:val="en-US" w:eastAsia="zh-CN" w:bidi="ar-SA"/>
              </w:rPr>
            </w:pPr>
            <w:r>
              <w:rPr>
                <w:rFonts w:hint="eastAsia" w:asciiTheme="majorEastAsia" w:hAnsiTheme="majorEastAsia" w:eastAsiaTheme="majorEastAsia" w:cstheme="majorEastAsia"/>
                <w:color w:val="auto"/>
                <w:kern w:val="0"/>
                <w:sz w:val="21"/>
                <w:szCs w:val="21"/>
                <w:highlight w:val="none"/>
                <w:u w:val="none"/>
                <w:shd w:val="clear" w:color="auto" w:fill="FFFFFF"/>
              </w:rPr>
              <w:t>按需</w:t>
            </w:r>
          </w:p>
        </w:tc>
        <w:tc>
          <w:tcPr>
            <w:tcW w:w="0" w:type="auto"/>
            <w:tcBorders>
              <w:top w:val="single" w:color="auto" w:sz="4" w:space="0"/>
              <w:left w:val="nil"/>
              <w:bottom w:val="single" w:color="auto" w:sz="4" w:space="0"/>
              <w:right w:val="single" w:color="auto" w:sz="4" w:space="0"/>
            </w:tcBorders>
            <w:shd w:val="clear" w:color="auto" w:fill="auto"/>
            <w:noWrap w:val="0"/>
            <w:vAlign w:val="center"/>
          </w:tcPr>
          <w:p w14:paraId="2D7E8B04">
            <w:pPr>
              <w:keepNext w:val="0"/>
              <w:keepLines w:val="0"/>
              <w:pageBreakBefore w:val="0"/>
              <w:widowControl w:val="0"/>
              <w:kinsoku/>
              <w:wordWrap/>
              <w:overflowPunct/>
              <w:topLinePunct w:val="0"/>
              <w:autoSpaceDE/>
              <w:autoSpaceDN/>
              <w:bidi w:val="0"/>
              <w:adjustRightInd/>
              <w:snapToGrid/>
              <w:spacing w:after="0" w:line="460" w:lineRule="exact"/>
              <w:ind w:left="0" w:leftChars="0" w:firstLine="0" w:firstLineChars="0"/>
              <w:jc w:val="both"/>
              <w:textAlignment w:val="auto"/>
              <w:rPr>
                <w:rFonts w:hint="eastAsia" w:asciiTheme="majorEastAsia" w:hAnsiTheme="majorEastAsia" w:eastAsiaTheme="majorEastAsia" w:cstheme="majorEastAsia"/>
                <w:color w:val="auto"/>
                <w:kern w:val="0"/>
                <w:sz w:val="21"/>
                <w:szCs w:val="21"/>
                <w:highlight w:val="none"/>
                <w:shd w:val="clear" w:color="auto" w:fill="FFFFFF"/>
                <w:lang w:val="en-US" w:eastAsia="zh-CN" w:bidi="ar-SA"/>
              </w:rPr>
            </w:pPr>
            <w:r>
              <w:rPr>
                <w:rFonts w:hint="eastAsia" w:asciiTheme="majorEastAsia" w:hAnsiTheme="majorEastAsia" w:eastAsiaTheme="majorEastAsia" w:cstheme="majorEastAsia"/>
                <w:color w:val="auto"/>
                <w:kern w:val="0"/>
                <w:sz w:val="21"/>
                <w:szCs w:val="21"/>
                <w:highlight w:val="none"/>
                <w:u w:val="none"/>
                <w:shd w:val="clear" w:color="auto" w:fill="FFFFFF"/>
              </w:rPr>
              <w:t>有真实可查的工作记录</w:t>
            </w:r>
          </w:p>
        </w:tc>
      </w:tr>
    </w:tbl>
    <w:p w14:paraId="60D07B0B">
      <w:pPr>
        <w:pStyle w:val="57"/>
        <w:keepNext w:val="0"/>
        <w:keepLines w:val="0"/>
        <w:pageBreakBefore w:val="0"/>
        <w:widowControl w:val="0"/>
        <w:kinsoku/>
        <w:wordWrap/>
        <w:overflowPunct/>
        <w:topLinePunct w:val="0"/>
        <w:autoSpaceDE/>
        <w:autoSpaceDN/>
        <w:bidi w:val="0"/>
        <w:adjustRightInd/>
        <w:snapToGrid/>
        <w:spacing w:line="360" w:lineRule="auto"/>
        <w:ind w:right="0" w:rightChars="0" w:firstLine="422" w:firstLineChars="200"/>
        <w:textAlignment w:val="auto"/>
        <w:rPr>
          <w:rFonts w:hint="eastAsia" w:asciiTheme="majorEastAsia" w:hAnsiTheme="majorEastAsia" w:eastAsiaTheme="majorEastAsia" w:cstheme="majorEastAsia"/>
          <w:color w:val="auto"/>
          <w:spacing w:val="0"/>
          <w:sz w:val="21"/>
          <w:szCs w:val="21"/>
          <w:highlight w:val="none"/>
          <w:lang w:eastAsia="zh-CN"/>
        </w:rPr>
      </w:pPr>
      <w:r>
        <w:rPr>
          <w:rFonts w:hint="eastAsia" w:ascii="宋体" w:hAnsi="宋体" w:eastAsia="宋体" w:cs="Times New Roman"/>
          <w:b/>
          <w:bCs/>
          <w:color w:val="auto"/>
          <w:sz w:val="21"/>
          <w:szCs w:val="21"/>
          <w:highlight w:val="none"/>
        </w:rPr>
        <w:t>★</w:t>
      </w:r>
      <w:r>
        <w:rPr>
          <w:rFonts w:hint="eastAsia" w:asciiTheme="majorEastAsia" w:hAnsiTheme="majorEastAsia" w:eastAsiaTheme="majorEastAsia" w:cstheme="majorEastAsia"/>
          <w:color w:val="auto"/>
          <w:spacing w:val="0"/>
          <w:sz w:val="21"/>
          <w:szCs w:val="21"/>
          <w:highlight w:val="none"/>
          <w:lang w:eastAsia="zh-CN"/>
        </w:rPr>
        <w:t>（二）项目人员配备要求</w:t>
      </w:r>
    </w:p>
    <w:p w14:paraId="53730A9E">
      <w:pPr>
        <w:pStyle w:val="57"/>
        <w:keepNext w:val="0"/>
        <w:keepLines w:val="0"/>
        <w:pageBreakBefore w:val="0"/>
        <w:widowControl w:val="0"/>
        <w:kinsoku/>
        <w:wordWrap/>
        <w:overflowPunct/>
        <w:topLinePunct w:val="0"/>
        <w:autoSpaceDE/>
        <w:autoSpaceDN/>
        <w:bidi w:val="0"/>
        <w:adjustRightInd/>
        <w:snapToGrid/>
        <w:spacing w:line="360" w:lineRule="auto"/>
        <w:ind w:right="0" w:rightChars="0" w:firstLine="420" w:firstLineChars="200"/>
        <w:textAlignment w:val="auto"/>
        <w:rPr>
          <w:rFonts w:hint="eastAsia" w:asciiTheme="majorEastAsia" w:hAnsiTheme="majorEastAsia" w:eastAsiaTheme="majorEastAsia" w:cstheme="majorEastAsia"/>
          <w:color w:val="auto"/>
          <w:spacing w:val="0"/>
          <w:sz w:val="21"/>
          <w:szCs w:val="21"/>
          <w:highlight w:val="none"/>
          <w:lang w:eastAsia="zh-CN"/>
        </w:rPr>
      </w:pPr>
      <w:r>
        <w:rPr>
          <w:rFonts w:hint="eastAsia" w:asciiTheme="majorEastAsia" w:hAnsiTheme="majorEastAsia" w:eastAsiaTheme="majorEastAsia" w:cstheme="majorEastAsia"/>
          <w:color w:val="auto"/>
          <w:spacing w:val="0"/>
          <w:sz w:val="21"/>
          <w:szCs w:val="21"/>
          <w:highlight w:val="none"/>
          <w:lang w:eastAsia="zh-CN"/>
        </w:rPr>
        <w:t>该项目需</w:t>
      </w:r>
      <w:r>
        <w:rPr>
          <w:rFonts w:hint="eastAsia" w:asciiTheme="majorEastAsia" w:hAnsiTheme="majorEastAsia" w:eastAsiaTheme="majorEastAsia" w:cstheme="majorEastAsia"/>
          <w:color w:val="auto"/>
          <w:spacing w:val="0"/>
          <w:sz w:val="21"/>
          <w:szCs w:val="21"/>
          <w:highlight w:val="none"/>
          <w:lang w:val="en-US" w:eastAsia="zh-CN"/>
        </w:rPr>
        <w:t>配备5名专业社会工作者。配备的</w:t>
      </w:r>
      <w:r>
        <w:rPr>
          <w:rFonts w:hint="eastAsia" w:asciiTheme="majorEastAsia" w:hAnsiTheme="majorEastAsia" w:eastAsiaTheme="majorEastAsia" w:cstheme="majorEastAsia"/>
          <w:color w:val="auto"/>
          <w:spacing w:val="0"/>
          <w:sz w:val="21"/>
          <w:szCs w:val="21"/>
          <w:highlight w:val="none"/>
          <w:lang w:eastAsia="zh-CN"/>
        </w:rPr>
        <w:t>项目社工应持有助理社会工作师或以上等级社会工作者职业水平证书，且需确保配备的项目人员中（中、高级）社会工作师和助理社会工作师比例不低于1:4。</w:t>
      </w:r>
    </w:p>
    <w:p w14:paraId="693E0AC0">
      <w:pPr>
        <w:pStyle w:val="57"/>
        <w:keepNext w:val="0"/>
        <w:keepLines w:val="0"/>
        <w:pageBreakBefore w:val="0"/>
        <w:widowControl w:val="0"/>
        <w:kinsoku/>
        <w:wordWrap/>
        <w:overflowPunct/>
        <w:topLinePunct w:val="0"/>
        <w:autoSpaceDE/>
        <w:autoSpaceDN/>
        <w:bidi w:val="0"/>
        <w:adjustRightInd/>
        <w:snapToGrid/>
        <w:spacing w:line="360" w:lineRule="auto"/>
        <w:ind w:right="0" w:rightChars="0" w:firstLine="420" w:firstLineChars="200"/>
        <w:textAlignment w:val="auto"/>
        <w:rPr>
          <w:rFonts w:hint="eastAsia" w:asciiTheme="majorEastAsia" w:hAnsiTheme="majorEastAsia" w:eastAsiaTheme="majorEastAsia" w:cstheme="majorEastAsia"/>
          <w:color w:val="auto"/>
          <w:spacing w:val="0"/>
          <w:sz w:val="21"/>
          <w:szCs w:val="21"/>
          <w:highlight w:val="none"/>
          <w:lang w:eastAsia="zh-CN"/>
        </w:rPr>
      </w:pPr>
      <w:r>
        <w:rPr>
          <w:rFonts w:hint="eastAsia" w:asciiTheme="majorEastAsia" w:hAnsiTheme="majorEastAsia" w:eastAsiaTheme="majorEastAsia" w:cstheme="majorEastAsia"/>
          <w:color w:val="auto"/>
          <w:spacing w:val="0"/>
          <w:sz w:val="21"/>
          <w:szCs w:val="21"/>
          <w:highlight w:val="none"/>
          <w:lang w:eastAsia="zh-CN"/>
        </w:rPr>
        <w:t>（三）其他服务要求</w:t>
      </w:r>
    </w:p>
    <w:p w14:paraId="09AEB163">
      <w:pPr>
        <w:pStyle w:val="57"/>
        <w:keepNext w:val="0"/>
        <w:keepLines w:val="0"/>
        <w:pageBreakBefore w:val="0"/>
        <w:widowControl w:val="0"/>
        <w:kinsoku/>
        <w:wordWrap/>
        <w:overflowPunct/>
        <w:topLinePunct w:val="0"/>
        <w:autoSpaceDE/>
        <w:autoSpaceDN/>
        <w:bidi w:val="0"/>
        <w:adjustRightInd/>
        <w:snapToGrid/>
        <w:spacing w:line="360" w:lineRule="auto"/>
        <w:ind w:right="0" w:rightChars="0" w:firstLine="420" w:firstLineChars="200"/>
        <w:textAlignment w:val="auto"/>
        <w:rPr>
          <w:rFonts w:hint="eastAsia" w:asciiTheme="majorEastAsia" w:hAnsiTheme="majorEastAsia" w:eastAsiaTheme="majorEastAsia" w:cstheme="majorEastAsia"/>
          <w:color w:val="auto"/>
          <w:spacing w:val="0"/>
          <w:sz w:val="21"/>
          <w:szCs w:val="21"/>
          <w:highlight w:val="none"/>
          <w:lang w:eastAsia="zh-CN"/>
        </w:rPr>
      </w:pPr>
      <w:r>
        <w:rPr>
          <w:rFonts w:hint="eastAsia" w:asciiTheme="majorEastAsia" w:hAnsiTheme="majorEastAsia" w:eastAsiaTheme="majorEastAsia" w:cstheme="majorEastAsia"/>
          <w:color w:val="auto"/>
          <w:spacing w:val="0"/>
          <w:sz w:val="21"/>
          <w:szCs w:val="21"/>
          <w:highlight w:val="none"/>
          <w:lang w:eastAsia="zh-CN"/>
        </w:rPr>
        <w:t>1.供应商应与项目人员建立劳动关系，订立和履行劳动合同，支付工资并缴纳相关的社会保险金等费用。其中社工人力成本应符合《东莞市人民政府办公室关于印发〈东莞市政府购买社会工作服务实施办法〉的通知》（东府办〔2021〕8号）以及《东莞市民政局 东莞市财政局关于印发〈政府购买社会工作服务资金使用管理办法〉的通知》（东民规〔2021〕2号）有关规定。</w:t>
      </w:r>
    </w:p>
    <w:p w14:paraId="791EC855">
      <w:pPr>
        <w:pStyle w:val="57"/>
        <w:keepNext w:val="0"/>
        <w:keepLines w:val="0"/>
        <w:pageBreakBefore w:val="0"/>
        <w:widowControl w:val="0"/>
        <w:kinsoku/>
        <w:wordWrap/>
        <w:overflowPunct/>
        <w:topLinePunct w:val="0"/>
        <w:autoSpaceDE/>
        <w:autoSpaceDN/>
        <w:bidi w:val="0"/>
        <w:adjustRightInd/>
        <w:snapToGrid/>
        <w:spacing w:line="360" w:lineRule="auto"/>
        <w:ind w:right="0" w:rightChars="0" w:firstLine="420" w:firstLineChars="200"/>
        <w:textAlignment w:val="auto"/>
        <w:rPr>
          <w:rFonts w:hint="eastAsia" w:asciiTheme="majorEastAsia" w:hAnsiTheme="majorEastAsia" w:eastAsiaTheme="majorEastAsia" w:cstheme="majorEastAsia"/>
          <w:color w:val="auto"/>
          <w:spacing w:val="0"/>
          <w:sz w:val="21"/>
          <w:szCs w:val="21"/>
          <w:highlight w:val="none"/>
          <w:lang w:eastAsia="zh-CN"/>
        </w:rPr>
      </w:pPr>
      <w:r>
        <w:rPr>
          <w:rFonts w:hint="eastAsia" w:asciiTheme="majorEastAsia" w:hAnsiTheme="majorEastAsia" w:eastAsiaTheme="majorEastAsia" w:cstheme="majorEastAsia"/>
          <w:color w:val="auto"/>
          <w:spacing w:val="0"/>
          <w:sz w:val="21"/>
          <w:szCs w:val="21"/>
          <w:highlight w:val="none"/>
          <w:lang w:eastAsia="zh-CN"/>
        </w:rPr>
        <w:t>2.供应商需安排符合要求的项目人员，并提前向采购人及服务单位报备项目人员名单，经同意后方可安排上岗。如有人员变更的，需提前报备，征得采购人及服务单位同意后方可变更。</w:t>
      </w:r>
    </w:p>
    <w:p w14:paraId="38F88CFD">
      <w:pPr>
        <w:pStyle w:val="57"/>
        <w:keepNext w:val="0"/>
        <w:keepLines w:val="0"/>
        <w:pageBreakBefore w:val="0"/>
        <w:widowControl w:val="0"/>
        <w:kinsoku/>
        <w:wordWrap/>
        <w:overflowPunct/>
        <w:topLinePunct w:val="0"/>
        <w:autoSpaceDE/>
        <w:autoSpaceDN/>
        <w:bidi w:val="0"/>
        <w:adjustRightInd/>
        <w:snapToGrid/>
        <w:spacing w:line="360" w:lineRule="auto"/>
        <w:ind w:right="0" w:rightChars="0" w:firstLine="420" w:firstLineChars="200"/>
        <w:textAlignment w:val="auto"/>
        <w:rPr>
          <w:rFonts w:hint="eastAsia" w:asciiTheme="majorEastAsia" w:hAnsiTheme="majorEastAsia" w:eastAsiaTheme="majorEastAsia" w:cstheme="majorEastAsia"/>
          <w:color w:val="auto"/>
          <w:spacing w:val="0"/>
          <w:sz w:val="21"/>
          <w:szCs w:val="21"/>
          <w:highlight w:val="none"/>
          <w:lang w:eastAsia="zh-CN"/>
        </w:rPr>
      </w:pPr>
      <w:r>
        <w:rPr>
          <w:rFonts w:hint="eastAsia" w:asciiTheme="majorEastAsia" w:hAnsiTheme="majorEastAsia" w:eastAsiaTheme="majorEastAsia" w:cstheme="majorEastAsia"/>
          <w:color w:val="auto"/>
          <w:spacing w:val="0"/>
          <w:sz w:val="21"/>
          <w:szCs w:val="21"/>
          <w:highlight w:val="none"/>
          <w:lang w:val="en-US" w:eastAsia="zh-CN"/>
        </w:rPr>
        <w:t>3</w:t>
      </w:r>
      <w:r>
        <w:rPr>
          <w:rFonts w:hint="eastAsia" w:asciiTheme="majorEastAsia" w:hAnsiTheme="majorEastAsia" w:eastAsiaTheme="majorEastAsia" w:cstheme="majorEastAsia"/>
          <w:color w:val="auto"/>
          <w:spacing w:val="0"/>
          <w:sz w:val="21"/>
          <w:szCs w:val="21"/>
          <w:highlight w:val="none"/>
          <w:lang w:eastAsia="zh-CN"/>
        </w:rPr>
        <w:t>.合同期内，供应商应每季度提交社工项目工作报告；合同结束后10个工作日内提交社工项目总结报告。</w:t>
      </w:r>
    </w:p>
    <w:p w14:paraId="746B366A">
      <w:pPr>
        <w:pStyle w:val="57"/>
        <w:keepNext w:val="0"/>
        <w:keepLines w:val="0"/>
        <w:pageBreakBefore w:val="0"/>
        <w:widowControl w:val="0"/>
        <w:kinsoku/>
        <w:wordWrap/>
        <w:overflowPunct/>
        <w:topLinePunct w:val="0"/>
        <w:autoSpaceDE/>
        <w:autoSpaceDN/>
        <w:bidi w:val="0"/>
        <w:adjustRightInd/>
        <w:snapToGrid/>
        <w:spacing w:line="360" w:lineRule="auto"/>
        <w:ind w:right="0" w:rightChars="0" w:firstLine="420" w:firstLineChars="200"/>
        <w:textAlignment w:val="auto"/>
        <w:rPr>
          <w:rFonts w:hint="eastAsia" w:asciiTheme="majorEastAsia" w:hAnsiTheme="majorEastAsia" w:eastAsiaTheme="majorEastAsia" w:cstheme="majorEastAsia"/>
          <w:color w:val="auto"/>
          <w:spacing w:val="0"/>
          <w:sz w:val="21"/>
          <w:szCs w:val="21"/>
          <w:highlight w:val="none"/>
          <w:lang w:val="en-US" w:eastAsia="zh-CN"/>
        </w:rPr>
      </w:pPr>
      <w:r>
        <w:rPr>
          <w:rFonts w:hint="eastAsia" w:asciiTheme="majorEastAsia" w:hAnsiTheme="majorEastAsia" w:eastAsiaTheme="majorEastAsia" w:cstheme="majorEastAsia"/>
          <w:color w:val="auto"/>
          <w:spacing w:val="0"/>
          <w:sz w:val="21"/>
          <w:szCs w:val="21"/>
          <w:highlight w:val="none"/>
          <w:lang w:val="en-US" w:eastAsia="zh-CN"/>
        </w:rPr>
        <w:t>4.</w:t>
      </w:r>
      <w:r>
        <w:rPr>
          <w:rFonts w:hint="eastAsia" w:asciiTheme="majorEastAsia" w:hAnsiTheme="majorEastAsia" w:eastAsiaTheme="majorEastAsia" w:cstheme="majorEastAsia"/>
          <w:color w:val="auto"/>
          <w:spacing w:val="0"/>
          <w:sz w:val="21"/>
          <w:szCs w:val="21"/>
          <w:highlight w:val="none"/>
          <w:lang w:eastAsia="zh-CN"/>
        </w:rPr>
        <w:t>因不可抗力因素影响，服务单位需实施封闭管理的，项目人员应配合服务单位进行封闭管理。确有特殊情况无法进行封闭管理的，须取得采购人及服务单位同意，并根据缺岗时间扣减费用，扣减标准按本需求书第五点相关内容执行。</w:t>
      </w:r>
    </w:p>
    <w:p w14:paraId="14BF3FE0">
      <w:pPr>
        <w:pStyle w:val="57"/>
        <w:keepNext w:val="0"/>
        <w:keepLines w:val="0"/>
        <w:pageBreakBefore w:val="0"/>
        <w:widowControl w:val="0"/>
        <w:kinsoku/>
        <w:wordWrap/>
        <w:overflowPunct/>
        <w:topLinePunct w:val="0"/>
        <w:autoSpaceDE/>
        <w:autoSpaceDN/>
        <w:bidi w:val="0"/>
        <w:adjustRightInd/>
        <w:snapToGrid/>
        <w:spacing w:line="360" w:lineRule="auto"/>
        <w:ind w:right="0" w:rightChars="0" w:firstLine="420" w:firstLineChars="200"/>
        <w:textAlignment w:val="auto"/>
        <w:rPr>
          <w:rFonts w:hint="eastAsia" w:asciiTheme="majorEastAsia" w:hAnsiTheme="majorEastAsia" w:eastAsiaTheme="majorEastAsia" w:cstheme="majorEastAsia"/>
          <w:color w:val="auto"/>
          <w:spacing w:val="0"/>
          <w:sz w:val="21"/>
          <w:szCs w:val="21"/>
          <w:highlight w:val="none"/>
          <w:lang w:val="en-US" w:eastAsia="zh-CN"/>
        </w:rPr>
      </w:pPr>
      <w:r>
        <w:rPr>
          <w:rFonts w:hint="eastAsia" w:asciiTheme="majorEastAsia" w:hAnsiTheme="majorEastAsia" w:eastAsiaTheme="majorEastAsia" w:cstheme="majorEastAsia"/>
          <w:color w:val="auto"/>
          <w:spacing w:val="0"/>
          <w:sz w:val="21"/>
          <w:szCs w:val="21"/>
          <w:highlight w:val="none"/>
          <w:lang w:val="en-US" w:eastAsia="zh-CN"/>
        </w:rPr>
        <w:t>5.供应商需根据项目需求，在响应文件中提供切实可行的项目重点难点分析、总体服务方案、人员管理方案、服务质量保障措施、安全、应急管理方案、内部管理制度等</w:t>
      </w:r>
      <w:r>
        <w:rPr>
          <w:rFonts w:hint="eastAsia" w:asciiTheme="majorEastAsia" w:hAnsiTheme="majorEastAsia" w:eastAsiaTheme="majorEastAsia" w:cstheme="majorEastAsia"/>
          <w:color w:val="auto"/>
          <w:spacing w:val="0"/>
          <w:sz w:val="21"/>
          <w:szCs w:val="21"/>
          <w:highlight w:val="none"/>
          <w:lang w:eastAsia="zh-CN"/>
        </w:rPr>
        <w:t>。</w:t>
      </w:r>
    </w:p>
    <w:p w14:paraId="06175654">
      <w:pPr>
        <w:spacing w:after="0" w:line="360" w:lineRule="auto"/>
        <w:rPr>
          <w:rFonts w:ascii="宋体" w:hAnsi="宋体" w:eastAsia="宋体" w:cs="Times New Roman"/>
          <w:b/>
          <w:bCs/>
          <w:color w:val="auto"/>
          <w:sz w:val="21"/>
          <w:szCs w:val="21"/>
          <w:highlight w:val="none"/>
        </w:rPr>
      </w:pPr>
    </w:p>
    <w:p w14:paraId="37A560DC">
      <w:pPr>
        <w:spacing w:after="0" w:line="360" w:lineRule="auto"/>
        <w:ind w:firstLine="422" w:firstLineChars="200"/>
        <w:rPr>
          <w:rFonts w:hint="eastAsia"/>
          <w:color w:val="auto"/>
          <w:sz w:val="28"/>
          <w:szCs w:val="28"/>
          <w:highlight w:val="none"/>
        </w:rPr>
      </w:pPr>
      <w:r>
        <w:rPr>
          <w:rFonts w:hint="eastAsia" w:ascii="宋体" w:hAnsi="宋体" w:eastAsia="宋体" w:cs="Times New Roman"/>
          <w:b/>
          <w:bCs/>
          <w:color w:val="auto"/>
          <w:sz w:val="21"/>
          <w:szCs w:val="21"/>
          <w:highlight w:val="none"/>
        </w:rPr>
        <w:t>注：不满足</w:t>
      </w:r>
      <w:r>
        <w:rPr>
          <w:rFonts w:hint="eastAsia" w:ascii="宋体" w:hAnsi="宋体" w:cs="Times New Roman"/>
          <w:b/>
          <w:bCs/>
          <w:color w:val="auto"/>
          <w:sz w:val="21"/>
          <w:szCs w:val="21"/>
          <w:highlight w:val="none"/>
          <w:lang w:eastAsia="zh-CN"/>
        </w:rPr>
        <w:t>磋商文件</w:t>
      </w:r>
      <w:r>
        <w:rPr>
          <w:rFonts w:hint="eastAsia" w:ascii="宋体" w:hAnsi="宋体" w:eastAsia="宋体" w:cs="Times New Roman"/>
          <w:b/>
          <w:bCs/>
          <w:color w:val="auto"/>
          <w:sz w:val="21"/>
          <w:szCs w:val="21"/>
          <w:highlight w:val="none"/>
        </w:rPr>
        <w:t>中 “★”条款的</w:t>
      </w:r>
      <w:r>
        <w:rPr>
          <w:rFonts w:hint="eastAsia" w:ascii="宋体" w:hAnsi="宋体" w:cs="Times New Roman"/>
          <w:b/>
          <w:bCs/>
          <w:color w:val="auto"/>
          <w:sz w:val="21"/>
          <w:szCs w:val="21"/>
          <w:highlight w:val="none"/>
          <w:lang w:eastAsia="zh-CN"/>
        </w:rPr>
        <w:t>响应文件</w:t>
      </w:r>
      <w:r>
        <w:rPr>
          <w:rFonts w:hint="eastAsia" w:ascii="宋体" w:hAnsi="宋体" w:eastAsia="宋体" w:cs="Times New Roman"/>
          <w:b/>
          <w:bCs/>
          <w:color w:val="auto"/>
          <w:sz w:val="21"/>
          <w:szCs w:val="21"/>
          <w:highlight w:val="none"/>
        </w:rPr>
        <w:t>将作无效</w:t>
      </w:r>
      <w:r>
        <w:rPr>
          <w:rFonts w:hint="eastAsia" w:ascii="宋体" w:hAnsi="宋体" w:cs="Times New Roman"/>
          <w:b/>
          <w:bCs/>
          <w:color w:val="auto"/>
          <w:sz w:val="21"/>
          <w:szCs w:val="21"/>
          <w:highlight w:val="none"/>
          <w:lang w:eastAsia="zh-CN"/>
        </w:rPr>
        <w:t>响应文件</w:t>
      </w:r>
      <w:r>
        <w:rPr>
          <w:rFonts w:hint="eastAsia" w:ascii="宋体" w:hAnsi="宋体" w:eastAsia="宋体" w:cs="Times New Roman"/>
          <w:b/>
          <w:bCs/>
          <w:color w:val="auto"/>
          <w:sz w:val="21"/>
          <w:szCs w:val="21"/>
          <w:highlight w:val="none"/>
        </w:rPr>
        <w:t>处理。</w:t>
      </w:r>
      <w:bookmarkEnd w:id="196"/>
      <w:bookmarkEnd w:id="197"/>
      <w:bookmarkEnd w:id="198"/>
      <w:bookmarkEnd w:id="199"/>
      <w:bookmarkStart w:id="200" w:name="_Toc12485"/>
      <w:bookmarkStart w:id="201" w:name="_Toc21448"/>
    </w:p>
    <w:p w14:paraId="78EC8CCC">
      <w:pPr>
        <w:bidi w:val="0"/>
        <w:rPr>
          <w:rFonts w:hint="eastAsia" w:eastAsia="宋体"/>
          <w:color w:val="auto"/>
          <w:highlight w:val="none"/>
          <w:lang w:eastAsia="zh-CN"/>
        </w:rPr>
      </w:pPr>
    </w:p>
    <w:p w14:paraId="1DD18C5E">
      <w:pPr>
        <w:bidi w:val="0"/>
        <w:rPr>
          <w:rFonts w:hint="eastAsia"/>
          <w:color w:val="auto"/>
          <w:highlight w:val="none"/>
          <w:lang w:eastAsia="zh-CN"/>
        </w:rPr>
      </w:pPr>
    </w:p>
    <w:p w14:paraId="39EB4F42">
      <w:pPr>
        <w:rPr>
          <w:rFonts w:hint="eastAsia" w:eastAsia="宋体"/>
          <w:color w:val="auto"/>
          <w:highlight w:val="none"/>
          <w:lang w:eastAsia="zh-CN"/>
        </w:rPr>
      </w:pPr>
    </w:p>
    <w:p w14:paraId="7BDDC784">
      <w:pPr>
        <w:bidi w:val="0"/>
        <w:rPr>
          <w:rFonts w:hint="eastAsia"/>
          <w:color w:val="auto"/>
          <w:highlight w:val="none"/>
          <w:lang w:eastAsia="zh-CN"/>
        </w:rPr>
      </w:pPr>
    </w:p>
    <w:p w14:paraId="559E70AA">
      <w:pPr>
        <w:rPr>
          <w:rFonts w:hint="eastAsia" w:eastAsia="宋体"/>
          <w:color w:val="auto"/>
          <w:highlight w:val="none"/>
          <w:lang w:eastAsia="zh-CN"/>
        </w:rPr>
      </w:pPr>
    </w:p>
    <w:p w14:paraId="1AD964DF">
      <w:pPr>
        <w:bidi w:val="0"/>
        <w:rPr>
          <w:rFonts w:hint="eastAsia"/>
          <w:color w:val="auto"/>
          <w:highlight w:val="none"/>
          <w:lang w:eastAsia="zh-CN"/>
        </w:rPr>
      </w:pPr>
    </w:p>
    <w:p w14:paraId="65AAFCA1">
      <w:pPr>
        <w:bidi w:val="0"/>
        <w:rPr>
          <w:rFonts w:hint="eastAsia"/>
          <w:color w:val="auto"/>
          <w:highlight w:val="none"/>
          <w:lang w:eastAsia="zh-CN"/>
        </w:rPr>
      </w:pPr>
    </w:p>
    <w:p w14:paraId="665A56ED">
      <w:pPr>
        <w:bidi w:val="0"/>
        <w:rPr>
          <w:rFonts w:hint="eastAsia"/>
          <w:color w:val="auto"/>
          <w:highlight w:val="none"/>
          <w:lang w:eastAsia="zh-CN"/>
        </w:rPr>
      </w:pPr>
    </w:p>
    <w:p w14:paraId="39352DCB">
      <w:pPr>
        <w:bidi w:val="0"/>
        <w:rPr>
          <w:rFonts w:hint="eastAsia"/>
          <w:color w:val="auto"/>
          <w:highlight w:val="none"/>
          <w:lang w:eastAsia="zh-CN"/>
        </w:rPr>
      </w:pPr>
    </w:p>
    <w:p w14:paraId="1A7DAD91">
      <w:pPr>
        <w:bidi w:val="0"/>
        <w:rPr>
          <w:rFonts w:hint="eastAsia"/>
          <w:color w:val="auto"/>
          <w:highlight w:val="none"/>
          <w:lang w:eastAsia="zh-CN"/>
        </w:rPr>
      </w:pPr>
    </w:p>
    <w:p w14:paraId="5F46760E">
      <w:pPr>
        <w:bidi w:val="0"/>
        <w:rPr>
          <w:rFonts w:hint="eastAsia"/>
          <w:color w:val="auto"/>
          <w:highlight w:val="none"/>
          <w:lang w:eastAsia="zh-CN"/>
        </w:rPr>
      </w:pPr>
    </w:p>
    <w:p w14:paraId="088E4564">
      <w:pPr>
        <w:rPr>
          <w:rFonts w:hint="eastAsia"/>
          <w:color w:val="auto"/>
          <w:sz w:val="28"/>
          <w:szCs w:val="28"/>
          <w:highlight w:val="none"/>
        </w:rPr>
      </w:pPr>
      <w:bookmarkStart w:id="202" w:name="_Toc17329"/>
      <w:r>
        <w:rPr>
          <w:rFonts w:hint="eastAsia"/>
          <w:color w:val="auto"/>
          <w:sz w:val="28"/>
          <w:szCs w:val="28"/>
          <w:highlight w:val="none"/>
        </w:rPr>
        <w:br w:type="page"/>
      </w:r>
    </w:p>
    <w:p w14:paraId="66DADE07">
      <w:pPr>
        <w:pStyle w:val="3"/>
        <w:spacing w:before="0" w:after="0" w:line="240" w:lineRule="auto"/>
        <w:rPr>
          <w:color w:val="auto"/>
          <w:sz w:val="28"/>
          <w:szCs w:val="28"/>
          <w:highlight w:val="none"/>
        </w:rPr>
      </w:pPr>
      <w:r>
        <w:rPr>
          <w:rFonts w:hint="eastAsia"/>
          <w:color w:val="auto"/>
          <w:sz w:val="28"/>
          <w:szCs w:val="28"/>
          <w:highlight w:val="none"/>
        </w:rPr>
        <w:t>第</w:t>
      </w:r>
      <w:r>
        <w:rPr>
          <w:rFonts w:hint="eastAsia"/>
          <w:color w:val="auto"/>
          <w:sz w:val="28"/>
          <w:szCs w:val="28"/>
          <w:highlight w:val="none"/>
          <w:lang w:val="en-US" w:eastAsia="zh-CN"/>
        </w:rPr>
        <w:t>六</w:t>
      </w:r>
      <w:r>
        <w:rPr>
          <w:rFonts w:hint="eastAsia"/>
          <w:color w:val="auto"/>
          <w:sz w:val="28"/>
          <w:szCs w:val="28"/>
          <w:highlight w:val="none"/>
        </w:rPr>
        <w:t>部分 合同格式（仅供参考）</w:t>
      </w:r>
      <w:bookmarkEnd w:id="200"/>
      <w:bookmarkEnd w:id="201"/>
      <w:bookmarkEnd w:id="202"/>
      <w:bookmarkStart w:id="203" w:name="_Toc13430"/>
      <w:bookmarkStart w:id="204" w:name="_Toc1534"/>
      <w:bookmarkStart w:id="205" w:name="_Toc21155"/>
    </w:p>
    <w:p w14:paraId="24F78668">
      <w:pPr>
        <w:pStyle w:val="4"/>
        <w:spacing w:before="0" w:after="0" w:line="240" w:lineRule="auto"/>
        <w:jc w:val="center"/>
        <w:rPr>
          <w:rFonts w:ascii="宋体" w:hAnsi="宋体" w:eastAsia="宋体" w:cs="宋体"/>
          <w:color w:val="auto"/>
          <w:highlight w:val="none"/>
        </w:rPr>
      </w:pPr>
      <w:bookmarkStart w:id="206" w:name="_Toc16730"/>
      <w:bookmarkStart w:id="207" w:name="_Toc29470"/>
      <w:bookmarkStart w:id="208" w:name="_Toc19575"/>
      <w:r>
        <w:rPr>
          <w:rFonts w:hint="eastAsia" w:ascii="宋体" w:hAnsi="宋体" w:eastAsia="宋体" w:cs="宋体"/>
          <w:color w:val="auto"/>
          <w:highlight w:val="none"/>
        </w:rPr>
        <w:t>合同格式</w:t>
      </w:r>
      <w:bookmarkEnd w:id="203"/>
      <w:bookmarkEnd w:id="204"/>
      <w:bookmarkEnd w:id="205"/>
      <w:bookmarkEnd w:id="206"/>
      <w:bookmarkEnd w:id="207"/>
      <w:bookmarkEnd w:id="208"/>
    </w:p>
    <w:p w14:paraId="1BC730E4">
      <w:pPr>
        <w:widowControl/>
        <w:adjustRightInd w:val="0"/>
        <w:snapToGrid w:val="0"/>
        <w:spacing w:after="200" w:line="420" w:lineRule="atLeast"/>
        <w:ind w:right="56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合同编号：</w:t>
      </w:r>
    </w:p>
    <w:p w14:paraId="04D33F12">
      <w:pPr>
        <w:widowControl/>
        <w:adjustRightInd w:val="0"/>
        <w:snapToGrid w:val="0"/>
        <w:spacing w:after="200" w:line="420" w:lineRule="atLeast"/>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甲方</w:t>
      </w:r>
      <w:r>
        <w:rPr>
          <w:rFonts w:hint="eastAsia" w:ascii="宋体" w:hAnsi="宋体" w:cs="宋体"/>
          <w:color w:val="auto"/>
          <w:kern w:val="0"/>
          <w:sz w:val="21"/>
          <w:szCs w:val="21"/>
          <w:highlight w:val="none"/>
          <w:lang w:eastAsia="zh-CN"/>
        </w:rPr>
        <w:t>（采购方）</w:t>
      </w:r>
      <w:r>
        <w:rPr>
          <w:rFonts w:hint="eastAsia" w:ascii="宋体" w:hAnsi="宋体" w:eastAsia="宋体" w:cs="宋体"/>
          <w:color w:val="auto"/>
          <w:kern w:val="0"/>
          <w:sz w:val="21"/>
          <w:szCs w:val="21"/>
          <w:highlight w:val="none"/>
        </w:rPr>
        <w:t>：</w:t>
      </w:r>
    </w:p>
    <w:p w14:paraId="2ABBA010">
      <w:pPr>
        <w:widowControl/>
        <w:adjustRightInd w:val="0"/>
        <w:snapToGrid w:val="0"/>
        <w:spacing w:after="200" w:line="420" w:lineRule="atLeast"/>
        <w:jc w:val="left"/>
        <w:rPr>
          <w:rFonts w:hint="eastAsia" w:ascii="宋体" w:hAnsi="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乙方</w:t>
      </w: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成交单位</w:t>
      </w: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w:t>
      </w:r>
    </w:p>
    <w:p w14:paraId="14853942">
      <w:pPr>
        <w:widowControl/>
        <w:adjustRightInd w:val="0"/>
        <w:snapToGrid w:val="0"/>
        <w:spacing w:after="200" w:line="420" w:lineRule="atLeast"/>
        <w:jc w:val="left"/>
        <w:rPr>
          <w:rFonts w:hint="eastAsia"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丙方（服务单位）：</w:t>
      </w:r>
    </w:p>
    <w:p w14:paraId="63F92792">
      <w:pPr>
        <w:widowControl/>
        <w:adjustRightInd w:val="0"/>
        <w:snapToGrid w:val="0"/>
        <w:spacing w:after="200" w:line="420" w:lineRule="atLeast"/>
        <w:jc w:val="left"/>
        <w:rPr>
          <w:rFonts w:hint="default" w:ascii="宋体" w:hAnsi="宋体" w:cs="宋体"/>
          <w:color w:val="auto"/>
          <w:kern w:val="0"/>
          <w:sz w:val="21"/>
          <w:szCs w:val="21"/>
          <w:highlight w:val="none"/>
          <w:lang w:val="en-US" w:eastAsia="zh-CN"/>
        </w:rPr>
      </w:pPr>
    </w:p>
    <w:p w14:paraId="420EC09B">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受甲方委托，</w:t>
      </w:r>
      <w:r>
        <w:rPr>
          <w:rFonts w:hint="eastAsia" w:ascii="宋体" w:hAnsi="宋体" w:eastAsia="宋体" w:cs="宋体"/>
          <w:color w:val="auto"/>
          <w:kern w:val="0"/>
          <w:sz w:val="21"/>
          <w:szCs w:val="21"/>
          <w:highlight w:val="none"/>
          <w:u w:val="single"/>
        </w:rPr>
        <w:t xml:space="preserve">           (采购代理机构)</w:t>
      </w:r>
      <w:r>
        <w:rPr>
          <w:rFonts w:hint="eastAsia" w:ascii="宋体" w:hAnsi="宋体" w:eastAsia="宋体" w:cs="宋体"/>
          <w:color w:val="auto"/>
          <w:kern w:val="0"/>
          <w:sz w:val="21"/>
          <w:szCs w:val="21"/>
          <w:highlight w:val="none"/>
        </w:rPr>
        <w:t>组织对</w:t>
      </w:r>
      <w:r>
        <w:rPr>
          <w:rFonts w:hint="eastAsia" w:ascii="宋体" w:hAnsi="宋体" w:eastAsia="宋体" w:cs="宋体"/>
          <w:color w:val="auto"/>
          <w:kern w:val="0"/>
          <w:sz w:val="21"/>
          <w:szCs w:val="21"/>
          <w:highlight w:val="none"/>
          <w:u w:val="single"/>
        </w:rPr>
        <w:t xml:space="preserve">         （项目名称）</w:t>
      </w:r>
      <w:r>
        <w:rPr>
          <w:rFonts w:hint="eastAsia" w:ascii="宋体" w:hAnsi="宋体" w:eastAsia="宋体" w:cs="宋体"/>
          <w:color w:val="auto"/>
          <w:kern w:val="0"/>
          <w:sz w:val="21"/>
          <w:szCs w:val="21"/>
          <w:highlight w:val="none"/>
        </w:rPr>
        <w:t>采购项目（采购编号为</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）进行采购，于</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年</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月</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日通过磋商，经磋商小组评定乙方</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为成交单位。为了保护甲、乙</w:t>
      </w:r>
      <w:r>
        <w:rPr>
          <w:rFonts w:hint="eastAsia" w:ascii="宋体" w:hAnsi="宋体" w:cs="宋体"/>
          <w:color w:val="auto"/>
          <w:kern w:val="0"/>
          <w:sz w:val="21"/>
          <w:szCs w:val="21"/>
          <w:highlight w:val="none"/>
          <w:lang w:eastAsia="zh-CN"/>
        </w:rPr>
        <w:t>、丙</w:t>
      </w:r>
      <w:r>
        <w:rPr>
          <w:rFonts w:hint="eastAsia" w:ascii="宋体" w:hAnsi="宋体" w:eastAsia="宋体" w:cs="宋体"/>
          <w:color w:val="auto"/>
          <w:kern w:val="0"/>
          <w:sz w:val="21"/>
          <w:szCs w:val="21"/>
          <w:highlight w:val="none"/>
        </w:rPr>
        <w:t>方合法权益，根据《中华人民共和国政府采购法》及其实施条例、《中华人民共和国民法典》，在平等自愿的基础上，按照下面的条款和条件，签署本合同。</w:t>
      </w:r>
    </w:p>
    <w:p w14:paraId="001E5965">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01A26084">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第一条 合同项目</w:t>
      </w:r>
    </w:p>
    <w:p w14:paraId="14A79A8E">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cs="宋体"/>
          <w:color w:val="auto"/>
          <w:kern w:val="0"/>
          <w:sz w:val="21"/>
          <w:szCs w:val="21"/>
          <w:highlight w:val="none"/>
          <w:lang w:val="en-US" w:eastAsia="zh-CN"/>
        </w:rPr>
        <w:t>（一）</w:t>
      </w:r>
      <w:r>
        <w:rPr>
          <w:rFonts w:hint="eastAsia" w:ascii="宋体" w:hAnsi="宋体" w:eastAsia="宋体" w:cs="宋体"/>
          <w:color w:val="auto"/>
          <w:kern w:val="0"/>
          <w:sz w:val="21"/>
          <w:szCs w:val="21"/>
          <w:highlight w:val="none"/>
        </w:rPr>
        <w:t>项目名称：                              ；</w:t>
      </w:r>
    </w:p>
    <w:p w14:paraId="309A518B">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cs="宋体"/>
          <w:color w:val="auto"/>
          <w:kern w:val="0"/>
          <w:sz w:val="21"/>
          <w:szCs w:val="21"/>
          <w:highlight w:val="none"/>
          <w:lang w:val="en-US" w:eastAsia="zh-CN"/>
        </w:rPr>
        <w:t>（二）</w:t>
      </w:r>
      <w:r>
        <w:rPr>
          <w:rFonts w:hint="eastAsia" w:ascii="宋体" w:hAnsi="宋体" w:eastAsia="宋体" w:cs="宋体"/>
          <w:color w:val="auto"/>
          <w:kern w:val="0"/>
          <w:sz w:val="21"/>
          <w:szCs w:val="21"/>
          <w:highlight w:val="none"/>
        </w:rPr>
        <w:t>采购编号：                   。</w:t>
      </w:r>
    </w:p>
    <w:p w14:paraId="2DC20FE1">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2B3D8EEF">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第二条 合同组成</w:t>
      </w:r>
    </w:p>
    <w:p w14:paraId="0EA29C43">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合同文件组成内容包括：本合同书 、成交通知书、响应文件（含澄清内容）、磋商文件（含磋商文件澄清通知）等。</w:t>
      </w:r>
    </w:p>
    <w:p w14:paraId="362AF5A1">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211DD09A">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第三条 服务内容、标准及要求</w:t>
      </w:r>
    </w:p>
    <w:p w14:paraId="3C23C9BA">
      <w:pPr>
        <w:keepNext w:val="0"/>
        <w:keepLines w:val="0"/>
        <w:pageBreakBefore w:val="0"/>
        <w:widowControl/>
        <w:kinsoku/>
        <w:wordWrap/>
        <w:overflowPunct/>
        <w:topLinePunct w:val="0"/>
        <w:autoSpaceDE/>
        <w:autoSpaceDN/>
        <w:bidi w:val="0"/>
        <w:adjustRightInd w:val="0"/>
        <w:snapToGrid w:val="0"/>
        <w:spacing w:line="360" w:lineRule="auto"/>
        <w:ind w:right="0" w:righ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（一）服务内容</w:t>
      </w:r>
    </w:p>
    <w:p w14:paraId="0EA79CCA">
      <w:pPr>
        <w:keepNext w:val="0"/>
        <w:keepLines w:val="0"/>
        <w:pageBreakBefore w:val="0"/>
        <w:widowControl/>
        <w:kinsoku/>
        <w:wordWrap/>
        <w:overflowPunct/>
        <w:topLinePunct w:val="0"/>
        <w:autoSpaceDE/>
        <w:autoSpaceDN/>
        <w:bidi w:val="0"/>
        <w:adjustRightInd w:val="0"/>
        <w:snapToGrid w:val="0"/>
        <w:spacing w:line="360" w:lineRule="auto"/>
        <w:ind w:right="0" w:righ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按照采购人要求，开展街面巡查救助工作，每两个月对全市所有镇街（园区）进行全面覆盖一次，及时、有效为符合救助条件的街面流浪乞讨人员提供急需的、基本的救助；建立救助档案，提供必要的物资救助，劝导街面流浪乞讨人员进站接受救助或到相关医院接受救治并联系护送；核实确定街面流浪人员[包括各镇街（园区）送医救治的街面流浪乞讨人员]身份信息，提供身份核查、问询寻亲、协助返乡或者转介相关部门和镇街等救助服务；协助收集全市街面流浪乞讨人员分布情况；根据服务对象的需求提供专业社工服务，使他们能融入社会、回归家庭。</w:t>
      </w:r>
    </w:p>
    <w:p w14:paraId="5D8A8069">
      <w:pPr>
        <w:keepNext w:val="0"/>
        <w:keepLines w:val="0"/>
        <w:pageBreakBefore w:val="0"/>
        <w:widowControl/>
        <w:kinsoku/>
        <w:wordWrap/>
        <w:overflowPunct/>
        <w:topLinePunct w:val="0"/>
        <w:autoSpaceDE/>
        <w:autoSpaceDN/>
        <w:bidi w:val="0"/>
        <w:adjustRightInd w:val="0"/>
        <w:snapToGrid w:val="0"/>
        <w:spacing w:line="360" w:lineRule="auto"/>
        <w:ind w:right="0" w:righ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（二）服务标准</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960"/>
        <w:gridCol w:w="1160"/>
        <w:gridCol w:w="1769"/>
        <w:gridCol w:w="2982"/>
      </w:tblGrid>
      <w:tr w14:paraId="465F3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blHeader/>
          <w:jc w:val="center"/>
        </w:trPr>
        <w:tc>
          <w:tcPr>
            <w:tcW w:w="651" w:type="dxa"/>
            <w:tcBorders>
              <w:top w:val="single" w:color="auto" w:sz="4" w:space="0"/>
              <w:left w:val="single" w:color="auto" w:sz="4" w:space="0"/>
              <w:bottom w:val="single" w:color="auto" w:sz="4" w:space="0"/>
              <w:right w:val="single" w:color="auto" w:sz="4" w:space="0"/>
            </w:tcBorders>
            <w:noWrap w:val="0"/>
            <w:vAlign w:val="center"/>
          </w:tcPr>
          <w:p w14:paraId="488FAF34">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bCs/>
                <w:color w:val="auto"/>
                <w:kern w:val="0"/>
                <w:sz w:val="21"/>
                <w:szCs w:val="21"/>
                <w:highlight w:val="none"/>
                <w:shd w:val="clear" w:color="auto" w:fill="FFFFFF"/>
              </w:rPr>
            </w:pPr>
            <w:r>
              <w:rPr>
                <w:rFonts w:hint="eastAsia" w:ascii="宋体" w:hAnsi="宋体" w:eastAsia="宋体" w:cs="宋体"/>
                <w:b/>
                <w:bCs/>
                <w:color w:val="auto"/>
                <w:kern w:val="0"/>
                <w:sz w:val="21"/>
                <w:szCs w:val="21"/>
                <w:highlight w:val="none"/>
                <w:shd w:val="clear" w:color="auto" w:fill="FFFFFF"/>
              </w:rPr>
              <w:t>序号</w:t>
            </w:r>
          </w:p>
        </w:tc>
        <w:tc>
          <w:tcPr>
            <w:tcW w:w="1960" w:type="dxa"/>
            <w:tcBorders>
              <w:top w:val="single" w:color="auto" w:sz="4" w:space="0"/>
              <w:left w:val="nil"/>
              <w:bottom w:val="single" w:color="auto" w:sz="4" w:space="0"/>
              <w:right w:val="single" w:color="auto" w:sz="4" w:space="0"/>
            </w:tcBorders>
            <w:noWrap w:val="0"/>
            <w:vAlign w:val="center"/>
          </w:tcPr>
          <w:p w14:paraId="42E5CB15">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bCs/>
                <w:color w:val="auto"/>
                <w:kern w:val="0"/>
                <w:sz w:val="21"/>
                <w:szCs w:val="21"/>
                <w:highlight w:val="none"/>
                <w:shd w:val="clear" w:color="auto" w:fill="FFFFFF"/>
              </w:rPr>
            </w:pPr>
            <w:r>
              <w:rPr>
                <w:rFonts w:hint="eastAsia" w:ascii="宋体" w:hAnsi="宋体" w:eastAsia="宋体" w:cs="宋体"/>
                <w:b/>
                <w:bCs/>
                <w:color w:val="auto"/>
                <w:kern w:val="0"/>
                <w:sz w:val="21"/>
                <w:szCs w:val="21"/>
                <w:highlight w:val="none"/>
                <w:shd w:val="clear" w:color="auto" w:fill="FFFFFF"/>
              </w:rPr>
              <w:t>服务项目</w:t>
            </w:r>
          </w:p>
        </w:tc>
        <w:tc>
          <w:tcPr>
            <w:tcW w:w="1160" w:type="dxa"/>
            <w:tcBorders>
              <w:top w:val="single" w:color="auto" w:sz="4" w:space="0"/>
              <w:left w:val="nil"/>
              <w:bottom w:val="single" w:color="auto" w:sz="4" w:space="0"/>
              <w:right w:val="single" w:color="auto" w:sz="4" w:space="0"/>
            </w:tcBorders>
            <w:noWrap w:val="0"/>
            <w:vAlign w:val="center"/>
          </w:tcPr>
          <w:p w14:paraId="169F07C6">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bCs/>
                <w:color w:val="auto"/>
                <w:kern w:val="0"/>
                <w:sz w:val="21"/>
                <w:szCs w:val="21"/>
                <w:highlight w:val="none"/>
                <w:shd w:val="clear" w:color="auto" w:fill="FFFFFF"/>
              </w:rPr>
            </w:pPr>
            <w:r>
              <w:rPr>
                <w:rFonts w:hint="eastAsia" w:ascii="宋体" w:hAnsi="宋体" w:eastAsia="宋体" w:cs="宋体"/>
                <w:b/>
                <w:bCs/>
                <w:color w:val="auto"/>
                <w:kern w:val="0"/>
                <w:sz w:val="21"/>
                <w:szCs w:val="21"/>
                <w:highlight w:val="none"/>
                <w:shd w:val="clear" w:color="auto" w:fill="FFFFFF"/>
                <w:lang w:eastAsia="zh-CN"/>
              </w:rPr>
              <w:t>服务期总</w:t>
            </w:r>
            <w:r>
              <w:rPr>
                <w:rFonts w:hint="eastAsia" w:ascii="宋体" w:hAnsi="宋体" w:eastAsia="宋体" w:cs="宋体"/>
                <w:b/>
                <w:bCs/>
                <w:color w:val="auto"/>
                <w:kern w:val="0"/>
                <w:sz w:val="21"/>
                <w:szCs w:val="21"/>
                <w:highlight w:val="none"/>
                <w:shd w:val="clear" w:color="auto" w:fill="FFFFFF"/>
              </w:rPr>
              <w:t>产出数量</w:t>
            </w:r>
          </w:p>
        </w:tc>
        <w:tc>
          <w:tcPr>
            <w:tcW w:w="1769" w:type="dxa"/>
            <w:tcBorders>
              <w:top w:val="single" w:color="auto" w:sz="4" w:space="0"/>
              <w:left w:val="nil"/>
              <w:bottom w:val="single" w:color="auto" w:sz="4" w:space="0"/>
              <w:right w:val="single" w:color="auto" w:sz="4" w:space="0"/>
            </w:tcBorders>
            <w:noWrap w:val="0"/>
            <w:vAlign w:val="center"/>
          </w:tcPr>
          <w:p w14:paraId="1607CAC3">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bCs/>
                <w:color w:val="auto"/>
                <w:kern w:val="0"/>
                <w:sz w:val="21"/>
                <w:szCs w:val="21"/>
                <w:highlight w:val="none"/>
                <w:shd w:val="clear" w:color="auto" w:fill="FFFFFF"/>
                <w:lang w:eastAsia="zh-CN"/>
              </w:rPr>
            </w:pPr>
            <w:r>
              <w:rPr>
                <w:rFonts w:hint="eastAsia" w:ascii="宋体" w:hAnsi="宋体" w:eastAsia="宋体" w:cs="宋体"/>
                <w:b/>
                <w:bCs/>
                <w:color w:val="auto"/>
                <w:kern w:val="0"/>
                <w:sz w:val="21"/>
                <w:szCs w:val="21"/>
                <w:highlight w:val="none"/>
                <w:shd w:val="clear" w:color="auto" w:fill="FFFFFF"/>
                <w:lang w:eastAsia="zh-CN"/>
              </w:rPr>
              <w:t>中期验收（满</w:t>
            </w:r>
            <w:r>
              <w:rPr>
                <w:rFonts w:hint="eastAsia" w:ascii="宋体" w:hAnsi="宋体" w:eastAsia="宋体" w:cs="宋体"/>
                <w:b/>
                <w:bCs/>
                <w:color w:val="auto"/>
                <w:kern w:val="0"/>
                <w:sz w:val="21"/>
                <w:szCs w:val="21"/>
                <w:highlight w:val="none"/>
                <w:shd w:val="clear" w:color="auto" w:fill="FFFFFF"/>
                <w:lang w:val="en-US" w:eastAsia="zh-CN"/>
              </w:rPr>
              <w:t>9个月）产出数量</w:t>
            </w:r>
          </w:p>
        </w:tc>
        <w:tc>
          <w:tcPr>
            <w:tcW w:w="2982" w:type="dxa"/>
            <w:tcBorders>
              <w:top w:val="single" w:color="auto" w:sz="4" w:space="0"/>
              <w:left w:val="nil"/>
              <w:bottom w:val="single" w:color="auto" w:sz="4" w:space="0"/>
              <w:right w:val="single" w:color="auto" w:sz="4" w:space="0"/>
            </w:tcBorders>
            <w:noWrap w:val="0"/>
            <w:vAlign w:val="center"/>
          </w:tcPr>
          <w:p w14:paraId="38CED5DF">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bCs/>
                <w:color w:val="auto"/>
                <w:kern w:val="0"/>
                <w:sz w:val="21"/>
                <w:szCs w:val="21"/>
                <w:highlight w:val="none"/>
                <w:shd w:val="clear" w:color="auto" w:fill="FFFFFF"/>
              </w:rPr>
            </w:pPr>
            <w:r>
              <w:rPr>
                <w:rFonts w:hint="eastAsia" w:ascii="宋体" w:hAnsi="宋体" w:eastAsia="宋体" w:cs="宋体"/>
                <w:b/>
                <w:bCs/>
                <w:color w:val="auto"/>
                <w:kern w:val="0"/>
                <w:sz w:val="21"/>
                <w:szCs w:val="21"/>
                <w:highlight w:val="none"/>
                <w:shd w:val="clear" w:color="auto" w:fill="FFFFFF"/>
              </w:rPr>
              <w:t>质量标准</w:t>
            </w:r>
          </w:p>
        </w:tc>
      </w:tr>
      <w:tr w14:paraId="51C0D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noWrap w:val="0"/>
            <w:vAlign w:val="center"/>
          </w:tcPr>
          <w:p w14:paraId="73E8678C">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1</w:t>
            </w:r>
          </w:p>
        </w:tc>
        <w:tc>
          <w:tcPr>
            <w:tcW w:w="1960" w:type="dxa"/>
            <w:tcBorders>
              <w:top w:val="single" w:color="auto" w:sz="4" w:space="0"/>
              <w:left w:val="nil"/>
              <w:bottom w:val="single" w:color="auto" w:sz="4" w:space="0"/>
              <w:right w:val="single" w:color="auto" w:sz="4" w:space="0"/>
            </w:tcBorders>
            <w:noWrap w:val="0"/>
            <w:vAlign w:val="center"/>
          </w:tcPr>
          <w:p w14:paraId="697B97C8">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为站外流浪人员提供救助服务</w:t>
            </w:r>
          </w:p>
        </w:tc>
        <w:tc>
          <w:tcPr>
            <w:tcW w:w="1160" w:type="dxa"/>
            <w:tcBorders>
              <w:top w:val="single" w:color="auto" w:sz="4" w:space="0"/>
              <w:left w:val="nil"/>
              <w:bottom w:val="single" w:color="auto" w:sz="4" w:space="0"/>
              <w:right w:val="single" w:color="auto" w:sz="4" w:space="0"/>
            </w:tcBorders>
            <w:noWrap w:val="0"/>
            <w:vAlign w:val="center"/>
          </w:tcPr>
          <w:p w14:paraId="583B9FA8">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lang w:val="en-US" w:eastAsia="zh-CN"/>
              </w:rPr>
              <w:t>2083</w:t>
            </w:r>
            <w:r>
              <w:rPr>
                <w:rFonts w:hint="eastAsia" w:ascii="宋体" w:hAnsi="宋体" w:eastAsia="宋体" w:cs="宋体"/>
                <w:color w:val="auto"/>
                <w:kern w:val="0"/>
                <w:sz w:val="21"/>
                <w:szCs w:val="21"/>
                <w:highlight w:val="none"/>
                <w:shd w:val="clear" w:color="auto" w:fill="FFFFFF"/>
              </w:rPr>
              <w:t>人次</w:t>
            </w:r>
          </w:p>
        </w:tc>
        <w:tc>
          <w:tcPr>
            <w:tcW w:w="1769" w:type="dxa"/>
            <w:tcBorders>
              <w:top w:val="single" w:color="auto" w:sz="4" w:space="0"/>
              <w:left w:val="nil"/>
              <w:bottom w:val="single" w:color="auto" w:sz="4" w:space="0"/>
              <w:right w:val="single" w:color="auto" w:sz="4" w:space="0"/>
            </w:tcBorders>
            <w:noWrap w:val="0"/>
            <w:vAlign w:val="center"/>
          </w:tcPr>
          <w:p w14:paraId="5B1C0412">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kern w:val="0"/>
                <w:sz w:val="21"/>
                <w:szCs w:val="21"/>
                <w:highlight w:val="none"/>
                <w:shd w:val="clear" w:color="auto" w:fill="FFFFFF"/>
                <w:lang w:val="en-US" w:eastAsia="zh-CN" w:bidi="ar"/>
              </w:rPr>
            </w:pPr>
            <w:r>
              <w:rPr>
                <w:rFonts w:hint="eastAsia" w:ascii="宋体" w:hAnsi="宋体" w:eastAsia="宋体" w:cs="宋体"/>
                <w:color w:val="auto"/>
                <w:kern w:val="0"/>
                <w:sz w:val="21"/>
                <w:szCs w:val="21"/>
                <w:highlight w:val="none"/>
                <w:shd w:val="clear" w:color="auto" w:fill="FFFFFF"/>
                <w:lang w:val="en-US" w:eastAsia="zh-CN" w:bidi="ar"/>
              </w:rPr>
              <w:t>1563人次</w:t>
            </w:r>
          </w:p>
        </w:tc>
        <w:tc>
          <w:tcPr>
            <w:tcW w:w="2982" w:type="dxa"/>
            <w:tcBorders>
              <w:top w:val="single" w:color="auto" w:sz="4" w:space="0"/>
              <w:left w:val="nil"/>
              <w:bottom w:val="single" w:color="auto" w:sz="4" w:space="0"/>
              <w:right w:val="single" w:color="auto" w:sz="4" w:space="0"/>
            </w:tcBorders>
            <w:noWrap w:val="0"/>
            <w:vAlign w:val="center"/>
          </w:tcPr>
          <w:p w14:paraId="776D7E67">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lang w:bidi="ar"/>
              </w:rPr>
              <w:t>有建档立卡，人像、身份信息清晰</w:t>
            </w:r>
          </w:p>
        </w:tc>
      </w:tr>
      <w:tr w14:paraId="1651F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651" w:type="dxa"/>
            <w:tcBorders>
              <w:top w:val="single" w:color="auto" w:sz="4" w:space="0"/>
              <w:left w:val="single" w:color="auto" w:sz="4" w:space="0"/>
              <w:bottom w:val="single" w:color="auto" w:sz="4" w:space="0"/>
              <w:right w:val="single" w:color="auto" w:sz="4" w:space="0"/>
            </w:tcBorders>
            <w:noWrap w:val="0"/>
            <w:vAlign w:val="center"/>
          </w:tcPr>
          <w:p w14:paraId="1E980B6C">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2</w:t>
            </w:r>
          </w:p>
        </w:tc>
        <w:tc>
          <w:tcPr>
            <w:tcW w:w="1960" w:type="dxa"/>
            <w:tcBorders>
              <w:top w:val="single" w:color="auto" w:sz="4" w:space="0"/>
              <w:left w:val="nil"/>
              <w:bottom w:val="single" w:color="auto" w:sz="4" w:space="0"/>
              <w:right w:val="single" w:color="auto" w:sz="4" w:space="0"/>
            </w:tcBorders>
            <w:noWrap w:val="0"/>
            <w:vAlign w:val="center"/>
          </w:tcPr>
          <w:p w14:paraId="786DE649">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核实流浪人员身份</w:t>
            </w:r>
          </w:p>
        </w:tc>
        <w:tc>
          <w:tcPr>
            <w:tcW w:w="1160" w:type="dxa"/>
            <w:tcBorders>
              <w:top w:val="single" w:color="auto" w:sz="4" w:space="0"/>
              <w:left w:val="nil"/>
              <w:bottom w:val="single" w:color="auto" w:sz="4" w:space="0"/>
              <w:right w:val="single" w:color="auto" w:sz="4" w:space="0"/>
            </w:tcBorders>
            <w:noWrap w:val="0"/>
            <w:vAlign w:val="center"/>
          </w:tcPr>
          <w:p w14:paraId="07DFE346">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lang w:val="en-US" w:eastAsia="zh-CN"/>
              </w:rPr>
              <w:t>292</w:t>
            </w:r>
            <w:r>
              <w:rPr>
                <w:rFonts w:hint="eastAsia" w:ascii="宋体" w:hAnsi="宋体" w:eastAsia="宋体" w:cs="宋体"/>
                <w:color w:val="auto"/>
                <w:kern w:val="0"/>
                <w:sz w:val="21"/>
                <w:szCs w:val="21"/>
                <w:highlight w:val="none"/>
                <w:shd w:val="clear" w:color="auto" w:fill="FFFFFF"/>
              </w:rPr>
              <w:t>人次</w:t>
            </w:r>
          </w:p>
        </w:tc>
        <w:tc>
          <w:tcPr>
            <w:tcW w:w="1769" w:type="dxa"/>
            <w:tcBorders>
              <w:top w:val="single" w:color="auto" w:sz="4" w:space="0"/>
              <w:left w:val="nil"/>
              <w:bottom w:val="single" w:color="auto" w:sz="4" w:space="0"/>
              <w:right w:val="single" w:color="auto" w:sz="4" w:space="0"/>
            </w:tcBorders>
            <w:noWrap w:val="0"/>
            <w:vAlign w:val="center"/>
          </w:tcPr>
          <w:p w14:paraId="2B50A2D4">
            <w:pPr>
              <w:keepNext w:val="0"/>
              <w:keepLines w:val="0"/>
              <w:pageBreakBefore w:val="0"/>
              <w:widowControl/>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shd w:val="clear" w:color="auto" w:fill="FFFFFF"/>
                <w:lang w:bidi="ar"/>
              </w:rPr>
            </w:pPr>
            <w:r>
              <w:rPr>
                <w:rFonts w:hint="eastAsia" w:ascii="宋体" w:hAnsi="宋体" w:eastAsia="宋体" w:cs="宋体"/>
                <w:color w:val="auto"/>
                <w:kern w:val="0"/>
                <w:sz w:val="21"/>
                <w:szCs w:val="21"/>
                <w:highlight w:val="none"/>
                <w:shd w:val="clear" w:color="auto" w:fill="FFFFFF"/>
                <w:lang w:val="en-US" w:eastAsia="zh-CN"/>
              </w:rPr>
              <w:t>218</w:t>
            </w:r>
            <w:r>
              <w:rPr>
                <w:rFonts w:hint="eastAsia" w:ascii="宋体" w:hAnsi="宋体" w:eastAsia="宋体" w:cs="宋体"/>
                <w:color w:val="auto"/>
                <w:kern w:val="0"/>
                <w:sz w:val="21"/>
                <w:szCs w:val="21"/>
                <w:highlight w:val="none"/>
                <w:shd w:val="clear" w:color="auto" w:fill="FFFFFF"/>
              </w:rPr>
              <w:t>人次</w:t>
            </w:r>
          </w:p>
        </w:tc>
        <w:tc>
          <w:tcPr>
            <w:tcW w:w="2982" w:type="dxa"/>
            <w:tcBorders>
              <w:top w:val="single" w:color="auto" w:sz="4" w:space="0"/>
              <w:left w:val="nil"/>
              <w:bottom w:val="single" w:color="auto" w:sz="4" w:space="0"/>
              <w:right w:val="single" w:color="auto" w:sz="4" w:space="0"/>
            </w:tcBorders>
            <w:noWrap w:val="0"/>
            <w:vAlign w:val="center"/>
          </w:tcPr>
          <w:p w14:paraId="390B40D2">
            <w:pPr>
              <w:keepNext w:val="0"/>
              <w:keepLines w:val="0"/>
              <w:pageBreakBefore w:val="0"/>
              <w:widowControl/>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lang w:bidi="ar"/>
              </w:rPr>
              <w:t>身份信息真实有效</w:t>
            </w:r>
          </w:p>
        </w:tc>
      </w:tr>
      <w:tr w14:paraId="6D8C7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noWrap w:val="0"/>
            <w:vAlign w:val="center"/>
          </w:tcPr>
          <w:p w14:paraId="778ECA1D">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3</w:t>
            </w:r>
          </w:p>
        </w:tc>
        <w:tc>
          <w:tcPr>
            <w:tcW w:w="1960" w:type="dxa"/>
            <w:tcBorders>
              <w:top w:val="single" w:color="auto" w:sz="4" w:space="0"/>
              <w:left w:val="nil"/>
              <w:bottom w:val="single" w:color="auto" w:sz="4" w:space="0"/>
              <w:right w:val="single" w:color="auto" w:sz="4" w:space="0"/>
            </w:tcBorders>
            <w:noWrap w:val="0"/>
            <w:vAlign w:val="center"/>
          </w:tcPr>
          <w:p w14:paraId="6DD5103C">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劝导流浪人员入站接受救助或者到医院接受救治</w:t>
            </w:r>
          </w:p>
        </w:tc>
        <w:tc>
          <w:tcPr>
            <w:tcW w:w="1160" w:type="dxa"/>
            <w:tcBorders>
              <w:top w:val="single" w:color="auto" w:sz="4" w:space="0"/>
              <w:left w:val="nil"/>
              <w:bottom w:val="single" w:color="auto" w:sz="4" w:space="0"/>
              <w:right w:val="single" w:color="auto" w:sz="4" w:space="0"/>
            </w:tcBorders>
            <w:noWrap w:val="0"/>
            <w:vAlign w:val="center"/>
          </w:tcPr>
          <w:p w14:paraId="4F7A69E6">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lang w:val="en-US" w:eastAsia="zh-CN"/>
              </w:rPr>
              <w:t>129</w:t>
            </w:r>
            <w:r>
              <w:rPr>
                <w:rFonts w:hint="eastAsia" w:ascii="宋体" w:hAnsi="宋体" w:eastAsia="宋体" w:cs="宋体"/>
                <w:color w:val="auto"/>
                <w:kern w:val="0"/>
                <w:sz w:val="21"/>
                <w:szCs w:val="21"/>
                <w:highlight w:val="none"/>
                <w:shd w:val="clear" w:color="auto" w:fill="FFFFFF"/>
              </w:rPr>
              <w:t>人次</w:t>
            </w:r>
          </w:p>
        </w:tc>
        <w:tc>
          <w:tcPr>
            <w:tcW w:w="1769" w:type="dxa"/>
            <w:tcBorders>
              <w:top w:val="single" w:color="auto" w:sz="4" w:space="0"/>
              <w:left w:val="nil"/>
              <w:bottom w:val="single" w:color="auto" w:sz="4" w:space="0"/>
              <w:right w:val="single" w:color="auto" w:sz="4" w:space="0"/>
            </w:tcBorders>
            <w:noWrap w:val="0"/>
            <w:vAlign w:val="center"/>
          </w:tcPr>
          <w:p w14:paraId="73893E34">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kern w:val="0"/>
                <w:sz w:val="21"/>
                <w:szCs w:val="21"/>
                <w:highlight w:val="none"/>
                <w:shd w:val="clear" w:color="auto" w:fill="FFFFFF"/>
                <w:lang w:val="en-US" w:eastAsia="zh-CN" w:bidi="ar"/>
              </w:rPr>
            </w:pPr>
            <w:r>
              <w:rPr>
                <w:rFonts w:hint="eastAsia" w:ascii="宋体" w:hAnsi="宋体" w:eastAsia="宋体" w:cs="宋体"/>
                <w:color w:val="auto"/>
                <w:kern w:val="0"/>
                <w:sz w:val="21"/>
                <w:szCs w:val="21"/>
                <w:highlight w:val="none"/>
                <w:shd w:val="clear" w:color="auto" w:fill="FFFFFF"/>
                <w:lang w:val="en-US" w:eastAsia="zh-CN" w:bidi="ar"/>
              </w:rPr>
              <w:t>97人次</w:t>
            </w:r>
          </w:p>
        </w:tc>
        <w:tc>
          <w:tcPr>
            <w:tcW w:w="2982" w:type="dxa"/>
            <w:tcBorders>
              <w:top w:val="single" w:color="auto" w:sz="4" w:space="0"/>
              <w:left w:val="nil"/>
              <w:bottom w:val="single" w:color="auto" w:sz="4" w:space="0"/>
              <w:right w:val="single" w:color="auto" w:sz="4" w:space="0"/>
            </w:tcBorders>
            <w:noWrap w:val="0"/>
            <w:vAlign w:val="center"/>
          </w:tcPr>
          <w:p w14:paraId="4EB41897">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lang w:bidi="ar"/>
              </w:rPr>
              <w:t>有清晰、规范的入站救助或就医手续</w:t>
            </w:r>
          </w:p>
        </w:tc>
      </w:tr>
      <w:tr w14:paraId="383BC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noWrap w:val="0"/>
            <w:vAlign w:val="center"/>
          </w:tcPr>
          <w:p w14:paraId="749844E5">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4</w:t>
            </w:r>
          </w:p>
        </w:tc>
        <w:tc>
          <w:tcPr>
            <w:tcW w:w="1960" w:type="dxa"/>
            <w:tcBorders>
              <w:top w:val="single" w:color="auto" w:sz="4" w:space="0"/>
              <w:left w:val="nil"/>
              <w:bottom w:val="single" w:color="auto" w:sz="4" w:space="0"/>
              <w:right w:val="single" w:color="auto" w:sz="4" w:space="0"/>
            </w:tcBorders>
            <w:noWrap w:val="0"/>
            <w:vAlign w:val="center"/>
          </w:tcPr>
          <w:p w14:paraId="21AAFDBA">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联系流浪人员亲属来莞接领返乡</w:t>
            </w:r>
          </w:p>
        </w:tc>
        <w:tc>
          <w:tcPr>
            <w:tcW w:w="1160" w:type="dxa"/>
            <w:tcBorders>
              <w:top w:val="single" w:color="auto" w:sz="4" w:space="0"/>
              <w:left w:val="nil"/>
              <w:bottom w:val="single" w:color="auto" w:sz="4" w:space="0"/>
              <w:right w:val="single" w:color="auto" w:sz="4" w:space="0"/>
            </w:tcBorders>
            <w:noWrap w:val="0"/>
            <w:vAlign w:val="center"/>
          </w:tcPr>
          <w:p w14:paraId="740A87FB">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lang w:val="en-US" w:eastAsia="zh-CN"/>
              </w:rPr>
              <w:t>17</w:t>
            </w:r>
            <w:r>
              <w:rPr>
                <w:rFonts w:hint="eastAsia" w:ascii="宋体" w:hAnsi="宋体" w:eastAsia="宋体" w:cs="宋体"/>
                <w:color w:val="auto"/>
                <w:kern w:val="0"/>
                <w:sz w:val="21"/>
                <w:szCs w:val="21"/>
                <w:highlight w:val="none"/>
                <w:shd w:val="clear" w:color="auto" w:fill="FFFFFF"/>
              </w:rPr>
              <w:t>人次</w:t>
            </w:r>
          </w:p>
        </w:tc>
        <w:tc>
          <w:tcPr>
            <w:tcW w:w="1769" w:type="dxa"/>
            <w:tcBorders>
              <w:top w:val="single" w:color="auto" w:sz="4" w:space="0"/>
              <w:left w:val="nil"/>
              <w:bottom w:val="single" w:color="auto" w:sz="4" w:space="0"/>
              <w:right w:val="single" w:color="auto" w:sz="4" w:space="0"/>
            </w:tcBorders>
            <w:noWrap w:val="0"/>
            <w:vAlign w:val="center"/>
          </w:tcPr>
          <w:p w14:paraId="7FD103F1">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kern w:val="0"/>
                <w:sz w:val="21"/>
                <w:szCs w:val="21"/>
                <w:highlight w:val="none"/>
                <w:shd w:val="clear" w:color="auto" w:fill="FFFFFF"/>
                <w:lang w:val="en-US" w:eastAsia="zh-CN" w:bidi="ar"/>
              </w:rPr>
            </w:pPr>
            <w:r>
              <w:rPr>
                <w:rFonts w:hint="eastAsia" w:ascii="宋体" w:hAnsi="宋体" w:eastAsia="宋体" w:cs="宋体"/>
                <w:color w:val="auto"/>
                <w:kern w:val="0"/>
                <w:sz w:val="21"/>
                <w:szCs w:val="21"/>
                <w:highlight w:val="none"/>
                <w:shd w:val="clear" w:color="auto" w:fill="FFFFFF"/>
                <w:lang w:val="en-US" w:eastAsia="zh-CN" w:bidi="ar"/>
              </w:rPr>
              <w:t>13人次</w:t>
            </w:r>
          </w:p>
        </w:tc>
        <w:tc>
          <w:tcPr>
            <w:tcW w:w="2982" w:type="dxa"/>
            <w:tcBorders>
              <w:top w:val="single" w:color="auto" w:sz="4" w:space="0"/>
              <w:left w:val="nil"/>
              <w:bottom w:val="single" w:color="auto" w:sz="4" w:space="0"/>
              <w:right w:val="single" w:color="auto" w:sz="4" w:space="0"/>
            </w:tcBorders>
            <w:noWrap w:val="0"/>
            <w:vAlign w:val="center"/>
          </w:tcPr>
          <w:p w14:paraId="7E29370A">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lang w:bidi="ar"/>
              </w:rPr>
              <w:t>有清晰台账，有视频或图像记录</w:t>
            </w:r>
          </w:p>
        </w:tc>
      </w:tr>
      <w:tr w14:paraId="27D54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noWrap w:val="0"/>
            <w:vAlign w:val="center"/>
          </w:tcPr>
          <w:p w14:paraId="1D151A4C">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5</w:t>
            </w:r>
          </w:p>
        </w:tc>
        <w:tc>
          <w:tcPr>
            <w:tcW w:w="4889" w:type="dxa"/>
            <w:gridSpan w:val="3"/>
            <w:tcBorders>
              <w:top w:val="single" w:color="auto" w:sz="4" w:space="0"/>
              <w:left w:val="nil"/>
              <w:bottom w:val="single" w:color="auto" w:sz="4" w:space="0"/>
              <w:right w:val="single" w:color="auto" w:sz="4" w:space="0"/>
            </w:tcBorders>
            <w:noWrap w:val="0"/>
            <w:vAlign w:val="center"/>
          </w:tcPr>
          <w:p w14:paraId="0A221E61">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开展街面巡查活动，每</w:t>
            </w:r>
            <w:r>
              <w:rPr>
                <w:rFonts w:hint="eastAsia" w:ascii="宋体" w:hAnsi="宋体" w:eastAsia="宋体" w:cs="宋体"/>
                <w:color w:val="auto"/>
                <w:kern w:val="0"/>
                <w:sz w:val="21"/>
                <w:szCs w:val="21"/>
                <w:highlight w:val="none"/>
                <w:shd w:val="clear" w:color="auto" w:fill="FFFFFF"/>
                <w:lang w:val="en-US" w:eastAsia="zh-CN"/>
              </w:rPr>
              <w:t>2</w:t>
            </w:r>
            <w:r>
              <w:rPr>
                <w:rFonts w:hint="eastAsia" w:ascii="宋体" w:hAnsi="宋体" w:eastAsia="宋体" w:cs="宋体"/>
                <w:color w:val="auto"/>
                <w:kern w:val="0"/>
                <w:sz w:val="21"/>
                <w:szCs w:val="21"/>
                <w:highlight w:val="none"/>
                <w:shd w:val="clear" w:color="auto" w:fill="FFFFFF"/>
              </w:rPr>
              <w:t>月对全市所有镇街全面覆盖一次</w:t>
            </w:r>
          </w:p>
        </w:tc>
        <w:tc>
          <w:tcPr>
            <w:tcW w:w="2982" w:type="dxa"/>
            <w:tcBorders>
              <w:top w:val="single" w:color="auto" w:sz="4" w:space="0"/>
              <w:left w:val="nil"/>
              <w:bottom w:val="single" w:color="auto" w:sz="4" w:space="0"/>
              <w:right w:val="single" w:color="auto" w:sz="4" w:space="0"/>
            </w:tcBorders>
            <w:noWrap w:val="0"/>
            <w:vAlign w:val="center"/>
          </w:tcPr>
          <w:p w14:paraId="1C0E0652">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有清晰明确的巡查救助痕迹</w:t>
            </w:r>
          </w:p>
        </w:tc>
      </w:tr>
      <w:tr w14:paraId="31555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noWrap w:val="0"/>
            <w:vAlign w:val="center"/>
          </w:tcPr>
          <w:p w14:paraId="0020A997">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kern w:val="0"/>
                <w:sz w:val="21"/>
                <w:szCs w:val="21"/>
                <w:highlight w:val="none"/>
                <w:shd w:val="clear" w:color="auto" w:fill="FFFFFF"/>
                <w:lang w:eastAsia="zh-CN"/>
              </w:rPr>
            </w:pPr>
            <w:r>
              <w:rPr>
                <w:rFonts w:hint="eastAsia" w:ascii="宋体" w:hAnsi="宋体" w:eastAsia="宋体" w:cs="宋体"/>
                <w:color w:val="auto"/>
                <w:kern w:val="0"/>
                <w:sz w:val="21"/>
                <w:szCs w:val="21"/>
                <w:highlight w:val="none"/>
                <w:shd w:val="clear" w:color="auto" w:fill="FFFFFF"/>
                <w:lang w:val="en-US" w:eastAsia="zh-CN"/>
              </w:rPr>
              <w:t>6</w:t>
            </w:r>
          </w:p>
        </w:tc>
        <w:tc>
          <w:tcPr>
            <w:tcW w:w="1960" w:type="dxa"/>
            <w:tcBorders>
              <w:top w:val="single" w:color="auto" w:sz="4" w:space="0"/>
              <w:left w:val="nil"/>
              <w:bottom w:val="single" w:color="auto" w:sz="4" w:space="0"/>
              <w:right w:val="single" w:color="auto" w:sz="4" w:space="0"/>
            </w:tcBorders>
            <w:noWrap w:val="0"/>
            <w:vAlign w:val="center"/>
          </w:tcPr>
          <w:p w14:paraId="043C8CCD">
            <w:pPr>
              <w:keepNext w:val="0"/>
              <w:keepLines w:val="0"/>
              <w:pageBreakBefore w:val="0"/>
              <w:widowControl/>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lang w:eastAsia="zh-CN"/>
              </w:rPr>
              <w:t>通讯简报</w:t>
            </w:r>
          </w:p>
        </w:tc>
        <w:tc>
          <w:tcPr>
            <w:tcW w:w="1160" w:type="dxa"/>
            <w:tcBorders>
              <w:top w:val="single" w:color="auto" w:sz="4" w:space="0"/>
              <w:left w:val="nil"/>
              <w:bottom w:val="single" w:color="auto" w:sz="4" w:space="0"/>
              <w:right w:val="single" w:color="auto" w:sz="4" w:space="0"/>
            </w:tcBorders>
            <w:noWrap w:val="0"/>
            <w:vAlign w:val="center"/>
          </w:tcPr>
          <w:p w14:paraId="21849C56">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lang w:val="en-US" w:eastAsia="zh-CN"/>
              </w:rPr>
              <w:t>10</w:t>
            </w:r>
            <w:r>
              <w:rPr>
                <w:rFonts w:hint="eastAsia" w:ascii="宋体" w:hAnsi="宋体" w:eastAsia="宋体" w:cs="宋体"/>
                <w:color w:val="auto"/>
                <w:kern w:val="0"/>
                <w:sz w:val="21"/>
                <w:szCs w:val="21"/>
                <w:highlight w:val="none"/>
                <w:shd w:val="clear" w:color="auto" w:fill="FFFFFF"/>
              </w:rPr>
              <w:t>篇</w:t>
            </w:r>
          </w:p>
        </w:tc>
        <w:tc>
          <w:tcPr>
            <w:tcW w:w="1769" w:type="dxa"/>
            <w:tcBorders>
              <w:top w:val="single" w:color="auto" w:sz="4" w:space="0"/>
              <w:left w:val="nil"/>
              <w:bottom w:val="single" w:color="auto" w:sz="4" w:space="0"/>
              <w:right w:val="single" w:color="auto" w:sz="4" w:space="0"/>
            </w:tcBorders>
            <w:noWrap w:val="0"/>
            <w:vAlign w:val="center"/>
          </w:tcPr>
          <w:p w14:paraId="00168769">
            <w:pPr>
              <w:keepNext w:val="0"/>
              <w:keepLines w:val="0"/>
              <w:pageBreakBefore w:val="0"/>
              <w:widowControl/>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shd w:val="clear" w:color="auto" w:fill="FFFFFF"/>
                <w:lang w:val="en-US" w:eastAsia="zh-CN" w:bidi="ar"/>
              </w:rPr>
            </w:pPr>
            <w:r>
              <w:rPr>
                <w:rFonts w:hint="eastAsia" w:ascii="宋体" w:hAnsi="宋体" w:eastAsia="宋体" w:cs="宋体"/>
                <w:color w:val="auto"/>
                <w:kern w:val="0"/>
                <w:sz w:val="21"/>
                <w:szCs w:val="21"/>
                <w:highlight w:val="none"/>
                <w:shd w:val="clear" w:color="auto" w:fill="FFFFFF"/>
                <w:lang w:val="en-US" w:eastAsia="zh-CN" w:bidi="ar"/>
              </w:rPr>
              <w:t>8篇</w:t>
            </w:r>
          </w:p>
        </w:tc>
        <w:tc>
          <w:tcPr>
            <w:tcW w:w="2982" w:type="dxa"/>
            <w:tcBorders>
              <w:top w:val="single" w:color="auto" w:sz="4" w:space="0"/>
              <w:left w:val="nil"/>
              <w:bottom w:val="single" w:color="auto" w:sz="4" w:space="0"/>
              <w:right w:val="single" w:color="auto" w:sz="4" w:space="0"/>
            </w:tcBorders>
            <w:noWrap w:val="0"/>
            <w:vAlign w:val="center"/>
          </w:tcPr>
          <w:p w14:paraId="00800780">
            <w:pPr>
              <w:keepNext w:val="0"/>
              <w:keepLines w:val="0"/>
              <w:pageBreakBefore w:val="0"/>
              <w:widowControl/>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lang w:bidi="ar"/>
              </w:rPr>
              <w:t>形成书面材料，至少有</w:t>
            </w:r>
            <w:r>
              <w:rPr>
                <w:rFonts w:hint="eastAsia" w:ascii="宋体" w:hAnsi="宋体" w:eastAsia="宋体" w:cs="宋体"/>
                <w:color w:val="auto"/>
                <w:kern w:val="0"/>
                <w:sz w:val="21"/>
                <w:szCs w:val="21"/>
                <w:highlight w:val="none"/>
                <w:shd w:val="clear" w:color="auto" w:fill="FFFFFF"/>
                <w:lang w:eastAsia="zh-CN" w:bidi="ar"/>
              </w:rPr>
              <w:t>两篇</w:t>
            </w:r>
            <w:r>
              <w:rPr>
                <w:rFonts w:hint="eastAsia" w:ascii="宋体" w:hAnsi="宋体" w:eastAsia="宋体" w:cs="宋体"/>
                <w:color w:val="auto"/>
                <w:kern w:val="0"/>
                <w:sz w:val="21"/>
                <w:szCs w:val="21"/>
                <w:highlight w:val="none"/>
                <w:shd w:val="clear" w:color="auto" w:fill="FFFFFF"/>
                <w:lang w:bidi="ar"/>
              </w:rPr>
              <w:t>由相关新闻媒体报道</w:t>
            </w:r>
            <w:r>
              <w:rPr>
                <w:rFonts w:hint="eastAsia" w:ascii="宋体" w:hAnsi="宋体" w:eastAsia="宋体" w:cs="宋体"/>
                <w:color w:val="auto"/>
                <w:kern w:val="0"/>
                <w:sz w:val="21"/>
                <w:szCs w:val="21"/>
                <w:highlight w:val="none"/>
                <w:shd w:val="clear" w:color="auto" w:fill="FFFFFF"/>
                <w:lang w:eastAsia="zh-CN" w:bidi="ar"/>
              </w:rPr>
              <w:t>，需提供报道材料或访问链接</w:t>
            </w:r>
            <w:r>
              <w:rPr>
                <w:rFonts w:hint="eastAsia" w:ascii="宋体" w:hAnsi="宋体" w:eastAsia="宋体" w:cs="宋体"/>
                <w:color w:val="auto"/>
                <w:kern w:val="0"/>
                <w:sz w:val="21"/>
                <w:szCs w:val="21"/>
                <w:highlight w:val="none"/>
                <w:shd w:val="clear" w:color="auto" w:fill="FFFFFF"/>
                <w:lang w:bidi="ar"/>
              </w:rPr>
              <w:t>。</w:t>
            </w:r>
          </w:p>
        </w:tc>
      </w:tr>
      <w:tr w14:paraId="7CDB9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noWrap w:val="0"/>
            <w:vAlign w:val="center"/>
          </w:tcPr>
          <w:p w14:paraId="2BC0CFAE">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lang w:val="en-US" w:eastAsia="zh-CN"/>
              </w:rPr>
              <w:t>7</w:t>
            </w:r>
          </w:p>
        </w:tc>
        <w:tc>
          <w:tcPr>
            <w:tcW w:w="1960" w:type="dxa"/>
            <w:tcBorders>
              <w:top w:val="single" w:color="auto" w:sz="4" w:space="0"/>
              <w:left w:val="nil"/>
              <w:bottom w:val="single" w:color="auto" w:sz="4" w:space="0"/>
              <w:right w:val="single" w:color="auto" w:sz="4" w:space="0"/>
            </w:tcBorders>
            <w:noWrap w:val="0"/>
            <w:vAlign w:val="center"/>
          </w:tcPr>
          <w:p w14:paraId="057DE97F">
            <w:pPr>
              <w:keepNext w:val="0"/>
              <w:keepLines w:val="0"/>
              <w:pageBreakBefore w:val="0"/>
              <w:widowControl/>
              <w:kinsoku/>
              <w:overflowPunct/>
              <w:topLinePunct w:val="0"/>
              <w:autoSpaceDE/>
              <w:autoSpaceDN/>
              <w:bidi w:val="0"/>
              <w:spacing w:line="360" w:lineRule="auto"/>
              <w:ind w:firstLine="0" w:firstLineChars="0"/>
              <w:jc w:val="center"/>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咨询服务</w:t>
            </w:r>
          </w:p>
        </w:tc>
        <w:tc>
          <w:tcPr>
            <w:tcW w:w="1160" w:type="dxa"/>
            <w:tcBorders>
              <w:top w:val="single" w:color="auto" w:sz="4" w:space="0"/>
              <w:left w:val="nil"/>
              <w:bottom w:val="single" w:color="auto" w:sz="4" w:space="0"/>
              <w:right w:val="single" w:color="auto" w:sz="4" w:space="0"/>
            </w:tcBorders>
            <w:noWrap w:val="0"/>
            <w:vAlign w:val="center"/>
          </w:tcPr>
          <w:p w14:paraId="31357F8F">
            <w:pPr>
              <w:keepNext w:val="0"/>
              <w:keepLines w:val="0"/>
              <w:pageBreakBefore w:val="0"/>
              <w:widowControl/>
              <w:kinsoku/>
              <w:overflowPunct/>
              <w:topLinePunct w:val="0"/>
              <w:autoSpaceDE/>
              <w:autoSpaceDN/>
              <w:bidi w:val="0"/>
              <w:spacing w:line="360" w:lineRule="auto"/>
              <w:ind w:firstLine="0" w:firstLineChars="0"/>
              <w:jc w:val="center"/>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lang w:val="en-US" w:eastAsia="zh-CN"/>
              </w:rPr>
              <w:t>25</w:t>
            </w:r>
            <w:r>
              <w:rPr>
                <w:rFonts w:hint="eastAsia" w:ascii="宋体" w:hAnsi="宋体" w:eastAsia="宋体" w:cs="宋体"/>
                <w:color w:val="auto"/>
                <w:kern w:val="0"/>
                <w:sz w:val="21"/>
                <w:szCs w:val="21"/>
                <w:highlight w:val="none"/>
                <w:shd w:val="clear" w:color="auto" w:fill="FFFFFF"/>
              </w:rPr>
              <w:t>人次</w:t>
            </w:r>
          </w:p>
        </w:tc>
        <w:tc>
          <w:tcPr>
            <w:tcW w:w="1769" w:type="dxa"/>
            <w:tcBorders>
              <w:top w:val="single" w:color="auto" w:sz="4" w:space="0"/>
              <w:left w:val="nil"/>
              <w:bottom w:val="single" w:color="auto" w:sz="4" w:space="0"/>
              <w:right w:val="single" w:color="auto" w:sz="4" w:space="0"/>
            </w:tcBorders>
            <w:noWrap w:val="0"/>
            <w:vAlign w:val="center"/>
          </w:tcPr>
          <w:p w14:paraId="267C6F9E">
            <w:pPr>
              <w:keepNext w:val="0"/>
              <w:keepLines w:val="0"/>
              <w:pageBreakBefore w:val="0"/>
              <w:widowControl/>
              <w:kinsoku/>
              <w:overflowPunct/>
              <w:topLinePunct w:val="0"/>
              <w:autoSpaceDE/>
              <w:autoSpaceDN/>
              <w:bidi w:val="0"/>
              <w:spacing w:line="360" w:lineRule="auto"/>
              <w:ind w:firstLine="0" w:firstLineChars="0"/>
              <w:jc w:val="center"/>
              <w:textAlignment w:val="auto"/>
              <w:rPr>
                <w:rFonts w:hint="eastAsia" w:ascii="宋体" w:hAnsi="宋体" w:eastAsia="宋体" w:cs="宋体"/>
                <w:color w:val="auto"/>
                <w:kern w:val="0"/>
                <w:sz w:val="21"/>
                <w:szCs w:val="21"/>
                <w:highlight w:val="none"/>
                <w:shd w:val="clear" w:color="auto" w:fill="FFFFFF"/>
                <w:lang w:val="en-US" w:eastAsia="zh-CN" w:bidi="ar"/>
              </w:rPr>
            </w:pPr>
            <w:r>
              <w:rPr>
                <w:rFonts w:hint="eastAsia" w:ascii="宋体" w:hAnsi="宋体" w:eastAsia="宋体" w:cs="宋体"/>
                <w:color w:val="auto"/>
                <w:kern w:val="0"/>
                <w:sz w:val="21"/>
                <w:szCs w:val="21"/>
                <w:highlight w:val="none"/>
                <w:shd w:val="clear" w:color="auto" w:fill="FFFFFF"/>
                <w:lang w:val="en-US" w:eastAsia="zh-CN" w:bidi="ar"/>
              </w:rPr>
              <w:t>19人次</w:t>
            </w:r>
          </w:p>
        </w:tc>
        <w:tc>
          <w:tcPr>
            <w:tcW w:w="2982" w:type="dxa"/>
            <w:tcBorders>
              <w:top w:val="single" w:color="auto" w:sz="4" w:space="0"/>
              <w:left w:val="nil"/>
              <w:bottom w:val="single" w:color="auto" w:sz="4" w:space="0"/>
              <w:right w:val="single" w:color="auto" w:sz="4" w:space="0"/>
            </w:tcBorders>
            <w:noWrap w:val="0"/>
            <w:vAlign w:val="center"/>
          </w:tcPr>
          <w:p w14:paraId="32F6E387">
            <w:pPr>
              <w:keepNext w:val="0"/>
              <w:keepLines w:val="0"/>
              <w:pageBreakBefore w:val="0"/>
              <w:widowControl/>
              <w:kinsoku/>
              <w:overflowPunct/>
              <w:topLinePunct w:val="0"/>
              <w:autoSpaceDE/>
              <w:autoSpaceDN/>
              <w:bidi w:val="0"/>
              <w:spacing w:line="360" w:lineRule="auto"/>
              <w:ind w:firstLine="0" w:firstLineChars="0"/>
              <w:jc w:val="center"/>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lang w:bidi="ar"/>
              </w:rPr>
              <w:t>引导全市医疗机构，按政策救治因病住院的流浪人员不少于</w:t>
            </w:r>
            <w:r>
              <w:rPr>
                <w:rFonts w:hint="eastAsia" w:ascii="宋体" w:hAnsi="宋体" w:eastAsia="宋体" w:cs="宋体"/>
                <w:color w:val="auto"/>
                <w:kern w:val="0"/>
                <w:sz w:val="21"/>
                <w:szCs w:val="21"/>
                <w:highlight w:val="none"/>
                <w:shd w:val="clear" w:color="auto" w:fill="FFFFFF"/>
                <w:lang w:val="en-US" w:eastAsia="zh-CN" w:bidi="ar"/>
              </w:rPr>
              <w:t>25</w:t>
            </w:r>
            <w:r>
              <w:rPr>
                <w:rFonts w:hint="eastAsia" w:ascii="宋体" w:hAnsi="宋体" w:eastAsia="宋体" w:cs="宋体"/>
                <w:color w:val="auto"/>
                <w:kern w:val="0"/>
                <w:sz w:val="21"/>
                <w:szCs w:val="21"/>
                <w:highlight w:val="none"/>
                <w:shd w:val="clear" w:color="auto" w:fill="FFFFFF"/>
                <w:lang w:bidi="ar"/>
              </w:rPr>
              <w:t>人次。</w:t>
            </w:r>
          </w:p>
        </w:tc>
      </w:tr>
      <w:tr w14:paraId="180DA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noWrap w:val="0"/>
            <w:vAlign w:val="center"/>
          </w:tcPr>
          <w:p w14:paraId="4E31C35B">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lang w:val="en-US" w:eastAsia="zh-CN"/>
              </w:rPr>
              <w:t>8</w:t>
            </w:r>
          </w:p>
        </w:tc>
        <w:tc>
          <w:tcPr>
            <w:tcW w:w="1960" w:type="dxa"/>
            <w:tcBorders>
              <w:top w:val="single" w:color="auto" w:sz="4" w:space="0"/>
              <w:left w:val="nil"/>
              <w:bottom w:val="single" w:color="auto" w:sz="4" w:space="0"/>
              <w:right w:val="single" w:color="auto" w:sz="4" w:space="0"/>
            </w:tcBorders>
            <w:noWrap w:val="0"/>
            <w:vAlign w:val="center"/>
          </w:tcPr>
          <w:p w14:paraId="3903C469">
            <w:pPr>
              <w:keepNext w:val="0"/>
              <w:keepLines w:val="0"/>
              <w:pageBreakBefore w:val="0"/>
              <w:widowControl/>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lang w:eastAsia="zh-CN"/>
              </w:rPr>
              <w:t>开展街面救助服务经验分享会</w:t>
            </w:r>
          </w:p>
        </w:tc>
        <w:tc>
          <w:tcPr>
            <w:tcW w:w="1160" w:type="dxa"/>
            <w:tcBorders>
              <w:top w:val="single" w:color="auto" w:sz="4" w:space="0"/>
              <w:left w:val="nil"/>
              <w:bottom w:val="single" w:color="auto" w:sz="4" w:space="0"/>
              <w:right w:val="single" w:color="auto" w:sz="4" w:space="0"/>
            </w:tcBorders>
            <w:noWrap w:val="0"/>
            <w:vAlign w:val="center"/>
          </w:tcPr>
          <w:p w14:paraId="15BBD8F4">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lang w:val="en-US" w:eastAsia="zh-CN"/>
              </w:rPr>
              <w:t>4次</w:t>
            </w:r>
          </w:p>
        </w:tc>
        <w:tc>
          <w:tcPr>
            <w:tcW w:w="1769" w:type="dxa"/>
            <w:tcBorders>
              <w:top w:val="single" w:color="auto" w:sz="4" w:space="0"/>
              <w:left w:val="nil"/>
              <w:bottom w:val="single" w:color="auto" w:sz="4" w:space="0"/>
              <w:right w:val="single" w:color="auto" w:sz="4" w:space="0"/>
            </w:tcBorders>
            <w:noWrap w:val="0"/>
            <w:vAlign w:val="center"/>
          </w:tcPr>
          <w:p w14:paraId="57D18EF3">
            <w:pPr>
              <w:keepNext w:val="0"/>
              <w:keepLines w:val="0"/>
              <w:pageBreakBefore w:val="0"/>
              <w:widowControl/>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shd w:val="clear" w:color="auto" w:fill="FFFFFF"/>
                <w:lang w:val="en-US" w:eastAsia="zh-CN" w:bidi="ar"/>
              </w:rPr>
            </w:pPr>
            <w:r>
              <w:rPr>
                <w:rFonts w:hint="eastAsia" w:ascii="宋体" w:hAnsi="宋体" w:eastAsia="宋体" w:cs="宋体"/>
                <w:color w:val="auto"/>
                <w:kern w:val="0"/>
                <w:sz w:val="21"/>
                <w:szCs w:val="21"/>
                <w:highlight w:val="none"/>
                <w:shd w:val="clear" w:color="auto" w:fill="FFFFFF"/>
                <w:lang w:val="en-US" w:eastAsia="zh-CN" w:bidi="ar"/>
              </w:rPr>
              <w:t>3次</w:t>
            </w:r>
          </w:p>
        </w:tc>
        <w:tc>
          <w:tcPr>
            <w:tcW w:w="2982" w:type="dxa"/>
            <w:tcBorders>
              <w:top w:val="single" w:color="auto" w:sz="4" w:space="0"/>
              <w:left w:val="nil"/>
              <w:bottom w:val="single" w:color="auto" w:sz="4" w:space="0"/>
              <w:right w:val="single" w:color="auto" w:sz="4" w:space="0"/>
            </w:tcBorders>
            <w:noWrap w:val="0"/>
            <w:vAlign w:val="center"/>
          </w:tcPr>
          <w:p w14:paraId="670A0508">
            <w:pPr>
              <w:keepNext w:val="0"/>
              <w:keepLines w:val="0"/>
              <w:pageBreakBefore w:val="0"/>
              <w:widowControl/>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lang w:eastAsia="zh-CN" w:bidi="ar"/>
              </w:rPr>
              <w:t>每次开展前</w:t>
            </w:r>
            <w:r>
              <w:rPr>
                <w:rFonts w:hint="eastAsia" w:ascii="宋体" w:hAnsi="宋体" w:eastAsia="宋体" w:cs="宋体"/>
                <w:color w:val="auto"/>
                <w:kern w:val="0"/>
                <w:sz w:val="21"/>
                <w:szCs w:val="21"/>
                <w:highlight w:val="none"/>
                <w:shd w:val="clear" w:color="auto" w:fill="FFFFFF"/>
                <w:lang w:val="en-US" w:eastAsia="zh-CN" w:bidi="ar"/>
              </w:rPr>
              <w:t>应形成相关材料，</w:t>
            </w:r>
            <w:r>
              <w:rPr>
                <w:rFonts w:hint="eastAsia" w:ascii="宋体" w:hAnsi="宋体" w:eastAsia="宋体" w:cs="宋体"/>
                <w:color w:val="auto"/>
                <w:kern w:val="0"/>
                <w:sz w:val="21"/>
                <w:szCs w:val="21"/>
                <w:highlight w:val="none"/>
                <w:shd w:val="clear" w:color="auto" w:fill="FFFFFF"/>
                <w:lang w:eastAsia="zh-CN" w:bidi="ar"/>
              </w:rPr>
              <w:t>参与者应达</w:t>
            </w:r>
            <w:r>
              <w:rPr>
                <w:rFonts w:hint="eastAsia" w:ascii="宋体" w:hAnsi="宋体" w:eastAsia="宋体" w:cs="宋体"/>
                <w:color w:val="auto"/>
                <w:kern w:val="0"/>
                <w:sz w:val="21"/>
                <w:szCs w:val="21"/>
                <w:highlight w:val="none"/>
                <w:shd w:val="clear" w:color="auto" w:fill="FFFFFF"/>
                <w:lang w:val="en-US" w:eastAsia="zh-CN" w:bidi="ar"/>
              </w:rPr>
              <w:t>20人次以上。</w:t>
            </w:r>
          </w:p>
        </w:tc>
      </w:tr>
      <w:tr w14:paraId="6DC53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535AE9">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kern w:val="0"/>
                <w:sz w:val="21"/>
                <w:szCs w:val="21"/>
                <w:highlight w:val="none"/>
                <w:shd w:val="clear" w:color="auto" w:fill="FFFFFF"/>
                <w:lang w:val="en-US" w:eastAsia="zh-CN" w:bidi="ar-SA"/>
              </w:rPr>
            </w:pPr>
            <w:r>
              <w:rPr>
                <w:rFonts w:hint="eastAsia" w:ascii="宋体" w:hAnsi="宋体" w:eastAsia="宋体" w:cs="宋体"/>
                <w:color w:val="auto"/>
                <w:kern w:val="0"/>
                <w:sz w:val="21"/>
                <w:szCs w:val="21"/>
                <w:highlight w:val="none"/>
                <w:shd w:val="clear" w:color="auto" w:fill="FFFFFF"/>
                <w:lang w:val="en-US" w:eastAsia="zh-CN"/>
              </w:rPr>
              <w:t>9</w:t>
            </w:r>
          </w:p>
        </w:tc>
        <w:tc>
          <w:tcPr>
            <w:tcW w:w="1960" w:type="dxa"/>
            <w:tcBorders>
              <w:top w:val="single" w:color="auto" w:sz="4" w:space="0"/>
              <w:left w:val="nil"/>
              <w:bottom w:val="single" w:color="auto" w:sz="4" w:space="0"/>
              <w:right w:val="single" w:color="auto" w:sz="4" w:space="0"/>
            </w:tcBorders>
            <w:shd w:val="clear" w:color="auto" w:fill="auto"/>
            <w:noWrap w:val="0"/>
            <w:vAlign w:val="center"/>
          </w:tcPr>
          <w:p w14:paraId="04FDA99D">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0" w:firstLineChars="0"/>
              <w:jc w:val="center"/>
              <w:textAlignment w:val="auto"/>
              <w:rPr>
                <w:rFonts w:hint="eastAsia" w:ascii="宋体" w:hAnsi="宋体" w:eastAsia="宋体" w:cs="宋体"/>
                <w:color w:val="auto"/>
                <w:kern w:val="0"/>
                <w:sz w:val="21"/>
                <w:szCs w:val="21"/>
                <w:highlight w:val="none"/>
                <w:shd w:val="clear" w:color="auto" w:fill="FFFFFF"/>
                <w:lang w:val="en-US" w:eastAsia="zh-CN" w:bidi="ar-SA"/>
              </w:rPr>
            </w:pPr>
            <w:r>
              <w:rPr>
                <w:rFonts w:hint="eastAsia" w:ascii="宋体" w:hAnsi="宋体" w:eastAsia="宋体" w:cs="宋体"/>
                <w:color w:val="auto"/>
                <w:kern w:val="0"/>
                <w:sz w:val="21"/>
                <w:szCs w:val="21"/>
                <w:highlight w:val="none"/>
                <w:u w:val="none"/>
                <w:shd w:val="clear" w:color="auto" w:fill="FFFFFF"/>
              </w:rPr>
              <w:t>服务协助</w:t>
            </w:r>
          </w:p>
        </w:tc>
        <w:tc>
          <w:tcPr>
            <w:tcW w:w="1160" w:type="dxa"/>
            <w:tcBorders>
              <w:top w:val="single" w:color="auto" w:sz="4" w:space="0"/>
              <w:left w:val="nil"/>
              <w:bottom w:val="single" w:color="auto" w:sz="4" w:space="0"/>
              <w:right w:val="single" w:color="auto" w:sz="4" w:space="0"/>
            </w:tcBorders>
            <w:shd w:val="clear" w:color="auto" w:fill="auto"/>
            <w:noWrap w:val="0"/>
            <w:vAlign w:val="center"/>
          </w:tcPr>
          <w:p w14:paraId="2D9BB74F">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0" w:firstLineChars="0"/>
              <w:jc w:val="center"/>
              <w:textAlignment w:val="auto"/>
              <w:rPr>
                <w:rFonts w:hint="eastAsia" w:ascii="宋体" w:hAnsi="宋体" w:eastAsia="宋体" w:cs="宋体"/>
                <w:color w:val="auto"/>
                <w:kern w:val="0"/>
                <w:sz w:val="21"/>
                <w:szCs w:val="21"/>
                <w:highlight w:val="none"/>
                <w:shd w:val="clear" w:color="auto" w:fill="FFFFFF"/>
                <w:lang w:val="en-US" w:eastAsia="zh-CN" w:bidi="ar-SA"/>
              </w:rPr>
            </w:pPr>
            <w:r>
              <w:rPr>
                <w:rFonts w:hint="eastAsia" w:ascii="宋体" w:hAnsi="宋体" w:eastAsia="宋体" w:cs="宋体"/>
                <w:color w:val="auto"/>
                <w:kern w:val="0"/>
                <w:sz w:val="21"/>
                <w:szCs w:val="21"/>
                <w:highlight w:val="none"/>
                <w:u w:val="none"/>
                <w:shd w:val="clear" w:color="auto" w:fill="FFFFFF"/>
              </w:rPr>
              <w:t>按需</w:t>
            </w:r>
          </w:p>
        </w:tc>
        <w:tc>
          <w:tcPr>
            <w:tcW w:w="1769" w:type="dxa"/>
            <w:tcBorders>
              <w:top w:val="single" w:color="auto" w:sz="4" w:space="0"/>
              <w:left w:val="nil"/>
              <w:bottom w:val="single" w:color="auto" w:sz="4" w:space="0"/>
              <w:right w:val="single" w:color="auto" w:sz="4" w:space="0"/>
            </w:tcBorders>
            <w:shd w:val="clear" w:color="auto" w:fill="auto"/>
            <w:noWrap w:val="0"/>
            <w:vAlign w:val="center"/>
          </w:tcPr>
          <w:p w14:paraId="6F0AE981">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0" w:firstLineChars="0"/>
              <w:jc w:val="center"/>
              <w:textAlignment w:val="auto"/>
              <w:rPr>
                <w:rFonts w:hint="eastAsia" w:ascii="宋体" w:hAnsi="宋体" w:eastAsia="宋体" w:cs="宋体"/>
                <w:color w:val="auto"/>
                <w:kern w:val="0"/>
                <w:sz w:val="21"/>
                <w:szCs w:val="21"/>
                <w:highlight w:val="none"/>
                <w:u w:val="none"/>
                <w:shd w:val="clear" w:color="auto" w:fill="FFFFFF"/>
                <w:lang w:val="en-US" w:eastAsia="zh-CN" w:bidi="ar-SA"/>
              </w:rPr>
            </w:pPr>
            <w:r>
              <w:rPr>
                <w:rFonts w:hint="eastAsia" w:ascii="宋体" w:hAnsi="宋体" w:eastAsia="宋体" w:cs="宋体"/>
                <w:color w:val="auto"/>
                <w:kern w:val="0"/>
                <w:sz w:val="21"/>
                <w:szCs w:val="21"/>
                <w:highlight w:val="none"/>
                <w:u w:val="none"/>
                <w:shd w:val="clear" w:color="auto" w:fill="FFFFFF"/>
              </w:rPr>
              <w:t>按需</w:t>
            </w:r>
          </w:p>
        </w:tc>
        <w:tc>
          <w:tcPr>
            <w:tcW w:w="2982" w:type="dxa"/>
            <w:tcBorders>
              <w:top w:val="single" w:color="auto" w:sz="4" w:space="0"/>
              <w:left w:val="nil"/>
              <w:bottom w:val="single" w:color="auto" w:sz="4" w:space="0"/>
              <w:right w:val="single" w:color="auto" w:sz="4" w:space="0"/>
            </w:tcBorders>
            <w:shd w:val="clear" w:color="auto" w:fill="auto"/>
            <w:noWrap w:val="0"/>
            <w:vAlign w:val="center"/>
          </w:tcPr>
          <w:p w14:paraId="3692E49B">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0" w:firstLineChars="0"/>
              <w:jc w:val="center"/>
              <w:textAlignment w:val="auto"/>
              <w:rPr>
                <w:rFonts w:hint="eastAsia" w:ascii="宋体" w:hAnsi="宋体" w:eastAsia="宋体" w:cs="宋体"/>
                <w:color w:val="auto"/>
                <w:kern w:val="0"/>
                <w:sz w:val="21"/>
                <w:szCs w:val="21"/>
                <w:highlight w:val="none"/>
                <w:shd w:val="clear" w:color="auto" w:fill="FFFFFF"/>
                <w:lang w:val="en-US" w:eastAsia="zh-CN" w:bidi="ar-SA"/>
              </w:rPr>
            </w:pPr>
            <w:r>
              <w:rPr>
                <w:rFonts w:hint="eastAsia" w:ascii="宋体" w:hAnsi="宋体" w:eastAsia="宋体" w:cs="宋体"/>
                <w:color w:val="auto"/>
                <w:kern w:val="0"/>
                <w:sz w:val="21"/>
                <w:szCs w:val="21"/>
                <w:highlight w:val="none"/>
                <w:u w:val="none"/>
                <w:shd w:val="clear" w:color="auto" w:fill="FFFFFF"/>
              </w:rPr>
              <w:t>有真实可查的工作记录</w:t>
            </w:r>
          </w:p>
        </w:tc>
      </w:tr>
    </w:tbl>
    <w:p w14:paraId="78CD323F">
      <w:pPr>
        <w:widowControl/>
        <w:adjustRightInd w:val="0"/>
        <w:snapToGrid w:val="0"/>
        <w:spacing w:line="360" w:lineRule="auto"/>
        <w:jc w:val="left"/>
        <w:rPr>
          <w:rFonts w:hint="eastAsia" w:ascii="宋体" w:hAnsi="宋体" w:cs="宋体"/>
          <w:color w:val="auto"/>
          <w:kern w:val="0"/>
          <w:sz w:val="21"/>
          <w:szCs w:val="21"/>
          <w:highlight w:val="none"/>
          <w:shd w:val="clear" w:color="auto" w:fill="FFFFFF"/>
          <w:lang w:eastAsia="zh-CN"/>
        </w:rPr>
      </w:pPr>
    </w:p>
    <w:p w14:paraId="5A51D7EB">
      <w:pPr>
        <w:widowControl/>
        <w:adjustRightInd w:val="0"/>
        <w:snapToGrid w:val="0"/>
        <w:spacing w:line="360" w:lineRule="auto"/>
        <w:ind w:firstLine="420" w:firstLineChars="200"/>
        <w:jc w:val="left"/>
        <w:rPr>
          <w:rFonts w:hint="eastAsia" w:ascii="宋体" w:hAnsi="宋体" w:eastAsia="宋体" w:cs="宋体"/>
          <w:color w:val="auto"/>
          <w:kern w:val="0"/>
          <w:sz w:val="21"/>
          <w:szCs w:val="21"/>
          <w:highlight w:val="none"/>
          <w:shd w:val="clear" w:color="auto" w:fill="FFFFFF"/>
          <w:lang w:eastAsia="zh-CN"/>
        </w:rPr>
      </w:pPr>
      <w:r>
        <w:rPr>
          <w:rFonts w:hint="eastAsia" w:ascii="宋体" w:hAnsi="宋体" w:cs="宋体"/>
          <w:color w:val="auto"/>
          <w:kern w:val="0"/>
          <w:sz w:val="21"/>
          <w:szCs w:val="21"/>
          <w:highlight w:val="none"/>
          <w:shd w:val="clear" w:color="auto" w:fill="FFFFFF"/>
          <w:lang w:eastAsia="zh-CN"/>
        </w:rPr>
        <w:t>（三）服务要求</w:t>
      </w:r>
    </w:p>
    <w:p w14:paraId="4C9BC841">
      <w:pPr>
        <w:keepNext w:val="0"/>
        <w:keepLines w:val="0"/>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1</w:t>
      </w:r>
      <w:r>
        <w:rPr>
          <w:rFonts w:hint="eastAsia" w:ascii="宋体" w:hAnsi="宋体" w:cs="宋体"/>
          <w:color w:val="auto"/>
          <w:kern w:val="0"/>
          <w:sz w:val="21"/>
          <w:szCs w:val="21"/>
          <w:highlight w:val="none"/>
          <w:shd w:val="clear" w:color="auto" w:fill="FFFFFF"/>
          <w:lang w:val="en-US" w:eastAsia="zh-CN"/>
        </w:rPr>
        <w:t>.</w:t>
      </w:r>
      <w:r>
        <w:rPr>
          <w:rFonts w:hint="eastAsia" w:ascii="宋体" w:hAnsi="宋体" w:eastAsia="宋体" w:cs="宋体"/>
          <w:color w:val="auto"/>
          <w:kern w:val="0"/>
          <w:sz w:val="21"/>
          <w:szCs w:val="21"/>
          <w:highlight w:val="none"/>
          <w:shd w:val="clear" w:color="auto" w:fill="FFFFFF"/>
        </w:rPr>
        <w:t>乙方应本着服务至上，诚信为本的宗旨，为甲方委派身体健康并符合要求的社会工作者</w:t>
      </w:r>
      <w:r>
        <w:rPr>
          <w:rFonts w:hint="eastAsia" w:ascii="宋体" w:hAnsi="宋体" w:cs="宋体"/>
          <w:color w:val="auto"/>
          <w:kern w:val="0"/>
          <w:sz w:val="21"/>
          <w:szCs w:val="21"/>
          <w:highlight w:val="none"/>
          <w:shd w:val="clear" w:color="auto" w:fill="FFFFFF"/>
          <w:lang w:val="en-US" w:eastAsia="zh-CN"/>
        </w:rPr>
        <w:t>5</w:t>
      </w:r>
      <w:r>
        <w:rPr>
          <w:rFonts w:hint="eastAsia" w:ascii="宋体" w:hAnsi="宋体" w:eastAsia="宋体" w:cs="宋体"/>
          <w:color w:val="auto"/>
          <w:kern w:val="0"/>
          <w:sz w:val="21"/>
          <w:szCs w:val="21"/>
          <w:highlight w:val="none"/>
          <w:shd w:val="clear" w:color="auto" w:fill="FFFFFF"/>
        </w:rPr>
        <w:t>名。</w:t>
      </w:r>
    </w:p>
    <w:p w14:paraId="3FB1D166">
      <w:pPr>
        <w:keepNext w:val="0"/>
        <w:keepLines w:val="0"/>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2</w:t>
      </w:r>
      <w:r>
        <w:rPr>
          <w:rFonts w:hint="eastAsia" w:ascii="宋体" w:hAnsi="宋体" w:cs="宋体"/>
          <w:color w:val="auto"/>
          <w:kern w:val="0"/>
          <w:sz w:val="21"/>
          <w:szCs w:val="21"/>
          <w:highlight w:val="none"/>
          <w:shd w:val="clear" w:color="auto" w:fill="FFFFFF"/>
          <w:lang w:val="en-US" w:eastAsia="zh-CN"/>
        </w:rPr>
        <w:t>.</w:t>
      </w:r>
      <w:r>
        <w:rPr>
          <w:rFonts w:hint="eastAsia" w:ascii="宋体" w:hAnsi="宋体" w:eastAsia="宋体" w:cs="宋体"/>
          <w:color w:val="auto"/>
          <w:kern w:val="0"/>
          <w:sz w:val="21"/>
          <w:szCs w:val="21"/>
          <w:highlight w:val="none"/>
          <w:shd w:val="clear" w:color="auto" w:fill="FFFFFF"/>
        </w:rPr>
        <w:t>乙方配备的项目社工应持有助理社会工作师或以上等级社会工作者职业水平证书。</w:t>
      </w:r>
    </w:p>
    <w:p w14:paraId="469B0C19">
      <w:pPr>
        <w:keepNext w:val="0"/>
        <w:keepLines w:val="0"/>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3</w:t>
      </w:r>
      <w:r>
        <w:rPr>
          <w:rFonts w:hint="eastAsia" w:ascii="宋体" w:hAnsi="宋体" w:cs="宋体"/>
          <w:color w:val="auto"/>
          <w:kern w:val="0"/>
          <w:sz w:val="21"/>
          <w:szCs w:val="21"/>
          <w:highlight w:val="none"/>
          <w:shd w:val="clear" w:color="auto" w:fill="FFFFFF"/>
          <w:lang w:val="en-US" w:eastAsia="zh-CN"/>
        </w:rPr>
        <w:t>.</w:t>
      </w:r>
      <w:r>
        <w:rPr>
          <w:rFonts w:hint="eastAsia" w:ascii="宋体" w:hAnsi="宋体" w:eastAsia="宋体" w:cs="宋体"/>
          <w:color w:val="auto"/>
          <w:kern w:val="0"/>
          <w:sz w:val="21"/>
          <w:szCs w:val="21"/>
          <w:highlight w:val="none"/>
          <w:shd w:val="clear" w:color="auto" w:fill="FFFFFF"/>
        </w:rPr>
        <w:t>乙方应按照投标文件提供的有关名单配备项目人员并确保配备的项目人员中（中、高级）社会工作师和助理社会工作师比例不低于1:4。对不符合要求的项目人员</w:t>
      </w:r>
      <w:r>
        <w:rPr>
          <w:rFonts w:hint="eastAsia" w:ascii="宋体" w:hAnsi="宋体" w:cs="宋体"/>
          <w:color w:val="auto"/>
          <w:kern w:val="0"/>
          <w:sz w:val="21"/>
          <w:szCs w:val="21"/>
          <w:highlight w:val="none"/>
          <w:shd w:val="clear" w:color="auto" w:fill="FFFFFF"/>
          <w:lang w:eastAsia="zh-CN"/>
        </w:rPr>
        <w:t>，</w:t>
      </w:r>
      <w:r>
        <w:rPr>
          <w:rFonts w:hint="eastAsia" w:ascii="宋体" w:hAnsi="宋体" w:eastAsia="宋体" w:cs="宋体"/>
          <w:color w:val="auto"/>
          <w:kern w:val="0"/>
          <w:sz w:val="21"/>
          <w:szCs w:val="21"/>
          <w:highlight w:val="none"/>
          <w:shd w:val="clear" w:color="auto" w:fill="FFFFFF"/>
        </w:rPr>
        <w:t>甲方有权按照缺岗约定处理并扣除相应费用。</w:t>
      </w:r>
    </w:p>
    <w:p w14:paraId="6E9EF84E">
      <w:pPr>
        <w:keepNext w:val="0"/>
        <w:keepLines w:val="0"/>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4</w:t>
      </w:r>
      <w:r>
        <w:rPr>
          <w:rFonts w:hint="eastAsia" w:ascii="宋体" w:hAnsi="宋体" w:cs="宋体"/>
          <w:color w:val="auto"/>
          <w:kern w:val="0"/>
          <w:sz w:val="21"/>
          <w:szCs w:val="21"/>
          <w:highlight w:val="none"/>
          <w:shd w:val="clear" w:color="auto" w:fill="FFFFFF"/>
          <w:lang w:val="en-US" w:eastAsia="zh-CN"/>
        </w:rPr>
        <w:t>.</w:t>
      </w:r>
      <w:r>
        <w:rPr>
          <w:rFonts w:hint="eastAsia" w:ascii="宋体" w:hAnsi="宋体" w:eastAsia="宋体" w:cs="宋体"/>
          <w:color w:val="auto"/>
          <w:kern w:val="0"/>
          <w:sz w:val="21"/>
          <w:szCs w:val="21"/>
          <w:highlight w:val="none"/>
          <w:shd w:val="clear" w:color="auto" w:fill="FFFFFF"/>
        </w:rPr>
        <w:t>乙方应与项目人员建立劳动关系，订立和履行劳动合同，支付工资并交纳相关的社会保险金等费用。其中社工人力成本应符合《东莞市人民政府办公室关于印发〈东莞市政府购买社会工作服务实施办法〉的通知》（东府办〔2021〕8号）以及《东莞市民政局 东莞市财政局关于印发〈政府购买社会工作服务资金使用管理办法〉的通知》（东民规〔2021〕2号）有关规定。</w:t>
      </w:r>
    </w:p>
    <w:p w14:paraId="1E037540">
      <w:pPr>
        <w:keepNext w:val="0"/>
        <w:keepLines w:val="0"/>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5</w:t>
      </w:r>
      <w:r>
        <w:rPr>
          <w:rFonts w:hint="eastAsia" w:ascii="宋体" w:hAnsi="宋体" w:cs="宋体"/>
          <w:color w:val="auto"/>
          <w:kern w:val="0"/>
          <w:sz w:val="21"/>
          <w:szCs w:val="21"/>
          <w:highlight w:val="none"/>
          <w:shd w:val="clear" w:color="auto" w:fill="FFFFFF"/>
          <w:lang w:val="en-US" w:eastAsia="zh-CN"/>
        </w:rPr>
        <w:t>.</w:t>
      </w:r>
      <w:r>
        <w:rPr>
          <w:rFonts w:hint="eastAsia" w:ascii="宋体" w:hAnsi="宋体" w:eastAsia="宋体" w:cs="宋体"/>
          <w:color w:val="auto"/>
          <w:kern w:val="0"/>
          <w:sz w:val="21"/>
          <w:szCs w:val="21"/>
          <w:highlight w:val="none"/>
          <w:shd w:val="clear" w:color="auto" w:fill="FFFFFF"/>
        </w:rPr>
        <w:t>乙方应安排符合要求的项目人员，并提前向甲方及丙方报备项目人员名单，经同意后方可安排上岗。如有人员变更的，需提前报备，征得甲方及丙方书面同意后方可变更。丙方应每月核准乙方项目人员在岗情况，并向甲方报送乙方项目人员在岗情况。</w:t>
      </w:r>
    </w:p>
    <w:p w14:paraId="3D71472E">
      <w:pPr>
        <w:keepNext w:val="0"/>
        <w:keepLines w:val="0"/>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6</w:t>
      </w:r>
      <w:r>
        <w:rPr>
          <w:rFonts w:hint="eastAsia" w:ascii="宋体" w:hAnsi="宋体" w:cs="宋体"/>
          <w:color w:val="auto"/>
          <w:kern w:val="0"/>
          <w:sz w:val="21"/>
          <w:szCs w:val="21"/>
          <w:highlight w:val="none"/>
          <w:shd w:val="clear" w:color="auto" w:fill="FFFFFF"/>
          <w:lang w:val="en-US" w:eastAsia="zh-CN"/>
        </w:rPr>
        <w:t>.</w:t>
      </w:r>
      <w:r>
        <w:rPr>
          <w:rFonts w:hint="eastAsia" w:ascii="宋体" w:hAnsi="宋体" w:eastAsia="宋体" w:cs="宋体"/>
          <w:color w:val="auto"/>
          <w:kern w:val="0"/>
          <w:sz w:val="21"/>
          <w:szCs w:val="21"/>
          <w:highlight w:val="none"/>
          <w:shd w:val="clear" w:color="auto" w:fill="FFFFFF"/>
        </w:rPr>
        <w:t>合同期内，乙方应每季度提交社工项目工作报告；合同结束后提交</w:t>
      </w:r>
      <w:r>
        <w:rPr>
          <w:rFonts w:hint="eastAsia" w:ascii="宋体" w:hAnsi="宋体" w:cs="宋体"/>
          <w:color w:val="auto"/>
          <w:kern w:val="0"/>
          <w:sz w:val="21"/>
          <w:szCs w:val="21"/>
          <w:highlight w:val="none"/>
          <w:shd w:val="clear" w:color="auto" w:fill="FFFFFF"/>
          <w:lang w:eastAsia="zh-CN"/>
        </w:rPr>
        <w:t>项目</w:t>
      </w:r>
      <w:r>
        <w:rPr>
          <w:rFonts w:hint="eastAsia" w:ascii="宋体" w:hAnsi="宋体" w:eastAsia="宋体" w:cs="宋体"/>
          <w:color w:val="auto"/>
          <w:kern w:val="0"/>
          <w:sz w:val="21"/>
          <w:szCs w:val="21"/>
          <w:highlight w:val="none"/>
          <w:shd w:val="clear" w:color="auto" w:fill="FFFFFF"/>
        </w:rPr>
        <w:t>总结报告。上述报告须经丙方审核确认后再报送甲方。</w:t>
      </w:r>
    </w:p>
    <w:p w14:paraId="0C51DBAD">
      <w:pPr>
        <w:keepNext w:val="0"/>
        <w:keepLines w:val="0"/>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7</w:t>
      </w:r>
      <w:r>
        <w:rPr>
          <w:rFonts w:hint="eastAsia" w:ascii="宋体" w:hAnsi="宋体" w:cs="宋体"/>
          <w:color w:val="auto"/>
          <w:kern w:val="0"/>
          <w:sz w:val="21"/>
          <w:szCs w:val="21"/>
          <w:highlight w:val="none"/>
          <w:shd w:val="clear" w:color="auto" w:fill="FFFFFF"/>
          <w:lang w:val="en-US" w:eastAsia="zh-CN"/>
        </w:rPr>
        <w:t>.</w:t>
      </w:r>
      <w:r>
        <w:rPr>
          <w:rFonts w:hint="eastAsia" w:ascii="宋体" w:hAnsi="宋体" w:eastAsia="宋体" w:cs="宋体"/>
          <w:color w:val="auto"/>
          <w:kern w:val="0"/>
          <w:sz w:val="21"/>
          <w:szCs w:val="21"/>
          <w:highlight w:val="none"/>
          <w:shd w:val="clear" w:color="auto" w:fill="FFFFFF"/>
        </w:rPr>
        <w:t>因不可抗力因素影响，服务单位需实施封闭管理的，乙方项目人员应配合丙方进行封闭管理。确有特殊情况无法进行封闭管理的，须取得甲方及丙方同意，并根据缺岗时间扣减费用（扣减标准按本合同第四条服务费用及支付方式中第一点第5小点执行）。</w:t>
      </w:r>
    </w:p>
    <w:p w14:paraId="4774DE07">
      <w:pPr>
        <w:keepNext w:val="0"/>
        <w:keepLines w:val="0"/>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具体采购内容采购标准及要求以磋商文件用户需求书及乙方响应文件承诺条款及方案为准。</w:t>
      </w:r>
    </w:p>
    <w:p w14:paraId="11B646A3">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34251C5C">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第四条 价格</w:t>
      </w:r>
    </w:p>
    <w:p w14:paraId="2ADA2AD9">
      <w:pPr>
        <w:widowControl/>
        <w:adjustRightInd w:val="0"/>
        <w:snapToGrid w:val="0"/>
        <w:spacing w:line="360" w:lineRule="auto"/>
        <w:ind w:firstLine="420" w:firstLineChars="200"/>
        <w:jc w:val="left"/>
        <w:rPr>
          <w:rFonts w:ascii="宋体" w:hAnsi="宋体" w:eastAsia="宋体" w:cs="宋体"/>
          <w:color w:val="auto"/>
          <w:sz w:val="21"/>
          <w:szCs w:val="21"/>
          <w:highlight w:val="none"/>
          <w:shd w:val="clear" w:color="auto" w:fill="FFFFFF"/>
        </w:rPr>
      </w:pPr>
      <w:r>
        <w:rPr>
          <w:rFonts w:hint="eastAsia" w:ascii="宋体" w:hAnsi="宋体" w:cs="宋体"/>
          <w:color w:val="auto"/>
          <w:kern w:val="0"/>
          <w:sz w:val="21"/>
          <w:szCs w:val="21"/>
          <w:highlight w:val="none"/>
          <w:shd w:val="clear" w:color="auto" w:fill="FFFFFF"/>
          <w:lang w:eastAsia="zh-CN"/>
        </w:rPr>
        <w:t>（一）</w:t>
      </w:r>
      <w:r>
        <w:rPr>
          <w:rFonts w:hint="eastAsia" w:ascii="宋体" w:hAnsi="宋体" w:eastAsia="宋体" w:cs="宋体"/>
          <w:color w:val="auto"/>
          <w:kern w:val="0"/>
          <w:sz w:val="21"/>
          <w:szCs w:val="21"/>
          <w:highlight w:val="none"/>
          <w:shd w:val="clear" w:color="auto" w:fill="FFFFFF"/>
        </w:rPr>
        <w:t>合同总价包含：人工费、材料费、设备使用费、各种税费、保险费及合同实施过程中的不可预见费用等全部费用，按本次招标范围及成交价一次包干，结算时不作调整。</w:t>
      </w:r>
    </w:p>
    <w:p w14:paraId="176AB4F2">
      <w:pPr>
        <w:widowControl/>
        <w:adjustRightInd w:val="0"/>
        <w:snapToGrid w:val="0"/>
        <w:spacing w:line="360" w:lineRule="auto"/>
        <w:ind w:firstLine="399" w:firstLineChars="190"/>
        <w:jc w:val="left"/>
        <w:rPr>
          <w:rFonts w:ascii="宋体" w:hAnsi="宋体" w:eastAsia="宋体" w:cs="宋体"/>
          <w:color w:val="auto"/>
          <w:sz w:val="21"/>
          <w:szCs w:val="21"/>
          <w:highlight w:val="none"/>
        </w:rPr>
      </w:pPr>
      <w:r>
        <w:rPr>
          <w:rFonts w:hint="eastAsia" w:ascii="宋体" w:hAnsi="宋体" w:cs="宋体"/>
          <w:color w:val="auto"/>
          <w:kern w:val="0"/>
          <w:sz w:val="21"/>
          <w:szCs w:val="21"/>
          <w:highlight w:val="none"/>
          <w:lang w:eastAsia="zh-CN"/>
        </w:rPr>
        <w:t>（二）</w:t>
      </w:r>
      <w:r>
        <w:rPr>
          <w:rFonts w:hint="eastAsia" w:ascii="宋体" w:hAnsi="宋体" w:eastAsia="宋体" w:cs="宋体"/>
          <w:color w:val="auto"/>
          <w:kern w:val="0"/>
          <w:sz w:val="21"/>
          <w:szCs w:val="21"/>
          <w:highlight w:val="none"/>
        </w:rPr>
        <w:t xml:space="preserve">合同总价：（人民币）大写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14:paraId="775B8D6A">
      <w:pPr>
        <w:widowControl/>
        <w:adjustRightInd w:val="0"/>
        <w:snapToGrid w:val="0"/>
        <w:spacing w:line="360" w:lineRule="auto"/>
        <w:ind w:firstLine="399" w:firstLineChars="190"/>
        <w:jc w:val="left"/>
        <w:rPr>
          <w:rFonts w:ascii="宋体" w:hAnsi="宋体" w:eastAsia="宋体" w:cs="宋体"/>
          <w:color w:val="auto"/>
          <w:sz w:val="21"/>
          <w:szCs w:val="21"/>
          <w:highlight w:val="none"/>
        </w:rPr>
      </w:pPr>
      <w:r>
        <w:rPr>
          <w:rFonts w:hint="eastAsia" w:ascii="宋体" w:hAnsi="宋体" w:cs="宋体"/>
          <w:color w:val="auto"/>
          <w:kern w:val="0"/>
          <w:sz w:val="21"/>
          <w:szCs w:val="21"/>
          <w:highlight w:val="none"/>
          <w:lang w:eastAsia="zh-CN"/>
        </w:rPr>
        <w:t>（三）</w:t>
      </w:r>
      <w:r>
        <w:rPr>
          <w:rFonts w:hint="eastAsia" w:ascii="宋体" w:hAnsi="宋体" w:eastAsia="宋体" w:cs="宋体"/>
          <w:color w:val="auto"/>
          <w:kern w:val="0"/>
          <w:sz w:val="21"/>
          <w:szCs w:val="21"/>
          <w:highlight w:val="none"/>
        </w:rPr>
        <w:t>本合同价为固定不变价。</w:t>
      </w:r>
    </w:p>
    <w:p w14:paraId="11937B4D">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71BFB12F">
      <w:pPr>
        <w:widowControl/>
        <w:adjustRightInd w:val="0"/>
        <w:snapToGrid w:val="0"/>
        <w:spacing w:line="360" w:lineRule="auto"/>
        <w:ind w:firstLine="422" w:firstLineChars="200"/>
        <w:jc w:val="left"/>
        <w:rPr>
          <w:rFonts w:hint="eastAsia" w:ascii="宋体" w:hAnsi="宋体" w:eastAsia="宋体" w:cs="宋体"/>
          <w:b/>
          <w:color w:val="auto"/>
          <w:sz w:val="21"/>
          <w:szCs w:val="21"/>
          <w:highlight w:val="none"/>
          <w:lang w:eastAsia="zh-CN"/>
        </w:rPr>
      </w:pPr>
      <w:r>
        <w:rPr>
          <w:rFonts w:hint="eastAsia" w:ascii="宋体" w:hAnsi="宋体" w:eastAsia="宋体" w:cs="宋体"/>
          <w:b/>
          <w:color w:val="auto"/>
          <w:kern w:val="0"/>
          <w:sz w:val="21"/>
          <w:szCs w:val="21"/>
          <w:highlight w:val="none"/>
        </w:rPr>
        <w:t>第五条 服务期限</w:t>
      </w:r>
      <w:r>
        <w:rPr>
          <w:rFonts w:hint="eastAsia" w:ascii="宋体" w:hAnsi="宋体" w:cs="宋体"/>
          <w:b/>
          <w:color w:val="auto"/>
          <w:kern w:val="0"/>
          <w:sz w:val="21"/>
          <w:szCs w:val="21"/>
          <w:highlight w:val="none"/>
          <w:lang w:eastAsia="zh-CN"/>
        </w:rPr>
        <w:t>、</w:t>
      </w:r>
      <w:r>
        <w:rPr>
          <w:rFonts w:hint="eastAsia" w:ascii="宋体" w:hAnsi="宋体" w:eastAsia="宋体" w:cs="宋体"/>
          <w:b/>
          <w:color w:val="auto"/>
          <w:kern w:val="0"/>
          <w:sz w:val="21"/>
          <w:szCs w:val="21"/>
          <w:highlight w:val="none"/>
        </w:rPr>
        <w:t>地点</w:t>
      </w:r>
      <w:r>
        <w:rPr>
          <w:rFonts w:hint="eastAsia" w:ascii="宋体" w:hAnsi="宋体" w:cs="宋体"/>
          <w:b/>
          <w:color w:val="auto"/>
          <w:kern w:val="0"/>
          <w:sz w:val="21"/>
          <w:szCs w:val="21"/>
          <w:highlight w:val="none"/>
          <w:lang w:eastAsia="zh-CN"/>
        </w:rPr>
        <w:t>及对象</w:t>
      </w:r>
    </w:p>
    <w:p w14:paraId="3FC45ADC">
      <w:pPr>
        <w:widowControl/>
        <w:adjustRightInd w:val="0"/>
        <w:snapToGrid w:val="0"/>
        <w:spacing w:line="360" w:lineRule="auto"/>
        <w:ind w:firstLine="495" w:firstLineChars="236"/>
        <w:jc w:val="left"/>
        <w:rPr>
          <w:rFonts w:ascii="宋体" w:hAnsi="宋体" w:eastAsia="宋体" w:cs="宋体"/>
          <w:color w:val="auto"/>
          <w:sz w:val="21"/>
          <w:szCs w:val="21"/>
          <w:highlight w:val="none"/>
        </w:rPr>
      </w:pPr>
      <w:r>
        <w:rPr>
          <w:rFonts w:hint="eastAsia" w:ascii="宋体" w:hAnsi="宋体" w:cs="宋体"/>
          <w:color w:val="auto"/>
          <w:kern w:val="0"/>
          <w:sz w:val="21"/>
          <w:szCs w:val="21"/>
          <w:highlight w:val="none"/>
          <w:lang w:eastAsia="zh-CN"/>
        </w:rPr>
        <w:t>（一）</w:t>
      </w:r>
      <w:r>
        <w:rPr>
          <w:rFonts w:hint="eastAsia" w:ascii="宋体" w:hAnsi="宋体" w:eastAsia="宋体" w:cs="宋体"/>
          <w:color w:val="auto"/>
          <w:kern w:val="0"/>
          <w:sz w:val="21"/>
          <w:szCs w:val="21"/>
          <w:highlight w:val="none"/>
        </w:rPr>
        <w:t>服务期：</w:t>
      </w: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年，合同生效之日自</w:t>
      </w:r>
      <w:r>
        <w:rPr>
          <w:rFonts w:hint="eastAsia" w:ascii="宋体" w:hAnsi="宋体" w:cs="宋体"/>
          <w:color w:val="auto"/>
          <w:kern w:val="0"/>
          <w:sz w:val="21"/>
          <w:szCs w:val="21"/>
          <w:highlight w:val="none"/>
          <w:lang w:val="en-US" w:eastAsia="zh-CN"/>
        </w:rPr>
        <w:t>2025</w:t>
      </w:r>
      <w:r>
        <w:rPr>
          <w:rFonts w:hint="eastAsia" w:ascii="宋体" w:hAnsi="宋体" w:eastAsia="宋体" w:cs="宋体"/>
          <w:color w:val="auto"/>
          <w:kern w:val="0"/>
          <w:sz w:val="21"/>
          <w:szCs w:val="21"/>
          <w:highlight w:val="none"/>
        </w:rPr>
        <w:t>年</w:t>
      </w:r>
      <w:r>
        <w:rPr>
          <w:rFonts w:hint="eastAsia" w:ascii="宋体" w:hAnsi="宋体" w:cs="宋体"/>
          <w:color w:val="auto"/>
          <w:kern w:val="0"/>
          <w:sz w:val="21"/>
          <w:szCs w:val="21"/>
          <w:highlight w:val="none"/>
          <w:lang w:val="en-US" w:eastAsia="zh-CN"/>
        </w:rPr>
        <w:t>6</w:t>
      </w:r>
      <w:r>
        <w:rPr>
          <w:rFonts w:hint="eastAsia" w:ascii="宋体" w:hAnsi="宋体" w:eastAsia="宋体" w:cs="宋体"/>
          <w:color w:val="auto"/>
          <w:kern w:val="0"/>
          <w:sz w:val="21"/>
          <w:szCs w:val="21"/>
          <w:highlight w:val="none"/>
        </w:rPr>
        <w:t>月</w:t>
      </w:r>
      <w:r>
        <w:rPr>
          <w:rFonts w:hint="eastAsia" w:ascii="宋体" w:hAnsi="宋体" w:cs="宋体"/>
          <w:color w:val="auto"/>
          <w:kern w:val="0"/>
          <w:sz w:val="21"/>
          <w:szCs w:val="21"/>
          <w:highlight w:val="none"/>
          <w:lang w:val="en-US" w:eastAsia="zh-CN"/>
        </w:rPr>
        <w:t>19</w:t>
      </w:r>
      <w:r>
        <w:rPr>
          <w:rFonts w:hint="eastAsia" w:ascii="宋体" w:hAnsi="宋体" w:eastAsia="宋体" w:cs="宋体"/>
          <w:color w:val="auto"/>
          <w:kern w:val="0"/>
          <w:sz w:val="21"/>
          <w:szCs w:val="21"/>
          <w:highlight w:val="none"/>
        </w:rPr>
        <w:t>日至</w:t>
      </w:r>
      <w:r>
        <w:rPr>
          <w:rFonts w:hint="eastAsia" w:ascii="宋体" w:hAnsi="宋体" w:cs="宋体"/>
          <w:color w:val="auto"/>
          <w:kern w:val="0"/>
          <w:sz w:val="21"/>
          <w:szCs w:val="21"/>
          <w:highlight w:val="none"/>
          <w:lang w:val="en-US" w:eastAsia="zh-CN"/>
        </w:rPr>
        <w:t>2026</w:t>
      </w:r>
      <w:r>
        <w:rPr>
          <w:rFonts w:hint="eastAsia" w:ascii="宋体" w:hAnsi="宋体" w:eastAsia="宋体" w:cs="宋体"/>
          <w:color w:val="auto"/>
          <w:kern w:val="0"/>
          <w:sz w:val="21"/>
          <w:szCs w:val="21"/>
          <w:highlight w:val="none"/>
        </w:rPr>
        <w:t>年</w:t>
      </w:r>
      <w:r>
        <w:rPr>
          <w:rFonts w:hint="eastAsia" w:ascii="宋体" w:hAnsi="宋体" w:cs="宋体"/>
          <w:color w:val="auto"/>
          <w:kern w:val="0"/>
          <w:sz w:val="21"/>
          <w:szCs w:val="21"/>
          <w:highlight w:val="none"/>
          <w:lang w:val="en-US" w:eastAsia="zh-CN"/>
        </w:rPr>
        <w:t>6</w:t>
      </w:r>
      <w:r>
        <w:rPr>
          <w:rFonts w:hint="eastAsia" w:ascii="宋体" w:hAnsi="宋体" w:eastAsia="宋体" w:cs="宋体"/>
          <w:color w:val="auto"/>
          <w:kern w:val="0"/>
          <w:sz w:val="21"/>
          <w:szCs w:val="21"/>
          <w:highlight w:val="none"/>
        </w:rPr>
        <w:t>月</w:t>
      </w:r>
      <w:r>
        <w:rPr>
          <w:rFonts w:hint="eastAsia" w:ascii="宋体" w:hAnsi="宋体" w:cs="宋体"/>
          <w:color w:val="auto"/>
          <w:kern w:val="0"/>
          <w:sz w:val="21"/>
          <w:szCs w:val="21"/>
          <w:highlight w:val="none"/>
          <w:lang w:val="en-US" w:eastAsia="zh-CN"/>
        </w:rPr>
        <w:t>18</w:t>
      </w:r>
      <w:r>
        <w:rPr>
          <w:rFonts w:hint="eastAsia" w:ascii="宋体" w:hAnsi="宋体" w:eastAsia="宋体" w:cs="宋体"/>
          <w:color w:val="auto"/>
          <w:kern w:val="0"/>
          <w:sz w:val="21"/>
          <w:szCs w:val="21"/>
          <w:highlight w:val="none"/>
        </w:rPr>
        <w:t>日止。</w:t>
      </w:r>
    </w:p>
    <w:p w14:paraId="36986A94">
      <w:pPr>
        <w:widowControl/>
        <w:adjustRightInd w:val="0"/>
        <w:snapToGrid w:val="0"/>
        <w:spacing w:line="360" w:lineRule="auto"/>
        <w:ind w:firstLine="495" w:firstLineChars="236"/>
        <w:jc w:val="left"/>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eastAsia="zh-CN"/>
        </w:rPr>
        <w:t>（二）</w:t>
      </w:r>
      <w:r>
        <w:rPr>
          <w:rFonts w:hint="eastAsia" w:ascii="宋体" w:hAnsi="宋体" w:eastAsia="宋体" w:cs="宋体"/>
          <w:color w:val="auto"/>
          <w:kern w:val="0"/>
          <w:sz w:val="21"/>
          <w:szCs w:val="21"/>
          <w:highlight w:val="none"/>
        </w:rPr>
        <w:t>服务地点：东莞市行政区域内。</w:t>
      </w:r>
    </w:p>
    <w:p w14:paraId="42F5B2F0">
      <w:pPr>
        <w:widowControl/>
        <w:adjustRightInd w:val="0"/>
        <w:snapToGrid w:val="0"/>
        <w:spacing w:line="360" w:lineRule="auto"/>
        <w:ind w:firstLine="495" w:firstLineChars="236"/>
        <w:jc w:val="left"/>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eastAsia="zh-CN"/>
        </w:rPr>
        <w:t>（三）</w:t>
      </w:r>
      <w:r>
        <w:rPr>
          <w:rFonts w:hint="eastAsia" w:ascii="宋体" w:hAnsi="宋体" w:eastAsia="宋体" w:cs="宋体"/>
          <w:color w:val="auto"/>
          <w:kern w:val="0"/>
          <w:sz w:val="21"/>
          <w:szCs w:val="21"/>
          <w:highlight w:val="none"/>
        </w:rPr>
        <w:t>服务对象：</w:t>
      </w:r>
    </w:p>
    <w:p w14:paraId="72335F37">
      <w:pPr>
        <w:widowControl/>
        <w:adjustRightInd w:val="0"/>
        <w:snapToGrid w:val="0"/>
        <w:spacing w:line="360" w:lineRule="auto"/>
        <w:ind w:firstLine="495" w:firstLineChars="236"/>
        <w:jc w:val="left"/>
        <w:rPr>
          <w:rFonts w:hint="eastAsia" w:asciiTheme="majorEastAsia" w:hAnsiTheme="majorEastAsia" w:eastAsiaTheme="majorEastAsia" w:cstheme="majorEastAsia"/>
          <w:b w:val="0"/>
          <w:bCs w:val="0"/>
          <w:color w:val="auto"/>
          <w:spacing w:val="0"/>
          <w:sz w:val="21"/>
          <w:szCs w:val="21"/>
          <w:highlight w:val="none"/>
          <w:lang w:eastAsia="zh-CN"/>
        </w:rPr>
      </w:pPr>
      <w:r>
        <w:rPr>
          <w:rFonts w:hint="eastAsia" w:ascii="宋体" w:hAnsi="宋体" w:cs="宋体"/>
          <w:color w:val="auto"/>
          <w:kern w:val="0"/>
          <w:sz w:val="21"/>
          <w:szCs w:val="21"/>
          <w:highlight w:val="none"/>
          <w:lang w:val="en-US" w:eastAsia="zh-CN"/>
        </w:rPr>
        <w:t>1.</w:t>
      </w:r>
      <w:r>
        <w:rPr>
          <w:rFonts w:hint="eastAsia" w:asciiTheme="majorEastAsia" w:hAnsiTheme="majorEastAsia" w:eastAsiaTheme="majorEastAsia" w:cstheme="majorEastAsia"/>
          <w:b w:val="0"/>
          <w:bCs w:val="0"/>
          <w:color w:val="auto"/>
          <w:spacing w:val="0"/>
          <w:sz w:val="21"/>
          <w:szCs w:val="21"/>
          <w:highlight w:val="none"/>
          <w:lang w:eastAsia="zh-CN"/>
        </w:rPr>
        <w:t>直接服务对象：东莞市行政区域内离家在外、自身无力解决食宿、正在或即将处于流浪或乞讨状态的人员，包括走失、务工不着、家庭暴力受害者等临时遇困人员（简称流浪乞讨人员）；</w:t>
      </w:r>
    </w:p>
    <w:p w14:paraId="5F288337">
      <w:pPr>
        <w:widowControl/>
        <w:adjustRightInd w:val="0"/>
        <w:snapToGrid w:val="0"/>
        <w:spacing w:line="360" w:lineRule="auto"/>
        <w:ind w:firstLine="495" w:firstLineChars="236"/>
        <w:jc w:val="left"/>
        <w:rPr>
          <w:rFonts w:ascii="宋体" w:hAnsi="宋体" w:eastAsia="宋体" w:cs="宋体"/>
          <w:color w:val="auto"/>
          <w:sz w:val="21"/>
          <w:szCs w:val="21"/>
          <w:highlight w:val="none"/>
        </w:rPr>
      </w:pPr>
      <w:r>
        <w:rPr>
          <w:rFonts w:hint="eastAsia" w:asciiTheme="majorEastAsia" w:hAnsiTheme="majorEastAsia" w:eastAsiaTheme="majorEastAsia" w:cstheme="majorEastAsia"/>
          <w:b w:val="0"/>
          <w:bCs w:val="0"/>
          <w:color w:val="auto"/>
          <w:spacing w:val="0"/>
          <w:sz w:val="21"/>
          <w:szCs w:val="21"/>
          <w:highlight w:val="none"/>
          <w:lang w:val="en-US" w:eastAsia="zh-CN"/>
        </w:rPr>
        <w:t>2.</w:t>
      </w:r>
      <w:r>
        <w:rPr>
          <w:rFonts w:hint="eastAsia" w:asciiTheme="majorEastAsia" w:hAnsiTheme="majorEastAsia" w:eastAsiaTheme="majorEastAsia" w:cstheme="majorEastAsia"/>
          <w:b w:val="0"/>
          <w:bCs w:val="0"/>
          <w:color w:val="auto"/>
          <w:spacing w:val="0"/>
          <w:sz w:val="21"/>
          <w:szCs w:val="21"/>
          <w:highlight w:val="none"/>
          <w:lang w:eastAsia="zh-CN"/>
        </w:rPr>
        <w:t>间接服务对象：东莞市行政区域内离家在外、自身无力解决食宿、正在或即将处于流浪或乞讨状态的人员的家属、亲友</w:t>
      </w:r>
      <w:r>
        <w:rPr>
          <w:rFonts w:hint="eastAsia" w:ascii="宋体" w:hAnsi="宋体" w:eastAsia="宋体" w:cs="宋体"/>
          <w:color w:val="auto"/>
          <w:kern w:val="0"/>
          <w:sz w:val="21"/>
          <w:szCs w:val="21"/>
          <w:highlight w:val="none"/>
        </w:rPr>
        <w:t>。</w:t>
      </w:r>
    </w:p>
    <w:p w14:paraId="7AAD72D9">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7D096C4C">
      <w:pPr>
        <w:widowControl/>
        <w:adjustRightInd w:val="0"/>
        <w:snapToGrid w:val="0"/>
        <w:ind w:firstLine="422" w:firstLineChars="200"/>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第六条 付款方式</w:t>
      </w:r>
    </w:p>
    <w:p w14:paraId="39F3523C">
      <w:pPr>
        <w:widowControl/>
        <w:adjustRightInd w:val="0"/>
        <w:snapToGrid w:val="0"/>
        <w:ind w:firstLine="420" w:firstLineChars="200"/>
        <w:jc w:val="left"/>
        <w:rPr>
          <w:rFonts w:hint="eastAsia" w:asciiTheme="majorEastAsia" w:hAnsiTheme="majorEastAsia" w:eastAsiaTheme="majorEastAsia" w:cstheme="majorEastAsia"/>
          <w:b w:val="0"/>
          <w:bCs w:val="0"/>
          <w:color w:val="auto"/>
          <w:spacing w:val="0"/>
          <w:kern w:val="0"/>
          <w:sz w:val="21"/>
          <w:szCs w:val="21"/>
          <w:highlight w:val="none"/>
          <w:lang w:val="en-US" w:eastAsia="zh-CN" w:bidi="ar-SA"/>
        </w:rPr>
      </w:pPr>
      <w:r>
        <w:rPr>
          <w:rFonts w:hint="eastAsia" w:asciiTheme="majorEastAsia" w:hAnsiTheme="majorEastAsia" w:eastAsiaTheme="majorEastAsia" w:cstheme="majorEastAsia"/>
          <w:b w:val="0"/>
          <w:bCs w:val="0"/>
          <w:color w:val="auto"/>
          <w:spacing w:val="0"/>
          <w:kern w:val="0"/>
          <w:sz w:val="21"/>
          <w:szCs w:val="21"/>
          <w:highlight w:val="none"/>
          <w:lang w:val="en-US" w:eastAsia="zh-CN" w:bidi="ar-SA"/>
        </w:rPr>
        <w:t>（一）采购方根据合同约定，向成交人支付项目经费，成交人要严格按照《东莞市民政局 东莞市财政局关于印发〈政府购买社会工作服务资金使用管理办法〉的通知》（东民规〔2021〕2号）要求使用项目经费。合同期结束后，服务活动成本有结余的，需将结余部分退回采购人。</w:t>
      </w:r>
    </w:p>
    <w:p w14:paraId="7EB302BA">
      <w:pPr>
        <w:widowControl/>
        <w:adjustRightInd w:val="0"/>
        <w:snapToGrid w:val="0"/>
        <w:ind w:firstLine="420" w:firstLineChars="200"/>
        <w:jc w:val="left"/>
        <w:rPr>
          <w:rFonts w:hint="eastAsia" w:asciiTheme="majorEastAsia" w:hAnsiTheme="majorEastAsia" w:eastAsiaTheme="majorEastAsia" w:cstheme="majorEastAsia"/>
          <w:b w:val="0"/>
          <w:bCs w:val="0"/>
          <w:color w:val="auto"/>
          <w:spacing w:val="0"/>
          <w:kern w:val="0"/>
          <w:sz w:val="21"/>
          <w:szCs w:val="21"/>
          <w:highlight w:val="none"/>
          <w:lang w:val="en-US" w:eastAsia="zh-CN" w:bidi="ar-SA"/>
        </w:rPr>
      </w:pPr>
      <w:r>
        <w:rPr>
          <w:rFonts w:hint="eastAsia" w:asciiTheme="majorEastAsia" w:hAnsiTheme="majorEastAsia" w:eastAsiaTheme="majorEastAsia" w:cstheme="majorEastAsia"/>
          <w:b w:val="0"/>
          <w:bCs w:val="0"/>
          <w:color w:val="auto"/>
          <w:spacing w:val="0"/>
          <w:kern w:val="0"/>
          <w:sz w:val="21"/>
          <w:szCs w:val="21"/>
          <w:highlight w:val="none"/>
          <w:lang w:val="en-US" w:eastAsia="zh-CN" w:bidi="ar-SA"/>
        </w:rPr>
        <w:t>1.项目实施后1个月内，采购人向成交人支付项目50%合同经费。</w:t>
      </w:r>
    </w:p>
    <w:p w14:paraId="3EECE2C2">
      <w:pPr>
        <w:widowControl/>
        <w:adjustRightInd w:val="0"/>
        <w:snapToGrid w:val="0"/>
        <w:ind w:firstLine="420" w:firstLineChars="200"/>
        <w:jc w:val="left"/>
        <w:rPr>
          <w:rFonts w:hint="eastAsia" w:asciiTheme="majorEastAsia" w:hAnsiTheme="majorEastAsia" w:eastAsiaTheme="majorEastAsia" w:cstheme="majorEastAsia"/>
          <w:b w:val="0"/>
          <w:bCs w:val="0"/>
          <w:color w:val="auto"/>
          <w:spacing w:val="0"/>
          <w:kern w:val="0"/>
          <w:sz w:val="21"/>
          <w:szCs w:val="21"/>
          <w:highlight w:val="none"/>
          <w:lang w:val="en-US" w:eastAsia="zh-CN" w:bidi="ar-SA"/>
        </w:rPr>
      </w:pPr>
      <w:r>
        <w:rPr>
          <w:rFonts w:hint="eastAsia" w:asciiTheme="majorEastAsia" w:hAnsiTheme="majorEastAsia" w:eastAsiaTheme="majorEastAsia" w:cstheme="majorEastAsia"/>
          <w:b w:val="0"/>
          <w:bCs w:val="0"/>
          <w:color w:val="auto"/>
          <w:spacing w:val="0"/>
          <w:kern w:val="0"/>
          <w:sz w:val="21"/>
          <w:szCs w:val="21"/>
          <w:highlight w:val="none"/>
          <w:lang w:val="en-US" w:eastAsia="zh-CN" w:bidi="ar-SA"/>
        </w:rPr>
        <w:t>2.项目运营满9个月并经采购人验收合格后，采购人向成交人支付项目30%合同经费。</w:t>
      </w:r>
    </w:p>
    <w:p w14:paraId="2FA4A679">
      <w:pPr>
        <w:widowControl/>
        <w:adjustRightInd w:val="0"/>
        <w:snapToGrid w:val="0"/>
        <w:ind w:firstLine="420" w:firstLineChars="200"/>
        <w:jc w:val="left"/>
        <w:rPr>
          <w:rFonts w:hint="eastAsia" w:asciiTheme="majorEastAsia" w:hAnsiTheme="majorEastAsia" w:eastAsiaTheme="majorEastAsia" w:cstheme="majorEastAsia"/>
          <w:b w:val="0"/>
          <w:bCs w:val="0"/>
          <w:color w:val="auto"/>
          <w:spacing w:val="0"/>
          <w:kern w:val="0"/>
          <w:sz w:val="21"/>
          <w:szCs w:val="21"/>
          <w:highlight w:val="none"/>
          <w:lang w:val="en-US" w:eastAsia="zh-CN" w:bidi="ar-SA"/>
        </w:rPr>
      </w:pPr>
      <w:r>
        <w:rPr>
          <w:rFonts w:hint="eastAsia" w:asciiTheme="majorEastAsia" w:hAnsiTheme="majorEastAsia" w:eastAsiaTheme="majorEastAsia" w:cstheme="majorEastAsia"/>
          <w:b w:val="0"/>
          <w:bCs w:val="0"/>
          <w:color w:val="auto"/>
          <w:spacing w:val="0"/>
          <w:kern w:val="0"/>
          <w:sz w:val="21"/>
          <w:szCs w:val="21"/>
          <w:highlight w:val="none"/>
          <w:lang w:val="en-US" w:eastAsia="zh-CN" w:bidi="ar-SA"/>
        </w:rPr>
        <w:t>3.完成合同约定工作后，采购人向成交人支付项目10%合同经费。</w:t>
      </w:r>
    </w:p>
    <w:p w14:paraId="2385C238">
      <w:pPr>
        <w:widowControl/>
        <w:adjustRightInd w:val="0"/>
        <w:snapToGrid w:val="0"/>
        <w:ind w:firstLine="420" w:firstLineChars="200"/>
        <w:jc w:val="left"/>
        <w:rPr>
          <w:rFonts w:hint="eastAsia" w:asciiTheme="majorEastAsia" w:hAnsiTheme="majorEastAsia" w:eastAsiaTheme="majorEastAsia" w:cstheme="majorEastAsia"/>
          <w:b w:val="0"/>
          <w:bCs w:val="0"/>
          <w:color w:val="auto"/>
          <w:spacing w:val="0"/>
          <w:kern w:val="0"/>
          <w:sz w:val="21"/>
          <w:szCs w:val="21"/>
          <w:highlight w:val="none"/>
          <w:lang w:val="en-US" w:eastAsia="zh-CN" w:bidi="ar-SA"/>
        </w:rPr>
      </w:pPr>
      <w:r>
        <w:rPr>
          <w:rFonts w:hint="eastAsia" w:asciiTheme="majorEastAsia" w:hAnsiTheme="majorEastAsia" w:eastAsiaTheme="majorEastAsia" w:cstheme="majorEastAsia"/>
          <w:b w:val="0"/>
          <w:bCs w:val="0"/>
          <w:color w:val="auto"/>
          <w:spacing w:val="0"/>
          <w:kern w:val="0"/>
          <w:sz w:val="21"/>
          <w:szCs w:val="21"/>
          <w:highlight w:val="none"/>
          <w:lang w:val="en-US" w:eastAsia="zh-CN" w:bidi="ar-SA"/>
        </w:rPr>
        <w:t>4.剩余10%合同经费根据</w:t>
      </w:r>
      <w:r>
        <w:rPr>
          <w:rFonts w:hint="eastAsia" w:ascii="宋体" w:hAnsi="宋体" w:eastAsia="宋体" w:cs="宋体"/>
          <w:color w:val="auto"/>
          <w:sz w:val="21"/>
          <w:szCs w:val="21"/>
          <w:highlight w:val="none"/>
          <w:lang w:val="en-US" w:eastAsia="zh-CN"/>
        </w:rPr>
        <w:t>《东莞市政府购买社会工作服务考核评估实施办法》</w:t>
      </w:r>
      <w:r>
        <w:rPr>
          <w:rFonts w:hint="eastAsia" w:asciiTheme="majorEastAsia" w:hAnsiTheme="majorEastAsia" w:eastAsiaTheme="majorEastAsia" w:cstheme="majorEastAsia"/>
          <w:b w:val="0"/>
          <w:bCs w:val="0"/>
          <w:color w:val="auto"/>
          <w:spacing w:val="0"/>
          <w:kern w:val="0"/>
          <w:sz w:val="21"/>
          <w:szCs w:val="21"/>
          <w:highlight w:val="none"/>
          <w:lang w:val="en-US" w:eastAsia="zh-CN" w:bidi="ar-SA"/>
        </w:rPr>
        <w:t>项目考核评估结果拨付，评估结果为合格或以上的，余下10%合同经费全额支付；评估结果为不合格的，扣减余下10%合同经费。</w:t>
      </w:r>
    </w:p>
    <w:p w14:paraId="408E7623">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left="0" w:firstLine="420" w:firstLineChars="200"/>
        <w:textAlignment w:val="auto"/>
        <w:rPr>
          <w:rFonts w:hint="eastAsia" w:asciiTheme="majorEastAsia" w:hAnsiTheme="majorEastAsia" w:eastAsiaTheme="majorEastAsia" w:cstheme="majorEastAsia"/>
          <w:b w:val="0"/>
          <w:bCs w:val="0"/>
          <w:color w:val="auto"/>
          <w:spacing w:val="0"/>
          <w:kern w:val="0"/>
          <w:sz w:val="21"/>
          <w:szCs w:val="21"/>
          <w:highlight w:val="none"/>
          <w:lang w:val="en-US" w:eastAsia="zh-CN" w:bidi="ar-SA"/>
        </w:rPr>
      </w:pPr>
      <w:r>
        <w:rPr>
          <w:rFonts w:hint="eastAsia" w:asciiTheme="majorEastAsia" w:hAnsiTheme="majorEastAsia" w:eastAsiaTheme="majorEastAsia" w:cstheme="majorEastAsia"/>
          <w:b w:val="0"/>
          <w:bCs w:val="0"/>
          <w:color w:val="auto"/>
          <w:spacing w:val="0"/>
          <w:kern w:val="0"/>
          <w:sz w:val="21"/>
          <w:szCs w:val="21"/>
          <w:highlight w:val="none"/>
          <w:lang w:val="en-US" w:eastAsia="zh-CN" w:bidi="ar-SA"/>
        </w:rPr>
        <w:t>（二）如项目期内，成交人安排的项目人员存在缺岗情况，且缺岗时间超过15天以上（按自然日计算）仍未安排人员上岗的，由采购人根据缺岗天数扣减项目经费，具体如下:</w:t>
      </w:r>
    </w:p>
    <w:p w14:paraId="0B820B7B">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left="0" w:firstLine="420" w:firstLineChars="200"/>
        <w:textAlignment w:val="auto"/>
        <w:rPr>
          <w:rFonts w:hint="eastAsia" w:asciiTheme="majorEastAsia" w:hAnsiTheme="majorEastAsia" w:eastAsiaTheme="majorEastAsia" w:cstheme="majorEastAsia"/>
          <w:b w:val="0"/>
          <w:bCs w:val="0"/>
          <w:color w:val="auto"/>
          <w:spacing w:val="0"/>
          <w:kern w:val="0"/>
          <w:sz w:val="21"/>
          <w:szCs w:val="21"/>
          <w:highlight w:val="none"/>
          <w:lang w:val="en-US" w:eastAsia="zh-CN" w:bidi="ar-SA"/>
        </w:rPr>
      </w:pPr>
      <w:r>
        <w:rPr>
          <w:rFonts w:hint="eastAsia" w:asciiTheme="majorEastAsia" w:hAnsiTheme="majorEastAsia" w:eastAsiaTheme="majorEastAsia" w:cstheme="majorEastAsia"/>
          <w:b w:val="0"/>
          <w:bCs w:val="0"/>
          <w:color w:val="auto"/>
          <w:spacing w:val="0"/>
          <w:kern w:val="0"/>
          <w:sz w:val="21"/>
          <w:szCs w:val="21"/>
          <w:highlight w:val="none"/>
          <w:lang w:val="en-US" w:eastAsia="zh-CN" w:bidi="ar-SA"/>
        </w:rPr>
        <w:t xml:space="preserve">1.单个项目人员缺岗15天以上30天（含）以下的，按照每名项目人员人力成本的4%标准扣减； </w:t>
      </w:r>
    </w:p>
    <w:p w14:paraId="03C4401F">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left="0" w:firstLine="420" w:firstLineChars="200"/>
        <w:textAlignment w:val="auto"/>
        <w:rPr>
          <w:rFonts w:hint="eastAsia" w:asciiTheme="majorEastAsia" w:hAnsiTheme="majorEastAsia" w:eastAsiaTheme="majorEastAsia" w:cstheme="majorEastAsia"/>
          <w:b w:val="0"/>
          <w:bCs w:val="0"/>
          <w:color w:val="auto"/>
          <w:spacing w:val="0"/>
          <w:kern w:val="0"/>
          <w:sz w:val="21"/>
          <w:szCs w:val="21"/>
          <w:highlight w:val="none"/>
          <w:lang w:val="en-US" w:eastAsia="zh-CN" w:bidi="ar-SA"/>
        </w:rPr>
      </w:pPr>
      <w:r>
        <w:rPr>
          <w:rFonts w:hint="eastAsia" w:asciiTheme="majorEastAsia" w:hAnsiTheme="majorEastAsia" w:eastAsiaTheme="majorEastAsia" w:cstheme="majorEastAsia"/>
          <w:b w:val="0"/>
          <w:bCs w:val="0"/>
          <w:color w:val="auto"/>
          <w:spacing w:val="0"/>
          <w:kern w:val="0"/>
          <w:sz w:val="21"/>
          <w:szCs w:val="21"/>
          <w:highlight w:val="none"/>
          <w:lang w:val="en-US" w:eastAsia="zh-CN" w:bidi="ar-SA"/>
        </w:rPr>
        <w:t>2.单个项目人员缺岗30天以上45天（含）以下，按照每名项目人员人力成本的8%标准扣减；</w:t>
      </w:r>
    </w:p>
    <w:p w14:paraId="297C0BCD">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left="0" w:firstLine="420" w:firstLineChars="200"/>
        <w:textAlignment w:val="auto"/>
        <w:rPr>
          <w:rFonts w:hint="eastAsia" w:asciiTheme="majorEastAsia" w:hAnsiTheme="majorEastAsia" w:eastAsiaTheme="majorEastAsia" w:cstheme="majorEastAsia"/>
          <w:b w:val="0"/>
          <w:bCs w:val="0"/>
          <w:color w:val="auto"/>
          <w:spacing w:val="0"/>
          <w:kern w:val="0"/>
          <w:sz w:val="21"/>
          <w:szCs w:val="21"/>
          <w:highlight w:val="none"/>
          <w:lang w:val="en-US" w:eastAsia="zh-CN" w:bidi="ar-SA"/>
        </w:rPr>
      </w:pPr>
      <w:r>
        <w:rPr>
          <w:rFonts w:hint="eastAsia" w:asciiTheme="majorEastAsia" w:hAnsiTheme="majorEastAsia" w:eastAsiaTheme="majorEastAsia" w:cstheme="majorEastAsia"/>
          <w:b w:val="0"/>
          <w:bCs w:val="0"/>
          <w:color w:val="auto"/>
          <w:spacing w:val="0"/>
          <w:kern w:val="0"/>
          <w:sz w:val="21"/>
          <w:szCs w:val="21"/>
          <w:highlight w:val="none"/>
          <w:lang w:val="en-US" w:eastAsia="zh-CN" w:bidi="ar-SA"/>
        </w:rPr>
        <w:t xml:space="preserve">3.单个项目人员缺岗45天以上60天（含）以下的，按照每名项目人员人力成本的12%标准扣减。 </w:t>
      </w:r>
    </w:p>
    <w:p w14:paraId="7694ADA4">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left="0" w:firstLine="420" w:firstLineChars="200"/>
        <w:textAlignment w:val="auto"/>
        <w:rPr>
          <w:rFonts w:hint="eastAsia" w:asciiTheme="majorEastAsia" w:hAnsiTheme="majorEastAsia" w:eastAsiaTheme="majorEastAsia" w:cstheme="majorEastAsia"/>
          <w:b w:val="0"/>
          <w:bCs w:val="0"/>
          <w:color w:val="auto"/>
          <w:spacing w:val="0"/>
          <w:kern w:val="0"/>
          <w:sz w:val="21"/>
          <w:szCs w:val="21"/>
          <w:highlight w:val="none"/>
          <w:lang w:val="en-US" w:eastAsia="zh-CN" w:bidi="ar-SA"/>
        </w:rPr>
      </w:pPr>
      <w:r>
        <w:rPr>
          <w:rFonts w:hint="eastAsia" w:asciiTheme="majorEastAsia" w:hAnsiTheme="majorEastAsia" w:eastAsiaTheme="majorEastAsia" w:cstheme="majorEastAsia"/>
          <w:b w:val="0"/>
          <w:bCs w:val="0"/>
          <w:color w:val="auto"/>
          <w:spacing w:val="0"/>
          <w:kern w:val="0"/>
          <w:sz w:val="21"/>
          <w:szCs w:val="21"/>
          <w:highlight w:val="none"/>
          <w:lang w:val="en-US" w:eastAsia="zh-CN" w:bidi="ar-SA"/>
        </w:rPr>
        <w:t>4.单个项目人员缺岗60天以上90天（含）以下的，按照每名项目人员人力成本的30%标准扣减。</w:t>
      </w:r>
    </w:p>
    <w:p w14:paraId="2304D882">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left="0" w:firstLine="420" w:firstLineChars="200"/>
        <w:textAlignment w:val="auto"/>
        <w:rPr>
          <w:rFonts w:hint="eastAsia" w:asciiTheme="majorEastAsia" w:hAnsiTheme="majorEastAsia" w:eastAsiaTheme="majorEastAsia" w:cstheme="majorEastAsia"/>
          <w:b w:val="0"/>
          <w:bCs w:val="0"/>
          <w:color w:val="auto"/>
          <w:spacing w:val="0"/>
          <w:kern w:val="0"/>
          <w:sz w:val="21"/>
          <w:szCs w:val="21"/>
          <w:highlight w:val="none"/>
          <w:lang w:val="en-US" w:eastAsia="zh-CN" w:bidi="ar-SA"/>
        </w:rPr>
      </w:pPr>
      <w:r>
        <w:rPr>
          <w:rFonts w:hint="eastAsia" w:asciiTheme="majorEastAsia" w:hAnsiTheme="majorEastAsia" w:eastAsiaTheme="majorEastAsia" w:cstheme="majorEastAsia"/>
          <w:b w:val="0"/>
          <w:bCs w:val="0"/>
          <w:color w:val="auto"/>
          <w:spacing w:val="0"/>
          <w:kern w:val="0"/>
          <w:sz w:val="21"/>
          <w:szCs w:val="21"/>
          <w:highlight w:val="none"/>
          <w:lang w:val="en-US" w:eastAsia="zh-CN" w:bidi="ar-SA"/>
        </w:rPr>
        <w:t xml:space="preserve">5.单个项目人员缺岗90天以上的，按照每名项目人员人力成本的100%标准扣减。 </w:t>
      </w:r>
    </w:p>
    <w:p w14:paraId="2FF861C0">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left="0" w:firstLine="420" w:firstLineChars="200"/>
        <w:textAlignment w:val="auto"/>
        <w:rPr>
          <w:rFonts w:hint="eastAsia" w:asciiTheme="majorEastAsia" w:hAnsiTheme="majorEastAsia" w:eastAsiaTheme="majorEastAsia" w:cstheme="majorEastAsia"/>
          <w:b w:val="0"/>
          <w:bCs w:val="0"/>
          <w:color w:val="auto"/>
          <w:spacing w:val="0"/>
          <w:kern w:val="0"/>
          <w:sz w:val="21"/>
          <w:szCs w:val="21"/>
          <w:highlight w:val="none"/>
          <w:lang w:val="en-US" w:eastAsia="zh-CN" w:bidi="ar-SA"/>
        </w:rPr>
      </w:pPr>
      <w:r>
        <w:rPr>
          <w:rFonts w:hint="eastAsia" w:ascii="宋体" w:hAnsi="宋体" w:eastAsia="宋体" w:cs="宋体"/>
          <w:color w:val="auto"/>
          <w:sz w:val="21"/>
          <w:szCs w:val="21"/>
          <w:highlight w:val="none"/>
          <w:lang w:val="en-US" w:eastAsia="zh-CN"/>
        </w:rPr>
        <w:t>（根据《东莞市政府购买社会工作服务实施办法》，本项目社工人力成本按照10.197万元标准</w:t>
      </w:r>
      <w:r>
        <w:rPr>
          <w:rFonts w:hint="eastAsia" w:ascii="宋体" w:hAnsi="宋体" w:cs="宋体"/>
          <w:color w:val="auto"/>
          <w:sz w:val="21"/>
          <w:szCs w:val="21"/>
          <w:highlight w:val="none"/>
          <w:lang w:val="en-US" w:eastAsia="zh-CN"/>
        </w:rPr>
        <w:t>核算</w:t>
      </w:r>
      <w:r>
        <w:rPr>
          <w:rFonts w:hint="eastAsia" w:ascii="宋体" w:hAnsi="宋体" w:eastAsia="宋体" w:cs="宋体"/>
          <w:color w:val="auto"/>
          <w:sz w:val="21"/>
          <w:szCs w:val="21"/>
          <w:highlight w:val="none"/>
          <w:lang w:val="en-US" w:eastAsia="zh-CN"/>
        </w:rPr>
        <w:t>。如：项目有两名社工缺岗达20天，按照每名项目人员人力成本的4%标准扣减，则共需扣减10.197万元*4%*2</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w:t>
      </w:r>
      <w:r>
        <w:rPr>
          <w:rFonts w:hint="eastAsia" w:asciiTheme="majorEastAsia" w:hAnsiTheme="majorEastAsia" w:eastAsiaTheme="majorEastAsia" w:cstheme="majorEastAsia"/>
          <w:b w:val="0"/>
          <w:bCs w:val="0"/>
          <w:color w:val="auto"/>
          <w:spacing w:val="0"/>
          <w:kern w:val="0"/>
          <w:sz w:val="21"/>
          <w:szCs w:val="21"/>
          <w:highlight w:val="none"/>
          <w:lang w:val="en-US" w:eastAsia="zh-CN" w:bidi="ar-SA"/>
        </w:rPr>
        <w:t>扣减部分先从未拨付经费中抵扣，未拨付经费不足以支付扣减部分的，由成交人退还至采购人指定账户。</w:t>
      </w:r>
    </w:p>
    <w:p w14:paraId="3EB74665">
      <w:pPr>
        <w:widowControl/>
        <w:adjustRightInd w:val="0"/>
        <w:snapToGrid w:val="0"/>
        <w:spacing w:line="360" w:lineRule="auto"/>
        <w:ind w:firstLine="420" w:firstLineChars="200"/>
        <w:jc w:val="left"/>
        <w:rPr>
          <w:rFonts w:hint="eastAsia" w:asciiTheme="majorEastAsia" w:hAnsiTheme="majorEastAsia" w:eastAsiaTheme="majorEastAsia" w:cstheme="majorEastAsia"/>
          <w:b w:val="0"/>
          <w:bCs w:val="0"/>
          <w:color w:val="auto"/>
          <w:spacing w:val="0"/>
          <w:kern w:val="0"/>
          <w:sz w:val="21"/>
          <w:szCs w:val="21"/>
          <w:highlight w:val="none"/>
          <w:lang w:val="en-US" w:eastAsia="zh-CN" w:bidi="ar-SA"/>
        </w:rPr>
      </w:pPr>
      <w:r>
        <w:rPr>
          <w:rFonts w:hint="eastAsia" w:asciiTheme="majorEastAsia" w:hAnsiTheme="majorEastAsia" w:eastAsiaTheme="majorEastAsia" w:cstheme="majorEastAsia"/>
          <w:b w:val="0"/>
          <w:bCs w:val="0"/>
          <w:color w:val="auto"/>
          <w:spacing w:val="0"/>
          <w:kern w:val="0"/>
          <w:sz w:val="21"/>
          <w:szCs w:val="21"/>
          <w:highlight w:val="none"/>
          <w:lang w:val="en-US" w:eastAsia="zh-CN" w:bidi="ar-SA"/>
        </w:rPr>
        <w:t>（三）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14:paraId="5B4E64C2">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37C14B73">
      <w:pPr>
        <w:widowControl/>
        <w:adjustRightInd w:val="0"/>
        <w:snapToGrid w:val="0"/>
        <w:spacing w:line="360" w:lineRule="auto"/>
        <w:ind w:firstLine="422" w:firstLineChars="200"/>
        <w:jc w:val="left"/>
        <w:rPr>
          <w:rFonts w:ascii="宋体" w:hAnsi="宋体" w:cs="宋体"/>
          <w:b/>
          <w:color w:val="auto"/>
          <w:sz w:val="21"/>
          <w:szCs w:val="21"/>
          <w:highlight w:val="none"/>
        </w:rPr>
      </w:pPr>
      <w:r>
        <w:rPr>
          <w:rFonts w:hint="eastAsia" w:ascii="宋体" w:hAnsi="宋体" w:eastAsia="宋体" w:cs="宋体"/>
          <w:b/>
          <w:color w:val="auto"/>
          <w:kern w:val="0"/>
          <w:sz w:val="21"/>
          <w:szCs w:val="21"/>
          <w:highlight w:val="none"/>
        </w:rPr>
        <w:t>第七条 竣工与验收</w:t>
      </w:r>
    </w:p>
    <w:p w14:paraId="4266B79D">
      <w:pPr>
        <w:widowControl/>
        <w:adjustRightInd w:val="0"/>
        <w:snapToGrid w:val="0"/>
        <w:ind w:firstLine="420" w:firstLineChars="200"/>
        <w:jc w:val="left"/>
        <w:rPr>
          <w:rFonts w:hint="eastAsia" w:asciiTheme="majorEastAsia" w:hAnsiTheme="majorEastAsia" w:eastAsiaTheme="majorEastAsia" w:cstheme="majorEastAsia"/>
          <w:b w:val="0"/>
          <w:bCs w:val="0"/>
          <w:color w:val="auto"/>
          <w:spacing w:val="0"/>
          <w:kern w:val="0"/>
          <w:sz w:val="21"/>
          <w:szCs w:val="21"/>
          <w:highlight w:val="none"/>
          <w:lang w:val="en-US" w:eastAsia="zh-CN" w:bidi="ar-SA"/>
        </w:rPr>
      </w:pPr>
      <w:r>
        <w:rPr>
          <w:rFonts w:hint="eastAsia" w:asciiTheme="majorEastAsia" w:hAnsiTheme="majorEastAsia" w:eastAsiaTheme="majorEastAsia" w:cstheme="majorEastAsia"/>
          <w:b w:val="0"/>
          <w:bCs w:val="0"/>
          <w:color w:val="auto"/>
          <w:spacing w:val="0"/>
          <w:kern w:val="0"/>
          <w:sz w:val="21"/>
          <w:szCs w:val="21"/>
          <w:highlight w:val="none"/>
          <w:lang w:val="en-US" w:eastAsia="zh-CN" w:bidi="ar-SA"/>
        </w:rPr>
        <w:t>1、验收应在甲、乙、丙三方共同参加下进行，依据采购文件及本合同的有关规定制定的方案进行验收，并按国家有关规定、规范进行。</w:t>
      </w:r>
    </w:p>
    <w:p w14:paraId="407FC214">
      <w:pPr>
        <w:widowControl/>
        <w:adjustRightInd w:val="0"/>
        <w:snapToGrid w:val="0"/>
        <w:ind w:firstLine="420" w:firstLineChars="200"/>
        <w:jc w:val="left"/>
        <w:rPr>
          <w:rFonts w:hint="eastAsia" w:asciiTheme="majorEastAsia" w:hAnsiTheme="majorEastAsia" w:eastAsiaTheme="majorEastAsia" w:cstheme="majorEastAsia"/>
          <w:b w:val="0"/>
          <w:bCs w:val="0"/>
          <w:color w:val="auto"/>
          <w:spacing w:val="0"/>
          <w:kern w:val="0"/>
          <w:sz w:val="21"/>
          <w:szCs w:val="21"/>
          <w:highlight w:val="none"/>
          <w:lang w:val="en-US" w:eastAsia="zh-CN" w:bidi="ar-SA"/>
        </w:rPr>
      </w:pPr>
      <w:r>
        <w:rPr>
          <w:rFonts w:hint="eastAsia" w:asciiTheme="majorEastAsia" w:hAnsiTheme="majorEastAsia" w:eastAsiaTheme="majorEastAsia" w:cstheme="majorEastAsia"/>
          <w:b w:val="0"/>
          <w:bCs w:val="0"/>
          <w:color w:val="auto"/>
          <w:spacing w:val="0"/>
          <w:kern w:val="0"/>
          <w:sz w:val="21"/>
          <w:szCs w:val="21"/>
          <w:highlight w:val="none"/>
          <w:lang w:val="en-US" w:eastAsia="zh-CN" w:bidi="ar-SA"/>
        </w:rPr>
        <w:t>2、甲方组织项目验收小组按国家有关规定、规范进行验收，必要时邀请相关专业人员或机构参与验收。</w:t>
      </w:r>
    </w:p>
    <w:p w14:paraId="566CD8BF">
      <w:pPr>
        <w:widowControl/>
        <w:adjustRightInd w:val="0"/>
        <w:snapToGrid w:val="0"/>
        <w:ind w:firstLine="420" w:firstLineChars="200"/>
        <w:jc w:val="left"/>
        <w:rPr>
          <w:rFonts w:hint="eastAsia" w:asciiTheme="majorEastAsia" w:hAnsiTheme="majorEastAsia" w:eastAsiaTheme="majorEastAsia" w:cstheme="majorEastAsia"/>
          <w:b w:val="0"/>
          <w:bCs w:val="0"/>
          <w:color w:val="auto"/>
          <w:spacing w:val="0"/>
          <w:kern w:val="0"/>
          <w:sz w:val="21"/>
          <w:szCs w:val="21"/>
          <w:highlight w:val="none"/>
          <w:lang w:val="en-US" w:eastAsia="zh-CN" w:bidi="ar-SA"/>
        </w:rPr>
      </w:pPr>
      <w:r>
        <w:rPr>
          <w:rFonts w:hint="eastAsia" w:asciiTheme="majorEastAsia" w:hAnsiTheme="majorEastAsia" w:eastAsiaTheme="majorEastAsia" w:cstheme="majorEastAsia"/>
          <w:b w:val="0"/>
          <w:bCs w:val="0"/>
          <w:color w:val="auto"/>
          <w:spacing w:val="0"/>
          <w:kern w:val="0"/>
          <w:sz w:val="21"/>
          <w:szCs w:val="21"/>
          <w:highlight w:val="none"/>
          <w:lang w:val="en-US" w:eastAsia="zh-CN" w:bidi="ar-SA"/>
        </w:rPr>
        <w:t>3、对验收不合格的部分，乙方应在甲方规定时间内及时整改完善直至合格。</w:t>
      </w:r>
    </w:p>
    <w:p w14:paraId="164C8BDE">
      <w:pPr>
        <w:widowControl/>
        <w:adjustRightInd w:val="0"/>
        <w:snapToGrid w:val="0"/>
        <w:spacing w:line="360" w:lineRule="auto"/>
        <w:jc w:val="left"/>
        <w:rPr>
          <w:rFonts w:hint="eastAsia" w:asciiTheme="majorEastAsia" w:hAnsiTheme="majorEastAsia" w:eastAsiaTheme="majorEastAsia" w:cstheme="majorEastAsia"/>
          <w:b w:val="0"/>
          <w:bCs w:val="0"/>
          <w:color w:val="auto"/>
          <w:spacing w:val="0"/>
          <w:kern w:val="0"/>
          <w:sz w:val="21"/>
          <w:szCs w:val="21"/>
          <w:highlight w:val="none"/>
          <w:lang w:val="en-US" w:eastAsia="zh-CN" w:bidi="ar-SA"/>
        </w:rPr>
      </w:pPr>
    </w:p>
    <w:p w14:paraId="513BDAD5">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第八条 税和关税</w:t>
      </w:r>
    </w:p>
    <w:p w14:paraId="06D461C5">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1、中国政府根据现行税法对甲方征收的与本合同有关的一切税费均应由甲方承担。</w:t>
      </w:r>
    </w:p>
    <w:p w14:paraId="4F39A139">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2、中国政府根据现行税法规定对乙方或其雇员征收的与本合同有关的一切税费应由乙方承担。</w:t>
      </w:r>
    </w:p>
    <w:p w14:paraId="1CE7B6DD">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3、在中国境外发生的与本合同执行有关的一切税费均应由乙方承担。</w:t>
      </w:r>
    </w:p>
    <w:p w14:paraId="0DF4D68B">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238BE8D0">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第九条 其它约定</w:t>
      </w:r>
    </w:p>
    <w:p w14:paraId="1848013F">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eastAsia="zh-CN"/>
        </w:rPr>
        <w:t>（一）</w:t>
      </w:r>
      <w:r>
        <w:rPr>
          <w:rFonts w:hint="eastAsia" w:ascii="宋体" w:hAnsi="宋体" w:eastAsia="宋体" w:cs="宋体"/>
          <w:color w:val="auto"/>
          <w:kern w:val="0"/>
          <w:sz w:val="21"/>
          <w:szCs w:val="21"/>
          <w:highlight w:val="none"/>
        </w:rPr>
        <w:t>严禁转包，未经甲方书面同意不得分包。</w:t>
      </w:r>
    </w:p>
    <w:p w14:paraId="2EC7428B">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eastAsia="zh-CN"/>
        </w:rPr>
        <w:t>（二）</w:t>
      </w:r>
      <w:r>
        <w:rPr>
          <w:rFonts w:hint="eastAsia" w:ascii="宋体" w:hAnsi="宋体" w:eastAsia="宋体" w:cs="宋体"/>
          <w:color w:val="auto"/>
          <w:kern w:val="0"/>
          <w:sz w:val="21"/>
          <w:szCs w:val="21"/>
          <w:highlight w:val="none"/>
        </w:rPr>
        <w:t>乙方全部工作人员，须符合东莞市政府用工标准要求。</w:t>
      </w:r>
    </w:p>
    <w:p w14:paraId="44DF6193">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eastAsia="zh-CN"/>
        </w:rPr>
        <w:t>（三）</w:t>
      </w:r>
      <w:r>
        <w:rPr>
          <w:rFonts w:hint="eastAsia" w:ascii="宋体" w:hAnsi="宋体" w:eastAsia="宋体" w:cs="宋体"/>
          <w:color w:val="auto"/>
          <w:kern w:val="0"/>
          <w:sz w:val="21"/>
          <w:szCs w:val="21"/>
          <w:highlight w:val="none"/>
        </w:rPr>
        <w:t>乙方服务人员进行服务期间的过失或故意行为，造成甲方经济损失的，由乙方负责赔偿。</w:t>
      </w:r>
    </w:p>
    <w:p w14:paraId="63D57998">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eastAsia="zh-CN"/>
        </w:rPr>
        <w:t>（四）</w:t>
      </w:r>
      <w:r>
        <w:rPr>
          <w:rFonts w:hint="eastAsia" w:ascii="宋体" w:hAnsi="宋体" w:eastAsia="宋体" w:cs="宋体"/>
          <w:color w:val="auto"/>
          <w:kern w:val="0"/>
          <w:sz w:val="21"/>
          <w:szCs w:val="21"/>
          <w:highlight w:val="none"/>
        </w:rPr>
        <w:t>服务人员的劳动关系隶属乙方，乙方负责服务人员的工资、节假日和超时加班补助费、社会保险、住宿、伙食</w:t>
      </w:r>
      <w:r>
        <w:rPr>
          <w:rFonts w:hint="eastAsia" w:ascii="宋体" w:hAnsi="宋体" w:cs="宋体"/>
          <w:color w:val="auto"/>
          <w:kern w:val="0"/>
          <w:sz w:val="21"/>
          <w:szCs w:val="21"/>
          <w:highlight w:val="none"/>
          <w:lang w:eastAsia="zh-CN"/>
        </w:rPr>
        <w:t>、交通费用</w:t>
      </w:r>
      <w:r>
        <w:rPr>
          <w:rFonts w:hint="eastAsia" w:ascii="宋体" w:hAnsi="宋体" w:eastAsia="宋体" w:cs="宋体"/>
          <w:color w:val="auto"/>
          <w:kern w:val="0"/>
          <w:sz w:val="21"/>
          <w:szCs w:val="21"/>
          <w:highlight w:val="none"/>
        </w:rPr>
        <w:t>等。</w:t>
      </w:r>
    </w:p>
    <w:p w14:paraId="7E8793ED">
      <w:pPr>
        <w:widowControl/>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eastAsia="zh-CN"/>
        </w:rPr>
        <w:t>（五）</w:t>
      </w:r>
      <w:r>
        <w:rPr>
          <w:rFonts w:hint="eastAsia" w:ascii="宋体" w:hAnsi="宋体" w:eastAsia="宋体" w:cs="宋体"/>
          <w:color w:val="auto"/>
          <w:kern w:val="0"/>
          <w:sz w:val="21"/>
          <w:szCs w:val="21"/>
          <w:highlight w:val="none"/>
        </w:rPr>
        <w:t>乙方负责本项目服务人员购买因意外身故或伤残和因意外事故住院治疗保险，并负责办理一切保险赔偿手续。</w:t>
      </w:r>
    </w:p>
    <w:p w14:paraId="6259057B">
      <w:pPr>
        <w:widowControl/>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eastAsia="zh-CN"/>
        </w:rPr>
        <w:t>（六）</w:t>
      </w:r>
      <w:r>
        <w:rPr>
          <w:rFonts w:hint="eastAsia" w:ascii="宋体" w:hAnsi="宋体" w:eastAsia="宋体" w:cs="宋体"/>
          <w:color w:val="auto"/>
          <w:kern w:val="0"/>
          <w:sz w:val="21"/>
          <w:szCs w:val="21"/>
          <w:highlight w:val="none"/>
        </w:rPr>
        <w:t>乙方在履行本合同过程中造成其员工或第三人人身或财产损害的，由乙方承担全部责任，与甲方、丙方无关。乙方不得因此影响本合同的履行，且应立即书面报告甲方、丙方。如因此造成甲方损失或被第三方追偿的，甲方有权向乙方追偿，相关费用（包括但不限于甲方的损失、第三人索偿的全部费用以及甲方因此支出之差旅费、诉讼费、律师费等维权费用）全部由乙方承担。</w:t>
      </w:r>
    </w:p>
    <w:p w14:paraId="61D60632">
      <w:pPr>
        <w:widowControl/>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val="en-US" w:eastAsia="zh-CN"/>
        </w:rPr>
        <w:t>（七）</w:t>
      </w:r>
      <w:r>
        <w:rPr>
          <w:rFonts w:hint="eastAsia" w:ascii="宋体" w:hAnsi="宋体" w:eastAsia="宋体" w:cs="宋体"/>
          <w:color w:val="auto"/>
          <w:kern w:val="0"/>
          <w:sz w:val="21"/>
          <w:szCs w:val="21"/>
          <w:highlight w:val="none"/>
        </w:rPr>
        <w:t>乙方派出的项目人员在服务单位工作期间，所产生的个案、小组、活动等涉及服务对象个人隐私的档案资料（包含但不限于文本、图片、视频、语音等形式）由甲方、丙方和乙方共同所有。除乙方派出的项目人员在日常工作、服务、评估考核中正常使用外，未经甲方或丙方书面同意，不得擅自对外泄露，否则视为严重违约。</w:t>
      </w:r>
    </w:p>
    <w:p w14:paraId="4A1103BE">
      <w:pPr>
        <w:widowControl/>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eastAsia="zh-CN"/>
        </w:rPr>
        <w:t>（八）</w:t>
      </w:r>
      <w:r>
        <w:rPr>
          <w:rFonts w:hint="eastAsia" w:ascii="宋体" w:hAnsi="宋体" w:eastAsia="宋体" w:cs="宋体"/>
          <w:color w:val="auto"/>
          <w:kern w:val="0"/>
          <w:sz w:val="21"/>
          <w:szCs w:val="21"/>
          <w:highlight w:val="none"/>
        </w:rPr>
        <w:t>在合同有效期结束后，如需进行工作、服务等交接工作，乙方及其派出的项目人员应积极配合进行。乙方及其派出的项目人员未履行相关义务令甲方或丙方的工作和服务受到不利影响的，甲方可向乙方索要违约赔偿金。</w:t>
      </w:r>
    </w:p>
    <w:p w14:paraId="0BB17E67">
      <w:pPr>
        <w:widowControl/>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ascii="宋体" w:hAnsi="宋体" w:cs="宋体"/>
          <w:color w:val="auto"/>
          <w:kern w:val="0"/>
          <w:sz w:val="21"/>
          <w:szCs w:val="21"/>
          <w:highlight w:val="none"/>
          <w:lang w:eastAsia="zh-CN"/>
        </w:rPr>
        <w:t>九</w:t>
      </w:r>
      <w:r>
        <w:rPr>
          <w:rFonts w:hint="eastAsia" w:ascii="宋体" w:hAnsi="宋体" w:eastAsia="宋体" w:cs="宋体"/>
          <w:color w:val="auto"/>
          <w:kern w:val="0"/>
          <w:sz w:val="21"/>
          <w:szCs w:val="21"/>
          <w:highlight w:val="none"/>
        </w:rPr>
        <w:t>）乙方需保证如期落实项目人员开展项目所需活动费用及必要的办公费用。</w:t>
      </w:r>
    </w:p>
    <w:p w14:paraId="5A223961">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6791817C">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第十条 违约责任</w:t>
      </w:r>
    </w:p>
    <w:p w14:paraId="2C68A6A5">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eastAsia="zh-CN"/>
        </w:rPr>
        <w:t>（一）</w:t>
      </w:r>
      <w:r>
        <w:rPr>
          <w:rFonts w:hint="eastAsia" w:ascii="宋体" w:hAnsi="宋体" w:eastAsia="宋体" w:cs="宋体"/>
          <w:color w:val="auto"/>
          <w:kern w:val="0"/>
          <w:sz w:val="21"/>
          <w:szCs w:val="21"/>
          <w:highlight w:val="none"/>
        </w:rPr>
        <w:t>合同双方任何一方不履行合同条款或不按合同约定履行条款的其它情况，均属违约，由违约方承担违约责任，赔偿因其违约造成的损失，并支付合同价款总额</w:t>
      </w:r>
      <w:r>
        <w:rPr>
          <w:rFonts w:hint="eastAsia" w:ascii="宋体" w:hAnsi="宋体" w:cs="宋体"/>
          <w:color w:val="auto"/>
          <w:kern w:val="0"/>
          <w:sz w:val="21"/>
          <w:szCs w:val="21"/>
          <w:highlight w:val="none"/>
          <w:lang w:val="en-US" w:eastAsia="zh-CN"/>
        </w:rPr>
        <w:t>30</w:t>
      </w:r>
      <w:r>
        <w:rPr>
          <w:rFonts w:hint="eastAsia" w:ascii="宋体" w:hAnsi="宋体" w:eastAsia="宋体" w:cs="宋体"/>
          <w:color w:val="auto"/>
          <w:kern w:val="0"/>
          <w:sz w:val="21"/>
          <w:szCs w:val="21"/>
          <w:highlight w:val="none"/>
        </w:rPr>
        <w:t>%的违约金。</w:t>
      </w:r>
    </w:p>
    <w:p w14:paraId="2094C5A2">
      <w:pPr>
        <w:widowControl/>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ascii="宋体" w:hAnsi="宋体" w:cs="宋体"/>
          <w:color w:val="auto"/>
          <w:kern w:val="0"/>
          <w:sz w:val="21"/>
          <w:szCs w:val="21"/>
          <w:highlight w:val="none"/>
          <w:lang w:eastAsia="zh-CN"/>
        </w:rPr>
        <w:t>二</w:t>
      </w:r>
      <w:r>
        <w:rPr>
          <w:rFonts w:hint="eastAsia" w:ascii="宋体" w:hAnsi="宋体" w:eastAsia="宋体" w:cs="宋体"/>
          <w:color w:val="auto"/>
          <w:kern w:val="0"/>
          <w:sz w:val="21"/>
          <w:szCs w:val="21"/>
          <w:highlight w:val="none"/>
        </w:rPr>
        <w:t>）如因乙方项目人员故意或重大过失给甲方或丙方造成损失，甲方有权追究乙方相关责任。造成损失情况包括但不限于：乙方派出的项目人员无故离职；乙方派出的项目人员所做服务评估不合格；乙方派出的项目人员违反保密要求。</w:t>
      </w:r>
    </w:p>
    <w:p w14:paraId="4AF67CF4">
      <w:pPr>
        <w:widowControl/>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ascii="宋体" w:hAnsi="宋体" w:cs="宋体"/>
          <w:color w:val="auto"/>
          <w:kern w:val="0"/>
          <w:sz w:val="21"/>
          <w:szCs w:val="21"/>
          <w:highlight w:val="none"/>
          <w:lang w:eastAsia="zh-CN"/>
        </w:rPr>
        <w:t>三</w:t>
      </w:r>
      <w:r>
        <w:rPr>
          <w:rFonts w:hint="eastAsia" w:ascii="宋体" w:hAnsi="宋体" w:eastAsia="宋体" w:cs="宋体"/>
          <w:color w:val="auto"/>
          <w:kern w:val="0"/>
          <w:sz w:val="21"/>
          <w:szCs w:val="21"/>
          <w:highlight w:val="none"/>
        </w:rPr>
        <w:t>）乙方发生下列任一情况的，均构成违约：</w:t>
      </w:r>
    </w:p>
    <w:p w14:paraId="3F858805">
      <w:pPr>
        <w:widowControl/>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自项目服务期起始之日起计算，每6个月内，乙方项目人员缺岗时长累计超过90天的；</w:t>
      </w:r>
    </w:p>
    <w:p w14:paraId="360A318A">
      <w:pPr>
        <w:widowControl/>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乙方或乙方派出的项目人员过错导致甲方产生损失或不良影响；</w:t>
      </w:r>
    </w:p>
    <w:p w14:paraId="56713CE9">
      <w:pPr>
        <w:widowControl/>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丙方强烈要求更换承接机构</w:t>
      </w:r>
      <w:r>
        <w:rPr>
          <w:rFonts w:hint="eastAsia" w:ascii="宋体" w:hAnsi="宋体" w:cs="宋体"/>
          <w:color w:val="auto"/>
          <w:kern w:val="0"/>
          <w:sz w:val="21"/>
          <w:szCs w:val="21"/>
          <w:highlight w:val="none"/>
          <w:lang w:eastAsia="zh-CN"/>
        </w:rPr>
        <w:t>，且</w:t>
      </w:r>
      <w:r>
        <w:rPr>
          <w:rFonts w:hint="eastAsia" w:ascii="宋体" w:hAnsi="宋体" w:eastAsia="宋体" w:cs="宋体"/>
          <w:color w:val="auto"/>
          <w:kern w:val="0"/>
          <w:sz w:val="21"/>
          <w:szCs w:val="21"/>
          <w:highlight w:val="none"/>
        </w:rPr>
        <w:t>经甲方核实理由充足的；</w:t>
      </w:r>
    </w:p>
    <w:p w14:paraId="6D457CCC">
      <w:pPr>
        <w:widowControl/>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乙方无正当理由提出中止、终止履行协议的；</w:t>
      </w:r>
    </w:p>
    <w:p w14:paraId="3147CCF3">
      <w:pPr>
        <w:widowControl/>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乙方累计出现两次违反合同约定第二条中服务标准或服务要求的约定，经甲方书面提出整改意见后，仍未满足合同约定的；</w:t>
      </w:r>
    </w:p>
    <w:p w14:paraId="07124ED6">
      <w:pPr>
        <w:widowControl/>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r>
        <w:rPr>
          <w:rFonts w:hint="eastAsia" w:ascii="宋体" w:hAnsi="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乙方出现被登记管理机关限期停止活动、予以撤销登记、依法追究刑事责任、负责人无法正常履行职责等欠缺履约能力情形；</w:t>
      </w:r>
    </w:p>
    <w:p w14:paraId="258C8CF1">
      <w:pPr>
        <w:widowControl/>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r>
        <w:rPr>
          <w:rFonts w:hint="eastAsia" w:ascii="宋体" w:hAnsi="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经营管理：乙方必须自主经营管理，不得分包、转包、变相转包或以他人身份挂靠，否则，视为乙方违约。</w:t>
      </w:r>
    </w:p>
    <w:p w14:paraId="027D412D">
      <w:pPr>
        <w:widowControl/>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出现上述任一违约情形，甲方有权行使下述一项或几项权利：</w:t>
      </w:r>
    </w:p>
    <w:p w14:paraId="587FED6E">
      <w:pPr>
        <w:widowControl/>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①调整服务要求，要求乙方提供新的服务方案并经甲方书面确认；</w:t>
      </w:r>
    </w:p>
    <w:p w14:paraId="4A7BC29F">
      <w:pPr>
        <w:widowControl/>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②单方解除合同；</w:t>
      </w:r>
    </w:p>
    <w:p w14:paraId="60BB8FB2">
      <w:pPr>
        <w:widowControl/>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③终止合同履行并进行项目清算；</w:t>
      </w:r>
    </w:p>
    <w:p w14:paraId="6B7BCB9F">
      <w:pPr>
        <w:widowControl/>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④要求乙方限期纠正违约行为，乙方逾期纠正的，每逾期一天，按合同总额的日千分之一标准支付违约金，至纠正之日止；如该违约金不能弥补甲方损失的，乙方应补足。</w:t>
      </w:r>
    </w:p>
    <w:p w14:paraId="3D4F10D3">
      <w:pPr>
        <w:widowControl/>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⑤要求乙方按合同总额的30%支付违约赔偿金。</w:t>
      </w:r>
    </w:p>
    <w:p w14:paraId="6FC84C32">
      <w:pPr>
        <w:widowControl/>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ascii="宋体" w:hAnsi="宋体" w:cs="宋体"/>
          <w:color w:val="auto"/>
          <w:kern w:val="0"/>
          <w:sz w:val="21"/>
          <w:szCs w:val="21"/>
          <w:highlight w:val="none"/>
          <w:lang w:eastAsia="zh-CN"/>
        </w:rPr>
        <w:t>四</w:t>
      </w:r>
      <w:r>
        <w:rPr>
          <w:rFonts w:hint="eastAsia" w:ascii="宋体" w:hAnsi="宋体" w:eastAsia="宋体" w:cs="宋体"/>
          <w:color w:val="auto"/>
          <w:kern w:val="0"/>
          <w:sz w:val="21"/>
          <w:szCs w:val="21"/>
          <w:highlight w:val="none"/>
        </w:rPr>
        <w:t>）有下列情况之一的，乙方有权临时召回项目人员：</w:t>
      </w:r>
    </w:p>
    <w:p w14:paraId="160BC63C">
      <w:pPr>
        <w:widowControl/>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甲方无故未支付有关费用的；</w:t>
      </w:r>
    </w:p>
    <w:p w14:paraId="50A0D4D4">
      <w:pPr>
        <w:widowControl/>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甲方或丙方对乙方派出的项目人员工作要求违反国家法律、法规的；</w:t>
      </w:r>
    </w:p>
    <w:p w14:paraId="31750D66">
      <w:pPr>
        <w:widowControl/>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r>
        <w:rPr>
          <w:rFonts w:hint="eastAsia" w:ascii="宋体" w:hAnsi="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甲方或丙方无正当理由频繁要求调换项目人员的。</w:t>
      </w:r>
    </w:p>
    <w:p w14:paraId="738A1310">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799E70E3">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第十一条 争议的解决</w:t>
      </w:r>
    </w:p>
    <w:p w14:paraId="36A6B9A5">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1、凡与本合同有关而引起的一切争议，甲乙双方应首先通过友好协商解决，如经协商后仍不能达成协议时，任何一方可以向甲方所在地人民法院提出诉讼。</w:t>
      </w:r>
    </w:p>
    <w:p w14:paraId="4372FAC1">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2、本合同发生的诉讼管辖地为东莞市有管辖权的法院。</w:t>
      </w:r>
    </w:p>
    <w:p w14:paraId="5199EB2C">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3、在进行法院审理期间，除提交法院审理的事项外，合同其他部分仍继续履行。</w:t>
      </w:r>
    </w:p>
    <w:p w14:paraId="51D9D15A">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4、本合同按照中华人民共和国的法律进行解释。</w:t>
      </w:r>
    </w:p>
    <w:p w14:paraId="52AD912E">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2E260573">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第十二条 合同生效</w:t>
      </w:r>
    </w:p>
    <w:p w14:paraId="5DCF8FE5">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1、本合同由双方法定代表人或委托代理人签字盖章后立即生效，具有同等法律效力，合同有效期随服务期结束而自然终止。</w:t>
      </w:r>
    </w:p>
    <w:p w14:paraId="439A593B">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2、本合同一式    份，其中甲方   份、乙方   份</w:t>
      </w:r>
      <w:r>
        <w:rPr>
          <w:rFonts w:hint="eastAsia" w:ascii="宋体" w:hAnsi="宋体" w:cs="宋体"/>
          <w:color w:val="auto"/>
          <w:kern w:val="0"/>
          <w:sz w:val="21"/>
          <w:szCs w:val="21"/>
          <w:highlight w:val="none"/>
          <w:lang w:eastAsia="zh-CN"/>
        </w:rPr>
        <w:t>、丙方</w:t>
      </w:r>
      <w:r>
        <w:rPr>
          <w:rFonts w:hint="eastAsia" w:ascii="宋体" w:hAnsi="宋体" w:cs="宋体"/>
          <w:color w:val="auto"/>
          <w:kern w:val="0"/>
          <w:sz w:val="21"/>
          <w:szCs w:val="21"/>
          <w:highlight w:val="none"/>
          <w:lang w:val="en-US" w:eastAsia="zh-CN"/>
        </w:rPr>
        <w:t xml:space="preserve">   份</w:t>
      </w:r>
      <w:r>
        <w:rPr>
          <w:rFonts w:hint="eastAsia" w:ascii="宋体" w:hAnsi="宋体" w:eastAsia="宋体" w:cs="宋体"/>
          <w:color w:val="auto"/>
          <w:kern w:val="0"/>
          <w:sz w:val="21"/>
          <w:szCs w:val="21"/>
          <w:highlight w:val="none"/>
        </w:rPr>
        <w:t>，采购代理机构 壹 份（须在合同签订之日起7个工作日内递交）。</w:t>
      </w:r>
    </w:p>
    <w:p w14:paraId="092F9D29">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236BA3DA">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第十三条 其它</w:t>
      </w:r>
    </w:p>
    <w:p w14:paraId="171B7959">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1、本合同未尽事宜，</w:t>
      </w:r>
      <w:r>
        <w:rPr>
          <w:rFonts w:hint="eastAsia" w:ascii="宋体" w:hAnsi="宋体" w:cs="宋体"/>
          <w:color w:val="auto"/>
          <w:kern w:val="0"/>
          <w:sz w:val="21"/>
          <w:szCs w:val="21"/>
          <w:highlight w:val="none"/>
          <w:lang w:eastAsia="zh-CN"/>
        </w:rPr>
        <w:t>三</w:t>
      </w:r>
      <w:r>
        <w:rPr>
          <w:rFonts w:hint="eastAsia" w:ascii="宋体" w:hAnsi="宋体" w:eastAsia="宋体" w:cs="宋体"/>
          <w:color w:val="auto"/>
          <w:kern w:val="0"/>
          <w:sz w:val="21"/>
          <w:szCs w:val="21"/>
          <w:highlight w:val="none"/>
        </w:rPr>
        <w:t>方可签订补充合同，补充合同与所有附件均为合同的有效组成部分，与本合同具有同等法律效力。</w:t>
      </w:r>
    </w:p>
    <w:p w14:paraId="5431A853">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2、在执行本合同的过程中，所有经甲</w:t>
      </w: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乙</w:t>
      </w:r>
      <w:r>
        <w:rPr>
          <w:rFonts w:hint="eastAsia" w:ascii="宋体" w:hAnsi="宋体" w:cs="宋体"/>
          <w:color w:val="auto"/>
          <w:kern w:val="0"/>
          <w:sz w:val="21"/>
          <w:szCs w:val="21"/>
          <w:highlight w:val="none"/>
          <w:lang w:eastAsia="zh-CN"/>
        </w:rPr>
        <w:t>、丙三</w:t>
      </w:r>
      <w:r>
        <w:rPr>
          <w:rFonts w:hint="eastAsia" w:ascii="宋体" w:hAnsi="宋体" w:eastAsia="宋体" w:cs="宋体"/>
          <w:color w:val="auto"/>
          <w:kern w:val="0"/>
          <w:sz w:val="21"/>
          <w:szCs w:val="21"/>
          <w:highlight w:val="none"/>
        </w:rPr>
        <w:t>方签署确认的文件（包括会议纪要、补充协议、往来信函、合同附件等）即成为本合同的有效组成部分，其生效日期为</w:t>
      </w:r>
      <w:r>
        <w:rPr>
          <w:rFonts w:hint="eastAsia" w:ascii="宋体" w:hAnsi="宋体" w:cs="宋体"/>
          <w:color w:val="auto"/>
          <w:kern w:val="0"/>
          <w:sz w:val="21"/>
          <w:szCs w:val="21"/>
          <w:highlight w:val="none"/>
          <w:lang w:eastAsia="zh-CN"/>
        </w:rPr>
        <w:t>三</w:t>
      </w:r>
      <w:r>
        <w:rPr>
          <w:rFonts w:hint="eastAsia" w:ascii="宋体" w:hAnsi="宋体" w:eastAsia="宋体" w:cs="宋体"/>
          <w:color w:val="auto"/>
          <w:kern w:val="0"/>
          <w:sz w:val="21"/>
          <w:szCs w:val="21"/>
          <w:highlight w:val="none"/>
        </w:rPr>
        <w:t>方签字盖章或确认之日期。</w:t>
      </w:r>
    </w:p>
    <w:p w14:paraId="4D0864F8">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本合同合计   页A4纸张，缺页之合同为无效合同。</w:t>
      </w:r>
    </w:p>
    <w:p w14:paraId="649ADE00">
      <w:pPr>
        <w:pStyle w:val="7"/>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以下无正文</w:t>
      </w:r>
    </w:p>
    <w:p w14:paraId="01F3B945">
      <w:pPr>
        <w:pStyle w:val="7"/>
        <w:ind w:firstLine="420" w:firstLineChars="200"/>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 xml:space="preserve"> </w:t>
      </w:r>
    </w:p>
    <w:p w14:paraId="76499397">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甲方（盖章）：                     </w:t>
      </w:r>
      <w:r>
        <w:rPr>
          <w:rFonts w:hint="eastAsia" w:ascii="宋体" w:hAnsi="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 xml:space="preserve"> 乙方（盖章）：</w:t>
      </w:r>
    </w:p>
    <w:p w14:paraId="78C6C2A4">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法定代表</w:t>
      </w:r>
      <w:r>
        <w:rPr>
          <w:rFonts w:hint="eastAsia" w:ascii="宋体" w:hAnsi="宋体" w:cs="宋体"/>
          <w:color w:val="auto"/>
          <w:kern w:val="0"/>
          <w:sz w:val="21"/>
          <w:szCs w:val="21"/>
          <w:highlight w:val="none"/>
          <w:lang w:eastAsia="zh-CN"/>
        </w:rPr>
        <w:t>或委托代理人</w:t>
      </w:r>
      <w:r>
        <w:rPr>
          <w:rFonts w:hint="eastAsia" w:ascii="宋体" w:hAnsi="宋体" w:eastAsia="宋体" w:cs="宋体"/>
          <w:color w:val="auto"/>
          <w:kern w:val="0"/>
          <w:sz w:val="21"/>
          <w:szCs w:val="21"/>
          <w:highlight w:val="none"/>
        </w:rPr>
        <w:t>(签字)：                   法定代表</w:t>
      </w:r>
      <w:r>
        <w:rPr>
          <w:rFonts w:hint="eastAsia" w:ascii="宋体" w:hAnsi="宋体" w:cs="宋体"/>
          <w:color w:val="auto"/>
          <w:kern w:val="0"/>
          <w:sz w:val="21"/>
          <w:szCs w:val="21"/>
          <w:highlight w:val="none"/>
          <w:lang w:eastAsia="zh-CN"/>
        </w:rPr>
        <w:t>或委托代理人</w:t>
      </w:r>
      <w:r>
        <w:rPr>
          <w:rFonts w:hint="eastAsia" w:ascii="宋体" w:hAnsi="宋体" w:eastAsia="宋体" w:cs="宋体"/>
          <w:color w:val="auto"/>
          <w:kern w:val="0"/>
          <w:sz w:val="21"/>
          <w:szCs w:val="21"/>
          <w:highlight w:val="none"/>
        </w:rPr>
        <w:t>(签字)：</w:t>
      </w:r>
    </w:p>
    <w:p w14:paraId="3B9398F0">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地址：                         </w:t>
      </w:r>
      <w:r>
        <w:rPr>
          <w:rFonts w:hint="eastAsia" w:ascii="宋体" w:hAnsi="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 xml:space="preserve">    地址： </w:t>
      </w:r>
    </w:p>
    <w:p w14:paraId="5F551D73">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电话：                         </w:t>
      </w:r>
      <w:r>
        <w:rPr>
          <w:rFonts w:hint="eastAsia" w:ascii="宋体" w:hAnsi="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 xml:space="preserve">    电话：</w:t>
      </w:r>
    </w:p>
    <w:p w14:paraId="43DD8962">
      <w:pPr>
        <w:widowControl/>
        <w:adjustRightInd w:val="0"/>
        <w:snapToGrid w:val="0"/>
        <w:spacing w:line="360" w:lineRule="auto"/>
        <w:jc w:val="left"/>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开户银行：</w:t>
      </w:r>
    </w:p>
    <w:p w14:paraId="5C54D152">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 xml:space="preserve"> 账号：</w:t>
      </w:r>
    </w:p>
    <w:p w14:paraId="235DDA54">
      <w:pPr>
        <w:widowControl/>
        <w:adjustRightInd w:val="0"/>
        <w:snapToGrid w:val="0"/>
        <w:spacing w:line="360" w:lineRule="auto"/>
        <w:jc w:val="left"/>
        <w:rPr>
          <w:rFonts w:hint="default" w:ascii="宋体" w:hAnsi="宋体" w:eastAsia="宋体" w:cs="宋体"/>
          <w:color w:val="auto"/>
          <w:kern w:val="0"/>
          <w:sz w:val="21"/>
          <w:szCs w:val="21"/>
          <w:highlight w:val="none"/>
          <w:lang w:val="en-US" w:eastAsia="zh-CN"/>
        </w:rPr>
      </w:pPr>
    </w:p>
    <w:p w14:paraId="7AF40CB9">
      <w:pPr>
        <w:widowControl/>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丙方（盖章）</w:t>
      </w:r>
    </w:p>
    <w:p w14:paraId="7D6C5A8A">
      <w:pPr>
        <w:widowControl/>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w:t>
      </w:r>
      <w:r>
        <w:rPr>
          <w:rFonts w:hint="eastAsia" w:ascii="宋体" w:hAnsi="宋体" w:cs="宋体"/>
          <w:color w:val="auto"/>
          <w:kern w:val="0"/>
          <w:sz w:val="21"/>
          <w:szCs w:val="21"/>
          <w:highlight w:val="none"/>
          <w:lang w:eastAsia="zh-CN"/>
        </w:rPr>
        <w:t>或委托代理人</w:t>
      </w:r>
      <w:r>
        <w:rPr>
          <w:rFonts w:hint="eastAsia" w:ascii="宋体" w:hAnsi="宋体" w:eastAsia="宋体" w:cs="宋体"/>
          <w:color w:val="auto"/>
          <w:kern w:val="0"/>
          <w:sz w:val="21"/>
          <w:szCs w:val="21"/>
          <w:highlight w:val="none"/>
        </w:rPr>
        <w:t>(签字)：</w:t>
      </w:r>
    </w:p>
    <w:p w14:paraId="04F75657">
      <w:pPr>
        <w:widowControl/>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地址： </w:t>
      </w:r>
    </w:p>
    <w:p w14:paraId="7CC0ABB8">
      <w:pPr>
        <w:widowControl/>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电话：</w:t>
      </w:r>
    </w:p>
    <w:p w14:paraId="4655AAA0">
      <w:pPr>
        <w:widowControl/>
        <w:adjustRightInd w:val="0"/>
        <w:snapToGrid w:val="0"/>
        <w:spacing w:line="360" w:lineRule="auto"/>
        <w:jc w:val="left"/>
        <w:rPr>
          <w:rFonts w:hint="eastAsia" w:ascii="宋体" w:hAnsi="宋体" w:eastAsia="宋体" w:cs="宋体"/>
          <w:color w:val="auto"/>
          <w:kern w:val="0"/>
          <w:sz w:val="21"/>
          <w:szCs w:val="21"/>
          <w:highlight w:val="none"/>
        </w:rPr>
      </w:pPr>
    </w:p>
    <w:p w14:paraId="4B73CABC">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签约时间：</w:t>
      </w:r>
    </w:p>
    <w:p w14:paraId="6DA9D33C">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签约地点：</w:t>
      </w:r>
    </w:p>
    <w:p w14:paraId="355FC205">
      <w:pPr>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此仅为合同书样本，成交供应商需根据实际情况和甲方签订相应的合同！</w:t>
      </w:r>
    </w:p>
    <w:p w14:paraId="547C1DE3">
      <w:pPr>
        <w:rPr>
          <w:rFonts w:ascii="宋体" w:hAnsi="宋体" w:eastAsia="宋体"/>
          <w:b/>
          <w:color w:val="auto"/>
          <w:sz w:val="21"/>
          <w:szCs w:val="21"/>
          <w:highlight w:val="none"/>
        </w:rPr>
      </w:pPr>
      <w:r>
        <w:rPr>
          <w:rFonts w:hint="eastAsia" w:ascii="宋体" w:hAnsi="宋体" w:eastAsia="宋体"/>
          <w:b/>
          <w:color w:val="auto"/>
          <w:sz w:val="21"/>
          <w:szCs w:val="21"/>
          <w:highlight w:val="none"/>
        </w:rPr>
        <w:br w:type="page"/>
      </w:r>
    </w:p>
    <w:p w14:paraId="6AB32188">
      <w:pPr>
        <w:pStyle w:val="3"/>
        <w:spacing w:before="0" w:after="0" w:line="240" w:lineRule="auto"/>
        <w:rPr>
          <w:color w:val="auto"/>
          <w:sz w:val="28"/>
          <w:szCs w:val="28"/>
          <w:highlight w:val="none"/>
        </w:rPr>
      </w:pPr>
      <w:bookmarkStart w:id="209" w:name="_Toc31587"/>
      <w:bookmarkStart w:id="210" w:name="_Toc23749"/>
      <w:bookmarkStart w:id="211" w:name="_Toc15158"/>
      <w:r>
        <w:rPr>
          <w:rFonts w:hint="eastAsia"/>
          <w:color w:val="auto"/>
          <w:sz w:val="28"/>
          <w:szCs w:val="28"/>
          <w:highlight w:val="none"/>
        </w:rPr>
        <w:t>第</w:t>
      </w:r>
      <w:r>
        <w:rPr>
          <w:rFonts w:hint="eastAsia"/>
          <w:color w:val="auto"/>
          <w:sz w:val="28"/>
          <w:szCs w:val="28"/>
          <w:highlight w:val="none"/>
          <w:lang w:val="en-US" w:eastAsia="zh-CN"/>
        </w:rPr>
        <w:t>七</w:t>
      </w:r>
      <w:r>
        <w:rPr>
          <w:rFonts w:hint="eastAsia"/>
          <w:color w:val="auto"/>
          <w:sz w:val="28"/>
          <w:szCs w:val="28"/>
          <w:highlight w:val="none"/>
        </w:rPr>
        <w:t xml:space="preserve">部分  </w:t>
      </w:r>
      <w:r>
        <w:rPr>
          <w:rFonts w:hint="eastAsia"/>
          <w:color w:val="auto"/>
          <w:sz w:val="28"/>
          <w:szCs w:val="28"/>
          <w:highlight w:val="none"/>
          <w:lang w:eastAsia="zh-CN"/>
        </w:rPr>
        <w:t>响应文件</w:t>
      </w:r>
      <w:r>
        <w:rPr>
          <w:rFonts w:hint="eastAsia"/>
          <w:color w:val="auto"/>
          <w:sz w:val="28"/>
          <w:szCs w:val="28"/>
          <w:highlight w:val="none"/>
        </w:rPr>
        <w:t>格式</w:t>
      </w:r>
      <w:bookmarkEnd w:id="209"/>
      <w:bookmarkEnd w:id="210"/>
      <w:bookmarkEnd w:id="211"/>
    </w:p>
    <w:p w14:paraId="4C98BE6F">
      <w:pPr>
        <w:rPr>
          <w:color w:val="auto"/>
          <w:highlight w:val="none"/>
        </w:rPr>
      </w:pPr>
    </w:p>
    <w:p w14:paraId="5BA06B9D">
      <w:pPr>
        <w:pStyle w:val="4"/>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12" w:name="_Toc2434"/>
      <w:bookmarkStart w:id="213" w:name="_Toc6790"/>
      <w:bookmarkStart w:id="214" w:name="_Toc26830"/>
      <w:r>
        <w:rPr>
          <w:rFonts w:hint="eastAsia"/>
          <w:color w:val="auto"/>
          <w:highlight w:val="none"/>
          <w:lang w:eastAsia="zh-CN"/>
        </w:rPr>
        <w:t>响应文件</w:t>
      </w:r>
      <w:r>
        <w:rPr>
          <w:rFonts w:hint="eastAsia"/>
          <w:color w:val="auto"/>
          <w:highlight w:val="none"/>
        </w:rPr>
        <w:t>目录</w:t>
      </w:r>
      <w:bookmarkEnd w:id="212"/>
      <w:bookmarkEnd w:id="213"/>
      <w:bookmarkEnd w:id="214"/>
    </w:p>
    <w:p w14:paraId="777430F1">
      <w:pPr>
        <w:jc w:val="center"/>
        <w:rPr>
          <w:rFonts w:ascii="黑体" w:eastAsia="黑体"/>
          <w:color w:val="auto"/>
          <w:sz w:val="32"/>
          <w:szCs w:val="32"/>
          <w:highlight w:val="none"/>
        </w:rPr>
      </w:pPr>
    </w:p>
    <w:p w14:paraId="412B483D">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14:paraId="6A86D02A">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格式自理。</w:t>
      </w:r>
    </w:p>
    <w:p w14:paraId="4ECD7C95">
      <w:pPr>
        <w:adjustRightInd/>
        <w:snapToGrid/>
        <w:spacing w:line="276" w:lineRule="auto"/>
        <w:rPr>
          <w:rFonts w:ascii="宋体" w:hAnsi="宋体" w:eastAsia="宋体"/>
          <w:color w:val="auto"/>
          <w:sz w:val="21"/>
          <w:szCs w:val="21"/>
          <w:highlight w:val="none"/>
        </w:rPr>
      </w:pPr>
    </w:p>
    <w:p w14:paraId="16BFAE67">
      <w:pPr>
        <w:adjustRightInd/>
        <w:snapToGrid/>
        <w:spacing w:line="276" w:lineRule="auto"/>
        <w:rPr>
          <w:rFonts w:ascii="宋体" w:hAnsi="宋体" w:eastAsia="宋体"/>
          <w:color w:val="auto"/>
          <w:sz w:val="21"/>
          <w:szCs w:val="21"/>
          <w:highlight w:val="none"/>
        </w:rPr>
      </w:pPr>
    </w:p>
    <w:p w14:paraId="708F07BA">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14:paraId="162D527D">
      <w:pPr>
        <w:pStyle w:val="4"/>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15" w:name="_Toc25502"/>
      <w:bookmarkStart w:id="216" w:name="_Toc18893"/>
      <w:bookmarkStart w:id="217" w:name="_Toc28116"/>
      <w:r>
        <w:rPr>
          <w:rFonts w:hint="eastAsia"/>
          <w:color w:val="auto"/>
          <w:highlight w:val="none"/>
        </w:rPr>
        <w:t>评分标准索引表</w:t>
      </w:r>
      <w:bookmarkEnd w:id="215"/>
      <w:bookmarkEnd w:id="216"/>
      <w:bookmarkEnd w:id="217"/>
    </w:p>
    <w:p w14:paraId="3AF62C37">
      <w:pPr>
        <w:adjustRightInd/>
        <w:snapToGrid/>
        <w:spacing w:line="276" w:lineRule="auto"/>
        <w:rPr>
          <w:rFonts w:ascii="宋体" w:hAnsi="宋体" w:eastAsia="宋体"/>
          <w:color w:val="auto"/>
          <w:sz w:val="21"/>
          <w:szCs w:val="21"/>
          <w:highlight w:val="none"/>
        </w:rPr>
      </w:pPr>
    </w:p>
    <w:p w14:paraId="0525F730">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2"/>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14:paraId="798490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202040E9">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评分内容</w:t>
            </w:r>
          </w:p>
        </w:tc>
        <w:tc>
          <w:tcPr>
            <w:tcW w:w="5028" w:type="dxa"/>
            <w:noWrap w:val="0"/>
            <w:vAlign w:val="center"/>
          </w:tcPr>
          <w:p w14:paraId="7A45E5B3">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评分细则</w:t>
            </w:r>
          </w:p>
        </w:tc>
        <w:tc>
          <w:tcPr>
            <w:tcW w:w="2126" w:type="dxa"/>
            <w:noWrap w:val="0"/>
            <w:vAlign w:val="center"/>
          </w:tcPr>
          <w:p w14:paraId="3FA216E2">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页码</w:t>
            </w:r>
          </w:p>
        </w:tc>
      </w:tr>
      <w:tr w14:paraId="57B95B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14:paraId="000EDBD9">
            <w:pPr>
              <w:pStyle w:val="29"/>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p>
        </w:tc>
      </w:tr>
      <w:tr w14:paraId="12AB83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08A8AC2C">
            <w:pPr>
              <w:pStyle w:val="29"/>
              <w:jc w:val="both"/>
              <w:rPr>
                <w:rFonts w:hint="eastAsia" w:ascii="宋体" w:hAnsi="宋体" w:eastAsia="宋体" w:cs="宋体"/>
                <w:color w:val="auto"/>
                <w:sz w:val="21"/>
                <w:szCs w:val="21"/>
                <w:highlight w:val="none"/>
              </w:rPr>
            </w:pPr>
          </w:p>
        </w:tc>
        <w:tc>
          <w:tcPr>
            <w:tcW w:w="5028" w:type="dxa"/>
            <w:noWrap w:val="0"/>
            <w:vAlign w:val="center"/>
          </w:tcPr>
          <w:p w14:paraId="3D525979">
            <w:pPr>
              <w:pStyle w:val="29"/>
              <w:jc w:val="both"/>
              <w:rPr>
                <w:rFonts w:hint="eastAsia" w:ascii="宋体" w:hAnsi="宋体" w:eastAsia="宋体" w:cs="宋体"/>
                <w:color w:val="auto"/>
                <w:sz w:val="21"/>
                <w:szCs w:val="21"/>
                <w:highlight w:val="none"/>
              </w:rPr>
            </w:pPr>
          </w:p>
        </w:tc>
        <w:tc>
          <w:tcPr>
            <w:tcW w:w="2126" w:type="dxa"/>
            <w:noWrap w:val="0"/>
            <w:vAlign w:val="center"/>
          </w:tcPr>
          <w:p w14:paraId="20D1681F">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2F773A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1BD27320">
            <w:pPr>
              <w:pStyle w:val="29"/>
              <w:jc w:val="both"/>
              <w:rPr>
                <w:rFonts w:hint="eastAsia" w:ascii="宋体" w:hAnsi="宋体" w:eastAsia="宋体" w:cs="宋体"/>
                <w:color w:val="auto"/>
                <w:sz w:val="21"/>
                <w:szCs w:val="21"/>
                <w:highlight w:val="none"/>
              </w:rPr>
            </w:pPr>
          </w:p>
        </w:tc>
        <w:tc>
          <w:tcPr>
            <w:tcW w:w="5028" w:type="dxa"/>
            <w:noWrap w:val="0"/>
            <w:vAlign w:val="center"/>
          </w:tcPr>
          <w:p w14:paraId="422DDCE9">
            <w:pPr>
              <w:pStyle w:val="29"/>
              <w:jc w:val="both"/>
              <w:rPr>
                <w:rFonts w:hint="eastAsia" w:ascii="宋体" w:hAnsi="宋体" w:eastAsia="宋体" w:cs="宋体"/>
                <w:color w:val="auto"/>
                <w:sz w:val="21"/>
                <w:szCs w:val="21"/>
                <w:highlight w:val="none"/>
              </w:rPr>
            </w:pPr>
          </w:p>
        </w:tc>
        <w:tc>
          <w:tcPr>
            <w:tcW w:w="2126" w:type="dxa"/>
            <w:noWrap w:val="0"/>
            <w:vAlign w:val="center"/>
          </w:tcPr>
          <w:p w14:paraId="08515564">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19F089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220D3A63">
            <w:pPr>
              <w:pStyle w:val="29"/>
              <w:jc w:val="both"/>
              <w:rPr>
                <w:rFonts w:hint="eastAsia" w:ascii="宋体" w:hAnsi="宋体" w:eastAsia="宋体" w:cs="宋体"/>
                <w:color w:val="auto"/>
                <w:sz w:val="21"/>
                <w:szCs w:val="21"/>
                <w:highlight w:val="none"/>
              </w:rPr>
            </w:pPr>
          </w:p>
        </w:tc>
        <w:tc>
          <w:tcPr>
            <w:tcW w:w="5028" w:type="dxa"/>
            <w:noWrap w:val="0"/>
            <w:vAlign w:val="center"/>
          </w:tcPr>
          <w:p w14:paraId="1816A413">
            <w:pPr>
              <w:pStyle w:val="29"/>
              <w:jc w:val="both"/>
              <w:rPr>
                <w:rFonts w:hint="eastAsia" w:ascii="宋体" w:hAnsi="宋体" w:eastAsia="宋体" w:cs="宋体"/>
                <w:color w:val="auto"/>
                <w:sz w:val="21"/>
                <w:szCs w:val="21"/>
                <w:highlight w:val="none"/>
              </w:rPr>
            </w:pPr>
          </w:p>
        </w:tc>
        <w:tc>
          <w:tcPr>
            <w:tcW w:w="2126" w:type="dxa"/>
            <w:noWrap w:val="0"/>
            <w:vAlign w:val="center"/>
          </w:tcPr>
          <w:p w14:paraId="1DACEDF6">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0153EC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4C9AFECB">
            <w:pPr>
              <w:pStyle w:val="29"/>
              <w:jc w:val="both"/>
              <w:rPr>
                <w:rFonts w:hint="eastAsia" w:ascii="宋体" w:hAnsi="宋体" w:eastAsia="宋体" w:cs="宋体"/>
                <w:color w:val="auto"/>
                <w:sz w:val="21"/>
                <w:szCs w:val="21"/>
                <w:highlight w:val="none"/>
              </w:rPr>
            </w:pPr>
          </w:p>
        </w:tc>
        <w:tc>
          <w:tcPr>
            <w:tcW w:w="5028" w:type="dxa"/>
            <w:noWrap w:val="0"/>
            <w:vAlign w:val="center"/>
          </w:tcPr>
          <w:p w14:paraId="38E04399">
            <w:pPr>
              <w:pStyle w:val="29"/>
              <w:jc w:val="both"/>
              <w:rPr>
                <w:rFonts w:hint="eastAsia" w:ascii="宋体" w:hAnsi="宋体" w:eastAsia="宋体" w:cs="宋体"/>
                <w:color w:val="auto"/>
                <w:sz w:val="21"/>
                <w:szCs w:val="21"/>
                <w:highlight w:val="none"/>
              </w:rPr>
            </w:pPr>
          </w:p>
        </w:tc>
        <w:tc>
          <w:tcPr>
            <w:tcW w:w="2126" w:type="dxa"/>
            <w:noWrap w:val="0"/>
            <w:vAlign w:val="center"/>
          </w:tcPr>
          <w:p w14:paraId="7036BC83">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07E984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73A7BE58">
            <w:pPr>
              <w:pStyle w:val="29"/>
              <w:jc w:val="both"/>
              <w:rPr>
                <w:rFonts w:hint="eastAsia" w:ascii="宋体" w:hAnsi="宋体" w:eastAsia="宋体" w:cs="宋体"/>
                <w:color w:val="auto"/>
                <w:sz w:val="21"/>
                <w:szCs w:val="21"/>
                <w:highlight w:val="none"/>
              </w:rPr>
            </w:pPr>
          </w:p>
        </w:tc>
        <w:tc>
          <w:tcPr>
            <w:tcW w:w="5028" w:type="dxa"/>
            <w:noWrap w:val="0"/>
            <w:vAlign w:val="center"/>
          </w:tcPr>
          <w:p w14:paraId="27691259">
            <w:pPr>
              <w:pStyle w:val="29"/>
              <w:jc w:val="both"/>
              <w:rPr>
                <w:rFonts w:hint="eastAsia" w:ascii="宋体" w:hAnsi="宋体" w:eastAsia="宋体" w:cs="宋体"/>
                <w:color w:val="auto"/>
                <w:sz w:val="21"/>
                <w:szCs w:val="21"/>
                <w:highlight w:val="none"/>
              </w:rPr>
            </w:pPr>
          </w:p>
        </w:tc>
        <w:tc>
          <w:tcPr>
            <w:tcW w:w="2126" w:type="dxa"/>
            <w:noWrap w:val="0"/>
            <w:vAlign w:val="center"/>
          </w:tcPr>
          <w:p w14:paraId="7673440C">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08E7C2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14:paraId="5854C51E">
            <w:pPr>
              <w:pStyle w:val="16"/>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p>
        </w:tc>
      </w:tr>
      <w:tr w14:paraId="1E54B4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5FE596C6">
            <w:pPr>
              <w:pStyle w:val="29"/>
              <w:jc w:val="both"/>
              <w:rPr>
                <w:rFonts w:hint="eastAsia" w:ascii="宋体" w:hAnsi="宋体" w:eastAsia="宋体" w:cs="宋体"/>
                <w:color w:val="auto"/>
                <w:sz w:val="21"/>
                <w:szCs w:val="21"/>
                <w:highlight w:val="none"/>
              </w:rPr>
            </w:pPr>
          </w:p>
        </w:tc>
        <w:tc>
          <w:tcPr>
            <w:tcW w:w="5028" w:type="dxa"/>
            <w:noWrap w:val="0"/>
            <w:vAlign w:val="center"/>
          </w:tcPr>
          <w:p w14:paraId="0E99A55C">
            <w:pPr>
              <w:pStyle w:val="29"/>
              <w:jc w:val="both"/>
              <w:rPr>
                <w:rFonts w:hint="eastAsia" w:ascii="宋体" w:hAnsi="宋体" w:eastAsia="宋体" w:cs="宋体"/>
                <w:color w:val="auto"/>
                <w:sz w:val="21"/>
                <w:szCs w:val="21"/>
                <w:highlight w:val="none"/>
              </w:rPr>
            </w:pPr>
          </w:p>
        </w:tc>
        <w:tc>
          <w:tcPr>
            <w:tcW w:w="2126" w:type="dxa"/>
            <w:noWrap w:val="0"/>
            <w:vAlign w:val="center"/>
          </w:tcPr>
          <w:p w14:paraId="47AED9C4">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0C3B5C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37BE9E97">
            <w:pPr>
              <w:pStyle w:val="29"/>
              <w:jc w:val="both"/>
              <w:rPr>
                <w:rFonts w:hint="eastAsia" w:ascii="宋体" w:hAnsi="宋体" w:eastAsia="宋体" w:cs="宋体"/>
                <w:color w:val="auto"/>
                <w:sz w:val="21"/>
                <w:szCs w:val="21"/>
                <w:highlight w:val="none"/>
              </w:rPr>
            </w:pPr>
          </w:p>
        </w:tc>
        <w:tc>
          <w:tcPr>
            <w:tcW w:w="5028" w:type="dxa"/>
            <w:noWrap w:val="0"/>
            <w:vAlign w:val="center"/>
          </w:tcPr>
          <w:p w14:paraId="44E4B376">
            <w:pPr>
              <w:pStyle w:val="29"/>
              <w:jc w:val="both"/>
              <w:rPr>
                <w:rFonts w:hint="eastAsia" w:ascii="宋体" w:hAnsi="宋体" w:eastAsia="宋体" w:cs="宋体"/>
                <w:color w:val="auto"/>
                <w:sz w:val="21"/>
                <w:szCs w:val="21"/>
                <w:highlight w:val="none"/>
              </w:rPr>
            </w:pPr>
          </w:p>
        </w:tc>
        <w:tc>
          <w:tcPr>
            <w:tcW w:w="2126" w:type="dxa"/>
            <w:noWrap w:val="0"/>
            <w:vAlign w:val="center"/>
          </w:tcPr>
          <w:p w14:paraId="749CE733">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0DCBA2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02AA56E5">
            <w:pPr>
              <w:pStyle w:val="29"/>
              <w:jc w:val="both"/>
              <w:rPr>
                <w:rFonts w:hint="eastAsia" w:ascii="宋体" w:hAnsi="宋体" w:eastAsia="宋体" w:cs="宋体"/>
                <w:color w:val="auto"/>
                <w:sz w:val="21"/>
                <w:szCs w:val="21"/>
                <w:highlight w:val="none"/>
              </w:rPr>
            </w:pPr>
          </w:p>
        </w:tc>
        <w:tc>
          <w:tcPr>
            <w:tcW w:w="5028" w:type="dxa"/>
            <w:noWrap w:val="0"/>
            <w:vAlign w:val="center"/>
          </w:tcPr>
          <w:p w14:paraId="27537947">
            <w:pPr>
              <w:pStyle w:val="29"/>
              <w:jc w:val="both"/>
              <w:rPr>
                <w:rFonts w:hint="eastAsia" w:ascii="宋体" w:hAnsi="宋体" w:eastAsia="宋体" w:cs="宋体"/>
                <w:color w:val="auto"/>
                <w:sz w:val="21"/>
                <w:szCs w:val="21"/>
                <w:highlight w:val="none"/>
              </w:rPr>
            </w:pPr>
          </w:p>
        </w:tc>
        <w:tc>
          <w:tcPr>
            <w:tcW w:w="2126" w:type="dxa"/>
            <w:noWrap w:val="0"/>
            <w:vAlign w:val="center"/>
          </w:tcPr>
          <w:p w14:paraId="4DAD76E5">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115994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7FF8A3C1">
            <w:pPr>
              <w:pStyle w:val="29"/>
              <w:jc w:val="both"/>
              <w:rPr>
                <w:rFonts w:hint="eastAsia" w:ascii="宋体" w:hAnsi="宋体" w:eastAsia="宋体" w:cs="宋体"/>
                <w:color w:val="auto"/>
                <w:sz w:val="21"/>
                <w:szCs w:val="21"/>
                <w:highlight w:val="none"/>
              </w:rPr>
            </w:pPr>
          </w:p>
        </w:tc>
        <w:tc>
          <w:tcPr>
            <w:tcW w:w="5028" w:type="dxa"/>
            <w:noWrap w:val="0"/>
            <w:vAlign w:val="center"/>
          </w:tcPr>
          <w:p w14:paraId="75019CE3">
            <w:pPr>
              <w:pStyle w:val="29"/>
              <w:jc w:val="both"/>
              <w:rPr>
                <w:rFonts w:hint="eastAsia" w:ascii="宋体" w:hAnsi="宋体" w:eastAsia="宋体" w:cs="宋体"/>
                <w:color w:val="auto"/>
                <w:sz w:val="21"/>
                <w:szCs w:val="21"/>
                <w:highlight w:val="none"/>
              </w:rPr>
            </w:pPr>
          </w:p>
        </w:tc>
        <w:tc>
          <w:tcPr>
            <w:tcW w:w="2126" w:type="dxa"/>
            <w:noWrap w:val="0"/>
            <w:vAlign w:val="center"/>
          </w:tcPr>
          <w:p w14:paraId="333AD930">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7F91B5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071E6028">
            <w:pPr>
              <w:pStyle w:val="29"/>
              <w:jc w:val="both"/>
              <w:rPr>
                <w:rFonts w:hint="eastAsia" w:ascii="宋体" w:hAnsi="宋体" w:eastAsia="宋体" w:cs="宋体"/>
                <w:color w:val="auto"/>
                <w:sz w:val="21"/>
                <w:szCs w:val="21"/>
                <w:highlight w:val="none"/>
              </w:rPr>
            </w:pPr>
          </w:p>
        </w:tc>
        <w:tc>
          <w:tcPr>
            <w:tcW w:w="5028" w:type="dxa"/>
            <w:noWrap w:val="0"/>
            <w:vAlign w:val="center"/>
          </w:tcPr>
          <w:p w14:paraId="20C93D10">
            <w:pPr>
              <w:pStyle w:val="29"/>
              <w:jc w:val="both"/>
              <w:rPr>
                <w:rFonts w:hint="eastAsia" w:ascii="宋体" w:hAnsi="宋体" w:eastAsia="宋体" w:cs="宋体"/>
                <w:color w:val="auto"/>
                <w:sz w:val="21"/>
                <w:szCs w:val="21"/>
                <w:highlight w:val="none"/>
              </w:rPr>
            </w:pPr>
          </w:p>
        </w:tc>
        <w:tc>
          <w:tcPr>
            <w:tcW w:w="2126" w:type="dxa"/>
            <w:noWrap w:val="0"/>
            <w:vAlign w:val="center"/>
          </w:tcPr>
          <w:p w14:paraId="455FDE87">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43923D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342B8984">
            <w:pPr>
              <w:pStyle w:val="29"/>
              <w:jc w:val="both"/>
              <w:rPr>
                <w:rFonts w:hint="eastAsia" w:ascii="宋体" w:hAnsi="宋体" w:eastAsia="宋体" w:cs="宋体"/>
                <w:color w:val="auto"/>
                <w:sz w:val="21"/>
                <w:szCs w:val="21"/>
                <w:highlight w:val="none"/>
              </w:rPr>
            </w:pPr>
          </w:p>
        </w:tc>
        <w:tc>
          <w:tcPr>
            <w:tcW w:w="5028" w:type="dxa"/>
            <w:noWrap w:val="0"/>
            <w:vAlign w:val="center"/>
          </w:tcPr>
          <w:p w14:paraId="247FE295">
            <w:pPr>
              <w:pStyle w:val="29"/>
              <w:jc w:val="both"/>
              <w:rPr>
                <w:rFonts w:hint="eastAsia" w:ascii="宋体" w:hAnsi="宋体" w:eastAsia="宋体" w:cs="宋体"/>
                <w:color w:val="auto"/>
                <w:sz w:val="21"/>
                <w:szCs w:val="21"/>
                <w:highlight w:val="none"/>
              </w:rPr>
            </w:pPr>
          </w:p>
        </w:tc>
        <w:tc>
          <w:tcPr>
            <w:tcW w:w="2126" w:type="dxa"/>
            <w:noWrap w:val="0"/>
            <w:vAlign w:val="center"/>
          </w:tcPr>
          <w:p w14:paraId="6545FEBA">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bl>
    <w:p w14:paraId="16CC3653">
      <w:pPr>
        <w:rPr>
          <w:rFonts w:ascii="宋体" w:hAnsi="宋体" w:eastAsia="宋体"/>
          <w:color w:val="auto"/>
          <w:sz w:val="21"/>
          <w:szCs w:val="21"/>
          <w:highlight w:val="none"/>
        </w:rPr>
      </w:pPr>
    </w:p>
    <w:p w14:paraId="678F0303">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14:paraId="048D4C82">
      <w:pPr>
        <w:numPr>
          <w:ilvl w:val="0"/>
          <w:numId w:val="20"/>
        </w:numPr>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可按实际情况自行制订评分标准索引表。</w:t>
      </w:r>
    </w:p>
    <w:p w14:paraId="78FD8C7F">
      <w:pPr>
        <w:pStyle w:val="7"/>
        <w:spacing w:before="0"/>
        <w:ind w:left="0"/>
        <w:rPr>
          <w:color w:val="auto"/>
          <w:highlight w:val="none"/>
        </w:rPr>
      </w:pPr>
    </w:p>
    <w:p w14:paraId="2C1AAB6E">
      <w:pPr>
        <w:adjustRightInd/>
        <w:snapToGrid/>
        <w:spacing w:line="276" w:lineRule="auto"/>
        <w:rPr>
          <w:rFonts w:ascii="宋体" w:hAnsi="宋体" w:eastAsia="宋体"/>
          <w:color w:val="auto"/>
          <w:sz w:val="21"/>
          <w:szCs w:val="21"/>
          <w:highlight w:val="none"/>
        </w:rPr>
      </w:pPr>
    </w:p>
    <w:p w14:paraId="3944D0C8">
      <w:pPr>
        <w:adjustRightInd/>
        <w:snapToGrid/>
        <w:spacing w:line="276" w:lineRule="auto"/>
        <w:rPr>
          <w:rFonts w:ascii="宋体" w:hAnsi="宋体" w:eastAsia="宋体"/>
          <w:color w:val="auto"/>
          <w:sz w:val="21"/>
          <w:szCs w:val="21"/>
          <w:highlight w:val="none"/>
        </w:rPr>
      </w:pPr>
    </w:p>
    <w:p w14:paraId="6A7B5875">
      <w:pPr>
        <w:adjustRightInd/>
        <w:snapToGrid/>
        <w:spacing w:line="276" w:lineRule="auto"/>
        <w:rPr>
          <w:rFonts w:ascii="宋体" w:hAnsi="宋体" w:eastAsia="宋体"/>
          <w:color w:val="auto"/>
          <w:sz w:val="21"/>
          <w:szCs w:val="21"/>
          <w:highlight w:val="none"/>
        </w:rPr>
      </w:pPr>
    </w:p>
    <w:p w14:paraId="58DCEB3D">
      <w:pPr>
        <w:adjustRightInd/>
        <w:snapToGrid/>
        <w:spacing w:line="276" w:lineRule="auto"/>
        <w:rPr>
          <w:rFonts w:ascii="宋体" w:hAnsi="宋体" w:eastAsia="宋体"/>
          <w:color w:val="auto"/>
          <w:sz w:val="21"/>
          <w:szCs w:val="21"/>
          <w:highlight w:val="none"/>
        </w:rPr>
      </w:pPr>
    </w:p>
    <w:p w14:paraId="7FF7E0DD">
      <w:pPr>
        <w:adjustRightInd/>
        <w:snapToGrid/>
        <w:spacing w:line="276" w:lineRule="auto"/>
        <w:rPr>
          <w:rFonts w:ascii="宋体" w:hAnsi="宋体" w:eastAsia="宋体"/>
          <w:color w:val="auto"/>
          <w:sz w:val="21"/>
          <w:szCs w:val="21"/>
          <w:highlight w:val="none"/>
        </w:rPr>
      </w:pPr>
    </w:p>
    <w:p w14:paraId="1B67B8C1">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14:paraId="3BEB8BAB">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218" w:name="_Toc19057"/>
      <w:bookmarkStart w:id="219" w:name="_Toc22080"/>
      <w:bookmarkStart w:id="220" w:name="_Toc30640"/>
      <w:r>
        <w:rPr>
          <w:rFonts w:hint="eastAsia"/>
          <w:color w:val="auto"/>
          <w:highlight w:val="none"/>
          <w:lang w:val="en-US" w:eastAsia="zh-CN"/>
        </w:rPr>
        <w:t>第一章价格文件</w:t>
      </w:r>
      <w:bookmarkEnd w:id="218"/>
      <w:bookmarkEnd w:id="219"/>
    </w:p>
    <w:p w14:paraId="3DEFD980">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1" w:name="_Toc29262"/>
      <w:bookmarkStart w:id="222" w:name="_Toc4168"/>
      <w:r>
        <w:rPr>
          <w:rFonts w:hint="eastAsia"/>
          <w:color w:val="auto"/>
          <w:highlight w:val="none"/>
          <w:lang w:val="en-US" w:eastAsia="zh-CN"/>
        </w:rPr>
        <w:t>一、报价一览表</w:t>
      </w:r>
      <w:bookmarkEnd w:id="221"/>
      <w:bookmarkEnd w:id="222"/>
    </w:p>
    <w:p w14:paraId="10BC2CA4">
      <w:pPr>
        <w:spacing w:line="360" w:lineRule="auto"/>
        <w:rPr>
          <w:color w:val="auto"/>
          <w:highlight w:val="none"/>
        </w:rPr>
      </w:pPr>
    </w:p>
    <w:tbl>
      <w:tblPr>
        <w:tblStyle w:val="22"/>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14:paraId="38CB05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14:paraId="1FD363A2">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14:paraId="6F3DE475">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color w:val="auto"/>
                <w:sz w:val="21"/>
                <w:szCs w:val="21"/>
                <w:highlight w:val="none"/>
                <w:lang w:eastAsia="zh-CN"/>
              </w:rPr>
              <w:t>响应</w:t>
            </w:r>
            <w:r>
              <w:rPr>
                <w:rFonts w:hint="eastAsia" w:ascii="宋体" w:hAnsi="宋体"/>
                <w:color w:val="auto"/>
                <w:sz w:val="21"/>
                <w:szCs w:val="21"/>
                <w:highlight w:val="none"/>
                <w:lang w:val="en-US" w:eastAsia="zh-CN"/>
              </w:rPr>
              <w:t>报价</w:t>
            </w:r>
          </w:p>
        </w:tc>
        <w:tc>
          <w:tcPr>
            <w:tcW w:w="3262" w:type="dxa"/>
            <w:tcBorders>
              <w:tl2br w:val="nil"/>
              <w:tr2bl w:val="nil"/>
            </w:tcBorders>
            <w:vAlign w:val="center"/>
          </w:tcPr>
          <w:p w14:paraId="3EB2A4CF">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14:paraId="2A3625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14:paraId="45404DD1">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14:paraId="00F63BE9">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14:paraId="7AA28F20">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14:paraId="718AA6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14:paraId="0F6857A1">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14:paraId="2DE78F91">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14:paraId="6695523F">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14:paraId="0FC9B824">
      <w:pPr>
        <w:spacing w:after="0" w:line="360" w:lineRule="auto"/>
        <w:rPr>
          <w:rFonts w:ascii="宋体" w:hAnsi="宋体" w:eastAsia="宋体"/>
          <w:color w:val="auto"/>
          <w:sz w:val="21"/>
          <w:szCs w:val="21"/>
          <w:highlight w:val="none"/>
        </w:rPr>
      </w:pPr>
    </w:p>
    <w:p w14:paraId="0BA6CEA6">
      <w:pPr>
        <w:spacing w:after="0" w:line="360" w:lineRule="auto"/>
        <w:ind w:firstLine="359" w:firstLineChars="171"/>
        <w:rPr>
          <w:rFonts w:ascii="宋体" w:hAnsi="宋体" w:eastAsia="宋体"/>
          <w:color w:val="auto"/>
          <w:sz w:val="21"/>
          <w:szCs w:val="21"/>
          <w:highlight w:val="none"/>
        </w:rPr>
      </w:pPr>
    </w:p>
    <w:p w14:paraId="7BD9358D">
      <w:pPr>
        <w:spacing w:after="0" w:line="360" w:lineRule="auto"/>
        <w:ind w:firstLine="359" w:firstLineChars="171"/>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14:paraId="3BB1690C">
      <w:pPr>
        <w:spacing w:after="0" w:line="360" w:lineRule="auto"/>
        <w:ind w:firstLine="359" w:firstLineChars="171"/>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14:paraId="054B3EBD">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14:paraId="59D19B82">
      <w:pPr>
        <w:spacing w:after="0" w:line="360" w:lineRule="auto"/>
        <w:ind w:firstLine="359" w:firstLineChars="171"/>
        <w:rPr>
          <w:rFonts w:ascii="宋体" w:hAnsi="宋体" w:eastAsia="宋体"/>
          <w:color w:val="auto"/>
          <w:sz w:val="21"/>
          <w:szCs w:val="21"/>
          <w:highlight w:val="none"/>
        </w:rPr>
      </w:pPr>
    </w:p>
    <w:p w14:paraId="49684CCE">
      <w:pPr>
        <w:spacing w:after="0" w:line="360" w:lineRule="auto"/>
        <w:ind w:left="391" w:hanging="390" w:hangingChars="186"/>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注：1、</w:t>
      </w:r>
      <w:r>
        <w:rPr>
          <w:rFonts w:hint="eastAsia" w:ascii="宋体" w:hAnsi="宋体"/>
          <w:color w:val="auto"/>
          <w:sz w:val="21"/>
          <w:szCs w:val="21"/>
          <w:highlight w:val="none"/>
          <w:lang w:eastAsia="zh-CN"/>
        </w:rPr>
        <w:t>响应报价</w:t>
      </w:r>
      <w:r>
        <w:rPr>
          <w:rFonts w:hint="eastAsia" w:ascii="宋体" w:hAnsi="宋体" w:eastAsia="宋体"/>
          <w:color w:val="auto"/>
          <w:sz w:val="21"/>
          <w:szCs w:val="21"/>
          <w:highlight w:val="none"/>
        </w:rPr>
        <w:t>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大写和小写两种方式</w:t>
      </w:r>
      <w:r>
        <w:rPr>
          <w:rFonts w:ascii="宋体" w:hAnsi="宋体" w:eastAsia="宋体"/>
          <w:color w:val="auto"/>
          <w:sz w:val="21"/>
          <w:szCs w:val="21"/>
          <w:highlight w:val="none"/>
        </w:rPr>
        <w:t>表示的</w:t>
      </w:r>
      <w:r>
        <w:rPr>
          <w:rFonts w:hint="eastAsia" w:ascii="宋体" w:hAnsi="宋体"/>
          <w:color w:val="auto"/>
          <w:sz w:val="21"/>
          <w:szCs w:val="21"/>
          <w:highlight w:val="none"/>
          <w:lang w:eastAsia="zh-CN"/>
        </w:rPr>
        <w:t>响应报价</w:t>
      </w:r>
      <w:r>
        <w:rPr>
          <w:rFonts w:hint="eastAsia" w:ascii="宋体" w:hAnsi="宋体" w:eastAsia="宋体"/>
          <w:color w:val="auto"/>
          <w:sz w:val="21"/>
          <w:szCs w:val="21"/>
          <w:highlight w:val="none"/>
        </w:rPr>
        <w:t>，报价保留小数点后两位。</w:t>
      </w:r>
      <w:r>
        <w:rPr>
          <w:rFonts w:hint="eastAsia" w:ascii="宋体" w:hAnsi="宋体"/>
          <w:color w:val="auto"/>
          <w:sz w:val="21"/>
          <w:szCs w:val="21"/>
          <w:highlight w:val="none"/>
          <w:lang w:eastAsia="zh-CN"/>
        </w:rPr>
        <w:t>响应报价</w:t>
      </w:r>
      <w:r>
        <w:rPr>
          <w:rFonts w:hint="eastAsia" w:ascii="宋体" w:hAnsi="宋体" w:eastAsia="宋体"/>
          <w:color w:val="auto"/>
          <w:sz w:val="21"/>
          <w:szCs w:val="21"/>
          <w:highlight w:val="none"/>
        </w:rPr>
        <w:t>大小写不一致，以大写为准。</w:t>
      </w:r>
      <w:r>
        <w:rPr>
          <w:rFonts w:hint="eastAsia" w:ascii="宋体" w:hAnsi="宋体"/>
          <w:color w:val="auto"/>
          <w:sz w:val="21"/>
          <w:szCs w:val="21"/>
          <w:highlight w:val="none"/>
          <w:lang w:eastAsia="zh-CN"/>
        </w:rPr>
        <w:t>响应报价</w:t>
      </w:r>
      <w:r>
        <w:rPr>
          <w:rFonts w:hint="eastAsia" w:ascii="宋体" w:hAnsi="宋体" w:eastAsia="宋体"/>
          <w:color w:val="auto"/>
          <w:sz w:val="21"/>
          <w:szCs w:val="21"/>
          <w:highlight w:val="none"/>
        </w:rPr>
        <w:t>必须准确唯一且应包含</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要求的所有费用。</w:t>
      </w:r>
    </w:p>
    <w:p w14:paraId="0A14A29D">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须知的规定密封标记并与《授权委托书》</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14:paraId="74607CA7">
      <w:pPr>
        <w:pStyle w:val="7"/>
        <w:rPr>
          <w:rFonts w:hint="eastAsia"/>
          <w:color w:val="auto"/>
          <w:highlight w:val="none"/>
        </w:rPr>
      </w:pPr>
    </w:p>
    <w:p w14:paraId="3CC6FA8A">
      <w:pPr>
        <w:bidi w:val="0"/>
        <w:rPr>
          <w:rFonts w:hint="eastAsia"/>
          <w:color w:val="auto"/>
          <w:highlight w:val="none"/>
        </w:rPr>
      </w:pPr>
    </w:p>
    <w:p w14:paraId="204DF2DB">
      <w:pPr>
        <w:bidi w:val="0"/>
        <w:rPr>
          <w:rFonts w:hint="eastAsia"/>
          <w:color w:val="auto"/>
          <w:highlight w:val="none"/>
        </w:rPr>
      </w:pPr>
    </w:p>
    <w:p w14:paraId="02EDC824">
      <w:pPr>
        <w:bidi w:val="0"/>
        <w:rPr>
          <w:rFonts w:hint="eastAsia"/>
          <w:color w:val="auto"/>
          <w:highlight w:val="none"/>
        </w:rPr>
      </w:pPr>
    </w:p>
    <w:p w14:paraId="78905518">
      <w:pPr>
        <w:bidi w:val="0"/>
        <w:rPr>
          <w:rFonts w:hint="eastAsia"/>
          <w:color w:val="auto"/>
          <w:highlight w:val="none"/>
        </w:rPr>
      </w:pPr>
    </w:p>
    <w:p w14:paraId="291D7033">
      <w:pPr>
        <w:bidi w:val="0"/>
        <w:rPr>
          <w:rFonts w:hint="eastAsia"/>
          <w:color w:val="auto"/>
          <w:highlight w:val="none"/>
        </w:rPr>
      </w:pPr>
    </w:p>
    <w:p w14:paraId="3C54F9F4">
      <w:pPr>
        <w:bidi w:val="0"/>
        <w:rPr>
          <w:rFonts w:hint="eastAsia"/>
          <w:color w:val="auto"/>
          <w:highlight w:val="none"/>
        </w:rPr>
      </w:pPr>
    </w:p>
    <w:p w14:paraId="3296E0BF">
      <w:pPr>
        <w:bidi w:val="0"/>
        <w:rPr>
          <w:rFonts w:hint="eastAsia"/>
          <w:color w:val="auto"/>
          <w:highlight w:val="none"/>
        </w:rPr>
      </w:pPr>
    </w:p>
    <w:p w14:paraId="6CC12718">
      <w:pPr>
        <w:bidi w:val="0"/>
        <w:rPr>
          <w:rFonts w:hint="eastAsia"/>
          <w:color w:val="auto"/>
          <w:highlight w:val="none"/>
        </w:rPr>
      </w:pPr>
    </w:p>
    <w:p w14:paraId="5FE2AF3D">
      <w:pPr>
        <w:bidi w:val="0"/>
        <w:rPr>
          <w:rFonts w:hint="eastAsia"/>
          <w:color w:val="auto"/>
          <w:highlight w:val="none"/>
        </w:rPr>
      </w:pPr>
    </w:p>
    <w:p w14:paraId="7F6AC89B">
      <w:pPr>
        <w:bidi w:val="0"/>
        <w:rPr>
          <w:color w:val="auto"/>
          <w:highlight w:val="none"/>
        </w:rPr>
      </w:pPr>
    </w:p>
    <w:p w14:paraId="1339766C">
      <w:pPr>
        <w:pStyle w:val="7"/>
        <w:rPr>
          <w:color w:val="auto"/>
          <w:highlight w:val="none"/>
        </w:rPr>
      </w:pPr>
    </w:p>
    <w:p w14:paraId="2D22E4B7">
      <w:pPr>
        <w:pStyle w:val="21"/>
        <w:rPr>
          <w:color w:val="auto"/>
          <w:highlight w:val="none"/>
        </w:rPr>
      </w:pPr>
    </w:p>
    <w:p w14:paraId="51B716E1">
      <w:pPr>
        <w:rPr>
          <w:color w:val="auto"/>
          <w:highlight w:val="none"/>
        </w:rPr>
      </w:pPr>
    </w:p>
    <w:p w14:paraId="75572D4F">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3" w:name="_Toc31062"/>
      <w:bookmarkStart w:id="224" w:name="_Toc29258"/>
      <w:r>
        <w:rPr>
          <w:rFonts w:hint="eastAsia"/>
          <w:color w:val="auto"/>
          <w:highlight w:val="none"/>
          <w:lang w:val="en-US" w:eastAsia="zh-CN"/>
        </w:rPr>
        <w:t>二、报价明细表</w:t>
      </w:r>
      <w:bookmarkEnd w:id="223"/>
      <w:bookmarkEnd w:id="224"/>
    </w:p>
    <w:p w14:paraId="5F103A27">
      <w:pPr>
        <w:pStyle w:val="29"/>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单位：元</w:t>
      </w:r>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14:paraId="0E3F73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14:paraId="40DD6B78">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772" w:type="dxa"/>
            <w:tcBorders>
              <w:tl2br w:val="nil"/>
              <w:tr2bl w:val="nil"/>
            </w:tcBorders>
            <w:vAlign w:val="center"/>
          </w:tcPr>
          <w:p w14:paraId="5BBCBF0F">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服务名称</w:t>
            </w:r>
          </w:p>
        </w:tc>
        <w:tc>
          <w:tcPr>
            <w:tcW w:w="2059" w:type="dxa"/>
            <w:tcBorders>
              <w:tl2br w:val="nil"/>
              <w:tr2bl w:val="nil"/>
            </w:tcBorders>
            <w:vAlign w:val="center"/>
          </w:tcPr>
          <w:p w14:paraId="7AF3B3F5">
            <w:pPr>
              <w:spacing w:before="100" w:beforeAutospacing="1" w:after="100" w:afterAutospacing="1"/>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规格型号</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服务内容</w:t>
            </w:r>
          </w:p>
        </w:tc>
        <w:tc>
          <w:tcPr>
            <w:tcW w:w="859" w:type="dxa"/>
            <w:tcBorders>
              <w:tl2br w:val="nil"/>
              <w:tr2bl w:val="nil"/>
            </w:tcBorders>
            <w:vAlign w:val="center"/>
          </w:tcPr>
          <w:p w14:paraId="5DD74C3C">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数量</w:t>
            </w:r>
          </w:p>
        </w:tc>
        <w:tc>
          <w:tcPr>
            <w:tcW w:w="996" w:type="dxa"/>
            <w:tcBorders>
              <w:tl2br w:val="nil"/>
              <w:tr2bl w:val="nil"/>
            </w:tcBorders>
            <w:vAlign w:val="center"/>
          </w:tcPr>
          <w:p w14:paraId="16CE0A69">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单价</w:t>
            </w:r>
          </w:p>
        </w:tc>
        <w:tc>
          <w:tcPr>
            <w:tcW w:w="1076" w:type="dxa"/>
            <w:tcBorders>
              <w:tl2br w:val="nil"/>
              <w:tr2bl w:val="nil"/>
            </w:tcBorders>
            <w:vAlign w:val="center"/>
          </w:tcPr>
          <w:p w14:paraId="5B2F3EDF">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p>
        </w:tc>
        <w:tc>
          <w:tcPr>
            <w:tcW w:w="1078" w:type="dxa"/>
            <w:tcBorders>
              <w:tl2br w:val="nil"/>
              <w:tr2bl w:val="nil"/>
            </w:tcBorders>
            <w:vAlign w:val="center"/>
          </w:tcPr>
          <w:p w14:paraId="11F86548">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14:paraId="01B3EB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66FF1258">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14:paraId="18A30DE8">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7CEF55B0">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727A74B4">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6A25BB3E">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1E0F9751">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457A0B6A">
            <w:pPr>
              <w:spacing w:before="100" w:beforeAutospacing="1" w:after="100" w:afterAutospacing="1"/>
              <w:jc w:val="center"/>
              <w:rPr>
                <w:rFonts w:ascii="宋体" w:hAnsi="宋体" w:eastAsia="宋体"/>
                <w:color w:val="auto"/>
                <w:sz w:val="21"/>
                <w:szCs w:val="21"/>
                <w:highlight w:val="none"/>
              </w:rPr>
            </w:pPr>
          </w:p>
        </w:tc>
      </w:tr>
      <w:tr w14:paraId="154EFF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3B01B125">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14:paraId="266A3FD9">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613989EB">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35EF2E99">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007ECCB6">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7415107D">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40908326">
            <w:pPr>
              <w:spacing w:before="100" w:beforeAutospacing="1" w:after="100" w:afterAutospacing="1"/>
              <w:jc w:val="center"/>
              <w:rPr>
                <w:rFonts w:ascii="宋体" w:hAnsi="宋体" w:eastAsia="宋体"/>
                <w:color w:val="auto"/>
                <w:sz w:val="21"/>
                <w:szCs w:val="21"/>
                <w:highlight w:val="none"/>
              </w:rPr>
            </w:pPr>
          </w:p>
        </w:tc>
      </w:tr>
      <w:tr w14:paraId="603BCB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5C1ED21">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14:paraId="54DA13F6">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31338E45">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077CAF95">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0B2821D4">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0BE73B6C">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082F8565">
            <w:pPr>
              <w:spacing w:before="100" w:beforeAutospacing="1" w:after="100" w:afterAutospacing="1"/>
              <w:jc w:val="center"/>
              <w:rPr>
                <w:rFonts w:ascii="宋体" w:hAnsi="宋体" w:eastAsia="宋体"/>
                <w:color w:val="auto"/>
                <w:sz w:val="21"/>
                <w:szCs w:val="21"/>
                <w:highlight w:val="none"/>
              </w:rPr>
            </w:pPr>
          </w:p>
        </w:tc>
      </w:tr>
      <w:tr w14:paraId="24B19A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7DE84403">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14:paraId="19EB5D80">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7A4C6FD8">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6EB2EC47">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40146F32">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350008C3">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0F4B1248">
            <w:pPr>
              <w:spacing w:before="100" w:beforeAutospacing="1" w:after="100" w:afterAutospacing="1"/>
              <w:jc w:val="center"/>
              <w:rPr>
                <w:rFonts w:ascii="宋体" w:hAnsi="宋体" w:eastAsia="宋体"/>
                <w:color w:val="auto"/>
                <w:sz w:val="21"/>
                <w:szCs w:val="21"/>
                <w:highlight w:val="none"/>
              </w:rPr>
            </w:pPr>
          </w:p>
        </w:tc>
      </w:tr>
      <w:tr w14:paraId="14AF03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26DB70B4">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14:paraId="5B7C127E">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06107DC2">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5FEBC39D">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67D56DB8">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6ACA4AAC">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617E0B28">
            <w:pPr>
              <w:spacing w:before="100" w:beforeAutospacing="1" w:after="100" w:afterAutospacing="1"/>
              <w:jc w:val="center"/>
              <w:rPr>
                <w:rFonts w:ascii="宋体" w:hAnsi="宋体" w:eastAsia="宋体"/>
                <w:color w:val="auto"/>
                <w:sz w:val="21"/>
                <w:szCs w:val="21"/>
                <w:highlight w:val="none"/>
              </w:rPr>
            </w:pPr>
          </w:p>
        </w:tc>
      </w:tr>
      <w:tr w14:paraId="24BA98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573DAB01">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14:paraId="42B90A67">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504D4945">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2D3864A4">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362914FF">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4B7BE053">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61A61257">
            <w:pPr>
              <w:spacing w:before="100" w:beforeAutospacing="1" w:after="100" w:afterAutospacing="1"/>
              <w:jc w:val="center"/>
              <w:rPr>
                <w:rFonts w:ascii="宋体" w:hAnsi="宋体" w:eastAsia="宋体"/>
                <w:color w:val="auto"/>
                <w:sz w:val="21"/>
                <w:szCs w:val="21"/>
                <w:highlight w:val="none"/>
              </w:rPr>
            </w:pPr>
          </w:p>
        </w:tc>
      </w:tr>
      <w:tr w14:paraId="5DD18B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6DB8C424">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14:paraId="64DB48C0">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10117924">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6BA39D4E">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605239E0">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4767A7FD">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5072EA68">
            <w:pPr>
              <w:spacing w:before="100" w:beforeAutospacing="1" w:after="100" w:afterAutospacing="1"/>
              <w:jc w:val="center"/>
              <w:rPr>
                <w:rFonts w:ascii="宋体" w:hAnsi="宋体" w:eastAsia="宋体"/>
                <w:color w:val="auto"/>
                <w:sz w:val="21"/>
                <w:szCs w:val="21"/>
                <w:highlight w:val="none"/>
              </w:rPr>
            </w:pPr>
          </w:p>
        </w:tc>
      </w:tr>
      <w:tr w14:paraId="5AFAB1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06DF0C4D">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14:paraId="126CDAB9">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024D5C5A">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662C1CFE">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56D3965E">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0DF573D2">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2E7C3F81">
            <w:pPr>
              <w:spacing w:before="100" w:beforeAutospacing="1" w:after="100" w:afterAutospacing="1"/>
              <w:jc w:val="center"/>
              <w:rPr>
                <w:rFonts w:ascii="宋体" w:hAnsi="宋体" w:eastAsia="宋体"/>
                <w:color w:val="auto"/>
                <w:sz w:val="21"/>
                <w:szCs w:val="21"/>
                <w:highlight w:val="none"/>
              </w:rPr>
            </w:pPr>
          </w:p>
        </w:tc>
      </w:tr>
      <w:tr w14:paraId="519CCA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033FD283">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14:paraId="3A6154AF">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453F2560">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192682F0">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07171A52">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0676279C">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3C258E4B">
            <w:pPr>
              <w:spacing w:before="100" w:beforeAutospacing="1" w:after="100" w:afterAutospacing="1"/>
              <w:jc w:val="center"/>
              <w:rPr>
                <w:rFonts w:ascii="宋体" w:hAnsi="宋体" w:eastAsia="宋体"/>
                <w:color w:val="auto"/>
                <w:sz w:val="21"/>
                <w:szCs w:val="21"/>
                <w:highlight w:val="none"/>
              </w:rPr>
            </w:pPr>
          </w:p>
        </w:tc>
      </w:tr>
      <w:tr w14:paraId="4CCBFD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6BF0751A">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14:paraId="57581107">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331A359E">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769C113C">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51407687">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70E13B8C">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518190DC">
            <w:pPr>
              <w:spacing w:before="100" w:beforeAutospacing="1" w:after="100" w:afterAutospacing="1"/>
              <w:jc w:val="center"/>
              <w:rPr>
                <w:rFonts w:ascii="宋体" w:hAnsi="宋体" w:eastAsia="宋体"/>
                <w:color w:val="auto"/>
                <w:sz w:val="21"/>
                <w:szCs w:val="21"/>
                <w:highlight w:val="none"/>
              </w:rPr>
            </w:pPr>
          </w:p>
        </w:tc>
      </w:tr>
      <w:tr w14:paraId="019C9D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FEC18CB">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14:paraId="3353FBAC">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1DC16589">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60C79B69">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3496BD86">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2B61984A">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79FCEC1E">
            <w:pPr>
              <w:spacing w:before="100" w:beforeAutospacing="1" w:after="100" w:afterAutospacing="1"/>
              <w:jc w:val="center"/>
              <w:rPr>
                <w:rFonts w:ascii="宋体" w:hAnsi="宋体" w:eastAsia="宋体"/>
                <w:color w:val="auto"/>
                <w:sz w:val="21"/>
                <w:szCs w:val="21"/>
                <w:highlight w:val="none"/>
              </w:rPr>
            </w:pPr>
          </w:p>
        </w:tc>
      </w:tr>
      <w:tr w14:paraId="3171D5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242D5745">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14:paraId="171DC955">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5D4DFA3D">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14E10450">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406059DB">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12E67A84">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0EE5BA71">
            <w:pPr>
              <w:spacing w:before="100" w:beforeAutospacing="1" w:after="100" w:afterAutospacing="1"/>
              <w:jc w:val="center"/>
              <w:rPr>
                <w:rFonts w:ascii="宋体" w:hAnsi="宋体" w:eastAsia="宋体"/>
                <w:color w:val="auto"/>
                <w:sz w:val="21"/>
                <w:szCs w:val="21"/>
                <w:highlight w:val="none"/>
              </w:rPr>
            </w:pPr>
          </w:p>
        </w:tc>
      </w:tr>
      <w:tr w14:paraId="125053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14:paraId="20C49ECC">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r>
              <w:rPr>
                <w:rFonts w:hint="eastAsia" w:ascii="宋体" w:hAnsi="宋体" w:eastAsia="宋体"/>
                <w:color w:val="auto"/>
                <w:sz w:val="21"/>
                <w:szCs w:val="21"/>
                <w:highlight w:val="none"/>
              </w:rPr>
              <w:t>总价</w:t>
            </w:r>
          </w:p>
        </w:tc>
        <w:tc>
          <w:tcPr>
            <w:tcW w:w="2154" w:type="dxa"/>
            <w:gridSpan w:val="2"/>
            <w:tcBorders>
              <w:tl2br w:val="nil"/>
              <w:tr2bl w:val="nil"/>
            </w:tcBorders>
            <w:vAlign w:val="center"/>
          </w:tcPr>
          <w:p w14:paraId="473CF532">
            <w:pPr>
              <w:spacing w:before="100" w:beforeAutospacing="1" w:after="100" w:afterAutospacing="1"/>
              <w:jc w:val="center"/>
              <w:rPr>
                <w:rFonts w:ascii="宋体" w:hAnsi="宋体" w:eastAsia="宋体"/>
                <w:color w:val="auto"/>
                <w:sz w:val="21"/>
                <w:szCs w:val="21"/>
                <w:highlight w:val="none"/>
              </w:rPr>
            </w:pPr>
          </w:p>
        </w:tc>
      </w:tr>
    </w:tbl>
    <w:p w14:paraId="16904B21">
      <w:pPr>
        <w:rPr>
          <w:rFonts w:ascii="宋体" w:hAnsi="宋体" w:eastAsia="宋体" w:cs="宋体"/>
          <w:b/>
          <w:color w:val="auto"/>
          <w:sz w:val="21"/>
          <w:szCs w:val="21"/>
          <w:highlight w:val="none"/>
        </w:rPr>
      </w:pPr>
    </w:p>
    <w:p w14:paraId="2BFAE44C">
      <w:pPr>
        <w:bidi w:val="0"/>
        <w:rPr>
          <w:color w:val="auto"/>
          <w:highlight w:val="none"/>
        </w:rPr>
      </w:pPr>
    </w:p>
    <w:p w14:paraId="225BD038">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14:paraId="0453EB20">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14:paraId="1697C39E">
      <w:pPr>
        <w:rPr>
          <w:rFonts w:ascii="宋体" w:hAnsi="宋体" w:eastAsia="宋体" w:cs="宋体"/>
          <w:b/>
          <w:color w:val="auto"/>
          <w:sz w:val="21"/>
          <w:szCs w:val="21"/>
          <w:highlight w:val="none"/>
        </w:rPr>
      </w:pPr>
      <w:r>
        <w:rPr>
          <w:rFonts w:hint="eastAsia" w:ascii="宋体" w:hAnsi="宋体" w:eastAsia="宋体"/>
          <w:color w:val="auto"/>
          <w:sz w:val="21"/>
          <w:szCs w:val="21"/>
          <w:highlight w:val="none"/>
        </w:rPr>
        <w:t>日期：</w:t>
      </w:r>
    </w:p>
    <w:p w14:paraId="5A9FC459">
      <w:pPr>
        <w:pStyle w:val="29"/>
        <w:rPr>
          <w:rFonts w:ascii="黑体" w:eastAsia="黑体"/>
          <w:color w:val="auto"/>
          <w:sz w:val="32"/>
          <w:szCs w:val="32"/>
          <w:highlight w:val="none"/>
        </w:rPr>
      </w:pPr>
    </w:p>
    <w:p w14:paraId="6145BEB3">
      <w:pPr>
        <w:pStyle w:val="29"/>
        <w:rPr>
          <w:rFonts w:ascii="黑体" w:eastAsia="黑体"/>
          <w:color w:val="auto"/>
          <w:sz w:val="32"/>
          <w:szCs w:val="32"/>
          <w:highlight w:val="none"/>
        </w:rPr>
      </w:pPr>
    </w:p>
    <w:p w14:paraId="2F1CEFB5">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5" w:name="_Toc14734"/>
      <w:bookmarkStart w:id="226" w:name="_Toc20974"/>
      <w:r>
        <w:rPr>
          <w:rFonts w:hint="eastAsia"/>
          <w:color w:val="auto"/>
          <w:highlight w:val="none"/>
          <w:lang w:val="en-US" w:eastAsia="zh-CN"/>
        </w:rPr>
        <w:t>三、小型或微型企业（货物/服务/承担的工程）明细表</w:t>
      </w:r>
      <w:bookmarkEnd w:id="225"/>
      <w:bookmarkEnd w:id="226"/>
    </w:p>
    <w:tbl>
      <w:tblPr>
        <w:tblStyle w:val="22"/>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14:paraId="6A39DB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14:paraId="65874FB2">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87" w:type="dxa"/>
            <w:tcBorders>
              <w:tl2br w:val="nil"/>
              <w:tr2bl w:val="nil"/>
            </w:tcBorders>
            <w:vAlign w:val="center"/>
          </w:tcPr>
          <w:p w14:paraId="7DEDEE18">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053" w:type="dxa"/>
            <w:tcBorders>
              <w:tl2br w:val="nil"/>
              <w:tr2bl w:val="nil"/>
            </w:tcBorders>
            <w:vAlign w:val="center"/>
          </w:tcPr>
          <w:p w14:paraId="4B0E4B81">
            <w:pPr>
              <w:spacing w:after="0"/>
              <w:ind w:hanging="148"/>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品牌</w:t>
            </w:r>
          </w:p>
        </w:tc>
        <w:tc>
          <w:tcPr>
            <w:tcW w:w="1080" w:type="dxa"/>
            <w:tcBorders>
              <w:tl2br w:val="nil"/>
              <w:tr2bl w:val="nil"/>
            </w:tcBorders>
            <w:vAlign w:val="center"/>
          </w:tcPr>
          <w:p w14:paraId="4998AB04">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850" w:type="dxa"/>
            <w:tcBorders>
              <w:tl2br w:val="nil"/>
              <w:tr2bl w:val="nil"/>
            </w:tcBorders>
            <w:vAlign w:val="center"/>
          </w:tcPr>
          <w:p w14:paraId="5563C394">
            <w:pPr>
              <w:spacing w:after="0"/>
              <w:jc w:val="center"/>
              <w:textAlignment w:val="bottom"/>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制造商</w:t>
            </w:r>
          </w:p>
        </w:tc>
        <w:tc>
          <w:tcPr>
            <w:tcW w:w="767" w:type="dxa"/>
            <w:tcBorders>
              <w:tl2br w:val="nil"/>
              <w:tr2bl w:val="nil"/>
            </w:tcBorders>
            <w:vAlign w:val="center"/>
          </w:tcPr>
          <w:p w14:paraId="64F64CAA">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767" w:type="dxa"/>
            <w:tcBorders>
              <w:tl2br w:val="nil"/>
              <w:tr2bl w:val="nil"/>
            </w:tcBorders>
            <w:vAlign w:val="center"/>
          </w:tcPr>
          <w:p w14:paraId="44CC583C">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767" w:type="dxa"/>
            <w:tcBorders>
              <w:tl2br w:val="nil"/>
              <w:tr2bl w:val="nil"/>
            </w:tcBorders>
            <w:vAlign w:val="center"/>
          </w:tcPr>
          <w:p w14:paraId="6A219D6C">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769" w:type="dxa"/>
            <w:tcBorders>
              <w:tl2br w:val="nil"/>
              <w:tr2bl w:val="nil"/>
            </w:tcBorders>
            <w:vAlign w:val="center"/>
          </w:tcPr>
          <w:p w14:paraId="676D9BE4">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14:paraId="1D3944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1CCB8A6E">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5D292958">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33BF1DED">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74350E16">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64E0B9DA">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0D4E5A97">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22C0D5AF">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2B35AFAD">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1E4E32C3">
            <w:pPr>
              <w:spacing w:after="0"/>
              <w:jc w:val="center"/>
              <w:textAlignment w:val="bottom"/>
              <w:rPr>
                <w:rFonts w:ascii="宋体" w:hAnsi="宋体" w:eastAsia="宋体" w:cs="宋体"/>
                <w:color w:val="auto"/>
                <w:sz w:val="21"/>
                <w:szCs w:val="21"/>
                <w:highlight w:val="none"/>
              </w:rPr>
            </w:pPr>
          </w:p>
        </w:tc>
      </w:tr>
      <w:tr w14:paraId="4E9DD0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17C2220D">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310B6B8E">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2F622EC9">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6EECC86E">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489F674A">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2458D965">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25AB2590">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4CE9860B">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497BA4A8">
            <w:pPr>
              <w:spacing w:after="0"/>
              <w:jc w:val="center"/>
              <w:textAlignment w:val="bottom"/>
              <w:rPr>
                <w:rFonts w:ascii="宋体" w:hAnsi="宋体" w:eastAsia="宋体" w:cs="宋体"/>
                <w:color w:val="auto"/>
                <w:sz w:val="21"/>
                <w:szCs w:val="21"/>
                <w:highlight w:val="none"/>
              </w:rPr>
            </w:pPr>
          </w:p>
        </w:tc>
      </w:tr>
      <w:tr w14:paraId="5BF875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3E5B435C">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1805D9ED">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5F11B44D">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06189286">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33FF54CC">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5DB4AD2E">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6C313180">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06B5E7C4">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773B5248">
            <w:pPr>
              <w:spacing w:after="0"/>
              <w:jc w:val="center"/>
              <w:textAlignment w:val="bottom"/>
              <w:rPr>
                <w:rFonts w:ascii="宋体" w:hAnsi="宋体" w:eastAsia="宋体" w:cs="宋体"/>
                <w:color w:val="auto"/>
                <w:sz w:val="21"/>
                <w:szCs w:val="21"/>
                <w:highlight w:val="none"/>
              </w:rPr>
            </w:pPr>
          </w:p>
        </w:tc>
      </w:tr>
      <w:tr w14:paraId="5967CC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00901990">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70F38676">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074A05FA">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502A0AB4">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6DEF28C7">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35398ACA">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65EF1C4C">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385C4B23">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5F65D24A">
            <w:pPr>
              <w:spacing w:after="0"/>
              <w:jc w:val="center"/>
              <w:textAlignment w:val="bottom"/>
              <w:rPr>
                <w:rFonts w:ascii="宋体" w:hAnsi="宋体" w:eastAsia="宋体" w:cs="宋体"/>
                <w:color w:val="auto"/>
                <w:sz w:val="21"/>
                <w:szCs w:val="21"/>
                <w:highlight w:val="none"/>
              </w:rPr>
            </w:pPr>
          </w:p>
        </w:tc>
      </w:tr>
      <w:tr w14:paraId="3B16DE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64D3109F">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49ACA8E2">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50AD38C2">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03907362">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2E08DF8B">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46948FBB">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147B5A08">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30786DC3">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5536040A">
            <w:pPr>
              <w:spacing w:after="0"/>
              <w:jc w:val="center"/>
              <w:textAlignment w:val="bottom"/>
              <w:rPr>
                <w:rFonts w:ascii="宋体" w:hAnsi="宋体" w:eastAsia="宋体" w:cs="宋体"/>
                <w:color w:val="auto"/>
                <w:sz w:val="21"/>
                <w:szCs w:val="21"/>
                <w:highlight w:val="none"/>
              </w:rPr>
            </w:pPr>
          </w:p>
        </w:tc>
      </w:tr>
      <w:tr w14:paraId="62FBE0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66D6B775">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0502FDA6">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12B3F69C">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3C580ECF">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320F6BF9">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04057617">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188C42B9">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26EDEAF5">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1C9B31C7">
            <w:pPr>
              <w:spacing w:after="0"/>
              <w:jc w:val="center"/>
              <w:textAlignment w:val="bottom"/>
              <w:rPr>
                <w:rFonts w:ascii="宋体" w:hAnsi="宋体" w:eastAsia="宋体" w:cs="宋体"/>
                <w:color w:val="auto"/>
                <w:sz w:val="21"/>
                <w:szCs w:val="21"/>
                <w:highlight w:val="none"/>
              </w:rPr>
            </w:pPr>
          </w:p>
        </w:tc>
      </w:tr>
      <w:tr w14:paraId="28B51E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86" w:hRule="atLeast"/>
        </w:trPr>
        <w:tc>
          <w:tcPr>
            <w:tcW w:w="820" w:type="dxa"/>
            <w:tcBorders>
              <w:tl2br w:val="nil"/>
              <w:tr2bl w:val="nil"/>
            </w:tcBorders>
            <w:vAlign w:val="center"/>
          </w:tcPr>
          <w:p w14:paraId="6C8F9BBD">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08892CFF">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40A9186A">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744C590E">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30C44911">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26934207">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71E3C916">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361FE3BB">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0B5A5EE6">
            <w:pPr>
              <w:spacing w:after="0"/>
              <w:jc w:val="center"/>
              <w:textAlignment w:val="bottom"/>
              <w:rPr>
                <w:rFonts w:ascii="宋体" w:hAnsi="宋体" w:eastAsia="宋体" w:cs="宋体"/>
                <w:color w:val="auto"/>
                <w:sz w:val="21"/>
                <w:szCs w:val="21"/>
                <w:highlight w:val="none"/>
              </w:rPr>
            </w:pPr>
          </w:p>
        </w:tc>
      </w:tr>
      <w:tr w14:paraId="673931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371BBFB7">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27CF0AE3">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2F9563DA">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47272F11">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2D67AFE9">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6F809040">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07A4F70D">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33FC7670">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7B735ADD">
            <w:pPr>
              <w:spacing w:after="0"/>
              <w:jc w:val="center"/>
              <w:textAlignment w:val="bottom"/>
              <w:rPr>
                <w:rFonts w:ascii="宋体" w:hAnsi="宋体" w:eastAsia="宋体" w:cs="宋体"/>
                <w:color w:val="auto"/>
                <w:sz w:val="21"/>
                <w:szCs w:val="21"/>
                <w:highlight w:val="none"/>
              </w:rPr>
            </w:pPr>
          </w:p>
        </w:tc>
      </w:tr>
      <w:tr w14:paraId="272E9E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2D40DA01">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2B151645">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28312A15">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7AE555AE">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435AE0FF">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6F5C4834">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2E936AF7">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70FC26D6">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61D82F2A">
            <w:pPr>
              <w:spacing w:after="0"/>
              <w:jc w:val="center"/>
              <w:textAlignment w:val="bottom"/>
              <w:rPr>
                <w:rFonts w:ascii="宋体" w:hAnsi="宋体" w:eastAsia="宋体" w:cs="宋体"/>
                <w:color w:val="auto"/>
                <w:sz w:val="21"/>
                <w:szCs w:val="21"/>
                <w:highlight w:val="none"/>
              </w:rPr>
            </w:pPr>
          </w:p>
        </w:tc>
      </w:tr>
      <w:tr w14:paraId="4FBCE9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14:paraId="3521F07D">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053" w:type="dxa"/>
            <w:gridSpan w:val="7"/>
            <w:tcBorders>
              <w:tl2br w:val="nil"/>
              <w:tr2bl w:val="nil"/>
            </w:tcBorders>
            <w:vAlign w:val="center"/>
          </w:tcPr>
          <w:p w14:paraId="7669830A">
            <w:pPr>
              <w:spacing w:after="0"/>
              <w:rPr>
                <w:rFonts w:ascii="宋体" w:hAnsi="宋体" w:eastAsia="宋体" w:cs="宋体"/>
                <w:color w:val="auto"/>
                <w:sz w:val="21"/>
                <w:szCs w:val="21"/>
                <w:highlight w:val="none"/>
              </w:rPr>
            </w:pPr>
          </w:p>
        </w:tc>
      </w:tr>
    </w:tbl>
    <w:p w14:paraId="023FEEB7">
      <w:pPr>
        <w:spacing w:after="0"/>
        <w:rPr>
          <w:rFonts w:hint="eastAsia" w:ascii="宋体" w:hAnsi="宋体" w:eastAsia="宋体"/>
          <w:color w:val="auto"/>
          <w:sz w:val="21"/>
          <w:szCs w:val="21"/>
          <w:highlight w:val="none"/>
        </w:rPr>
      </w:pPr>
    </w:p>
    <w:p w14:paraId="3880A6E3">
      <w:pPr>
        <w:spacing w:after="0"/>
        <w:rPr>
          <w:rFonts w:hint="eastAsia" w:ascii="宋体" w:hAnsi="宋体" w:eastAsia="宋体"/>
          <w:color w:val="auto"/>
          <w:sz w:val="21"/>
          <w:szCs w:val="21"/>
          <w:highlight w:val="none"/>
        </w:rPr>
      </w:pPr>
    </w:p>
    <w:p w14:paraId="566CF215">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14:paraId="04E2C27B">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14:paraId="73F3CC81">
      <w:pPr>
        <w:pStyle w:val="32"/>
        <w:spacing w:after="0" w:line="360" w:lineRule="auto"/>
        <w:ind w:firstLine="0" w:firstLineChars="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14:paraId="1A79C7AB">
      <w:pPr>
        <w:bidi w:val="0"/>
        <w:rPr>
          <w:rFonts w:hint="eastAsia"/>
          <w:color w:val="auto"/>
          <w:highlight w:val="none"/>
        </w:rPr>
      </w:pPr>
    </w:p>
    <w:p w14:paraId="367E6D23">
      <w:pPr>
        <w:spacing w:after="0"/>
        <w:rPr>
          <w:rStyle w:val="42"/>
          <w:rFonts w:hint="eastAsia"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14:paraId="1F6B156A">
      <w:pPr>
        <w:keepNext w:val="0"/>
        <w:keepLines w:val="0"/>
        <w:pageBreakBefore w:val="0"/>
        <w:widowControl/>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在“货物</w:t>
      </w:r>
      <w:r>
        <w:rPr>
          <w:rStyle w:val="42"/>
          <w:rFonts w:hint="eastAsia" w:ascii="宋体" w:hAnsi="宋体" w:eastAsia="宋体" w:cs="宋体"/>
          <w:b/>
          <w:color w:val="auto"/>
          <w:sz w:val="21"/>
          <w:szCs w:val="21"/>
          <w:highlight w:val="none"/>
          <w:lang w:val="en-US" w:eastAsia="zh-CN"/>
        </w:rPr>
        <w:t>/</w:t>
      </w:r>
      <w:r>
        <w:rPr>
          <w:rStyle w:val="42"/>
          <w:rFonts w:hint="eastAsia" w:ascii="宋体" w:hAnsi="宋体" w:eastAsia="宋体" w:cs="宋体"/>
          <w:b/>
          <w:color w:val="auto"/>
          <w:sz w:val="21"/>
          <w:szCs w:val="21"/>
          <w:highlight w:val="none"/>
        </w:rPr>
        <w:t>服务报价</w:t>
      </w:r>
      <w:r>
        <w:rPr>
          <w:rStyle w:val="42"/>
          <w:rFonts w:hint="eastAsia" w:ascii="宋体" w:hAnsi="宋体" w:eastAsia="宋体" w:cs="宋体"/>
          <w:b/>
          <w:color w:val="auto"/>
          <w:sz w:val="21"/>
          <w:szCs w:val="21"/>
          <w:highlight w:val="none"/>
          <w:lang w:val="en-US" w:eastAsia="zh-CN"/>
        </w:rPr>
        <w:t>明细</w:t>
      </w:r>
      <w:r>
        <w:rPr>
          <w:rStyle w:val="42"/>
          <w:rFonts w:hint="eastAsia" w:ascii="宋体" w:hAnsi="宋体" w:eastAsia="宋体" w:cs="宋体"/>
          <w:b/>
          <w:color w:val="auto"/>
          <w:sz w:val="21"/>
          <w:szCs w:val="21"/>
          <w:highlight w:val="none"/>
        </w:rPr>
        <w:t>表”中的报价内容中，如有属于</w:t>
      </w:r>
      <w:r>
        <w:rPr>
          <w:rFonts w:hint="eastAsia" w:ascii="宋体" w:hAnsi="宋体" w:eastAsia="宋体" w:cs="宋体"/>
          <w:b/>
          <w:color w:val="auto"/>
          <w:sz w:val="21"/>
          <w:szCs w:val="21"/>
          <w:highlight w:val="none"/>
        </w:rPr>
        <w:t>小型</w:t>
      </w:r>
      <w:r>
        <w:rPr>
          <w:rFonts w:hint="eastAsia" w:ascii="宋体" w:hAnsi="宋体" w:eastAsia="宋体" w:cs="宋体"/>
          <w:b/>
          <w:color w:val="auto"/>
          <w:sz w:val="21"/>
          <w:szCs w:val="21"/>
          <w:highlight w:val="none"/>
          <w:lang w:val="en-US" w:eastAsia="zh-CN"/>
        </w:rPr>
        <w:t>或</w:t>
      </w:r>
      <w:r>
        <w:rPr>
          <w:rFonts w:hint="eastAsia" w:ascii="宋体" w:hAnsi="宋体" w:eastAsia="宋体" w:cs="宋体"/>
          <w:b/>
          <w:color w:val="auto"/>
          <w:sz w:val="21"/>
          <w:szCs w:val="21"/>
          <w:highlight w:val="none"/>
        </w:rPr>
        <w:t>微型企业产品（货物</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服务</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承担的工程）的，必须在此表单独列明，否则在计算价格得分时不予以相应的扣除</w:t>
      </w:r>
      <w:r>
        <w:rPr>
          <w:rStyle w:val="42"/>
          <w:rFonts w:hint="eastAsia" w:ascii="宋体" w:hAnsi="宋体" w:eastAsia="宋体" w:cs="宋体"/>
          <w:b/>
          <w:color w:val="auto"/>
          <w:sz w:val="21"/>
          <w:szCs w:val="21"/>
          <w:highlight w:val="none"/>
        </w:rPr>
        <w:t>；</w:t>
      </w:r>
    </w:p>
    <w:p w14:paraId="08E3391B">
      <w:pPr>
        <w:pStyle w:val="32"/>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黑体" w:eastAsia="黑体"/>
          <w:color w:val="auto"/>
          <w:sz w:val="32"/>
          <w:szCs w:val="32"/>
          <w:highlight w:val="none"/>
        </w:rPr>
      </w:pPr>
      <w:r>
        <w:rPr>
          <w:rStyle w:val="42"/>
          <w:rFonts w:hint="eastAsia" w:ascii="宋体" w:hAnsi="宋体" w:eastAsia="宋体" w:cs="宋体"/>
          <w:b/>
          <w:color w:val="auto"/>
          <w:sz w:val="21"/>
          <w:szCs w:val="21"/>
          <w:highlight w:val="none"/>
        </w:rPr>
        <w:t>2、</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应该如实填写，如</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所投产品中无小型</w:t>
      </w:r>
      <w:r>
        <w:rPr>
          <w:rStyle w:val="42"/>
          <w:rFonts w:hint="eastAsia" w:ascii="宋体" w:hAnsi="宋体" w:eastAsia="宋体" w:cs="宋体"/>
          <w:b/>
          <w:color w:val="auto"/>
          <w:sz w:val="21"/>
          <w:szCs w:val="21"/>
          <w:highlight w:val="none"/>
          <w:lang w:val="en-US" w:eastAsia="zh-CN"/>
        </w:rPr>
        <w:t>或</w:t>
      </w:r>
      <w:r>
        <w:rPr>
          <w:rStyle w:val="42"/>
          <w:rFonts w:hint="eastAsia" w:ascii="宋体" w:hAnsi="宋体" w:eastAsia="宋体" w:cs="宋体"/>
          <w:b/>
          <w:color w:val="auto"/>
          <w:sz w:val="21"/>
          <w:szCs w:val="21"/>
          <w:highlight w:val="none"/>
        </w:rPr>
        <w:t>微型企业产品的，请留空或删除此表！</w:t>
      </w:r>
      <w:r>
        <w:rPr>
          <w:rFonts w:hint="eastAsia" w:ascii="宋体" w:hAnsi="宋体" w:eastAsia="宋体"/>
          <w:color w:val="auto"/>
          <w:sz w:val="21"/>
          <w:szCs w:val="21"/>
          <w:highlight w:val="none"/>
        </w:rPr>
        <w:br w:type="page"/>
      </w:r>
    </w:p>
    <w:p w14:paraId="687CB934">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7" w:name="_Toc17483"/>
      <w:bookmarkStart w:id="228" w:name="_Toc16718"/>
      <w:r>
        <w:rPr>
          <w:rFonts w:hint="eastAsia"/>
          <w:color w:val="auto"/>
          <w:highlight w:val="none"/>
          <w:lang w:val="en-US" w:eastAsia="zh-CN"/>
        </w:rPr>
        <w:t>四、节能产品或环境标志产品明细表</w:t>
      </w:r>
      <w:bookmarkEnd w:id="227"/>
      <w:bookmarkEnd w:id="228"/>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14:paraId="5DD45B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14:paraId="3BF8DECD">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81" w:type="dxa"/>
            <w:tcBorders>
              <w:tl2br w:val="nil"/>
              <w:tr2bl w:val="nil"/>
            </w:tcBorders>
            <w:vAlign w:val="center"/>
          </w:tcPr>
          <w:p w14:paraId="5EE3CC45">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316" w:type="dxa"/>
            <w:tcBorders>
              <w:tl2br w:val="nil"/>
              <w:tr2bl w:val="nil"/>
            </w:tcBorders>
            <w:vAlign w:val="center"/>
          </w:tcPr>
          <w:p w14:paraId="42DC3890">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1067" w:type="dxa"/>
            <w:tcBorders>
              <w:tl2br w:val="nil"/>
              <w:tr2bl w:val="nil"/>
            </w:tcBorders>
            <w:vAlign w:val="center"/>
          </w:tcPr>
          <w:p w14:paraId="4CFC19C7">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150" w:type="dxa"/>
            <w:tcBorders>
              <w:tl2br w:val="nil"/>
              <w:tr2bl w:val="nil"/>
            </w:tcBorders>
            <w:vAlign w:val="center"/>
          </w:tcPr>
          <w:p w14:paraId="43518B4C">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850" w:type="dxa"/>
            <w:tcBorders>
              <w:tl2br w:val="nil"/>
              <w:tr2bl w:val="nil"/>
            </w:tcBorders>
            <w:vAlign w:val="center"/>
          </w:tcPr>
          <w:p w14:paraId="3E39352E">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833" w:type="dxa"/>
            <w:tcBorders>
              <w:tl2br w:val="nil"/>
              <w:tr2bl w:val="nil"/>
            </w:tcBorders>
            <w:vAlign w:val="center"/>
          </w:tcPr>
          <w:p w14:paraId="75DEA1F7">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c>
          <w:tcPr>
            <w:tcW w:w="1050" w:type="dxa"/>
            <w:tcBorders>
              <w:tl2br w:val="nil"/>
              <w:tr2bl w:val="nil"/>
            </w:tcBorders>
            <w:vAlign w:val="center"/>
          </w:tcPr>
          <w:p w14:paraId="26957A3E">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认证机构</w:t>
            </w:r>
          </w:p>
        </w:tc>
      </w:tr>
      <w:tr w14:paraId="51F121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36C690E6">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0620D51C">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35F9AF05">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6AB5C570">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6ADD749A">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3BA0D92F">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4E902AA5">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4000904C">
            <w:pPr>
              <w:spacing w:after="0"/>
              <w:jc w:val="center"/>
              <w:textAlignment w:val="bottom"/>
              <w:rPr>
                <w:rFonts w:ascii="宋体" w:hAnsi="宋体" w:eastAsia="宋体" w:cs="宋体"/>
                <w:color w:val="auto"/>
                <w:sz w:val="21"/>
                <w:szCs w:val="21"/>
                <w:highlight w:val="none"/>
              </w:rPr>
            </w:pPr>
          </w:p>
        </w:tc>
      </w:tr>
      <w:tr w14:paraId="492A54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3232A7AD">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68A62646">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46B1F23F">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566D55B0">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186C3EBC">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1634912E">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31861A60">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4252AEE0">
            <w:pPr>
              <w:spacing w:after="0"/>
              <w:jc w:val="center"/>
              <w:textAlignment w:val="bottom"/>
              <w:rPr>
                <w:rFonts w:ascii="宋体" w:hAnsi="宋体" w:eastAsia="宋体" w:cs="宋体"/>
                <w:color w:val="auto"/>
                <w:sz w:val="21"/>
                <w:szCs w:val="21"/>
                <w:highlight w:val="none"/>
              </w:rPr>
            </w:pPr>
          </w:p>
        </w:tc>
      </w:tr>
      <w:tr w14:paraId="3B39AA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4CA2DB2C">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59947605">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185B2687">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6A926D9D">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2CE2165A">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6E721FFC">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78139A43">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5D6746FF">
            <w:pPr>
              <w:spacing w:after="0"/>
              <w:jc w:val="center"/>
              <w:textAlignment w:val="bottom"/>
              <w:rPr>
                <w:rFonts w:ascii="宋体" w:hAnsi="宋体" w:eastAsia="宋体" w:cs="宋体"/>
                <w:color w:val="auto"/>
                <w:sz w:val="21"/>
                <w:szCs w:val="21"/>
                <w:highlight w:val="none"/>
              </w:rPr>
            </w:pPr>
          </w:p>
        </w:tc>
      </w:tr>
      <w:tr w14:paraId="44FE29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7E617F77">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6B70F81A">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38A2DE3A">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7E4CC4EB">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15F268A4">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1265F27C">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02FF71E1">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03DAFF0D">
            <w:pPr>
              <w:spacing w:after="0"/>
              <w:jc w:val="center"/>
              <w:textAlignment w:val="bottom"/>
              <w:rPr>
                <w:rFonts w:ascii="宋体" w:hAnsi="宋体" w:eastAsia="宋体" w:cs="宋体"/>
                <w:color w:val="auto"/>
                <w:sz w:val="21"/>
                <w:szCs w:val="21"/>
                <w:highlight w:val="none"/>
              </w:rPr>
            </w:pPr>
          </w:p>
        </w:tc>
      </w:tr>
      <w:tr w14:paraId="054C0F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71D78845">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054B982E">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67B6FFF0">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7F4E878B">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61C71A07">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08517563">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5DE12A44">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1AABF51C">
            <w:pPr>
              <w:spacing w:after="0"/>
              <w:jc w:val="center"/>
              <w:textAlignment w:val="bottom"/>
              <w:rPr>
                <w:rFonts w:ascii="宋体" w:hAnsi="宋体" w:eastAsia="宋体" w:cs="宋体"/>
                <w:color w:val="auto"/>
                <w:sz w:val="21"/>
                <w:szCs w:val="21"/>
                <w:highlight w:val="none"/>
              </w:rPr>
            </w:pPr>
          </w:p>
        </w:tc>
      </w:tr>
      <w:tr w14:paraId="13894F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44110F5B">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51F5EC29">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40B30D4C">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37E713CC">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23310FB3">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40ACE20E">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4216BA43">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7B094E5A">
            <w:pPr>
              <w:spacing w:after="0"/>
              <w:jc w:val="center"/>
              <w:textAlignment w:val="bottom"/>
              <w:rPr>
                <w:rFonts w:ascii="宋体" w:hAnsi="宋体" w:eastAsia="宋体" w:cs="宋体"/>
                <w:color w:val="auto"/>
                <w:sz w:val="21"/>
                <w:szCs w:val="21"/>
                <w:highlight w:val="none"/>
              </w:rPr>
            </w:pPr>
          </w:p>
        </w:tc>
      </w:tr>
      <w:tr w14:paraId="7A8872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6D34A710">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16C446C0">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37342538">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74282D4E">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7D128E56">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1322FA8D">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70D95B97">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0BA1BEF5">
            <w:pPr>
              <w:spacing w:after="0"/>
              <w:jc w:val="center"/>
              <w:textAlignment w:val="bottom"/>
              <w:rPr>
                <w:rFonts w:ascii="宋体" w:hAnsi="宋体" w:eastAsia="宋体" w:cs="宋体"/>
                <w:color w:val="auto"/>
                <w:sz w:val="21"/>
                <w:szCs w:val="21"/>
                <w:highlight w:val="none"/>
              </w:rPr>
            </w:pPr>
          </w:p>
        </w:tc>
      </w:tr>
      <w:tr w14:paraId="3CAC7A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93" w:hRule="atLeast"/>
        </w:trPr>
        <w:tc>
          <w:tcPr>
            <w:tcW w:w="875" w:type="dxa"/>
            <w:tcBorders>
              <w:tl2br w:val="nil"/>
              <w:tr2bl w:val="nil"/>
            </w:tcBorders>
            <w:vAlign w:val="center"/>
          </w:tcPr>
          <w:p w14:paraId="7C0F6CDA">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232010D9">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764DFED9">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01287DB5">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44B9E286">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4EE12D94">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5A086CFA">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137EE100">
            <w:pPr>
              <w:spacing w:after="0"/>
              <w:jc w:val="center"/>
              <w:textAlignment w:val="bottom"/>
              <w:rPr>
                <w:rFonts w:ascii="宋体" w:hAnsi="宋体" w:eastAsia="宋体" w:cs="宋体"/>
                <w:color w:val="auto"/>
                <w:sz w:val="21"/>
                <w:szCs w:val="21"/>
                <w:highlight w:val="none"/>
              </w:rPr>
            </w:pPr>
          </w:p>
        </w:tc>
      </w:tr>
      <w:tr w14:paraId="29C1A2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4BC4AF0D">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6AB33574">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1D8F809F">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0F13EFD8">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1ADADF37">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6ABB5121">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542FCEED">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740BB383">
            <w:pPr>
              <w:spacing w:after="0"/>
              <w:jc w:val="center"/>
              <w:textAlignment w:val="bottom"/>
              <w:rPr>
                <w:rFonts w:ascii="宋体" w:hAnsi="宋体" w:eastAsia="宋体" w:cs="宋体"/>
                <w:color w:val="auto"/>
                <w:sz w:val="21"/>
                <w:szCs w:val="21"/>
                <w:highlight w:val="none"/>
              </w:rPr>
            </w:pPr>
          </w:p>
        </w:tc>
      </w:tr>
      <w:tr w14:paraId="51C17C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14:paraId="594E9A3E">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266" w:type="dxa"/>
            <w:gridSpan w:val="6"/>
            <w:tcBorders>
              <w:tl2br w:val="nil"/>
              <w:tr2bl w:val="nil"/>
            </w:tcBorders>
            <w:vAlign w:val="center"/>
          </w:tcPr>
          <w:p w14:paraId="17171CB3">
            <w:pPr>
              <w:spacing w:after="0"/>
              <w:rPr>
                <w:rFonts w:ascii="宋体" w:hAnsi="宋体" w:eastAsia="宋体" w:cs="宋体"/>
                <w:color w:val="auto"/>
                <w:sz w:val="21"/>
                <w:szCs w:val="21"/>
                <w:highlight w:val="none"/>
              </w:rPr>
            </w:pPr>
          </w:p>
        </w:tc>
      </w:tr>
    </w:tbl>
    <w:p w14:paraId="4166CAE6">
      <w:pPr>
        <w:spacing w:after="0"/>
        <w:rPr>
          <w:rFonts w:hint="eastAsia" w:ascii="宋体" w:hAnsi="宋体" w:eastAsia="宋体"/>
          <w:color w:val="auto"/>
          <w:sz w:val="21"/>
          <w:szCs w:val="21"/>
          <w:highlight w:val="none"/>
        </w:rPr>
      </w:pPr>
    </w:p>
    <w:p w14:paraId="7BFB5973">
      <w:pPr>
        <w:spacing w:after="0"/>
        <w:rPr>
          <w:rFonts w:hint="eastAsia" w:ascii="宋体" w:hAnsi="宋体" w:eastAsia="宋体"/>
          <w:color w:val="auto"/>
          <w:sz w:val="21"/>
          <w:szCs w:val="21"/>
          <w:highlight w:val="none"/>
        </w:rPr>
      </w:pPr>
    </w:p>
    <w:p w14:paraId="7B3575F0">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14:paraId="32A7CC58">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14:paraId="37290CBE">
      <w:pPr>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14:paraId="2717E98D">
      <w:pPr>
        <w:pStyle w:val="29"/>
        <w:rPr>
          <w:rFonts w:hint="eastAsia"/>
          <w:color w:val="auto"/>
          <w:highlight w:val="none"/>
        </w:rPr>
      </w:pPr>
    </w:p>
    <w:p w14:paraId="4949F47A">
      <w:pPr>
        <w:tabs>
          <w:tab w:val="left" w:pos="284"/>
        </w:tabs>
        <w:spacing w:after="0"/>
        <w:rPr>
          <w:rStyle w:val="42"/>
          <w:rFonts w:hint="eastAsia"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14:paraId="3ACA0E00">
      <w:pPr>
        <w:keepNext w:val="0"/>
        <w:keepLines w:val="0"/>
        <w:pageBreakBefore w:val="0"/>
        <w:widowControl/>
        <w:tabs>
          <w:tab w:val="left" w:pos="284"/>
        </w:tabs>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在“货物</w:t>
      </w:r>
      <w:r>
        <w:rPr>
          <w:rStyle w:val="42"/>
          <w:rFonts w:hint="eastAsia" w:ascii="宋体" w:hAnsi="宋体" w:eastAsia="宋体" w:cs="宋体"/>
          <w:b/>
          <w:color w:val="auto"/>
          <w:sz w:val="21"/>
          <w:szCs w:val="21"/>
          <w:highlight w:val="none"/>
          <w:lang w:val="en-US" w:eastAsia="zh-CN"/>
        </w:rPr>
        <w:t>/</w:t>
      </w:r>
      <w:r>
        <w:rPr>
          <w:rStyle w:val="42"/>
          <w:rFonts w:hint="eastAsia" w:ascii="宋体" w:hAnsi="宋体" w:eastAsia="宋体" w:cs="宋体"/>
          <w:b/>
          <w:color w:val="auto"/>
          <w:sz w:val="21"/>
          <w:szCs w:val="21"/>
          <w:highlight w:val="none"/>
        </w:rPr>
        <w:t>服务报价</w:t>
      </w:r>
      <w:r>
        <w:rPr>
          <w:rStyle w:val="42"/>
          <w:rFonts w:hint="eastAsia" w:ascii="宋体" w:hAnsi="宋体" w:eastAsia="宋体" w:cs="宋体"/>
          <w:b/>
          <w:color w:val="auto"/>
          <w:sz w:val="21"/>
          <w:szCs w:val="21"/>
          <w:highlight w:val="none"/>
          <w:lang w:val="en-US" w:eastAsia="zh-CN"/>
        </w:rPr>
        <w:t>明细</w:t>
      </w:r>
      <w:r>
        <w:rPr>
          <w:rStyle w:val="42"/>
          <w:rFonts w:hint="eastAsia" w:ascii="宋体" w:hAnsi="宋体" w:eastAsia="宋体" w:cs="宋体"/>
          <w:b/>
          <w:color w:val="auto"/>
          <w:sz w:val="21"/>
          <w:szCs w:val="21"/>
          <w:highlight w:val="none"/>
        </w:rPr>
        <w:t>表”中的报价内容中，如有属于节能产品或环境标志产的，必须在此表单独列明且提供相应的证明材料，否则在计算价格得分时不予以相应的扣除；</w:t>
      </w:r>
    </w:p>
    <w:p w14:paraId="10761DBF">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ascii="微软雅黑" w:hAnsi="微软雅黑" w:cs="微软雅黑"/>
          <w:b/>
          <w:color w:val="auto"/>
          <w:sz w:val="28"/>
          <w:szCs w:val="28"/>
          <w:highlight w:val="none"/>
        </w:rPr>
      </w:pPr>
      <w:r>
        <w:rPr>
          <w:rStyle w:val="42"/>
          <w:rFonts w:hint="eastAsia" w:ascii="宋体" w:hAnsi="宋体" w:eastAsia="宋体" w:cs="宋体"/>
          <w:b/>
          <w:color w:val="auto"/>
          <w:sz w:val="21"/>
          <w:szCs w:val="21"/>
          <w:highlight w:val="none"/>
        </w:rPr>
        <w:t>2、</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应该如实填写，如</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所投产品中无节能或环保产品的，请留空或删除此表！</w:t>
      </w:r>
    </w:p>
    <w:p w14:paraId="739BE17A">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9" w:name="_Toc10853"/>
      <w:bookmarkStart w:id="230" w:name="_Toc8170"/>
      <w:r>
        <w:rPr>
          <w:rFonts w:hint="eastAsia"/>
          <w:color w:val="auto"/>
          <w:highlight w:val="none"/>
          <w:lang w:val="en-US" w:eastAsia="zh-CN"/>
        </w:rPr>
        <w:t>五、中小企业声明函</w:t>
      </w:r>
      <w:bookmarkEnd w:id="229"/>
      <w:bookmarkEnd w:id="230"/>
    </w:p>
    <w:p w14:paraId="55ECF64B">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中小企业声明函（货物）</w:t>
      </w:r>
    </w:p>
    <w:p w14:paraId="0702DC15">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采购活动，提供的货物全部由符合政策要求的中小企业制造。相关企业</w:t>
      </w:r>
      <w:r>
        <w:rPr>
          <w:rFonts w:hint="eastAsia" w:asciiTheme="minorEastAsia" w:hAnsiTheme="minorEastAsia" w:eastAsiaTheme="minorEastAsia" w:cstheme="minorEastAsia"/>
          <w:color w:val="auto"/>
          <w:sz w:val="21"/>
          <w:szCs w:val="21"/>
          <w:highlight w:val="none"/>
          <w:u w:val="single"/>
          <w:lang w:val="en-US" w:eastAsia="zh-CN"/>
        </w:rPr>
        <w:t>（含联合体中的中小企业、签订分包意向协议的中小企业）</w:t>
      </w:r>
      <w:r>
        <w:rPr>
          <w:rFonts w:hint="eastAsia" w:asciiTheme="minorEastAsia" w:hAnsiTheme="minorEastAsia" w:eastAsiaTheme="minorEastAsia" w:cstheme="minorEastAsia"/>
          <w:color w:val="auto"/>
          <w:sz w:val="21"/>
          <w:szCs w:val="21"/>
          <w:highlight w:val="none"/>
          <w:u w:val="none"/>
          <w:lang w:val="en-US" w:eastAsia="zh-CN"/>
        </w:rPr>
        <w:t>的具体情况如下：</w:t>
      </w:r>
    </w:p>
    <w:p w14:paraId="69359E7D">
      <w:pPr>
        <w:pStyle w:val="7"/>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u w:val="none"/>
          <w:lang w:val="en-US" w:eastAsia="zh-CN"/>
        </w:rPr>
        <w:footnoteReference w:id="0"/>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14:paraId="6F98C40B">
      <w:pPr>
        <w:pStyle w:val="7"/>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14:paraId="6805D6D4">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14:paraId="2E535D1A">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14:paraId="4E2DDE5A">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14:paraId="58E7843E">
      <w:pPr>
        <w:pStyle w:val="7"/>
        <w:keepNext w:val="0"/>
        <w:keepLines w:val="0"/>
        <w:pageBreakBefore w:val="0"/>
        <w:widowControl/>
        <w:kinsoku/>
        <w:wordWrap w:val="0"/>
        <w:overflowPunct/>
        <w:topLinePunct w:val="0"/>
        <w:autoSpaceDE/>
        <w:autoSpaceDN/>
        <w:bidi w:val="0"/>
        <w:adjustRightInd w:val="0"/>
        <w:snapToGrid w:val="0"/>
        <w:spacing w:line="360" w:lineRule="auto"/>
        <w:ind w:left="0" w:leftChars="0" w:firstLine="480" w:firstLineChars="0"/>
        <w:jc w:val="righ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14:paraId="2B3CA448">
      <w:pPr>
        <w:pStyle w:val="7"/>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14:paraId="5A039AAB">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14:paraId="602D917F">
      <w:pPr>
        <w:rPr>
          <w:rFonts w:hint="eastAsia" w:ascii="宋体" w:hAnsi="宋体" w:eastAsia="宋体"/>
          <w:b/>
          <w:bCs/>
          <w:color w:val="auto"/>
          <w:sz w:val="21"/>
          <w:szCs w:val="21"/>
          <w:highlight w:val="none"/>
        </w:rPr>
      </w:pPr>
    </w:p>
    <w:p w14:paraId="1EF01593">
      <w:pPr>
        <w:ind w:firstLine="422" w:firstLineChars="200"/>
        <w:rPr>
          <w:rFonts w:hint="eastAsia" w:ascii="宋体" w:hAnsi="宋体" w:eastAsia="宋体"/>
          <w:b/>
          <w:bCs/>
          <w:color w:val="auto"/>
          <w:sz w:val="21"/>
          <w:szCs w:val="21"/>
          <w:highlight w:val="none"/>
          <w:lang w:val="en-US" w:eastAsia="zh-CN"/>
        </w:rPr>
      </w:pPr>
    </w:p>
    <w:p w14:paraId="7472A24F">
      <w:pPr>
        <w:ind w:firstLine="422" w:firstLineChars="200"/>
        <w:rPr>
          <w:rFonts w:hint="eastAsia" w:ascii="宋体" w:hAnsi="宋体" w:eastAsia="宋体"/>
          <w:b/>
          <w:bCs/>
          <w:color w:val="auto"/>
          <w:sz w:val="21"/>
          <w:szCs w:val="21"/>
          <w:highlight w:val="none"/>
          <w:lang w:val="en-US" w:eastAsia="zh-CN"/>
        </w:rPr>
      </w:pPr>
    </w:p>
    <w:p w14:paraId="4DE5A4F5">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不属于规定的中小企业范围，或提供的产品不是中小企业制造的，则无需提供此表。</w:t>
      </w:r>
      <w:r>
        <w:rPr>
          <w:rFonts w:hint="eastAsia" w:ascii="宋体" w:hAnsi="宋体" w:eastAsia="宋体"/>
          <w:color w:val="auto"/>
          <w:sz w:val="21"/>
          <w:szCs w:val="21"/>
          <w:highlight w:val="none"/>
        </w:rPr>
        <w:br w:type="page"/>
      </w:r>
    </w:p>
    <w:p w14:paraId="4A2FD2C0">
      <w:pPr>
        <w:keepNext w:val="0"/>
        <w:keepLines w:val="0"/>
        <w:pageBreakBefore w:val="0"/>
        <w:widowControl/>
        <w:kinsoku/>
        <w:wordWrap/>
        <w:overflowPunct/>
        <w:topLinePunct w:val="0"/>
        <w:autoSpaceDE/>
        <w:autoSpaceDN/>
        <w:bidi w:val="0"/>
        <w:adjustRightInd w:val="0"/>
        <w:snapToGrid w:val="0"/>
        <w:spacing w:after="0" w:line="48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中小企业声明函（工程、服务）</w:t>
      </w:r>
    </w:p>
    <w:p w14:paraId="08D00035">
      <w:pPr>
        <w:keepNext w:val="0"/>
        <w:keepLines w:val="0"/>
        <w:pageBreakBefore w:val="0"/>
        <w:widowControl/>
        <w:kinsoku/>
        <w:wordWrap/>
        <w:overflowPunct/>
        <w:topLinePunct w:val="0"/>
        <w:autoSpaceDE/>
        <w:autoSpaceDN/>
        <w:bidi w:val="0"/>
        <w:adjustRightInd w:val="0"/>
        <w:snapToGrid w:val="0"/>
        <w:spacing w:line="360" w:lineRule="auto"/>
        <w:ind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eastAsiaTheme="minorEastAsia"/>
          <w:color w:val="auto"/>
          <w:highlight w:val="non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14:paraId="39BA69A8">
      <w:pPr>
        <w:pStyle w:val="7"/>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u w:val="none"/>
          <w:lang w:val="en-US" w:eastAsia="zh-CN"/>
        </w:rPr>
        <w:footnoteReference w:id="1"/>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14:paraId="0135282D">
      <w:pPr>
        <w:pStyle w:val="7"/>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14:paraId="1A440FFF">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14:paraId="6BCA2A1C">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14:paraId="06D2AC00">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14:paraId="1C430C4F">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lef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14:paraId="662B5A2D">
      <w:pPr>
        <w:pStyle w:val="7"/>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14:paraId="7F1B8287">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14:paraId="481F0F19">
      <w:pPr>
        <w:rPr>
          <w:rFonts w:hint="eastAsia" w:ascii="宋体" w:hAnsi="宋体" w:eastAsia="宋体"/>
          <w:b/>
          <w:bCs/>
          <w:color w:val="auto"/>
          <w:sz w:val="21"/>
          <w:szCs w:val="21"/>
          <w:highlight w:val="none"/>
          <w:lang w:val="en-US" w:eastAsia="zh-CN"/>
        </w:rPr>
      </w:pPr>
    </w:p>
    <w:p w14:paraId="0CB82B52">
      <w:pPr>
        <w:rPr>
          <w:rFonts w:hint="eastAsia" w:ascii="宋体" w:hAnsi="宋体" w:eastAsia="宋体"/>
          <w:b/>
          <w:bCs/>
          <w:color w:val="auto"/>
          <w:sz w:val="21"/>
          <w:szCs w:val="21"/>
          <w:highlight w:val="none"/>
          <w:lang w:val="en-US" w:eastAsia="zh-CN"/>
        </w:rPr>
      </w:pPr>
    </w:p>
    <w:p w14:paraId="33B6A68C">
      <w:pPr>
        <w:rPr>
          <w:rFonts w:hint="eastAsia" w:ascii="宋体" w:hAnsi="宋体" w:eastAsia="宋体"/>
          <w:b/>
          <w:bCs/>
          <w:color w:val="auto"/>
          <w:sz w:val="21"/>
          <w:szCs w:val="21"/>
          <w:highlight w:val="none"/>
          <w:lang w:val="en-US" w:eastAsia="zh-CN"/>
        </w:rPr>
      </w:pPr>
    </w:p>
    <w:p w14:paraId="15AEDE3F">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不属于规定的中小企业范围，或提供的产品不是中小企业制造的，则无需提供此表。</w:t>
      </w:r>
      <w:r>
        <w:rPr>
          <w:rFonts w:hint="eastAsia" w:ascii="宋体" w:hAnsi="宋体" w:eastAsia="宋体"/>
          <w:color w:val="auto"/>
          <w:sz w:val="21"/>
          <w:szCs w:val="21"/>
          <w:highlight w:val="none"/>
        </w:rPr>
        <w:br w:type="page"/>
      </w:r>
    </w:p>
    <w:p w14:paraId="1D82D4BC">
      <w:pPr>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说明</w:t>
      </w:r>
      <w:r>
        <w:rPr>
          <w:rFonts w:hint="eastAsia" w:ascii="宋体" w:hAnsi="宋体" w:eastAsia="宋体"/>
          <w:b/>
          <w:bCs/>
          <w:color w:val="auto"/>
          <w:sz w:val="21"/>
          <w:szCs w:val="21"/>
          <w:highlight w:val="none"/>
        </w:rPr>
        <w:t>：</w:t>
      </w:r>
    </w:p>
    <w:p w14:paraId="380154C3">
      <w:pPr>
        <w:spacing w:after="0" w:line="480" w:lineRule="auto"/>
        <w:ind w:firstLine="422" w:firstLineChars="20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应根据</w:t>
      </w:r>
      <w:r>
        <w:rPr>
          <w:rFonts w:hint="eastAsia" w:ascii="宋体" w:hAnsi="宋体" w:eastAsia="宋体"/>
          <w:b/>
          <w:bCs/>
          <w:color w:val="auto"/>
          <w:sz w:val="21"/>
          <w:szCs w:val="21"/>
          <w:highlight w:val="none"/>
          <w:lang w:eastAsia="zh-CN"/>
        </w:rPr>
        <w:t>《政府采购促进中小企业发展管理办法》的通知（财库〔2020〕46号）</w:t>
      </w:r>
      <w:r>
        <w:rPr>
          <w:rFonts w:hint="eastAsia" w:ascii="宋体" w:hAnsi="宋体" w:eastAsia="宋体"/>
          <w:b/>
          <w:bCs/>
          <w:color w:val="auto"/>
          <w:sz w:val="21"/>
          <w:szCs w:val="21"/>
          <w:highlight w:val="none"/>
        </w:rPr>
        <w:t>的有关规定如实填写此表。（监狱企业视同小型、微型企业，监狱企业参加政府采购活动时，应当提供由省级以上监狱管理局、戒毒管理局(含新疆生产建设兵团)出具的属于监狱企业的证明文件）</w:t>
      </w:r>
    </w:p>
    <w:p w14:paraId="256C3C47">
      <w:pPr>
        <w:spacing w:after="0" w:line="480" w:lineRule="auto"/>
        <w:ind w:firstLine="422" w:firstLineChars="200"/>
        <w:rPr>
          <w:rFonts w:ascii="楷体_GB2312" w:eastAsia="楷体_GB2312"/>
          <w:b/>
          <w:bCs/>
          <w:color w:val="auto"/>
          <w:sz w:val="24"/>
          <w:highlight w:val="none"/>
        </w:rPr>
      </w:pP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rPr>
        <w:t>、</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应该在《报价明细表》中单独列明属于小型和微型企业产品（货物、承担的工程或者服务）的报价，若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只提供《中小企业声明函》但未列明小型或微型企业产品的，在计算价格得分时不予以相应的扣除。</w:t>
      </w:r>
    </w:p>
    <w:p w14:paraId="66DF8849">
      <w:pPr>
        <w:rPr>
          <w:rFonts w:ascii="楷体_GB2312" w:eastAsia="楷体_GB2312"/>
          <w:color w:val="auto"/>
          <w:sz w:val="24"/>
          <w:highlight w:val="none"/>
        </w:rPr>
      </w:pPr>
    </w:p>
    <w:p w14:paraId="42554953">
      <w:pPr>
        <w:adjustRightInd/>
        <w:snapToGrid/>
        <w:spacing w:line="276" w:lineRule="auto"/>
        <w:rPr>
          <w:color w:val="auto"/>
          <w:highlight w:val="none"/>
        </w:rPr>
      </w:pPr>
      <w:r>
        <w:rPr>
          <w:rFonts w:ascii="楷体_GB2312" w:eastAsia="楷体_GB2312"/>
          <w:color w:val="auto"/>
          <w:sz w:val="24"/>
          <w:highlight w:val="none"/>
        </w:rPr>
        <w:br w:type="page"/>
      </w:r>
    </w:p>
    <w:p w14:paraId="1858D530">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1" w:name="_Toc8560"/>
      <w:bookmarkStart w:id="232" w:name="_Toc312"/>
      <w:r>
        <w:rPr>
          <w:rFonts w:hint="eastAsia"/>
          <w:color w:val="auto"/>
          <w:highlight w:val="none"/>
          <w:lang w:val="en-US" w:eastAsia="zh-CN"/>
        </w:rPr>
        <w:t>六、残疾人福利性单位声明函</w:t>
      </w:r>
      <w:bookmarkEnd w:id="231"/>
      <w:bookmarkEnd w:id="232"/>
    </w:p>
    <w:p w14:paraId="0D81D323">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12322AC5">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本单位对上述声明的真实性负责。如有虚假，将依法承担相应责任。</w:t>
      </w:r>
    </w:p>
    <w:p w14:paraId="4EE9381A">
      <w:pPr>
        <w:spacing w:after="0" w:line="480" w:lineRule="auto"/>
        <w:jc w:val="right"/>
        <w:rPr>
          <w:rFonts w:ascii="宋体" w:hAnsi="宋体" w:eastAsia="宋体"/>
          <w:color w:val="auto"/>
          <w:sz w:val="21"/>
          <w:szCs w:val="21"/>
          <w:highlight w:val="none"/>
        </w:rPr>
      </w:pPr>
    </w:p>
    <w:p w14:paraId="753654CA">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单位名称（盖章）：</w:t>
      </w:r>
      <w:bookmarkStart w:id="233" w:name="_Toc508960153"/>
      <w:bookmarkStart w:id="234" w:name="_Toc22970"/>
      <w:bookmarkStart w:id="235" w:name="_Toc510171693"/>
      <w:bookmarkStart w:id="236" w:name="_Toc509844825"/>
      <w:bookmarkStart w:id="237" w:name="_Toc30277"/>
      <w:bookmarkStart w:id="238" w:name="_Toc509927455"/>
      <w:bookmarkStart w:id="239" w:name="_Toc508958703"/>
      <w:bookmarkStart w:id="240" w:name="_Toc20910"/>
      <w:bookmarkStart w:id="241" w:name="_Toc17761"/>
      <w:bookmarkStart w:id="242" w:name="_Toc30247"/>
      <w:bookmarkStart w:id="243" w:name="_Toc509479530"/>
      <w:bookmarkStart w:id="244" w:name="_Toc508898066"/>
    </w:p>
    <w:p w14:paraId="3A77E5F1">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  期：</w:t>
      </w:r>
      <w:bookmarkEnd w:id="233"/>
      <w:bookmarkEnd w:id="234"/>
      <w:bookmarkEnd w:id="235"/>
      <w:bookmarkEnd w:id="236"/>
      <w:bookmarkEnd w:id="237"/>
      <w:bookmarkEnd w:id="238"/>
      <w:bookmarkEnd w:id="239"/>
      <w:bookmarkEnd w:id="240"/>
      <w:bookmarkEnd w:id="241"/>
      <w:bookmarkEnd w:id="242"/>
      <w:bookmarkEnd w:id="243"/>
      <w:bookmarkEnd w:id="244"/>
    </w:p>
    <w:p w14:paraId="1C1E00BE">
      <w:pPr>
        <w:pStyle w:val="7"/>
        <w:rPr>
          <w:color w:val="auto"/>
          <w:highlight w:val="none"/>
        </w:rPr>
      </w:pPr>
    </w:p>
    <w:p w14:paraId="05B44CD6">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bookmarkStart w:id="245" w:name="_Toc510171694"/>
      <w:bookmarkStart w:id="246" w:name="_Toc26216"/>
      <w:bookmarkStart w:id="247" w:name="_Toc5447"/>
      <w:bookmarkStart w:id="248" w:name="_Toc21053"/>
      <w:bookmarkStart w:id="249" w:name="_Toc509479531"/>
      <w:bookmarkStart w:id="250" w:name="_Toc508960154"/>
      <w:bookmarkStart w:id="251" w:name="_Toc28527"/>
      <w:bookmarkStart w:id="252" w:name="_Toc31520"/>
      <w:bookmarkStart w:id="253" w:name="_Toc508898067"/>
      <w:bookmarkStart w:id="254" w:name="_Toc509844826"/>
      <w:bookmarkStart w:id="255" w:name="_Toc509927456"/>
      <w:bookmarkStart w:id="256" w:name="_Toc508958704"/>
      <w:r>
        <w:rPr>
          <w:rFonts w:hint="eastAsia" w:ascii="宋体" w:hAnsi="宋体" w:eastAsia="宋体"/>
          <w:color w:val="auto"/>
          <w:sz w:val="21"/>
          <w:szCs w:val="21"/>
          <w:highlight w:val="none"/>
        </w:rPr>
        <w:t>注：</w:t>
      </w:r>
    </w:p>
    <w:p w14:paraId="1C1F26F5">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（1）符合《财政部 民政部 中国残疾人联合会关于促进残疾人就业政府采购政策的通知》（财库〔2017〕 141号）规定条件的残疾人福利性单位应当提供《残疾人福利性单位声明函》。</w:t>
      </w:r>
      <w:bookmarkEnd w:id="245"/>
      <w:bookmarkEnd w:id="246"/>
      <w:bookmarkEnd w:id="247"/>
      <w:bookmarkEnd w:id="248"/>
      <w:bookmarkEnd w:id="249"/>
      <w:bookmarkEnd w:id="250"/>
      <w:bookmarkEnd w:id="251"/>
      <w:bookmarkEnd w:id="252"/>
      <w:bookmarkEnd w:id="253"/>
      <w:bookmarkEnd w:id="254"/>
      <w:bookmarkEnd w:id="255"/>
      <w:bookmarkEnd w:id="256"/>
    </w:p>
    <w:p w14:paraId="5FE9A384">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57" w:name="_Toc28626"/>
      <w:bookmarkStart w:id="258" w:name="_Toc508958705"/>
      <w:bookmarkStart w:id="259" w:name="_Toc24848"/>
      <w:bookmarkStart w:id="260" w:name="_Toc509479532"/>
      <w:bookmarkStart w:id="261" w:name="_Toc509927457"/>
      <w:bookmarkStart w:id="262" w:name="_Toc508898068"/>
      <w:bookmarkStart w:id="263" w:name="_Toc14653"/>
      <w:bookmarkStart w:id="264" w:name="_Toc508960155"/>
      <w:bookmarkStart w:id="265" w:name="_Toc9148"/>
      <w:bookmarkStart w:id="266" w:name="_Toc28126"/>
      <w:bookmarkStart w:id="267" w:name="_Toc510171695"/>
      <w:bookmarkStart w:id="268" w:name="_Toc509844827"/>
      <w:r>
        <w:rPr>
          <w:rFonts w:hint="eastAsia" w:ascii="宋体" w:hAnsi="宋体" w:eastAsia="宋体"/>
          <w:color w:val="auto"/>
          <w:sz w:val="21"/>
          <w:szCs w:val="21"/>
          <w:highlight w:val="none"/>
        </w:rPr>
        <w:t>（2）</w:t>
      </w:r>
      <w:r>
        <w:rPr>
          <w:rFonts w:hint="eastAsia" w:ascii="宋体" w:hAnsi="宋体"/>
          <w:color w:val="auto"/>
          <w:sz w:val="21"/>
          <w:szCs w:val="21"/>
          <w:highlight w:val="none"/>
          <w:lang w:eastAsia="zh-CN"/>
        </w:rPr>
        <w:t>成交人</w:t>
      </w:r>
      <w:r>
        <w:rPr>
          <w:rFonts w:hint="eastAsia" w:ascii="宋体" w:hAnsi="宋体" w:eastAsia="宋体"/>
          <w:color w:val="auto"/>
          <w:sz w:val="21"/>
          <w:szCs w:val="21"/>
          <w:highlight w:val="none"/>
        </w:rPr>
        <w:t>为残疾人福利性单位的，采购代理机构将随中标结果同时公告其《残疾人福利性单位声明函》，接受社会监督。</w:t>
      </w:r>
      <w:bookmarkEnd w:id="257"/>
      <w:bookmarkEnd w:id="258"/>
      <w:bookmarkEnd w:id="259"/>
      <w:bookmarkEnd w:id="260"/>
      <w:bookmarkEnd w:id="261"/>
      <w:bookmarkEnd w:id="262"/>
      <w:bookmarkEnd w:id="263"/>
      <w:bookmarkEnd w:id="264"/>
      <w:bookmarkEnd w:id="265"/>
      <w:bookmarkEnd w:id="266"/>
      <w:bookmarkEnd w:id="267"/>
      <w:bookmarkEnd w:id="268"/>
    </w:p>
    <w:p w14:paraId="6899D051">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69" w:name="_Toc28044"/>
      <w:bookmarkStart w:id="270" w:name="_Toc509927458"/>
      <w:bookmarkStart w:id="271" w:name="_Toc28686"/>
      <w:bookmarkStart w:id="272" w:name="_Toc22981"/>
      <w:bookmarkStart w:id="273" w:name="_Toc508960156"/>
      <w:bookmarkStart w:id="274" w:name="_Toc9837"/>
      <w:bookmarkStart w:id="275" w:name="_Toc7858"/>
      <w:bookmarkStart w:id="276" w:name="_Toc509479533"/>
      <w:bookmarkStart w:id="277" w:name="_Toc508958706"/>
      <w:bookmarkStart w:id="278" w:name="_Toc510171696"/>
      <w:bookmarkStart w:id="279" w:name="_Toc508898069"/>
      <w:bookmarkStart w:id="280" w:name="_Toc509844828"/>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提供的《残疾人福利性单位声明函》与事实不符的，依照《政府采购法》第七十七条第一款的规定追究法律责任。</w:t>
      </w:r>
      <w:bookmarkEnd w:id="269"/>
      <w:bookmarkEnd w:id="270"/>
      <w:bookmarkEnd w:id="271"/>
      <w:bookmarkEnd w:id="272"/>
      <w:bookmarkEnd w:id="273"/>
      <w:bookmarkEnd w:id="274"/>
      <w:bookmarkEnd w:id="275"/>
      <w:bookmarkEnd w:id="276"/>
      <w:bookmarkEnd w:id="277"/>
      <w:bookmarkEnd w:id="278"/>
      <w:bookmarkEnd w:id="279"/>
      <w:bookmarkEnd w:id="280"/>
    </w:p>
    <w:p w14:paraId="655D5494">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81" w:name="_Toc5289"/>
      <w:bookmarkStart w:id="282" w:name="_Toc509844829"/>
      <w:bookmarkStart w:id="283" w:name="_Toc18843"/>
      <w:bookmarkStart w:id="284" w:name="_Toc508898070"/>
      <w:bookmarkStart w:id="285" w:name="_Toc510171697"/>
      <w:bookmarkStart w:id="286" w:name="_Toc509927459"/>
      <w:bookmarkStart w:id="287" w:name="_Toc508958707"/>
      <w:bookmarkStart w:id="288" w:name="_Toc508960157"/>
      <w:bookmarkStart w:id="289" w:name="_Toc509479534"/>
      <w:r>
        <w:rPr>
          <w:rFonts w:hint="eastAsia" w:ascii="宋体" w:hAnsi="宋体" w:eastAsia="宋体"/>
          <w:color w:val="auto"/>
          <w:sz w:val="21"/>
          <w:szCs w:val="21"/>
          <w:highlight w:val="none"/>
        </w:rPr>
        <w:t>（4）残疾人福利性单位视同小型、微型企业，享受评审中价格扣除。残疾人福利性单位属于小型、微型企业的，不重复享受政策。</w:t>
      </w:r>
      <w:bookmarkEnd w:id="281"/>
      <w:bookmarkEnd w:id="282"/>
      <w:bookmarkEnd w:id="283"/>
      <w:bookmarkEnd w:id="284"/>
      <w:bookmarkEnd w:id="285"/>
      <w:bookmarkEnd w:id="286"/>
      <w:bookmarkEnd w:id="287"/>
      <w:bookmarkEnd w:id="288"/>
      <w:bookmarkEnd w:id="289"/>
    </w:p>
    <w:p w14:paraId="40885587">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（5）若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不属于规定的残疾人福利性单位，或提供的产品不是残疾人福利单位制造的，则无需提供此表。</w:t>
      </w:r>
    </w:p>
    <w:p w14:paraId="6EEF9EB0">
      <w:pPr>
        <w:adjustRightInd/>
        <w:snapToGrid/>
        <w:spacing w:line="276" w:lineRule="auto"/>
        <w:rPr>
          <w:color w:val="auto"/>
          <w:highlight w:val="none"/>
        </w:rPr>
      </w:pPr>
      <w:r>
        <w:rPr>
          <w:rFonts w:hint="eastAsia" w:ascii="宋体" w:hAnsi="宋体" w:eastAsia="宋体"/>
          <w:bCs/>
          <w:color w:val="auto"/>
          <w:sz w:val="21"/>
          <w:szCs w:val="21"/>
          <w:highlight w:val="none"/>
        </w:rPr>
        <w:br w:type="page"/>
      </w:r>
    </w:p>
    <w:p w14:paraId="44D4DE6A">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90" w:name="_Toc23948"/>
      <w:bookmarkStart w:id="291" w:name="_Toc2486"/>
      <w:r>
        <w:rPr>
          <w:rFonts w:hint="eastAsia"/>
          <w:color w:val="auto"/>
          <w:highlight w:val="none"/>
          <w:lang w:val="en-US" w:eastAsia="zh-CN"/>
        </w:rPr>
        <w:t>第二章商务文件</w:t>
      </w:r>
      <w:bookmarkEnd w:id="290"/>
      <w:bookmarkEnd w:id="291"/>
    </w:p>
    <w:bookmarkEnd w:id="220"/>
    <w:p w14:paraId="2B5B4DC0">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2" w:name="_Toc23787"/>
      <w:bookmarkStart w:id="293" w:name="_Toc4151"/>
      <w:r>
        <w:rPr>
          <w:rFonts w:hint="eastAsia"/>
          <w:color w:val="auto"/>
          <w:highlight w:val="none"/>
          <w:lang w:val="en-US" w:eastAsia="zh-CN"/>
        </w:rPr>
        <w:t>一、响应函</w:t>
      </w:r>
      <w:bookmarkEnd w:id="292"/>
      <w:bookmarkEnd w:id="293"/>
    </w:p>
    <w:p w14:paraId="1E14C6B3">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14:paraId="0AD7E5C8">
      <w:pPr>
        <w:spacing w:after="0" w:line="360" w:lineRule="auto"/>
        <w:rPr>
          <w:rFonts w:ascii="宋体" w:hAnsi="宋体" w:eastAsia="宋体"/>
          <w:color w:val="auto"/>
          <w:sz w:val="21"/>
          <w:szCs w:val="21"/>
          <w:highlight w:val="none"/>
        </w:rPr>
      </w:pPr>
    </w:p>
    <w:p w14:paraId="4A40036E">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highlight w:val="none"/>
        </w:rPr>
        <w:t>根据贵方为</w:t>
      </w:r>
      <w:r>
        <w:rPr>
          <w:rFonts w:hint="eastAsia" w:ascii="宋体" w:hAnsi="宋体" w:eastAsia="宋体"/>
          <w:color w:val="auto"/>
          <w:sz w:val="21"/>
          <w:szCs w:val="21"/>
          <w:highlight w:val="none"/>
          <w:u w:val="single"/>
        </w:rPr>
        <w:t>（项目名称）（采购项目编号）</w:t>
      </w:r>
      <w:r>
        <w:rPr>
          <w:rFonts w:hint="eastAsia" w:ascii="宋体" w:hAnsi="宋体" w:eastAsia="宋体"/>
          <w:color w:val="auto"/>
          <w:sz w:val="21"/>
          <w:szCs w:val="21"/>
          <w:highlight w:val="none"/>
        </w:rPr>
        <w:t>项目招标公告/招标邀请，签字代表</w:t>
      </w:r>
      <w:r>
        <w:rPr>
          <w:rFonts w:hint="eastAsia" w:ascii="宋体" w:hAnsi="宋体" w:eastAsia="宋体"/>
          <w:color w:val="auto"/>
          <w:sz w:val="21"/>
          <w:szCs w:val="21"/>
          <w:highlight w:val="none"/>
          <w:u w:val="single"/>
        </w:rPr>
        <w:t>（姓名、职务）</w:t>
      </w:r>
      <w:r>
        <w:rPr>
          <w:rFonts w:hint="eastAsia" w:ascii="宋体" w:hAnsi="宋体" w:eastAsia="宋体"/>
          <w:color w:val="auto"/>
          <w:sz w:val="21"/>
          <w:szCs w:val="21"/>
          <w:highlight w:val="none"/>
        </w:rPr>
        <w:t>经正式授权并代表</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u w:val="single"/>
        </w:rPr>
        <w:t>（</w:t>
      </w:r>
      <w:r>
        <w:rPr>
          <w:rFonts w:hint="eastAsia" w:ascii="宋体" w:hAnsi="宋体"/>
          <w:color w:val="auto"/>
          <w:sz w:val="21"/>
          <w:szCs w:val="21"/>
          <w:highlight w:val="none"/>
          <w:u w:val="single"/>
          <w:lang w:eastAsia="zh-CN"/>
        </w:rPr>
        <w:t>供应商</w:t>
      </w:r>
      <w:r>
        <w:rPr>
          <w:rFonts w:hint="eastAsia" w:ascii="宋体" w:hAnsi="宋体" w:eastAsia="宋体"/>
          <w:color w:val="auto"/>
          <w:sz w:val="21"/>
          <w:szCs w:val="21"/>
          <w:highlight w:val="none"/>
          <w:u w:val="single"/>
        </w:rPr>
        <w:t>名称、地址）</w:t>
      </w:r>
      <w:r>
        <w:rPr>
          <w:rFonts w:hint="eastAsia" w:ascii="宋体" w:eastAsia="宋体" w:cs="宋体"/>
          <w:color w:val="auto"/>
          <w:sz w:val="22"/>
          <w:szCs w:val="22"/>
          <w:highlight w:val="none"/>
        </w:rPr>
        <w:t>进行有关本次</w:t>
      </w:r>
      <w:r>
        <w:rPr>
          <w:rFonts w:hint="eastAsia" w:ascii="宋体" w:cs="宋体"/>
          <w:color w:val="auto"/>
          <w:sz w:val="22"/>
          <w:szCs w:val="22"/>
          <w:highlight w:val="none"/>
          <w:lang w:eastAsia="zh-CN"/>
        </w:rPr>
        <w:t>磋商</w:t>
      </w:r>
      <w:r>
        <w:rPr>
          <w:rFonts w:hint="eastAsia" w:ascii="宋体" w:eastAsia="宋体" w:cs="宋体"/>
          <w:color w:val="auto"/>
          <w:sz w:val="22"/>
          <w:szCs w:val="22"/>
          <w:highlight w:val="none"/>
        </w:rPr>
        <w:t>的一切事宜。</w:t>
      </w:r>
    </w:p>
    <w:p w14:paraId="353B144B">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highlight w:val="none"/>
        </w:rPr>
      </w:pPr>
      <w:r>
        <w:rPr>
          <w:rFonts w:hint="eastAsia" w:ascii="宋体" w:eastAsia="宋体" w:cs="宋体"/>
          <w:color w:val="auto"/>
          <w:sz w:val="22"/>
          <w:szCs w:val="22"/>
          <w:highlight w:val="none"/>
        </w:rPr>
        <w:t>在此提交的</w:t>
      </w:r>
      <w:r>
        <w:rPr>
          <w:rFonts w:hint="eastAsia" w:ascii="宋体" w:cs="宋体"/>
          <w:color w:val="auto"/>
          <w:sz w:val="22"/>
          <w:szCs w:val="22"/>
          <w:highlight w:val="none"/>
          <w:lang w:eastAsia="zh-CN"/>
        </w:rPr>
        <w:t>响应文件</w:t>
      </w:r>
      <w:r>
        <w:rPr>
          <w:rFonts w:hint="eastAsia" w:ascii="宋体" w:eastAsia="宋体" w:cs="宋体"/>
          <w:color w:val="auto"/>
          <w:sz w:val="22"/>
          <w:szCs w:val="22"/>
          <w:highlight w:val="none"/>
        </w:rPr>
        <w:t>，正本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w:t>
      </w:r>
      <w:r>
        <w:rPr>
          <w:rFonts w:hint="eastAsia" w:ascii="宋体" w:cs="宋体"/>
          <w:color w:val="auto"/>
          <w:sz w:val="22"/>
          <w:szCs w:val="22"/>
          <w:highlight w:val="none"/>
          <w:lang w:eastAsia="zh-CN"/>
        </w:rPr>
        <w:t>报价</w:t>
      </w:r>
      <w:r>
        <w:rPr>
          <w:rFonts w:hint="eastAsia" w:ascii="宋体" w:eastAsia="宋体" w:cs="宋体"/>
          <w:color w:val="auto"/>
          <w:sz w:val="22"/>
          <w:szCs w:val="22"/>
          <w:highlight w:val="none"/>
        </w:rPr>
        <w:t>信封及电子文件各1份。</w:t>
      </w:r>
    </w:p>
    <w:p w14:paraId="7A5B0F30">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lang w:val="en-US" w:eastAsia="zh-CN"/>
        </w:rPr>
        <w:t>已</w:t>
      </w:r>
      <w:r>
        <w:rPr>
          <w:rFonts w:hint="eastAsia" w:ascii="新宋体" w:hAnsi="新宋体" w:eastAsia="新宋体"/>
          <w:color w:val="auto"/>
          <w:sz w:val="22"/>
          <w:highlight w:val="none"/>
          <w:lang w:val="zh-CN"/>
        </w:rPr>
        <w:t>完全明白磋商文件的所有条款要求，并重申以下几点：</w:t>
      </w:r>
    </w:p>
    <w:p w14:paraId="6FE9C93B">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我方将按</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 xml:space="preserve">的规定履行合同责任和义务。 </w:t>
      </w:r>
    </w:p>
    <w:p w14:paraId="15D7EEA2">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有效期为自开标日起</w:t>
      </w:r>
      <w:r>
        <w:rPr>
          <w:rFonts w:hint="eastAsia" w:ascii="宋体" w:hAnsi="宋体" w:eastAsia="宋体"/>
          <w:color w:val="auto"/>
          <w:sz w:val="21"/>
          <w:szCs w:val="21"/>
          <w:highlight w:val="none"/>
          <w:u w:val="single"/>
        </w:rPr>
        <w:t>90</w:t>
      </w:r>
      <w:r>
        <w:rPr>
          <w:rFonts w:hint="eastAsia" w:ascii="宋体" w:hAnsi="宋体" w:eastAsia="宋体"/>
          <w:color w:val="auto"/>
          <w:sz w:val="21"/>
          <w:szCs w:val="21"/>
          <w:highlight w:val="none"/>
        </w:rPr>
        <w:t>个日历日。</w:t>
      </w:r>
    </w:p>
    <w:p w14:paraId="6A807DA0">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本公司同意按照贵公司可能提出的要求而提供与</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有关的任何其它数据、信息或资料。</w:t>
      </w:r>
    </w:p>
    <w:p w14:paraId="173FA9A2">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我方承诺，与买方聘请的为此项目提供咨询服务的公司及任何附属机构均无关联，我方不是买方的附属机构。 </w:t>
      </w:r>
    </w:p>
    <w:p w14:paraId="79AE93A0">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本公司如果中标，将保证履行</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及其澄清、修改文件（如果有）中的全部责任和义务，按质、按量、按期完成《采购需求书》及《合同书》中的全部任务。</w:t>
      </w:r>
    </w:p>
    <w:p w14:paraId="4EADAC3C">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与本</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有关的一切正式信函请寄：</w:t>
      </w:r>
    </w:p>
    <w:p w14:paraId="7FBCD1D7">
      <w:pPr>
        <w:spacing w:after="0" w:line="360" w:lineRule="auto"/>
        <w:rPr>
          <w:rFonts w:hint="eastAsia" w:ascii="宋体" w:hAnsi="宋体" w:eastAsia="宋体"/>
          <w:color w:val="auto"/>
          <w:sz w:val="21"/>
          <w:szCs w:val="21"/>
          <w:highlight w:val="none"/>
        </w:rPr>
      </w:pPr>
    </w:p>
    <w:p w14:paraId="042A79A6">
      <w:pPr>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地址：　　　　　　　　　　　　　　　</w:t>
      </w:r>
    </w:p>
    <w:p w14:paraId="07B44F04">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邮箱</w:t>
      </w:r>
      <w:r>
        <w:rPr>
          <w:rFonts w:hint="eastAsia" w:ascii="宋体" w:hAnsi="宋体" w:eastAsia="宋体"/>
          <w:color w:val="auto"/>
          <w:sz w:val="21"/>
          <w:szCs w:val="21"/>
          <w:highlight w:val="none"/>
        </w:rPr>
        <w:t>：　　　</w:t>
      </w:r>
    </w:p>
    <w:p w14:paraId="136D6551">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电话/移动电话：　　　　　　　　　　　　　　　</w:t>
      </w:r>
    </w:p>
    <w:p w14:paraId="58C71E06">
      <w:pPr>
        <w:spacing w:after="0" w:line="360" w:lineRule="auto"/>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 xml:space="preserve">代表签字： </w:t>
      </w:r>
      <w:r>
        <w:rPr>
          <w:rFonts w:hint="eastAsia" w:ascii="宋体" w:hAnsi="宋体" w:eastAsia="宋体"/>
          <w:color w:val="auto"/>
          <w:sz w:val="21"/>
          <w:szCs w:val="21"/>
          <w:highlight w:val="none"/>
          <w:lang w:val="en-US" w:eastAsia="zh-CN"/>
        </w:rPr>
        <w:t xml:space="preserve">                   </w:t>
      </w:r>
    </w:p>
    <w:p w14:paraId="2A70D5BC">
      <w:pPr>
        <w:spacing w:after="0" w:line="360" w:lineRule="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lang w:eastAsia="zh-CN"/>
        </w:rPr>
        <w:t>名称（加盖公章）</w:t>
      </w:r>
      <w:r>
        <w:rPr>
          <w:rFonts w:hint="eastAsia" w:ascii="宋体" w:hAnsi="宋体" w:eastAsia="宋体"/>
          <w:color w:val="auto"/>
          <w:sz w:val="21"/>
          <w:szCs w:val="21"/>
          <w:highlight w:val="none"/>
        </w:rPr>
        <w:t xml:space="preserve">： </w:t>
      </w:r>
    </w:p>
    <w:p w14:paraId="7170999E">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14:paraId="42203154">
      <w:pPr>
        <w:adjustRightInd/>
        <w:snapToGrid/>
        <w:spacing w:line="276" w:lineRule="auto"/>
        <w:rPr>
          <w:color w:val="auto"/>
          <w:highlight w:val="none"/>
        </w:rPr>
      </w:pPr>
      <w:r>
        <w:rPr>
          <w:color w:val="auto"/>
          <w:highlight w:val="none"/>
        </w:rPr>
        <w:br w:type="page"/>
      </w:r>
    </w:p>
    <w:p w14:paraId="06028BAA">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4" w:name="_Toc27961"/>
      <w:bookmarkStart w:id="295" w:name="_Toc15719"/>
      <w:r>
        <w:rPr>
          <w:rFonts w:hint="eastAsia"/>
          <w:color w:val="auto"/>
          <w:highlight w:val="none"/>
          <w:lang w:val="en-US" w:eastAsia="zh-CN"/>
        </w:rPr>
        <w:t>二、资格申明函</w:t>
      </w:r>
      <w:bookmarkEnd w:id="294"/>
      <w:bookmarkEnd w:id="295"/>
    </w:p>
    <w:p w14:paraId="39F2305A">
      <w:pPr>
        <w:pStyle w:val="35"/>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val="en-US" w:eastAsia="zh-CN"/>
        </w:rPr>
        <w:t>致</w:t>
      </w:r>
      <w:r>
        <w:rPr>
          <w:rFonts w:hint="eastAsia" w:ascii="宋体" w:eastAsia="宋体"/>
          <w:color w:val="auto"/>
          <w:sz w:val="21"/>
          <w:szCs w:val="21"/>
          <w:highlight w:val="none"/>
          <w:lang w:eastAsia="zh-CN"/>
        </w:rPr>
        <w:t>广东政通招标有限公司</w:t>
      </w:r>
      <w:r>
        <w:rPr>
          <w:rFonts w:hint="eastAsia" w:ascii="宋体" w:eastAsia="宋体"/>
          <w:color w:val="auto"/>
          <w:sz w:val="21"/>
          <w:szCs w:val="21"/>
          <w:highlight w:val="none"/>
        </w:rPr>
        <w:t>：</w:t>
      </w:r>
    </w:p>
    <w:p w14:paraId="2F5F60A2">
      <w:pPr>
        <w:spacing w:after="0" w:line="360" w:lineRule="auto"/>
        <w:ind w:firstLine="420" w:firstLineChars="200"/>
        <w:rPr>
          <w:rFonts w:ascii="宋体" w:hAnsi="宋体" w:eastAsia="宋体"/>
          <w:color w:val="auto"/>
          <w:sz w:val="21"/>
          <w:szCs w:val="21"/>
          <w:highlight w:val="none"/>
        </w:rPr>
      </w:pPr>
    </w:p>
    <w:p w14:paraId="5B97750C">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我方</w:t>
      </w:r>
      <w:r>
        <w:rPr>
          <w:rFonts w:ascii="宋体" w:hAnsi="宋体" w:eastAsia="宋体"/>
          <w:color w:val="auto"/>
          <w:sz w:val="21"/>
          <w:szCs w:val="21"/>
          <w:highlight w:val="none"/>
        </w:rPr>
        <w:t>愿响应</w:t>
      </w:r>
      <w:r>
        <w:rPr>
          <w:rFonts w:hint="eastAsia" w:ascii="宋体" w:hAnsi="宋体" w:eastAsia="宋体"/>
          <w:color w:val="auto"/>
          <w:sz w:val="21"/>
          <w:szCs w:val="21"/>
          <w:highlight w:val="none"/>
        </w:rPr>
        <w:t>贵</w:t>
      </w:r>
      <w:r>
        <w:rPr>
          <w:rFonts w:ascii="宋体" w:hAnsi="宋体" w:eastAsia="宋体"/>
          <w:color w:val="auto"/>
          <w:sz w:val="21"/>
          <w:szCs w:val="21"/>
          <w:highlight w:val="none"/>
        </w:rPr>
        <w:t>方</w:t>
      </w:r>
      <w:r>
        <w:rPr>
          <w:rFonts w:hint="eastAsia" w:ascii="宋体" w:hAnsi="宋体" w:eastAsia="宋体"/>
          <w:color w:val="auto"/>
          <w:sz w:val="21"/>
          <w:szCs w:val="21"/>
          <w:highlight w:val="none"/>
        </w:rPr>
        <w:t>关于（项目名称）</w:t>
      </w:r>
      <w:r>
        <w:rPr>
          <w:rFonts w:ascii="宋体" w:hAnsi="宋体" w:eastAsia="宋体"/>
          <w:color w:val="auto"/>
          <w:sz w:val="21"/>
          <w:szCs w:val="21"/>
          <w:highlight w:val="none"/>
        </w:rPr>
        <w:t>（</w:t>
      </w:r>
      <w:r>
        <w:rPr>
          <w:rFonts w:hint="eastAsia" w:ascii="宋体" w:hAnsi="宋体" w:eastAsia="宋体"/>
          <w:color w:val="auto"/>
          <w:sz w:val="21"/>
          <w:szCs w:val="21"/>
          <w:highlight w:val="none"/>
        </w:rPr>
        <w:t>采购项目编号</w:t>
      </w:r>
      <w:r>
        <w:rPr>
          <w:rFonts w:ascii="宋体" w:hAnsi="宋体" w:eastAsia="宋体"/>
          <w:color w:val="auto"/>
          <w:sz w:val="21"/>
          <w:szCs w:val="21"/>
          <w:highlight w:val="none"/>
        </w:rPr>
        <w:t>）</w:t>
      </w:r>
      <w:r>
        <w:rPr>
          <w:rFonts w:hint="eastAsia" w:ascii="宋体" w:hAnsi="宋体" w:eastAsia="宋体"/>
          <w:color w:val="auto"/>
          <w:sz w:val="21"/>
          <w:szCs w:val="21"/>
          <w:highlight w:val="none"/>
        </w:rPr>
        <w:t>的</w:t>
      </w:r>
      <w:r>
        <w:rPr>
          <w:rFonts w:hint="eastAsia" w:ascii="宋体" w:hAnsi="宋体"/>
          <w:color w:val="auto"/>
          <w:sz w:val="21"/>
          <w:szCs w:val="21"/>
          <w:highlight w:val="none"/>
          <w:lang w:eastAsia="zh-CN"/>
        </w:rPr>
        <w:t>磋商</w:t>
      </w:r>
      <w:r>
        <w:rPr>
          <w:rFonts w:ascii="宋体" w:hAnsi="宋体" w:eastAsia="宋体"/>
          <w:color w:val="auto"/>
          <w:sz w:val="21"/>
          <w:szCs w:val="21"/>
          <w:highlight w:val="none"/>
        </w:rPr>
        <w:t>邀请，参与</w:t>
      </w:r>
      <w:r>
        <w:rPr>
          <w:rFonts w:hint="eastAsia" w:ascii="宋体" w:hAnsi="宋体"/>
          <w:color w:val="auto"/>
          <w:sz w:val="21"/>
          <w:szCs w:val="21"/>
          <w:highlight w:val="none"/>
          <w:lang w:eastAsia="zh-CN"/>
        </w:rPr>
        <w:t>报价</w:t>
      </w:r>
      <w:r>
        <w:rPr>
          <w:rFonts w:ascii="宋体" w:hAnsi="宋体" w:eastAsia="宋体"/>
          <w:color w:val="auto"/>
          <w:sz w:val="21"/>
          <w:szCs w:val="21"/>
          <w:highlight w:val="none"/>
        </w:rPr>
        <w:t>，提供用户需求书中规定的</w:t>
      </w:r>
      <w:r>
        <w:rPr>
          <w:rFonts w:hint="eastAsia" w:ascii="宋体" w:hAnsi="宋体" w:eastAsia="宋体"/>
          <w:color w:val="auto"/>
          <w:sz w:val="21"/>
          <w:szCs w:val="21"/>
          <w:highlight w:val="none"/>
        </w:rPr>
        <w:t>货物及相关服务</w:t>
      </w:r>
      <w:r>
        <w:rPr>
          <w:rFonts w:ascii="宋体" w:hAnsi="宋体" w:eastAsia="宋体"/>
          <w:color w:val="auto"/>
          <w:sz w:val="21"/>
          <w:szCs w:val="21"/>
          <w:highlight w:val="none"/>
        </w:rPr>
        <w:t>，并按</w:t>
      </w:r>
      <w:r>
        <w:rPr>
          <w:rFonts w:hint="eastAsia" w:ascii="宋体" w:hAnsi="宋体"/>
          <w:color w:val="auto"/>
          <w:sz w:val="21"/>
          <w:szCs w:val="21"/>
          <w:highlight w:val="none"/>
          <w:lang w:eastAsia="zh-CN"/>
        </w:rPr>
        <w:t>磋商文件</w:t>
      </w:r>
      <w:r>
        <w:rPr>
          <w:rFonts w:ascii="宋体" w:hAnsi="宋体" w:eastAsia="宋体"/>
          <w:color w:val="auto"/>
          <w:sz w:val="21"/>
          <w:szCs w:val="21"/>
          <w:highlight w:val="none"/>
        </w:rPr>
        <w:t>要求提交所附资格文件且声明和保证如下：</w:t>
      </w:r>
    </w:p>
    <w:p w14:paraId="44F67D0C">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我方具备《中华人民共和国政府采购法》第二十二条资格条件</w:t>
      </w:r>
      <w:r>
        <w:rPr>
          <w:rFonts w:hint="eastAsia" w:ascii="宋体" w:hAnsi="宋体" w:eastAsia="宋体"/>
          <w:color w:val="auto"/>
          <w:sz w:val="21"/>
          <w:szCs w:val="21"/>
          <w:highlight w:val="none"/>
          <w:lang w:eastAsia="zh-CN"/>
        </w:rPr>
        <w:t>：</w:t>
      </w:r>
    </w:p>
    <w:p w14:paraId="2E407314">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（一）具有独立承担民事责任的能力； </w:t>
      </w:r>
    </w:p>
    <w:p w14:paraId="3CE3D2DA">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（二）具有良好的商业信誉和健全的财务会计制度； </w:t>
      </w:r>
    </w:p>
    <w:p w14:paraId="7964D316">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（三）具有履行合同所必需的设备和专业技术能力； </w:t>
      </w:r>
    </w:p>
    <w:p w14:paraId="0FEF3904">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（四）有依法缴纳税收和社会保障资金的良好记录； </w:t>
      </w:r>
    </w:p>
    <w:p w14:paraId="3AD298FA">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（五）参加政府采购活动前三年内，在经营活动中没有重大违法记录； </w:t>
      </w:r>
    </w:p>
    <w:p w14:paraId="2056194C">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（六）法律、行政法规规定的其他条件。 </w:t>
      </w:r>
    </w:p>
    <w:p w14:paraId="5DD845C9">
      <w:pPr>
        <w:numPr>
          <w:ilvl w:val="0"/>
          <w:numId w:val="0"/>
        </w:num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lang w:val="en-US" w:eastAsia="zh-CN"/>
        </w:rPr>
        <w:t>、我方</w:t>
      </w:r>
      <w:r>
        <w:rPr>
          <w:rFonts w:hint="eastAsia" w:ascii="宋体" w:hAnsi="宋体" w:eastAsia="宋体"/>
          <w:color w:val="auto"/>
          <w:sz w:val="21"/>
          <w:szCs w:val="21"/>
          <w:highlight w:val="none"/>
        </w:rPr>
        <w:t>已清楚</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所有要求及有关规定；并承诺参加本次政府采购活动中，如有违法、违规、弄虚作假行为，所造成的损失、不良后果及法律责任，一律由我方承担；</w:t>
      </w:r>
    </w:p>
    <w:p w14:paraId="7081E1DD">
      <w:pPr>
        <w:pStyle w:val="35"/>
        <w:spacing w:line="500" w:lineRule="atLeast"/>
        <w:ind w:firstLine="3517" w:firstLineChars="1675"/>
        <w:rPr>
          <w:rFonts w:ascii="宋体" w:eastAsia="宋体"/>
          <w:color w:val="auto"/>
          <w:sz w:val="21"/>
          <w:szCs w:val="21"/>
          <w:highlight w:val="none"/>
        </w:rPr>
      </w:pPr>
    </w:p>
    <w:p w14:paraId="45072775">
      <w:pPr>
        <w:pStyle w:val="35"/>
        <w:spacing w:line="500" w:lineRule="atLeast"/>
        <w:ind w:firstLine="3517" w:firstLineChars="1675"/>
        <w:rPr>
          <w:rFonts w:ascii="宋体" w:eastAsia="宋体"/>
          <w:color w:val="auto"/>
          <w:sz w:val="21"/>
          <w:szCs w:val="21"/>
          <w:highlight w:val="none"/>
        </w:rPr>
      </w:pPr>
    </w:p>
    <w:p w14:paraId="444708EB">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14:paraId="2F0B4E9D">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14:paraId="70E1841F">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14:paraId="4DDB7C53">
      <w:pPr>
        <w:jc w:val="both"/>
        <w:rPr>
          <w:rFonts w:ascii="宋体" w:hAnsi="宋体" w:eastAsia="宋体"/>
          <w:color w:val="auto"/>
          <w:sz w:val="21"/>
          <w:szCs w:val="21"/>
          <w:highlight w:val="none"/>
        </w:rPr>
      </w:pPr>
    </w:p>
    <w:p w14:paraId="1948FF05">
      <w:pPr>
        <w:pStyle w:val="7"/>
        <w:rPr>
          <w:rFonts w:ascii="宋体" w:hAnsi="宋体" w:eastAsia="宋体"/>
          <w:color w:val="auto"/>
          <w:sz w:val="21"/>
          <w:szCs w:val="21"/>
          <w:highlight w:val="none"/>
        </w:rPr>
      </w:pPr>
    </w:p>
    <w:p w14:paraId="346C7F24">
      <w:pPr>
        <w:rPr>
          <w:rFonts w:ascii="宋体" w:hAnsi="宋体" w:eastAsia="宋体"/>
          <w:color w:val="auto"/>
          <w:sz w:val="21"/>
          <w:szCs w:val="21"/>
          <w:highlight w:val="none"/>
        </w:rPr>
      </w:pPr>
    </w:p>
    <w:p w14:paraId="3EAB6BE6">
      <w:pPr>
        <w:pStyle w:val="7"/>
        <w:rPr>
          <w:rFonts w:ascii="宋体" w:hAnsi="宋体" w:eastAsia="宋体"/>
          <w:color w:val="auto"/>
          <w:sz w:val="21"/>
          <w:szCs w:val="21"/>
          <w:highlight w:val="none"/>
        </w:rPr>
      </w:pPr>
    </w:p>
    <w:p w14:paraId="790E4860">
      <w:pPr>
        <w:rPr>
          <w:rFonts w:ascii="宋体" w:hAnsi="宋体" w:eastAsia="宋体"/>
          <w:color w:val="auto"/>
          <w:sz w:val="21"/>
          <w:szCs w:val="21"/>
          <w:highlight w:val="none"/>
        </w:rPr>
      </w:pPr>
    </w:p>
    <w:p w14:paraId="72E695AC">
      <w:pPr>
        <w:pStyle w:val="7"/>
        <w:rPr>
          <w:rFonts w:ascii="宋体" w:hAnsi="宋体" w:eastAsia="宋体"/>
          <w:color w:val="auto"/>
          <w:sz w:val="21"/>
          <w:szCs w:val="21"/>
          <w:highlight w:val="none"/>
        </w:rPr>
      </w:pPr>
    </w:p>
    <w:p w14:paraId="7922C30E">
      <w:pPr>
        <w:rPr>
          <w:rFonts w:ascii="宋体" w:hAnsi="宋体" w:eastAsia="宋体"/>
          <w:color w:val="auto"/>
          <w:sz w:val="21"/>
          <w:szCs w:val="21"/>
          <w:highlight w:val="none"/>
        </w:rPr>
      </w:pPr>
    </w:p>
    <w:p w14:paraId="72D74FEB">
      <w:pPr>
        <w:pStyle w:val="7"/>
        <w:rPr>
          <w:color w:val="auto"/>
          <w:highlight w:val="none"/>
        </w:rPr>
      </w:pPr>
    </w:p>
    <w:p w14:paraId="0281F742">
      <w:pPr>
        <w:rPr>
          <w:color w:val="auto"/>
          <w:highlight w:val="none"/>
        </w:rPr>
      </w:pPr>
      <w:bookmarkStart w:id="296" w:name="_Toc16412"/>
    </w:p>
    <w:p w14:paraId="2A591A21">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7" w:name="_Toc21335"/>
      <w:bookmarkStart w:id="298" w:name="_Toc21273"/>
      <w:r>
        <w:rPr>
          <w:rFonts w:hint="eastAsia"/>
          <w:color w:val="auto"/>
          <w:highlight w:val="none"/>
          <w:lang w:val="en-US" w:eastAsia="zh-CN"/>
        </w:rPr>
        <w:t>三、在参与政府采购活动前三年未有重大违法记录、没有不良信用记录的声明函</w:t>
      </w:r>
      <w:bookmarkEnd w:id="297"/>
      <w:bookmarkEnd w:id="298"/>
    </w:p>
    <w:p w14:paraId="7DC92499">
      <w:pPr>
        <w:spacing w:after="0" w:line="360" w:lineRule="auto"/>
        <w:ind w:firstLine="420" w:firstLineChars="200"/>
        <w:rPr>
          <w:rFonts w:ascii="宋体" w:hAnsi="宋体" w:eastAsia="宋体" w:cs="宋体"/>
          <w:color w:val="auto"/>
          <w:sz w:val="21"/>
          <w:szCs w:val="21"/>
          <w:highlight w:val="none"/>
        </w:rPr>
      </w:pPr>
    </w:p>
    <w:p w14:paraId="4594FE49">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w:t>
      </w:r>
      <w:r>
        <w:rPr>
          <w:rFonts w:hint="eastAsia" w:ascii="宋体" w:hAnsi="宋体" w:eastAsia="宋体" w:cs="宋体"/>
          <w:color w:val="auto"/>
          <w:sz w:val="21"/>
          <w:szCs w:val="21"/>
          <w:highlight w:val="none"/>
          <w:lang w:eastAsia="zh-CN"/>
        </w:rPr>
        <w:t>广东政通招标有限公司</w:t>
      </w:r>
      <w:r>
        <w:rPr>
          <w:rFonts w:hint="eastAsia" w:ascii="宋体" w:hAnsi="宋体" w:eastAsia="宋体" w:cs="宋体"/>
          <w:color w:val="auto"/>
          <w:sz w:val="21"/>
          <w:szCs w:val="21"/>
          <w:highlight w:val="none"/>
        </w:rPr>
        <w:t>：</w:t>
      </w:r>
    </w:p>
    <w:p w14:paraId="3D94AA6A">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我公司郑重承诺：在参加“</w:t>
      </w:r>
      <w:r>
        <w:rPr>
          <w:rFonts w:hint="eastAsia" w:ascii="宋体" w:hAnsi="宋体" w:eastAsia="宋体" w:cs="宋体"/>
          <w:color w:val="auto"/>
          <w:sz w:val="21"/>
          <w:szCs w:val="21"/>
          <w:highlight w:val="none"/>
          <w:u w:val="single"/>
        </w:rPr>
        <w:t>（采购项目名称）</w:t>
      </w:r>
      <w:r>
        <w:rPr>
          <w:rFonts w:hint="eastAsia" w:ascii="宋体" w:hAnsi="宋体" w:eastAsia="宋体" w:cs="宋体"/>
          <w:color w:val="auto"/>
          <w:sz w:val="21"/>
          <w:szCs w:val="21"/>
          <w:highlight w:val="none"/>
        </w:rPr>
        <w:t>” （项目编号: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）政府采购活动前三年内（设立不满三年的从设立之日计算），在经营活动中没有因违法经营受到刑事处罚或者责令停产停业、吊销许可证或者执照、较大数额罚款等行政处罚。至本项目提交</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截止时间止未被列入“信用中国”网站及“中国政府采购网”失信被执行人、重大税收违法案件当事人名单、政府采购严重违法失信行为记录名单。</w:t>
      </w:r>
    </w:p>
    <w:p w14:paraId="4C8AA12E">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我公司以上承诺均为真实有效，绝无任何虚假、伪造的成份，否则，愿承担相应的后果和法律责任。</w:t>
      </w:r>
    </w:p>
    <w:p w14:paraId="0323A56C">
      <w:pPr>
        <w:spacing w:after="0" w:line="360" w:lineRule="auto"/>
        <w:ind w:firstLine="420" w:firstLineChars="200"/>
        <w:rPr>
          <w:rFonts w:ascii="宋体" w:hAnsi="宋体" w:eastAsia="宋体" w:cs="宋体"/>
          <w:color w:val="auto"/>
          <w:sz w:val="21"/>
          <w:szCs w:val="21"/>
          <w:highlight w:val="none"/>
        </w:rPr>
      </w:pPr>
    </w:p>
    <w:p w14:paraId="06CDAAE9">
      <w:pPr>
        <w:spacing w:after="0" w:line="360" w:lineRule="auto"/>
        <w:rPr>
          <w:rFonts w:ascii="宋体" w:hAnsi="宋体" w:eastAsia="宋体" w:cs="宋体"/>
          <w:color w:val="auto"/>
          <w:sz w:val="21"/>
          <w:szCs w:val="21"/>
          <w:highlight w:val="none"/>
        </w:rPr>
      </w:pPr>
    </w:p>
    <w:p w14:paraId="7BE16740">
      <w:pPr>
        <w:spacing w:after="0" w:line="360" w:lineRule="auto"/>
        <w:ind w:firstLine="420" w:firstLineChars="200"/>
        <w:rPr>
          <w:rFonts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lang w:eastAsia="zh-CN"/>
        </w:rPr>
        <w:t>名称（加盖公章）</w:t>
      </w:r>
      <w:r>
        <w:rPr>
          <w:rFonts w:hint="eastAsia" w:ascii="宋体" w:hAnsi="宋体" w:eastAsia="宋体" w:cs="宋体"/>
          <w:color w:val="auto"/>
          <w:sz w:val="21"/>
          <w:szCs w:val="21"/>
          <w:highlight w:val="none"/>
        </w:rPr>
        <w:t>：</w:t>
      </w:r>
    </w:p>
    <w:p w14:paraId="747C715A">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14:paraId="1706B2EF">
      <w:pPr>
        <w:adjustRightInd/>
        <w:snapToGrid/>
        <w:spacing w:line="276" w:lineRule="auto"/>
        <w:rPr>
          <w:color w:val="auto"/>
          <w:highlight w:val="none"/>
        </w:rPr>
      </w:pPr>
      <w:r>
        <w:rPr>
          <w:rFonts w:ascii="楷体_GB2312" w:eastAsia="楷体_GB2312"/>
          <w:color w:val="auto"/>
          <w:sz w:val="24"/>
          <w:highlight w:val="none"/>
        </w:rPr>
        <w:br w:type="page"/>
      </w:r>
      <w:bookmarkEnd w:id="296"/>
    </w:p>
    <w:p w14:paraId="3F77CFAF">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9" w:name="_Toc32128"/>
      <w:bookmarkStart w:id="300" w:name="_Toc13243"/>
      <w:r>
        <w:rPr>
          <w:rFonts w:hint="eastAsia"/>
          <w:color w:val="auto"/>
          <w:highlight w:val="none"/>
          <w:lang w:val="en-US" w:eastAsia="zh-CN"/>
        </w:rPr>
        <w:t>四、法定代表人证明书</w:t>
      </w:r>
      <w:bookmarkEnd w:id="299"/>
      <w:bookmarkEnd w:id="300"/>
    </w:p>
    <w:p w14:paraId="6E5D07BA">
      <w:pPr>
        <w:pStyle w:val="35"/>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14:paraId="7D6D2F31">
      <w:pPr>
        <w:pStyle w:val="35"/>
        <w:spacing w:line="420" w:lineRule="atLeast"/>
        <w:ind w:firstLine="433"/>
        <w:rPr>
          <w:rFonts w:ascii="宋体" w:eastAsia="宋体"/>
          <w:color w:val="auto"/>
          <w:sz w:val="21"/>
          <w:szCs w:val="21"/>
          <w:highlight w:val="none"/>
        </w:rPr>
      </w:pPr>
    </w:p>
    <w:p w14:paraId="5BD52909">
      <w:pPr>
        <w:pStyle w:val="35"/>
        <w:spacing w:line="360" w:lineRule="auto"/>
        <w:ind w:firstLine="420" w:firstLineChars="200"/>
        <w:rPr>
          <w:rFonts w:hint="eastAsia"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u w:val="single"/>
          <w:lang w:eastAsia="zh-CN"/>
        </w:rPr>
        <w:t>供应商</w:t>
      </w:r>
      <w:r>
        <w:rPr>
          <w:rFonts w:hint="eastAsia" w:ascii="宋体" w:eastAsia="宋体"/>
          <w:color w:val="auto"/>
          <w:sz w:val="21"/>
          <w:szCs w:val="21"/>
          <w:highlight w:val="none"/>
          <w:u w:val="single"/>
        </w:rPr>
        <w:t xml:space="preserve">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14:paraId="47D1CEE2">
      <w:pPr>
        <w:spacing w:line="420" w:lineRule="atLeas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特此证明。</w:t>
      </w:r>
    </w:p>
    <w:p w14:paraId="73A274D6">
      <w:pPr>
        <w:pStyle w:val="35"/>
        <w:spacing w:line="500" w:lineRule="atLeast"/>
        <w:ind w:firstLine="3517" w:firstLineChars="1675"/>
        <w:rPr>
          <w:rFonts w:ascii="宋体" w:eastAsia="宋体"/>
          <w:color w:val="auto"/>
          <w:sz w:val="21"/>
          <w:szCs w:val="21"/>
          <w:highlight w:val="none"/>
        </w:rPr>
      </w:pPr>
    </w:p>
    <w:p w14:paraId="04882ECD">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14:paraId="524EA86A">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法定代表人（签名或盖私章）：</w:t>
      </w:r>
    </w:p>
    <w:p w14:paraId="5E167F77">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联系方式：</w:t>
      </w:r>
    </w:p>
    <w:p w14:paraId="33130FA3">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身份证号码：</w:t>
      </w:r>
    </w:p>
    <w:p w14:paraId="3E0AC34F">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14:paraId="5F1D4DDF">
      <w:pPr>
        <w:ind w:firstLine="420" w:firstLineChars="200"/>
        <w:rPr>
          <w:rFonts w:ascii="宋体" w:hAnsi="宋体" w:eastAsia="宋体"/>
          <w:color w:val="auto"/>
          <w:sz w:val="21"/>
          <w:szCs w:val="21"/>
          <w:highlight w:val="none"/>
        </w:rPr>
      </w:pPr>
    </w:p>
    <w:p w14:paraId="00907432">
      <w:pPr>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w:t>
      </w:r>
      <w:r>
        <w:rPr>
          <w:rFonts w:hint="eastAsia" w:ascii="宋体" w:hAnsi="宋体" w:eastAsia="宋体"/>
          <w:color w:val="auto"/>
          <w:sz w:val="21"/>
          <w:szCs w:val="21"/>
          <w:highlight w:val="none"/>
        </w:rPr>
        <w:t>附法人代表身份证复印件。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4E257BE8">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61E7CC68">
            <w:pPr>
              <w:pStyle w:val="35"/>
              <w:spacing w:line="460" w:lineRule="exact"/>
              <w:ind w:firstLine="0" w:firstLineChars="0"/>
              <w:jc w:val="center"/>
              <w:rPr>
                <w:rFonts w:ascii="宋体" w:eastAsia="宋体"/>
                <w:color w:val="auto"/>
                <w:sz w:val="22"/>
                <w:highlight w:val="none"/>
              </w:rPr>
            </w:pPr>
            <w:r>
              <w:rPr>
                <w:rFonts w:hint="eastAsia" w:ascii="宋体" w:hAnsi="宋体" w:eastAsia="宋体"/>
                <w:color w:val="auto"/>
                <w:sz w:val="21"/>
                <w:szCs w:val="21"/>
                <w:highlight w:val="none"/>
              </w:rPr>
              <w:t>法人代表身份证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14:paraId="42FFBE00">
      <w:pPr>
        <w:rPr>
          <w:color w:val="auto"/>
          <w:highlight w:val="none"/>
        </w:rPr>
      </w:pPr>
    </w:p>
    <w:p w14:paraId="2C3A9F5E">
      <w:pPr>
        <w:adjustRightInd/>
        <w:snapToGrid/>
        <w:spacing w:line="276" w:lineRule="auto"/>
        <w:rPr>
          <w:color w:val="auto"/>
          <w:highlight w:val="none"/>
        </w:rPr>
      </w:pPr>
      <w:r>
        <w:rPr>
          <w:rFonts w:ascii="楷体_GB2312" w:eastAsia="楷体_GB2312"/>
          <w:color w:val="auto"/>
          <w:sz w:val="24"/>
          <w:highlight w:val="none"/>
        </w:rPr>
        <w:br w:type="page"/>
      </w:r>
    </w:p>
    <w:p w14:paraId="70027561">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01" w:name="_Toc11689"/>
      <w:bookmarkStart w:id="302" w:name="_Toc5918"/>
      <w:r>
        <w:rPr>
          <w:rFonts w:hint="eastAsia"/>
          <w:color w:val="auto"/>
          <w:highlight w:val="none"/>
          <w:lang w:val="en-US" w:eastAsia="zh-CN"/>
        </w:rPr>
        <w:t>五、法定代表人授权书</w:t>
      </w:r>
      <w:bookmarkEnd w:id="301"/>
      <w:bookmarkEnd w:id="302"/>
    </w:p>
    <w:p w14:paraId="19D68D14">
      <w:pPr>
        <w:pStyle w:val="35"/>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14:paraId="75DC530C">
      <w:pPr>
        <w:pStyle w:val="35"/>
        <w:spacing w:line="420" w:lineRule="atLeast"/>
        <w:ind w:firstLine="433"/>
        <w:rPr>
          <w:rFonts w:ascii="宋体" w:eastAsia="宋体"/>
          <w:color w:val="auto"/>
          <w:sz w:val="21"/>
          <w:szCs w:val="21"/>
          <w:highlight w:val="none"/>
        </w:rPr>
      </w:pPr>
    </w:p>
    <w:p w14:paraId="703E0D3A">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本授权书声明：本人</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系</w:t>
      </w:r>
      <w:r>
        <w:rPr>
          <w:rFonts w:hint="eastAsia" w:ascii="宋体" w:hAnsi="宋体" w:eastAsia="宋体" w:cs="Times New Roman"/>
          <w:color w:val="auto"/>
          <w:sz w:val="21"/>
          <w:szCs w:val="21"/>
          <w:highlight w:val="none"/>
          <w:u w:val="single"/>
        </w:rPr>
        <w:t xml:space="preserve">     （</w:t>
      </w:r>
      <w:r>
        <w:rPr>
          <w:rFonts w:hint="eastAsia" w:ascii="宋体" w:hAnsi="宋体" w:cs="Times New Roman"/>
          <w:color w:val="auto"/>
          <w:sz w:val="21"/>
          <w:szCs w:val="21"/>
          <w:highlight w:val="none"/>
          <w:u w:val="single"/>
          <w:lang w:eastAsia="zh-CN"/>
        </w:rPr>
        <w:t>供应商</w:t>
      </w:r>
      <w:r>
        <w:rPr>
          <w:rFonts w:hint="eastAsia" w:ascii="宋体" w:hAnsi="宋体" w:eastAsia="宋体" w:cs="Times New Roman"/>
          <w:color w:val="auto"/>
          <w:sz w:val="21"/>
          <w:szCs w:val="21"/>
          <w:highlight w:val="none"/>
          <w:u w:val="single"/>
        </w:rPr>
        <w:t xml:space="preserve">名称）    </w:t>
      </w:r>
      <w:r>
        <w:rPr>
          <w:rFonts w:hint="eastAsia" w:ascii="宋体" w:hAnsi="宋体" w:eastAsia="宋体" w:cs="Times New Roman"/>
          <w:color w:val="auto"/>
          <w:sz w:val="21"/>
          <w:szCs w:val="21"/>
          <w:highlight w:val="none"/>
        </w:rPr>
        <w:t>的法定代表人，现委托</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为我方合法代理人。代理人根据授权，以我方名义签署、澄清、说明、补正、递交、撤回、修改</w:t>
      </w:r>
      <w:r>
        <w:rPr>
          <w:rFonts w:hint="eastAsia" w:ascii="宋体" w:hAnsi="宋体" w:eastAsia="宋体" w:cs="Times New Roman"/>
          <w:color w:val="auto"/>
          <w:sz w:val="21"/>
          <w:szCs w:val="21"/>
          <w:highlight w:val="none"/>
          <w:u w:val="single"/>
        </w:rPr>
        <w:t xml:space="preserve"> （项目名称）</w:t>
      </w:r>
      <w:r>
        <w:rPr>
          <w:rFonts w:hint="eastAsia" w:ascii="宋体" w:hAnsi="宋体" w:eastAsia="宋体" w:cs="Times New Roman"/>
          <w:color w:val="auto"/>
          <w:sz w:val="21"/>
          <w:szCs w:val="21"/>
          <w:highlight w:val="none"/>
        </w:rPr>
        <w:t>（项目编号：</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w:t>
      </w:r>
      <w:r>
        <w:rPr>
          <w:rFonts w:hint="eastAsia" w:ascii="宋体" w:hAnsi="宋体" w:cs="Times New Roman"/>
          <w:color w:val="auto"/>
          <w:sz w:val="21"/>
          <w:szCs w:val="21"/>
          <w:highlight w:val="none"/>
          <w:lang w:eastAsia="zh-CN"/>
        </w:rPr>
        <w:t>响应文件</w:t>
      </w:r>
      <w:r>
        <w:rPr>
          <w:rFonts w:hint="eastAsia" w:ascii="宋体" w:hAnsi="宋体" w:eastAsia="宋体" w:cs="Times New Roman"/>
          <w:color w:val="auto"/>
          <w:sz w:val="21"/>
          <w:szCs w:val="21"/>
          <w:highlight w:val="none"/>
        </w:rPr>
        <w:t>、签订合同和处理有关事宜，其法律后果由我方承担。</w:t>
      </w:r>
    </w:p>
    <w:p w14:paraId="158B8ACB">
      <w:pPr>
        <w:spacing w:after="0" w:line="360" w:lineRule="auto"/>
        <w:ind w:firstLine="315" w:firstLineChars="15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本授权书于</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年</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月</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日签字生效，特此声明。</w:t>
      </w:r>
    </w:p>
    <w:p w14:paraId="13DCA32B">
      <w:pPr>
        <w:pStyle w:val="35"/>
        <w:spacing w:line="500" w:lineRule="atLeast"/>
        <w:ind w:firstLine="3517" w:firstLineChars="1675"/>
        <w:rPr>
          <w:rFonts w:ascii="宋体" w:eastAsia="宋体"/>
          <w:color w:val="auto"/>
          <w:sz w:val="21"/>
          <w:szCs w:val="21"/>
          <w:highlight w:val="none"/>
        </w:rPr>
      </w:pPr>
    </w:p>
    <w:p w14:paraId="1F71CC20">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14:paraId="64D78F46">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14:paraId="60D1C231">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被授权人签字：</w:t>
      </w:r>
    </w:p>
    <w:p w14:paraId="419D76D9">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val="en-US" w:eastAsia="zh-CN"/>
        </w:rPr>
        <w:t>联系方式</w:t>
      </w:r>
      <w:r>
        <w:rPr>
          <w:rFonts w:hint="eastAsia"/>
          <w:color w:val="auto"/>
          <w:highlight w:val="none"/>
        </w:rPr>
        <w:t xml:space="preserve">： </w:t>
      </w:r>
    </w:p>
    <w:p w14:paraId="29265866">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 xml:space="preserve">邮箱：                          </w:t>
      </w:r>
    </w:p>
    <w:p w14:paraId="29C90329">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14:paraId="26E47DE1">
      <w:pPr>
        <w:pStyle w:val="35"/>
        <w:spacing w:line="460" w:lineRule="exact"/>
        <w:ind w:firstLine="433"/>
        <w:rPr>
          <w:rFonts w:ascii="宋体" w:eastAsia="宋体"/>
          <w:color w:val="auto"/>
          <w:sz w:val="21"/>
          <w:szCs w:val="21"/>
          <w:highlight w:val="none"/>
        </w:rPr>
      </w:pPr>
    </w:p>
    <w:p w14:paraId="7B988121">
      <w:pPr>
        <w:ind w:firstLine="420" w:firstLineChars="200"/>
        <w:rPr>
          <w:rFonts w:eastAsia="宋体"/>
          <w:color w:val="auto"/>
          <w:highlight w:val="none"/>
        </w:rPr>
      </w:pPr>
      <w:r>
        <w:rPr>
          <w:rFonts w:hint="eastAsia" w:ascii="宋体" w:hAnsi="宋体" w:eastAsia="宋体"/>
          <w:color w:val="auto"/>
          <w:sz w:val="21"/>
          <w:szCs w:val="21"/>
          <w:highlight w:val="none"/>
          <w:lang w:val="en-US" w:eastAsia="zh-CN"/>
        </w:rPr>
        <w:t>注：须附</w:t>
      </w:r>
      <w:r>
        <w:rPr>
          <w:rFonts w:hint="eastAsia" w:ascii="宋体" w:hAnsi="宋体" w:eastAsia="宋体"/>
          <w:color w:val="auto"/>
          <w:sz w:val="21"/>
          <w:szCs w:val="21"/>
          <w:highlight w:val="none"/>
        </w:rPr>
        <w:t>被授权人身份证复印件。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070DF540">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203BF446">
            <w:pPr>
              <w:adjustRightInd/>
              <w:snapToGrid/>
              <w:spacing w:line="276" w:lineRule="auto"/>
              <w:rPr>
                <w:rFonts w:ascii="宋体" w:eastAsia="宋体"/>
                <w:color w:val="auto"/>
                <w:sz w:val="22"/>
                <w:highlight w:val="none"/>
              </w:rPr>
            </w:pPr>
            <w:bookmarkStart w:id="303" w:name="_Toc22486"/>
            <w:r>
              <w:rPr>
                <w:rFonts w:hint="eastAsia" w:ascii="宋体" w:hAnsi="宋体" w:eastAsia="宋体"/>
                <w:color w:val="auto"/>
                <w:sz w:val="21"/>
                <w:szCs w:val="21"/>
                <w:highlight w:val="none"/>
              </w:rPr>
              <w:t>被授权人身份证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14:paraId="7AE31C3A">
      <w:pPr>
        <w:adjustRightInd/>
        <w:snapToGrid/>
        <w:spacing w:line="276" w:lineRule="auto"/>
        <w:rPr>
          <w:color w:val="auto"/>
          <w:highlight w:val="none"/>
        </w:rPr>
      </w:pPr>
    </w:p>
    <w:p w14:paraId="03AA6713">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p>
    <w:p w14:paraId="040FAC36">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r>
        <w:rPr>
          <w:rFonts w:hint="eastAsia" w:ascii="宋体" w:eastAsia="宋体"/>
          <w:color w:val="auto"/>
          <w:sz w:val="21"/>
          <w:szCs w:val="21"/>
          <w:highlight w:val="none"/>
        </w:rPr>
        <w:br w:type="page"/>
      </w:r>
    </w:p>
    <w:p w14:paraId="5A70B75C">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4" w:name="_Toc1197"/>
      <w:bookmarkStart w:id="305" w:name="_Toc24013"/>
      <w:r>
        <w:rPr>
          <w:rFonts w:hint="eastAsia"/>
          <w:color w:val="auto"/>
          <w:highlight w:val="none"/>
          <w:lang w:val="en-US" w:eastAsia="zh-CN"/>
        </w:rPr>
        <w:t>六、供应商基本情况说明</w:t>
      </w:r>
      <w:bookmarkEnd w:id="304"/>
      <w:bookmarkEnd w:id="305"/>
    </w:p>
    <w:p w14:paraId="04ADDB74">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基本情况</w:t>
      </w:r>
    </w:p>
    <w:p w14:paraId="1B4ACC3F">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名称：                                                                   </w:t>
      </w:r>
    </w:p>
    <w:p w14:paraId="31DBBE94">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14:paraId="17248692">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14:paraId="73E18099">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14:paraId="0DC68A42">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开户银行名称及账号：      </w:t>
      </w:r>
    </w:p>
    <w:p w14:paraId="2B628C3D">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14:paraId="11772C8E">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简介:</w:t>
      </w:r>
    </w:p>
    <w:p w14:paraId="40D52DF4">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14:paraId="1437E9F6">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14:paraId="54DDD971">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名称（加盖公章）：</w:t>
      </w:r>
    </w:p>
    <w:p w14:paraId="054C18CD">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14:paraId="406535DF">
      <w:pPr>
        <w:pStyle w:val="35"/>
        <w:spacing w:line="500" w:lineRule="atLeast"/>
        <w:ind w:firstLine="433"/>
        <w:rPr>
          <w:rFonts w:ascii="宋体" w:eastAsia="宋体"/>
          <w:color w:val="auto"/>
          <w:sz w:val="21"/>
          <w:szCs w:val="21"/>
          <w:highlight w:val="none"/>
        </w:rPr>
      </w:pPr>
    </w:p>
    <w:p w14:paraId="57D62287">
      <w:pPr>
        <w:pStyle w:val="35"/>
        <w:spacing w:line="500" w:lineRule="atLeast"/>
        <w:ind w:firstLine="433"/>
        <w:rPr>
          <w:rFonts w:ascii="宋体" w:eastAsia="宋体"/>
          <w:color w:val="auto"/>
          <w:sz w:val="21"/>
          <w:szCs w:val="21"/>
          <w:highlight w:val="none"/>
        </w:rPr>
      </w:pPr>
    </w:p>
    <w:p w14:paraId="7F725402">
      <w:pPr>
        <w:pStyle w:val="35"/>
        <w:spacing w:line="500" w:lineRule="atLeast"/>
        <w:ind w:firstLine="433"/>
        <w:rPr>
          <w:rFonts w:ascii="宋体" w:eastAsia="宋体"/>
          <w:color w:val="auto"/>
          <w:sz w:val="21"/>
          <w:szCs w:val="21"/>
          <w:highlight w:val="none"/>
        </w:rPr>
      </w:pPr>
    </w:p>
    <w:p w14:paraId="7F239649">
      <w:pPr>
        <w:pStyle w:val="35"/>
        <w:spacing w:line="500" w:lineRule="atLeast"/>
        <w:ind w:firstLine="433"/>
        <w:rPr>
          <w:rFonts w:ascii="宋体" w:eastAsia="宋体"/>
          <w:color w:val="auto"/>
          <w:sz w:val="21"/>
          <w:szCs w:val="21"/>
          <w:highlight w:val="none"/>
        </w:rPr>
      </w:pPr>
    </w:p>
    <w:p w14:paraId="23963A8F">
      <w:pPr>
        <w:pStyle w:val="35"/>
        <w:spacing w:line="500" w:lineRule="atLeast"/>
        <w:ind w:firstLine="433"/>
        <w:rPr>
          <w:rFonts w:ascii="宋体" w:eastAsia="宋体"/>
          <w:color w:val="auto"/>
          <w:sz w:val="21"/>
          <w:szCs w:val="21"/>
          <w:highlight w:val="none"/>
        </w:rPr>
      </w:pPr>
    </w:p>
    <w:p w14:paraId="565C4DB4">
      <w:pPr>
        <w:pStyle w:val="35"/>
        <w:spacing w:line="500" w:lineRule="atLeast"/>
        <w:ind w:firstLine="433"/>
        <w:rPr>
          <w:rFonts w:ascii="宋体" w:eastAsia="宋体"/>
          <w:color w:val="auto"/>
          <w:sz w:val="21"/>
          <w:szCs w:val="21"/>
          <w:highlight w:val="none"/>
        </w:rPr>
      </w:pPr>
    </w:p>
    <w:p w14:paraId="4FEE6CCD">
      <w:pPr>
        <w:pStyle w:val="35"/>
        <w:spacing w:line="500" w:lineRule="atLeast"/>
        <w:ind w:firstLine="433"/>
        <w:rPr>
          <w:rFonts w:ascii="宋体" w:eastAsia="宋体"/>
          <w:color w:val="auto"/>
          <w:sz w:val="21"/>
          <w:szCs w:val="21"/>
          <w:highlight w:val="none"/>
        </w:rPr>
      </w:pPr>
    </w:p>
    <w:p w14:paraId="7354E662">
      <w:pPr>
        <w:pStyle w:val="35"/>
        <w:spacing w:line="500" w:lineRule="atLeast"/>
        <w:ind w:firstLine="433"/>
        <w:rPr>
          <w:rFonts w:ascii="宋体" w:eastAsia="宋体"/>
          <w:color w:val="auto"/>
          <w:sz w:val="21"/>
          <w:szCs w:val="21"/>
          <w:highlight w:val="none"/>
        </w:rPr>
      </w:pPr>
    </w:p>
    <w:p w14:paraId="3D589D9B">
      <w:pPr>
        <w:pStyle w:val="35"/>
        <w:spacing w:line="500" w:lineRule="atLeast"/>
        <w:ind w:firstLine="433"/>
        <w:rPr>
          <w:rFonts w:ascii="宋体" w:eastAsia="宋体"/>
          <w:color w:val="auto"/>
          <w:sz w:val="21"/>
          <w:szCs w:val="21"/>
          <w:highlight w:val="none"/>
        </w:rPr>
      </w:pPr>
    </w:p>
    <w:p w14:paraId="4640B0B9">
      <w:pPr>
        <w:pStyle w:val="35"/>
        <w:spacing w:line="500" w:lineRule="atLeast"/>
        <w:ind w:firstLine="433"/>
        <w:rPr>
          <w:rFonts w:ascii="宋体" w:eastAsia="宋体"/>
          <w:color w:val="auto"/>
          <w:sz w:val="21"/>
          <w:szCs w:val="21"/>
          <w:highlight w:val="none"/>
        </w:rPr>
      </w:pPr>
    </w:p>
    <w:p w14:paraId="4030A5A5">
      <w:pPr>
        <w:pStyle w:val="35"/>
        <w:spacing w:line="500" w:lineRule="atLeast"/>
        <w:ind w:firstLine="433"/>
        <w:rPr>
          <w:rFonts w:ascii="宋体" w:eastAsia="宋体"/>
          <w:color w:val="auto"/>
          <w:sz w:val="21"/>
          <w:szCs w:val="21"/>
          <w:highlight w:val="none"/>
        </w:rPr>
      </w:pPr>
    </w:p>
    <w:p w14:paraId="63AAB2AC">
      <w:pPr>
        <w:pStyle w:val="35"/>
        <w:spacing w:line="500" w:lineRule="atLeast"/>
        <w:ind w:firstLine="433"/>
        <w:rPr>
          <w:rFonts w:ascii="宋体" w:eastAsia="宋体"/>
          <w:color w:val="auto"/>
          <w:sz w:val="21"/>
          <w:szCs w:val="21"/>
          <w:highlight w:val="none"/>
        </w:rPr>
      </w:pPr>
    </w:p>
    <w:p w14:paraId="2D3A5861">
      <w:pPr>
        <w:pStyle w:val="35"/>
        <w:spacing w:line="500" w:lineRule="atLeast"/>
        <w:ind w:firstLine="433"/>
        <w:rPr>
          <w:rFonts w:ascii="宋体" w:eastAsia="宋体"/>
          <w:color w:val="auto"/>
          <w:sz w:val="21"/>
          <w:szCs w:val="21"/>
          <w:highlight w:val="none"/>
        </w:rPr>
      </w:pPr>
    </w:p>
    <w:p w14:paraId="2374F106">
      <w:pPr>
        <w:pStyle w:val="35"/>
        <w:spacing w:line="500" w:lineRule="atLeast"/>
        <w:ind w:firstLine="433"/>
        <w:rPr>
          <w:rFonts w:ascii="宋体" w:eastAsia="宋体"/>
          <w:color w:val="auto"/>
          <w:sz w:val="21"/>
          <w:szCs w:val="21"/>
          <w:highlight w:val="none"/>
        </w:rPr>
      </w:pPr>
    </w:p>
    <w:p w14:paraId="7CB9B066">
      <w:pPr>
        <w:pStyle w:val="35"/>
        <w:spacing w:line="500" w:lineRule="atLeast"/>
        <w:ind w:firstLine="433"/>
        <w:rPr>
          <w:rFonts w:ascii="宋体" w:eastAsia="宋体"/>
          <w:color w:val="auto"/>
          <w:sz w:val="21"/>
          <w:szCs w:val="21"/>
          <w:highlight w:val="none"/>
        </w:rPr>
      </w:pPr>
    </w:p>
    <w:p w14:paraId="6168DC6B">
      <w:pPr>
        <w:pStyle w:val="4"/>
        <w:keepNext/>
        <w:keepLines/>
        <w:pageBreakBefore w:val="0"/>
        <w:widowControl/>
        <w:kinsoku/>
        <w:wordWrap/>
        <w:overflowPunct/>
        <w:topLinePunct w:val="0"/>
        <w:autoSpaceDE/>
        <w:autoSpaceDN/>
        <w:bidi w:val="0"/>
        <w:adjustRightInd w:val="0"/>
        <w:snapToGrid w:val="0"/>
        <w:spacing w:after="0"/>
        <w:jc w:val="center"/>
        <w:textAlignment w:val="auto"/>
        <w:rPr>
          <w:color w:val="auto"/>
          <w:highlight w:val="none"/>
        </w:rPr>
      </w:pPr>
      <w:bookmarkStart w:id="306" w:name="_Toc17470"/>
      <w:bookmarkStart w:id="307" w:name="_Toc5919"/>
      <w:bookmarkStart w:id="308" w:name="_Toc11992"/>
      <w:bookmarkStart w:id="309" w:name="_Toc29995"/>
      <w:bookmarkStart w:id="310" w:name="_Toc24210"/>
      <w:bookmarkStart w:id="311" w:name="_Toc1511"/>
      <w:bookmarkStart w:id="312" w:name="_Toc4926"/>
      <w:r>
        <w:rPr>
          <w:rFonts w:hint="eastAsia"/>
          <w:color w:val="auto"/>
          <w:highlight w:val="none"/>
          <w:lang w:val="en-US" w:eastAsia="zh-CN"/>
        </w:rPr>
        <w:t>七、</w:t>
      </w:r>
      <w:r>
        <w:rPr>
          <w:rFonts w:hint="eastAsia"/>
          <w:color w:val="auto"/>
          <w:highlight w:val="none"/>
        </w:rPr>
        <w:t>营业执照</w:t>
      </w:r>
      <w:bookmarkEnd w:id="306"/>
      <w:bookmarkEnd w:id="307"/>
      <w:bookmarkEnd w:id="308"/>
      <w:bookmarkEnd w:id="309"/>
      <w:bookmarkEnd w:id="310"/>
      <w:bookmarkEnd w:id="311"/>
      <w:bookmarkEnd w:id="312"/>
    </w:p>
    <w:p w14:paraId="6D2E1D1F">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rPr>
      </w:pPr>
      <w:r>
        <w:rPr>
          <w:rFonts w:hint="eastAsia"/>
          <w:color w:val="auto"/>
          <w:highlight w:val="none"/>
        </w:rPr>
        <w:t>（或者事业单位法人证书、或者社会团体登记证书、或者民办非企业登记证书、或者其他组织核准执业证件）</w:t>
      </w:r>
    </w:p>
    <w:p w14:paraId="1D04D2A0">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供应商应提供相关证明复印件盖公章。</w:t>
      </w:r>
    </w:p>
    <w:p w14:paraId="51A77832">
      <w:pPr>
        <w:jc w:val="center"/>
        <w:rPr>
          <w:color w:val="auto"/>
          <w:highlight w:val="none"/>
        </w:rPr>
      </w:pPr>
      <w:r>
        <w:rPr>
          <w:rFonts w:hint="eastAsia" w:ascii="黑体" w:eastAsia="黑体"/>
          <w:color w:val="auto"/>
          <w:sz w:val="28"/>
          <w:szCs w:val="28"/>
          <w:highlight w:val="none"/>
        </w:rPr>
        <w:br w:type="page"/>
      </w:r>
    </w:p>
    <w:bookmarkEnd w:id="303"/>
    <w:p w14:paraId="5C72ABC5">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3" w:name="_Toc29439"/>
      <w:bookmarkStart w:id="314" w:name="_Toc12706"/>
      <w:r>
        <w:rPr>
          <w:rFonts w:hint="eastAsia"/>
          <w:color w:val="auto"/>
          <w:highlight w:val="none"/>
          <w:lang w:val="en-US" w:eastAsia="zh-CN"/>
        </w:rPr>
        <w:t>八、</w:t>
      </w:r>
      <w:r>
        <w:rPr>
          <w:rFonts w:hint="eastAsia"/>
          <w:color w:val="auto"/>
          <w:highlight w:val="none"/>
        </w:rPr>
        <w:t>特殊资格要求证明文件</w:t>
      </w:r>
      <w:bookmarkEnd w:id="313"/>
      <w:bookmarkEnd w:id="314"/>
    </w:p>
    <w:p w14:paraId="670248AA">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若采购项目对供应商资格无特殊要求，可删除本格式。</w:t>
      </w:r>
    </w:p>
    <w:p w14:paraId="396DF55D">
      <w:pPr>
        <w:pStyle w:val="7"/>
        <w:rPr>
          <w:rFonts w:hint="eastAsia" w:ascii="宋体" w:hAnsi="宋体" w:eastAsia="宋体" w:cs="宋体"/>
          <w:color w:val="auto"/>
          <w:sz w:val="21"/>
          <w:szCs w:val="21"/>
          <w:highlight w:val="none"/>
        </w:rPr>
      </w:pPr>
    </w:p>
    <w:p w14:paraId="4A4BE777">
      <w:pPr>
        <w:rPr>
          <w:rFonts w:hint="eastAsia" w:ascii="宋体" w:hAnsi="宋体" w:eastAsia="宋体" w:cs="宋体"/>
          <w:color w:val="auto"/>
          <w:sz w:val="21"/>
          <w:szCs w:val="21"/>
          <w:highlight w:val="none"/>
        </w:rPr>
      </w:pPr>
    </w:p>
    <w:p w14:paraId="1B23EDE5">
      <w:pPr>
        <w:pStyle w:val="7"/>
        <w:rPr>
          <w:rFonts w:hint="eastAsia" w:ascii="宋体" w:hAnsi="宋体" w:eastAsia="宋体" w:cs="宋体"/>
          <w:color w:val="auto"/>
          <w:sz w:val="21"/>
          <w:szCs w:val="21"/>
          <w:highlight w:val="none"/>
        </w:rPr>
      </w:pPr>
    </w:p>
    <w:p w14:paraId="5597F123">
      <w:pPr>
        <w:rPr>
          <w:rFonts w:hint="eastAsia" w:ascii="宋体" w:hAnsi="宋体" w:eastAsia="宋体" w:cs="宋体"/>
          <w:color w:val="auto"/>
          <w:sz w:val="21"/>
          <w:szCs w:val="21"/>
          <w:highlight w:val="none"/>
        </w:rPr>
      </w:pPr>
    </w:p>
    <w:p w14:paraId="217CDFA3">
      <w:pPr>
        <w:pStyle w:val="7"/>
        <w:rPr>
          <w:rFonts w:hint="eastAsia" w:ascii="宋体" w:hAnsi="宋体" w:eastAsia="宋体" w:cs="宋体"/>
          <w:color w:val="auto"/>
          <w:sz w:val="21"/>
          <w:szCs w:val="21"/>
          <w:highlight w:val="none"/>
        </w:rPr>
      </w:pPr>
    </w:p>
    <w:p w14:paraId="21D9A306">
      <w:pPr>
        <w:rPr>
          <w:rFonts w:hint="eastAsia" w:ascii="宋体" w:hAnsi="宋体" w:eastAsia="宋体" w:cs="宋体"/>
          <w:color w:val="auto"/>
          <w:sz w:val="21"/>
          <w:szCs w:val="21"/>
          <w:highlight w:val="none"/>
        </w:rPr>
      </w:pPr>
    </w:p>
    <w:p w14:paraId="0F0C4390">
      <w:pPr>
        <w:pStyle w:val="7"/>
        <w:rPr>
          <w:rFonts w:hint="eastAsia" w:ascii="宋体" w:hAnsi="宋体" w:eastAsia="宋体" w:cs="宋体"/>
          <w:color w:val="auto"/>
          <w:sz w:val="21"/>
          <w:szCs w:val="21"/>
          <w:highlight w:val="none"/>
        </w:rPr>
      </w:pPr>
    </w:p>
    <w:p w14:paraId="094235BB">
      <w:pPr>
        <w:rPr>
          <w:rFonts w:hint="eastAsia" w:ascii="宋体" w:hAnsi="宋体" w:eastAsia="宋体" w:cs="宋体"/>
          <w:color w:val="auto"/>
          <w:sz w:val="21"/>
          <w:szCs w:val="21"/>
          <w:highlight w:val="none"/>
        </w:rPr>
      </w:pPr>
    </w:p>
    <w:p w14:paraId="13BA82F9">
      <w:pPr>
        <w:pStyle w:val="7"/>
        <w:rPr>
          <w:rFonts w:hint="eastAsia" w:ascii="宋体" w:hAnsi="宋体" w:eastAsia="宋体" w:cs="宋体"/>
          <w:color w:val="auto"/>
          <w:sz w:val="21"/>
          <w:szCs w:val="21"/>
          <w:highlight w:val="none"/>
        </w:rPr>
      </w:pPr>
    </w:p>
    <w:p w14:paraId="2466375F">
      <w:pPr>
        <w:rPr>
          <w:rFonts w:hint="eastAsia" w:ascii="宋体" w:hAnsi="宋体" w:eastAsia="宋体" w:cs="宋体"/>
          <w:color w:val="auto"/>
          <w:sz w:val="21"/>
          <w:szCs w:val="21"/>
          <w:highlight w:val="none"/>
        </w:rPr>
      </w:pPr>
    </w:p>
    <w:p w14:paraId="0C361664">
      <w:pPr>
        <w:pStyle w:val="7"/>
        <w:rPr>
          <w:rFonts w:hint="eastAsia" w:ascii="宋体" w:hAnsi="宋体" w:eastAsia="宋体" w:cs="宋体"/>
          <w:color w:val="auto"/>
          <w:sz w:val="21"/>
          <w:szCs w:val="21"/>
          <w:highlight w:val="none"/>
        </w:rPr>
      </w:pPr>
    </w:p>
    <w:p w14:paraId="4B1399AB">
      <w:pPr>
        <w:rPr>
          <w:rFonts w:hint="eastAsia" w:ascii="宋体" w:hAnsi="宋体" w:eastAsia="宋体" w:cs="宋体"/>
          <w:color w:val="auto"/>
          <w:sz w:val="21"/>
          <w:szCs w:val="21"/>
          <w:highlight w:val="none"/>
        </w:rPr>
      </w:pPr>
    </w:p>
    <w:p w14:paraId="181B154F">
      <w:pPr>
        <w:pStyle w:val="7"/>
        <w:rPr>
          <w:rFonts w:hint="eastAsia" w:ascii="宋体" w:hAnsi="宋体" w:eastAsia="宋体" w:cs="宋体"/>
          <w:color w:val="auto"/>
          <w:sz w:val="21"/>
          <w:szCs w:val="21"/>
          <w:highlight w:val="none"/>
        </w:rPr>
      </w:pPr>
    </w:p>
    <w:p w14:paraId="23738F29">
      <w:pPr>
        <w:rPr>
          <w:rFonts w:hint="eastAsia" w:ascii="宋体" w:hAnsi="宋体" w:eastAsia="宋体" w:cs="宋体"/>
          <w:color w:val="auto"/>
          <w:sz w:val="21"/>
          <w:szCs w:val="21"/>
          <w:highlight w:val="none"/>
        </w:rPr>
      </w:pPr>
    </w:p>
    <w:p w14:paraId="6674BEFC">
      <w:pPr>
        <w:pStyle w:val="7"/>
        <w:rPr>
          <w:rFonts w:hint="eastAsia" w:ascii="宋体" w:hAnsi="宋体" w:eastAsia="宋体" w:cs="宋体"/>
          <w:color w:val="auto"/>
          <w:sz w:val="21"/>
          <w:szCs w:val="21"/>
          <w:highlight w:val="none"/>
        </w:rPr>
      </w:pPr>
    </w:p>
    <w:p w14:paraId="713AFFE3">
      <w:pPr>
        <w:rPr>
          <w:rFonts w:hint="eastAsia" w:ascii="宋体" w:hAnsi="宋体" w:eastAsia="宋体" w:cs="宋体"/>
          <w:color w:val="auto"/>
          <w:sz w:val="21"/>
          <w:szCs w:val="21"/>
          <w:highlight w:val="none"/>
        </w:rPr>
      </w:pPr>
    </w:p>
    <w:p w14:paraId="48C0EF0D">
      <w:pPr>
        <w:pStyle w:val="7"/>
        <w:rPr>
          <w:rFonts w:hint="eastAsia" w:ascii="宋体" w:hAnsi="宋体" w:eastAsia="宋体" w:cs="宋体"/>
          <w:color w:val="auto"/>
          <w:sz w:val="21"/>
          <w:szCs w:val="21"/>
          <w:highlight w:val="none"/>
        </w:rPr>
      </w:pPr>
    </w:p>
    <w:p w14:paraId="2CDD90D4">
      <w:pPr>
        <w:rPr>
          <w:rFonts w:hint="eastAsia" w:ascii="宋体" w:hAnsi="宋体" w:eastAsia="宋体" w:cs="宋体"/>
          <w:color w:val="auto"/>
          <w:sz w:val="21"/>
          <w:szCs w:val="21"/>
          <w:highlight w:val="none"/>
        </w:rPr>
      </w:pPr>
    </w:p>
    <w:p w14:paraId="2781919A">
      <w:pPr>
        <w:pStyle w:val="7"/>
        <w:rPr>
          <w:rFonts w:hint="eastAsia" w:ascii="宋体" w:hAnsi="宋体" w:eastAsia="宋体" w:cs="宋体"/>
          <w:color w:val="auto"/>
          <w:sz w:val="21"/>
          <w:szCs w:val="21"/>
          <w:highlight w:val="none"/>
        </w:rPr>
      </w:pPr>
    </w:p>
    <w:p w14:paraId="66FA79B8">
      <w:pPr>
        <w:rPr>
          <w:rFonts w:hint="eastAsia" w:ascii="宋体" w:hAnsi="宋体" w:eastAsia="宋体" w:cs="宋体"/>
          <w:color w:val="auto"/>
          <w:sz w:val="21"/>
          <w:szCs w:val="21"/>
          <w:highlight w:val="none"/>
        </w:rPr>
      </w:pPr>
    </w:p>
    <w:p w14:paraId="529192B0">
      <w:pPr>
        <w:pStyle w:val="7"/>
        <w:rPr>
          <w:rFonts w:hint="eastAsia" w:ascii="宋体" w:hAnsi="宋体" w:eastAsia="宋体" w:cs="宋体"/>
          <w:color w:val="auto"/>
          <w:sz w:val="21"/>
          <w:szCs w:val="21"/>
          <w:highlight w:val="none"/>
        </w:rPr>
      </w:pPr>
    </w:p>
    <w:p w14:paraId="1F27920A">
      <w:pPr>
        <w:rPr>
          <w:rFonts w:hint="eastAsia" w:ascii="宋体" w:hAnsi="宋体" w:eastAsia="宋体" w:cs="宋体"/>
          <w:color w:val="auto"/>
          <w:sz w:val="21"/>
          <w:szCs w:val="21"/>
          <w:highlight w:val="none"/>
        </w:rPr>
      </w:pPr>
    </w:p>
    <w:p w14:paraId="3CEE3231">
      <w:pPr>
        <w:pStyle w:val="7"/>
        <w:rPr>
          <w:rFonts w:hint="eastAsia" w:ascii="宋体" w:hAnsi="宋体" w:eastAsia="宋体" w:cs="宋体"/>
          <w:color w:val="auto"/>
          <w:sz w:val="21"/>
          <w:szCs w:val="21"/>
          <w:highlight w:val="none"/>
        </w:rPr>
      </w:pPr>
    </w:p>
    <w:p w14:paraId="52109736">
      <w:pPr>
        <w:rPr>
          <w:rFonts w:hint="eastAsia" w:ascii="宋体" w:hAnsi="宋体" w:eastAsia="宋体" w:cs="宋体"/>
          <w:color w:val="auto"/>
          <w:sz w:val="21"/>
          <w:szCs w:val="21"/>
          <w:highlight w:val="none"/>
        </w:rPr>
      </w:pPr>
    </w:p>
    <w:p w14:paraId="7BC6A180">
      <w:pPr>
        <w:pStyle w:val="7"/>
        <w:rPr>
          <w:rFonts w:hint="eastAsia"/>
          <w:color w:val="auto"/>
          <w:highlight w:val="none"/>
        </w:rPr>
      </w:pPr>
    </w:p>
    <w:p w14:paraId="480D1BC3">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5" w:name="_Toc23341"/>
      <w:bookmarkStart w:id="316" w:name="_Toc14482"/>
      <w:r>
        <w:rPr>
          <w:rFonts w:hint="eastAsia"/>
          <w:color w:val="auto"/>
          <w:highlight w:val="none"/>
          <w:lang w:val="en-US" w:eastAsia="zh-CN"/>
        </w:rPr>
        <w:t>九、</w:t>
      </w:r>
      <w:r>
        <w:rPr>
          <w:rFonts w:hint="eastAsia"/>
          <w:color w:val="auto"/>
          <w:highlight w:val="none"/>
        </w:rPr>
        <w:t>承诺书</w:t>
      </w:r>
      <w:bookmarkEnd w:id="315"/>
      <w:bookmarkEnd w:id="316"/>
    </w:p>
    <w:p w14:paraId="1F6ADD16">
      <w:pPr>
        <w:pStyle w:val="35"/>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14:paraId="71E5055E">
      <w:pPr>
        <w:jc w:val="center"/>
        <w:rPr>
          <w:rFonts w:hint="eastAsia" w:ascii="宋体" w:hAnsi="宋体" w:eastAsia="宋体" w:cs="宋体"/>
          <w:b w:val="0"/>
          <w:bCs w:val="0"/>
          <w:color w:val="auto"/>
          <w:sz w:val="21"/>
          <w:szCs w:val="21"/>
          <w:highlight w:val="none"/>
        </w:rPr>
      </w:pPr>
    </w:p>
    <w:p w14:paraId="799CC20A">
      <w:pPr>
        <w:pStyle w:val="35"/>
        <w:spacing w:line="420" w:lineRule="exact"/>
        <w:ind w:firstLine="455"/>
        <w:rPr>
          <w:rFonts w:hint="eastAsia" w:ascii="宋体" w:hAnsi="宋体" w:eastAsia="宋体" w:cs="宋体"/>
          <w:b w:val="0"/>
          <w:bCs w:val="0"/>
          <w:color w:val="auto"/>
          <w:sz w:val="21"/>
          <w:szCs w:val="21"/>
          <w:highlight w:val="none"/>
        </w:rPr>
      </w:pPr>
      <w:bookmarkStart w:id="317"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（项目名称）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r>
        <w:rPr>
          <w:rFonts w:hint="eastAsia" w:ascii="宋体" w:eastAsia="宋体" w:cs="宋体"/>
          <w:b w:val="0"/>
          <w:bCs w:val="0"/>
          <w:color w:val="auto"/>
          <w:sz w:val="21"/>
          <w:szCs w:val="21"/>
          <w:highlight w:val="none"/>
          <w:lang w:eastAsia="zh-CN"/>
        </w:rPr>
        <w:t>磋商文件</w:t>
      </w:r>
      <w:r>
        <w:rPr>
          <w:rFonts w:hint="eastAsia" w:ascii="宋体" w:hAnsi="宋体" w:eastAsia="宋体" w:cs="宋体"/>
          <w:b w:val="0"/>
          <w:bCs w:val="0"/>
          <w:color w:val="auto"/>
          <w:sz w:val="21"/>
          <w:szCs w:val="21"/>
          <w:highlight w:val="none"/>
        </w:rPr>
        <w:t>的所有内容（包括澄清，以及所有已提供的参考资料和有关附件），并完全理解上述文件所表达的意思，该项目递交</w:t>
      </w:r>
      <w:r>
        <w:rPr>
          <w:rFonts w:hint="eastAsia" w:ascii="宋体" w:eastAsia="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时间截止后，我方承诺不再对上述文件内容进行询问或质疑。</w:t>
      </w:r>
      <w:bookmarkEnd w:id="317"/>
      <w:r>
        <w:rPr>
          <w:rFonts w:hint="eastAsia" w:ascii="宋体" w:hAnsi="宋体" w:eastAsia="宋体" w:cs="宋体"/>
          <w:b w:val="0"/>
          <w:bCs w:val="0"/>
          <w:color w:val="auto"/>
          <w:sz w:val="21"/>
          <w:szCs w:val="21"/>
          <w:highlight w:val="none"/>
        </w:rPr>
        <w:cr/>
      </w:r>
    </w:p>
    <w:p w14:paraId="2463EA23">
      <w:pPr>
        <w:pStyle w:val="35"/>
        <w:spacing w:line="420" w:lineRule="exact"/>
        <w:ind w:firstLine="455"/>
        <w:rPr>
          <w:rFonts w:hint="eastAsia" w:ascii="宋体" w:hAnsi="宋体" w:eastAsia="宋体" w:cs="宋体"/>
          <w:b w:val="0"/>
          <w:bCs w:val="0"/>
          <w:color w:val="auto"/>
          <w:sz w:val="21"/>
          <w:szCs w:val="21"/>
          <w:highlight w:val="none"/>
        </w:rPr>
      </w:pPr>
    </w:p>
    <w:p w14:paraId="3ACA6540">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14:paraId="493B0E7B">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14:paraId="2D88BC01">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14:paraId="14589EF0">
      <w:pPr>
        <w:pStyle w:val="7"/>
        <w:rPr>
          <w:rFonts w:hint="eastAsia" w:ascii="宋体" w:hAnsi="宋体" w:eastAsia="宋体" w:cs="宋体"/>
          <w:b w:val="0"/>
          <w:bCs w:val="0"/>
          <w:color w:val="auto"/>
          <w:sz w:val="21"/>
          <w:szCs w:val="21"/>
          <w:highlight w:val="none"/>
        </w:rPr>
      </w:pPr>
    </w:p>
    <w:p w14:paraId="555EFA47">
      <w:pPr>
        <w:rPr>
          <w:rFonts w:hint="eastAsia" w:ascii="宋体" w:hAnsi="宋体" w:eastAsia="宋体" w:cs="宋体"/>
          <w:b w:val="0"/>
          <w:bCs w:val="0"/>
          <w:color w:val="auto"/>
          <w:sz w:val="21"/>
          <w:szCs w:val="21"/>
          <w:highlight w:val="none"/>
        </w:rPr>
      </w:pPr>
    </w:p>
    <w:p w14:paraId="782B15E1">
      <w:pPr>
        <w:pStyle w:val="7"/>
        <w:rPr>
          <w:rFonts w:hint="eastAsia" w:ascii="宋体" w:hAnsi="宋体" w:eastAsia="宋体" w:cs="宋体"/>
          <w:b w:val="0"/>
          <w:bCs w:val="0"/>
          <w:color w:val="auto"/>
          <w:sz w:val="21"/>
          <w:szCs w:val="21"/>
          <w:highlight w:val="none"/>
        </w:rPr>
      </w:pPr>
    </w:p>
    <w:p w14:paraId="4CA98A5C">
      <w:pPr>
        <w:rPr>
          <w:rFonts w:hint="eastAsia" w:ascii="宋体" w:hAnsi="宋体" w:eastAsia="宋体" w:cs="宋体"/>
          <w:b w:val="0"/>
          <w:bCs w:val="0"/>
          <w:color w:val="auto"/>
          <w:sz w:val="21"/>
          <w:szCs w:val="21"/>
          <w:highlight w:val="none"/>
        </w:rPr>
      </w:pPr>
    </w:p>
    <w:p w14:paraId="6E320B83">
      <w:pPr>
        <w:pStyle w:val="7"/>
        <w:rPr>
          <w:rFonts w:hint="eastAsia" w:ascii="宋体" w:hAnsi="宋体" w:eastAsia="宋体" w:cs="宋体"/>
          <w:b w:val="0"/>
          <w:bCs w:val="0"/>
          <w:color w:val="auto"/>
          <w:sz w:val="21"/>
          <w:szCs w:val="21"/>
          <w:highlight w:val="none"/>
        </w:rPr>
      </w:pPr>
    </w:p>
    <w:p w14:paraId="18D038B5">
      <w:pPr>
        <w:rPr>
          <w:rFonts w:hint="eastAsia" w:ascii="宋体" w:hAnsi="宋体" w:eastAsia="宋体" w:cs="宋体"/>
          <w:b w:val="0"/>
          <w:bCs w:val="0"/>
          <w:color w:val="auto"/>
          <w:sz w:val="21"/>
          <w:szCs w:val="21"/>
          <w:highlight w:val="none"/>
        </w:rPr>
      </w:pPr>
    </w:p>
    <w:p w14:paraId="7EA0D49C">
      <w:pPr>
        <w:pStyle w:val="7"/>
        <w:rPr>
          <w:rFonts w:hint="eastAsia" w:ascii="宋体" w:hAnsi="宋体" w:eastAsia="宋体" w:cs="宋体"/>
          <w:b w:val="0"/>
          <w:bCs w:val="0"/>
          <w:color w:val="auto"/>
          <w:sz w:val="21"/>
          <w:szCs w:val="21"/>
          <w:highlight w:val="none"/>
        </w:rPr>
      </w:pPr>
    </w:p>
    <w:p w14:paraId="7E352282">
      <w:pPr>
        <w:rPr>
          <w:rFonts w:hint="eastAsia" w:ascii="宋体" w:hAnsi="宋体" w:eastAsia="宋体" w:cs="宋体"/>
          <w:b w:val="0"/>
          <w:bCs w:val="0"/>
          <w:color w:val="auto"/>
          <w:sz w:val="21"/>
          <w:szCs w:val="21"/>
          <w:highlight w:val="none"/>
        </w:rPr>
      </w:pPr>
    </w:p>
    <w:p w14:paraId="7705452D">
      <w:pPr>
        <w:pStyle w:val="7"/>
        <w:rPr>
          <w:rFonts w:hint="eastAsia" w:ascii="宋体" w:hAnsi="宋体" w:eastAsia="宋体" w:cs="宋体"/>
          <w:b w:val="0"/>
          <w:bCs w:val="0"/>
          <w:color w:val="auto"/>
          <w:sz w:val="21"/>
          <w:szCs w:val="21"/>
          <w:highlight w:val="none"/>
        </w:rPr>
      </w:pPr>
    </w:p>
    <w:p w14:paraId="41652817">
      <w:pPr>
        <w:rPr>
          <w:rFonts w:hint="eastAsia" w:ascii="宋体" w:hAnsi="宋体" w:eastAsia="宋体" w:cs="宋体"/>
          <w:b w:val="0"/>
          <w:bCs w:val="0"/>
          <w:color w:val="auto"/>
          <w:sz w:val="21"/>
          <w:szCs w:val="21"/>
          <w:highlight w:val="none"/>
        </w:rPr>
      </w:pPr>
    </w:p>
    <w:p w14:paraId="4DF5A6BD">
      <w:pPr>
        <w:pStyle w:val="7"/>
        <w:rPr>
          <w:rFonts w:hint="eastAsia" w:ascii="宋体" w:hAnsi="宋体" w:eastAsia="宋体" w:cs="宋体"/>
          <w:b w:val="0"/>
          <w:bCs w:val="0"/>
          <w:color w:val="auto"/>
          <w:sz w:val="21"/>
          <w:szCs w:val="21"/>
          <w:highlight w:val="none"/>
        </w:rPr>
      </w:pPr>
    </w:p>
    <w:p w14:paraId="657739D8">
      <w:pPr>
        <w:rPr>
          <w:rFonts w:hint="eastAsia" w:ascii="宋体" w:hAnsi="宋体" w:eastAsia="宋体" w:cs="宋体"/>
          <w:b w:val="0"/>
          <w:bCs w:val="0"/>
          <w:color w:val="auto"/>
          <w:sz w:val="21"/>
          <w:szCs w:val="21"/>
          <w:highlight w:val="none"/>
        </w:rPr>
      </w:pPr>
    </w:p>
    <w:p w14:paraId="0390C2E6">
      <w:pPr>
        <w:pStyle w:val="7"/>
        <w:rPr>
          <w:rFonts w:hint="eastAsia" w:ascii="宋体" w:hAnsi="宋体" w:eastAsia="宋体" w:cs="宋体"/>
          <w:b w:val="0"/>
          <w:bCs w:val="0"/>
          <w:color w:val="auto"/>
          <w:sz w:val="21"/>
          <w:szCs w:val="21"/>
          <w:highlight w:val="none"/>
        </w:rPr>
      </w:pPr>
    </w:p>
    <w:p w14:paraId="690ABAFF">
      <w:pPr>
        <w:rPr>
          <w:rFonts w:hint="eastAsia" w:ascii="宋体" w:hAnsi="宋体" w:eastAsia="宋体" w:cs="宋体"/>
          <w:b w:val="0"/>
          <w:bCs w:val="0"/>
          <w:color w:val="auto"/>
          <w:sz w:val="21"/>
          <w:szCs w:val="21"/>
          <w:highlight w:val="none"/>
        </w:rPr>
      </w:pPr>
    </w:p>
    <w:p w14:paraId="7C6ED6F8">
      <w:pPr>
        <w:pStyle w:val="7"/>
        <w:rPr>
          <w:rFonts w:hint="eastAsia" w:ascii="宋体" w:hAnsi="宋体" w:eastAsia="宋体" w:cs="宋体"/>
          <w:b w:val="0"/>
          <w:bCs w:val="0"/>
          <w:color w:val="auto"/>
          <w:sz w:val="21"/>
          <w:szCs w:val="21"/>
          <w:highlight w:val="none"/>
        </w:rPr>
      </w:pPr>
    </w:p>
    <w:p w14:paraId="652F43BE">
      <w:pPr>
        <w:rPr>
          <w:rFonts w:hint="eastAsia" w:ascii="宋体" w:hAnsi="宋体" w:eastAsia="宋体" w:cs="宋体"/>
          <w:b w:val="0"/>
          <w:bCs w:val="0"/>
          <w:color w:val="auto"/>
          <w:sz w:val="21"/>
          <w:szCs w:val="21"/>
          <w:highlight w:val="none"/>
        </w:rPr>
      </w:pPr>
    </w:p>
    <w:p w14:paraId="030EF85B">
      <w:pPr>
        <w:rPr>
          <w:rFonts w:hint="eastAsia"/>
          <w:color w:val="auto"/>
          <w:highlight w:val="none"/>
        </w:rPr>
      </w:pPr>
    </w:p>
    <w:p w14:paraId="76052E69">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8" w:name="_Toc31815"/>
      <w:bookmarkStart w:id="319" w:name="_Toc13653"/>
      <w:r>
        <w:rPr>
          <w:rFonts w:hint="eastAsia"/>
          <w:color w:val="auto"/>
          <w:highlight w:val="none"/>
          <w:lang w:val="en-US" w:eastAsia="zh-CN"/>
        </w:rPr>
        <w:t>十、招标代理服务费承诺书</w:t>
      </w:r>
      <w:bookmarkEnd w:id="318"/>
      <w:bookmarkEnd w:id="319"/>
    </w:p>
    <w:p w14:paraId="0C27AAE5">
      <w:pPr>
        <w:pStyle w:val="35"/>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14:paraId="0DC6C80A">
      <w:pPr>
        <w:pStyle w:val="9"/>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我公司</w:t>
      </w:r>
      <w:r>
        <w:rPr>
          <w:rFonts w:hint="eastAsia" w:ascii="宋体" w:hAnsi="宋体" w:eastAsia="宋体" w:cs="宋体"/>
          <w:b w:val="0"/>
          <w:bCs w:val="0"/>
          <w:color w:val="auto"/>
          <w:sz w:val="21"/>
          <w:szCs w:val="21"/>
          <w:highlight w:val="none"/>
          <w:u w:val="single"/>
        </w:rPr>
        <w:t xml:space="preserve">   （</w:t>
      </w:r>
      <w:r>
        <w:rPr>
          <w:rFonts w:hint="eastAsia" w:hAnsi="宋体" w:cs="宋体"/>
          <w:b w:val="0"/>
          <w:bCs w:val="0"/>
          <w:color w:val="auto"/>
          <w:sz w:val="21"/>
          <w:szCs w:val="21"/>
          <w:highlight w:val="none"/>
          <w:u w:val="single"/>
          <w:lang w:eastAsia="zh-CN"/>
        </w:rPr>
        <w:t>供应商</w:t>
      </w:r>
      <w:r>
        <w:rPr>
          <w:rFonts w:hint="eastAsia" w:ascii="宋体" w:hAnsi="宋体" w:eastAsia="宋体" w:cs="宋体"/>
          <w:b w:val="0"/>
          <w:bCs w:val="0"/>
          <w:color w:val="auto"/>
          <w:sz w:val="21"/>
          <w:szCs w:val="21"/>
          <w:highlight w:val="none"/>
          <w:u w:val="single"/>
        </w:rPr>
        <w:t xml:space="preserve">名称）   </w:t>
      </w:r>
      <w:r>
        <w:rPr>
          <w:rFonts w:hint="eastAsia" w:ascii="宋体" w:hAnsi="宋体" w:eastAsia="宋体" w:cs="宋体"/>
          <w:b w:val="0"/>
          <w:bCs w:val="0"/>
          <w:color w:val="auto"/>
          <w:sz w:val="21"/>
          <w:szCs w:val="21"/>
          <w:highlight w:val="none"/>
        </w:rPr>
        <w:t>在参加贵司进行的</w:t>
      </w:r>
      <w:r>
        <w:rPr>
          <w:rFonts w:hint="eastAsia" w:ascii="宋体" w:hAnsi="宋体" w:eastAsia="宋体" w:cs="宋体"/>
          <w:b w:val="0"/>
          <w:bCs w:val="0"/>
          <w:color w:val="auto"/>
          <w:sz w:val="21"/>
          <w:szCs w:val="21"/>
          <w:highlight w:val="none"/>
          <w:u w:val="single"/>
        </w:rPr>
        <w:t xml:space="preserve">   （项目名称）  （项目编号：      ）（包号：  ）</w:t>
      </w:r>
      <w:r>
        <w:rPr>
          <w:rFonts w:hint="eastAsia" w:ascii="宋体" w:hAnsi="宋体" w:eastAsia="宋体" w:cs="宋体"/>
          <w:b w:val="0"/>
          <w:bCs w:val="0"/>
          <w:color w:val="auto"/>
          <w:sz w:val="21"/>
          <w:szCs w:val="21"/>
          <w:highlight w:val="none"/>
        </w:rPr>
        <w:t>招标中如获中标，我公司承诺</w:t>
      </w:r>
      <w:r>
        <w:rPr>
          <w:rFonts w:hint="eastAsia" w:ascii="宋体" w:hAnsi="宋体" w:eastAsia="宋体" w:cs="宋体"/>
          <w:b w:val="0"/>
          <w:bCs w:val="0"/>
          <w:color w:val="auto"/>
          <w:sz w:val="21"/>
          <w:szCs w:val="21"/>
          <w:highlight w:val="none"/>
          <w:lang w:val="en-US" w:eastAsia="zh-CN"/>
        </w:rPr>
        <w:t>在</w:t>
      </w:r>
      <w:r>
        <w:rPr>
          <w:rFonts w:hint="eastAsia" w:ascii="宋体" w:hAnsi="宋体" w:eastAsia="宋体" w:cs="宋体"/>
          <w:b w:val="0"/>
          <w:bCs w:val="0"/>
          <w:color w:val="auto"/>
          <w:sz w:val="21"/>
          <w:szCs w:val="21"/>
          <w:highlight w:val="none"/>
        </w:rPr>
        <w:t>本项目“采购结果公告”发布之日起15日内，向贵司一次性交纳招标代理服务费。</w:t>
      </w:r>
    </w:p>
    <w:p w14:paraId="6C5FE1EC">
      <w:pPr>
        <w:bidi w:val="0"/>
        <w:ind w:firstLine="420" w:firstLineChars="200"/>
        <w:rPr>
          <w:rFonts w:hint="eastAsia"/>
          <w:color w:val="auto"/>
          <w:highlight w:val="none"/>
          <w:lang w:eastAsia="zh-CN"/>
        </w:rPr>
      </w:pPr>
      <w:r>
        <w:rPr>
          <w:rFonts w:hint="eastAsia"/>
          <w:color w:val="auto"/>
          <w:highlight w:val="none"/>
        </w:rPr>
        <w:t>特此承诺</w:t>
      </w:r>
      <w:r>
        <w:rPr>
          <w:rFonts w:hint="eastAsia"/>
          <w:color w:val="auto"/>
          <w:highlight w:val="none"/>
          <w:lang w:eastAsia="zh-CN"/>
        </w:rPr>
        <w:t>。</w:t>
      </w:r>
    </w:p>
    <w:p w14:paraId="790E0447">
      <w:pPr>
        <w:jc w:val="center"/>
        <w:rPr>
          <w:rFonts w:hint="eastAsia" w:ascii="宋体" w:hAnsi="宋体" w:eastAsia="宋体" w:cs="宋体"/>
          <w:b w:val="0"/>
          <w:bCs w:val="0"/>
          <w:color w:val="auto"/>
          <w:sz w:val="21"/>
          <w:szCs w:val="21"/>
          <w:highlight w:val="none"/>
        </w:rPr>
      </w:pPr>
    </w:p>
    <w:p w14:paraId="685FF83D">
      <w:pPr>
        <w:bidi w:val="0"/>
        <w:rPr>
          <w:rFonts w:hint="eastAsia"/>
          <w:color w:val="auto"/>
          <w:highlight w:val="none"/>
        </w:rPr>
      </w:pPr>
    </w:p>
    <w:p w14:paraId="785BE941">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14:paraId="7033FFBF">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14:paraId="11C0FA82">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14:paraId="581F8AA9">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14:paraId="4CF6747D">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0" w:name="_Toc21582"/>
      <w:bookmarkStart w:id="321" w:name="_Toc1975"/>
      <w:r>
        <w:rPr>
          <w:rFonts w:hint="eastAsia"/>
          <w:color w:val="auto"/>
          <w:highlight w:val="none"/>
          <w:lang w:val="en-US" w:eastAsia="zh-CN"/>
        </w:rPr>
        <w:t>十一、</w:t>
      </w:r>
      <w:r>
        <w:rPr>
          <w:rFonts w:hint="eastAsia"/>
          <w:color w:val="auto"/>
          <w:highlight w:val="none"/>
        </w:rPr>
        <w:t>商务条款偏离表</w:t>
      </w:r>
      <w:bookmarkEnd w:id="320"/>
      <w:bookmarkEnd w:id="321"/>
    </w:p>
    <w:tbl>
      <w:tblPr>
        <w:tblStyle w:val="22"/>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14:paraId="015559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14:paraId="67B97554">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590" w:type="dxa"/>
            <w:tcBorders>
              <w:tl2br w:val="nil"/>
              <w:tr2bl w:val="nil"/>
            </w:tcBorders>
            <w:vAlign w:val="center"/>
          </w:tcPr>
          <w:p w14:paraId="0213981A">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商务条款</w:t>
            </w:r>
            <w:r>
              <w:rPr>
                <w:rFonts w:hint="eastAsia" w:ascii="宋体" w:hAnsi="宋体" w:eastAsia="宋体"/>
                <w:color w:val="auto"/>
                <w:sz w:val="21"/>
                <w:szCs w:val="21"/>
                <w:highlight w:val="none"/>
              </w:rPr>
              <w:t>名称</w:t>
            </w:r>
          </w:p>
        </w:tc>
        <w:tc>
          <w:tcPr>
            <w:tcW w:w="1755" w:type="dxa"/>
            <w:tcBorders>
              <w:tl2br w:val="nil"/>
              <w:tr2bl w:val="nil"/>
            </w:tcBorders>
            <w:vAlign w:val="center"/>
          </w:tcPr>
          <w:p w14:paraId="15AC7AF0">
            <w:pPr>
              <w:spacing w:after="0"/>
              <w:jc w:val="center"/>
              <w:rPr>
                <w:rFonts w:ascii="宋体" w:hAnsi="宋体" w:eastAsia="宋体"/>
                <w:color w:val="auto"/>
                <w:sz w:val="21"/>
                <w:szCs w:val="21"/>
                <w:highlight w:val="none"/>
              </w:rPr>
            </w:pP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w:t>
            </w:r>
          </w:p>
        </w:tc>
        <w:tc>
          <w:tcPr>
            <w:tcW w:w="1920" w:type="dxa"/>
            <w:tcBorders>
              <w:tl2br w:val="nil"/>
              <w:tr2bl w:val="nil"/>
            </w:tcBorders>
            <w:vAlign w:val="center"/>
          </w:tcPr>
          <w:p w14:paraId="076E9B3B">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实际响应</w:t>
            </w:r>
          </w:p>
        </w:tc>
        <w:tc>
          <w:tcPr>
            <w:tcW w:w="1412" w:type="dxa"/>
            <w:tcBorders>
              <w:tl2br w:val="nil"/>
              <w:tr2bl w:val="nil"/>
            </w:tcBorders>
            <w:vAlign w:val="center"/>
          </w:tcPr>
          <w:p w14:paraId="17B4F16B">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偏离</w:t>
            </w:r>
            <w:r>
              <w:rPr>
                <w:rFonts w:hint="eastAsia" w:ascii="宋体" w:hAnsi="宋体" w:eastAsia="宋体"/>
                <w:color w:val="auto"/>
                <w:sz w:val="21"/>
                <w:szCs w:val="21"/>
                <w:highlight w:val="none"/>
                <w:lang w:val="en-US" w:eastAsia="zh-CN"/>
              </w:rPr>
              <w:t>情况</w:t>
            </w:r>
          </w:p>
        </w:tc>
        <w:tc>
          <w:tcPr>
            <w:tcW w:w="867" w:type="dxa"/>
            <w:tcBorders>
              <w:tl2br w:val="nil"/>
              <w:tr2bl w:val="nil"/>
            </w:tcBorders>
            <w:vAlign w:val="center"/>
          </w:tcPr>
          <w:p w14:paraId="13FA6C9A">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14:paraId="3760D9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DF89AA5">
            <w:pPr>
              <w:jc w:val="center"/>
              <w:rPr>
                <w:rFonts w:ascii="宋体" w:hAnsi="宋体" w:eastAsia="宋体"/>
                <w:color w:val="auto"/>
                <w:sz w:val="21"/>
                <w:szCs w:val="21"/>
                <w:highlight w:val="none"/>
              </w:rPr>
            </w:pPr>
          </w:p>
        </w:tc>
        <w:tc>
          <w:tcPr>
            <w:tcW w:w="1590" w:type="dxa"/>
            <w:tcBorders>
              <w:tl2br w:val="nil"/>
              <w:tr2bl w:val="nil"/>
            </w:tcBorders>
            <w:vAlign w:val="center"/>
          </w:tcPr>
          <w:p w14:paraId="52EEBCB8">
            <w:pPr>
              <w:jc w:val="center"/>
              <w:rPr>
                <w:rFonts w:ascii="宋体" w:hAnsi="宋体" w:eastAsia="宋体"/>
                <w:color w:val="auto"/>
                <w:sz w:val="21"/>
                <w:szCs w:val="21"/>
                <w:highlight w:val="none"/>
              </w:rPr>
            </w:pPr>
          </w:p>
        </w:tc>
        <w:tc>
          <w:tcPr>
            <w:tcW w:w="1755" w:type="dxa"/>
            <w:tcBorders>
              <w:tl2br w:val="nil"/>
              <w:tr2bl w:val="nil"/>
            </w:tcBorders>
            <w:vAlign w:val="center"/>
          </w:tcPr>
          <w:p w14:paraId="3CA3784C">
            <w:pPr>
              <w:jc w:val="center"/>
              <w:rPr>
                <w:rFonts w:ascii="宋体" w:hAnsi="宋体" w:eastAsia="宋体"/>
                <w:color w:val="auto"/>
                <w:sz w:val="21"/>
                <w:szCs w:val="21"/>
                <w:highlight w:val="none"/>
              </w:rPr>
            </w:pPr>
          </w:p>
        </w:tc>
        <w:tc>
          <w:tcPr>
            <w:tcW w:w="1920" w:type="dxa"/>
            <w:tcBorders>
              <w:tl2br w:val="nil"/>
              <w:tr2bl w:val="nil"/>
            </w:tcBorders>
            <w:vAlign w:val="center"/>
          </w:tcPr>
          <w:p w14:paraId="32C2B92D">
            <w:pPr>
              <w:jc w:val="center"/>
              <w:rPr>
                <w:rFonts w:ascii="宋体" w:hAnsi="宋体" w:eastAsia="宋体"/>
                <w:color w:val="auto"/>
                <w:sz w:val="21"/>
                <w:szCs w:val="21"/>
                <w:highlight w:val="none"/>
              </w:rPr>
            </w:pPr>
          </w:p>
        </w:tc>
        <w:tc>
          <w:tcPr>
            <w:tcW w:w="1412" w:type="dxa"/>
            <w:tcBorders>
              <w:tl2br w:val="nil"/>
              <w:tr2bl w:val="nil"/>
            </w:tcBorders>
            <w:vAlign w:val="center"/>
          </w:tcPr>
          <w:p w14:paraId="71EBA292">
            <w:pPr>
              <w:jc w:val="center"/>
              <w:rPr>
                <w:rFonts w:ascii="宋体" w:hAnsi="宋体" w:eastAsia="宋体"/>
                <w:color w:val="auto"/>
                <w:sz w:val="21"/>
                <w:szCs w:val="21"/>
                <w:highlight w:val="none"/>
              </w:rPr>
            </w:pPr>
          </w:p>
        </w:tc>
        <w:tc>
          <w:tcPr>
            <w:tcW w:w="867" w:type="dxa"/>
            <w:tcBorders>
              <w:tl2br w:val="nil"/>
              <w:tr2bl w:val="nil"/>
            </w:tcBorders>
            <w:vAlign w:val="center"/>
          </w:tcPr>
          <w:p w14:paraId="785CCD16">
            <w:pPr>
              <w:jc w:val="center"/>
              <w:rPr>
                <w:rFonts w:ascii="宋体" w:hAnsi="宋体" w:eastAsia="宋体"/>
                <w:color w:val="auto"/>
                <w:sz w:val="21"/>
                <w:szCs w:val="21"/>
                <w:highlight w:val="none"/>
              </w:rPr>
            </w:pPr>
          </w:p>
        </w:tc>
      </w:tr>
      <w:tr w14:paraId="1BFE06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8565D67">
            <w:pPr>
              <w:jc w:val="center"/>
              <w:rPr>
                <w:rFonts w:ascii="宋体" w:hAnsi="宋体" w:eastAsia="宋体"/>
                <w:color w:val="auto"/>
                <w:sz w:val="21"/>
                <w:szCs w:val="21"/>
                <w:highlight w:val="none"/>
              </w:rPr>
            </w:pPr>
          </w:p>
        </w:tc>
        <w:tc>
          <w:tcPr>
            <w:tcW w:w="1590" w:type="dxa"/>
            <w:tcBorders>
              <w:tl2br w:val="nil"/>
              <w:tr2bl w:val="nil"/>
            </w:tcBorders>
            <w:vAlign w:val="center"/>
          </w:tcPr>
          <w:p w14:paraId="3F185D41">
            <w:pPr>
              <w:jc w:val="center"/>
              <w:rPr>
                <w:rFonts w:ascii="宋体" w:hAnsi="宋体" w:eastAsia="宋体"/>
                <w:color w:val="auto"/>
                <w:sz w:val="21"/>
                <w:szCs w:val="21"/>
                <w:highlight w:val="none"/>
              </w:rPr>
            </w:pPr>
          </w:p>
        </w:tc>
        <w:tc>
          <w:tcPr>
            <w:tcW w:w="1755" w:type="dxa"/>
            <w:tcBorders>
              <w:tl2br w:val="nil"/>
              <w:tr2bl w:val="nil"/>
            </w:tcBorders>
            <w:vAlign w:val="center"/>
          </w:tcPr>
          <w:p w14:paraId="1EECA97C">
            <w:pPr>
              <w:jc w:val="center"/>
              <w:rPr>
                <w:rFonts w:ascii="宋体" w:hAnsi="宋体" w:eastAsia="宋体"/>
                <w:color w:val="auto"/>
                <w:sz w:val="21"/>
                <w:szCs w:val="21"/>
                <w:highlight w:val="none"/>
              </w:rPr>
            </w:pPr>
          </w:p>
        </w:tc>
        <w:tc>
          <w:tcPr>
            <w:tcW w:w="1920" w:type="dxa"/>
            <w:tcBorders>
              <w:tl2br w:val="nil"/>
              <w:tr2bl w:val="nil"/>
            </w:tcBorders>
            <w:vAlign w:val="center"/>
          </w:tcPr>
          <w:p w14:paraId="0C2141DC">
            <w:pPr>
              <w:jc w:val="center"/>
              <w:rPr>
                <w:rFonts w:ascii="宋体" w:hAnsi="宋体" w:eastAsia="宋体"/>
                <w:color w:val="auto"/>
                <w:sz w:val="21"/>
                <w:szCs w:val="21"/>
                <w:highlight w:val="none"/>
              </w:rPr>
            </w:pPr>
          </w:p>
        </w:tc>
        <w:tc>
          <w:tcPr>
            <w:tcW w:w="1412" w:type="dxa"/>
            <w:tcBorders>
              <w:tl2br w:val="nil"/>
              <w:tr2bl w:val="nil"/>
            </w:tcBorders>
            <w:vAlign w:val="center"/>
          </w:tcPr>
          <w:p w14:paraId="093C250B">
            <w:pPr>
              <w:jc w:val="center"/>
              <w:rPr>
                <w:rFonts w:ascii="宋体" w:hAnsi="宋体" w:eastAsia="宋体"/>
                <w:color w:val="auto"/>
                <w:sz w:val="21"/>
                <w:szCs w:val="21"/>
                <w:highlight w:val="none"/>
              </w:rPr>
            </w:pPr>
          </w:p>
        </w:tc>
        <w:tc>
          <w:tcPr>
            <w:tcW w:w="867" w:type="dxa"/>
            <w:tcBorders>
              <w:tl2br w:val="nil"/>
              <w:tr2bl w:val="nil"/>
            </w:tcBorders>
            <w:vAlign w:val="center"/>
          </w:tcPr>
          <w:p w14:paraId="6934751C">
            <w:pPr>
              <w:jc w:val="center"/>
              <w:rPr>
                <w:rFonts w:ascii="宋体" w:hAnsi="宋体" w:eastAsia="宋体"/>
                <w:color w:val="auto"/>
                <w:sz w:val="21"/>
                <w:szCs w:val="21"/>
                <w:highlight w:val="none"/>
              </w:rPr>
            </w:pPr>
          </w:p>
        </w:tc>
      </w:tr>
      <w:tr w14:paraId="62C5B1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2E97685">
            <w:pPr>
              <w:jc w:val="center"/>
              <w:rPr>
                <w:rFonts w:ascii="宋体" w:hAnsi="宋体" w:eastAsia="宋体"/>
                <w:color w:val="auto"/>
                <w:sz w:val="21"/>
                <w:szCs w:val="21"/>
                <w:highlight w:val="none"/>
              </w:rPr>
            </w:pPr>
          </w:p>
        </w:tc>
        <w:tc>
          <w:tcPr>
            <w:tcW w:w="1590" w:type="dxa"/>
            <w:tcBorders>
              <w:tl2br w:val="nil"/>
              <w:tr2bl w:val="nil"/>
            </w:tcBorders>
            <w:vAlign w:val="center"/>
          </w:tcPr>
          <w:p w14:paraId="0702D59E">
            <w:pPr>
              <w:jc w:val="center"/>
              <w:rPr>
                <w:rFonts w:ascii="宋体" w:hAnsi="宋体" w:eastAsia="宋体"/>
                <w:color w:val="auto"/>
                <w:sz w:val="21"/>
                <w:szCs w:val="21"/>
                <w:highlight w:val="none"/>
              </w:rPr>
            </w:pPr>
          </w:p>
        </w:tc>
        <w:tc>
          <w:tcPr>
            <w:tcW w:w="1755" w:type="dxa"/>
            <w:tcBorders>
              <w:tl2br w:val="nil"/>
              <w:tr2bl w:val="nil"/>
            </w:tcBorders>
            <w:vAlign w:val="center"/>
          </w:tcPr>
          <w:p w14:paraId="45A226A9">
            <w:pPr>
              <w:jc w:val="center"/>
              <w:rPr>
                <w:rFonts w:ascii="宋体" w:hAnsi="宋体" w:eastAsia="宋体"/>
                <w:color w:val="auto"/>
                <w:sz w:val="21"/>
                <w:szCs w:val="21"/>
                <w:highlight w:val="none"/>
              </w:rPr>
            </w:pPr>
          </w:p>
        </w:tc>
        <w:tc>
          <w:tcPr>
            <w:tcW w:w="1920" w:type="dxa"/>
            <w:tcBorders>
              <w:tl2br w:val="nil"/>
              <w:tr2bl w:val="nil"/>
            </w:tcBorders>
            <w:vAlign w:val="center"/>
          </w:tcPr>
          <w:p w14:paraId="164141CC">
            <w:pPr>
              <w:jc w:val="center"/>
              <w:rPr>
                <w:rFonts w:ascii="宋体" w:hAnsi="宋体" w:eastAsia="宋体"/>
                <w:color w:val="auto"/>
                <w:sz w:val="21"/>
                <w:szCs w:val="21"/>
                <w:highlight w:val="none"/>
              </w:rPr>
            </w:pPr>
          </w:p>
        </w:tc>
        <w:tc>
          <w:tcPr>
            <w:tcW w:w="1412" w:type="dxa"/>
            <w:tcBorders>
              <w:tl2br w:val="nil"/>
              <w:tr2bl w:val="nil"/>
            </w:tcBorders>
            <w:vAlign w:val="center"/>
          </w:tcPr>
          <w:p w14:paraId="61538101">
            <w:pPr>
              <w:jc w:val="center"/>
              <w:rPr>
                <w:rFonts w:ascii="宋体" w:hAnsi="宋体" w:eastAsia="宋体"/>
                <w:color w:val="auto"/>
                <w:sz w:val="21"/>
                <w:szCs w:val="21"/>
                <w:highlight w:val="none"/>
              </w:rPr>
            </w:pPr>
          </w:p>
        </w:tc>
        <w:tc>
          <w:tcPr>
            <w:tcW w:w="867" w:type="dxa"/>
            <w:tcBorders>
              <w:tl2br w:val="nil"/>
              <w:tr2bl w:val="nil"/>
            </w:tcBorders>
            <w:vAlign w:val="center"/>
          </w:tcPr>
          <w:p w14:paraId="7EC9B105">
            <w:pPr>
              <w:jc w:val="center"/>
              <w:rPr>
                <w:rFonts w:ascii="宋体" w:hAnsi="宋体" w:eastAsia="宋体"/>
                <w:color w:val="auto"/>
                <w:sz w:val="21"/>
                <w:szCs w:val="21"/>
                <w:highlight w:val="none"/>
              </w:rPr>
            </w:pPr>
          </w:p>
        </w:tc>
      </w:tr>
      <w:tr w14:paraId="403E62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03C22435">
            <w:pPr>
              <w:jc w:val="center"/>
              <w:rPr>
                <w:rFonts w:ascii="宋体" w:hAnsi="宋体" w:eastAsia="宋体"/>
                <w:color w:val="auto"/>
                <w:sz w:val="21"/>
                <w:szCs w:val="21"/>
                <w:highlight w:val="none"/>
              </w:rPr>
            </w:pPr>
          </w:p>
        </w:tc>
        <w:tc>
          <w:tcPr>
            <w:tcW w:w="1590" w:type="dxa"/>
            <w:tcBorders>
              <w:tl2br w:val="nil"/>
              <w:tr2bl w:val="nil"/>
            </w:tcBorders>
            <w:vAlign w:val="center"/>
          </w:tcPr>
          <w:p w14:paraId="39C4369F">
            <w:pPr>
              <w:jc w:val="center"/>
              <w:rPr>
                <w:rFonts w:ascii="宋体" w:hAnsi="宋体" w:eastAsia="宋体"/>
                <w:color w:val="auto"/>
                <w:sz w:val="21"/>
                <w:szCs w:val="21"/>
                <w:highlight w:val="none"/>
              </w:rPr>
            </w:pPr>
          </w:p>
        </w:tc>
        <w:tc>
          <w:tcPr>
            <w:tcW w:w="1755" w:type="dxa"/>
            <w:tcBorders>
              <w:tl2br w:val="nil"/>
              <w:tr2bl w:val="nil"/>
            </w:tcBorders>
            <w:vAlign w:val="center"/>
          </w:tcPr>
          <w:p w14:paraId="2998B3F2">
            <w:pPr>
              <w:jc w:val="center"/>
              <w:rPr>
                <w:rFonts w:ascii="宋体" w:hAnsi="宋体" w:eastAsia="宋体"/>
                <w:color w:val="auto"/>
                <w:sz w:val="21"/>
                <w:szCs w:val="21"/>
                <w:highlight w:val="none"/>
              </w:rPr>
            </w:pPr>
          </w:p>
        </w:tc>
        <w:tc>
          <w:tcPr>
            <w:tcW w:w="1920" w:type="dxa"/>
            <w:tcBorders>
              <w:tl2br w:val="nil"/>
              <w:tr2bl w:val="nil"/>
            </w:tcBorders>
            <w:vAlign w:val="center"/>
          </w:tcPr>
          <w:p w14:paraId="2737C4B2">
            <w:pPr>
              <w:jc w:val="center"/>
              <w:rPr>
                <w:rFonts w:ascii="宋体" w:hAnsi="宋体" w:eastAsia="宋体"/>
                <w:color w:val="auto"/>
                <w:sz w:val="21"/>
                <w:szCs w:val="21"/>
                <w:highlight w:val="none"/>
              </w:rPr>
            </w:pPr>
          </w:p>
        </w:tc>
        <w:tc>
          <w:tcPr>
            <w:tcW w:w="1412" w:type="dxa"/>
            <w:tcBorders>
              <w:tl2br w:val="nil"/>
              <w:tr2bl w:val="nil"/>
            </w:tcBorders>
            <w:vAlign w:val="center"/>
          </w:tcPr>
          <w:p w14:paraId="7C8A12ED">
            <w:pPr>
              <w:jc w:val="center"/>
              <w:rPr>
                <w:rFonts w:ascii="宋体" w:hAnsi="宋体" w:eastAsia="宋体"/>
                <w:color w:val="auto"/>
                <w:sz w:val="21"/>
                <w:szCs w:val="21"/>
                <w:highlight w:val="none"/>
              </w:rPr>
            </w:pPr>
          </w:p>
        </w:tc>
        <w:tc>
          <w:tcPr>
            <w:tcW w:w="867" w:type="dxa"/>
            <w:tcBorders>
              <w:tl2br w:val="nil"/>
              <w:tr2bl w:val="nil"/>
            </w:tcBorders>
            <w:vAlign w:val="center"/>
          </w:tcPr>
          <w:p w14:paraId="33730F3F">
            <w:pPr>
              <w:jc w:val="center"/>
              <w:rPr>
                <w:rFonts w:ascii="宋体" w:hAnsi="宋体" w:eastAsia="宋体"/>
                <w:color w:val="auto"/>
                <w:sz w:val="21"/>
                <w:szCs w:val="21"/>
                <w:highlight w:val="none"/>
              </w:rPr>
            </w:pPr>
          </w:p>
        </w:tc>
      </w:tr>
      <w:tr w14:paraId="5AD7B5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8CA999C">
            <w:pPr>
              <w:jc w:val="center"/>
              <w:rPr>
                <w:rFonts w:ascii="宋体" w:hAnsi="宋体" w:eastAsia="宋体"/>
                <w:color w:val="auto"/>
                <w:sz w:val="21"/>
                <w:szCs w:val="21"/>
                <w:highlight w:val="none"/>
              </w:rPr>
            </w:pPr>
          </w:p>
        </w:tc>
        <w:tc>
          <w:tcPr>
            <w:tcW w:w="1590" w:type="dxa"/>
            <w:tcBorders>
              <w:tl2br w:val="nil"/>
              <w:tr2bl w:val="nil"/>
            </w:tcBorders>
            <w:vAlign w:val="center"/>
          </w:tcPr>
          <w:p w14:paraId="73ABBC53">
            <w:pPr>
              <w:jc w:val="center"/>
              <w:rPr>
                <w:rFonts w:ascii="宋体" w:hAnsi="宋体" w:eastAsia="宋体"/>
                <w:color w:val="auto"/>
                <w:sz w:val="21"/>
                <w:szCs w:val="21"/>
                <w:highlight w:val="none"/>
              </w:rPr>
            </w:pPr>
          </w:p>
        </w:tc>
        <w:tc>
          <w:tcPr>
            <w:tcW w:w="1755" w:type="dxa"/>
            <w:tcBorders>
              <w:tl2br w:val="nil"/>
              <w:tr2bl w:val="nil"/>
            </w:tcBorders>
            <w:vAlign w:val="center"/>
          </w:tcPr>
          <w:p w14:paraId="7B3C69B1">
            <w:pPr>
              <w:jc w:val="center"/>
              <w:rPr>
                <w:rFonts w:ascii="宋体" w:hAnsi="宋体" w:eastAsia="宋体"/>
                <w:color w:val="auto"/>
                <w:sz w:val="21"/>
                <w:szCs w:val="21"/>
                <w:highlight w:val="none"/>
              </w:rPr>
            </w:pPr>
          </w:p>
        </w:tc>
        <w:tc>
          <w:tcPr>
            <w:tcW w:w="1920" w:type="dxa"/>
            <w:tcBorders>
              <w:tl2br w:val="nil"/>
              <w:tr2bl w:val="nil"/>
            </w:tcBorders>
            <w:vAlign w:val="center"/>
          </w:tcPr>
          <w:p w14:paraId="18446CE9">
            <w:pPr>
              <w:jc w:val="center"/>
              <w:rPr>
                <w:rFonts w:ascii="宋体" w:hAnsi="宋体" w:eastAsia="宋体"/>
                <w:color w:val="auto"/>
                <w:sz w:val="21"/>
                <w:szCs w:val="21"/>
                <w:highlight w:val="none"/>
              </w:rPr>
            </w:pPr>
          </w:p>
        </w:tc>
        <w:tc>
          <w:tcPr>
            <w:tcW w:w="1412" w:type="dxa"/>
            <w:tcBorders>
              <w:tl2br w:val="nil"/>
              <w:tr2bl w:val="nil"/>
            </w:tcBorders>
            <w:vAlign w:val="center"/>
          </w:tcPr>
          <w:p w14:paraId="5338FAC8">
            <w:pPr>
              <w:jc w:val="center"/>
              <w:rPr>
                <w:rFonts w:ascii="宋体" w:hAnsi="宋体" w:eastAsia="宋体"/>
                <w:color w:val="auto"/>
                <w:sz w:val="21"/>
                <w:szCs w:val="21"/>
                <w:highlight w:val="none"/>
              </w:rPr>
            </w:pPr>
          </w:p>
        </w:tc>
        <w:tc>
          <w:tcPr>
            <w:tcW w:w="867" w:type="dxa"/>
            <w:tcBorders>
              <w:tl2br w:val="nil"/>
              <w:tr2bl w:val="nil"/>
            </w:tcBorders>
            <w:vAlign w:val="center"/>
          </w:tcPr>
          <w:p w14:paraId="07F2D8C7">
            <w:pPr>
              <w:jc w:val="center"/>
              <w:rPr>
                <w:rFonts w:ascii="宋体" w:hAnsi="宋体" w:eastAsia="宋体"/>
                <w:color w:val="auto"/>
                <w:sz w:val="21"/>
                <w:szCs w:val="21"/>
                <w:highlight w:val="none"/>
              </w:rPr>
            </w:pPr>
          </w:p>
        </w:tc>
      </w:tr>
      <w:tr w14:paraId="7DBE61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2616008">
            <w:pPr>
              <w:jc w:val="center"/>
              <w:rPr>
                <w:rFonts w:ascii="宋体" w:hAnsi="宋体" w:eastAsia="宋体"/>
                <w:color w:val="auto"/>
                <w:sz w:val="21"/>
                <w:szCs w:val="21"/>
                <w:highlight w:val="none"/>
              </w:rPr>
            </w:pPr>
          </w:p>
        </w:tc>
        <w:tc>
          <w:tcPr>
            <w:tcW w:w="1590" w:type="dxa"/>
            <w:tcBorders>
              <w:tl2br w:val="nil"/>
              <w:tr2bl w:val="nil"/>
            </w:tcBorders>
            <w:vAlign w:val="center"/>
          </w:tcPr>
          <w:p w14:paraId="729F3E01">
            <w:pPr>
              <w:jc w:val="center"/>
              <w:rPr>
                <w:rFonts w:ascii="宋体" w:hAnsi="宋体" w:eastAsia="宋体"/>
                <w:color w:val="auto"/>
                <w:sz w:val="21"/>
                <w:szCs w:val="21"/>
                <w:highlight w:val="none"/>
              </w:rPr>
            </w:pPr>
          </w:p>
        </w:tc>
        <w:tc>
          <w:tcPr>
            <w:tcW w:w="1755" w:type="dxa"/>
            <w:tcBorders>
              <w:tl2br w:val="nil"/>
              <w:tr2bl w:val="nil"/>
            </w:tcBorders>
            <w:vAlign w:val="center"/>
          </w:tcPr>
          <w:p w14:paraId="3F6B0A9B">
            <w:pPr>
              <w:jc w:val="center"/>
              <w:rPr>
                <w:rFonts w:ascii="宋体" w:hAnsi="宋体" w:eastAsia="宋体"/>
                <w:color w:val="auto"/>
                <w:sz w:val="21"/>
                <w:szCs w:val="21"/>
                <w:highlight w:val="none"/>
              </w:rPr>
            </w:pPr>
          </w:p>
        </w:tc>
        <w:tc>
          <w:tcPr>
            <w:tcW w:w="1920" w:type="dxa"/>
            <w:tcBorders>
              <w:tl2br w:val="nil"/>
              <w:tr2bl w:val="nil"/>
            </w:tcBorders>
            <w:vAlign w:val="center"/>
          </w:tcPr>
          <w:p w14:paraId="1AACEE2E">
            <w:pPr>
              <w:jc w:val="center"/>
              <w:rPr>
                <w:rFonts w:ascii="宋体" w:hAnsi="宋体" w:eastAsia="宋体"/>
                <w:color w:val="auto"/>
                <w:sz w:val="21"/>
                <w:szCs w:val="21"/>
                <w:highlight w:val="none"/>
              </w:rPr>
            </w:pPr>
          </w:p>
        </w:tc>
        <w:tc>
          <w:tcPr>
            <w:tcW w:w="1412" w:type="dxa"/>
            <w:tcBorders>
              <w:tl2br w:val="nil"/>
              <w:tr2bl w:val="nil"/>
            </w:tcBorders>
            <w:vAlign w:val="center"/>
          </w:tcPr>
          <w:p w14:paraId="2555E6B7">
            <w:pPr>
              <w:jc w:val="center"/>
              <w:rPr>
                <w:rFonts w:ascii="宋体" w:hAnsi="宋体" w:eastAsia="宋体"/>
                <w:color w:val="auto"/>
                <w:sz w:val="21"/>
                <w:szCs w:val="21"/>
                <w:highlight w:val="none"/>
              </w:rPr>
            </w:pPr>
          </w:p>
        </w:tc>
        <w:tc>
          <w:tcPr>
            <w:tcW w:w="867" w:type="dxa"/>
            <w:tcBorders>
              <w:tl2br w:val="nil"/>
              <w:tr2bl w:val="nil"/>
            </w:tcBorders>
            <w:vAlign w:val="center"/>
          </w:tcPr>
          <w:p w14:paraId="44FF6A2C">
            <w:pPr>
              <w:jc w:val="center"/>
              <w:rPr>
                <w:rFonts w:ascii="宋体" w:hAnsi="宋体" w:eastAsia="宋体"/>
                <w:color w:val="auto"/>
                <w:sz w:val="21"/>
                <w:szCs w:val="21"/>
                <w:highlight w:val="none"/>
              </w:rPr>
            </w:pPr>
          </w:p>
        </w:tc>
      </w:tr>
      <w:tr w14:paraId="07ADBE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04BD9AD5">
            <w:pPr>
              <w:jc w:val="center"/>
              <w:rPr>
                <w:rFonts w:ascii="宋体" w:hAnsi="宋体" w:eastAsia="宋体"/>
                <w:color w:val="auto"/>
                <w:sz w:val="21"/>
                <w:szCs w:val="21"/>
                <w:highlight w:val="none"/>
              </w:rPr>
            </w:pPr>
          </w:p>
        </w:tc>
        <w:tc>
          <w:tcPr>
            <w:tcW w:w="1590" w:type="dxa"/>
            <w:tcBorders>
              <w:tl2br w:val="nil"/>
              <w:tr2bl w:val="nil"/>
            </w:tcBorders>
            <w:vAlign w:val="center"/>
          </w:tcPr>
          <w:p w14:paraId="409CD1BD">
            <w:pPr>
              <w:jc w:val="center"/>
              <w:rPr>
                <w:rFonts w:ascii="宋体" w:hAnsi="宋体" w:eastAsia="宋体"/>
                <w:color w:val="auto"/>
                <w:sz w:val="21"/>
                <w:szCs w:val="21"/>
                <w:highlight w:val="none"/>
              </w:rPr>
            </w:pPr>
          </w:p>
        </w:tc>
        <w:tc>
          <w:tcPr>
            <w:tcW w:w="1755" w:type="dxa"/>
            <w:tcBorders>
              <w:tl2br w:val="nil"/>
              <w:tr2bl w:val="nil"/>
            </w:tcBorders>
            <w:vAlign w:val="center"/>
          </w:tcPr>
          <w:p w14:paraId="5AD7E79F">
            <w:pPr>
              <w:jc w:val="center"/>
              <w:rPr>
                <w:rFonts w:ascii="宋体" w:hAnsi="宋体" w:eastAsia="宋体"/>
                <w:color w:val="auto"/>
                <w:sz w:val="21"/>
                <w:szCs w:val="21"/>
                <w:highlight w:val="none"/>
              </w:rPr>
            </w:pPr>
          </w:p>
        </w:tc>
        <w:tc>
          <w:tcPr>
            <w:tcW w:w="1920" w:type="dxa"/>
            <w:tcBorders>
              <w:tl2br w:val="nil"/>
              <w:tr2bl w:val="nil"/>
            </w:tcBorders>
            <w:vAlign w:val="center"/>
          </w:tcPr>
          <w:p w14:paraId="21F3CEC9">
            <w:pPr>
              <w:jc w:val="center"/>
              <w:rPr>
                <w:rFonts w:ascii="宋体" w:hAnsi="宋体" w:eastAsia="宋体"/>
                <w:color w:val="auto"/>
                <w:sz w:val="21"/>
                <w:szCs w:val="21"/>
                <w:highlight w:val="none"/>
              </w:rPr>
            </w:pPr>
          </w:p>
        </w:tc>
        <w:tc>
          <w:tcPr>
            <w:tcW w:w="1412" w:type="dxa"/>
            <w:tcBorders>
              <w:tl2br w:val="nil"/>
              <w:tr2bl w:val="nil"/>
            </w:tcBorders>
            <w:vAlign w:val="center"/>
          </w:tcPr>
          <w:p w14:paraId="31DF47E1">
            <w:pPr>
              <w:jc w:val="center"/>
              <w:rPr>
                <w:rFonts w:ascii="宋体" w:hAnsi="宋体" w:eastAsia="宋体"/>
                <w:color w:val="auto"/>
                <w:sz w:val="21"/>
                <w:szCs w:val="21"/>
                <w:highlight w:val="none"/>
              </w:rPr>
            </w:pPr>
          </w:p>
        </w:tc>
        <w:tc>
          <w:tcPr>
            <w:tcW w:w="867" w:type="dxa"/>
            <w:tcBorders>
              <w:tl2br w:val="nil"/>
              <w:tr2bl w:val="nil"/>
            </w:tcBorders>
            <w:vAlign w:val="center"/>
          </w:tcPr>
          <w:p w14:paraId="003A412E">
            <w:pPr>
              <w:jc w:val="center"/>
              <w:rPr>
                <w:rFonts w:ascii="宋体" w:hAnsi="宋体" w:eastAsia="宋体"/>
                <w:color w:val="auto"/>
                <w:sz w:val="21"/>
                <w:szCs w:val="21"/>
                <w:highlight w:val="none"/>
              </w:rPr>
            </w:pPr>
          </w:p>
        </w:tc>
      </w:tr>
      <w:tr w14:paraId="1A87AD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5B3464D1">
            <w:pPr>
              <w:jc w:val="center"/>
              <w:rPr>
                <w:rFonts w:ascii="宋体" w:hAnsi="宋体" w:eastAsia="宋体"/>
                <w:color w:val="auto"/>
                <w:sz w:val="21"/>
                <w:szCs w:val="21"/>
                <w:highlight w:val="none"/>
              </w:rPr>
            </w:pPr>
          </w:p>
        </w:tc>
        <w:tc>
          <w:tcPr>
            <w:tcW w:w="1590" w:type="dxa"/>
            <w:tcBorders>
              <w:tl2br w:val="nil"/>
              <w:tr2bl w:val="nil"/>
            </w:tcBorders>
            <w:vAlign w:val="center"/>
          </w:tcPr>
          <w:p w14:paraId="0BF32E9D">
            <w:pPr>
              <w:jc w:val="center"/>
              <w:rPr>
                <w:rFonts w:ascii="宋体" w:hAnsi="宋体" w:eastAsia="宋体"/>
                <w:color w:val="auto"/>
                <w:sz w:val="21"/>
                <w:szCs w:val="21"/>
                <w:highlight w:val="none"/>
              </w:rPr>
            </w:pPr>
          </w:p>
        </w:tc>
        <w:tc>
          <w:tcPr>
            <w:tcW w:w="1755" w:type="dxa"/>
            <w:tcBorders>
              <w:tl2br w:val="nil"/>
              <w:tr2bl w:val="nil"/>
            </w:tcBorders>
            <w:vAlign w:val="center"/>
          </w:tcPr>
          <w:p w14:paraId="348E7EFD">
            <w:pPr>
              <w:jc w:val="center"/>
              <w:rPr>
                <w:rFonts w:ascii="宋体" w:hAnsi="宋体" w:eastAsia="宋体"/>
                <w:color w:val="auto"/>
                <w:sz w:val="21"/>
                <w:szCs w:val="21"/>
                <w:highlight w:val="none"/>
              </w:rPr>
            </w:pPr>
          </w:p>
        </w:tc>
        <w:tc>
          <w:tcPr>
            <w:tcW w:w="1920" w:type="dxa"/>
            <w:tcBorders>
              <w:tl2br w:val="nil"/>
              <w:tr2bl w:val="nil"/>
            </w:tcBorders>
            <w:vAlign w:val="center"/>
          </w:tcPr>
          <w:p w14:paraId="6E7F47D3">
            <w:pPr>
              <w:jc w:val="center"/>
              <w:rPr>
                <w:rFonts w:ascii="宋体" w:hAnsi="宋体" w:eastAsia="宋体"/>
                <w:color w:val="auto"/>
                <w:sz w:val="21"/>
                <w:szCs w:val="21"/>
                <w:highlight w:val="none"/>
              </w:rPr>
            </w:pPr>
          </w:p>
        </w:tc>
        <w:tc>
          <w:tcPr>
            <w:tcW w:w="1412" w:type="dxa"/>
            <w:tcBorders>
              <w:tl2br w:val="nil"/>
              <w:tr2bl w:val="nil"/>
            </w:tcBorders>
            <w:vAlign w:val="center"/>
          </w:tcPr>
          <w:p w14:paraId="0244EE9B">
            <w:pPr>
              <w:jc w:val="center"/>
              <w:rPr>
                <w:rFonts w:ascii="宋体" w:hAnsi="宋体" w:eastAsia="宋体"/>
                <w:color w:val="auto"/>
                <w:sz w:val="21"/>
                <w:szCs w:val="21"/>
                <w:highlight w:val="none"/>
              </w:rPr>
            </w:pPr>
          </w:p>
        </w:tc>
        <w:tc>
          <w:tcPr>
            <w:tcW w:w="867" w:type="dxa"/>
            <w:tcBorders>
              <w:tl2br w:val="nil"/>
              <w:tr2bl w:val="nil"/>
            </w:tcBorders>
            <w:vAlign w:val="center"/>
          </w:tcPr>
          <w:p w14:paraId="6460F679">
            <w:pPr>
              <w:jc w:val="center"/>
              <w:rPr>
                <w:rFonts w:ascii="宋体" w:hAnsi="宋体" w:eastAsia="宋体"/>
                <w:color w:val="auto"/>
                <w:sz w:val="21"/>
                <w:szCs w:val="21"/>
                <w:highlight w:val="none"/>
              </w:rPr>
            </w:pPr>
          </w:p>
        </w:tc>
      </w:tr>
      <w:tr w14:paraId="157B40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4FC16873">
            <w:pPr>
              <w:jc w:val="center"/>
              <w:rPr>
                <w:rFonts w:ascii="宋体" w:hAnsi="宋体" w:eastAsia="宋体"/>
                <w:color w:val="auto"/>
                <w:sz w:val="21"/>
                <w:szCs w:val="21"/>
                <w:highlight w:val="none"/>
              </w:rPr>
            </w:pPr>
          </w:p>
        </w:tc>
        <w:tc>
          <w:tcPr>
            <w:tcW w:w="1590" w:type="dxa"/>
            <w:tcBorders>
              <w:tl2br w:val="nil"/>
              <w:tr2bl w:val="nil"/>
            </w:tcBorders>
            <w:vAlign w:val="center"/>
          </w:tcPr>
          <w:p w14:paraId="1CB17485">
            <w:pPr>
              <w:jc w:val="center"/>
              <w:rPr>
                <w:rFonts w:ascii="宋体" w:hAnsi="宋体" w:eastAsia="宋体"/>
                <w:color w:val="auto"/>
                <w:sz w:val="21"/>
                <w:szCs w:val="21"/>
                <w:highlight w:val="none"/>
              </w:rPr>
            </w:pPr>
          </w:p>
        </w:tc>
        <w:tc>
          <w:tcPr>
            <w:tcW w:w="1755" w:type="dxa"/>
            <w:tcBorders>
              <w:tl2br w:val="nil"/>
              <w:tr2bl w:val="nil"/>
            </w:tcBorders>
            <w:vAlign w:val="center"/>
          </w:tcPr>
          <w:p w14:paraId="163C811D">
            <w:pPr>
              <w:jc w:val="center"/>
              <w:rPr>
                <w:rFonts w:ascii="宋体" w:hAnsi="宋体" w:eastAsia="宋体"/>
                <w:color w:val="auto"/>
                <w:sz w:val="21"/>
                <w:szCs w:val="21"/>
                <w:highlight w:val="none"/>
              </w:rPr>
            </w:pPr>
          </w:p>
        </w:tc>
        <w:tc>
          <w:tcPr>
            <w:tcW w:w="1920" w:type="dxa"/>
            <w:tcBorders>
              <w:tl2br w:val="nil"/>
              <w:tr2bl w:val="nil"/>
            </w:tcBorders>
            <w:vAlign w:val="center"/>
          </w:tcPr>
          <w:p w14:paraId="69FEB266">
            <w:pPr>
              <w:jc w:val="center"/>
              <w:rPr>
                <w:rFonts w:ascii="宋体" w:hAnsi="宋体" w:eastAsia="宋体"/>
                <w:color w:val="auto"/>
                <w:sz w:val="21"/>
                <w:szCs w:val="21"/>
                <w:highlight w:val="none"/>
              </w:rPr>
            </w:pPr>
          </w:p>
        </w:tc>
        <w:tc>
          <w:tcPr>
            <w:tcW w:w="1412" w:type="dxa"/>
            <w:tcBorders>
              <w:tl2br w:val="nil"/>
              <w:tr2bl w:val="nil"/>
            </w:tcBorders>
            <w:vAlign w:val="center"/>
          </w:tcPr>
          <w:p w14:paraId="457CF4CC">
            <w:pPr>
              <w:jc w:val="center"/>
              <w:rPr>
                <w:rFonts w:ascii="宋体" w:hAnsi="宋体" w:eastAsia="宋体"/>
                <w:color w:val="auto"/>
                <w:sz w:val="21"/>
                <w:szCs w:val="21"/>
                <w:highlight w:val="none"/>
              </w:rPr>
            </w:pPr>
          </w:p>
        </w:tc>
        <w:tc>
          <w:tcPr>
            <w:tcW w:w="867" w:type="dxa"/>
            <w:tcBorders>
              <w:tl2br w:val="nil"/>
              <w:tr2bl w:val="nil"/>
            </w:tcBorders>
            <w:vAlign w:val="center"/>
          </w:tcPr>
          <w:p w14:paraId="79E3FB3A">
            <w:pPr>
              <w:jc w:val="center"/>
              <w:rPr>
                <w:rFonts w:ascii="宋体" w:hAnsi="宋体" w:eastAsia="宋体"/>
                <w:color w:val="auto"/>
                <w:sz w:val="21"/>
                <w:szCs w:val="21"/>
                <w:highlight w:val="none"/>
              </w:rPr>
            </w:pPr>
          </w:p>
        </w:tc>
      </w:tr>
      <w:tr w14:paraId="5721A9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5C72A053">
            <w:pPr>
              <w:jc w:val="center"/>
              <w:rPr>
                <w:rFonts w:ascii="宋体" w:hAnsi="宋体" w:eastAsia="宋体"/>
                <w:color w:val="auto"/>
                <w:sz w:val="21"/>
                <w:szCs w:val="21"/>
                <w:highlight w:val="none"/>
              </w:rPr>
            </w:pPr>
          </w:p>
        </w:tc>
        <w:tc>
          <w:tcPr>
            <w:tcW w:w="1590" w:type="dxa"/>
            <w:tcBorders>
              <w:tl2br w:val="nil"/>
              <w:tr2bl w:val="nil"/>
            </w:tcBorders>
            <w:vAlign w:val="center"/>
          </w:tcPr>
          <w:p w14:paraId="345AAE52">
            <w:pPr>
              <w:jc w:val="center"/>
              <w:rPr>
                <w:rFonts w:ascii="宋体" w:hAnsi="宋体" w:eastAsia="宋体"/>
                <w:color w:val="auto"/>
                <w:sz w:val="21"/>
                <w:szCs w:val="21"/>
                <w:highlight w:val="none"/>
              </w:rPr>
            </w:pPr>
          </w:p>
        </w:tc>
        <w:tc>
          <w:tcPr>
            <w:tcW w:w="1755" w:type="dxa"/>
            <w:tcBorders>
              <w:tl2br w:val="nil"/>
              <w:tr2bl w:val="nil"/>
            </w:tcBorders>
            <w:vAlign w:val="center"/>
          </w:tcPr>
          <w:p w14:paraId="0036400E">
            <w:pPr>
              <w:jc w:val="center"/>
              <w:rPr>
                <w:rFonts w:ascii="宋体" w:hAnsi="宋体" w:eastAsia="宋体"/>
                <w:color w:val="auto"/>
                <w:sz w:val="21"/>
                <w:szCs w:val="21"/>
                <w:highlight w:val="none"/>
              </w:rPr>
            </w:pPr>
          </w:p>
        </w:tc>
        <w:tc>
          <w:tcPr>
            <w:tcW w:w="1920" w:type="dxa"/>
            <w:tcBorders>
              <w:tl2br w:val="nil"/>
              <w:tr2bl w:val="nil"/>
            </w:tcBorders>
            <w:vAlign w:val="center"/>
          </w:tcPr>
          <w:p w14:paraId="01A19A56">
            <w:pPr>
              <w:jc w:val="center"/>
              <w:rPr>
                <w:rFonts w:ascii="宋体" w:hAnsi="宋体" w:eastAsia="宋体"/>
                <w:color w:val="auto"/>
                <w:sz w:val="21"/>
                <w:szCs w:val="21"/>
                <w:highlight w:val="none"/>
              </w:rPr>
            </w:pPr>
          </w:p>
        </w:tc>
        <w:tc>
          <w:tcPr>
            <w:tcW w:w="1412" w:type="dxa"/>
            <w:tcBorders>
              <w:tl2br w:val="nil"/>
              <w:tr2bl w:val="nil"/>
            </w:tcBorders>
            <w:vAlign w:val="center"/>
          </w:tcPr>
          <w:p w14:paraId="297B7D85">
            <w:pPr>
              <w:jc w:val="center"/>
              <w:rPr>
                <w:rFonts w:ascii="宋体" w:hAnsi="宋体" w:eastAsia="宋体"/>
                <w:color w:val="auto"/>
                <w:sz w:val="21"/>
                <w:szCs w:val="21"/>
                <w:highlight w:val="none"/>
              </w:rPr>
            </w:pPr>
          </w:p>
        </w:tc>
        <w:tc>
          <w:tcPr>
            <w:tcW w:w="867" w:type="dxa"/>
            <w:tcBorders>
              <w:tl2br w:val="nil"/>
              <w:tr2bl w:val="nil"/>
            </w:tcBorders>
            <w:vAlign w:val="center"/>
          </w:tcPr>
          <w:p w14:paraId="2D4966A4">
            <w:pPr>
              <w:jc w:val="center"/>
              <w:rPr>
                <w:rFonts w:ascii="宋体" w:hAnsi="宋体" w:eastAsia="宋体"/>
                <w:color w:val="auto"/>
                <w:sz w:val="21"/>
                <w:szCs w:val="21"/>
                <w:highlight w:val="none"/>
              </w:rPr>
            </w:pPr>
          </w:p>
        </w:tc>
      </w:tr>
      <w:tr w14:paraId="0A16A5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42CFA4D1">
            <w:pPr>
              <w:jc w:val="center"/>
              <w:rPr>
                <w:rFonts w:ascii="宋体" w:hAnsi="宋体" w:eastAsia="宋体"/>
                <w:color w:val="auto"/>
                <w:sz w:val="21"/>
                <w:szCs w:val="21"/>
                <w:highlight w:val="none"/>
              </w:rPr>
            </w:pPr>
          </w:p>
        </w:tc>
        <w:tc>
          <w:tcPr>
            <w:tcW w:w="1590" w:type="dxa"/>
            <w:tcBorders>
              <w:tl2br w:val="nil"/>
              <w:tr2bl w:val="nil"/>
            </w:tcBorders>
            <w:vAlign w:val="center"/>
          </w:tcPr>
          <w:p w14:paraId="63DCDAC3">
            <w:pPr>
              <w:jc w:val="center"/>
              <w:rPr>
                <w:rFonts w:ascii="宋体" w:hAnsi="宋体" w:eastAsia="宋体"/>
                <w:color w:val="auto"/>
                <w:sz w:val="21"/>
                <w:szCs w:val="21"/>
                <w:highlight w:val="none"/>
              </w:rPr>
            </w:pPr>
          </w:p>
        </w:tc>
        <w:tc>
          <w:tcPr>
            <w:tcW w:w="1755" w:type="dxa"/>
            <w:tcBorders>
              <w:tl2br w:val="nil"/>
              <w:tr2bl w:val="nil"/>
            </w:tcBorders>
            <w:vAlign w:val="center"/>
          </w:tcPr>
          <w:p w14:paraId="199E166D">
            <w:pPr>
              <w:jc w:val="center"/>
              <w:rPr>
                <w:rFonts w:ascii="宋体" w:hAnsi="宋体" w:eastAsia="宋体"/>
                <w:color w:val="auto"/>
                <w:sz w:val="21"/>
                <w:szCs w:val="21"/>
                <w:highlight w:val="none"/>
              </w:rPr>
            </w:pPr>
          </w:p>
        </w:tc>
        <w:tc>
          <w:tcPr>
            <w:tcW w:w="1920" w:type="dxa"/>
            <w:tcBorders>
              <w:tl2br w:val="nil"/>
              <w:tr2bl w:val="nil"/>
            </w:tcBorders>
            <w:vAlign w:val="center"/>
          </w:tcPr>
          <w:p w14:paraId="55E5DCA5">
            <w:pPr>
              <w:jc w:val="center"/>
              <w:rPr>
                <w:rFonts w:ascii="宋体" w:hAnsi="宋体" w:eastAsia="宋体"/>
                <w:color w:val="auto"/>
                <w:sz w:val="21"/>
                <w:szCs w:val="21"/>
                <w:highlight w:val="none"/>
              </w:rPr>
            </w:pPr>
          </w:p>
        </w:tc>
        <w:tc>
          <w:tcPr>
            <w:tcW w:w="1412" w:type="dxa"/>
            <w:tcBorders>
              <w:tl2br w:val="nil"/>
              <w:tr2bl w:val="nil"/>
            </w:tcBorders>
            <w:vAlign w:val="center"/>
          </w:tcPr>
          <w:p w14:paraId="5C12DFFE">
            <w:pPr>
              <w:jc w:val="center"/>
              <w:rPr>
                <w:rFonts w:ascii="宋体" w:hAnsi="宋体" w:eastAsia="宋体"/>
                <w:color w:val="auto"/>
                <w:sz w:val="21"/>
                <w:szCs w:val="21"/>
                <w:highlight w:val="none"/>
              </w:rPr>
            </w:pPr>
          </w:p>
        </w:tc>
        <w:tc>
          <w:tcPr>
            <w:tcW w:w="867" w:type="dxa"/>
            <w:tcBorders>
              <w:tl2br w:val="nil"/>
              <w:tr2bl w:val="nil"/>
            </w:tcBorders>
            <w:vAlign w:val="center"/>
          </w:tcPr>
          <w:p w14:paraId="417447C1">
            <w:pPr>
              <w:jc w:val="center"/>
              <w:rPr>
                <w:rFonts w:ascii="宋体" w:hAnsi="宋体" w:eastAsia="宋体"/>
                <w:color w:val="auto"/>
                <w:sz w:val="21"/>
                <w:szCs w:val="21"/>
                <w:highlight w:val="none"/>
              </w:rPr>
            </w:pPr>
          </w:p>
        </w:tc>
      </w:tr>
      <w:tr w14:paraId="569688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688E269">
            <w:pPr>
              <w:jc w:val="center"/>
              <w:rPr>
                <w:rFonts w:ascii="宋体" w:hAnsi="宋体" w:eastAsia="宋体"/>
                <w:color w:val="auto"/>
                <w:sz w:val="21"/>
                <w:szCs w:val="21"/>
                <w:highlight w:val="none"/>
              </w:rPr>
            </w:pPr>
          </w:p>
        </w:tc>
        <w:tc>
          <w:tcPr>
            <w:tcW w:w="1590" w:type="dxa"/>
            <w:tcBorders>
              <w:tl2br w:val="nil"/>
              <w:tr2bl w:val="nil"/>
            </w:tcBorders>
            <w:vAlign w:val="center"/>
          </w:tcPr>
          <w:p w14:paraId="21E96160">
            <w:pPr>
              <w:jc w:val="center"/>
              <w:rPr>
                <w:rFonts w:ascii="宋体" w:hAnsi="宋体" w:eastAsia="宋体"/>
                <w:color w:val="auto"/>
                <w:sz w:val="21"/>
                <w:szCs w:val="21"/>
                <w:highlight w:val="none"/>
              </w:rPr>
            </w:pPr>
          </w:p>
        </w:tc>
        <w:tc>
          <w:tcPr>
            <w:tcW w:w="1755" w:type="dxa"/>
            <w:tcBorders>
              <w:tl2br w:val="nil"/>
              <w:tr2bl w:val="nil"/>
            </w:tcBorders>
            <w:vAlign w:val="center"/>
          </w:tcPr>
          <w:p w14:paraId="05847279">
            <w:pPr>
              <w:jc w:val="center"/>
              <w:rPr>
                <w:rFonts w:ascii="宋体" w:hAnsi="宋体" w:eastAsia="宋体"/>
                <w:color w:val="auto"/>
                <w:sz w:val="21"/>
                <w:szCs w:val="21"/>
                <w:highlight w:val="none"/>
              </w:rPr>
            </w:pPr>
          </w:p>
        </w:tc>
        <w:tc>
          <w:tcPr>
            <w:tcW w:w="1920" w:type="dxa"/>
            <w:tcBorders>
              <w:tl2br w:val="nil"/>
              <w:tr2bl w:val="nil"/>
            </w:tcBorders>
            <w:vAlign w:val="center"/>
          </w:tcPr>
          <w:p w14:paraId="1BBC0BAA">
            <w:pPr>
              <w:jc w:val="center"/>
              <w:rPr>
                <w:rFonts w:ascii="宋体" w:hAnsi="宋体" w:eastAsia="宋体"/>
                <w:color w:val="auto"/>
                <w:sz w:val="21"/>
                <w:szCs w:val="21"/>
                <w:highlight w:val="none"/>
              </w:rPr>
            </w:pPr>
          </w:p>
        </w:tc>
        <w:tc>
          <w:tcPr>
            <w:tcW w:w="1412" w:type="dxa"/>
            <w:tcBorders>
              <w:tl2br w:val="nil"/>
              <w:tr2bl w:val="nil"/>
            </w:tcBorders>
            <w:vAlign w:val="center"/>
          </w:tcPr>
          <w:p w14:paraId="46BAD489">
            <w:pPr>
              <w:jc w:val="center"/>
              <w:rPr>
                <w:rFonts w:ascii="宋体" w:hAnsi="宋体" w:eastAsia="宋体"/>
                <w:color w:val="auto"/>
                <w:sz w:val="21"/>
                <w:szCs w:val="21"/>
                <w:highlight w:val="none"/>
              </w:rPr>
            </w:pPr>
          </w:p>
        </w:tc>
        <w:tc>
          <w:tcPr>
            <w:tcW w:w="867" w:type="dxa"/>
            <w:tcBorders>
              <w:tl2br w:val="nil"/>
              <w:tr2bl w:val="nil"/>
            </w:tcBorders>
            <w:vAlign w:val="center"/>
          </w:tcPr>
          <w:p w14:paraId="0A153D5C">
            <w:pPr>
              <w:jc w:val="center"/>
              <w:rPr>
                <w:rFonts w:ascii="宋体" w:hAnsi="宋体" w:eastAsia="宋体"/>
                <w:color w:val="auto"/>
                <w:sz w:val="21"/>
                <w:szCs w:val="21"/>
                <w:highlight w:val="none"/>
              </w:rPr>
            </w:pPr>
          </w:p>
        </w:tc>
      </w:tr>
      <w:tr w14:paraId="371F97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931CF13">
            <w:pPr>
              <w:jc w:val="center"/>
              <w:rPr>
                <w:rFonts w:ascii="宋体" w:hAnsi="宋体" w:eastAsia="宋体"/>
                <w:color w:val="auto"/>
                <w:sz w:val="21"/>
                <w:szCs w:val="21"/>
                <w:highlight w:val="none"/>
              </w:rPr>
            </w:pPr>
          </w:p>
        </w:tc>
        <w:tc>
          <w:tcPr>
            <w:tcW w:w="1590" w:type="dxa"/>
            <w:tcBorders>
              <w:tl2br w:val="nil"/>
              <w:tr2bl w:val="nil"/>
            </w:tcBorders>
            <w:vAlign w:val="center"/>
          </w:tcPr>
          <w:p w14:paraId="43458920">
            <w:pPr>
              <w:jc w:val="center"/>
              <w:rPr>
                <w:rFonts w:ascii="宋体" w:hAnsi="宋体" w:eastAsia="宋体"/>
                <w:color w:val="auto"/>
                <w:sz w:val="21"/>
                <w:szCs w:val="21"/>
                <w:highlight w:val="none"/>
              </w:rPr>
            </w:pPr>
          </w:p>
        </w:tc>
        <w:tc>
          <w:tcPr>
            <w:tcW w:w="1755" w:type="dxa"/>
            <w:tcBorders>
              <w:tl2br w:val="nil"/>
              <w:tr2bl w:val="nil"/>
            </w:tcBorders>
            <w:vAlign w:val="center"/>
          </w:tcPr>
          <w:p w14:paraId="3223BB11">
            <w:pPr>
              <w:jc w:val="center"/>
              <w:rPr>
                <w:rFonts w:ascii="宋体" w:hAnsi="宋体" w:eastAsia="宋体"/>
                <w:color w:val="auto"/>
                <w:sz w:val="21"/>
                <w:szCs w:val="21"/>
                <w:highlight w:val="none"/>
              </w:rPr>
            </w:pPr>
          </w:p>
        </w:tc>
        <w:tc>
          <w:tcPr>
            <w:tcW w:w="1920" w:type="dxa"/>
            <w:tcBorders>
              <w:tl2br w:val="nil"/>
              <w:tr2bl w:val="nil"/>
            </w:tcBorders>
            <w:vAlign w:val="center"/>
          </w:tcPr>
          <w:p w14:paraId="75DC71BC">
            <w:pPr>
              <w:jc w:val="center"/>
              <w:rPr>
                <w:rFonts w:ascii="宋体" w:hAnsi="宋体" w:eastAsia="宋体"/>
                <w:color w:val="auto"/>
                <w:sz w:val="21"/>
                <w:szCs w:val="21"/>
                <w:highlight w:val="none"/>
              </w:rPr>
            </w:pPr>
          </w:p>
        </w:tc>
        <w:tc>
          <w:tcPr>
            <w:tcW w:w="1412" w:type="dxa"/>
            <w:tcBorders>
              <w:tl2br w:val="nil"/>
              <w:tr2bl w:val="nil"/>
            </w:tcBorders>
            <w:vAlign w:val="center"/>
          </w:tcPr>
          <w:p w14:paraId="02F74BA5">
            <w:pPr>
              <w:jc w:val="center"/>
              <w:rPr>
                <w:rFonts w:ascii="宋体" w:hAnsi="宋体" w:eastAsia="宋体"/>
                <w:color w:val="auto"/>
                <w:sz w:val="21"/>
                <w:szCs w:val="21"/>
                <w:highlight w:val="none"/>
              </w:rPr>
            </w:pPr>
          </w:p>
        </w:tc>
        <w:tc>
          <w:tcPr>
            <w:tcW w:w="867" w:type="dxa"/>
            <w:tcBorders>
              <w:tl2br w:val="nil"/>
              <w:tr2bl w:val="nil"/>
            </w:tcBorders>
            <w:vAlign w:val="center"/>
          </w:tcPr>
          <w:p w14:paraId="5D7540BF">
            <w:pPr>
              <w:jc w:val="center"/>
              <w:rPr>
                <w:rFonts w:ascii="宋体" w:hAnsi="宋体" w:eastAsia="宋体"/>
                <w:color w:val="auto"/>
                <w:sz w:val="21"/>
                <w:szCs w:val="21"/>
                <w:highlight w:val="none"/>
              </w:rPr>
            </w:pPr>
          </w:p>
        </w:tc>
      </w:tr>
      <w:tr w14:paraId="45C774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A069CC0">
            <w:pPr>
              <w:jc w:val="center"/>
              <w:rPr>
                <w:rFonts w:ascii="宋体" w:hAnsi="宋体" w:eastAsia="宋体"/>
                <w:color w:val="auto"/>
                <w:sz w:val="21"/>
                <w:szCs w:val="21"/>
                <w:highlight w:val="none"/>
              </w:rPr>
            </w:pPr>
          </w:p>
        </w:tc>
        <w:tc>
          <w:tcPr>
            <w:tcW w:w="1590" w:type="dxa"/>
            <w:tcBorders>
              <w:tl2br w:val="nil"/>
              <w:tr2bl w:val="nil"/>
            </w:tcBorders>
            <w:vAlign w:val="center"/>
          </w:tcPr>
          <w:p w14:paraId="24053996">
            <w:pPr>
              <w:jc w:val="center"/>
              <w:rPr>
                <w:rFonts w:ascii="宋体" w:hAnsi="宋体" w:eastAsia="宋体"/>
                <w:color w:val="auto"/>
                <w:sz w:val="21"/>
                <w:szCs w:val="21"/>
                <w:highlight w:val="none"/>
              </w:rPr>
            </w:pPr>
          </w:p>
        </w:tc>
        <w:tc>
          <w:tcPr>
            <w:tcW w:w="1755" w:type="dxa"/>
            <w:tcBorders>
              <w:tl2br w:val="nil"/>
              <w:tr2bl w:val="nil"/>
            </w:tcBorders>
            <w:vAlign w:val="center"/>
          </w:tcPr>
          <w:p w14:paraId="5A3E5B61">
            <w:pPr>
              <w:jc w:val="center"/>
              <w:rPr>
                <w:rFonts w:ascii="宋体" w:hAnsi="宋体" w:eastAsia="宋体"/>
                <w:color w:val="auto"/>
                <w:sz w:val="21"/>
                <w:szCs w:val="21"/>
                <w:highlight w:val="none"/>
              </w:rPr>
            </w:pPr>
          </w:p>
        </w:tc>
        <w:tc>
          <w:tcPr>
            <w:tcW w:w="1920" w:type="dxa"/>
            <w:tcBorders>
              <w:tl2br w:val="nil"/>
              <w:tr2bl w:val="nil"/>
            </w:tcBorders>
            <w:vAlign w:val="center"/>
          </w:tcPr>
          <w:p w14:paraId="6412486A">
            <w:pPr>
              <w:jc w:val="center"/>
              <w:rPr>
                <w:rFonts w:ascii="宋体" w:hAnsi="宋体" w:eastAsia="宋体"/>
                <w:color w:val="auto"/>
                <w:sz w:val="21"/>
                <w:szCs w:val="21"/>
                <w:highlight w:val="none"/>
              </w:rPr>
            </w:pPr>
          </w:p>
        </w:tc>
        <w:tc>
          <w:tcPr>
            <w:tcW w:w="1412" w:type="dxa"/>
            <w:tcBorders>
              <w:tl2br w:val="nil"/>
              <w:tr2bl w:val="nil"/>
            </w:tcBorders>
            <w:vAlign w:val="center"/>
          </w:tcPr>
          <w:p w14:paraId="43193C3E">
            <w:pPr>
              <w:jc w:val="center"/>
              <w:rPr>
                <w:rFonts w:ascii="宋体" w:hAnsi="宋体" w:eastAsia="宋体"/>
                <w:color w:val="auto"/>
                <w:sz w:val="21"/>
                <w:szCs w:val="21"/>
                <w:highlight w:val="none"/>
              </w:rPr>
            </w:pPr>
          </w:p>
        </w:tc>
        <w:tc>
          <w:tcPr>
            <w:tcW w:w="867" w:type="dxa"/>
            <w:tcBorders>
              <w:tl2br w:val="nil"/>
              <w:tr2bl w:val="nil"/>
            </w:tcBorders>
            <w:vAlign w:val="center"/>
          </w:tcPr>
          <w:p w14:paraId="682EB65C">
            <w:pPr>
              <w:jc w:val="center"/>
              <w:rPr>
                <w:rFonts w:ascii="宋体" w:hAnsi="宋体" w:eastAsia="宋体"/>
                <w:color w:val="auto"/>
                <w:sz w:val="21"/>
                <w:szCs w:val="21"/>
                <w:highlight w:val="none"/>
              </w:rPr>
            </w:pPr>
          </w:p>
        </w:tc>
      </w:tr>
    </w:tbl>
    <w:p w14:paraId="07DE9208">
      <w:pPr>
        <w:rPr>
          <w:rFonts w:ascii="宋体" w:hAnsi="宋体" w:eastAsia="宋体"/>
          <w:color w:val="auto"/>
          <w:sz w:val="21"/>
          <w:szCs w:val="21"/>
          <w:highlight w:val="none"/>
        </w:rPr>
      </w:pPr>
    </w:p>
    <w:p w14:paraId="213C23CF">
      <w:pPr>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14:paraId="26A71B62">
      <w:pPr>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14:paraId="1468BAFB">
      <w:pPr>
        <w:rPr>
          <w:rFonts w:ascii="宋体" w:hAnsi="宋体" w:eastAsia="宋体"/>
          <w:color w:val="auto"/>
          <w:sz w:val="21"/>
          <w:szCs w:val="21"/>
          <w:highlight w:val="none"/>
        </w:rPr>
      </w:pPr>
    </w:p>
    <w:p w14:paraId="7A8AECF5">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14:paraId="592A18C0">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应对照</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商务要求，在“偏离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的商务内容做出了实质性的响应，并申明与</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的偏差和例外。</w:t>
      </w:r>
    </w:p>
    <w:p w14:paraId="649C84FC">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2、商务条款包括但不限于合格</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资格、</w:t>
      </w:r>
      <w:r>
        <w:rPr>
          <w:rFonts w:hint="eastAsia" w:ascii="宋体" w:hAnsi="宋体" w:eastAsia="宋体"/>
          <w:color w:val="auto"/>
          <w:sz w:val="21"/>
          <w:szCs w:val="21"/>
          <w:highlight w:val="none"/>
          <w:lang w:val="en-US" w:eastAsia="zh-CN"/>
        </w:rPr>
        <w:t>合同期限、</w:t>
      </w:r>
      <w:r>
        <w:rPr>
          <w:rFonts w:hint="eastAsia" w:ascii="宋体" w:hAnsi="宋体" w:eastAsia="宋体"/>
          <w:color w:val="auto"/>
          <w:sz w:val="21"/>
          <w:szCs w:val="21"/>
          <w:highlight w:val="none"/>
        </w:rPr>
        <w:t>付款方式、</w:t>
      </w:r>
      <w:r>
        <w:rPr>
          <w:rFonts w:hint="eastAsia" w:ascii="宋体" w:hAnsi="宋体" w:eastAsia="宋体"/>
          <w:color w:val="auto"/>
          <w:sz w:val="21"/>
          <w:szCs w:val="21"/>
          <w:highlight w:val="none"/>
          <w:lang w:val="en-US" w:eastAsia="zh-CN"/>
        </w:rPr>
        <w:t>报价要求、</w:t>
      </w:r>
      <w:r>
        <w:rPr>
          <w:rFonts w:hint="eastAsia" w:ascii="宋体" w:hAnsi="宋体" w:eastAsia="宋体"/>
          <w:color w:val="auto"/>
          <w:sz w:val="21"/>
          <w:szCs w:val="21"/>
          <w:highlight w:val="none"/>
        </w:rPr>
        <w:t>履约保证金、售后服务、检验及验收等要求。</w:t>
      </w:r>
    </w:p>
    <w:p w14:paraId="6E1D29AE">
      <w:pPr>
        <w:adjustRightInd/>
        <w:snapToGrid/>
        <w:spacing w:line="276" w:lineRule="auto"/>
        <w:rPr>
          <w:color w:val="auto"/>
          <w:highlight w:val="none"/>
        </w:rPr>
      </w:pPr>
    </w:p>
    <w:p w14:paraId="672AB43E">
      <w:pPr>
        <w:adjustRightInd/>
        <w:snapToGrid/>
        <w:spacing w:line="276" w:lineRule="auto"/>
        <w:rPr>
          <w:color w:val="auto"/>
          <w:highlight w:val="none"/>
        </w:rPr>
      </w:pPr>
    </w:p>
    <w:p w14:paraId="632EA6F8">
      <w:pPr>
        <w:adjustRightInd/>
        <w:snapToGrid/>
        <w:spacing w:line="276" w:lineRule="auto"/>
        <w:rPr>
          <w:rFonts w:hint="eastAsia"/>
          <w:color w:val="auto"/>
          <w:highlight w:val="none"/>
        </w:rPr>
      </w:pPr>
      <w:r>
        <w:rPr>
          <w:color w:val="auto"/>
          <w:highlight w:val="none"/>
        </w:rPr>
        <w:br w:type="page"/>
      </w:r>
      <w:bookmarkStart w:id="322" w:name="_Toc32183"/>
    </w:p>
    <w:p w14:paraId="4E3CEED1">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3" w:name="_Toc25391"/>
      <w:bookmarkStart w:id="324" w:name="_Toc7350"/>
      <w:r>
        <w:rPr>
          <w:rFonts w:hint="eastAsia"/>
          <w:color w:val="auto"/>
          <w:highlight w:val="none"/>
          <w:lang w:val="en-US" w:eastAsia="zh-CN"/>
        </w:rPr>
        <w:t>十二、</w:t>
      </w:r>
      <w:r>
        <w:rPr>
          <w:rFonts w:hint="eastAsia"/>
          <w:color w:val="auto"/>
          <w:highlight w:val="none"/>
        </w:rPr>
        <w:t>业绩表</w:t>
      </w:r>
      <w:bookmarkEnd w:id="323"/>
      <w:bookmarkEnd w:id="324"/>
    </w:p>
    <w:tbl>
      <w:tblPr>
        <w:tblStyle w:val="22"/>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14:paraId="19DEA0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14:paraId="08746CF3">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14:paraId="41CE1140">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14:paraId="52E34F6C">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14:paraId="4635BC1C">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14:paraId="10D3A124">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14:paraId="6877C2ED">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14:paraId="41C0E365">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14:paraId="135C47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0CE73EF3">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454E6AB1">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20D9E943">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00D8EBFA">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67FB6FBB">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312C01CB">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160DE3D1">
            <w:pPr>
              <w:rPr>
                <w:rFonts w:hint="eastAsia" w:ascii="宋体" w:hAnsi="宋体" w:eastAsia="宋体" w:cs="宋体"/>
                <w:b w:val="0"/>
                <w:bCs/>
                <w:color w:val="auto"/>
                <w:sz w:val="21"/>
                <w:szCs w:val="21"/>
                <w:highlight w:val="none"/>
              </w:rPr>
            </w:pPr>
          </w:p>
        </w:tc>
      </w:tr>
      <w:tr w14:paraId="472413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32A2875F">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5B166054">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3AEE9719">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467EA442">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4467D8BB">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5CEE1302">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7E5A4E40">
            <w:pPr>
              <w:rPr>
                <w:rFonts w:hint="eastAsia" w:ascii="宋体" w:hAnsi="宋体" w:eastAsia="宋体" w:cs="宋体"/>
                <w:b w:val="0"/>
                <w:bCs/>
                <w:color w:val="auto"/>
                <w:sz w:val="21"/>
                <w:szCs w:val="21"/>
                <w:highlight w:val="none"/>
              </w:rPr>
            </w:pPr>
          </w:p>
        </w:tc>
      </w:tr>
      <w:tr w14:paraId="4382E0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64589741">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224FE362">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7518D720">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37C14D12">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0FA59FA9">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76E5F760">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46FA16E8">
            <w:pPr>
              <w:rPr>
                <w:rFonts w:hint="eastAsia" w:ascii="宋体" w:hAnsi="宋体" w:eastAsia="宋体" w:cs="宋体"/>
                <w:b w:val="0"/>
                <w:bCs/>
                <w:color w:val="auto"/>
                <w:sz w:val="21"/>
                <w:szCs w:val="21"/>
                <w:highlight w:val="none"/>
              </w:rPr>
            </w:pPr>
          </w:p>
        </w:tc>
      </w:tr>
      <w:tr w14:paraId="763AE5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692E8D4E">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2181D78A">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35E0A2DD">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72547437">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3B5C34B1">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222560E4">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760F939C">
            <w:pPr>
              <w:rPr>
                <w:rFonts w:hint="eastAsia" w:ascii="宋体" w:hAnsi="宋体" w:eastAsia="宋体" w:cs="宋体"/>
                <w:b w:val="0"/>
                <w:bCs/>
                <w:color w:val="auto"/>
                <w:sz w:val="21"/>
                <w:szCs w:val="21"/>
                <w:highlight w:val="none"/>
              </w:rPr>
            </w:pPr>
          </w:p>
        </w:tc>
      </w:tr>
      <w:tr w14:paraId="74FDD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16D0E885">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5C8B6FC9">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6C5645E3">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3491F7C1">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1A250DED">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6918A5B8">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348F7AED">
            <w:pPr>
              <w:rPr>
                <w:rFonts w:hint="eastAsia" w:ascii="宋体" w:hAnsi="宋体" w:eastAsia="宋体" w:cs="宋体"/>
                <w:b w:val="0"/>
                <w:bCs/>
                <w:color w:val="auto"/>
                <w:sz w:val="21"/>
                <w:szCs w:val="21"/>
                <w:highlight w:val="none"/>
              </w:rPr>
            </w:pPr>
          </w:p>
        </w:tc>
      </w:tr>
      <w:tr w14:paraId="7D0F24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31055C8C">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12A1AF6F">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417D8794">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16C73358">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7B22F4EC">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1C0FD40A">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48143FD8">
            <w:pPr>
              <w:rPr>
                <w:rFonts w:hint="eastAsia" w:ascii="宋体" w:hAnsi="宋体" w:eastAsia="宋体" w:cs="宋体"/>
                <w:b w:val="0"/>
                <w:bCs/>
                <w:color w:val="auto"/>
                <w:sz w:val="21"/>
                <w:szCs w:val="21"/>
                <w:highlight w:val="none"/>
              </w:rPr>
            </w:pPr>
          </w:p>
        </w:tc>
      </w:tr>
      <w:tr w14:paraId="1EAE76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0F42B344">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16282D58">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29497F41">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5D87FCDE">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4741DFC3">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4029061C">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0977C350">
            <w:pPr>
              <w:rPr>
                <w:rFonts w:hint="eastAsia" w:ascii="宋体" w:hAnsi="宋体" w:eastAsia="宋体" w:cs="宋体"/>
                <w:b w:val="0"/>
                <w:bCs/>
                <w:color w:val="auto"/>
                <w:sz w:val="21"/>
                <w:szCs w:val="21"/>
                <w:highlight w:val="none"/>
              </w:rPr>
            </w:pPr>
          </w:p>
        </w:tc>
      </w:tr>
      <w:tr w14:paraId="66828F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160AA63F">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127193F4">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694A79C1">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244F2DFD">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5B816FB1">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2CF4F082">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3C504834">
            <w:pPr>
              <w:rPr>
                <w:rFonts w:hint="eastAsia" w:ascii="宋体" w:hAnsi="宋体" w:eastAsia="宋体" w:cs="宋体"/>
                <w:b w:val="0"/>
                <w:bCs/>
                <w:color w:val="auto"/>
                <w:sz w:val="21"/>
                <w:szCs w:val="21"/>
                <w:highlight w:val="none"/>
              </w:rPr>
            </w:pPr>
          </w:p>
        </w:tc>
      </w:tr>
      <w:tr w14:paraId="608267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51A3790C">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23A3396D">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220599CA">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38FC0031">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7783370A">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5F865406">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43B8F4AC">
            <w:pPr>
              <w:rPr>
                <w:rFonts w:hint="eastAsia" w:ascii="宋体" w:hAnsi="宋体" w:eastAsia="宋体" w:cs="宋体"/>
                <w:b w:val="0"/>
                <w:bCs/>
                <w:color w:val="auto"/>
                <w:sz w:val="21"/>
                <w:szCs w:val="21"/>
                <w:highlight w:val="none"/>
              </w:rPr>
            </w:pPr>
          </w:p>
        </w:tc>
      </w:tr>
      <w:tr w14:paraId="14B7B9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3E00D58F">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279AC6EB">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2B6763BA">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18DE886F">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0AEBBA61">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46E99872">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4E05C5FF">
            <w:pPr>
              <w:rPr>
                <w:rFonts w:hint="eastAsia" w:ascii="宋体" w:hAnsi="宋体" w:eastAsia="宋体" w:cs="宋体"/>
                <w:b w:val="0"/>
                <w:bCs/>
                <w:color w:val="auto"/>
                <w:sz w:val="21"/>
                <w:szCs w:val="21"/>
                <w:highlight w:val="none"/>
              </w:rPr>
            </w:pPr>
          </w:p>
        </w:tc>
      </w:tr>
      <w:tr w14:paraId="13E763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40DCF493">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316BF9E7">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426AA403">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2BF9EE64">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170C6C22">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72F56148">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366025F1">
            <w:pPr>
              <w:rPr>
                <w:rFonts w:hint="eastAsia" w:ascii="宋体" w:hAnsi="宋体" w:eastAsia="宋体" w:cs="宋体"/>
                <w:b w:val="0"/>
                <w:bCs/>
                <w:color w:val="auto"/>
                <w:sz w:val="21"/>
                <w:szCs w:val="21"/>
                <w:highlight w:val="none"/>
              </w:rPr>
            </w:pPr>
          </w:p>
        </w:tc>
      </w:tr>
    </w:tbl>
    <w:p w14:paraId="0FF8842B">
      <w:pPr>
        <w:pStyle w:val="32"/>
        <w:spacing w:after="0"/>
        <w:rPr>
          <w:rFonts w:ascii="宋体" w:hAnsi="宋体" w:eastAsia="宋体"/>
          <w:color w:val="auto"/>
          <w:sz w:val="21"/>
          <w:szCs w:val="21"/>
          <w:highlight w:val="none"/>
        </w:rPr>
      </w:pPr>
    </w:p>
    <w:p w14:paraId="5E45D1F9">
      <w:pPr>
        <w:pStyle w:val="32"/>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须提供须提供证明资料，</w:t>
      </w:r>
      <w:r>
        <w:rPr>
          <w:rFonts w:hint="eastAsia" w:ascii="宋体" w:hAnsi="宋体" w:eastAsia="宋体"/>
          <w:color w:val="auto"/>
          <w:sz w:val="21"/>
          <w:szCs w:val="21"/>
          <w:highlight w:val="none"/>
        </w:rPr>
        <w:t>业绩表所列出的材料应为真实准确的，并应提供相关证明材料复印件加盖公章。</w:t>
      </w:r>
    </w:p>
    <w:p w14:paraId="2984D1D4">
      <w:pPr>
        <w:bidi w:val="0"/>
        <w:rPr>
          <w:rFonts w:hint="eastAsia"/>
          <w:color w:val="auto"/>
          <w:highlight w:val="none"/>
        </w:rPr>
      </w:pPr>
    </w:p>
    <w:p w14:paraId="2FA8C40F">
      <w:pPr>
        <w:bidi w:val="0"/>
        <w:rPr>
          <w:rFonts w:hint="eastAsia"/>
          <w:color w:val="auto"/>
          <w:highlight w:val="none"/>
        </w:rPr>
      </w:pPr>
    </w:p>
    <w:p w14:paraId="2475EE34">
      <w:pPr>
        <w:bidi w:val="0"/>
        <w:rPr>
          <w:rFonts w:hint="eastAsia"/>
          <w:color w:val="auto"/>
          <w:highlight w:val="none"/>
        </w:rPr>
      </w:pPr>
    </w:p>
    <w:p w14:paraId="775A9B80">
      <w:pPr>
        <w:bidi w:val="0"/>
        <w:rPr>
          <w:rFonts w:hint="eastAsia"/>
          <w:color w:val="auto"/>
          <w:highlight w:val="none"/>
        </w:rPr>
      </w:pPr>
    </w:p>
    <w:p w14:paraId="69D014C7">
      <w:pPr>
        <w:bidi w:val="0"/>
        <w:rPr>
          <w:rFonts w:hint="eastAsia"/>
          <w:color w:val="auto"/>
          <w:highlight w:val="none"/>
        </w:rPr>
      </w:pPr>
    </w:p>
    <w:p w14:paraId="4A3C529E">
      <w:pPr>
        <w:bidi w:val="0"/>
        <w:rPr>
          <w:rFonts w:hint="eastAsia"/>
          <w:color w:val="auto"/>
          <w:highlight w:val="none"/>
        </w:rPr>
      </w:pPr>
    </w:p>
    <w:p w14:paraId="4403B4DD">
      <w:pPr>
        <w:bidi w:val="0"/>
        <w:rPr>
          <w:rFonts w:hint="eastAsia"/>
          <w:color w:val="auto"/>
          <w:highlight w:val="none"/>
        </w:rPr>
      </w:pPr>
    </w:p>
    <w:p w14:paraId="65BD5012">
      <w:pPr>
        <w:bidi w:val="0"/>
        <w:rPr>
          <w:rFonts w:hint="eastAsia"/>
          <w:color w:val="auto"/>
          <w:highlight w:val="none"/>
        </w:rPr>
      </w:pPr>
    </w:p>
    <w:p w14:paraId="0DD8FED7">
      <w:pPr>
        <w:bidi w:val="0"/>
        <w:rPr>
          <w:rFonts w:hint="eastAsia"/>
          <w:color w:val="auto"/>
          <w:highlight w:val="none"/>
        </w:rPr>
      </w:pPr>
    </w:p>
    <w:p w14:paraId="59786E4B">
      <w:pPr>
        <w:bidi w:val="0"/>
        <w:rPr>
          <w:rFonts w:hint="eastAsia"/>
          <w:color w:val="auto"/>
          <w:highlight w:val="none"/>
        </w:rPr>
      </w:pPr>
    </w:p>
    <w:p w14:paraId="5410E763">
      <w:pPr>
        <w:bidi w:val="0"/>
        <w:rPr>
          <w:rFonts w:hint="eastAsia"/>
          <w:color w:val="auto"/>
          <w:highlight w:val="none"/>
        </w:rPr>
      </w:pPr>
    </w:p>
    <w:p w14:paraId="0D5FCB9F">
      <w:pPr>
        <w:bidi w:val="0"/>
        <w:rPr>
          <w:rFonts w:hint="eastAsia"/>
          <w:color w:val="auto"/>
          <w:highlight w:val="none"/>
        </w:rPr>
      </w:pPr>
    </w:p>
    <w:p w14:paraId="46429CF3">
      <w:pPr>
        <w:bidi w:val="0"/>
        <w:rPr>
          <w:rFonts w:hint="eastAsia"/>
          <w:color w:val="auto"/>
          <w:highlight w:val="none"/>
        </w:rPr>
      </w:pPr>
    </w:p>
    <w:p w14:paraId="669B4A9E">
      <w:pPr>
        <w:bidi w:val="0"/>
        <w:rPr>
          <w:rFonts w:hint="eastAsia"/>
          <w:color w:val="auto"/>
          <w:highlight w:val="none"/>
        </w:rPr>
      </w:pPr>
    </w:p>
    <w:p w14:paraId="2FBC55A7">
      <w:pPr>
        <w:pStyle w:val="7"/>
        <w:rPr>
          <w:rFonts w:hint="eastAsia"/>
          <w:color w:val="auto"/>
          <w:highlight w:val="none"/>
        </w:rPr>
      </w:pPr>
    </w:p>
    <w:p w14:paraId="29709C68">
      <w:pPr>
        <w:pStyle w:val="7"/>
        <w:ind w:left="0" w:leftChars="0" w:firstLine="0" w:firstLineChars="0"/>
        <w:rPr>
          <w:rFonts w:hint="eastAsia"/>
          <w:color w:val="auto"/>
          <w:highlight w:val="none"/>
        </w:rPr>
      </w:pPr>
    </w:p>
    <w:p w14:paraId="11A05750">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highlight w:val="none"/>
        </w:rPr>
      </w:pPr>
      <w:bookmarkStart w:id="325" w:name="_Toc14688"/>
      <w:bookmarkStart w:id="326" w:name="_Toc25650"/>
      <w:r>
        <w:rPr>
          <w:rFonts w:hint="eastAsia"/>
          <w:color w:val="auto"/>
          <w:highlight w:val="none"/>
          <w:lang w:val="en-US" w:eastAsia="zh-CN"/>
        </w:rPr>
        <w:t>第三章技术文件</w:t>
      </w:r>
      <w:bookmarkEnd w:id="322"/>
      <w:bookmarkEnd w:id="325"/>
      <w:bookmarkEnd w:id="326"/>
    </w:p>
    <w:p w14:paraId="0C417869">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7" w:name="_Toc13588"/>
      <w:bookmarkStart w:id="328" w:name="_Toc7092"/>
      <w:r>
        <w:rPr>
          <w:rFonts w:hint="eastAsia"/>
          <w:color w:val="auto"/>
          <w:highlight w:val="none"/>
          <w:lang w:val="en-US" w:eastAsia="zh-CN"/>
        </w:rPr>
        <w:t>一、</w:t>
      </w:r>
      <w:r>
        <w:rPr>
          <w:rFonts w:hint="eastAsia"/>
          <w:color w:val="auto"/>
          <w:highlight w:val="none"/>
        </w:rPr>
        <w:t>技术规格偏离表</w:t>
      </w:r>
      <w:bookmarkEnd w:id="327"/>
      <w:bookmarkEnd w:id="328"/>
    </w:p>
    <w:tbl>
      <w:tblPr>
        <w:tblStyle w:val="22"/>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14:paraId="3DBCAF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14:paraId="317D1BE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23" w:type="dxa"/>
            <w:tcBorders>
              <w:tl2br w:val="nil"/>
              <w:tr2bl w:val="nil"/>
            </w:tcBorders>
            <w:vAlign w:val="center"/>
          </w:tcPr>
          <w:p w14:paraId="69E04C8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技术规格</w:t>
            </w:r>
          </w:p>
        </w:tc>
        <w:tc>
          <w:tcPr>
            <w:tcW w:w="1815" w:type="dxa"/>
            <w:tcBorders>
              <w:tl2br w:val="nil"/>
              <w:tr2bl w:val="nil"/>
            </w:tcBorders>
            <w:vAlign w:val="center"/>
          </w:tcPr>
          <w:p w14:paraId="76256E8D">
            <w:pPr>
              <w:spacing w:after="0"/>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磋商文件</w:t>
            </w:r>
            <w:r>
              <w:rPr>
                <w:rFonts w:hint="eastAsia" w:ascii="宋体" w:hAnsi="宋体" w:eastAsia="宋体" w:cs="宋体"/>
                <w:color w:val="auto"/>
                <w:sz w:val="21"/>
                <w:szCs w:val="21"/>
                <w:highlight w:val="none"/>
              </w:rPr>
              <w:t>要求</w:t>
            </w:r>
          </w:p>
        </w:tc>
        <w:tc>
          <w:tcPr>
            <w:tcW w:w="1590" w:type="dxa"/>
            <w:tcBorders>
              <w:tl2br w:val="nil"/>
              <w:tr2bl w:val="nil"/>
            </w:tcBorders>
            <w:vAlign w:val="center"/>
          </w:tcPr>
          <w:p w14:paraId="220848A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实际响应</w:t>
            </w:r>
          </w:p>
        </w:tc>
        <w:tc>
          <w:tcPr>
            <w:tcW w:w="1260" w:type="dxa"/>
            <w:tcBorders>
              <w:tl2br w:val="nil"/>
              <w:tr2bl w:val="nil"/>
            </w:tcBorders>
            <w:vAlign w:val="center"/>
          </w:tcPr>
          <w:p w14:paraId="66BF7BC8">
            <w:pPr>
              <w:spacing w:after="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偏离</w:t>
            </w:r>
            <w:r>
              <w:rPr>
                <w:rFonts w:hint="eastAsia" w:ascii="宋体" w:hAnsi="宋体" w:eastAsia="宋体" w:cs="宋体"/>
                <w:color w:val="auto"/>
                <w:sz w:val="21"/>
                <w:szCs w:val="21"/>
                <w:highlight w:val="none"/>
                <w:lang w:val="en-US" w:eastAsia="zh-CN"/>
              </w:rPr>
              <w:t>情况</w:t>
            </w:r>
          </w:p>
        </w:tc>
        <w:tc>
          <w:tcPr>
            <w:tcW w:w="1200" w:type="dxa"/>
            <w:tcBorders>
              <w:tl2br w:val="nil"/>
              <w:tr2bl w:val="nil"/>
            </w:tcBorders>
            <w:vAlign w:val="center"/>
          </w:tcPr>
          <w:p w14:paraId="0041854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14:paraId="764136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7F9CF53C">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401C8E2C">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595006AF">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62F68D4F">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2F80F3AC">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7886AA0D">
            <w:pPr>
              <w:jc w:val="center"/>
              <w:rPr>
                <w:rFonts w:hint="eastAsia" w:ascii="宋体" w:hAnsi="宋体" w:eastAsia="宋体" w:cs="宋体"/>
                <w:color w:val="auto"/>
                <w:sz w:val="21"/>
                <w:szCs w:val="21"/>
                <w:highlight w:val="none"/>
              </w:rPr>
            </w:pPr>
          </w:p>
        </w:tc>
      </w:tr>
      <w:tr w14:paraId="24F7C5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7D6ADE6E">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3516A028">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549EA54A">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1F74F016">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7C56420F">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13123FD0">
            <w:pPr>
              <w:jc w:val="center"/>
              <w:rPr>
                <w:rFonts w:hint="eastAsia" w:ascii="宋体" w:hAnsi="宋体" w:eastAsia="宋体" w:cs="宋体"/>
                <w:color w:val="auto"/>
                <w:sz w:val="21"/>
                <w:szCs w:val="21"/>
                <w:highlight w:val="none"/>
              </w:rPr>
            </w:pPr>
          </w:p>
        </w:tc>
      </w:tr>
      <w:tr w14:paraId="51934E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04830256">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01197E8A">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27378C0B">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0B62159C">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7DBF97B9">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45C1F2B8">
            <w:pPr>
              <w:jc w:val="center"/>
              <w:rPr>
                <w:rFonts w:hint="eastAsia" w:ascii="宋体" w:hAnsi="宋体" w:eastAsia="宋体" w:cs="宋体"/>
                <w:color w:val="auto"/>
                <w:sz w:val="21"/>
                <w:szCs w:val="21"/>
                <w:highlight w:val="none"/>
              </w:rPr>
            </w:pPr>
          </w:p>
        </w:tc>
      </w:tr>
      <w:tr w14:paraId="78F100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11D0CEFC">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21DE0B9C">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31791915">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45ACB365">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2F1C1A79">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2502C488">
            <w:pPr>
              <w:jc w:val="center"/>
              <w:rPr>
                <w:rFonts w:hint="eastAsia" w:ascii="宋体" w:hAnsi="宋体" w:eastAsia="宋体" w:cs="宋体"/>
                <w:color w:val="auto"/>
                <w:sz w:val="21"/>
                <w:szCs w:val="21"/>
                <w:highlight w:val="none"/>
              </w:rPr>
            </w:pPr>
          </w:p>
        </w:tc>
      </w:tr>
      <w:tr w14:paraId="19876A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038EFA20">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00BD88B7">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5E0A1895">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61C4B7FA">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0AB71139">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630E7A0D">
            <w:pPr>
              <w:jc w:val="center"/>
              <w:rPr>
                <w:rFonts w:hint="eastAsia" w:ascii="宋体" w:hAnsi="宋体" w:eastAsia="宋体" w:cs="宋体"/>
                <w:color w:val="auto"/>
                <w:sz w:val="21"/>
                <w:szCs w:val="21"/>
                <w:highlight w:val="none"/>
              </w:rPr>
            </w:pPr>
          </w:p>
        </w:tc>
      </w:tr>
      <w:tr w14:paraId="28AEA0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A0C6409">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5C51585C">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3B4C887D">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65FF21C8">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3FFA6543">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7C987CBD">
            <w:pPr>
              <w:jc w:val="center"/>
              <w:rPr>
                <w:rFonts w:hint="eastAsia" w:ascii="宋体" w:hAnsi="宋体" w:eastAsia="宋体" w:cs="宋体"/>
                <w:color w:val="auto"/>
                <w:sz w:val="21"/>
                <w:szCs w:val="21"/>
                <w:highlight w:val="none"/>
              </w:rPr>
            </w:pPr>
          </w:p>
        </w:tc>
      </w:tr>
      <w:tr w14:paraId="4BABF2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7F5E7B7">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28036E48">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1249CFB4">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023684FD">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1DBCB60D">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0887C5AF">
            <w:pPr>
              <w:jc w:val="center"/>
              <w:rPr>
                <w:rFonts w:hint="eastAsia" w:ascii="宋体" w:hAnsi="宋体" w:eastAsia="宋体" w:cs="宋体"/>
                <w:color w:val="auto"/>
                <w:sz w:val="21"/>
                <w:szCs w:val="21"/>
                <w:highlight w:val="none"/>
              </w:rPr>
            </w:pPr>
          </w:p>
        </w:tc>
      </w:tr>
      <w:tr w14:paraId="11883A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A1A00E5">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03727D4A">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17ABDE5B">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39A80495">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3276083C">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3F52990F">
            <w:pPr>
              <w:jc w:val="center"/>
              <w:rPr>
                <w:rFonts w:hint="eastAsia" w:ascii="宋体" w:hAnsi="宋体" w:eastAsia="宋体" w:cs="宋体"/>
                <w:color w:val="auto"/>
                <w:sz w:val="21"/>
                <w:szCs w:val="21"/>
                <w:highlight w:val="none"/>
              </w:rPr>
            </w:pPr>
          </w:p>
        </w:tc>
      </w:tr>
      <w:tr w14:paraId="16AB2A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716C07A2">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29F23428">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6F798EB3">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4070BBCC">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2A601A2A">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69A31DAB">
            <w:pPr>
              <w:jc w:val="center"/>
              <w:rPr>
                <w:rFonts w:hint="eastAsia" w:ascii="宋体" w:hAnsi="宋体" w:eastAsia="宋体" w:cs="宋体"/>
                <w:color w:val="auto"/>
                <w:sz w:val="21"/>
                <w:szCs w:val="21"/>
                <w:highlight w:val="none"/>
              </w:rPr>
            </w:pPr>
          </w:p>
        </w:tc>
      </w:tr>
      <w:tr w14:paraId="26B98C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F4FB041">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2E8A02A6">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2F66B8BE">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6EB22248">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0FB82D9E">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443B42B6">
            <w:pPr>
              <w:jc w:val="center"/>
              <w:rPr>
                <w:rFonts w:hint="eastAsia" w:ascii="宋体" w:hAnsi="宋体" w:eastAsia="宋体" w:cs="宋体"/>
                <w:color w:val="auto"/>
                <w:sz w:val="21"/>
                <w:szCs w:val="21"/>
                <w:highlight w:val="none"/>
              </w:rPr>
            </w:pPr>
          </w:p>
        </w:tc>
      </w:tr>
      <w:tr w14:paraId="22DA28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12D76AA0">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7F733B20">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682292AD">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4E314E97">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6578A616">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689EF8AF">
            <w:pPr>
              <w:jc w:val="center"/>
              <w:rPr>
                <w:rFonts w:hint="eastAsia" w:ascii="宋体" w:hAnsi="宋体" w:eastAsia="宋体" w:cs="宋体"/>
                <w:color w:val="auto"/>
                <w:sz w:val="21"/>
                <w:szCs w:val="21"/>
                <w:highlight w:val="none"/>
              </w:rPr>
            </w:pPr>
          </w:p>
        </w:tc>
      </w:tr>
      <w:tr w14:paraId="009622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448E3110">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25368984">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6A0342D2">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18A05B53">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3986E3A1">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09FC36FF">
            <w:pPr>
              <w:jc w:val="center"/>
              <w:rPr>
                <w:rFonts w:hint="eastAsia" w:ascii="宋体" w:hAnsi="宋体" w:eastAsia="宋体" w:cs="宋体"/>
                <w:color w:val="auto"/>
                <w:sz w:val="21"/>
                <w:szCs w:val="21"/>
                <w:highlight w:val="none"/>
              </w:rPr>
            </w:pPr>
          </w:p>
        </w:tc>
      </w:tr>
      <w:tr w14:paraId="104986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038B9C42">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5A609803">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5EEE18DB">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159DBB35">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2E387D52">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51E411C7">
            <w:pPr>
              <w:jc w:val="center"/>
              <w:rPr>
                <w:rFonts w:hint="eastAsia" w:ascii="宋体" w:hAnsi="宋体" w:eastAsia="宋体" w:cs="宋体"/>
                <w:color w:val="auto"/>
                <w:sz w:val="21"/>
                <w:szCs w:val="21"/>
                <w:highlight w:val="none"/>
              </w:rPr>
            </w:pPr>
          </w:p>
        </w:tc>
      </w:tr>
      <w:tr w14:paraId="7FE23A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CC8A002">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6922ECE4">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63D70DD8">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68FF3FB0">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530C470F">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6A7BB94F">
            <w:pPr>
              <w:jc w:val="center"/>
              <w:rPr>
                <w:rFonts w:hint="eastAsia" w:ascii="宋体" w:hAnsi="宋体" w:eastAsia="宋体" w:cs="宋体"/>
                <w:color w:val="auto"/>
                <w:sz w:val="21"/>
                <w:szCs w:val="21"/>
                <w:highlight w:val="none"/>
              </w:rPr>
            </w:pPr>
          </w:p>
        </w:tc>
      </w:tr>
    </w:tbl>
    <w:p w14:paraId="1FA5B839">
      <w:pPr>
        <w:rPr>
          <w:rFonts w:ascii="宋体" w:hAnsi="宋体" w:eastAsia="宋体"/>
          <w:color w:val="auto"/>
          <w:sz w:val="21"/>
          <w:szCs w:val="21"/>
          <w:highlight w:val="none"/>
        </w:rPr>
      </w:pPr>
    </w:p>
    <w:p w14:paraId="6076F961">
      <w:pPr>
        <w:bidi w:val="0"/>
        <w:rPr>
          <w:color w:val="auto"/>
          <w:highlight w:val="none"/>
        </w:rPr>
      </w:pPr>
    </w:p>
    <w:p w14:paraId="1FC863F3">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14:paraId="4306E90D">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14:paraId="7C0A1EB0">
      <w:pPr>
        <w:ind w:firstLine="178" w:firstLineChars="85"/>
        <w:rPr>
          <w:rFonts w:ascii="宋体" w:hAnsi="宋体" w:eastAsia="宋体"/>
          <w:color w:val="auto"/>
          <w:sz w:val="21"/>
          <w:szCs w:val="21"/>
          <w:highlight w:val="none"/>
        </w:rPr>
      </w:pPr>
    </w:p>
    <w:p w14:paraId="0D6DC648">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应对照</w:t>
      </w:r>
      <w:r>
        <w:rPr>
          <w:rFonts w:hint="eastAsia" w:ascii="宋体" w:hAnsi="宋体"/>
          <w:color w:val="auto"/>
          <w:sz w:val="21"/>
          <w:szCs w:val="21"/>
          <w:highlight w:val="none"/>
          <w:lang w:eastAsia="zh-CN"/>
        </w:rPr>
        <w:t>磋商文件</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内容做出了实质性的响应，并申明与</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的偏差和例外。</w:t>
      </w:r>
    </w:p>
    <w:p w14:paraId="613BC209">
      <w:pPr>
        <w:rPr>
          <w:rFonts w:hint="eastAsia" w:ascii="宋体" w:hAnsi="宋体" w:eastAsia="宋体"/>
          <w:color w:val="auto"/>
          <w:sz w:val="21"/>
          <w:szCs w:val="21"/>
          <w:highlight w:val="none"/>
        </w:rPr>
      </w:pPr>
    </w:p>
    <w:p w14:paraId="4D620DD8">
      <w:pPr>
        <w:rPr>
          <w:rFonts w:ascii="宋体" w:hAnsi="宋体" w:eastAsia="宋体"/>
          <w:color w:val="auto"/>
          <w:sz w:val="21"/>
          <w:szCs w:val="21"/>
          <w:highlight w:val="none"/>
        </w:rPr>
      </w:pPr>
    </w:p>
    <w:p w14:paraId="6F27670C">
      <w:pPr>
        <w:spacing w:after="0" w:line="360" w:lineRule="auto"/>
        <w:rPr>
          <w:rFonts w:ascii="宋体" w:hAnsi="宋体" w:eastAsia="宋体"/>
          <w:color w:val="auto"/>
          <w:sz w:val="21"/>
          <w:szCs w:val="21"/>
          <w:highlight w:val="none"/>
        </w:rPr>
      </w:pPr>
    </w:p>
    <w:p w14:paraId="5B4A53E7">
      <w:pPr>
        <w:adjustRightInd/>
        <w:snapToGrid/>
        <w:spacing w:line="276" w:lineRule="auto"/>
        <w:rPr>
          <w:color w:val="auto"/>
          <w:highlight w:val="none"/>
        </w:rPr>
      </w:pPr>
    </w:p>
    <w:p w14:paraId="35B4B18B">
      <w:pPr>
        <w:rPr>
          <w:rFonts w:ascii="黑体" w:eastAsia="黑体"/>
          <w:color w:val="auto"/>
          <w:sz w:val="28"/>
          <w:szCs w:val="28"/>
          <w:highlight w:val="none"/>
        </w:rPr>
      </w:pPr>
      <w:bookmarkStart w:id="329" w:name="_Toc17691"/>
      <w:r>
        <w:rPr>
          <w:rFonts w:hint="eastAsia" w:ascii="宋体" w:hAnsi="宋体" w:eastAsia="宋体"/>
          <w:color w:val="auto"/>
          <w:sz w:val="21"/>
          <w:szCs w:val="21"/>
          <w:highlight w:val="none"/>
        </w:rPr>
        <w:br w:type="page"/>
      </w:r>
      <w:bookmarkEnd w:id="329"/>
      <w:bookmarkStart w:id="330" w:name="_Toc18668"/>
      <w:bookmarkStart w:id="331" w:name="_Toc26078"/>
      <w:bookmarkStart w:id="332" w:name="_Toc1274"/>
      <w:bookmarkStart w:id="333" w:name="_Toc4827"/>
      <w:bookmarkStart w:id="334" w:name="_Toc6080"/>
      <w:bookmarkStart w:id="335" w:name="_Toc4464"/>
    </w:p>
    <w:p w14:paraId="2CAA295C">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36" w:name="_Toc28702"/>
      <w:bookmarkStart w:id="337" w:name="_Toc10734"/>
      <w:r>
        <w:rPr>
          <w:rFonts w:hint="eastAsia"/>
          <w:color w:val="auto"/>
          <w:highlight w:val="none"/>
          <w:lang w:val="en-US" w:eastAsia="zh-CN"/>
        </w:rPr>
        <w:t>二、</w:t>
      </w:r>
      <w:r>
        <w:rPr>
          <w:rFonts w:hint="eastAsia"/>
          <w:color w:val="auto"/>
          <w:highlight w:val="none"/>
        </w:rPr>
        <w:t>重要技术参数（▲）响应表</w:t>
      </w:r>
      <w:bookmarkEnd w:id="330"/>
      <w:bookmarkEnd w:id="331"/>
      <w:bookmarkEnd w:id="332"/>
      <w:bookmarkEnd w:id="333"/>
      <w:bookmarkEnd w:id="334"/>
      <w:bookmarkEnd w:id="335"/>
      <w:bookmarkEnd w:id="336"/>
      <w:bookmarkEnd w:id="337"/>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14:paraId="170CEA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90939AC">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38" w:name="_Toc27079"/>
            <w:bookmarkStart w:id="339" w:name="_Toc29560"/>
            <w:bookmarkStart w:id="340" w:name="_Toc29642"/>
            <w:bookmarkStart w:id="341" w:name="_Toc2784"/>
            <w:r>
              <w:rPr>
                <w:rFonts w:hint="eastAsia" w:ascii="宋体" w:hAnsi="宋体" w:eastAsia="宋体" w:cs="宋体"/>
                <w:b w:val="0"/>
                <w:bCs w:val="0"/>
                <w:color w:val="auto"/>
                <w:sz w:val="21"/>
                <w:szCs w:val="21"/>
                <w:highlight w:val="none"/>
                <w:lang w:val="en-US" w:eastAsia="zh-CN"/>
              </w:rPr>
              <w:t>序号</w:t>
            </w:r>
            <w:bookmarkEnd w:id="338"/>
            <w:bookmarkEnd w:id="339"/>
            <w:bookmarkEnd w:id="340"/>
            <w:bookmarkEnd w:id="341"/>
          </w:p>
        </w:tc>
        <w:tc>
          <w:tcPr>
            <w:tcW w:w="2550" w:type="dxa"/>
            <w:tcBorders>
              <w:tl2br w:val="nil"/>
              <w:tr2bl w:val="nil"/>
            </w:tcBorders>
            <w:vAlign w:val="center"/>
          </w:tcPr>
          <w:p w14:paraId="209AF475">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42" w:name="_Toc26124"/>
            <w:bookmarkStart w:id="343" w:name="_Toc1016"/>
            <w:bookmarkStart w:id="344" w:name="_Toc6189"/>
            <w:bookmarkStart w:id="345" w:name="_Toc2700"/>
            <w:bookmarkStart w:id="346" w:name="_Toc10045"/>
            <w:bookmarkStart w:id="347" w:name="_Toc15903"/>
            <w:bookmarkStart w:id="348" w:name="_Toc15368"/>
            <w:bookmarkStart w:id="349" w:name="_Toc16872"/>
            <w:bookmarkStart w:id="350" w:name="_Toc4304"/>
            <w:bookmarkStart w:id="351" w:name="_Toc27090"/>
            <w:bookmarkStart w:id="352" w:name="_Toc12049"/>
            <w:bookmarkStart w:id="353" w:name="_Toc14815"/>
            <w:bookmarkStart w:id="354" w:name="_Toc22448"/>
            <w:bookmarkStart w:id="355" w:name="_Toc21739"/>
            <w:bookmarkStart w:id="356" w:name="_Toc24662"/>
            <w:bookmarkStart w:id="357" w:name="_Toc19251"/>
            <w:bookmarkStart w:id="358" w:name="_Toc27442"/>
            <w:bookmarkStart w:id="359" w:name="_Toc7333"/>
            <w:bookmarkStart w:id="360" w:name="_Toc8312"/>
            <w:bookmarkStart w:id="361" w:name="_Toc32531"/>
            <w:bookmarkStart w:id="362" w:name="_Toc22917"/>
            <w:bookmarkStart w:id="363" w:name="_Toc8490"/>
            <w:bookmarkStart w:id="364" w:name="_Toc22879"/>
            <w:bookmarkStart w:id="365" w:name="_Toc21809"/>
            <w:r>
              <w:rPr>
                <w:rFonts w:hint="eastAsia" w:ascii="宋体" w:hAnsi="宋体" w:eastAsia="宋体" w:cs="宋体"/>
                <w:b w:val="0"/>
                <w:bCs w:val="0"/>
                <w:color w:val="auto"/>
                <w:sz w:val="21"/>
                <w:szCs w:val="21"/>
                <w:highlight w:val="none"/>
                <w:lang w:val="en-US" w:eastAsia="zh-CN"/>
              </w:rPr>
              <w:t>重要</w:t>
            </w:r>
            <w:r>
              <w:rPr>
                <w:rFonts w:hint="eastAsia" w:ascii="宋体" w:hAnsi="宋体" w:eastAsia="宋体" w:cs="宋体"/>
                <w:b w:val="0"/>
                <w:bCs w:val="0"/>
                <w:color w:val="auto"/>
                <w:sz w:val="21"/>
                <w:szCs w:val="21"/>
                <w:highlight w:val="none"/>
              </w:rPr>
              <w:t>技术参</w:t>
            </w:r>
            <w:r>
              <w:rPr>
                <w:rFonts w:hint="eastAsia" w:ascii="宋体" w:hAnsi="宋体" w:eastAsia="宋体" w:cs="宋体"/>
                <w:b w:val="0"/>
                <w:bCs w:val="0"/>
                <w:color w:val="auto"/>
                <w:sz w:val="21"/>
                <w:szCs w:val="21"/>
                <w:highlight w:val="none"/>
                <w:lang w:val="en-US" w:eastAsia="zh-CN"/>
              </w:rPr>
              <w:t>数评分条款</w:t>
            </w:r>
            <w:r>
              <w:rPr>
                <w:rFonts w:hint="eastAsia" w:ascii="宋体" w:hAnsi="宋体" w:eastAsia="宋体" w:cs="宋体"/>
                <w:b w:val="0"/>
                <w:bCs w:val="0"/>
                <w:color w:val="auto"/>
                <w:sz w:val="21"/>
                <w:szCs w:val="21"/>
                <w:highlight w:val="none"/>
              </w:rPr>
              <w:t>（▲）</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bookmarkEnd w:id="356"/>
          <w:bookmarkEnd w:id="357"/>
          <w:bookmarkEnd w:id="358"/>
          <w:bookmarkEnd w:id="359"/>
          <w:bookmarkEnd w:id="360"/>
          <w:bookmarkEnd w:id="361"/>
          <w:bookmarkEnd w:id="362"/>
          <w:bookmarkEnd w:id="363"/>
          <w:bookmarkEnd w:id="364"/>
          <w:bookmarkEnd w:id="365"/>
        </w:tc>
        <w:tc>
          <w:tcPr>
            <w:tcW w:w="2280" w:type="dxa"/>
            <w:tcBorders>
              <w:tl2br w:val="nil"/>
              <w:tr2bl w:val="nil"/>
            </w:tcBorders>
            <w:vAlign w:val="center"/>
          </w:tcPr>
          <w:p w14:paraId="1F60D5E6">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66" w:name="_Toc21496"/>
            <w:bookmarkStart w:id="367" w:name="_Toc10122"/>
            <w:bookmarkStart w:id="368" w:name="_Toc2408"/>
            <w:bookmarkStart w:id="369" w:name="_Toc22153"/>
            <w:r>
              <w:rPr>
                <w:rFonts w:hint="eastAsia" w:ascii="宋体" w:hAnsi="宋体" w:eastAsia="宋体" w:cs="宋体"/>
                <w:b w:val="0"/>
                <w:bCs w:val="0"/>
                <w:color w:val="auto"/>
                <w:kern w:val="0"/>
                <w:sz w:val="21"/>
                <w:szCs w:val="21"/>
                <w:highlight w:val="none"/>
                <w:lang w:eastAsia="zh-CN"/>
              </w:rPr>
              <w:t>响应文件</w:t>
            </w:r>
            <w:r>
              <w:rPr>
                <w:rFonts w:hint="eastAsia" w:ascii="宋体" w:hAnsi="宋体" w:eastAsia="宋体" w:cs="宋体"/>
                <w:b w:val="0"/>
                <w:bCs w:val="0"/>
                <w:color w:val="auto"/>
                <w:kern w:val="0"/>
                <w:sz w:val="21"/>
                <w:szCs w:val="21"/>
                <w:highlight w:val="none"/>
              </w:rPr>
              <w:t>响应内容</w:t>
            </w:r>
            <w:bookmarkEnd w:id="366"/>
            <w:bookmarkEnd w:id="367"/>
            <w:bookmarkEnd w:id="368"/>
            <w:bookmarkEnd w:id="369"/>
          </w:p>
        </w:tc>
        <w:tc>
          <w:tcPr>
            <w:tcW w:w="1109" w:type="dxa"/>
            <w:tcBorders>
              <w:tl2br w:val="nil"/>
              <w:tr2bl w:val="nil"/>
            </w:tcBorders>
            <w:vAlign w:val="center"/>
          </w:tcPr>
          <w:p w14:paraId="296671FF">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70" w:name="_Toc16003"/>
            <w:bookmarkStart w:id="371" w:name="_Toc27285"/>
            <w:bookmarkStart w:id="372" w:name="_Toc29838"/>
            <w:bookmarkStart w:id="373" w:name="_Toc16432"/>
            <w:bookmarkStart w:id="374" w:name="_Toc17296"/>
            <w:bookmarkStart w:id="375" w:name="_Toc1330"/>
            <w:bookmarkStart w:id="376" w:name="_Toc20139"/>
            <w:bookmarkStart w:id="377" w:name="_Toc17642"/>
            <w:bookmarkStart w:id="378" w:name="_Toc3701"/>
            <w:bookmarkStart w:id="379" w:name="_Toc1912"/>
            <w:bookmarkStart w:id="380" w:name="_Toc5992"/>
            <w:bookmarkStart w:id="381" w:name="_Toc20820"/>
            <w:bookmarkStart w:id="382" w:name="_Toc5563"/>
            <w:bookmarkStart w:id="383" w:name="_Toc27185"/>
            <w:r>
              <w:rPr>
                <w:rFonts w:hint="eastAsia" w:ascii="宋体" w:hAnsi="宋体" w:eastAsia="宋体" w:cs="宋体"/>
                <w:b w:val="0"/>
                <w:bCs w:val="0"/>
                <w:color w:val="auto"/>
                <w:sz w:val="21"/>
                <w:szCs w:val="21"/>
                <w:highlight w:val="none"/>
                <w:lang w:val="en-US" w:eastAsia="zh-CN"/>
              </w:rPr>
              <w:t>说明</w:t>
            </w:r>
            <w:bookmarkEnd w:id="370"/>
            <w:bookmarkEnd w:id="371"/>
            <w:bookmarkEnd w:id="372"/>
            <w:bookmarkEnd w:id="373"/>
          </w:p>
        </w:tc>
        <w:tc>
          <w:tcPr>
            <w:tcW w:w="1591" w:type="dxa"/>
            <w:tcBorders>
              <w:tl2br w:val="nil"/>
              <w:tr2bl w:val="nil"/>
            </w:tcBorders>
            <w:vAlign w:val="center"/>
          </w:tcPr>
          <w:p w14:paraId="4F7BDF6E">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84" w:name="_Toc31920"/>
            <w:bookmarkStart w:id="385" w:name="_Toc3520"/>
            <w:bookmarkStart w:id="386" w:name="_Toc857"/>
            <w:bookmarkStart w:id="387" w:name="_Toc19105"/>
            <w:r>
              <w:rPr>
                <w:rFonts w:hint="eastAsia" w:ascii="宋体" w:hAnsi="宋体" w:eastAsia="宋体" w:cs="宋体"/>
                <w:b w:val="0"/>
                <w:bCs w:val="0"/>
                <w:color w:val="auto"/>
                <w:sz w:val="21"/>
                <w:szCs w:val="21"/>
                <w:highlight w:val="none"/>
              </w:rPr>
              <w:t>页码范围</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tc>
      </w:tr>
      <w:tr w14:paraId="7D79D0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100D20E4">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30A0F21F">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1B3809C6">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194DDCF9">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7FAE0BA2">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4557A3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6C364F9">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2F48DCFD">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02420E2B">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14A968D8">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79193112">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6A5FD2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1E9D584F">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3ACE4BD4">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3ACAD929">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14F9978E">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06F0048B">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07F7A9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2670D520">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34025872">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4A33E0D0">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662D3375">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5E03CFB6">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2CFB2F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09DFC26">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5E34FE4C">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6064B858">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0763BCF4">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004FC636">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63AA6C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6F0E0832">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3C419F34">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30914C24">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3BCA69CE">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52B685A9">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00A032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0FAD0ACB">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241F438C">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5E1127E5">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2AF8269B">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1F5FA4D8">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0ABD1A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06CC3750">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67831150">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75D5F9F2">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61BD29BD">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52A8257F">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28C0B1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FE0DBA0">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6477A84E">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72388FFA">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66E04D3B">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2A1DC535">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6A0E2E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451CE4FA">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3FF049EE">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2A71AE06">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0359A60D">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46B3ECE2">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662FDD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BED4D70">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6A662D6C">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2DE27AC0">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34E1EEED">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0FF28054">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bl>
    <w:p w14:paraId="2662B15E">
      <w:pPr>
        <w:pStyle w:val="32"/>
        <w:spacing w:after="0" w:line="360" w:lineRule="auto"/>
        <w:rPr>
          <w:rFonts w:ascii="宋体" w:hAnsi="宋体" w:eastAsia="宋体"/>
          <w:color w:val="auto"/>
          <w:sz w:val="21"/>
          <w:szCs w:val="21"/>
          <w:highlight w:val="none"/>
        </w:rPr>
      </w:pPr>
    </w:p>
    <w:p w14:paraId="7B13DE36">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14:paraId="374EE15D">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w:t>
      </w:r>
      <w:r>
        <w:rPr>
          <w:rFonts w:hint="eastAsia" w:ascii="宋体" w:hAnsi="宋体"/>
          <w:color w:val="auto"/>
          <w:sz w:val="21"/>
          <w:szCs w:val="21"/>
          <w:highlight w:val="none"/>
          <w:lang w:val="en-US" w:eastAsia="zh-CN"/>
        </w:rPr>
        <w:t>供应商</w:t>
      </w:r>
      <w:r>
        <w:rPr>
          <w:rFonts w:hint="eastAsia" w:ascii="宋体" w:hAnsi="宋体" w:eastAsia="宋体"/>
          <w:color w:val="auto"/>
          <w:sz w:val="21"/>
          <w:szCs w:val="21"/>
          <w:highlight w:val="none"/>
        </w:rPr>
        <w:t>应逐条对照</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重要评分条款，如实地说明响应情况。</w:t>
      </w:r>
    </w:p>
    <w:p w14:paraId="22ED60FE">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若该重要技术参数（</w:t>
      </w:r>
      <w:r>
        <w:rPr>
          <w:rFonts w:hint="eastAsia" w:ascii="宋体" w:hAnsi="宋体" w:eastAsia="宋体" w:cs="Times New Roman"/>
          <w:color w:val="auto"/>
          <w:sz w:val="21"/>
          <w:szCs w:val="21"/>
          <w:highlight w:val="none"/>
        </w:rPr>
        <w:t>▲</w:t>
      </w:r>
      <w:r>
        <w:rPr>
          <w:rFonts w:hint="eastAsia" w:ascii="宋体" w:hAnsi="宋体" w:eastAsia="宋体"/>
          <w:color w:val="auto"/>
          <w:sz w:val="21"/>
          <w:szCs w:val="21"/>
          <w:highlight w:val="none"/>
        </w:rPr>
        <w:t>）规定提交相关证明材料的，供应商应当提供，并附于本格式后。未按要求提供或提供不符合要求的证明材料，视为不满足，按评分标准进行扣分处理。</w:t>
      </w:r>
    </w:p>
    <w:p w14:paraId="3DBCD46B">
      <w:pPr>
        <w:pStyle w:val="32"/>
        <w:spacing w:after="0" w:line="360" w:lineRule="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3、</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磋商文件</w:t>
      </w:r>
      <w:r>
        <w:rPr>
          <w:rFonts w:hint="eastAsia" w:ascii="宋体" w:hAnsi="宋体" w:eastAsia="宋体"/>
          <w:b/>
          <w:bCs/>
          <w:color w:val="auto"/>
          <w:sz w:val="21"/>
          <w:szCs w:val="21"/>
          <w:highlight w:val="none"/>
        </w:rPr>
        <w:t>未设定重要技术参数（</w:t>
      </w:r>
      <w:r>
        <w:rPr>
          <w:rFonts w:hint="eastAsia" w:ascii="宋体" w:hAnsi="宋体" w:eastAsia="宋体" w:cs="Times New Roman"/>
          <w:b/>
          <w:bCs/>
          <w:color w:val="auto"/>
          <w:sz w:val="21"/>
          <w:szCs w:val="21"/>
          <w:highlight w:val="none"/>
        </w:rPr>
        <w:t>▲</w:t>
      </w:r>
      <w:r>
        <w:rPr>
          <w:rFonts w:hint="eastAsia" w:ascii="宋体" w:hAnsi="宋体" w:eastAsia="宋体"/>
          <w:b/>
          <w:bCs/>
          <w:color w:val="auto"/>
          <w:sz w:val="21"/>
          <w:szCs w:val="21"/>
          <w:highlight w:val="none"/>
        </w:rPr>
        <w:t>）评分条款的，可删除本格式。</w:t>
      </w:r>
    </w:p>
    <w:p w14:paraId="3FF3F56D">
      <w:pPr>
        <w:pStyle w:val="32"/>
        <w:spacing w:after="0" w:line="360" w:lineRule="auto"/>
        <w:rPr>
          <w:rFonts w:ascii="宋体" w:hAnsi="宋体" w:eastAsia="宋体"/>
          <w:color w:val="auto"/>
          <w:sz w:val="21"/>
          <w:szCs w:val="21"/>
          <w:highlight w:val="none"/>
        </w:rPr>
      </w:pPr>
    </w:p>
    <w:p w14:paraId="466F2CB6">
      <w:pPr>
        <w:pStyle w:val="32"/>
        <w:numPr>
          <w:ilvl w:val="0"/>
          <w:numId w:val="22"/>
        </w:numPr>
        <w:spacing w:after="0"/>
        <w:rPr>
          <w:rFonts w:ascii="黑体" w:eastAsia="黑体"/>
          <w:color w:val="auto"/>
          <w:sz w:val="32"/>
          <w:szCs w:val="32"/>
          <w:highlight w:val="none"/>
        </w:rPr>
      </w:pPr>
      <w:r>
        <w:rPr>
          <w:rFonts w:hint="eastAsia" w:ascii="宋体" w:hAnsi="宋体" w:eastAsia="宋体"/>
          <w:color w:val="auto"/>
          <w:sz w:val="21"/>
          <w:szCs w:val="21"/>
          <w:highlight w:val="none"/>
        </w:rPr>
        <w:br w:type="page"/>
      </w:r>
    </w:p>
    <w:p w14:paraId="7D1BD2C4">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88" w:name="_Toc25570"/>
      <w:bookmarkStart w:id="389" w:name="_Toc19349"/>
      <w:r>
        <w:rPr>
          <w:rFonts w:hint="eastAsia"/>
          <w:color w:val="auto"/>
          <w:highlight w:val="none"/>
          <w:lang w:val="en-US" w:eastAsia="zh-CN"/>
        </w:rPr>
        <w:t>三、</w:t>
      </w:r>
      <w:r>
        <w:rPr>
          <w:rFonts w:hint="eastAsia"/>
          <w:color w:val="auto"/>
          <w:highlight w:val="none"/>
        </w:rPr>
        <w:t>实质性条款（标记★）响应表</w:t>
      </w:r>
      <w:bookmarkEnd w:id="388"/>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14:paraId="318711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579048DD">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序号</w:t>
            </w:r>
          </w:p>
        </w:tc>
        <w:tc>
          <w:tcPr>
            <w:tcW w:w="2398" w:type="dxa"/>
            <w:tcBorders>
              <w:tl2br w:val="nil"/>
              <w:tr2bl w:val="nil"/>
            </w:tcBorders>
            <w:noWrap w:val="0"/>
            <w:vAlign w:val="center"/>
          </w:tcPr>
          <w:p w14:paraId="6A284F8D">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磋商文件</w:t>
            </w:r>
            <w:r>
              <w:rPr>
                <w:rFonts w:hint="eastAsia" w:ascii="宋体" w:hAnsi="宋体" w:cs="宋体"/>
                <w:color w:val="auto"/>
                <w:kern w:val="0"/>
                <w:sz w:val="24"/>
                <w:szCs w:val="24"/>
                <w:highlight w:val="none"/>
              </w:rPr>
              <w:t>实质性条款</w:t>
            </w:r>
          </w:p>
        </w:tc>
        <w:tc>
          <w:tcPr>
            <w:tcW w:w="2399" w:type="dxa"/>
            <w:tcBorders>
              <w:tl2br w:val="nil"/>
              <w:tr2bl w:val="nil"/>
            </w:tcBorders>
            <w:noWrap w:val="0"/>
            <w:vAlign w:val="center"/>
          </w:tcPr>
          <w:p w14:paraId="3811009D">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响应文件</w:t>
            </w:r>
            <w:r>
              <w:rPr>
                <w:rFonts w:hint="eastAsia" w:ascii="宋体" w:hAnsi="宋体" w:cs="宋体"/>
                <w:color w:val="auto"/>
                <w:kern w:val="0"/>
                <w:sz w:val="24"/>
                <w:szCs w:val="24"/>
                <w:highlight w:val="none"/>
              </w:rPr>
              <w:t>响应内容</w:t>
            </w:r>
          </w:p>
        </w:tc>
        <w:tc>
          <w:tcPr>
            <w:tcW w:w="1180" w:type="dxa"/>
            <w:tcBorders>
              <w:tl2br w:val="nil"/>
              <w:tr2bl w:val="nil"/>
            </w:tcBorders>
            <w:noWrap w:val="0"/>
            <w:vAlign w:val="center"/>
          </w:tcPr>
          <w:p w14:paraId="66B50F3D">
            <w:pPr>
              <w:widowControl/>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是否偏离</w:t>
            </w:r>
          </w:p>
        </w:tc>
        <w:tc>
          <w:tcPr>
            <w:tcW w:w="1867" w:type="dxa"/>
            <w:tcBorders>
              <w:tl2br w:val="nil"/>
              <w:tr2bl w:val="nil"/>
            </w:tcBorders>
            <w:noWrap w:val="0"/>
            <w:vAlign w:val="center"/>
          </w:tcPr>
          <w:p w14:paraId="05105FBF">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证明材料</w:t>
            </w:r>
          </w:p>
        </w:tc>
      </w:tr>
      <w:tr w14:paraId="173CF3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1F53EBA1">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04B5E404">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2B5E6F86">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1EC9779D">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22BC50F5">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14:paraId="572345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0161DB55">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57AB19FA">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6F345310">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5ED2A2F8">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57BFB259">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14:paraId="756A43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1730751D">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3E39B943">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63AACAAB">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5DF6812C">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4F3324CB">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14:paraId="3960D9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0420F310">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335BB0F1">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24641A2B">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11A5173B">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0636AEA4">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14:paraId="2F1346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540490A9">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501282D5">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490FD7D8">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353CA653">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5F515B17">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14:paraId="5FBB04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572493CF">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0FF45816">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0F68D55E">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6A7E611B">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5991ECD3">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14:paraId="44AE6C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32308C47">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3F1BEF30">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126D8122">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5A876FB1">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29BDB2FC">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14:paraId="48D65C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487A4146">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1BE5BB1E">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7B7B1F5E">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7C0ECCA5">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70838ADA">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bl>
    <w:p w14:paraId="7CAAA06C">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p>
    <w:p w14:paraId="38CB2669">
      <w:pPr>
        <w:bidi w:val="0"/>
        <w:rPr>
          <w:rFonts w:hint="eastAsia"/>
          <w:color w:val="auto"/>
          <w:highlight w:val="none"/>
        </w:rPr>
      </w:pPr>
    </w:p>
    <w:p w14:paraId="0061279A">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14:paraId="7C335C70">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14:paraId="51E9FCCB">
      <w:pPr>
        <w:bidi w:val="0"/>
        <w:rPr>
          <w:rFonts w:hint="eastAsia"/>
          <w:color w:val="auto"/>
          <w:highlight w:val="none"/>
          <w:lang w:val="en-US" w:eastAsia="zh-CN"/>
        </w:rPr>
      </w:pPr>
    </w:p>
    <w:p w14:paraId="6C044D11">
      <w:pPr>
        <w:bidi w:val="0"/>
        <w:rPr>
          <w:rFonts w:hint="eastAsia"/>
          <w:color w:val="auto"/>
          <w:highlight w:val="none"/>
          <w:lang w:val="en-US" w:eastAsia="zh-CN"/>
        </w:rPr>
      </w:pPr>
    </w:p>
    <w:p w14:paraId="35DAF40A">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color w:val="auto"/>
          <w:highlight w:val="none"/>
        </w:rPr>
        <w:t>注：</w:t>
      </w:r>
    </w:p>
    <w:p w14:paraId="5C4EA982">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供应商应逐条对照</w:t>
      </w:r>
      <w:r>
        <w:rPr>
          <w:rFonts w:hint="eastAsia"/>
          <w:color w:val="auto"/>
          <w:highlight w:val="none"/>
          <w:lang w:eastAsia="zh-CN"/>
        </w:rPr>
        <w:t>磋商文件</w:t>
      </w:r>
      <w:r>
        <w:rPr>
          <w:rFonts w:hint="eastAsia"/>
          <w:color w:val="auto"/>
          <w:highlight w:val="none"/>
        </w:rPr>
        <w:t>实质性条款，如实地说明响应情况。不满足的按无效</w:t>
      </w:r>
      <w:r>
        <w:rPr>
          <w:rFonts w:hint="eastAsia"/>
          <w:color w:val="auto"/>
          <w:highlight w:val="none"/>
          <w:lang w:val="en-US" w:eastAsia="zh-CN"/>
        </w:rPr>
        <w:t>响应文件</w:t>
      </w:r>
      <w:r>
        <w:rPr>
          <w:rFonts w:hint="eastAsia"/>
          <w:color w:val="auto"/>
          <w:highlight w:val="none"/>
        </w:rPr>
        <w:t>处理。</w:t>
      </w:r>
    </w:p>
    <w:p w14:paraId="36BBE5C8">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若该实质性条款规定提交相关证明材料的，供应商应当提供，并附于本格式后。未按要求提供或提供不符合要求的证明材料，视为不满足，按无效</w:t>
      </w:r>
      <w:r>
        <w:rPr>
          <w:rFonts w:hint="eastAsia"/>
          <w:color w:val="auto"/>
          <w:highlight w:val="none"/>
          <w:lang w:val="en-US" w:eastAsia="zh-CN"/>
        </w:rPr>
        <w:t>响应文件</w:t>
      </w:r>
      <w:r>
        <w:rPr>
          <w:rFonts w:hint="eastAsia"/>
          <w:color w:val="auto"/>
          <w:highlight w:val="none"/>
        </w:rPr>
        <w:t>处理。</w:t>
      </w:r>
    </w:p>
    <w:p w14:paraId="417C13D2">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若</w:t>
      </w:r>
      <w:r>
        <w:rPr>
          <w:rFonts w:hint="eastAsia"/>
          <w:color w:val="auto"/>
          <w:highlight w:val="none"/>
          <w:lang w:eastAsia="zh-CN"/>
        </w:rPr>
        <w:t>磋商文件</w:t>
      </w:r>
      <w:r>
        <w:rPr>
          <w:rFonts w:hint="eastAsia"/>
          <w:color w:val="auto"/>
          <w:highlight w:val="none"/>
        </w:rPr>
        <w:t>未设定实质性条款的，可删除本格式。</w:t>
      </w:r>
    </w:p>
    <w:p w14:paraId="4F609481">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90" w:name="_Toc14250"/>
      <w:r>
        <w:rPr>
          <w:rFonts w:hint="eastAsia"/>
          <w:color w:val="auto"/>
          <w:highlight w:val="none"/>
          <w:lang w:val="en-US" w:eastAsia="zh-CN"/>
        </w:rPr>
        <w:t>四、</w:t>
      </w:r>
      <w:r>
        <w:rPr>
          <w:rFonts w:hint="eastAsia"/>
          <w:color w:val="auto"/>
          <w:highlight w:val="none"/>
        </w:rPr>
        <w:t>项目</w:t>
      </w:r>
      <w:r>
        <w:rPr>
          <w:rFonts w:hint="eastAsia"/>
          <w:color w:val="auto"/>
          <w:highlight w:val="none"/>
          <w:lang w:val="en-US" w:eastAsia="zh-CN"/>
        </w:rPr>
        <w:t>技术</w:t>
      </w:r>
      <w:r>
        <w:rPr>
          <w:rFonts w:hint="eastAsia"/>
          <w:color w:val="auto"/>
          <w:highlight w:val="none"/>
        </w:rPr>
        <w:t>方案</w:t>
      </w:r>
      <w:bookmarkEnd w:id="389"/>
      <w:bookmarkEnd w:id="390"/>
    </w:p>
    <w:p w14:paraId="1C93881E">
      <w:pPr>
        <w:spacing w:after="0" w:line="360" w:lineRule="auto"/>
        <w:ind w:left="718" w:leftChars="200" w:hanging="298" w:hangingChars="142"/>
        <w:rPr>
          <w:rFonts w:ascii="宋体" w:hAnsi="宋体" w:eastAsia="宋体" w:cs="Times New Roman"/>
          <w:color w:val="auto"/>
          <w:sz w:val="21"/>
          <w:szCs w:val="21"/>
          <w:highlight w:val="none"/>
        </w:rPr>
      </w:pPr>
      <w:r>
        <w:rPr>
          <w:rFonts w:hint="eastAsia" w:ascii="宋体" w:hAnsi="宋体" w:eastAsia="宋体"/>
          <w:color w:val="auto"/>
          <w:sz w:val="21"/>
          <w:szCs w:val="21"/>
          <w:highlight w:val="none"/>
          <w:lang w:val="en-US" w:eastAsia="zh-CN"/>
        </w:rPr>
        <w:t>根据用户需求及技术评审要求</w:t>
      </w:r>
      <w:r>
        <w:rPr>
          <w:rFonts w:hint="eastAsia" w:ascii="宋体" w:hAnsi="宋体" w:eastAsia="宋体"/>
          <w:color w:val="auto"/>
          <w:sz w:val="21"/>
          <w:szCs w:val="21"/>
          <w:highlight w:val="none"/>
        </w:rPr>
        <w:t>自行编写。</w:t>
      </w:r>
    </w:p>
    <w:p w14:paraId="5B3F5091">
      <w:pPr>
        <w:spacing w:after="0" w:line="360" w:lineRule="auto"/>
        <w:ind w:left="718" w:leftChars="200" w:hanging="298" w:hangingChars="142"/>
        <w:rPr>
          <w:rFonts w:ascii="宋体" w:hAnsi="宋体" w:eastAsia="宋体"/>
          <w:color w:val="auto"/>
          <w:sz w:val="21"/>
          <w:szCs w:val="21"/>
          <w:highlight w:val="none"/>
        </w:rPr>
      </w:pPr>
    </w:p>
    <w:p w14:paraId="424403D7">
      <w:pPr>
        <w:spacing w:after="0" w:line="360" w:lineRule="auto"/>
        <w:ind w:left="718" w:leftChars="200" w:hanging="298" w:hangingChars="142"/>
        <w:rPr>
          <w:rFonts w:ascii="宋体" w:hAnsi="宋体" w:eastAsia="宋体"/>
          <w:color w:val="auto"/>
          <w:sz w:val="21"/>
          <w:szCs w:val="21"/>
          <w:highlight w:val="none"/>
        </w:rPr>
      </w:pPr>
    </w:p>
    <w:p w14:paraId="124C4217">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14:paraId="79AD2C91">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1" w:name="_Toc16875"/>
      <w:bookmarkStart w:id="392" w:name="_Toc16328"/>
      <w:r>
        <w:rPr>
          <w:rFonts w:hint="eastAsia"/>
          <w:color w:val="auto"/>
          <w:highlight w:val="none"/>
          <w:lang w:val="en-US" w:eastAsia="zh-CN"/>
        </w:rPr>
        <w:t>五、项目负责人及团队成员资料表</w:t>
      </w:r>
      <w:bookmarkEnd w:id="391"/>
      <w:bookmarkEnd w:id="392"/>
    </w:p>
    <w:p w14:paraId="31E97D38">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表格格式自行编辑。</w:t>
      </w:r>
    </w:p>
    <w:p w14:paraId="652694B8">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14:paraId="70791C80">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1、证明资料须加盖公章。</w:t>
      </w:r>
    </w:p>
    <w:p w14:paraId="7912AE9F">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如本项目不涉及</w:t>
      </w:r>
      <w:r>
        <w:rPr>
          <w:rFonts w:hint="eastAsia" w:ascii="宋体" w:hAnsi="宋体"/>
          <w:color w:val="auto"/>
          <w:sz w:val="21"/>
          <w:szCs w:val="21"/>
          <w:highlight w:val="none"/>
          <w:lang w:val="en-US" w:eastAsia="zh-CN"/>
        </w:rPr>
        <w:t>人员</w:t>
      </w:r>
      <w:r>
        <w:rPr>
          <w:rFonts w:hint="eastAsia" w:ascii="宋体" w:hAnsi="宋体" w:eastAsia="宋体"/>
          <w:color w:val="auto"/>
          <w:sz w:val="21"/>
          <w:szCs w:val="21"/>
          <w:highlight w:val="none"/>
        </w:rPr>
        <w:t>内容，则无需提供此表。</w:t>
      </w:r>
    </w:p>
    <w:p w14:paraId="6853F0F7">
      <w:pPr>
        <w:ind w:firstLine="178" w:firstLineChars="85"/>
        <w:rPr>
          <w:rFonts w:hint="eastAsia" w:ascii="宋体" w:hAnsi="宋体" w:eastAsia="宋体"/>
          <w:color w:val="auto"/>
          <w:sz w:val="21"/>
          <w:szCs w:val="21"/>
          <w:highlight w:val="none"/>
        </w:rPr>
      </w:pPr>
    </w:p>
    <w:p w14:paraId="6D8B45BE">
      <w:pPr>
        <w:pStyle w:val="7"/>
        <w:rPr>
          <w:rFonts w:hint="eastAsia"/>
          <w:color w:val="auto"/>
          <w:highlight w:val="none"/>
        </w:rPr>
      </w:pPr>
    </w:p>
    <w:p w14:paraId="24B860A2">
      <w:pPr>
        <w:rPr>
          <w:rFonts w:ascii="黑体" w:eastAsia="黑体"/>
          <w:color w:val="auto"/>
          <w:sz w:val="28"/>
          <w:szCs w:val="28"/>
          <w:highlight w:val="none"/>
        </w:rPr>
      </w:pPr>
      <w:r>
        <w:rPr>
          <w:rFonts w:hint="eastAsia" w:ascii="宋体" w:hAnsi="宋体" w:eastAsia="宋体"/>
          <w:color w:val="auto"/>
          <w:sz w:val="21"/>
          <w:szCs w:val="21"/>
          <w:highlight w:val="none"/>
        </w:rPr>
        <w:br w:type="page"/>
      </w:r>
    </w:p>
    <w:p w14:paraId="1DBF15B3">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393" w:name="_Toc15431"/>
      <w:bookmarkStart w:id="394" w:name="_Toc27978"/>
      <w:r>
        <w:rPr>
          <w:rFonts w:hint="eastAsia"/>
          <w:color w:val="auto"/>
          <w:highlight w:val="none"/>
          <w:lang w:val="en-US" w:eastAsia="zh-CN"/>
        </w:rPr>
        <w:t>六、响应货物明细一览表</w:t>
      </w:r>
      <w:bookmarkEnd w:id="393"/>
      <w:bookmarkEnd w:id="394"/>
    </w:p>
    <w:tbl>
      <w:tblPr>
        <w:tblStyle w:val="22"/>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14:paraId="5C13C1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14:paraId="57298149">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序号</w:t>
            </w:r>
          </w:p>
        </w:tc>
        <w:tc>
          <w:tcPr>
            <w:tcW w:w="1345" w:type="dxa"/>
            <w:tcBorders>
              <w:tl2br w:val="nil"/>
              <w:tr2bl w:val="nil"/>
            </w:tcBorders>
            <w:vAlign w:val="center"/>
          </w:tcPr>
          <w:p w14:paraId="1480B90F">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货物名称</w:t>
            </w:r>
          </w:p>
        </w:tc>
        <w:tc>
          <w:tcPr>
            <w:tcW w:w="763" w:type="dxa"/>
            <w:tcBorders>
              <w:tl2br w:val="nil"/>
              <w:tr2bl w:val="nil"/>
            </w:tcBorders>
            <w:vAlign w:val="center"/>
          </w:tcPr>
          <w:p w14:paraId="77692989">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品牌</w:t>
            </w:r>
          </w:p>
        </w:tc>
        <w:tc>
          <w:tcPr>
            <w:tcW w:w="1155" w:type="dxa"/>
            <w:tcBorders>
              <w:tl2br w:val="nil"/>
              <w:tr2bl w:val="nil"/>
            </w:tcBorders>
            <w:vAlign w:val="center"/>
          </w:tcPr>
          <w:p w14:paraId="2AEAFD52">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货物型号</w:t>
            </w:r>
          </w:p>
        </w:tc>
        <w:tc>
          <w:tcPr>
            <w:tcW w:w="682" w:type="dxa"/>
            <w:tcBorders>
              <w:tl2br w:val="nil"/>
              <w:tr2bl w:val="nil"/>
            </w:tcBorders>
            <w:vAlign w:val="center"/>
          </w:tcPr>
          <w:p w14:paraId="6368C2B9">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单位</w:t>
            </w:r>
          </w:p>
        </w:tc>
        <w:tc>
          <w:tcPr>
            <w:tcW w:w="738" w:type="dxa"/>
            <w:tcBorders>
              <w:tl2br w:val="nil"/>
              <w:tr2bl w:val="nil"/>
            </w:tcBorders>
            <w:vAlign w:val="center"/>
          </w:tcPr>
          <w:p w14:paraId="32269657">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数量</w:t>
            </w:r>
          </w:p>
        </w:tc>
        <w:tc>
          <w:tcPr>
            <w:tcW w:w="1616" w:type="dxa"/>
            <w:tcBorders>
              <w:tl2br w:val="nil"/>
              <w:tr2bl w:val="nil"/>
            </w:tcBorders>
            <w:vAlign w:val="center"/>
          </w:tcPr>
          <w:p w14:paraId="03CA576A">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技术参数</w:t>
            </w:r>
          </w:p>
        </w:tc>
        <w:tc>
          <w:tcPr>
            <w:tcW w:w="1342" w:type="dxa"/>
            <w:tcBorders>
              <w:tl2br w:val="nil"/>
              <w:tr2bl w:val="nil"/>
            </w:tcBorders>
            <w:vAlign w:val="center"/>
          </w:tcPr>
          <w:p w14:paraId="79A83A2A">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14:paraId="2008D4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B8E59FA">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1C2958D3">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7F374275">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18DFED09">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04C2ECCF">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11989812">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2D9EABA9">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586762DF">
            <w:pPr>
              <w:pStyle w:val="9"/>
              <w:spacing w:line="300" w:lineRule="auto"/>
              <w:jc w:val="center"/>
              <w:rPr>
                <w:rFonts w:hint="eastAsia" w:ascii="宋体" w:hAnsi="宋体" w:eastAsia="宋体" w:cs="宋体"/>
                <w:b w:val="0"/>
                <w:bCs/>
                <w:color w:val="auto"/>
                <w:sz w:val="21"/>
                <w:szCs w:val="21"/>
                <w:highlight w:val="none"/>
              </w:rPr>
            </w:pPr>
          </w:p>
        </w:tc>
      </w:tr>
      <w:tr w14:paraId="0EF75F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7E47A8A">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2C8CCCC7">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010E0594">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735059D4">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4DF95873">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22D16287">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4E2A7037">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600FF357">
            <w:pPr>
              <w:pStyle w:val="9"/>
              <w:spacing w:line="300" w:lineRule="auto"/>
              <w:jc w:val="center"/>
              <w:rPr>
                <w:rFonts w:hint="eastAsia" w:ascii="宋体" w:hAnsi="宋体" w:eastAsia="宋体" w:cs="宋体"/>
                <w:b w:val="0"/>
                <w:bCs/>
                <w:color w:val="auto"/>
                <w:sz w:val="21"/>
                <w:szCs w:val="21"/>
                <w:highlight w:val="none"/>
              </w:rPr>
            </w:pPr>
          </w:p>
        </w:tc>
      </w:tr>
      <w:tr w14:paraId="18E3C6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0009A8ED">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5D719E7D">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56FEF110">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601CF55D">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72839C49">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5E7F129B">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2F2C522F">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45126FFA">
            <w:pPr>
              <w:pStyle w:val="9"/>
              <w:spacing w:line="300" w:lineRule="auto"/>
              <w:jc w:val="center"/>
              <w:rPr>
                <w:rFonts w:hint="eastAsia" w:ascii="宋体" w:hAnsi="宋体" w:eastAsia="宋体" w:cs="宋体"/>
                <w:b w:val="0"/>
                <w:bCs/>
                <w:color w:val="auto"/>
                <w:sz w:val="21"/>
                <w:szCs w:val="21"/>
                <w:highlight w:val="none"/>
              </w:rPr>
            </w:pPr>
          </w:p>
        </w:tc>
      </w:tr>
      <w:tr w14:paraId="2E2FFB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5441EBE">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12CCB2E2">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6E6334CA">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7F2F1C8A">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77675BF0">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53AE129E">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683C870E">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48E0B2EA">
            <w:pPr>
              <w:pStyle w:val="9"/>
              <w:spacing w:line="300" w:lineRule="auto"/>
              <w:jc w:val="center"/>
              <w:rPr>
                <w:rFonts w:hint="eastAsia" w:ascii="宋体" w:hAnsi="宋体" w:eastAsia="宋体" w:cs="宋体"/>
                <w:b w:val="0"/>
                <w:bCs/>
                <w:color w:val="auto"/>
                <w:sz w:val="21"/>
                <w:szCs w:val="21"/>
                <w:highlight w:val="none"/>
              </w:rPr>
            </w:pPr>
          </w:p>
        </w:tc>
      </w:tr>
      <w:tr w14:paraId="45E267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9598949">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1CD2BB50">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0ED28850">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586958FE">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2D4A578C">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52CC648A">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6B9F9D6C">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05739282">
            <w:pPr>
              <w:pStyle w:val="9"/>
              <w:spacing w:line="300" w:lineRule="auto"/>
              <w:jc w:val="center"/>
              <w:rPr>
                <w:rFonts w:hint="eastAsia" w:ascii="宋体" w:hAnsi="宋体" w:eastAsia="宋体" w:cs="宋体"/>
                <w:b w:val="0"/>
                <w:bCs/>
                <w:color w:val="auto"/>
                <w:sz w:val="21"/>
                <w:szCs w:val="21"/>
                <w:highlight w:val="none"/>
              </w:rPr>
            </w:pPr>
          </w:p>
        </w:tc>
      </w:tr>
      <w:tr w14:paraId="7DFA6A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B24C5EA">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0A1FCB97">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044C5227">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3E0133AF">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59DCC536">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2876CFB5">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203EC74E">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5AA80447">
            <w:pPr>
              <w:pStyle w:val="9"/>
              <w:spacing w:line="300" w:lineRule="auto"/>
              <w:jc w:val="center"/>
              <w:rPr>
                <w:rFonts w:hint="eastAsia" w:ascii="宋体" w:hAnsi="宋体" w:eastAsia="宋体" w:cs="宋体"/>
                <w:b w:val="0"/>
                <w:bCs/>
                <w:color w:val="auto"/>
                <w:sz w:val="21"/>
                <w:szCs w:val="21"/>
                <w:highlight w:val="none"/>
              </w:rPr>
            </w:pPr>
          </w:p>
        </w:tc>
      </w:tr>
      <w:tr w14:paraId="6C8D06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7594E20">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196068BB">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5CA047DB">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7B410783">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7E4A3D66">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5F0EA950">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1DC6184E">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25962CB8">
            <w:pPr>
              <w:pStyle w:val="9"/>
              <w:spacing w:line="300" w:lineRule="auto"/>
              <w:jc w:val="center"/>
              <w:rPr>
                <w:rFonts w:hint="eastAsia" w:ascii="宋体" w:hAnsi="宋体" w:eastAsia="宋体" w:cs="宋体"/>
                <w:b w:val="0"/>
                <w:bCs/>
                <w:color w:val="auto"/>
                <w:sz w:val="21"/>
                <w:szCs w:val="21"/>
                <w:highlight w:val="none"/>
              </w:rPr>
            </w:pPr>
          </w:p>
        </w:tc>
      </w:tr>
      <w:tr w14:paraId="388F3E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46176F3D">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3B488739">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1B7434D4">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2B6E66B0">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03ADFA5F">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64F98D7F">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4E1AB4DE">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71C6E223">
            <w:pPr>
              <w:pStyle w:val="9"/>
              <w:spacing w:line="300" w:lineRule="auto"/>
              <w:jc w:val="center"/>
              <w:rPr>
                <w:rFonts w:hint="eastAsia" w:ascii="宋体" w:hAnsi="宋体" w:eastAsia="宋体" w:cs="宋体"/>
                <w:b w:val="0"/>
                <w:bCs/>
                <w:color w:val="auto"/>
                <w:sz w:val="21"/>
                <w:szCs w:val="21"/>
                <w:highlight w:val="none"/>
              </w:rPr>
            </w:pPr>
          </w:p>
        </w:tc>
      </w:tr>
      <w:tr w14:paraId="2BE36F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0B6D6365">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23E5A202">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149E150D">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53DB63BF">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22C86DBE">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626E5336">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2407C221">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3C671294">
            <w:pPr>
              <w:pStyle w:val="9"/>
              <w:spacing w:line="300" w:lineRule="auto"/>
              <w:jc w:val="center"/>
              <w:rPr>
                <w:rFonts w:hint="eastAsia" w:ascii="宋体" w:hAnsi="宋体" w:eastAsia="宋体" w:cs="宋体"/>
                <w:b w:val="0"/>
                <w:bCs/>
                <w:color w:val="auto"/>
                <w:sz w:val="21"/>
                <w:szCs w:val="21"/>
                <w:highlight w:val="none"/>
              </w:rPr>
            </w:pPr>
          </w:p>
        </w:tc>
      </w:tr>
      <w:tr w14:paraId="34977F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B329D09">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09270DD2">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38BCA9C6">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2EBB95E8">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1953BD73">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4462BD3A">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438ADADC">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15894D08">
            <w:pPr>
              <w:pStyle w:val="9"/>
              <w:spacing w:line="300" w:lineRule="auto"/>
              <w:jc w:val="center"/>
              <w:rPr>
                <w:rFonts w:hint="eastAsia" w:ascii="宋体" w:hAnsi="宋体" w:eastAsia="宋体" w:cs="宋体"/>
                <w:b w:val="0"/>
                <w:bCs/>
                <w:color w:val="auto"/>
                <w:sz w:val="21"/>
                <w:szCs w:val="21"/>
                <w:highlight w:val="none"/>
              </w:rPr>
            </w:pPr>
          </w:p>
        </w:tc>
      </w:tr>
      <w:tr w14:paraId="3926F5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82538C5">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35D260CE">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714CC03F">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2EEFFBA1">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3494E13F">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33B7A46F">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79A1BEB1">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1D31C26C">
            <w:pPr>
              <w:pStyle w:val="9"/>
              <w:spacing w:line="300" w:lineRule="auto"/>
              <w:jc w:val="center"/>
              <w:rPr>
                <w:rFonts w:hint="eastAsia" w:ascii="宋体" w:hAnsi="宋体" w:eastAsia="宋体" w:cs="宋体"/>
                <w:b w:val="0"/>
                <w:bCs/>
                <w:color w:val="auto"/>
                <w:sz w:val="21"/>
                <w:szCs w:val="21"/>
                <w:highlight w:val="none"/>
              </w:rPr>
            </w:pPr>
          </w:p>
        </w:tc>
      </w:tr>
      <w:tr w14:paraId="59E0AF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473CF50">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4BCE78AB">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30669635">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22B286C9">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5098187B">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0A1732C1">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646B2B97">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4C4D4F38">
            <w:pPr>
              <w:pStyle w:val="9"/>
              <w:spacing w:line="300" w:lineRule="auto"/>
              <w:jc w:val="center"/>
              <w:rPr>
                <w:rFonts w:hint="eastAsia" w:ascii="宋体" w:hAnsi="宋体" w:eastAsia="宋体" w:cs="宋体"/>
                <w:b w:val="0"/>
                <w:bCs/>
                <w:color w:val="auto"/>
                <w:sz w:val="21"/>
                <w:szCs w:val="21"/>
                <w:highlight w:val="none"/>
              </w:rPr>
            </w:pPr>
          </w:p>
        </w:tc>
      </w:tr>
      <w:tr w14:paraId="20FD83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641206A">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7A49B5C5">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04F0FF82">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2878EFAF">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062A4FE1">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42714940">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0EECE002">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4E2E7E37">
            <w:pPr>
              <w:pStyle w:val="9"/>
              <w:spacing w:line="300" w:lineRule="auto"/>
              <w:jc w:val="center"/>
              <w:rPr>
                <w:rFonts w:hint="eastAsia" w:ascii="宋体" w:hAnsi="宋体" w:eastAsia="宋体" w:cs="宋体"/>
                <w:b w:val="0"/>
                <w:bCs/>
                <w:color w:val="auto"/>
                <w:sz w:val="21"/>
                <w:szCs w:val="21"/>
                <w:highlight w:val="none"/>
              </w:rPr>
            </w:pPr>
          </w:p>
        </w:tc>
      </w:tr>
      <w:tr w14:paraId="533D9A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34D79CE">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543FF3C4">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5F9C5732">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67044F5E">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3F6BA19B">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4DF81AE1">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443CA781">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4612919C">
            <w:pPr>
              <w:pStyle w:val="9"/>
              <w:spacing w:line="300" w:lineRule="auto"/>
              <w:jc w:val="center"/>
              <w:rPr>
                <w:rFonts w:hint="eastAsia" w:ascii="宋体" w:hAnsi="宋体" w:eastAsia="宋体" w:cs="宋体"/>
                <w:b w:val="0"/>
                <w:bCs/>
                <w:color w:val="auto"/>
                <w:sz w:val="21"/>
                <w:szCs w:val="21"/>
                <w:highlight w:val="none"/>
              </w:rPr>
            </w:pPr>
          </w:p>
        </w:tc>
      </w:tr>
      <w:tr w14:paraId="0B9697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A6660ED">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28489B17">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44E8E0F8">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31FCCC51">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6DC7298B">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0BD438CF">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7CD2184B">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75ABF275">
            <w:pPr>
              <w:pStyle w:val="9"/>
              <w:spacing w:line="300" w:lineRule="auto"/>
              <w:jc w:val="center"/>
              <w:rPr>
                <w:rFonts w:hint="eastAsia" w:ascii="宋体" w:hAnsi="宋体" w:eastAsia="宋体" w:cs="宋体"/>
                <w:b w:val="0"/>
                <w:bCs/>
                <w:color w:val="auto"/>
                <w:sz w:val="21"/>
                <w:szCs w:val="21"/>
                <w:highlight w:val="none"/>
              </w:rPr>
            </w:pPr>
          </w:p>
        </w:tc>
      </w:tr>
    </w:tbl>
    <w:p w14:paraId="2D934249">
      <w:pPr>
        <w:spacing w:after="0"/>
        <w:rPr>
          <w:color w:val="auto"/>
          <w:highlight w:val="none"/>
        </w:rPr>
      </w:pPr>
      <w:r>
        <w:rPr>
          <w:rFonts w:hint="eastAsia" w:ascii="宋体" w:hAnsi="宋体" w:eastAsia="宋体" w:cs="Times New Roman"/>
          <w:color w:val="auto"/>
          <w:sz w:val="21"/>
          <w:szCs w:val="21"/>
          <w:highlight w:val="none"/>
        </w:rPr>
        <w:t>注：</w:t>
      </w:r>
      <w:r>
        <w:rPr>
          <w:rFonts w:hint="eastAsia" w:ascii="宋体" w:hAnsi="宋体" w:eastAsia="宋体"/>
          <w:color w:val="auto"/>
          <w:sz w:val="21"/>
          <w:szCs w:val="21"/>
          <w:highlight w:val="none"/>
        </w:rPr>
        <w:t>如本项目不涉及此表内容，则无需提供此表。</w:t>
      </w:r>
    </w:p>
    <w:p w14:paraId="5E5C8992">
      <w:pPr>
        <w:rPr>
          <w:rFonts w:hint="eastAsia" w:ascii="宋体" w:hAnsi="宋体" w:eastAsia="宋体" w:cs="Times New Roman"/>
          <w:color w:val="auto"/>
          <w:sz w:val="21"/>
          <w:szCs w:val="21"/>
          <w:highlight w:val="none"/>
        </w:rPr>
      </w:pPr>
    </w:p>
    <w:p w14:paraId="22956F41">
      <w:pPr>
        <w:rPr>
          <w:rFonts w:hint="eastAsia" w:ascii="宋体" w:hAnsi="宋体" w:eastAsia="宋体" w:cs="Times New Roman"/>
          <w:color w:val="auto"/>
          <w:sz w:val="21"/>
          <w:szCs w:val="21"/>
          <w:highlight w:val="none"/>
        </w:rPr>
      </w:pPr>
    </w:p>
    <w:p w14:paraId="382D76C3">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highlight w:val="none"/>
        </w:rPr>
      </w:pPr>
      <w:r>
        <w:rPr>
          <w:rFonts w:hint="eastAsia" w:ascii="宋体" w:hAnsi="宋体" w:cs="Times New Roman"/>
          <w:color w:val="auto"/>
          <w:sz w:val="21"/>
          <w:szCs w:val="21"/>
          <w:highlight w:val="none"/>
          <w:lang w:eastAsia="zh-CN"/>
        </w:rPr>
        <w:t>供应商</w:t>
      </w:r>
      <w:r>
        <w:rPr>
          <w:rFonts w:hint="eastAsia" w:ascii="宋体" w:hAnsi="宋体" w:eastAsia="宋体" w:cs="Times New Roman"/>
          <w:color w:val="auto"/>
          <w:sz w:val="21"/>
          <w:szCs w:val="21"/>
          <w:highlight w:val="none"/>
        </w:rPr>
        <w:t>代表签字：</w:t>
      </w:r>
    </w:p>
    <w:p w14:paraId="377D43EA">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s="Times New Roman"/>
          <w:color w:val="auto"/>
          <w:sz w:val="21"/>
          <w:szCs w:val="21"/>
          <w:highlight w:val="none"/>
          <w:lang w:eastAsia="zh-CN"/>
        </w:rPr>
        <w:t>供应商</w:t>
      </w:r>
      <w:r>
        <w:rPr>
          <w:rFonts w:hint="eastAsia" w:ascii="宋体" w:hAnsi="宋体" w:eastAsia="宋体" w:cs="Times New Roman"/>
          <w:color w:val="auto"/>
          <w:sz w:val="21"/>
          <w:szCs w:val="21"/>
          <w:highlight w:val="none"/>
        </w:rPr>
        <w:t>盖章：</w:t>
      </w:r>
      <w:r>
        <w:rPr>
          <w:rFonts w:hint="eastAsia" w:ascii="宋体" w:hAnsi="宋体" w:eastAsia="宋体"/>
          <w:color w:val="auto"/>
          <w:sz w:val="21"/>
          <w:szCs w:val="21"/>
          <w:highlight w:val="none"/>
        </w:rPr>
        <w:br w:type="page"/>
      </w:r>
    </w:p>
    <w:p w14:paraId="3E7889CC">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5" w:name="_Toc31841"/>
      <w:r>
        <w:rPr>
          <w:rFonts w:hint="eastAsia"/>
          <w:color w:val="auto"/>
          <w:highlight w:val="none"/>
          <w:lang w:val="en-US" w:eastAsia="zh-CN"/>
        </w:rPr>
        <w:t>七、政府采购履约担保函</w:t>
      </w:r>
      <w:bookmarkEnd w:id="395"/>
    </w:p>
    <w:p w14:paraId="198D4B81">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14:paraId="35A9A856">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w:t>
      </w:r>
    </w:p>
    <w:p w14:paraId="018709F9">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14:paraId="27508A96">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14:paraId="47456B5A">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（一）在供应商出现下列情形之一时，我方承担保证责任：</w:t>
      </w:r>
    </w:p>
    <w:p w14:paraId="4BC39EE9">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1．将中标项目转让给他人，或者在</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中未说明，且未经采购招标机构人同意，将中标项目分包给他人的；</w:t>
      </w:r>
    </w:p>
    <w:p w14:paraId="4366A8EA">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2．主合同约定的应当缴纳履约保证金的情形: </w:t>
      </w:r>
    </w:p>
    <w:p w14:paraId="4DA4E89B">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（1）未按主合同约定的质量、数量和期限供应货物/提供服务/完成工程的；</w:t>
      </w:r>
    </w:p>
    <w:p w14:paraId="368B240F">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14:paraId="03BB0E5B">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（二）我方的保证范围是主合同约定的合同价款总额</w:t>
      </w:r>
    </w:p>
    <w:p w14:paraId="116B7AD9">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%数额为元（大写），为。（即主合同履约保证金金额）</w:t>
      </w:r>
    </w:p>
    <w:p w14:paraId="7D2A7281">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14:paraId="27374B9E">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14:paraId="54772337">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我方保证的期间为：自本合同生效之日起至供应商按照主合同约定的供货/完工期限届满后日内。</w:t>
      </w:r>
    </w:p>
    <w:p w14:paraId="4DF91717">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如果供应商未按主合同约定向贵方供应货物/提供服务/完成工程的，由我方在保证金额内向你方支付上述款项。</w:t>
      </w:r>
    </w:p>
    <w:p w14:paraId="7C1082B5">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14:paraId="67372C5B">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14:paraId="6B38D253">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14:paraId="6C33C14C">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2．我方收到你方的书面索赔通知及相应证明材料，在</w:t>
      </w:r>
    </w:p>
    <w:p w14:paraId="5E57AF59">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工作日内进行核定后按照本保函的承诺承担保证责任。</w:t>
      </w:r>
    </w:p>
    <w:p w14:paraId="66BC7C22">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14:paraId="59B48AE5">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14:paraId="22C8E548">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2．我方按照本保函向你方履行了保证责任后，自我方向你方支付款项（支付款项从我方账户划出）之日起，保证责任即终止。</w:t>
      </w:r>
    </w:p>
    <w:p w14:paraId="0CA50CBF">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3．按照法律法规的规定或出现应终止我方保证责任的其它情形的，我方在本保函项下的保证责任亦终止。</w:t>
      </w:r>
    </w:p>
    <w:p w14:paraId="1C8BC623">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14:paraId="6BB64FFC">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14:paraId="32FFE532">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1．因你方违反主合同约定致使供应商不能履行义务的，我方不承担保证责任。</w:t>
      </w:r>
    </w:p>
    <w:p w14:paraId="5709D891">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2．依照法律法规的规定或你方与供应商的另行约定，全部或者部分免除供应商应缴纳的保证金义务的，我方亦免除相应的保证责任。</w:t>
      </w:r>
    </w:p>
    <w:p w14:paraId="55FF35D0">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3．因不可抗力造成供应商不能履行供货义务的，我方不承担保证责任。</w:t>
      </w:r>
    </w:p>
    <w:p w14:paraId="6C625C65">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14:paraId="726DF54C">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14:paraId="653D6963">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14:paraId="6FC105FF">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14:paraId="27B1071D">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14:paraId="03DB8640">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14:paraId="0EBDFA50">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14:paraId="14C71ADF">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14:paraId="51AB8391">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14:paraId="248212E9">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（1）此格式为履约担保函格式，无需在</w:t>
      </w:r>
      <w:r>
        <w:rPr>
          <w:rFonts w:hint="eastAsia" w:ascii="宋体" w:hAnsi="宋体"/>
          <w:color w:val="auto"/>
          <w:sz w:val="21"/>
          <w:szCs w:val="21"/>
          <w:highlight w:val="none"/>
          <w:lang w:eastAsia="zh-CN"/>
        </w:rPr>
        <w:t>响应文件</w:t>
      </w:r>
      <w:r>
        <w:rPr>
          <w:rFonts w:hint="eastAsia" w:ascii="宋体" w:hAnsi="宋体" w:eastAsia="宋体"/>
          <w:color w:val="auto"/>
          <w:sz w:val="21"/>
          <w:szCs w:val="21"/>
          <w:highlight w:val="none"/>
        </w:rPr>
        <w:t>中提供此格式。</w:t>
      </w:r>
    </w:p>
    <w:p w14:paraId="13AC4643">
      <w:pPr>
        <w:pStyle w:val="7"/>
        <w:rPr>
          <w:color w:val="auto"/>
          <w:highlight w:val="none"/>
        </w:rPr>
      </w:pPr>
    </w:p>
    <w:p w14:paraId="4B52F81E">
      <w:pPr>
        <w:bidi w:val="0"/>
        <w:rPr>
          <w:color w:val="auto"/>
          <w:highlight w:val="none"/>
        </w:rPr>
      </w:pPr>
      <w:r>
        <w:rPr>
          <w:color w:val="auto"/>
          <w:highlight w:val="none"/>
        </w:rPr>
        <w:br w:type="page"/>
      </w:r>
    </w:p>
    <w:p w14:paraId="557C5704">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6" w:name="_Toc26782"/>
      <w:bookmarkStart w:id="397" w:name="_Toc17348"/>
      <w:r>
        <w:rPr>
          <w:rFonts w:hint="eastAsia"/>
          <w:color w:val="auto"/>
          <w:highlight w:val="none"/>
          <w:lang w:val="en-US" w:eastAsia="zh-CN"/>
        </w:rPr>
        <w:t>第四章报价信封（单独封装）</w:t>
      </w:r>
      <w:bookmarkEnd w:id="396"/>
      <w:bookmarkEnd w:id="397"/>
    </w:p>
    <w:p w14:paraId="09D3E7AD">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（1）开标一览表；</w:t>
      </w:r>
    </w:p>
    <w:p w14:paraId="5021B331">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（2）法人代表授权书</w:t>
      </w:r>
      <w:r>
        <w:rPr>
          <w:rFonts w:hint="eastAsia"/>
          <w:color w:val="auto"/>
          <w:highlight w:val="none"/>
          <w:lang w:val="en-US" w:eastAsia="zh-CN"/>
        </w:rPr>
        <w:t>及</w:t>
      </w:r>
      <w:r>
        <w:rPr>
          <w:rFonts w:hint="eastAsia"/>
          <w:color w:val="auto"/>
          <w:highlight w:val="none"/>
        </w:rPr>
        <w:t>被授权代表身份证（复印件加盖公章）；</w:t>
      </w:r>
    </w:p>
    <w:p w14:paraId="5F25A0D3">
      <w:pPr>
        <w:rPr>
          <w:color w:val="auto"/>
          <w:highlight w:val="none"/>
        </w:rPr>
      </w:pPr>
    </w:p>
    <w:p w14:paraId="10F15B29">
      <w:pPr>
        <w:bidi w:val="0"/>
        <w:rPr>
          <w:color w:val="auto"/>
          <w:highlight w:val="none"/>
        </w:rPr>
      </w:pPr>
    </w:p>
    <w:p w14:paraId="1299E7F3">
      <w:pPr>
        <w:rPr>
          <w:color w:val="auto"/>
          <w:highlight w:val="none"/>
        </w:rPr>
      </w:pPr>
    </w:p>
    <w:p w14:paraId="5A1FBACA">
      <w:pPr>
        <w:bidi w:val="0"/>
        <w:rPr>
          <w:color w:val="auto"/>
          <w:highlight w:val="none"/>
        </w:rPr>
      </w:pPr>
    </w:p>
    <w:p w14:paraId="52CDF53B">
      <w:pPr>
        <w:rPr>
          <w:color w:val="auto"/>
          <w:highlight w:val="none"/>
        </w:rPr>
      </w:pPr>
    </w:p>
    <w:p w14:paraId="1D52E276">
      <w:pPr>
        <w:bidi w:val="0"/>
        <w:rPr>
          <w:color w:val="auto"/>
          <w:highlight w:val="none"/>
        </w:rPr>
      </w:pPr>
    </w:p>
    <w:p w14:paraId="04B9408C">
      <w:pPr>
        <w:rPr>
          <w:color w:val="auto"/>
          <w:highlight w:val="none"/>
        </w:rPr>
      </w:pPr>
    </w:p>
    <w:p w14:paraId="3BA60B33">
      <w:pPr>
        <w:bidi w:val="0"/>
        <w:rPr>
          <w:color w:val="auto"/>
          <w:highlight w:val="none"/>
        </w:rPr>
      </w:pPr>
    </w:p>
    <w:p w14:paraId="7BE19EDC">
      <w:pPr>
        <w:rPr>
          <w:color w:val="auto"/>
          <w:highlight w:val="none"/>
        </w:rPr>
      </w:pPr>
    </w:p>
    <w:p w14:paraId="02FC735F">
      <w:pPr>
        <w:bidi w:val="0"/>
        <w:rPr>
          <w:color w:val="auto"/>
          <w:highlight w:val="none"/>
        </w:rPr>
      </w:pPr>
    </w:p>
    <w:p w14:paraId="3F659FCF">
      <w:pPr>
        <w:bidi w:val="0"/>
        <w:rPr>
          <w:color w:val="auto"/>
          <w:highlight w:val="none"/>
        </w:rPr>
      </w:pPr>
    </w:p>
    <w:p w14:paraId="0ECF804C">
      <w:pPr>
        <w:bidi w:val="0"/>
        <w:rPr>
          <w:color w:val="auto"/>
          <w:highlight w:val="none"/>
        </w:rPr>
      </w:pPr>
    </w:p>
    <w:p w14:paraId="33D9803E">
      <w:pPr>
        <w:bidi w:val="0"/>
        <w:rPr>
          <w:rFonts w:hint="eastAsia"/>
          <w:color w:val="auto"/>
          <w:highlight w:val="none"/>
        </w:rPr>
      </w:pPr>
      <w:bookmarkStart w:id="398" w:name="_Toc11182"/>
    </w:p>
    <w:p w14:paraId="7E736D83">
      <w:pPr>
        <w:bidi w:val="0"/>
        <w:rPr>
          <w:rFonts w:hint="eastAsia"/>
          <w:color w:val="auto"/>
          <w:highlight w:val="none"/>
        </w:rPr>
      </w:pPr>
    </w:p>
    <w:p w14:paraId="1CFDF7FB">
      <w:pPr>
        <w:bidi w:val="0"/>
        <w:rPr>
          <w:rFonts w:hint="eastAsia"/>
          <w:color w:val="auto"/>
          <w:highlight w:val="none"/>
        </w:rPr>
      </w:pPr>
    </w:p>
    <w:p w14:paraId="319B87BE">
      <w:pPr>
        <w:bidi w:val="0"/>
        <w:rPr>
          <w:rFonts w:hint="eastAsia"/>
          <w:color w:val="auto"/>
          <w:highlight w:val="none"/>
        </w:rPr>
      </w:pPr>
    </w:p>
    <w:p w14:paraId="47F0D610">
      <w:pPr>
        <w:bidi w:val="0"/>
        <w:rPr>
          <w:rFonts w:hint="eastAsia"/>
          <w:color w:val="auto"/>
          <w:highlight w:val="none"/>
        </w:rPr>
      </w:pPr>
    </w:p>
    <w:p w14:paraId="6EE80026">
      <w:pPr>
        <w:bidi w:val="0"/>
        <w:rPr>
          <w:rFonts w:hint="eastAsia"/>
          <w:color w:val="auto"/>
          <w:highlight w:val="none"/>
        </w:rPr>
      </w:pPr>
    </w:p>
    <w:p w14:paraId="0E9DBC19">
      <w:pPr>
        <w:bidi w:val="0"/>
        <w:rPr>
          <w:rFonts w:hint="eastAsia"/>
          <w:color w:val="auto"/>
          <w:highlight w:val="none"/>
        </w:rPr>
      </w:pPr>
    </w:p>
    <w:p w14:paraId="3DB0ED79">
      <w:pPr>
        <w:pStyle w:val="7"/>
        <w:rPr>
          <w:rFonts w:hint="eastAsia"/>
          <w:color w:val="auto"/>
          <w:highlight w:val="none"/>
        </w:rPr>
      </w:pPr>
    </w:p>
    <w:p w14:paraId="4667528D">
      <w:pPr>
        <w:rPr>
          <w:rFonts w:hint="eastAsia"/>
          <w:color w:val="auto"/>
          <w:highlight w:val="none"/>
        </w:rPr>
      </w:pPr>
    </w:p>
    <w:p w14:paraId="1BEF0C6C">
      <w:pPr>
        <w:pStyle w:val="7"/>
        <w:rPr>
          <w:rFonts w:hint="eastAsia"/>
          <w:color w:val="auto"/>
          <w:highlight w:val="none"/>
        </w:rPr>
      </w:pPr>
    </w:p>
    <w:p w14:paraId="614C99D8">
      <w:pPr>
        <w:rPr>
          <w:rFonts w:hint="eastAsia"/>
          <w:color w:val="auto"/>
          <w:highlight w:val="none"/>
        </w:rPr>
      </w:pPr>
    </w:p>
    <w:p w14:paraId="666626F9">
      <w:pPr>
        <w:pStyle w:val="7"/>
        <w:rPr>
          <w:rFonts w:hint="eastAsia"/>
          <w:color w:val="auto"/>
          <w:highlight w:val="none"/>
        </w:rPr>
      </w:pPr>
    </w:p>
    <w:p w14:paraId="29EA03B2">
      <w:pPr>
        <w:rPr>
          <w:rFonts w:hint="eastAsia"/>
          <w:color w:val="auto"/>
          <w:highlight w:val="none"/>
        </w:rPr>
      </w:pPr>
    </w:p>
    <w:p w14:paraId="6510D6E2">
      <w:pPr>
        <w:pStyle w:val="7"/>
        <w:rPr>
          <w:rFonts w:hint="eastAsia"/>
          <w:color w:val="auto"/>
          <w:highlight w:val="none"/>
        </w:rPr>
      </w:pPr>
    </w:p>
    <w:p w14:paraId="6B2A0885">
      <w:pPr>
        <w:rPr>
          <w:rFonts w:hint="eastAsia"/>
          <w:color w:val="auto"/>
          <w:highlight w:val="none"/>
        </w:rPr>
      </w:pPr>
    </w:p>
    <w:p w14:paraId="0DAD3BC0">
      <w:pPr>
        <w:pStyle w:val="7"/>
        <w:rPr>
          <w:rFonts w:hint="eastAsia"/>
          <w:color w:val="auto"/>
          <w:highlight w:val="none"/>
        </w:rPr>
      </w:pPr>
    </w:p>
    <w:p w14:paraId="3B7D5A96">
      <w:pPr>
        <w:rPr>
          <w:rFonts w:hint="eastAsia"/>
          <w:color w:val="auto"/>
          <w:highlight w:val="none"/>
        </w:rPr>
      </w:pPr>
    </w:p>
    <w:p w14:paraId="4EDA41B5">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9" w:name="_Toc22736"/>
      <w:bookmarkStart w:id="400" w:name="_Toc13881"/>
      <w:r>
        <w:rPr>
          <w:rFonts w:hint="eastAsia"/>
          <w:color w:val="auto"/>
          <w:highlight w:val="none"/>
          <w:lang w:val="en-US" w:eastAsia="zh-CN"/>
        </w:rPr>
        <w:t>第五章联合体共同报价协议书（如有需要）</w:t>
      </w:r>
      <w:bookmarkEnd w:id="399"/>
      <w:bookmarkEnd w:id="400"/>
    </w:p>
    <w:p w14:paraId="2F1CEF68">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u w:val="single"/>
          <w:lang w:eastAsia="zh-CN"/>
        </w:rPr>
      </w:pPr>
      <w:r>
        <w:rPr>
          <w:rFonts w:hint="eastAsia" w:ascii="宋体" w:hAnsi="宋体" w:eastAsia="宋体" w:cs="宋体"/>
          <w:color w:val="auto"/>
          <w:kern w:val="0"/>
          <w:sz w:val="21"/>
          <w:szCs w:val="21"/>
          <w:highlight w:val="none"/>
          <w:u w:val="single"/>
        </w:rPr>
        <w:t>致：</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采购人</w:t>
      </w:r>
      <w:r>
        <w:rPr>
          <w:rFonts w:hint="eastAsia" w:ascii="宋体" w:hAnsi="宋体" w:eastAsia="宋体" w:cs="宋体"/>
          <w:color w:val="auto"/>
          <w:kern w:val="0"/>
          <w:sz w:val="21"/>
          <w:szCs w:val="21"/>
          <w:highlight w:val="none"/>
          <w:u w:val="single"/>
          <w:lang w:eastAsia="zh-CN"/>
        </w:rPr>
        <w:t>）</w:t>
      </w:r>
    </w:p>
    <w:p w14:paraId="0181ACA3">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kern w:val="0"/>
          <w:sz w:val="21"/>
          <w:szCs w:val="21"/>
          <w:highlight w:val="none"/>
        </w:rPr>
        <w:t>共同组成一个联合体，</w:t>
      </w:r>
      <w:r>
        <w:rPr>
          <w:rFonts w:hint="eastAsia" w:ascii="宋体" w:hAnsi="宋体" w:eastAsia="宋体" w:cs="宋体"/>
          <w:color w:val="auto"/>
          <w:kern w:val="10"/>
          <w:sz w:val="21"/>
          <w:szCs w:val="21"/>
          <w:highlight w:val="none"/>
        </w:rPr>
        <w:t>以一个</w:t>
      </w:r>
      <w:r>
        <w:rPr>
          <w:rFonts w:hint="eastAsia" w:ascii="宋体" w:hAnsi="宋体" w:cs="宋体"/>
          <w:color w:val="auto"/>
          <w:kern w:val="10"/>
          <w:sz w:val="21"/>
          <w:szCs w:val="21"/>
          <w:highlight w:val="none"/>
          <w:lang w:eastAsia="zh-CN"/>
        </w:rPr>
        <w:t>报价</w:t>
      </w:r>
      <w:r>
        <w:rPr>
          <w:rFonts w:hint="eastAsia" w:ascii="宋体" w:hAnsi="宋体" w:eastAsia="宋体" w:cs="宋体"/>
          <w:color w:val="auto"/>
          <w:kern w:val="10"/>
          <w:sz w:val="21"/>
          <w:szCs w:val="21"/>
          <w:highlight w:val="none"/>
        </w:rPr>
        <w:t>供应商的身份共同</w:t>
      </w:r>
      <w:r>
        <w:rPr>
          <w:rFonts w:hint="eastAsia" w:ascii="宋体" w:hAnsi="宋体" w:eastAsia="宋体" w:cs="宋体"/>
          <w:color w:val="auto"/>
          <w:kern w:val="0"/>
          <w:sz w:val="21"/>
          <w:szCs w:val="21"/>
          <w:highlight w:val="none"/>
        </w:rPr>
        <w:t>参加</w:t>
      </w:r>
      <w:r>
        <w:rPr>
          <w:rFonts w:hint="eastAsia" w:ascii="宋体" w:hAnsi="宋体" w:eastAsia="宋体" w:cs="宋体"/>
          <w:color w:val="auto"/>
          <w:kern w:val="0"/>
          <w:sz w:val="21"/>
          <w:szCs w:val="21"/>
          <w:highlight w:val="none"/>
          <w:u w:val="single"/>
        </w:rPr>
        <w:t>（采购项目名称）</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single"/>
        </w:rPr>
        <w:t>（采购项目编号）</w:t>
      </w:r>
      <w:r>
        <w:rPr>
          <w:rFonts w:hint="eastAsia" w:ascii="宋体" w:hAnsi="宋体" w:eastAsia="宋体" w:cs="宋体"/>
          <w:color w:val="auto"/>
          <w:kern w:val="0"/>
          <w:sz w:val="21"/>
          <w:szCs w:val="21"/>
          <w:highlight w:val="none"/>
        </w:rPr>
        <w:t>的</w:t>
      </w:r>
      <w:r>
        <w:rPr>
          <w:rFonts w:hint="eastAsia" w:ascii="宋体" w:hAnsi="宋体" w:cs="宋体"/>
          <w:color w:val="auto"/>
          <w:kern w:val="0"/>
          <w:sz w:val="21"/>
          <w:szCs w:val="21"/>
          <w:highlight w:val="none"/>
          <w:lang w:eastAsia="zh-CN"/>
        </w:rPr>
        <w:t>报价</w:t>
      </w:r>
      <w:r>
        <w:rPr>
          <w:rFonts w:hint="eastAsia" w:ascii="宋体" w:hAnsi="宋体" w:eastAsia="宋体" w:cs="宋体"/>
          <w:color w:val="auto"/>
          <w:kern w:val="0"/>
          <w:sz w:val="21"/>
          <w:szCs w:val="21"/>
          <w:highlight w:val="none"/>
        </w:rPr>
        <w:t>响应。</w:t>
      </w:r>
      <w:r>
        <w:rPr>
          <w:rFonts w:hint="eastAsia" w:ascii="宋体" w:hAnsi="宋体" w:eastAsia="宋体" w:cs="宋体"/>
          <w:color w:val="auto"/>
          <w:sz w:val="21"/>
          <w:szCs w:val="21"/>
          <w:highlight w:val="none"/>
        </w:rPr>
        <w:t>经协商一致，就本</w:t>
      </w:r>
      <w:r>
        <w:rPr>
          <w:rFonts w:hint="eastAsia" w:ascii="宋体" w:hAnsi="宋体" w:eastAsia="宋体" w:cs="宋体"/>
          <w:color w:val="auto"/>
          <w:kern w:val="10"/>
          <w:sz w:val="21"/>
          <w:szCs w:val="21"/>
          <w:highlight w:val="none"/>
        </w:rPr>
        <w:t>项目的</w:t>
      </w:r>
      <w:r>
        <w:rPr>
          <w:rFonts w:hint="eastAsia" w:ascii="宋体" w:hAnsi="宋体" w:cs="宋体"/>
          <w:color w:val="auto"/>
          <w:kern w:val="10"/>
          <w:sz w:val="21"/>
          <w:szCs w:val="21"/>
          <w:highlight w:val="none"/>
          <w:lang w:eastAsia="zh-CN"/>
        </w:rPr>
        <w:t>报价</w:t>
      </w:r>
      <w:r>
        <w:rPr>
          <w:rFonts w:hint="eastAsia" w:ascii="宋体" w:hAnsi="宋体" w:eastAsia="宋体" w:cs="宋体"/>
          <w:color w:val="auto"/>
          <w:kern w:val="10"/>
          <w:sz w:val="21"/>
          <w:szCs w:val="21"/>
          <w:highlight w:val="none"/>
        </w:rPr>
        <w:t>响应和合同实施阶段的有关事务</w:t>
      </w:r>
      <w:r>
        <w:rPr>
          <w:rFonts w:hint="eastAsia" w:ascii="宋体" w:hAnsi="宋体" w:eastAsia="宋体" w:cs="宋体"/>
          <w:color w:val="auto"/>
          <w:kern w:val="0"/>
          <w:sz w:val="21"/>
          <w:szCs w:val="21"/>
          <w:highlight w:val="none"/>
        </w:rPr>
        <w:t>订立协议如下</w:t>
      </w:r>
      <w:r>
        <w:rPr>
          <w:rFonts w:hint="eastAsia" w:ascii="宋体" w:hAnsi="宋体" w:eastAsia="宋体" w:cs="宋体"/>
          <w:color w:val="auto"/>
          <w:sz w:val="21"/>
          <w:szCs w:val="21"/>
          <w:highlight w:val="none"/>
        </w:rPr>
        <w:t>：</w:t>
      </w:r>
    </w:p>
    <w:p w14:paraId="1F519D95">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一、联合体各方关系</w:t>
      </w:r>
    </w:p>
    <w:p w14:paraId="1C2D0929">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sz w:val="21"/>
          <w:szCs w:val="21"/>
          <w:highlight w:val="none"/>
        </w:rPr>
        <w:t>作为联合体成员，若中标、成交，联合体各方共同与采购人签订政府采购合同。其中</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是联合体牵头方，</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是联合体其他成员方。</w:t>
      </w:r>
    </w:p>
    <w:p w14:paraId="1D7FA5AF">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二、联合体内部有关事项约定如下：</w:t>
      </w:r>
    </w:p>
    <w:p w14:paraId="0AF64371">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1.联合体由联合体共同授权人员负责与采购人联系。</w:t>
      </w:r>
    </w:p>
    <w:p w14:paraId="4FA35C89">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2.联合体</w:t>
      </w:r>
      <w:r>
        <w:rPr>
          <w:rFonts w:hint="eastAsia" w:ascii="宋体" w:hAnsi="宋体" w:cs="宋体"/>
          <w:color w:val="auto"/>
          <w:sz w:val="21"/>
          <w:szCs w:val="21"/>
          <w:highlight w:val="none"/>
          <w:lang w:eastAsia="zh-CN"/>
        </w:rPr>
        <w:t>报价</w:t>
      </w:r>
      <w:r>
        <w:rPr>
          <w:rFonts w:hint="eastAsia" w:ascii="宋体" w:hAnsi="宋体" w:eastAsia="宋体" w:cs="宋体"/>
          <w:color w:val="auto"/>
          <w:sz w:val="21"/>
          <w:szCs w:val="21"/>
          <w:highlight w:val="none"/>
        </w:rPr>
        <w:t>工作由联合体共同负责，由联合体各方组成的响应小组具体实施。</w:t>
      </w:r>
    </w:p>
    <w:p w14:paraId="78C79428">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14:paraId="2ADC81B6">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4.联合体内部各自按下列分工负责项目工作：</w:t>
      </w:r>
    </w:p>
    <w:p w14:paraId="2B8B5131">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（甲公司全称）承担本项目</w:t>
      </w:r>
      <w:r>
        <w:rPr>
          <w:rFonts w:hint="eastAsia" w:ascii="宋体" w:hAnsi="宋体" w:eastAsia="宋体" w:cs="宋体"/>
          <w:color w:val="auto"/>
          <w:sz w:val="21"/>
          <w:szCs w:val="21"/>
          <w:highlight w:val="none"/>
          <w:u w:val="single"/>
        </w:rPr>
        <w:t xml:space="preserve">        （填写分工内容）        </w:t>
      </w:r>
    </w:p>
    <w:p w14:paraId="48D3D1C5">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（乙公司全称）承担本项目</w:t>
      </w:r>
      <w:r>
        <w:rPr>
          <w:rFonts w:hint="eastAsia" w:ascii="宋体" w:hAnsi="宋体" w:eastAsia="宋体" w:cs="宋体"/>
          <w:color w:val="auto"/>
          <w:sz w:val="21"/>
          <w:szCs w:val="21"/>
          <w:highlight w:val="none"/>
          <w:u w:val="single"/>
        </w:rPr>
        <w:t xml:space="preserve">        （填写分工内容）        </w:t>
      </w:r>
    </w:p>
    <w:p w14:paraId="482FFE6B">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（…公司全称）承担本项目</w:t>
      </w:r>
      <w:r>
        <w:rPr>
          <w:rFonts w:hint="eastAsia" w:ascii="宋体" w:hAnsi="宋体" w:eastAsia="宋体" w:cs="宋体"/>
          <w:color w:val="auto"/>
          <w:sz w:val="21"/>
          <w:szCs w:val="21"/>
          <w:highlight w:val="none"/>
          <w:u w:val="single"/>
        </w:rPr>
        <w:t xml:space="preserve">        （填写分工内容）        </w:t>
      </w:r>
    </w:p>
    <w:p w14:paraId="470B8059">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5.联合体成员</w:t>
      </w:r>
      <w:r>
        <w:rPr>
          <w:rFonts w:hint="eastAsia" w:ascii="宋体" w:hAnsi="宋体" w:eastAsia="宋体" w:cs="宋体"/>
          <w:color w:val="auto"/>
          <w:sz w:val="21"/>
          <w:szCs w:val="21"/>
          <w:highlight w:val="none"/>
          <w:u w:val="single"/>
        </w:rPr>
        <w:t>　（公司全称）　</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u w:val="single"/>
        </w:rPr>
        <w:t>（请填写：小型、微型）</w:t>
      </w:r>
      <w:r>
        <w:rPr>
          <w:rFonts w:hint="eastAsia" w:ascii="宋体" w:hAnsi="宋体" w:eastAsia="宋体" w:cs="宋体"/>
          <w:color w:val="auto"/>
          <w:sz w:val="21"/>
          <w:szCs w:val="21"/>
          <w:highlight w:val="none"/>
        </w:rPr>
        <w:t>企业，将承担合同总金额</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%的工作内容（联合体成员中有小型、微型企业时适用）。</w:t>
      </w:r>
    </w:p>
    <w:p w14:paraId="3416C275">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14:paraId="481FF17E">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四、联合体如因违约过失责任而导致采购人经济损失或被索赔时，本联合体任何一方均同意无条件优先清偿采购人的一切债务和经济赔偿。</w:t>
      </w:r>
    </w:p>
    <w:p w14:paraId="3C5AEA89">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五、</w:t>
      </w:r>
      <w:r>
        <w:rPr>
          <w:rFonts w:hint="eastAsia" w:ascii="宋体" w:hAnsi="宋体" w:eastAsia="宋体" w:cs="宋体"/>
          <w:color w:val="auto"/>
          <w:sz w:val="21"/>
          <w:szCs w:val="21"/>
          <w:highlight w:val="none"/>
        </w:rPr>
        <w:t>本协议在自签署之日起生效，响应有效期内有效。如获中标、成交资格，本协议有效期延续至采购合同履行完毕之日。</w:t>
      </w:r>
    </w:p>
    <w:p w14:paraId="6B80F27C">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六、本协议书一式</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份，随响应文件装订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份，联合体成员各</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w:t>
      </w:r>
    </w:p>
    <w:p w14:paraId="0F1764CB">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甲公司全称：（盖章） </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乙公司全称：（盖章）</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……公司全称（盖章）</w:t>
      </w:r>
    </w:p>
    <w:p w14:paraId="5A11EA44">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w:t>
      </w:r>
    </w:p>
    <w:p w14:paraId="5B7D1F6E">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p>
    <w:bookmarkEnd w:id="398"/>
    <w:p w14:paraId="638618D0">
      <w:pPr>
        <w:spacing w:after="0" w:line="360" w:lineRule="auto"/>
        <w:jc w:val="both"/>
        <w:rPr>
          <w:rFonts w:ascii="宋体" w:hAnsi="宋体" w:eastAsia="宋体" w:cs="宋体"/>
          <w:color w:val="auto"/>
          <w:sz w:val="21"/>
          <w:szCs w:val="21"/>
          <w:highlight w:val="none"/>
        </w:rPr>
      </w:pPr>
    </w:p>
    <w:p w14:paraId="5AD52731">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质疑函格式（如有需要）</w:t>
      </w:r>
    </w:p>
    <w:p w14:paraId="3C0E4AE4">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14:paraId="7663AAB9">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14:paraId="10596E4E">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14:paraId="18F61590">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14:paraId="10BD7A72">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14:paraId="33BAD7C4">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14:paraId="76AE6B74">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14:paraId="41FD61DB">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14:paraId="1D7BF50D">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14:paraId="179C51D5">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14:paraId="2047827D">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14:paraId="7F509D88">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14:paraId="378B4CD4">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14:paraId="638CBBB1">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14:paraId="1DAA5B95">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14:paraId="41FF6AF3">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14:paraId="6BAAC30B">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14:paraId="213DE319">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14:paraId="62A63867">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14:paraId="4FD87E74">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14:paraId="3ED4766D">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14:paraId="6A75E19F">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14:paraId="4382E8E0">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14:paraId="57B65CBF">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14:paraId="5047CE10">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14:paraId="4A714B47">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14:paraId="17F4BA02">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14:paraId="51CA410C">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14:paraId="79E10644">
      <w:pPr>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14:paraId="22C5332D">
      <w:pPr>
        <w:pStyle w:val="7"/>
        <w:rPr>
          <w:rFonts w:hint="eastAsia" w:ascii="宋体" w:hAnsi="宋体" w:eastAsia="宋体" w:cs="宋体"/>
          <w:color w:val="auto"/>
          <w:sz w:val="21"/>
          <w:szCs w:val="21"/>
          <w:highlight w:val="none"/>
        </w:rPr>
      </w:pPr>
    </w:p>
    <w:p w14:paraId="4EBF5029">
      <w:pPr>
        <w:rPr>
          <w:rFonts w:hint="eastAsia" w:ascii="宋体" w:hAnsi="宋体" w:eastAsia="宋体" w:cs="宋体"/>
          <w:color w:val="auto"/>
          <w:sz w:val="21"/>
          <w:szCs w:val="21"/>
          <w:highlight w:val="none"/>
        </w:rPr>
      </w:pPr>
    </w:p>
    <w:p w14:paraId="73947A87">
      <w:pPr>
        <w:pStyle w:val="7"/>
        <w:rPr>
          <w:color w:val="auto"/>
          <w:highlight w:val="none"/>
        </w:rPr>
      </w:pPr>
    </w:p>
    <w:p w14:paraId="3A29B6DC">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质疑函制作说明：</w:t>
      </w:r>
    </w:p>
    <w:p w14:paraId="2D9CE1A2">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1.供应商提出质疑时，应提交质疑函和必要的证明材料。</w:t>
      </w:r>
    </w:p>
    <w:p w14:paraId="2039ADB6">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696A9526">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3.质疑供应商若对项目的某一分包进行质疑，质疑函中应列明具体分包号。</w:t>
      </w:r>
    </w:p>
    <w:p w14:paraId="5B26DFE6">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14:paraId="5AC5C3D2">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14:paraId="06970F65">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p w14:paraId="4785446E">
      <w:pPr>
        <w:pStyle w:val="7"/>
        <w:rPr>
          <w:color w:val="auto"/>
          <w:highlight w:val="none"/>
        </w:rPr>
      </w:pPr>
    </w:p>
    <w:p w14:paraId="0FD4F9F0">
      <w:pPr>
        <w:spacing w:after="0" w:line="360" w:lineRule="auto"/>
        <w:rPr>
          <w:color w:val="auto"/>
          <w:highlight w:val="none"/>
        </w:rPr>
      </w:pPr>
    </w:p>
    <w:p w14:paraId="4F1CEAB3">
      <w:pPr>
        <w:pStyle w:val="7"/>
        <w:rPr>
          <w:color w:val="auto"/>
          <w:highlight w:val="none"/>
        </w:rPr>
      </w:pPr>
    </w:p>
    <w:p w14:paraId="7F564B2C">
      <w:pPr>
        <w:pStyle w:val="21"/>
        <w:rPr>
          <w:color w:val="auto"/>
          <w:highlight w:val="none"/>
        </w:rPr>
      </w:pPr>
    </w:p>
    <w:p w14:paraId="1500F41A">
      <w:pPr>
        <w:pStyle w:val="21"/>
        <w:rPr>
          <w:color w:val="auto"/>
          <w:highlight w:val="none"/>
        </w:rPr>
      </w:pPr>
    </w:p>
    <w:p w14:paraId="0D002BEE">
      <w:pPr>
        <w:pStyle w:val="21"/>
        <w:rPr>
          <w:color w:val="auto"/>
          <w:highlight w:val="none"/>
        </w:rPr>
      </w:pPr>
    </w:p>
    <w:p w14:paraId="3CB0257B">
      <w:pPr>
        <w:pStyle w:val="21"/>
        <w:rPr>
          <w:color w:val="auto"/>
          <w:highlight w:val="none"/>
        </w:rPr>
      </w:pPr>
    </w:p>
    <w:p w14:paraId="49BB3CFE">
      <w:pPr>
        <w:pStyle w:val="21"/>
        <w:rPr>
          <w:color w:val="auto"/>
          <w:highlight w:val="none"/>
        </w:rPr>
      </w:pPr>
    </w:p>
    <w:p w14:paraId="03DF47C7">
      <w:pPr>
        <w:pStyle w:val="21"/>
        <w:rPr>
          <w:color w:val="auto"/>
          <w:highlight w:val="none"/>
        </w:rPr>
      </w:pPr>
    </w:p>
    <w:p w14:paraId="09ED1865">
      <w:pPr>
        <w:pStyle w:val="21"/>
        <w:rPr>
          <w:color w:val="auto"/>
          <w:highlight w:val="none"/>
        </w:rPr>
      </w:pPr>
    </w:p>
    <w:p w14:paraId="652845FE">
      <w:pPr>
        <w:pStyle w:val="21"/>
        <w:rPr>
          <w:color w:val="auto"/>
          <w:highlight w:val="none"/>
        </w:rPr>
      </w:pPr>
    </w:p>
    <w:p w14:paraId="0FE7489F">
      <w:pPr>
        <w:pStyle w:val="21"/>
        <w:rPr>
          <w:color w:val="auto"/>
          <w:highlight w:val="none"/>
        </w:rPr>
      </w:pPr>
    </w:p>
    <w:p w14:paraId="4D2D53C8">
      <w:pPr>
        <w:pStyle w:val="21"/>
        <w:rPr>
          <w:color w:val="auto"/>
          <w:highlight w:val="none"/>
        </w:rPr>
      </w:pPr>
    </w:p>
    <w:p w14:paraId="1AF406ED">
      <w:pPr>
        <w:pStyle w:val="21"/>
        <w:rPr>
          <w:color w:val="auto"/>
          <w:highlight w:val="none"/>
        </w:rPr>
      </w:pPr>
    </w:p>
    <w:p w14:paraId="5AC6D31F">
      <w:pPr>
        <w:pStyle w:val="21"/>
        <w:rPr>
          <w:color w:val="auto"/>
          <w:highlight w:val="none"/>
        </w:rPr>
      </w:pPr>
    </w:p>
    <w:p w14:paraId="12E8B8AD">
      <w:pPr>
        <w:pStyle w:val="21"/>
        <w:rPr>
          <w:color w:val="auto"/>
          <w:highlight w:val="none"/>
        </w:rPr>
      </w:pPr>
    </w:p>
    <w:p w14:paraId="28261482">
      <w:pPr>
        <w:pStyle w:val="21"/>
        <w:rPr>
          <w:color w:val="auto"/>
          <w:highlight w:val="none"/>
        </w:rPr>
      </w:pPr>
    </w:p>
    <w:p w14:paraId="64DDF84D">
      <w:pPr>
        <w:spacing w:after="0"/>
        <w:jc w:val="both"/>
        <w:rPr>
          <w:rFonts w:hint="eastAsia" w:ascii="黑体" w:hAnsi="黑体" w:eastAsia="黑体" w:cs="黑体"/>
          <w:color w:val="auto"/>
          <w:sz w:val="36"/>
          <w:szCs w:val="36"/>
          <w:highlight w:val="none"/>
        </w:rPr>
      </w:pPr>
    </w:p>
    <w:p w14:paraId="4701D5E9">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highlight w:val="none"/>
        </w:rPr>
      </w:pPr>
      <w:r>
        <w:rPr>
          <w:rFonts w:hint="eastAsia" w:ascii="黑体" w:hAnsi="黑体" w:eastAsia="黑体" w:cs="黑体"/>
          <w:color w:val="auto"/>
          <w:sz w:val="52"/>
          <w:szCs w:val="52"/>
          <w:highlight w:val="none"/>
        </w:rPr>
        <w:t>获取磋商文件登记表</w:t>
      </w:r>
    </w:p>
    <w:tbl>
      <w:tblPr>
        <w:tblStyle w:val="22"/>
        <w:tblW w:w="4998" w:type="pct"/>
        <w:tblInd w:w="0" w:type="dxa"/>
        <w:shd w:val="clear" w:color="auto" w:fill="auto"/>
        <w:tblLayout w:type="fixed"/>
        <w:tblCellMar>
          <w:top w:w="0" w:type="dxa"/>
          <w:left w:w="108" w:type="dxa"/>
          <w:bottom w:w="0" w:type="dxa"/>
          <w:right w:w="108" w:type="dxa"/>
        </w:tblCellMar>
      </w:tblPr>
      <w:tblGrid>
        <w:gridCol w:w="2769"/>
        <w:gridCol w:w="2355"/>
        <w:gridCol w:w="1440"/>
        <w:gridCol w:w="1955"/>
      </w:tblGrid>
      <w:tr w14:paraId="114770F4">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379DE">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84F55">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14:paraId="21ADB519">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367C7">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65CE4">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DC726">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项目包号</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DA307">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14:paraId="23EF0595">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24D69">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C9204">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14:paraId="1F7C21B1">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7DF34">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41133">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14:paraId="5A919143">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81060">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C4F5D">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91D84">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手机</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5D444">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14:paraId="67195C10">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648C1">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3E6A2">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14:paraId="577F4592">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9F6D2">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获取</w:t>
            </w:r>
            <w:r>
              <w:rPr>
                <w:rFonts w:hint="eastAsia" w:ascii="宋体" w:hAnsi="宋体" w:cs="宋体"/>
                <w:i w:val="0"/>
                <w:iCs w:val="0"/>
                <w:color w:val="auto"/>
                <w:kern w:val="0"/>
                <w:sz w:val="28"/>
                <w:szCs w:val="28"/>
                <w:highlight w:val="none"/>
                <w:u w:val="none"/>
                <w:lang w:val="en-US" w:eastAsia="zh-CN" w:bidi="ar"/>
              </w:rPr>
              <w:t>磋商文件</w:t>
            </w:r>
            <w:r>
              <w:rPr>
                <w:rFonts w:hint="eastAsia" w:ascii="宋体" w:hAnsi="宋体" w:eastAsia="宋体" w:cs="宋体"/>
                <w:i w:val="0"/>
                <w:iCs w:val="0"/>
                <w:color w:val="auto"/>
                <w:kern w:val="0"/>
                <w:sz w:val="28"/>
                <w:szCs w:val="28"/>
                <w:highlight w:val="none"/>
                <w:u w:val="none"/>
                <w:lang w:val="en-US" w:eastAsia="zh-CN" w:bidi="ar"/>
              </w:rPr>
              <w:t>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15FA9">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年    月    日    时    分</w:t>
            </w:r>
          </w:p>
        </w:tc>
      </w:tr>
      <w:tr w14:paraId="2E380260">
        <w:tblPrEx>
          <w:shd w:val="clear" w:color="auto" w:fill="auto"/>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C9E0F">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承诺:</w:t>
            </w:r>
          </w:p>
          <w:p w14:paraId="67F1F61E">
            <w:pPr>
              <w:keepNext w:val="0"/>
              <w:keepLines w:val="0"/>
              <w:pageBreakBefore w:val="0"/>
              <w:widowControl/>
              <w:numPr>
                <w:ilvl w:val="0"/>
                <w:numId w:val="23"/>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w:t>
            </w:r>
            <w:r>
              <w:rPr>
                <w:rFonts w:hint="eastAsia" w:ascii="宋体" w:hAnsi="宋体" w:cs="宋体"/>
                <w:i w:val="0"/>
                <w:iCs w:val="0"/>
                <w:color w:val="auto"/>
                <w:kern w:val="0"/>
                <w:sz w:val="28"/>
                <w:szCs w:val="28"/>
                <w:highlight w:val="none"/>
                <w:u w:val="none"/>
                <w:lang w:val="en-US" w:eastAsia="zh-CN" w:bidi="ar"/>
              </w:rPr>
              <w:t>磋商文件</w:t>
            </w:r>
            <w:r>
              <w:rPr>
                <w:rFonts w:hint="eastAsia" w:ascii="宋体" w:hAnsi="宋体" w:eastAsia="宋体" w:cs="宋体"/>
                <w:i w:val="0"/>
                <w:iCs w:val="0"/>
                <w:color w:val="auto"/>
                <w:kern w:val="0"/>
                <w:sz w:val="28"/>
                <w:szCs w:val="28"/>
                <w:highlight w:val="none"/>
                <w:u w:val="none"/>
                <w:lang w:val="en-US" w:eastAsia="zh-CN" w:bidi="ar"/>
              </w:rPr>
              <w:t>的内容已经了解，并自愿购买该</w:t>
            </w:r>
            <w:r>
              <w:rPr>
                <w:rFonts w:hint="eastAsia" w:ascii="宋体" w:hAnsi="宋体" w:cs="宋体"/>
                <w:i w:val="0"/>
                <w:iCs w:val="0"/>
                <w:color w:val="auto"/>
                <w:kern w:val="0"/>
                <w:sz w:val="28"/>
                <w:szCs w:val="28"/>
                <w:highlight w:val="none"/>
                <w:u w:val="none"/>
                <w:lang w:val="en-US" w:eastAsia="zh-CN" w:bidi="ar"/>
              </w:rPr>
              <w:t>磋商文件</w:t>
            </w:r>
            <w:r>
              <w:rPr>
                <w:rFonts w:hint="eastAsia" w:ascii="宋体" w:hAnsi="宋体" w:eastAsia="宋体" w:cs="宋体"/>
                <w:i w:val="0"/>
                <w:iCs w:val="0"/>
                <w:color w:val="auto"/>
                <w:kern w:val="0"/>
                <w:sz w:val="28"/>
                <w:szCs w:val="28"/>
                <w:highlight w:val="none"/>
                <w:u w:val="none"/>
                <w:lang w:val="en-US" w:eastAsia="zh-CN" w:bidi="ar"/>
              </w:rPr>
              <w:t>。</w:t>
            </w:r>
          </w:p>
          <w:p w14:paraId="1A5ECAF4">
            <w:pPr>
              <w:keepNext w:val="0"/>
              <w:keepLines w:val="0"/>
              <w:pageBreakBefore w:val="0"/>
              <w:widowControl/>
              <w:numPr>
                <w:ilvl w:val="0"/>
                <w:numId w:val="23"/>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本公司对提供的所有资料的真实性、有效性承担责任。</w:t>
            </w:r>
          </w:p>
          <w:p w14:paraId="3C0FFDF2">
            <w:pPr>
              <w:keepNext w:val="0"/>
              <w:keepLines w:val="0"/>
              <w:pageBreakBefore w:val="0"/>
              <w:widowControl/>
              <w:numPr>
                <w:ilvl w:val="0"/>
                <w:numId w:val="23"/>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cs="宋体"/>
                <w:i w:val="0"/>
                <w:iCs w:val="0"/>
                <w:color w:val="auto"/>
                <w:kern w:val="0"/>
                <w:sz w:val="28"/>
                <w:szCs w:val="28"/>
                <w:highlight w:val="none"/>
                <w:u w:val="none"/>
                <w:lang w:val="en-US" w:eastAsia="zh-CN" w:bidi="ar"/>
              </w:rPr>
              <w:t>磋商文件</w:t>
            </w:r>
            <w:r>
              <w:rPr>
                <w:rFonts w:hint="eastAsia" w:ascii="宋体" w:hAnsi="宋体" w:eastAsia="宋体" w:cs="宋体"/>
                <w:i w:val="0"/>
                <w:iCs w:val="0"/>
                <w:color w:val="auto"/>
                <w:kern w:val="0"/>
                <w:sz w:val="28"/>
                <w:szCs w:val="28"/>
                <w:highlight w:val="none"/>
                <w:u w:val="none"/>
                <w:lang w:val="en-US" w:eastAsia="zh-CN" w:bidi="ar"/>
              </w:rPr>
              <w:t>售后不退。</w:t>
            </w:r>
          </w:p>
          <w:p w14:paraId="76C7CF54">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highlight w:val="none"/>
                <w:u w:val="none"/>
                <w:lang w:val="en-US" w:eastAsia="zh-CN" w:bidi="ar"/>
              </w:rPr>
            </w:pPr>
            <w:r>
              <w:rPr>
                <w:rFonts w:hint="eastAsia" w:ascii="宋体" w:hAnsi="宋体" w:cs="宋体"/>
                <w:i w:val="0"/>
                <w:iCs w:val="0"/>
                <w:color w:val="auto"/>
                <w:kern w:val="0"/>
                <w:sz w:val="28"/>
                <w:szCs w:val="28"/>
                <w:highlight w:val="none"/>
                <w:u w:val="none"/>
                <w:lang w:val="en-US" w:eastAsia="zh-CN" w:bidi="ar"/>
              </w:rPr>
              <w:t>磋商文件</w:t>
            </w:r>
            <w:r>
              <w:rPr>
                <w:rFonts w:hint="eastAsia" w:ascii="宋体" w:hAnsi="宋体" w:eastAsia="宋体" w:cs="宋体"/>
                <w:i w:val="0"/>
                <w:iCs w:val="0"/>
                <w:color w:val="auto"/>
                <w:kern w:val="0"/>
                <w:sz w:val="28"/>
                <w:szCs w:val="28"/>
                <w:highlight w:val="none"/>
                <w:u w:val="none"/>
                <w:lang w:val="en-US" w:eastAsia="zh-CN" w:bidi="ar"/>
              </w:rPr>
              <w:t xml:space="preserve">领取人签名: </w:t>
            </w:r>
            <w:r>
              <w:rPr>
                <w:rFonts w:hint="eastAsia" w:ascii="宋体" w:hAnsi="宋体" w:eastAsia="宋体" w:cs="宋体"/>
                <w:i w:val="0"/>
                <w:iCs w:val="0"/>
                <w:color w:val="auto"/>
                <w:kern w:val="0"/>
                <w:sz w:val="28"/>
                <w:szCs w:val="28"/>
                <w:highlight w:val="none"/>
                <w:u w:val="single"/>
                <w:lang w:val="en-US" w:eastAsia="zh-CN" w:bidi="ar"/>
              </w:rPr>
              <w:t xml:space="preserve">     </w:t>
            </w:r>
            <w:r>
              <w:rPr>
                <w:rFonts w:hint="eastAsia" w:ascii="宋体" w:hAnsi="宋体" w:eastAsia="宋体" w:cs="宋体"/>
                <w:i w:val="0"/>
                <w:iCs w:val="0"/>
                <w:color w:val="auto"/>
                <w:kern w:val="0"/>
                <w:sz w:val="28"/>
                <w:szCs w:val="28"/>
                <w:highlight w:val="none"/>
                <w:u w:val="none"/>
                <w:vertAlign w:val="subscript"/>
                <w:lang w:val="en-US" w:eastAsia="zh-CN" w:bidi="ar"/>
              </w:rPr>
              <w:t xml:space="preserve"> </w:t>
            </w:r>
            <w:r>
              <w:rPr>
                <w:rFonts w:hint="eastAsia" w:ascii="宋体" w:hAnsi="宋体" w:eastAsia="宋体" w:cs="宋体"/>
                <w:i w:val="0"/>
                <w:iCs w:val="0"/>
                <w:color w:val="auto"/>
                <w:kern w:val="0"/>
                <w:sz w:val="28"/>
                <w:szCs w:val="28"/>
                <w:highlight w:val="none"/>
                <w:u w:val="none"/>
                <w:lang w:val="en-US" w:eastAsia="zh-CN" w:bidi="ar"/>
              </w:rPr>
              <w:t xml:space="preserve">              </w:t>
            </w:r>
            <w:r>
              <w:rPr>
                <w:rFonts w:hint="eastAsia" w:ascii="宋体" w:hAnsi="宋体" w:eastAsia="宋体" w:cs="宋体"/>
                <w:i w:val="0"/>
                <w:iCs w:val="0"/>
                <w:color w:val="auto"/>
                <w:kern w:val="0"/>
                <w:sz w:val="28"/>
                <w:szCs w:val="28"/>
                <w:highlight w:val="none"/>
                <w:u w:val="single"/>
                <w:lang w:val="en-US" w:eastAsia="zh-CN" w:bidi="ar"/>
              </w:rPr>
              <w:t xml:space="preserve">                </w:t>
            </w:r>
          </w:p>
        </w:tc>
      </w:tr>
      <w:tr w14:paraId="5FC96BAE">
        <w:tblPrEx>
          <w:shd w:val="clear" w:color="auto" w:fill="auto"/>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8108C">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cs="宋体"/>
                <w:i w:val="0"/>
                <w:iCs w:val="0"/>
                <w:color w:val="auto"/>
                <w:kern w:val="0"/>
                <w:sz w:val="28"/>
                <w:szCs w:val="28"/>
                <w:highlight w:val="none"/>
                <w:u w:val="none"/>
                <w:lang w:val="en-US" w:eastAsia="zh-CN" w:bidi="ar"/>
              </w:rPr>
              <w:t>磋商文件</w:t>
            </w:r>
            <w:r>
              <w:rPr>
                <w:rFonts w:hint="eastAsia" w:ascii="宋体" w:hAnsi="宋体" w:eastAsia="宋体" w:cs="宋体"/>
                <w:i w:val="0"/>
                <w:iCs w:val="0"/>
                <w:color w:val="auto"/>
                <w:kern w:val="0"/>
                <w:sz w:val="28"/>
                <w:szCs w:val="28"/>
                <w:highlight w:val="none"/>
                <w:u w:val="none"/>
                <w:lang w:val="en-US" w:eastAsia="zh-CN" w:bidi="ar"/>
              </w:rPr>
              <w:t>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F5819">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人民币</w:t>
            </w:r>
            <w:r>
              <w:rPr>
                <w:rFonts w:hint="eastAsia" w:ascii="宋体" w:hAnsi="宋体" w:cs="宋体"/>
                <w:i w:val="0"/>
                <w:iCs w:val="0"/>
                <w:color w:val="auto"/>
                <w:kern w:val="0"/>
                <w:sz w:val="28"/>
                <w:szCs w:val="28"/>
                <w:highlight w:val="none"/>
                <w:u w:val="none"/>
                <w:lang w:val="en-US" w:eastAsia="zh-CN" w:bidi="ar"/>
              </w:rPr>
              <w:t>300</w:t>
            </w:r>
            <w:r>
              <w:rPr>
                <w:rFonts w:hint="eastAsia" w:ascii="宋体" w:hAnsi="宋体" w:eastAsia="宋体" w:cs="宋体"/>
                <w:i w:val="0"/>
                <w:iCs w:val="0"/>
                <w:color w:val="auto"/>
                <w:kern w:val="0"/>
                <w:sz w:val="28"/>
                <w:szCs w:val="28"/>
                <w:highlight w:val="none"/>
                <w:u w:val="none"/>
                <w:lang w:val="en-US" w:eastAsia="zh-CN" w:bidi="ar"/>
              </w:rPr>
              <w:t>元/份</w:t>
            </w:r>
          </w:p>
        </w:tc>
      </w:tr>
    </w:tbl>
    <w:p w14:paraId="567C6221">
      <w:pPr>
        <w:pStyle w:val="21"/>
        <w:ind w:left="0" w:leftChars="0" w:firstLine="0" w:firstLineChars="0"/>
        <w:rPr>
          <w:color w:val="auto"/>
          <w:highlight w:val="none"/>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F3D40">
    <w:pPr>
      <w:pStyle w:val="12"/>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A20D1E">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4DA20D1E">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A598B">
    <w:pPr>
      <w:pStyle w:val="12"/>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5E2CA1">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2F5E2CA1">
                    <w:pPr>
                      <w:pStyle w:val="12"/>
                      <w:rPr>
                        <w:rFonts w:hint="eastAsia" w:eastAsia="宋体"/>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DF415">
    <w:pPr>
      <w:pStyle w:val="12"/>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8D3AF7">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588D3AF7">
                    <w:pPr>
                      <w:pStyle w:val="12"/>
                      <w:rPr>
                        <w:rFonts w:hint="eastAsia" w:eastAsia="宋体"/>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17A1E1B2">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14:paraId="17A1E1B2">
                    <w:pPr>
                      <w:pStyle w:val="12"/>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2E6AAB">
    <w:pPr>
      <w:pStyle w:val="12"/>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067CA5">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6A067CA5">
                    <w:pPr>
                      <w:pStyle w:val="12"/>
                      <w:rPr>
                        <w:rFonts w:hint="eastAsia" w:eastAsia="宋体"/>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20390CD5">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14:paraId="20390CD5">
                    <w:pPr>
                      <w:pStyle w:val="12"/>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61737">
    <w:pPr>
      <w:pStyle w:val="1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5167CC">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7B5167CC">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33D26994">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14:paraId="33D26994">
                    <w:pPr>
                      <w:pStyle w:val="12"/>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1B213">
    <w:pPr>
      <w:pStyle w:val="12"/>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656C64">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1B656C64">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EBD583">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8EBD583">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060F5382">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14:paraId="060F5382">
                    <w:pPr>
                      <w:pStyle w:val="12"/>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14:paraId="2077634D">
      <w:pPr>
        <w:pStyle w:val="18"/>
        <w:snapToGrid w:val="0"/>
        <w:rPr>
          <w:rFonts w:hint="eastAsia" w:eastAsia="微软雅黑"/>
          <w:lang w:eastAsia="zh-CN"/>
        </w:rPr>
      </w:pPr>
      <w:r>
        <w:rPr>
          <w:rStyle w:val="28"/>
        </w:rPr>
        <w:footnoteRef/>
      </w:r>
      <w:r>
        <w:t xml:space="preserve"> </w:t>
      </w:r>
      <w:r>
        <w:rPr>
          <w:rFonts w:hint="eastAsia"/>
          <w:lang w:eastAsia="zh-CN"/>
        </w:rPr>
        <w:t>从业人员、营业人员、资产总额填报上一年度数据，无上一年度数据的新成立企业可不填报。</w:t>
      </w:r>
    </w:p>
  </w:footnote>
  <w:footnote w:id="1">
    <w:p w14:paraId="0CF6ECF5">
      <w:pPr>
        <w:pStyle w:val="18"/>
        <w:snapToGrid w:val="0"/>
      </w:pPr>
      <w:r>
        <w:rPr>
          <w:rStyle w:val="28"/>
        </w:rPr>
        <w:footnoteRef/>
      </w:r>
      <w:r>
        <w:t xml:space="preserve">  </w:t>
      </w:r>
      <w:r>
        <w:rPr>
          <w:rFonts w:hint="eastAsia"/>
          <w:lang w:eastAsia="zh-CN"/>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DB8EA">
    <w:pPr>
      <w:pStyle w:val="13"/>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2110DB">
    <w:pPr>
      <w:pStyle w:val="13"/>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D34B0D"/>
    <w:multiLevelType w:val="singleLevel"/>
    <w:tmpl w:val="89D34B0D"/>
    <w:lvl w:ilvl="0" w:tentative="0">
      <w:start w:val="1"/>
      <w:numFmt w:val="chineseCounting"/>
      <w:suff w:val="nothing"/>
      <w:lvlText w:val="（%1）"/>
      <w:lvlJc w:val="left"/>
      <w:pPr>
        <w:ind w:left="0" w:firstLine="420"/>
      </w:pPr>
      <w:rPr>
        <w:rFonts w:hint="eastAsia"/>
      </w:rPr>
    </w:lvl>
  </w:abstractNum>
  <w:abstractNum w:abstractNumId="1">
    <w:nsid w:val="9179EE29"/>
    <w:multiLevelType w:val="singleLevel"/>
    <w:tmpl w:val="9179EE29"/>
    <w:lvl w:ilvl="0" w:tentative="0">
      <w:start w:val="1"/>
      <w:numFmt w:val="chineseCounting"/>
      <w:suff w:val="nothing"/>
      <w:lvlText w:val="（%1）"/>
      <w:lvlJc w:val="left"/>
      <w:pPr>
        <w:ind w:left="0" w:firstLine="420"/>
      </w:pPr>
      <w:rPr>
        <w:rFonts w:hint="eastAsia"/>
      </w:rPr>
    </w:lvl>
  </w:abstractNum>
  <w:abstractNum w:abstractNumId="2">
    <w:nsid w:val="93587489"/>
    <w:multiLevelType w:val="singleLevel"/>
    <w:tmpl w:val="93587489"/>
    <w:lvl w:ilvl="0" w:tentative="0">
      <w:start w:val="1"/>
      <w:numFmt w:val="decimal"/>
      <w:suff w:val="nothing"/>
      <w:lvlText w:val="%1、"/>
      <w:lvlJc w:val="left"/>
    </w:lvl>
  </w:abstractNum>
  <w:abstractNum w:abstractNumId="3">
    <w:nsid w:val="A9B5F2C3"/>
    <w:multiLevelType w:val="singleLevel"/>
    <w:tmpl w:val="A9B5F2C3"/>
    <w:lvl w:ilvl="0" w:tentative="0">
      <w:start w:val="1"/>
      <w:numFmt w:val="chineseCounting"/>
      <w:suff w:val="nothing"/>
      <w:lvlText w:val="（%1）"/>
      <w:lvlJc w:val="left"/>
      <w:pPr>
        <w:ind w:left="0" w:firstLine="420"/>
      </w:pPr>
      <w:rPr>
        <w:rFonts w:hint="eastAsia"/>
      </w:rPr>
    </w:lvl>
  </w:abstractNum>
  <w:abstractNum w:abstractNumId="4">
    <w:nsid w:val="AE4BBCA9"/>
    <w:multiLevelType w:val="singleLevel"/>
    <w:tmpl w:val="AE4BBCA9"/>
    <w:lvl w:ilvl="0" w:tentative="0">
      <w:start w:val="1"/>
      <w:numFmt w:val="chineseCounting"/>
      <w:suff w:val="nothing"/>
      <w:lvlText w:val="（%1）"/>
      <w:lvlJc w:val="left"/>
      <w:pPr>
        <w:ind w:left="0" w:firstLine="420"/>
      </w:pPr>
      <w:rPr>
        <w:rFonts w:hint="eastAsia"/>
      </w:rPr>
    </w:lvl>
  </w:abstractNum>
  <w:abstractNum w:abstractNumId="5">
    <w:nsid w:val="C390C518"/>
    <w:multiLevelType w:val="singleLevel"/>
    <w:tmpl w:val="C390C518"/>
    <w:lvl w:ilvl="0" w:tentative="0">
      <w:start w:val="1"/>
      <w:numFmt w:val="chineseCounting"/>
      <w:suff w:val="nothing"/>
      <w:lvlText w:val="（%1）"/>
      <w:lvlJc w:val="left"/>
      <w:pPr>
        <w:ind w:left="0" w:firstLine="420"/>
      </w:pPr>
      <w:rPr>
        <w:rFonts w:hint="eastAsia"/>
      </w:rPr>
    </w:lvl>
  </w:abstractNum>
  <w:abstractNum w:abstractNumId="6">
    <w:nsid w:val="C519C6EB"/>
    <w:multiLevelType w:val="singleLevel"/>
    <w:tmpl w:val="C519C6EB"/>
    <w:lvl w:ilvl="0" w:tentative="0">
      <w:start w:val="1"/>
      <w:numFmt w:val="chineseCounting"/>
      <w:suff w:val="nothing"/>
      <w:lvlText w:val="（%1）"/>
      <w:lvlJc w:val="left"/>
      <w:pPr>
        <w:ind w:left="0" w:firstLine="420"/>
      </w:pPr>
      <w:rPr>
        <w:rFonts w:hint="eastAsia"/>
      </w:rPr>
    </w:lvl>
  </w:abstractNum>
  <w:abstractNum w:abstractNumId="7">
    <w:nsid w:val="CBB10C87"/>
    <w:multiLevelType w:val="singleLevel"/>
    <w:tmpl w:val="CBB10C87"/>
    <w:lvl w:ilvl="0" w:tentative="0">
      <w:start w:val="1"/>
      <w:numFmt w:val="chineseCounting"/>
      <w:suff w:val="nothing"/>
      <w:lvlText w:val="（%1）"/>
      <w:lvlJc w:val="left"/>
      <w:pPr>
        <w:ind w:left="0" w:firstLine="420"/>
      </w:pPr>
      <w:rPr>
        <w:rFonts w:hint="eastAsia"/>
      </w:rPr>
    </w:lvl>
  </w:abstractNum>
  <w:abstractNum w:abstractNumId="8">
    <w:nsid w:val="CFF174A5"/>
    <w:multiLevelType w:val="singleLevel"/>
    <w:tmpl w:val="CFF174A5"/>
    <w:lvl w:ilvl="0" w:tentative="0">
      <w:start w:val="1"/>
      <w:numFmt w:val="decimal"/>
      <w:suff w:val="nothing"/>
      <w:lvlText w:val="%1、"/>
      <w:lvlJc w:val="left"/>
    </w:lvl>
  </w:abstractNum>
  <w:abstractNum w:abstractNumId="9">
    <w:nsid w:val="F75A158C"/>
    <w:multiLevelType w:val="singleLevel"/>
    <w:tmpl w:val="F75A158C"/>
    <w:lvl w:ilvl="0" w:tentative="0">
      <w:start w:val="1"/>
      <w:numFmt w:val="chineseCounting"/>
      <w:suff w:val="nothing"/>
      <w:lvlText w:val="（%1）"/>
      <w:lvlJc w:val="left"/>
      <w:pPr>
        <w:ind w:left="0" w:firstLine="420"/>
      </w:pPr>
      <w:rPr>
        <w:rFonts w:hint="eastAsia"/>
      </w:rPr>
    </w:lvl>
  </w:abstractNum>
  <w:abstractNum w:abstractNumId="10">
    <w:nsid w:val="F8DC71CB"/>
    <w:multiLevelType w:val="multilevel"/>
    <w:tmpl w:val="F8DC71CB"/>
    <w:lvl w:ilvl="0" w:tentative="0">
      <w:start w:val="1"/>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1">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9F15884"/>
    <w:multiLevelType w:val="singleLevel"/>
    <w:tmpl w:val="09F15884"/>
    <w:lvl w:ilvl="0" w:tentative="0">
      <w:start w:val="1"/>
      <w:numFmt w:val="chineseCounting"/>
      <w:suff w:val="nothing"/>
      <w:lvlText w:val="（%1）"/>
      <w:lvlJc w:val="left"/>
      <w:pPr>
        <w:ind w:left="0" w:firstLine="420"/>
      </w:pPr>
      <w:rPr>
        <w:rFonts w:hint="eastAsia"/>
      </w:rPr>
    </w:lvl>
  </w:abstractNum>
  <w:abstractNum w:abstractNumId="13">
    <w:nsid w:val="0FC50A68"/>
    <w:multiLevelType w:val="singleLevel"/>
    <w:tmpl w:val="0FC50A68"/>
    <w:lvl w:ilvl="0" w:tentative="0">
      <w:start w:val="1"/>
      <w:numFmt w:val="chineseCounting"/>
      <w:suff w:val="nothing"/>
      <w:lvlText w:val="（%1）"/>
      <w:lvlJc w:val="left"/>
      <w:pPr>
        <w:ind w:left="0" w:firstLine="420"/>
      </w:pPr>
      <w:rPr>
        <w:rFonts w:hint="eastAsia"/>
      </w:rPr>
    </w:lvl>
  </w:abstractNum>
  <w:abstractNum w:abstractNumId="14">
    <w:nsid w:val="18194041"/>
    <w:multiLevelType w:val="singleLevel"/>
    <w:tmpl w:val="18194041"/>
    <w:lvl w:ilvl="0" w:tentative="0">
      <w:start w:val="1"/>
      <w:numFmt w:val="chineseCounting"/>
      <w:suff w:val="nothing"/>
      <w:lvlText w:val="（%1）"/>
      <w:lvlJc w:val="left"/>
      <w:pPr>
        <w:ind w:left="0" w:firstLine="420"/>
      </w:pPr>
      <w:rPr>
        <w:rFonts w:hint="eastAsia"/>
      </w:rPr>
    </w:lvl>
  </w:abstractNum>
  <w:abstractNum w:abstractNumId="15">
    <w:nsid w:val="316010E5"/>
    <w:multiLevelType w:val="singleLevel"/>
    <w:tmpl w:val="316010E5"/>
    <w:lvl w:ilvl="0" w:tentative="0">
      <w:start w:val="1"/>
      <w:numFmt w:val="decimal"/>
      <w:suff w:val="nothing"/>
      <w:lvlText w:val="%1．"/>
      <w:lvlJc w:val="left"/>
    </w:lvl>
  </w:abstractNum>
  <w:abstractNum w:abstractNumId="16">
    <w:nsid w:val="3AA531BF"/>
    <w:multiLevelType w:val="singleLevel"/>
    <w:tmpl w:val="3AA531BF"/>
    <w:lvl w:ilvl="0" w:tentative="0">
      <w:start w:val="1"/>
      <w:numFmt w:val="chineseCounting"/>
      <w:suff w:val="nothing"/>
      <w:lvlText w:val="（%1）"/>
      <w:lvlJc w:val="left"/>
      <w:pPr>
        <w:ind w:left="0" w:firstLine="420"/>
      </w:pPr>
      <w:rPr>
        <w:rFonts w:hint="eastAsia"/>
      </w:rPr>
    </w:lvl>
  </w:abstractNum>
  <w:abstractNum w:abstractNumId="17">
    <w:nsid w:val="3B1B8417"/>
    <w:multiLevelType w:val="singleLevel"/>
    <w:tmpl w:val="3B1B8417"/>
    <w:lvl w:ilvl="0" w:tentative="0">
      <w:start w:val="1"/>
      <w:numFmt w:val="decimal"/>
      <w:suff w:val="nothing"/>
      <w:lvlText w:val="%1、"/>
      <w:lvlJc w:val="left"/>
    </w:lvl>
  </w:abstractNum>
  <w:abstractNum w:abstractNumId="18">
    <w:nsid w:val="49F65E66"/>
    <w:multiLevelType w:val="multilevel"/>
    <w:tmpl w:val="49F65E66"/>
    <w:lvl w:ilvl="0" w:tentative="0">
      <w:start w:val="2"/>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ascii="宋体" w:hAnsi="宋体" w:eastAsia="宋体" w:cs="宋体"/>
      </w:rPr>
    </w:lvl>
    <w:lvl w:ilvl="3" w:tentative="0">
      <w:start w:val="1"/>
      <w:numFmt w:val="decimal"/>
      <w:lvlText w:val="%1.%2.%3.%4."/>
      <w:lvlJc w:val="left"/>
      <w:pPr>
        <w:ind w:left="850" w:hanging="850"/>
      </w:pPr>
      <w:rPr>
        <w:rFonts w:hint="default" w:ascii="宋体" w:hAnsi="宋体"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9">
    <w:nsid w:val="5ED241A3"/>
    <w:multiLevelType w:val="singleLevel"/>
    <w:tmpl w:val="5ED241A3"/>
    <w:lvl w:ilvl="0" w:tentative="0">
      <w:start w:val="1"/>
      <w:numFmt w:val="chineseCounting"/>
      <w:suff w:val="nothing"/>
      <w:lvlText w:val="（%1）"/>
      <w:lvlJc w:val="left"/>
      <w:pPr>
        <w:ind w:left="0" w:firstLine="420"/>
      </w:pPr>
      <w:rPr>
        <w:rFonts w:hint="eastAsia"/>
      </w:rPr>
    </w:lvl>
  </w:abstractNum>
  <w:abstractNum w:abstractNumId="20">
    <w:nsid w:val="6825E712"/>
    <w:multiLevelType w:val="singleLevel"/>
    <w:tmpl w:val="6825E712"/>
    <w:lvl w:ilvl="0" w:tentative="0">
      <w:start w:val="1"/>
      <w:numFmt w:val="chineseCounting"/>
      <w:suff w:val="nothing"/>
      <w:lvlText w:val="（%1）"/>
      <w:lvlJc w:val="left"/>
      <w:pPr>
        <w:ind w:left="0" w:firstLine="420"/>
      </w:pPr>
      <w:rPr>
        <w:rFonts w:hint="eastAsia"/>
      </w:rPr>
    </w:lvl>
  </w:abstractNum>
  <w:abstractNum w:abstractNumId="21">
    <w:nsid w:val="6E5CE7BD"/>
    <w:multiLevelType w:val="singleLevel"/>
    <w:tmpl w:val="6E5CE7BD"/>
    <w:lvl w:ilvl="0" w:tentative="0">
      <w:start w:val="1"/>
      <w:numFmt w:val="chineseCounting"/>
      <w:suff w:val="nothing"/>
      <w:lvlText w:val="%1、"/>
      <w:lvlJc w:val="left"/>
      <w:rPr>
        <w:rFonts w:hint="eastAsia"/>
      </w:rPr>
    </w:lvl>
  </w:abstractNum>
  <w:abstractNum w:abstractNumId="22">
    <w:nsid w:val="7C4D1C4B"/>
    <w:multiLevelType w:val="multilevel"/>
    <w:tmpl w:val="7C4D1C4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21"/>
  </w:num>
  <w:num w:numId="2">
    <w:abstractNumId w:val="17"/>
  </w:num>
  <w:num w:numId="3">
    <w:abstractNumId w:val="10"/>
  </w:num>
  <w:num w:numId="4">
    <w:abstractNumId w:val="22"/>
  </w:num>
  <w:num w:numId="5">
    <w:abstractNumId w:val="18"/>
  </w:num>
  <w:num w:numId="6">
    <w:abstractNumId w:val="4"/>
  </w:num>
  <w:num w:numId="7">
    <w:abstractNumId w:val="5"/>
  </w:num>
  <w:num w:numId="8">
    <w:abstractNumId w:val="0"/>
  </w:num>
  <w:num w:numId="9">
    <w:abstractNumId w:val="1"/>
  </w:num>
  <w:num w:numId="10">
    <w:abstractNumId w:val="16"/>
  </w:num>
  <w:num w:numId="11">
    <w:abstractNumId w:val="14"/>
  </w:num>
  <w:num w:numId="12">
    <w:abstractNumId w:val="7"/>
  </w:num>
  <w:num w:numId="13">
    <w:abstractNumId w:val="6"/>
  </w:num>
  <w:num w:numId="14">
    <w:abstractNumId w:val="19"/>
  </w:num>
  <w:num w:numId="15">
    <w:abstractNumId w:val="3"/>
  </w:num>
  <w:num w:numId="16">
    <w:abstractNumId w:val="9"/>
  </w:num>
  <w:num w:numId="17">
    <w:abstractNumId w:val="12"/>
  </w:num>
  <w:num w:numId="18">
    <w:abstractNumId w:val="13"/>
  </w:num>
  <w:num w:numId="19">
    <w:abstractNumId w:val="20"/>
  </w:num>
  <w:num w:numId="20">
    <w:abstractNumId w:val="8"/>
  </w:num>
  <w:num w:numId="21">
    <w:abstractNumId w:val="11"/>
  </w:num>
  <w:num w:numId="22">
    <w:abstractNumId w:val="2"/>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4"/>
    <w:footnote w:id="5"/>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5NDZlYWM2ZDg1OGVjMjM0MzI1ZTkzNzNlOTYxYmMifQ=="/>
    <w:docVar w:name="KSO_WPS_MARK_KEY" w:val="906cdb4f-d919-4133-8cec-e67e256c002c"/>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23B0"/>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272C0"/>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1B6F64"/>
    <w:rsid w:val="024E2E49"/>
    <w:rsid w:val="02A741FD"/>
    <w:rsid w:val="02C16E5D"/>
    <w:rsid w:val="02D964CF"/>
    <w:rsid w:val="0340787C"/>
    <w:rsid w:val="03707410"/>
    <w:rsid w:val="037F03E3"/>
    <w:rsid w:val="03A0770F"/>
    <w:rsid w:val="03A27BF9"/>
    <w:rsid w:val="03A448B8"/>
    <w:rsid w:val="03A4578A"/>
    <w:rsid w:val="03AD071E"/>
    <w:rsid w:val="03D10969"/>
    <w:rsid w:val="04277401"/>
    <w:rsid w:val="04DF1036"/>
    <w:rsid w:val="050F6021"/>
    <w:rsid w:val="05A97DEC"/>
    <w:rsid w:val="05C81981"/>
    <w:rsid w:val="060C5AFB"/>
    <w:rsid w:val="06BC41F2"/>
    <w:rsid w:val="06DF3DBD"/>
    <w:rsid w:val="07197D08"/>
    <w:rsid w:val="071C2CFD"/>
    <w:rsid w:val="071E5C55"/>
    <w:rsid w:val="073A47CB"/>
    <w:rsid w:val="073F7319"/>
    <w:rsid w:val="07536A42"/>
    <w:rsid w:val="07595F41"/>
    <w:rsid w:val="07615EC0"/>
    <w:rsid w:val="077005AB"/>
    <w:rsid w:val="078F4581"/>
    <w:rsid w:val="07995C5E"/>
    <w:rsid w:val="07BE179A"/>
    <w:rsid w:val="07BF027F"/>
    <w:rsid w:val="08031A31"/>
    <w:rsid w:val="081A5CC7"/>
    <w:rsid w:val="08A276E5"/>
    <w:rsid w:val="09061A75"/>
    <w:rsid w:val="09087948"/>
    <w:rsid w:val="09182241"/>
    <w:rsid w:val="09242E62"/>
    <w:rsid w:val="093C069F"/>
    <w:rsid w:val="09417888"/>
    <w:rsid w:val="095909FF"/>
    <w:rsid w:val="09855177"/>
    <w:rsid w:val="09870F93"/>
    <w:rsid w:val="09D658E4"/>
    <w:rsid w:val="09F1637C"/>
    <w:rsid w:val="0A25628F"/>
    <w:rsid w:val="0A290B50"/>
    <w:rsid w:val="0A3D797F"/>
    <w:rsid w:val="0AA534D5"/>
    <w:rsid w:val="0AA650EB"/>
    <w:rsid w:val="0AB8066A"/>
    <w:rsid w:val="0AF47339"/>
    <w:rsid w:val="0AFB177C"/>
    <w:rsid w:val="0B22594B"/>
    <w:rsid w:val="0B6709D0"/>
    <w:rsid w:val="0B797387"/>
    <w:rsid w:val="0BB60FED"/>
    <w:rsid w:val="0BC044BE"/>
    <w:rsid w:val="0BDF26F7"/>
    <w:rsid w:val="0C264099"/>
    <w:rsid w:val="0C2B4952"/>
    <w:rsid w:val="0C7B2220"/>
    <w:rsid w:val="0D527BA9"/>
    <w:rsid w:val="0D890E47"/>
    <w:rsid w:val="0DC64A00"/>
    <w:rsid w:val="0DFC60BA"/>
    <w:rsid w:val="0DFF4FAE"/>
    <w:rsid w:val="0E4249F1"/>
    <w:rsid w:val="0F6C5A53"/>
    <w:rsid w:val="0F7C5FF6"/>
    <w:rsid w:val="0FC63FBD"/>
    <w:rsid w:val="106C564D"/>
    <w:rsid w:val="107B7B8F"/>
    <w:rsid w:val="107C67CE"/>
    <w:rsid w:val="108F06C9"/>
    <w:rsid w:val="109D68CB"/>
    <w:rsid w:val="10A949B8"/>
    <w:rsid w:val="10C54639"/>
    <w:rsid w:val="10CF36C5"/>
    <w:rsid w:val="11200D07"/>
    <w:rsid w:val="11DA73AF"/>
    <w:rsid w:val="122E250C"/>
    <w:rsid w:val="12C60D80"/>
    <w:rsid w:val="12D303B4"/>
    <w:rsid w:val="12E71C6B"/>
    <w:rsid w:val="131F7A3A"/>
    <w:rsid w:val="132645D0"/>
    <w:rsid w:val="13455ABC"/>
    <w:rsid w:val="1370322B"/>
    <w:rsid w:val="13B27845"/>
    <w:rsid w:val="13BE469F"/>
    <w:rsid w:val="13F87121"/>
    <w:rsid w:val="141A03E1"/>
    <w:rsid w:val="143B2E0B"/>
    <w:rsid w:val="14672B11"/>
    <w:rsid w:val="14892735"/>
    <w:rsid w:val="14CC769D"/>
    <w:rsid w:val="14CF59E6"/>
    <w:rsid w:val="14EF11ED"/>
    <w:rsid w:val="15735E00"/>
    <w:rsid w:val="157D38E3"/>
    <w:rsid w:val="15D359D7"/>
    <w:rsid w:val="15D81E0F"/>
    <w:rsid w:val="161771F3"/>
    <w:rsid w:val="16222D6D"/>
    <w:rsid w:val="163C77BE"/>
    <w:rsid w:val="16632F86"/>
    <w:rsid w:val="1679588C"/>
    <w:rsid w:val="168D3A3C"/>
    <w:rsid w:val="16994962"/>
    <w:rsid w:val="16A71041"/>
    <w:rsid w:val="16AA24BF"/>
    <w:rsid w:val="16F72341"/>
    <w:rsid w:val="17680CAB"/>
    <w:rsid w:val="176E4128"/>
    <w:rsid w:val="1783371F"/>
    <w:rsid w:val="17B64C8F"/>
    <w:rsid w:val="17E62B67"/>
    <w:rsid w:val="180C0192"/>
    <w:rsid w:val="180F4499"/>
    <w:rsid w:val="18221ECE"/>
    <w:rsid w:val="190B7894"/>
    <w:rsid w:val="19135859"/>
    <w:rsid w:val="19A2789F"/>
    <w:rsid w:val="1A3109F9"/>
    <w:rsid w:val="1A460CF5"/>
    <w:rsid w:val="1A7F297D"/>
    <w:rsid w:val="1AB16AC1"/>
    <w:rsid w:val="1B034A52"/>
    <w:rsid w:val="1B1F34AD"/>
    <w:rsid w:val="1B5701A9"/>
    <w:rsid w:val="1B8D5DC6"/>
    <w:rsid w:val="1BA7712F"/>
    <w:rsid w:val="1BFE1D3B"/>
    <w:rsid w:val="1C2775EC"/>
    <w:rsid w:val="1C750ECE"/>
    <w:rsid w:val="1CA22168"/>
    <w:rsid w:val="1D0836D7"/>
    <w:rsid w:val="1D0A67EB"/>
    <w:rsid w:val="1D196139"/>
    <w:rsid w:val="1D376758"/>
    <w:rsid w:val="1D3A2A58"/>
    <w:rsid w:val="1DB55D09"/>
    <w:rsid w:val="1DB85900"/>
    <w:rsid w:val="1DF051AF"/>
    <w:rsid w:val="1E010AF7"/>
    <w:rsid w:val="1E0178EB"/>
    <w:rsid w:val="1E301173"/>
    <w:rsid w:val="1E38333E"/>
    <w:rsid w:val="1E5C7612"/>
    <w:rsid w:val="1EA40BB4"/>
    <w:rsid w:val="1F43381C"/>
    <w:rsid w:val="1F84495C"/>
    <w:rsid w:val="1F8737D7"/>
    <w:rsid w:val="1FA4148D"/>
    <w:rsid w:val="1FA86F5D"/>
    <w:rsid w:val="20121621"/>
    <w:rsid w:val="201A421D"/>
    <w:rsid w:val="20341172"/>
    <w:rsid w:val="204E554F"/>
    <w:rsid w:val="20590035"/>
    <w:rsid w:val="20753A30"/>
    <w:rsid w:val="20801D5C"/>
    <w:rsid w:val="20C35213"/>
    <w:rsid w:val="20FC799E"/>
    <w:rsid w:val="22154DDD"/>
    <w:rsid w:val="22213E42"/>
    <w:rsid w:val="22336873"/>
    <w:rsid w:val="22BF7AA5"/>
    <w:rsid w:val="23175889"/>
    <w:rsid w:val="235E0EF3"/>
    <w:rsid w:val="238C2182"/>
    <w:rsid w:val="238E690F"/>
    <w:rsid w:val="239015D1"/>
    <w:rsid w:val="23BB4E7D"/>
    <w:rsid w:val="23C172D6"/>
    <w:rsid w:val="23F04F64"/>
    <w:rsid w:val="24814CBE"/>
    <w:rsid w:val="24AC168B"/>
    <w:rsid w:val="258C3BEC"/>
    <w:rsid w:val="25A92CDD"/>
    <w:rsid w:val="25E44366"/>
    <w:rsid w:val="25E576CC"/>
    <w:rsid w:val="260E3862"/>
    <w:rsid w:val="262569FC"/>
    <w:rsid w:val="26344C98"/>
    <w:rsid w:val="26F56CE2"/>
    <w:rsid w:val="27435D49"/>
    <w:rsid w:val="27723C3F"/>
    <w:rsid w:val="27A34F71"/>
    <w:rsid w:val="27B36A67"/>
    <w:rsid w:val="27EB0D9B"/>
    <w:rsid w:val="286602C8"/>
    <w:rsid w:val="28665C95"/>
    <w:rsid w:val="28872B17"/>
    <w:rsid w:val="28A64522"/>
    <w:rsid w:val="28CC5B40"/>
    <w:rsid w:val="28FB7971"/>
    <w:rsid w:val="290B3EB9"/>
    <w:rsid w:val="291418C2"/>
    <w:rsid w:val="2950768C"/>
    <w:rsid w:val="297A5FC4"/>
    <w:rsid w:val="29A04739"/>
    <w:rsid w:val="2A1113BC"/>
    <w:rsid w:val="2A1D2CE4"/>
    <w:rsid w:val="2A492101"/>
    <w:rsid w:val="2A586210"/>
    <w:rsid w:val="2A81598B"/>
    <w:rsid w:val="2A885945"/>
    <w:rsid w:val="2A8D4F8F"/>
    <w:rsid w:val="2A911082"/>
    <w:rsid w:val="2A917B34"/>
    <w:rsid w:val="2AE3766F"/>
    <w:rsid w:val="2B7E4054"/>
    <w:rsid w:val="2BF22742"/>
    <w:rsid w:val="2C987C56"/>
    <w:rsid w:val="2CFF149A"/>
    <w:rsid w:val="2D201865"/>
    <w:rsid w:val="2D4B5CEA"/>
    <w:rsid w:val="2D652658"/>
    <w:rsid w:val="2DC80C49"/>
    <w:rsid w:val="2DCA6355"/>
    <w:rsid w:val="2DF0699F"/>
    <w:rsid w:val="2DF36FAB"/>
    <w:rsid w:val="2E166748"/>
    <w:rsid w:val="2E556F01"/>
    <w:rsid w:val="2E8E20B4"/>
    <w:rsid w:val="2ED06066"/>
    <w:rsid w:val="2ED1223D"/>
    <w:rsid w:val="2EE470F7"/>
    <w:rsid w:val="2F000139"/>
    <w:rsid w:val="2F561B8A"/>
    <w:rsid w:val="2F603B09"/>
    <w:rsid w:val="2F9F42DC"/>
    <w:rsid w:val="2FE04319"/>
    <w:rsid w:val="2FF37AB3"/>
    <w:rsid w:val="308532EA"/>
    <w:rsid w:val="30FF27D2"/>
    <w:rsid w:val="311573CF"/>
    <w:rsid w:val="31170995"/>
    <w:rsid w:val="31264A30"/>
    <w:rsid w:val="31884E67"/>
    <w:rsid w:val="31A0275E"/>
    <w:rsid w:val="31AB5236"/>
    <w:rsid w:val="31B7357A"/>
    <w:rsid w:val="31E14405"/>
    <w:rsid w:val="31ED6B08"/>
    <w:rsid w:val="31F915C9"/>
    <w:rsid w:val="322650EA"/>
    <w:rsid w:val="32610CE6"/>
    <w:rsid w:val="328464CE"/>
    <w:rsid w:val="32AB70C5"/>
    <w:rsid w:val="32DC33E0"/>
    <w:rsid w:val="32E41780"/>
    <w:rsid w:val="335D0AF5"/>
    <w:rsid w:val="33614D0F"/>
    <w:rsid w:val="3370088C"/>
    <w:rsid w:val="33A3154A"/>
    <w:rsid w:val="33DC2F78"/>
    <w:rsid w:val="3428227C"/>
    <w:rsid w:val="343B1793"/>
    <w:rsid w:val="34672D35"/>
    <w:rsid w:val="35260F83"/>
    <w:rsid w:val="35602226"/>
    <w:rsid w:val="356B72E7"/>
    <w:rsid w:val="3572424F"/>
    <w:rsid w:val="35FC3844"/>
    <w:rsid w:val="36794DEF"/>
    <w:rsid w:val="36AD519D"/>
    <w:rsid w:val="36B57705"/>
    <w:rsid w:val="37406AD8"/>
    <w:rsid w:val="374F1A0B"/>
    <w:rsid w:val="37A103ED"/>
    <w:rsid w:val="37EA5E6E"/>
    <w:rsid w:val="37FF016F"/>
    <w:rsid w:val="38427C0B"/>
    <w:rsid w:val="387804BE"/>
    <w:rsid w:val="387C5ABE"/>
    <w:rsid w:val="389B3A1E"/>
    <w:rsid w:val="38EB6119"/>
    <w:rsid w:val="399E320F"/>
    <w:rsid w:val="39DE33DA"/>
    <w:rsid w:val="39FA5B4A"/>
    <w:rsid w:val="39FE0BE9"/>
    <w:rsid w:val="3A001DCD"/>
    <w:rsid w:val="3A3C1AAF"/>
    <w:rsid w:val="3A4B7CC1"/>
    <w:rsid w:val="3A51228C"/>
    <w:rsid w:val="3A552E60"/>
    <w:rsid w:val="3A5D642F"/>
    <w:rsid w:val="3AB210FC"/>
    <w:rsid w:val="3ACE216B"/>
    <w:rsid w:val="3AD95C13"/>
    <w:rsid w:val="3B261E51"/>
    <w:rsid w:val="3B973F88"/>
    <w:rsid w:val="3BC95762"/>
    <w:rsid w:val="3BCD72F7"/>
    <w:rsid w:val="3C414142"/>
    <w:rsid w:val="3C9121FF"/>
    <w:rsid w:val="3CE114D9"/>
    <w:rsid w:val="3CF737A2"/>
    <w:rsid w:val="3CF7509A"/>
    <w:rsid w:val="3D10295A"/>
    <w:rsid w:val="3D91114E"/>
    <w:rsid w:val="3E0572FD"/>
    <w:rsid w:val="3E1A5292"/>
    <w:rsid w:val="3E5A7FE7"/>
    <w:rsid w:val="3EC8179E"/>
    <w:rsid w:val="3EF66B2E"/>
    <w:rsid w:val="3F217914"/>
    <w:rsid w:val="3FD70BB0"/>
    <w:rsid w:val="3FFB55AC"/>
    <w:rsid w:val="401C5F9D"/>
    <w:rsid w:val="401C690C"/>
    <w:rsid w:val="401D7195"/>
    <w:rsid w:val="40664769"/>
    <w:rsid w:val="406C71E8"/>
    <w:rsid w:val="40A51286"/>
    <w:rsid w:val="40CE3DC0"/>
    <w:rsid w:val="40D7455A"/>
    <w:rsid w:val="40E743E5"/>
    <w:rsid w:val="40EB7F19"/>
    <w:rsid w:val="4110038E"/>
    <w:rsid w:val="413015F5"/>
    <w:rsid w:val="41734CBA"/>
    <w:rsid w:val="41DD7057"/>
    <w:rsid w:val="420F7A65"/>
    <w:rsid w:val="4216611A"/>
    <w:rsid w:val="421F2E8E"/>
    <w:rsid w:val="423E300F"/>
    <w:rsid w:val="425656C8"/>
    <w:rsid w:val="4257273C"/>
    <w:rsid w:val="425D7213"/>
    <w:rsid w:val="42677B61"/>
    <w:rsid w:val="42756DB0"/>
    <w:rsid w:val="42915759"/>
    <w:rsid w:val="42B21AD2"/>
    <w:rsid w:val="42DA7D24"/>
    <w:rsid w:val="42FD694D"/>
    <w:rsid w:val="43096287"/>
    <w:rsid w:val="434A6D8F"/>
    <w:rsid w:val="4397723B"/>
    <w:rsid w:val="439814F5"/>
    <w:rsid w:val="43D522BF"/>
    <w:rsid w:val="43FA5777"/>
    <w:rsid w:val="44044D92"/>
    <w:rsid w:val="441C1611"/>
    <w:rsid w:val="44212CEC"/>
    <w:rsid w:val="443C440B"/>
    <w:rsid w:val="443F7DBF"/>
    <w:rsid w:val="44514F52"/>
    <w:rsid w:val="448965CB"/>
    <w:rsid w:val="44C5497E"/>
    <w:rsid w:val="44FA2D53"/>
    <w:rsid w:val="4571374F"/>
    <w:rsid w:val="458B1BB0"/>
    <w:rsid w:val="45A67760"/>
    <w:rsid w:val="4611075B"/>
    <w:rsid w:val="46214818"/>
    <w:rsid w:val="467A0297"/>
    <w:rsid w:val="468B7125"/>
    <w:rsid w:val="46C4691F"/>
    <w:rsid w:val="47841568"/>
    <w:rsid w:val="479D1D34"/>
    <w:rsid w:val="47B609C0"/>
    <w:rsid w:val="47CF543E"/>
    <w:rsid w:val="482D31EA"/>
    <w:rsid w:val="485970A0"/>
    <w:rsid w:val="48847961"/>
    <w:rsid w:val="48A41906"/>
    <w:rsid w:val="48B65C71"/>
    <w:rsid w:val="48BB5EC4"/>
    <w:rsid w:val="48F303D7"/>
    <w:rsid w:val="492837FF"/>
    <w:rsid w:val="492E6A57"/>
    <w:rsid w:val="49B26DCB"/>
    <w:rsid w:val="49B86103"/>
    <w:rsid w:val="4A0030EE"/>
    <w:rsid w:val="4A243364"/>
    <w:rsid w:val="4AB75B3A"/>
    <w:rsid w:val="4AC36065"/>
    <w:rsid w:val="4B560086"/>
    <w:rsid w:val="4B7501F5"/>
    <w:rsid w:val="4B8C2DEB"/>
    <w:rsid w:val="4B9C327E"/>
    <w:rsid w:val="4BFA3C9F"/>
    <w:rsid w:val="4C0E3379"/>
    <w:rsid w:val="4C107F48"/>
    <w:rsid w:val="4C3277BC"/>
    <w:rsid w:val="4C686851"/>
    <w:rsid w:val="4CC353EB"/>
    <w:rsid w:val="4CF36F3C"/>
    <w:rsid w:val="4CF7224F"/>
    <w:rsid w:val="4CFC69A5"/>
    <w:rsid w:val="4D4F67BA"/>
    <w:rsid w:val="4D603399"/>
    <w:rsid w:val="4D867EE1"/>
    <w:rsid w:val="4DBC4C65"/>
    <w:rsid w:val="4DF6568D"/>
    <w:rsid w:val="4E2E1A80"/>
    <w:rsid w:val="4E550010"/>
    <w:rsid w:val="4E5F14CB"/>
    <w:rsid w:val="4EED7FC5"/>
    <w:rsid w:val="4F0A7E54"/>
    <w:rsid w:val="4F3705F8"/>
    <w:rsid w:val="4FAC3540"/>
    <w:rsid w:val="4FBB12F4"/>
    <w:rsid w:val="4FCF1583"/>
    <w:rsid w:val="4FFA7625"/>
    <w:rsid w:val="501B0BF9"/>
    <w:rsid w:val="507D2599"/>
    <w:rsid w:val="50904151"/>
    <w:rsid w:val="5096229D"/>
    <w:rsid w:val="50B44FCE"/>
    <w:rsid w:val="50DC4184"/>
    <w:rsid w:val="50E12C6E"/>
    <w:rsid w:val="51184427"/>
    <w:rsid w:val="51475B39"/>
    <w:rsid w:val="514C3EA7"/>
    <w:rsid w:val="519849E5"/>
    <w:rsid w:val="519B2FB2"/>
    <w:rsid w:val="51B36892"/>
    <w:rsid w:val="51E44D3C"/>
    <w:rsid w:val="524A036B"/>
    <w:rsid w:val="524B3219"/>
    <w:rsid w:val="52506DA7"/>
    <w:rsid w:val="527070EE"/>
    <w:rsid w:val="529D471C"/>
    <w:rsid w:val="533B2B84"/>
    <w:rsid w:val="535F3BF1"/>
    <w:rsid w:val="537A7243"/>
    <w:rsid w:val="539C1B81"/>
    <w:rsid w:val="53AA6184"/>
    <w:rsid w:val="53AE750F"/>
    <w:rsid w:val="53EB0895"/>
    <w:rsid w:val="53F263AD"/>
    <w:rsid w:val="54693932"/>
    <w:rsid w:val="549A6BFA"/>
    <w:rsid w:val="54A6423F"/>
    <w:rsid w:val="54E72921"/>
    <w:rsid w:val="55806F07"/>
    <w:rsid w:val="55A44ACC"/>
    <w:rsid w:val="55FA2961"/>
    <w:rsid w:val="565E7F4F"/>
    <w:rsid w:val="56775789"/>
    <w:rsid w:val="56857D06"/>
    <w:rsid w:val="56914056"/>
    <w:rsid w:val="569F0E63"/>
    <w:rsid w:val="56C47C7B"/>
    <w:rsid w:val="56DB613D"/>
    <w:rsid w:val="570A72F7"/>
    <w:rsid w:val="573810DA"/>
    <w:rsid w:val="57FC2169"/>
    <w:rsid w:val="58096275"/>
    <w:rsid w:val="580E4560"/>
    <w:rsid w:val="581C04F1"/>
    <w:rsid w:val="582E6EF7"/>
    <w:rsid w:val="58434392"/>
    <w:rsid w:val="584E30E6"/>
    <w:rsid w:val="59014D02"/>
    <w:rsid w:val="592E16F6"/>
    <w:rsid w:val="597B384D"/>
    <w:rsid w:val="59996DA8"/>
    <w:rsid w:val="59AC3CE9"/>
    <w:rsid w:val="59C30F1B"/>
    <w:rsid w:val="5A0D5854"/>
    <w:rsid w:val="5A20156F"/>
    <w:rsid w:val="5A2A32CF"/>
    <w:rsid w:val="5A9847F3"/>
    <w:rsid w:val="5AC7121C"/>
    <w:rsid w:val="5AD90B8D"/>
    <w:rsid w:val="5AE12927"/>
    <w:rsid w:val="5B2243E9"/>
    <w:rsid w:val="5B4E1A44"/>
    <w:rsid w:val="5B666742"/>
    <w:rsid w:val="5B6919B0"/>
    <w:rsid w:val="5B873201"/>
    <w:rsid w:val="5B89551D"/>
    <w:rsid w:val="5B967767"/>
    <w:rsid w:val="5B9E55DE"/>
    <w:rsid w:val="5BEB3C95"/>
    <w:rsid w:val="5C1D18D2"/>
    <w:rsid w:val="5C286807"/>
    <w:rsid w:val="5C446BC8"/>
    <w:rsid w:val="5C4C687B"/>
    <w:rsid w:val="5C527522"/>
    <w:rsid w:val="5C7C2768"/>
    <w:rsid w:val="5CB23AE6"/>
    <w:rsid w:val="5CF55792"/>
    <w:rsid w:val="5CFD533A"/>
    <w:rsid w:val="5D2F72C2"/>
    <w:rsid w:val="5D893B14"/>
    <w:rsid w:val="5E2810D5"/>
    <w:rsid w:val="5E2B7D62"/>
    <w:rsid w:val="5E71411E"/>
    <w:rsid w:val="5EA06921"/>
    <w:rsid w:val="5ED5006A"/>
    <w:rsid w:val="5F0316A2"/>
    <w:rsid w:val="5F236957"/>
    <w:rsid w:val="5F576E4B"/>
    <w:rsid w:val="5F5D4EDE"/>
    <w:rsid w:val="5F7A2C30"/>
    <w:rsid w:val="5FBE370A"/>
    <w:rsid w:val="5FD62906"/>
    <w:rsid w:val="60120EAD"/>
    <w:rsid w:val="60292845"/>
    <w:rsid w:val="60403E3A"/>
    <w:rsid w:val="60B31ADC"/>
    <w:rsid w:val="60E973AF"/>
    <w:rsid w:val="60EC42BE"/>
    <w:rsid w:val="61027308"/>
    <w:rsid w:val="612E1A5D"/>
    <w:rsid w:val="616A73F6"/>
    <w:rsid w:val="61816046"/>
    <w:rsid w:val="62182687"/>
    <w:rsid w:val="62391564"/>
    <w:rsid w:val="626650C3"/>
    <w:rsid w:val="62816669"/>
    <w:rsid w:val="62BA0953"/>
    <w:rsid w:val="62D03A7C"/>
    <w:rsid w:val="62F16BCB"/>
    <w:rsid w:val="62F648FE"/>
    <w:rsid w:val="63341DB1"/>
    <w:rsid w:val="63447612"/>
    <w:rsid w:val="63676048"/>
    <w:rsid w:val="63907004"/>
    <w:rsid w:val="639A73C1"/>
    <w:rsid w:val="63A10995"/>
    <w:rsid w:val="63A573AB"/>
    <w:rsid w:val="63C23EFA"/>
    <w:rsid w:val="63DF6605"/>
    <w:rsid w:val="63E52E10"/>
    <w:rsid w:val="643A070A"/>
    <w:rsid w:val="64435DD5"/>
    <w:rsid w:val="644C573D"/>
    <w:rsid w:val="64660CBB"/>
    <w:rsid w:val="64831534"/>
    <w:rsid w:val="648667A7"/>
    <w:rsid w:val="649328D4"/>
    <w:rsid w:val="64A43E0A"/>
    <w:rsid w:val="64DB383A"/>
    <w:rsid w:val="65032F85"/>
    <w:rsid w:val="65136B50"/>
    <w:rsid w:val="657E2A35"/>
    <w:rsid w:val="6588751C"/>
    <w:rsid w:val="65A94E9D"/>
    <w:rsid w:val="65C60A92"/>
    <w:rsid w:val="65C7105B"/>
    <w:rsid w:val="65F3550D"/>
    <w:rsid w:val="662203DD"/>
    <w:rsid w:val="66381008"/>
    <w:rsid w:val="66576253"/>
    <w:rsid w:val="666B723B"/>
    <w:rsid w:val="6678045A"/>
    <w:rsid w:val="66DD6702"/>
    <w:rsid w:val="679406CB"/>
    <w:rsid w:val="67C35C0B"/>
    <w:rsid w:val="681233D2"/>
    <w:rsid w:val="681D5EE5"/>
    <w:rsid w:val="68652AB3"/>
    <w:rsid w:val="688B6C68"/>
    <w:rsid w:val="689F1926"/>
    <w:rsid w:val="68AD17BB"/>
    <w:rsid w:val="68D94D22"/>
    <w:rsid w:val="692B2E4A"/>
    <w:rsid w:val="694303FB"/>
    <w:rsid w:val="696A0B34"/>
    <w:rsid w:val="698D6A17"/>
    <w:rsid w:val="69A233E7"/>
    <w:rsid w:val="69EE3535"/>
    <w:rsid w:val="69F954C1"/>
    <w:rsid w:val="6A2031B6"/>
    <w:rsid w:val="6A440C53"/>
    <w:rsid w:val="6A4E34B3"/>
    <w:rsid w:val="6A882AD0"/>
    <w:rsid w:val="6AC61F6F"/>
    <w:rsid w:val="6ADE74F0"/>
    <w:rsid w:val="6AE30904"/>
    <w:rsid w:val="6B1002C0"/>
    <w:rsid w:val="6B1F5CFA"/>
    <w:rsid w:val="6B723594"/>
    <w:rsid w:val="6B805156"/>
    <w:rsid w:val="6BD50977"/>
    <w:rsid w:val="6BEA2A9B"/>
    <w:rsid w:val="6C960835"/>
    <w:rsid w:val="6C9C0875"/>
    <w:rsid w:val="6C9D1F03"/>
    <w:rsid w:val="6CAA3931"/>
    <w:rsid w:val="6D3933CA"/>
    <w:rsid w:val="6D7B61EC"/>
    <w:rsid w:val="6DD049FF"/>
    <w:rsid w:val="6E09491E"/>
    <w:rsid w:val="6E0D3655"/>
    <w:rsid w:val="6E5F4465"/>
    <w:rsid w:val="6E8C54DA"/>
    <w:rsid w:val="6EBC0603"/>
    <w:rsid w:val="6EF11E03"/>
    <w:rsid w:val="6F111C62"/>
    <w:rsid w:val="6F2176E5"/>
    <w:rsid w:val="6F3053CA"/>
    <w:rsid w:val="6F36242A"/>
    <w:rsid w:val="6F3D0943"/>
    <w:rsid w:val="6F592303"/>
    <w:rsid w:val="6F5F5B74"/>
    <w:rsid w:val="6F8F583F"/>
    <w:rsid w:val="6F9B1C65"/>
    <w:rsid w:val="6FD47A25"/>
    <w:rsid w:val="6FF44026"/>
    <w:rsid w:val="6FFB146E"/>
    <w:rsid w:val="701A5C74"/>
    <w:rsid w:val="706516C3"/>
    <w:rsid w:val="70864A71"/>
    <w:rsid w:val="70896E68"/>
    <w:rsid w:val="70FE3F45"/>
    <w:rsid w:val="714556B4"/>
    <w:rsid w:val="715B60E9"/>
    <w:rsid w:val="71E96309"/>
    <w:rsid w:val="71EA1FED"/>
    <w:rsid w:val="72284A0C"/>
    <w:rsid w:val="72854629"/>
    <w:rsid w:val="72C16204"/>
    <w:rsid w:val="730313F6"/>
    <w:rsid w:val="731E1007"/>
    <w:rsid w:val="73370D24"/>
    <w:rsid w:val="7359268C"/>
    <w:rsid w:val="739503EB"/>
    <w:rsid w:val="73A05B28"/>
    <w:rsid w:val="73C07D69"/>
    <w:rsid w:val="73C51B31"/>
    <w:rsid w:val="73D26BA1"/>
    <w:rsid w:val="73E352ED"/>
    <w:rsid w:val="749E2255"/>
    <w:rsid w:val="74B42AE4"/>
    <w:rsid w:val="750A429D"/>
    <w:rsid w:val="75167F59"/>
    <w:rsid w:val="755D38A7"/>
    <w:rsid w:val="755F5A0F"/>
    <w:rsid w:val="75614792"/>
    <w:rsid w:val="75784473"/>
    <w:rsid w:val="757E044C"/>
    <w:rsid w:val="75977BC3"/>
    <w:rsid w:val="75B161B3"/>
    <w:rsid w:val="75E470E3"/>
    <w:rsid w:val="76736B32"/>
    <w:rsid w:val="76E3765E"/>
    <w:rsid w:val="76F016FB"/>
    <w:rsid w:val="76FC2AFA"/>
    <w:rsid w:val="77310AF7"/>
    <w:rsid w:val="773F0836"/>
    <w:rsid w:val="77653671"/>
    <w:rsid w:val="778546CC"/>
    <w:rsid w:val="77B56730"/>
    <w:rsid w:val="77C04A8B"/>
    <w:rsid w:val="77D85DB3"/>
    <w:rsid w:val="780252A0"/>
    <w:rsid w:val="78027772"/>
    <w:rsid w:val="78A50513"/>
    <w:rsid w:val="78EE1700"/>
    <w:rsid w:val="793B7339"/>
    <w:rsid w:val="796518DD"/>
    <w:rsid w:val="796C2EB5"/>
    <w:rsid w:val="796E0C55"/>
    <w:rsid w:val="797C5614"/>
    <w:rsid w:val="79AA0532"/>
    <w:rsid w:val="79D65C3B"/>
    <w:rsid w:val="79DB3725"/>
    <w:rsid w:val="79F70999"/>
    <w:rsid w:val="79FE1DDD"/>
    <w:rsid w:val="7A075767"/>
    <w:rsid w:val="7A212062"/>
    <w:rsid w:val="7A282A11"/>
    <w:rsid w:val="7A9E3ACF"/>
    <w:rsid w:val="7AB90FF6"/>
    <w:rsid w:val="7AC21562"/>
    <w:rsid w:val="7AD474A4"/>
    <w:rsid w:val="7B115232"/>
    <w:rsid w:val="7B401C35"/>
    <w:rsid w:val="7B416BDC"/>
    <w:rsid w:val="7B5350AD"/>
    <w:rsid w:val="7B6867EB"/>
    <w:rsid w:val="7B697C89"/>
    <w:rsid w:val="7B7635D5"/>
    <w:rsid w:val="7B8A6B62"/>
    <w:rsid w:val="7B8D34C3"/>
    <w:rsid w:val="7B971D84"/>
    <w:rsid w:val="7BF32F03"/>
    <w:rsid w:val="7C1724A5"/>
    <w:rsid w:val="7C8E3CCF"/>
    <w:rsid w:val="7CA54112"/>
    <w:rsid w:val="7CE50CE4"/>
    <w:rsid w:val="7CE71806"/>
    <w:rsid w:val="7D2E5ABF"/>
    <w:rsid w:val="7DCA1E7A"/>
    <w:rsid w:val="7E2142A2"/>
    <w:rsid w:val="7E247095"/>
    <w:rsid w:val="7E4F5384"/>
    <w:rsid w:val="7E5A6DFA"/>
    <w:rsid w:val="7E7B0BF2"/>
    <w:rsid w:val="7E7C7A78"/>
    <w:rsid w:val="7E8D75B6"/>
    <w:rsid w:val="7EB2417D"/>
    <w:rsid w:val="7EF760EE"/>
    <w:rsid w:val="7F2A21E7"/>
    <w:rsid w:val="7F613A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1"/>
    <w:unhideWhenUsed/>
    <w:qFormat/>
    <w:uiPriority w:val="9"/>
    <w:pPr>
      <w:keepNext/>
      <w:keepLines/>
      <w:spacing w:line="360" w:lineRule="auto"/>
      <w:outlineLvl w:val="2"/>
    </w:pPr>
    <w:rPr>
      <w:rFonts w:eastAsia="宋体"/>
      <w:b/>
      <w:bCs/>
      <w:sz w:val="28"/>
      <w:szCs w:val="32"/>
    </w:rPr>
  </w:style>
  <w:style w:type="paragraph" w:styleId="5">
    <w:name w:val="heading 4"/>
    <w:basedOn w:val="1"/>
    <w:next w:val="1"/>
    <w:link w:val="33"/>
    <w:unhideWhenUsed/>
    <w:qFormat/>
    <w:uiPriority w:val="9"/>
    <w:pPr>
      <w:keepNext/>
      <w:keepLines/>
      <w:spacing w:line="360" w:lineRule="auto"/>
      <w:outlineLvl w:val="3"/>
    </w:pPr>
    <w:rPr>
      <w:rFonts w:eastAsia="宋体" w:asciiTheme="majorAscii" w:hAnsiTheme="majorAscii" w:cstheme="majorBidi"/>
      <w:b/>
      <w:bCs/>
      <w:sz w:val="24"/>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style>
  <w:style w:type="paragraph" w:styleId="7">
    <w:name w:val="Body Text"/>
    <w:basedOn w:val="1"/>
    <w:qFormat/>
    <w:uiPriority w:val="1"/>
    <w:pPr>
      <w:spacing w:before="161"/>
      <w:ind w:left="120"/>
    </w:pPr>
    <w:rPr>
      <w:rFonts w:ascii="宋体" w:hAnsi="宋体" w:eastAsia="宋体" w:cs="宋体"/>
      <w:sz w:val="24"/>
      <w:lang w:val="zh-CN" w:bidi="zh-CN"/>
    </w:rPr>
  </w:style>
  <w:style w:type="paragraph" w:styleId="8">
    <w:name w:val="toc 3"/>
    <w:basedOn w:val="1"/>
    <w:next w:val="1"/>
    <w:unhideWhenUsed/>
    <w:qFormat/>
    <w:uiPriority w:val="39"/>
    <w:pPr>
      <w:tabs>
        <w:tab w:val="right" w:leader="dot" w:pos="8296"/>
      </w:tabs>
      <w:ind w:left="838" w:leftChars="381"/>
    </w:pPr>
    <w:rPr>
      <w:sz w:val="21"/>
      <w:szCs w:val="21"/>
    </w:rPr>
  </w:style>
  <w:style w:type="paragraph" w:styleId="9">
    <w:name w:val="Plain Text"/>
    <w:basedOn w:val="1"/>
    <w:link w:val="44"/>
    <w:qFormat/>
    <w:uiPriority w:val="0"/>
    <w:pPr>
      <w:widowControl w:val="0"/>
      <w:adjustRightInd/>
      <w:snapToGrid/>
      <w:spacing w:after="0"/>
      <w:jc w:val="both"/>
    </w:pPr>
    <w:rPr>
      <w:rFonts w:ascii="宋体" w:hAnsi="Courier New" w:eastAsia="宋体" w:cs="Times New Roman"/>
      <w:b/>
      <w:kern w:val="2"/>
      <w:sz w:val="21"/>
      <w:szCs w:val="20"/>
    </w:rPr>
  </w:style>
  <w:style w:type="paragraph" w:styleId="10">
    <w:name w:val="Body Text Indent 2"/>
    <w:basedOn w:val="1"/>
    <w:qFormat/>
    <w:uiPriority w:val="0"/>
    <w:pPr>
      <w:ind w:firstLine="539" w:firstLineChars="174"/>
    </w:pPr>
    <w:rPr>
      <w:rFonts w:ascii="仿宋_GB2312" w:eastAsia="仿宋_GB2312"/>
      <w:sz w:val="31"/>
    </w:rPr>
  </w:style>
  <w:style w:type="paragraph" w:styleId="11">
    <w:name w:val="Balloon Text"/>
    <w:basedOn w:val="1"/>
    <w:link w:val="47"/>
    <w:semiHidden/>
    <w:unhideWhenUsed/>
    <w:qFormat/>
    <w:uiPriority w:val="99"/>
    <w:pPr>
      <w:spacing w:after="0"/>
    </w:pPr>
    <w:rPr>
      <w:sz w:val="18"/>
      <w:szCs w:val="18"/>
    </w:rPr>
  </w:style>
  <w:style w:type="paragraph" w:styleId="12">
    <w:name w:val="footer"/>
    <w:basedOn w:val="1"/>
    <w:link w:val="46"/>
    <w:unhideWhenUsed/>
    <w:qFormat/>
    <w:uiPriority w:val="99"/>
    <w:pPr>
      <w:tabs>
        <w:tab w:val="center" w:pos="4153"/>
        <w:tab w:val="right" w:pos="8306"/>
      </w:tabs>
    </w:pPr>
    <w:rPr>
      <w:sz w:val="18"/>
      <w:szCs w:val="18"/>
    </w:rPr>
  </w:style>
  <w:style w:type="paragraph" w:styleId="13">
    <w:name w:val="header"/>
    <w:basedOn w:val="1"/>
    <w:link w:val="45"/>
    <w:unhideWhenUsed/>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semiHidden/>
    <w:unhideWhenUsed/>
    <w:qFormat/>
    <w:uiPriority w:val="39"/>
  </w:style>
  <w:style w:type="paragraph" w:styleId="15">
    <w:name w:val="toc 4"/>
    <w:basedOn w:val="1"/>
    <w:next w:val="1"/>
    <w:unhideWhenUsed/>
    <w:qFormat/>
    <w:uiPriority w:val="39"/>
    <w:pPr>
      <w:tabs>
        <w:tab w:val="right" w:leader="dot" w:pos="8296"/>
      </w:tabs>
      <w:spacing w:after="120"/>
      <w:ind w:left="1320" w:leftChars="600"/>
    </w:pPr>
  </w:style>
  <w:style w:type="paragraph" w:styleId="16">
    <w:name w:val="index heading"/>
    <w:basedOn w:val="1"/>
    <w:next w:val="17"/>
    <w:qFormat/>
    <w:uiPriority w:val="0"/>
    <w:rPr>
      <w:rFonts w:ascii="Times New Roman" w:hAnsi="Times New Roman"/>
      <w:szCs w:val="20"/>
    </w:rPr>
  </w:style>
  <w:style w:type="paragraph" w:styleId="17">
    <w:name w:val="index 1"/>
    <w:basedOn w:val="1"/>
    <w:next w:val="1"/>
    <w:unhideWhenUsed/>
    <w:qFormat/>
    <w:uiPriority w:val="99"/>
  </w:style>
  <w:style w:type="paragraph" w:styleId="18">
    <w:name w:val="footnote text"/>
    <w:basedOn w:val="1"/>
    <w:semiHidden/>
    <w:unhideWhenUsed/>
    <w:qFormat/>
    <w:uiPriority w:val="99"/>
    <w:pPr>
      <w:snapToGrid w:val="0"/>
      <w:jc w:val="left"/>
    </w:pPr>
    <w:rPr>
      <w:sz w:val="18"/>
    </w:rPr>
  </w:style>
  <w:style w:type="paragraph" w:styleId="19">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0">
    <w:name w:val="Normal (Web)"/>
    <w:basedOn w:val="1"/>
    <w:link w:val="49"/>
    <w:qFormat/>
    <w:uiPriority w:val="0"/>
    <w:pPr>
      <w:widowControl w:val="0"/>
      <w:adjustRightInd/>
      <w:snapToGrid/>
      <w:spacing w:after="0"/>
      <w:jc w:val="both"/>
    </w:pPr>
    <w:rPr>
      <w:rFonts w:eastAsia="宋体" w:asciiTheme="minorHAnsi" w:hAnsiTheme="minorHAnsi"/>
      <w:kern w:val="2"/>
      <w:sz w:val="24"/>
      <w:szCs w:val="24"/>
    </w:rPr>
  </w:style>
  <w:style w:type="paragraph" w:styleId="21">
    <w:name w:val="Body Text First Indent"/>
    <w:basedOn w:val="7"/>
    <w:unhideWhenUsed/>
    <w:qFormat/>
    <w:uiPriority w:val="99"/>
    <w:pPr>
      <w:ind w:firstLine="420" w:firstLineChars="100"/>
    </w:pPr>
    <w:rPr>
      <w:rFonts w:ascii="Times New Roman" w:hAnsi="Times New Roman" w:cs="Times New Roman"/>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Emphasis"/>
    <w:basedOn w:val="24"/>
    <w:qFormat/>
    <w:uiPriority w:val="20"/>
    <w:rPr>
      <w:i/>
      <w:iCs/>
    </w:rPr>
  </w:style>
  <w:style w:type="character" w:styleId="26">
    <w:name w:val="Hyperlink"/>
    <w:qFormat/>
    <w:uiPriority w:val="99"/>
    <w:rPr>
      <w:rFonts w:hint="eastAsia" w:ascii="宋体" w:hAnsi="宋体" w:eastAsia="宋体" w:cs="宋体"/>
      <w:b/>
      <w:color w:val="0031C1"/>
      <w:kern w:val="0"/>
      <w:sz w:val="18"/>
      <w:szCs w:val="18"/>
      <w:u w:val="none"/>
      <w:lang w:eastAsia="en-US"/>
    </w:rPr>
  </w:style>
  <w:style w:type="character" w:styleId="27">
    <w:name w:val="annotation reference"/>
    <w:basedOn w:val="24"/>
    <w:semiHidden/>
    <w:unhideWhenUsed/>
    <w:qFormat/>
    <w:uiPriority w:val="99"/>
    <w:rPr>
      <w:sz w:val="21"/>
      <w:szCs w:val="21"/>
    </w:rPr>
  </w:style>
  <w:style w:type="character" w:styleId="28">
    <w:name w:val="footnote reference"/>
    <w:basedOn w:val="24"/>
    <w:semiHidden/>
    <w:unhideWhenUsed/>
    <w:qFormat/>
    <w:uiPriority w:val="99"/>
    <w:rPr>
      <w:vertAlign w:val="superscript"/>
    </w:rPr>
  </w:style>
  <w:style w:type="paragraph" w:customStyle="1" w:styleId="29">
    <w:name w:val="表格文字"/>
    <w:basedOn w:val="1"/>
    <w:qFormat/>
    <w:uiPriority w:val="0"/>
    <w:pPr>
      <w:autoSpaceDE/>
      <w:autoSpaceDN/>
      <w:adjustRightInd/>
      <w:spacing w:before="25" w:after="25"/>
    </w:pPr>
    <w:rPr>
      <w:rFonts w:ascii="Times New Roman"/>
      <w:bCs/>
      <w:spacing w:val="10"/>
      <w:szCs w:val="20"/>
    </w:rPr>
  </w:style>
  <w:style w:type="character" w:customStyle="1" w:styleId="30">
    <w:name w:val="标题 2 Char"/>
    <w:basedOn w:val="24"/>
    <w:link w:val="3"/>
    <w:qFormat/>
    <w:uiPriority w:val="9"/>
    <w:rPr>
      <w:rFonts w:asciiTheme="majorHAnsi" w:hAnsiTheme="majorHAnsi" w:eastAsiaTheme="majorEastAsia" w:cstheme="majorBidi"/>
      <w:b/>
      <w:bCs/>
      <w:sz w:val="32"/>
      <w:szCs w:val="32"/>
    </w:rPr>
  </w:style>
  <w:style w:type="character" w:customStyle="1" w:styleId="31">
    <w:name w:val="标题 3 Char"/>
    <w:basedOn w:val="24"/>
    <w:link w:val="4"/>
    <w:qFormat/>
    <w:uiPriority w:val="9"/>
    <w:rPr>
      <w:rFonts w:ascii="Tahoma" w:hAnsi="Tahoma" w:eastAsia="宋体"/>
      <w:b/>
      <w:bCs/>
      <w:sz w:val="28"/>
      <w:szCs w:val="32"/>
    </w:rPr>
  </w:style>
  <w:style w:type="paragraph" w:styleId="32">
    <w:name w:val="List Paragraph"/>
    <w:basedOn w:val="1"/>
    <w:qFormat/>
    <w:uiPriority w:val="34"/>
    <w:pPr>
      <w:ind w:firstLine="420" w:firstLineChars="200"/>
    </w:pPr>
  </w:style>
  <w:style w:type="character" w:customStyle="1" w:styleId="33">
    <w:name w:val="标题 4 Char"/>
    <w:basedOn w:val="24"/>
    <w:link w:val="5"/>
    <w:qFormat/>
    <w:uiPriority w:val="9"/>
    <w:rPr>
      <w:rFonts w:eastAsia="宋体" w:asciiTheme="majorAscii" w:hAnsiTheme="majorAscii" w:cstheme="majorBidi"/>
      <w:b/>
      <w:bCs/>
      <w:sz w:val="24"/>
      <w:szCs w:val="28"/>
    </w:rPr>
  </w:style>
  <w:style w:type="character" w:customStyle="1" w:styleId="34">
    <w:name w:val="正文缩进2格 Char"/>
    <w:link w:val="35"/>
    <w:qFormat/>
    <w:uiPriority w:val="0"/>
    <w:rPr>
      <w:rFonts w:ascii="仿宋_GB2312" w:hAnsi="宋体" w:eastAsia="仿宋_GB2312"/>
      <w:kern w:val="2"/>
      <w:sz w:val="31"/>
    </w:rPr>
  </w:style>
  <w:style w:type="paragraph" w:customStyle="1" w:styleId="35">
    <w:name w:val="正文缩进2格"/>
    <w:basedOn w:val="1"/>
    <w:link w:val="34"/>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6">
    <w:name w:val="正文缩进4格"/>
    <w:basedOn w:val="35"/>
    <w:qFormat/>
    <w:uiPriority w:val="0"/>
    <w:pPr>
      <w:ind w:left="2" w:firstLine="538" w:firstLineChars="192"/>
    </w:pPr>
    <w:rPr>
      <w:color w:val="0000FF"/>
      <w:sz w:val="28"/>
    </w:rPr>
  </w:style>
  <w:style w:type="character" w:customStyle="1" w:styleId="37">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8">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39">
    <w:name w:val="标题1"/>
    <w:qFormat/>
    <w:uiPriority w:val="0"/>
    <w:rPr>
      <w:rFonts w:ascii="Times New Roman" w:hAnsi="Times New Roman" w:eastAsia="宋体" w:cs="Times New Roman"/>
      <w:b/>
      <w:kern w:val="0"/>
      <w:sz w:val="24"/>
      <w:szCs w:val="20"/>
      <w:lang w:eastAsia="en-US"/>
    </w:rPr>
  </w:style>
  <w:style w:type="character" w:customStyle="1" w:styleId="40">
    <w:name w:val="标题 3.1 Char"/>
    <w:link w:val="41"/>
    <w:qFormat/>
    <w:uiPriority w:val="0"/>
    <w:rPr>
      <w:rFonts w:ascii="宋体" w:hAnsi="宋体" w:eastAsia="宋体"/>
      <w:b/>
      <w:color w:val="FF0000"/>
      <w:kern w:val="2"/>
      <w:sz w:val="32"/>
    </w:rPr>
  </w:style>
  <w:style w:type="paragraph" w:customStyle="1" w:styleId="41">
    <w:name w:val="标题 3.1"/>
    <w:basedOn w:val="4"/>
    <w:link w:val="40"/>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2">
    <w:name w:val="样式 楷体_GB2312 小四"/>
    <w:qFormat/>
    <w:uiPriority w:val="0"/>
    <w:rPr>
      <w:rFonts w:ascii="楷体_GB2312" w:hAnsi="楷体_GB2312" w:eastAsia="仿宋_GB2312"/>
      <w:sz w:val="24"/>
    </w:rPr>
  </w:style>
  <w:style w:type="character" w:customStyle="1" w:styleId="43">
    <w:name w:val="纯文本 Char"/>
    <w:qFormat/>
    <w:uiPriority w:val="0"/>
    <w:rPr>
      <w:rFonts w:ascii="宋体" w:hAnsi="Courier New" w:eastAsia="宋体" w:cs="Times New Roman"/>
      <w:b/>
      <w:kern w:val="2"/>
      <w:sz w:val="21"/>
      <w:szCs w:val="20"/>
    </w:rPr>
  </w:style>
  <w:style w:type="character" w:customStyle="1" w:styleId="44">
    <w:name w:val="纯文本 Char1"/>
    <w:basedOn w:val="24"/>
    <w:link w:val="9"/>
    <w:semiHidden/>
    <w:qFormat/>
    <w:uiPriority w:val="99"/>
    <w:rPr>
      <w:rFonts w:ascii="宋体" w:hAnsi="Courier New" w:eastAsia="宋体" w:cs="Courier New"/>
      <w:sz w:val="21"/>
      <w:szCs w:val="21"/>
    </w:rPr>
  </w:style>
  <w:style w:type="character" w:customStyle="1" w:styleId="45">
    <w:name w:val="页眉 Char"/>
    <w:basedOn w:val="24"/>
    <w:link w:val="13"/>
    <w:qFormat/>
    <w:uiPriority w:val="99"/>
    <w:rPr>
      <w:rFonts w:ascii="Tahoma" w:hAnsi="Tahoma"/>
      <w:sz w:val="18"/>
      <w:szCs w:val="18"/>
    </w:rPr>
  </w:style>
  <w:style w:type="character" w:customStyle="1" w:styleId="46">
    <w:name w:val="页脚 Char"/>
    <w:basedOn w:val="24"/>
    <w:link w:val="12"/>
    <w:qFormat/>
    <w:uiPriority w:val="99"/>
    <w:rPr>
      <w:rFonts w:ascii="Tahoma" w:hAnsi="Tahoma"/>
      <w:sz w:val="18"/>
      <w:szCs w:val="18"/>
    </w:rPr>
  </w:style>
  <w:style w:type="character" w:customStyle="1" w:styleId="47">
    <w:name w:val="批注框文本 Char"/>
    <w:basedOn w:val="24"/>
    <w:link w:val="11"/>
    <w:semiHidden/>
    <w:qFormat/>
    <w:uiPriority w:val="99"/>
    <w:rPr>
      <w:rFonts w:ascii="Tahoma" w:hAnsi="Tahoma"/>
      <w:sz w:val="18"/>
      <w:szCs w:val="18"/>
    </w:rPr>
  </w:style>
  <w:style w:type="paragraph" w:customStyle="1" w:styleId="48">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49">
    <w:name w:val="普通(网站) Char"/>
    <w:link w:val="20"/>
    <w:qFormat/>
    <w:uiPriority w:val="0"/>
    <w:rPr>
      <w:rFonts w:eastAsia="宋体"/>
      <w:kern w:val="2"/>
      <w:sz w:val="24"/>
      <w:szCs w:val="24"/>
    </w:rPr>
  </w:style>
  <w:style w:type="paragraph" w:customStyle="1" w:styleId="50">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1">
    <w:name w:val="p141"/>
    <w:qFormat/>
    <w:uiPriority w:val="0"/>
    <w:rPr>
      <w:sz w:val="21"/>
      <w:szCs w:val="21"/>
    </w:rPr>
  </w:style>
  <w:style w:type="paragraph" w:customStyle="1" w:styleId="52">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3">
    <w:name w:val="正文无缩进"/>
    <w:basedOn w:val="35"/>
    <w:qFormat/>
    <w:uiPriority w:val="0"/>
    <w:pPr>
      <w:ind w:firstLine="0" w:firstLineChars="0"/>
    </w:pPr>
  </w:style>
  <w:style w:type="paragraph" w:customStyle="1" w:styleId="54">
    <w:name w:val="Table Paragraph"/>
    <w:basedOn w:val="1"/>
    <w:qFormat/>
    <w:uiPriority w:val="1"/>
  </w:style>
  <w:style w:type="paragraph" w:customStyle="1" w:styleId="55">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table" w:customStyle="1" w:styleId="56">
    <w:name w:val="网格型1"/>
    <w:basedOn w:val="22"/>
    <w:qFormat/>
    <w:uiPriority w:val="59"/>
    <w:rPr>
      <w:rFonts w:asciiTheme="minorHAnsi" w:hAnsiTheme="minorHAnsi"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7">
    <w:name w:val="正文正"/>
    <w:basedOn w:val="1"/>
    <w:qFormat/>
    <w:uiPriority w:val="0"/>
    <w:pPr>
      <w:spacing w:line="560" w:lineRule="exact"/>
      <w:ind w:firstLine="561"/>
    </w:pPr>
    <w:rPr>
      <w:rFonts w:ascii="Calibri" w:hAnsi="Calibri" w:eastAsia="宋体" w:cs="Times New Roman"/>
      <w:sz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78</Pages>
  <Words>1439</Words>
  <Characters>1597</Characters>
  <Lines>264</Lines>
  <Paragraphs>74</Paragraphs>
  <TotalTime>2</TotalTime>
  <ScaleCrop>false</ScaleCrop>
  <LinksUpToDate>false</LinksUpToDate>
  <CharactersWithSpaces>1732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Opt</cp:lastModifiedBy>
  <cp:lastPrinted>2025-05-14T01:09:00Z</cp:lastPrinted>
  <dcterms:modified xsi:type="dcterms:W3CDTF">2025-06-03T02:48:17Z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3CBFBB8C883943EAB8B5AC83B558BDEC_13</vt:lpwstr>
  </property>
  <property fmtid="{D5CDD505-2E9C-101B-9397-08002B2CF9AE}" pid="4" name="KSOTemplateDocerSaveRecord">
    <vt:lpwstr>eyJoZGlkIjoiM2U2YWM2YjFjM2NjMjgwNTJhZTk4ZmQ4MjE1NDdmZTEiLCJ1c2VySWQiOiI0MTk5NTE4MTIifQ==</vt:lpwstr>
  </property>
</Properties>
</file>