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349C0">
      <w:pPr>
        <w:jc w:val="right"/>
        <w:rPr>
          <w:rFonts w:ascii="黑体" w:eastAsia="黑体"/>
          <w:color w:val="auto"/>
          <w:szCs w:val="21"/>
        </w:rPr>
      </w:pPr>
    </w:p>
    <w:p w14:paraId="326C9134">
      <w:pPr>
        <w:pStyle w:val="39"/>
        <w:ind w:firstLine="400"/>
        <w:rPr>
          <w:color w:val="auto"/>
        </w:rPr>
      </w:pPr>
    </w:p>
    <w:p w14:paraId="1B6E98BF">
      <w:pPr>
        <w:rPr>
          <w:color w:val="auto"/>
        </w:rPr>
      </w:pPr>
    </w:p>
    <w:p w14:paraId="6A6E4777">
      <w:pPr>
        <w:rPr>
          <w:color w:val="auto"/>
        </w:rPr>
      </w:pPr>
    </w:p>
    <w:p w14:paraId="3D0A28D9">
      <w:pPr>
        <w:rPr>
          <w:color w:val="auto"/>
        </w:rPr>
      </w:pPr>
    </w:p>
    <w:p w14:paraId="17DD133C">
      <w:pPr>
        <w:ind w:right="-28"/>
        <w:jc w:val="center"/>
        <w:textAlignment w:val="bottom"/>
        <w:rPr>
          <w:rFonts w:ascii="黑体" w:hAnsi="黑体" w:eastAsia="黑体" w:cs="黑体"/>
          <w:bCs/>
          <w:color w:val="auto"/>
          <w:spacing w:val="57"/>
          <w:sz w:val="96"/>
          <w:szCs w:val="96"/>
        </w:rPr>
      </w:pPr>
      <w:r>
        <w:rPr>
          <w:rFonts w:hint="eastAsia" w:ascii="黑体" w:hAnsi="黑体" w:eastAsia="黑体" w:cs="黑体"/>
          <w:bCs/>
          <w:color w:val="auto"/>
          <w:spacing w:val="57"/>
          <w:sz w:val="96"/>
          <w:szCs w:val="96"/>
        </w:rPr>
        <w:t>公开采购文件</w:t>
      </w:r>
    </w:p>
    <w:p w14:paraId="75CDBB0B">
      <w:pPr>
        <w:rPr>
          <w:color w:val="auto"/>
        </w:rPr>
      </w:pPr>
    </w:p>
    <w:p w14:paraId="71B375EC">
      <w:pPr>
        <w:pStyle w:val="9"/>
        <w:rPr>
          <w:color w:val="auto"/>
        </w:rPr>
      </w:pPr>
    </w:p>
    <w:p w14:paraId="78806945">
      <w:pPr>
        <w:pStyle w:val="10"/>
        <w:rPr>
          <w:color w:val="auto"/>
        </w:rPr>
      </w:pPr>
    </w:p>
    <w:p w14:paraId="3DC629A7">
      <w:pPr>
        <w:pStyle w:val="9"/>
        <w:rPr>
          <w:color w:val="auto"/>
        </w:rPr>
      </w:pPr>
    </w:p>
    <w:tbl>
      <w:tblPr>
        <w:tblStyle w:val="31"/>
        <w:tblW w:w="0" w:type="auto"/>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14:paraId="30EAE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2613" w:type="dxa"/>
            <w:noWrap/>
            <w:vAlign w:val="center"/>
          </w:tcPr>
          <w:p w14:paraId="66E44382">
            <w:pPr>
              <w:spacing w:before="200"/>
              <w:jc w:val="both"/>
              <w:rPr>
                <w:rFonts w:ascii="黑体" w:hAnsi="黑体" w:eastAsia="黑体" w:cs="黑体"/>
                <w:bCs/>
                <w:color w:val="auto"/>
                <w:sz w:val="32"/>
                <w:szCs w:val="24"/>
              </w:rPr>
            </w:pPr>
            <w:r>
              <w:rPr>
                <w:rFonts w:hint="eastAsia" w:ascii="黑体" w:hAnsi="黑体" w:eastAsia="黑体" w:cs="黑体"/>
                <w:bCs/>
                <w:color w:val="auto"/>
                <w:sz w:val="32"/>
                <w:szCs w:val="24"/>
              </w:rPr>
              <w:t>项目名称：</w:t>
            </w:r>
          </w:p>
        </w:tc>
        <w:tc>
          <w:tcPr>
            <w:tcW w:w="6203" w:type="dxa"/>
            <w:noWrap/>
            <w:vAlign w:val="center"/>
          </w:tcPr>
          <w:p w14:paraId="3D38B645">
            <w:pPr>
              <w:spacing w:before="200"/>
              <w:jc w:val="both"/>
              <w:rPr>
                <w:rFonts w:hint="eastAsia" w:ascii="黑体" w:hAnsi="黑体" w:eastAsia="黑体" w:cs="黑体"/>
                <w:bCs/>
                <w:color w:val="auto"/>
                <w:sz w:val="32"/>
                <w:szCs w:val="24"/>
                <w:lang w:eastAsia="zh-CN"/>
              </w:rPr>
            </w:pPr>
            <w:r>
              <w:rPr>
                <w:rFonts w:hint="eastAsia" w:ascii="黑体" w:hAnsi="黑体" w:eastAsia="黑体" w:cs="黑体"/>
                <w:b w:val="0"/>
                <w:bCs/>
                <w:color w:val="auto"/>
                <w:sz w:val="32"/>
                <w:szCs w:val="24"/>
                <w:u w:val="single"/>
                <w:lang w:eastAsia="zh-CN"/>
              </w:rPr>
              <w:t>东莞实业投资控股集团有限公司注册发行超短期融资券主承销商采购项目</w:t>
            </w:r>
          </w:p>
        </w:tc>
      </w:tr>
      <w:tr w14:paraId="7FF1F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613" w:type="dxa"/>
            <w:noWrap/>
            <w:vAlign w:val="center"/>
          </w:tcPr>
          <w:p w14:paraId="424A9E1B">
            <w:pPr>
              <w:spacing w:before="200"/>
              <w:jc w:val="both"/>
              <w:rPr>
                <w:rFonts w:ascii="黑体" w:hAnsi="黑体" w:eastAsia="黑体" w:cs="黑体"/>
                <w:bCs/>
                <w:color w:val="auto"/>
                <w:sz w:val="32"/>
                <w:szCs w:val="24"/>
              </w:rPr>
            </w:pPr>
            <w:r>
              <w:rPr>
                <w:rFonts w:hint="eastAsia" w:ascii="黑体" w:hAnsi="黑体" w:eastAsia="黑体" w:cs="黑体"/>
                <w:bCs/>
                <w:color w:val="auto"/>
                <w:sz w:val="32"/>
                <w:szCs w:val="24"/>
              </w:rPr>
              <w:t>项目编号：</w:t>
            </w:r>
          </w:p>
        </w:tc>
        <w:tc>
          <w:tcPr>
            <w:tcW w:w="6203" w:type="dxa"/>
            <w:noWrap/>
            <w:vAlign w:val="center"/>
          </w:tcPr>
          <w:p w14:paraId="4F6D0242">
            <w:pPr>
              <w:spacing w:before="200"/>
              <w:jc w:val="both"/>
              <w:rPr>
                <w:rFonts w:hint="eastAsia" w:ascii="黑体" w:hAnsi="黑体" w:eastAsia="黑体" w:cs="黑体"/>
                <w:bCs/>
                <w:color w:val="auto"/>
                <w:sz w:val="32"/>
                <w:szCs w:val="24"/>
                <w:lang w:eastAsia="zh-CN"/>
              </w:rPr>
            </w:pPr>
            <w:r>
              <w:rPr>
                <w:rFonts w:hint="eastAsia" w:ascii="黑体" w:hAnsi="黑体" w:eastAsia="黑体" w:cs="黑体"/>
                <w:bCs/>
                <w:color w:val="auto"/>
                <w:sz w:val="32"/>
                <w:szCs w:val="24"/>
                <w:u w:val="single"/>
                <w:lang w:val="en-US" w:eastAsia="zh-CN"/>
              </w:rPr>
              <w:t xml:space="preserve"> DGSY-CW-03-12-014(2024)</w:t>
            </w:r>
          </w:p>
        </w:tc>
      </w:tr>
      <w:tr w14:paraId="62AD8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ign w:val="center"/>
          </w:tcPr>
          <w:p w14:paraId="349195E0">
            <w:pPr>
              <w:spacing w:before="200"/>
              <w:jc w:val="both"/>
              <w:rPr>
                <w:rFonts w:ascii="黑体" w:hAnsi="黑体" w:eastAsia="黑体" w:cs="黑体"/>
                <w:bCs/>
                <w:color w:val="auto"/>
                <w:sz w:val="32"/>
                <w:szCs w:val="24"/>
              </w:rPr>
            </w:pPr>
            <w:r>
              <w:rPr>
                <w:rFonts w:hint="eastAsia" w:ascii="黑体" w:hAnsi="黑体" w:eastAsia="黑体" w:cs="黑体"/>
                <w:bCs/>
                <w:color w:val="auto"/>
                <w:sz w:val="32"/>
                <w:szCs w:val="24"/>
              </w:rPr>
              <w:t>采购人：</w:t>
            </w:r>
          </w:p>
        </w:tc>
        <w:tc>
          <w:tcPr>
            <w:tcW w:w="6203" w:type="dxa"/>
            <w:noWrap/>
            <w:vAlign w:val="center"/>
          </w:tcPr>
          <w:p w14:paraId="70D13F7F">
            <w:pPr>
              <w:spacing w:before="200"/>
              <w:jc w:val="both"/>
              <w:rPr>
                <w:rFonts w:hint="eastAsia" w:ascii="黑体" w:hAnsi="黑体" w:eastAsia="黑体" w:cs="黑体"/>
                <w:bCs/>
                <w:color w:val="auto"/>
                <w:sz w:val="32"/>
                <w:szCs w:val="24"/>
                <w:lang w:eastAsia="zh-CN"/>
              </w:rPr>
            </w:pPr>
            <w:r>
              <w:rPr>
                <w:rFonts w:hint="eastAsia" w:ascii="黑体" w:hAnsi="黑体" w:eastAsia="黑体" w:cs="黑体"/>
                <w:bCs/>
                <w:color w:val="auto"/>
                <w:sz w:val="32"/>
                <w:szCs w:val="24"/>
                <w:u w:val="single"/>
                <w:lang w:eastAsia="zh-CN"/>
              </w:rPr>
              <w:t>东莞实业投资控股集团有限公司</w:t>
            </w:r>
          </w:p>
        </w:tc>
      </w:tr>
      <w:tr w14:paraId="154CF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ign w:val="center"/>
          </w:tcPr>
          <w:p w14:paraId="02611CDF">
            <w:pPr>
              <w:spacing w:before="200"/>
              <w:jc w:val="both"/>
              <w:rPr>
                <w:rFonts w:ascii="黑体" w:hAnsi="黑体" w:eastAsia="黑体" w:cs="黑体"/>
                <w:bCs/>
                <w:color w:val="auto"/>
                <w:sz w:val="32"/>
                <w:szCs w:val="24"/>
              </w:rPr>
            </w:pPr>
            <w:r>
              <w:rPr>
                <w:rFonts w:hint="eastAsia" w:ascii="黑体" w:hAnsi="黑体" w:eastAsia="黑体" w:cs="黑体"/>
                <w:bCs/>
                <w:color w:val="auto"/>
                <w:sz w:val="32"/>
                <w:szCs w:val="24"/>
              </w:rPr>
              <w:t>采购代理：</w:t>
            </w:r>
          </w:p>
        </w:tc>
        <w:tc>
          <w:tcPr>
            <w:tcW w:w="6203" w:type="dxa"/>
            <w:noWrap/>
            <w:vAlign w:val="center"/>
          </w:tcPr>
          <w:p w14:paraId="405B8AA9">
            <w:pPr>
              <w:spacing w:before="200"/>
              <w:jc w:val="both"/>
              <w:rPr>
                <w:rFonts w:hint="eastAsia" w:ascii="黑体" w:hAnsi="黑体" w:eastAsia="黑体" w:cs="黑体"/>
                <w:bCs/>
                <w:color w:val="auto"/>
                <w:sz w:val="32"/>
                <w:szCs w:val="24"/>
                <w:lang w:eastAsia="zh-CN"/>
              </w:rPr>
            </w:pPr>
            <w:r>
              <w:rPr>
                <w:rFonts w:hint="eastAsia" w:ascii="黑体" w:hAnsi="黑体" w:eastAsia="黑体" w:cs="黑体"/>
                <w:bCs/>
                <w:color w:val="auto"/>
                <w:sz w:val="32"/>
                <w:szCs w:val="24"/>
                <w:u w:val="single"/>
                <w:lang w:eastAsia="zh-CN"/>
              </w:rPr>
              <w:t>广东政通招标有限公司</w:t>
            </w:r>
          </w:p>
        </w:tc>
      </w:tr>
    </w:tbl>
    <w:p w14:paraId="4CB58EAF">
      <w:pPr>
        <w:jc w:val="center"/>
        <w:rPr>
          <w:rFonts w:ascii="黑体" w:eastAsia="黑体"/>
          <w:color w:val="auto"/>
          <w:szCs w:val="21"/>
        </w:rPr>
      </w:pPr>
    </w:p>
    <w:p w14:paraId="5A569B91">
      <w:pPr>
        <w:jc w:val="center"/>
        <w:rPr>
          <w:rFonts w:ascii="黑体" w:eastAsia="黑体"/>
          <w:color w:val="auto"/>
          <w:szCs w:val="21"/>
        </w:rPr>
      </w:pPr>
    </w:p>
    <w:p w14:paraId="119E203B">
      <w:pPr>
        <w:jc w:val="center"/>
        <w:rPr>
          <w:rFonts w:ascii="黑体" w:eastAsia="黑体"/>
          <w:color w:val="auto"/>
          <w:szCs w:val="21"/>
        </w:rPr>
      </w:pPr>
    </w:p>
    <w:p w14:paraId="080420BB">
      <w:pPr>
        <w:pStyle w:val="39"/>
        <w:ind w:firstLine="400"/>
        <w:rPr>
          <w:color w:val="auto"/>
        </w:rPr>
      </w:pPr>
    </w:p>
    <w:p w14:paraId="5CE4D998">
      <w:pPr>
        <w:jc w:val="center"/>
        <w:rPr>
          <w:rFonts w:ascii="黑体" w:eastAsia="黑体"/>
          <w:color w:val="auto"/>
          <w:szCs w:val="21"/>
        </w:rPr>
      </w:pPr>
    </w:p>
    <w:p w14:paraId="19F8731F">
      <w:pPr>
        <w:spacing w:before="200"/>
        <w:jc w:val="both"/>
        <w:rPr>
          <w:rFonts w:hint="eastAsia" w:ascii="黑体" w:hAnsi="黑体" w:eastAsia="黑体" w:cs="黑体"/>
          <w:bCs/>
          <w:color w:val="auto"/>
          <w:sz w:val="32"/>
          <w:szCs w:val="24"/>
        </w:rPr>
      </w:pPr>
    </w:p>
    <w:p w14:paraId="5F62D6DD">
      <w:pPr>
        <w:spacing w:before="200"/>
        <w:jc w:val="center"/>
        <w:rPr>
          <w:rFonts w:ascii="黑体" w:hAnsi="黑体" w:eastAsia="黑体" w:cs="黑体"/>
          <w:bCs/>
          <w:color w:val="auto"/>
          <w:sz w:val="32"/>
          <w:szCs w:val="24"/>
        </w:rPr>
      </w:pPr>
      <w:r>
        <w:rPr>
          <w:rFonts w:hint="eastAsia" w:ascii="黑体" w:hAnsi="黑体" w:eastAsia="黑体" w:cs="黑体"/>
          <w:bCs/>
          <w:color w:val="auto"/>
          <w:sz w:val="32"/>
          <w:szCs w:val="24"/>
        </w:rPr>
        <w:t>20</w:t>
      </w:r>
      <w:r>
        <w:rPr>
          <w:rFonts w:hint="eastAsia" w:ascii="黑体" w:hAnsi="黑体" w:eastAsia="黑体" w:cs="黑体"/>
          <w:bCs/>
          <w:color w:val="auto"/>
          <w:sz w:val="32"/>
          <w:szCs w:val="24"/>
          <w:lang w:val="en-US" w:eastAsia="zh-CN"/>
        </w:rPr>
        <w:t>24</w:t>
      </w:r>
      <w:r>
        <w:rPr>
          <w:rFonts w:hint="eastAsia" w:ascii="黑体" w:hAnsi="黑体" w:eastAsia="黑体" w:cs="黑体"/>
          <w:bCs/>
          <w:color w:val="auto"/>
          <w:sz w:val="32"/>
          <w:szCs w:val="24"/>
        </w:rPr>
        <w:t>年</w:t>
      </w:r>
      <w:r>
        <w:rPr>
          <w:rFonts w:hint="eastAsia" w:ascii="黑体" w:hAnsi="黑体" w:eastAsia="黑体" w:cs="黑体"/>
          <w:bCs/>
          <w:color w:val="auto"/>
          <w:sz w:val="32"/>
          <w:szCs w:val="24"/>
          <w:lang w:val="en-US" w:eastAsia="zh-CN"/>
        </w:rPr>
        <w:t>12</w:t>
      </w:r>
      <w:r>
        <w:rPr>
          <w:rFonts w:hint="eastAsia" w:ascii="黑体" w:hAnsi="黑体" w:eastAsia="黑体" w:cs="黑体"/>
          <w:bCs/>
          <w:color w:val="auto"/>
          <w:sz w:val="32"/>
          <w:szCs w:val="24"/>
        </w:rPr>
        <w:t>月</w:t>
      </w:r>
    </w:p>
    <w:p w14:paraId="43569F5A">
      <w:pPr>
        <w:rPr>
          <w:color w:val="auto"/>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08" w:footer="708" w:gutter="0"/>
          <w:pgNumType w:start="1"/>
          <w:cols w:space="708" w:num="1"/>
          <w:titlePg/>
          <w:docGrid w:type="lines" w:linePitch="360" w:charSpace="0"/>
        </w:sectPr>
      </w:pPr>
    </w:p>
    <w:p w14:paraId="422BEB9D">
      <w:pPr>
        <w:pStyle w:val="25"/>
        <w:ind w:left="0" w:leftChars="0"/>
        <w:rPr>
          <w:color w:val="auto"/>
          <w:sz w:val="40"/>
          <w:szCs w:val="40"/>
        </w:rPr>
      </w:pPr>
      <w:r>
        <w:rPr>
          <w:rFonts w:hint="eastAsia"/>
          <w:color w:val="auto"/>
          <w:sz w:val="40"/>
          <w:szCs w:val="40"/>
        </w:rPr>
        <w:t>目录</w:t>
      </w:r>
    </w:p>
    <w:p w14:paraId="20968E40">
      <w:pPr>
        <w:pStyle w:val="25"/>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TOC \o "1-4" \h \z \u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_Toc25180 </w:instrText>
      </w:r>
      <w:r>
        <w:rPr>
          <w:rFonts w:hint="eastAsia" w:ascii="宋体" w:hAnsi="宋体" w:eastAsia="宋体" w:cs="宋体"/>
          <w:sz w:val="21"/>
          <w:szCs w:val="21"/>
        </w:rPr>
        <w:fldChar w:fldCharType="separate"/>
      </w:r>
      <w:r>
        <w:rPr>
          <w:rFonts w:hint="eastAsia" w:ascii="宋体" w:hAnsi="宋体" w:eastAsia="宋体" w:cs="宋体"/>
          <w:sz w:val="21"/>
          <w:szCs w:val="21"/>
        </w:rPr>
        <w:t>第一部分投</w:t>
      </w:r>
      <w:r>
        <w:rPr>
          <w:rFonts w:hint="eastAsia" w:ascii="宋体" w:hAnsi="宋体" w:eastAsia="宋体" w:cs="宋体"/>
          <w:sz w:val="21"/>
          <w:szCs w:val="21"/>
          <w:highlight w:val="none"/>
        </w:rPr>
        <w:t>标邀请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_Toc25180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46537446">
      <w:pPr>
        <w:pStyle w:val="14"/>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_Toc15807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rPr>
        <w:t>投标邀请书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_Toc15807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7F44AC1E">
      <w:pPr>
        <w:pStyle w:val="25"/>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_Toc26511 </w:instrText>
      </w:r>
      <w:r>
        <w:rPr>
          <w:rFonts w:hint="eastAsia" w:ascii="宋体" w:hAnsi="宋体" w:eastAsia="宋体" w:cs="宋体"/>
          <w:sz w:val="21"/>
          <w:szCs w:val="21"/>
        </w:rPr>
        <w:fldChar w:fldCharType="separate"/>
      </w:r>
      <w:r>
        <w:rPr>
          <w:rFonts w:hint="eastAsia" w:ascii="宋体" w:hAnsi="宋体" w:eastAsia="宋体" w:cs="宋体"/>
          <w:sz w:val="21"/>
          <w:szCs w:val="21"/>
        </w:rPr>
        <w:t>第二部分相关资料表格</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_Toc26511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2D3ED1D6">
      <w:pPr>
        <w:pStyle w:val="14"/>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_Toc24420 </w:instrText>
      </w:r>
      <w:r>
        <w:rPr>
          <w:rFonts w:hint="eastAsia" w:ascii="宋体" w:hAnsi="宋体" w:eastAsia="宋体" w:cs="宋体"/>
          <w:sz w:val="21"/>
          <w:szCs w:val="21"/>
        </w:rPr>
        <w:fldChar w:fldCharType="separate"/>
      </w:r>
      <w:r>
        <w:rPr>
          <w:rFonts w:hint="eastAsia" w:ascii="宋体" w:hAnsi="宋体" w:eastAsia="宋体" w:cs="宋体"/>
          <w:sz w:val="21"/>
          <w:szCs w:val="21"/>
        </w:rPr>
        <w:t>附表一：投标资料表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_Toc24420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703EBFF9">
      <w:pPr>
        <w:pStyle w:val="14"/>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_Toc23683 </w:instrText>
      </w:r>
      <w:r>
        <w:rPr>
          <w:rFonts w:hint="eastAsia" w:ascii="宋体" w:hAnsi="宋体" w:eastAsia="宋体" w:cs="宋体"/>
          <w:sz w:val="21"/>
          <w:szCs w:val="21"/>
        </w:rPr>
        <w:fldChar w:fldCharType="separate"/>
      </w:r>
      <w:r>
        <w:rPr>
          <w:rFonts w:hint="eastAsia" w:ascii="宋体" w:hAnsi="宋体" w:eastAsia="宋体" w:cs="宋体"/>
          <w:sz w:val="21"/>
          <w:szCs w:val="21"/>
        </w:rPr>
        <w:t>附表二：商务技术评分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_Toc23683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43654578">
      <w:pPr>
        <w:pStyle w:val="25"/>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_Toc10752 </w:instrText>
      </w:r>
      <w:r>
        <w:rPr>
          <w:rFonts w:hint="eastAsia" w:ascii="宋体" w:hAnsi="宋体" w:eastAsia="宋体" w:cs="宋体"/>
          <w:sz w:val="21"/>
          <w:szCs w:val="21"/>
        </w:rPr>
        <w:fldChar w:fldCharType="separate"/>
      </w:r>
      <w:r>
        <w:rPr>
          <w:rFonts w:hint="eastAsia" w:ascii="宋体" w:hAnsi="宋体" w:eastAsia="宋体" w:cs="宋体"/>
          <w:sz w:val="21"/>
          <w:szCs w:val="21"/>
        </w:rPr>
        <w:t>第三部分用户需求书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_Toc10752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6DD04194">
      <w:pPr>
        <w:pStyle w:val="14"/>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_Toc23276 </w:instrText>
      </w:r>
      <w:r>
        <w:rPr>
          <w:rFonts w:hint="eastAsia" w:ascii="宋体" w:hAnsi="宋体" w:eastAsia="宋体" w:cs="宋体"/>
          <w:sz w:val="21"/>
          <w:szCs w:val="21"/>
        </w:rPr>
        <w:fldChar w:fldCharType="separate"/>
      </w:r>
      <w:r>
        <w:rPr>
          <w:rFonts w:hint="eastAsia" w:ascii="宋体" w:hAnsi="宋体" w:eastAsia="宋体" w:cs="宋体"/>
          <w:sz w:val="21"/>
          <w:szCs w:val="21"/>
        </w:rPr>
        <w:t>第一章 商务需求书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_Toc23276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2E7F8DDB">
      <w:pPr>
        <w:pStyle w:val="14"/>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_Toc1068 </w:instrText>
      </w:r>
      <w:r>
        <w:rPr>
          <w:rFonts w:hint="eastAsia" w:ascii="宋体" w:hAnsi="宋体" w:eastAsia="宋体" w:cs="宋体"/>
          <w:sz w:val="21"/>
          <w:szCs w:val="21"/>
        </w:rPr>
        <w:fldChar w:fldCharType="separate"/>
      </w:r>
      <w:r>
        <w:rPr>
          <w:rFonts w:hint="eastAsia" w:ascii="宋体" w:hAnsi="宋体" w:eastAsia="宋体" w:cs="宋体"/>
          <w:sz w:val="21"/>
          <w:szCs w:val="21"/>
        </w:rPr>
        <w:t>第二章 技术需求书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_Toc1068 \h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6683D72C">
      <w:pPr>
        <w:pStyle w:val="25"/>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_Toc31698 </w:instrText>
      </w:r>
      <w:r>
        <w:rPr>
          <w:rFonts w:hint="eastAsia" w:ascii="宋体" w:hAnsi="宋体" w:eastAsia="宋体" w:cs="宋体"/>
          <w:sz w:val="21"/>
          <w:szCs w:val="21"/>
        </w:rPr>
        <w:fldChar w:fldCharType="separate"/>
      </w:r>
      <w:r>
        <w:rPr>
          <w:rFonts w:hint="eastAsia" w:ascii="宋体" w:hAnsi="宋体" w:eastAsia="宋体" w:cs="宋体"/>
          <w:sz w:val="21"/>
          <w:szCs w:val="21"/>
        </w:rPr>
        <w:t>第四部分投标人须知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_Toc31698 \h </w:instrText>
      </w:r>
      <w:r>
        <w:rPr>
          <w:rFonts w:hint="eastAsia" w:ascii="宋体" w:hAnsi="宋体" w:eastAsia="宋体" w:cs="宋体"/>
          <w:sz w:val="21"/>
          <w:szCs w:val="21"/>
        </w:rPr>
        <w:fldChar w:fldCharType="separate"/>
      </w:r>
      <w:r>
        <w:rPr>
          <w:rFonts w:hint="eastAsia" w:ascii="宋体" w:hAnsi="宋体" w:eastAsia="宋体" w:cs="宋体"/>
          <w:sz w:val="21"/>
          <w:szCs w:val="21"/>
        </w:rPr>
        <w:t>20</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4E14FD02">
      <w:pPr>
        <w:pStyle w:val="14"/>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_Toc1118 </w:instrText>
      </w:r>
      <w:r>
        <w:rPr>
          <w:rFonts w:hint="eastAsia" w:ascii="宋体" w:hAnsi="宋体" w:eastAsia="宋体" w:cs="宋体"/>
          <w:sz w:val="21"/>
          <w:szCs w:val="21"/>
        </w:rPr>
        <w:fldChar w:fldCharType="separate"/>
      </w:r>
      <w:r>
        <w:rPr>
          <w:rFonts w:hint="eastAsia" w:ascii="宋体" w:hAnsi="宋体" w:eastAsia="宋体" w:cs="宋体"/>
          <w:sz w:val="21"/>
          <w:szCs w:val="21"/>
        </w:rPr>
        <w:t>一、 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_Toc1118 \h </w:instrText>
      </w:r>
      <w:r>
        <w:rPr>
          <w:rFonts w:hint="eastAsia" w:ascii="宋体" w:hAnsi="宋体" w:eastAsia="宋体" w:cs="宋体"/>
          <w:sz w:val="21"/>
          <w:szCs w:val="21"/>
        </w:rPr>
        <w:fldChar w:fldCharType="separate"/>
      </w:r>
      <w:r>
        <w:rPr>
          <w:rFonts w:hint="eastAsia" w:ascii="宋体" w:hAnsi="宋体" w:eastAsia="宋体" w:cs="宋体"/>
          <w:sz w:val="21"/>
          <w:szCs w:val="21"/>
        </w:rPr>
        <w:t>20</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5DD6ED9A">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_Toc32566 </w:instrText>
      </w:r>
      <w:r>
        <w:rPr>
          <w:rFonts w:hint="eastAsia" w:ascii="宋体" w:hAnsi="宋体" w:eastAsia="宋体" w:cs="宋体"/>
          <w:sz w:val="21"/>
          <w:szCs w:val="21"/>
        </w:rPr>
        <w:fldChar w:fldCharType="separate"/>
      </w:r>
      <w:r>
        <w:rPr>
          <w:rFonts w:hint="eastAsia" w:ascii="宋体" w:hAnsi="宋体" w:eastAsia="宋体" w:cs="宋体"/>
          <w:sz w:val="21"/>
          <w:szCs w:val="21"/>
        </w:rPr>
        <w:t>1. 适用范围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_Toc32566 \h </w:instrText>
      </w:r>
      <w:r>
        <w:rPr>
          <w:rFonts w:hint="eastAsia" w:ascii="宋体" w:hAnsi="宋体" w:eastAsia="宋体" w:cs="宋体"/>
          <w:sz w:val="21"/>
          <w:szCs w:val="21"/>
        </w:rPr>
        <w:fldChar w:fldCharType="separate"/>
      </w:r>
      <w:r>
        <w:rPr>
          <w:rFonts w:hint="eastAsia" w:ascii="宋体" w:hAnsi="宋体" w:eastAsia="宋体" w:cs="宋体"/>
          <w:sz w:val="21"/>
          <w:szCs w:val="21"/>
        </w:rPr>
        <w:t>20</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6C53560E">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_Toc26729 </w:instrText>
      </w:r>
      <w:r>
        <w:rPr>
          <w:rFonts w:hint="eastAsia" w:ascii="宋体" w:hAnsi="宋体" w:eastAsia="宋体" w:cs="宋体"/>
          <w:sz w:val="21"/>
          <w:szCs w:val="21"/>
        </w:rPr>
        <w:fldChar w:fldCharType="separate"/>
      </w:r>
      <w:r>
        <w:rPr>
          <w:rFonts w:hint="eastAsia" w:ascii="宋体" w:hAnsi="宋体" w:eastAsia="宋体" w:cs="宋体"/>
          <w:sz w:val="21"/>
          <w:szCs w:val="21"/>
        </w:rPr>
        <w:t>2. 定义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_Toc26729 \h </w:instrText>
      </w:r>
      <w:r>
        <w:rPr>
          <w:rFonts w:hint="eastAsia" w:ascii="宋体" w:hAnsi="宋体" w:eastAsia="宋体" w:cs="宋体"/>
          <w:sz w:val="21"/>
          <w:szCs w:val="21"/>
        </w:rPr>
        <w:fldChar w:fldCharType="separate"/>
      </w:r>
      <w:r>
        <w:rPr>
          <w:rFonts w:hint="eastAsia" w:ascii="宋体" w:hAnsi="宋体" w:eastAsia="宋体" w:cs="宋体"/>
          <w:sz w:val="21"/>
          <w:szCs w:val="21"/>
        </w:rPr>
        <w:t>20</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67867045">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_Toc6667 </w:instrText>
      </w:r>
      <w:r>
        <w:rPr>
          <w:rFonts w:hint="eastAsia" w:ascii="宋体" w:hAnsi="宋体" w:eastAsia="宋体" w:cs="宋体"/>
          <w:sz w:val="21"/>
          <w:szCs w:val="21"/>
        </w:rPr>
        <w:fldChar w:fldCharType="separate"/>
      </w:r>
      <w:r>
        <w:rPr>
          <w:rFonts w:hint="eastAsia" w:ascii="宋体" w:hAnsi="宋体" w:eastAsia="宋体" w:cs="宋体"/>
          <w:sz w:val="21"/>
          <w:szCs w:val="21"/>
        </w:rPr>
        <w:t>3. 货物和服务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_Toc6667 \h </w:instrText>
      </w:r>
      <w:r>
        <w:rPr>
          <w:rFonts w:hint="eastAsia" w:ascii="宋体" w:hAnsi="宋体" w:eastAsia="宋体" w:cs="宋体"/>
          <w:sz w:val="21"/>
          <w:szCs w:val="21"/>
        </w:rPr>
        <w:fldChar w:fldCharType="separate"/>
      </w:r>
      <w:r>
        <w:rPr>
          <w:rFonts w:hint="eastAsia" w:ascii="宋体" w:hAnsi="宋体" w:eastAsia="宋体" w:cs="宋体"/>
          <w:sz w:val="21"/>
          <w:szCs w:val="21"/>
        </w:rPr>
        <w:t>20</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2D483FBB">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_Toc3616 </w:instrText>
      </w:r>
      <w:r>
        <w:rPr>
          <w:rFonts w:hint="eastAsia" w:ascii="宋体" w:hAnsi="宋体" w:eastAsia="宋体" w:cs="宋体"/>
          <w:sz w:val="21"/>
          <w:szCs w:val="21"/>
        </w:rPr>
        <w:fldChar w:fldCharType="separate"/>
      </w:r>
      <w:r>
        <w:rPr>
          <w:rFonts w:hint="eastAsia" w:ascii="宋体" w:hAnsi="宋体" w:eastAsia="宋体" w:cs="宋体"/>
          <w:sz w:val="21"/>
          <w:szCs w:val="21"/>
        </w:rPr>
        <w:t>4. 投标费用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_Toc3616 \h </w:instrText>
      </w:r>
      <w:r>
        <w:rPr>
          <w:rFonts w:hint="eastAsia" w:ascii="宋体" w:hAnsi="宋体" w:eastAsia="宋体" w:cs="宋体"/>
          <w:sz w:val="21"/>
          <w:szCs w:val="21"/>
        </w:rPr>
        <w:fldChar w:fldCharType="separate"/>
      </w:r>
      <w:r>
        <w:rPr>
          <w:rFonts w:hint="eastAsia" w:ascii="宋体" w:hAnsi="宋体" w:eastAsia="宋体" w:cs="宋体"/>
          <w:sz w:val="21"/>
          <w:szCs w:val="21"/>
        </w:rPr>
        <w:t>20</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58D8EB3E">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_Toc25827 </w:instrText>
      </w:r>
      <w:r>
        <w:rPr>
          <w:rFonts w:hint="eastAsia" w:ascii="宋体" w:hAnsi="宋体" w:eastAsia="宋体" w:cs="宋体"/>
          <w:sz w:val="21"/>
          <w:szCs w:val="21"/>
        </w:rPr>
        <w:fldChar w:fldCharType="separate"/>
      </w:r>
      <w:r>
        <w:rPr>
          <w:rFonts w:hint="eastAsia" w:ascii="宋体" w:hAnsi="宋体" w:eastAsia="宋体" w:cs="宋体"/>
          <w:sz w:val="21"/>
          <w:szCs w:val="21"/>
        </w:rPr>
        <w:t>5. 知识产权</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_Toc25827 \h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471A787B">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_Toc7626 </w:instrText>
      </w:r>
      <w:r>
        <w:rPr>
          <w:rFonts w:hint="eastAsia" w:ascii="宋体" w:hAnsi="宋体" w:eastAsia="宋体" w:cs="宋体"/>
          <w:sz w:val="21"/>
          <w:szCs w:val="21"/>
        </w:rPr>
        <w:fldChar w:fldCharType="separate"/>
      </w:r>
      <w:r>
        <w:rPr>
          <w:rFonts w:hint="eastAsia" w:ascii="宋体" w:hAnsi="宋体" w:eastAsia="宋体" w:cs="宋体"/>
          <w:sz w:val="21"/>
          <w:szCs w:val="21"/>
        </w:rPr>
        <w:t>6. 关于联合体投标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_Toc7626 \h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5D70BEAB">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_Toc30962 </w:instrText>
      </w:r>
      <w:r>
        <w:rPr>
          <w:rFonts w:hint="eastAsia" w:ascii="宋体" w:hAnsi="宋体" w:eastAsia="宋体" w:cs="宋体"/>
          <w:sz w:val="21"/>
          <w:szCs w:val="21"/>
        </w:rPr>
        <w:fldChar w:fldCharType="separate"/>
      </w:r>
      <w:r>
        <w:rPr>
          <w:rFonts w:hint="eastAsia" w:ascii="宋体" w:hAnsi="宋体" w:eastAsia="宋体" w:cs="宋体"/>
          <w:sz w:val="21"/>
          <w:szCs w:val="21"/>
        </w:rPr>
        <w:t>7. 关于分支机构投标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_Toc30962 \h </w:instrText>
      </w:r>
      <w:r>
        <w:rPr>
          <w:rFonts w:hint="eastAsia" w:ascii="宋体" w:hAnsi="宋体" w:eastAsia="宋体" w:cs="宋体"/>
          <w:sz w:val="21"/>
          <w:szCs w:val="21"/>
        </w:rPr>
        <w:fldChar w:fldCharType="separate"/>
      </w:r>
      <w:r>
        <w:rPr>
          <w:rFonts w:hint="eastAsia" w:ascii="宋体" w:hAnsi="宋体" w:eastAsia="宋体" w:cs="宋体"/>
          <w:sz w:val="21"/>
          <w:szCs w:val="21"/>
        </w:rPr>
        <w:t>22</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3BC11594">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_Toc23953 </w:instrText>
      </w:r>
      <w:r>
        <w:rPr>
          <w:rFonts w:hint="eastAsia" w:ascii="宋体" w:hAnsi="宋体" w:eastAsia="宋体" w:cs="宋体"/>
          <w:sz w:val="21"/>
          <w:szCs w:val="21"/>
        </w:rPr>
        <w:fldChar w:fldCharType="separate"/>
      </w:r>
      <w:r>
        <w:rPr>
          <w:rFonts w:hint="eastAsia" w:ascii="宋体" w:hAnsi="宋体" w:eastAsia="宋体" w:cs="宋体"/>
          <w:sz w:val="21"/>
          <w:szCs w:val="21"/>
        </w:rPr>
        <w:t>8. 踏勘现场</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_Toc23953 \h </w:instrText>
      </w:r>
      <w:r>
        <w:rPr>
          <w:rFonts w:hint="eastAsia" w:ascii="宋体" w:hAnsi="宋体" w:eastAsia="宋体" w:cs="宋体"/>
          <w:sz w:val="21"/>
          <w:szCs w:val="21"/>
        </w:rPr>
        <w:fldChar w:fldCharType="separate"/>
      </w:r>
      <w:r>
        <w:rPr>
          <w:rFonts w:hint="eastAsia" w:ascii="宋体" w:hAnsi="宋体" w:eastAsia="宋体" w:cs="宋体"/>
          <w:sz w:val="21"/>
          <w:szCs w:val="21"/>
        </w:rPr>
        <w:t>22</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4BC47968">
      <w:pPr>
        <w:pStyle w:val="14"/>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_Toc30305 </w:instrText>
      </w:r>
      <w:r>
        <w:rPr>
          <w:rFonts w:hint="eastAsia" w:ascii="宋体" w:hAnsi="宋体" w:eastAsia="宋体" w:cs="宋体"/>
          <w:sz w:val="21"/>
          <w:szCs w:val="21"/>
        </w:rPr>
        <w:fldChar w:fldCharType="separate"/>
      </w:r>
      <w:r>
        <w:rPr>
          <w:rFonts w:hint="eastAsia" w:ascii="宋体" w:hAnsi="宋体" w:eastAsia="宋体" w:cs="宋体"/>
          <w:sz w:val="21"/>
          <w:szCs w:val="21"/>
        </w:rPr>
        <w:t>二、 采购文件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_Toc30305 \h </w:instrText>
      </w:r>
      <w:r>
        <w:rPr>
          <w:rFonts w:hint="eastAsia" w:ascii="宋体" w:hAnsi="宋体" w:eastAsia="宋体" w:cs="宋体"/>
          <w:sz w:val="21"/>
          <w:szCs w:val="21"/>
        </w:rPr>
        <w:fldChar w:fldCharType="separate"/>
      </w:r>
      <w:r>
        <w:rPr>
          <w:rFonts w:hint="eastAsia" w:ascii="宋体" w:hAnsi="宋体" w:eastAsia="宋体" w:cs="宋体"/>
          <w:sz w:val="21"/>
          <w:szCs w:val="21"/>
        </w:rPr>
        <w:t>22</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75F51A7F">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_Toc7443 </w:instrText>
      </w:r>
      <w:r>
        <w:rPr>
          <w:rFonts w:hint="eastAsia" w:ascii="宋体" w:hAnsi="宋体" w:eastAsia="宋体" w:cs="宋体"/>
          <w:sz w:val="21"/>
          <w:szCs w:val="21"/>
        </w:rPr>
        <w:fldChar w:fldCharType="separate"/>
      </w:r>
      <w:r>
        <w:rPr>
          <w:rFonts w:hint="eastAsia" w:ascii="宋体" w:hAnsi="宋体" w:eastAsia="宋体" w:cs="宋体"/>
          <w:sz w:val="21"/>
          <w:szCs w:val="21"/>
        </w:rPr>
        <w:t>9. 采购文件的组成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_Toc7443 \h </w:instrText>
      </w:r>
      <w:r>
        <w:rPr>
          <w:rFonts w:hint="eastAsia" w:ascii="宋体" w:hAnsi="宋体" w:eastAsia="宋体" w:cs="宋体"/>
          <w:sz w:val="21"/>
          <w:szCs w:val="21"/>
        </w:rPr>
        <w:fldChar w:fldCharType="separate"/>
      </w:r>
      <w:r>
        <w:rPr>
          <w:rFonts w:hint="eastAsia" w:ascii="宋体" w:hAnsi="宋体" w:eastAsia="宋体" w:cs="宋体"/>
          <w:sz w:val="21"/>
          <w:szCs w:val="21"/>
        </w:rPr>
        <w:t>22</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2E587986">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_Toc17929 </w:instrText>
      </w:r>
      <w:r>
        <w:rPr>
          <w:rFonts w:hint="eastAsia" w:ascii="宋体" w:hAnsi="宋体" w:eastAsia="宋体" w:cs="宋体"/>
          <w:sz w:val="21"/>
          <w:szCs w:val="21"/>
        </w:rPr>
        <w:fldChar w:fldCharType="separate"/>
      </w:r>
      <w:r>
        <w:rPr>
          <w:rFonts w:hint="eastAsia" w:ascii="宋体" w:hAnsi="宋体" w:eastAsia="宋体" w:cs="宋体"/>
          <w:sz w:val="21"/>
          <w:szCs w:val="21"/>
        </w:rPr>
        <w:t>10. 采购文件的澄清或修改</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_Toc17929 \h </w:instrText>
      </w:r>
      <w:r>
        <w:rPr>
          <w:rFonts w:hint="eastAsia" w:ascii="宋体" w:hAnsi="宋体" w:eastAsia="宋体" w:cs="宋体"/>
          <w:sz w:val="21"/>
          <w:szCs w:val="21"/>
        </w:rPr>
        <w:fldChar w:fldCharType="separate"/>
      </w:r>
      <w:r>
        <w:rPr>
          <w:rFonts w:hint="eastAsia" w:ascii="宋体" w:hAnsi="宋体" w:eastAsia="宋体" w:cs="宋体"/>
          <w:sz w:val="21"/>
          <w:szCs w:val="21"/>
        </w:rPr>
        <w:t>22</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3E6373FA">
      <w:pPr>
        <w:pStyle w:val="14"/>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_Toc25268 </w:instrText>
      </w:r>
      <w:r>
        <w:rPr>
          <w:rFonts w:hint="eastAsia" w:ascii="宋体" w:hAnsi="宋体" w:eastAsia="宋体" w:cs="宋体"/>
          <w:sz w:val="21"/>
          <w:szCs w:val="21"/>
        </w:rPr>
        <w:fldChar w:fldCharType="separate"/>
      </w:r>
      <w:r>
        <w:rPr>
          <w:rFonts w:hint="eastAsia" w:ascii="宋体" w:hAnsi="宋体" w:eastAsia="宋体" w:cs="宋体"/>
          <w:sz w:val="21"/>
          <w:szCs w:val="21"/>
        </w:rPr>
        <w:t>三、 投标文件的编制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_Toc25268 \h </w:instrText>
      </w:r>
      <w:r>
        <w:rPr>
          <w:rFonts w:hint="eastAsia" w:ascii="宋体" w:hAnsi="宋体" w:eastAsia="宋体" w:cs="宋体"/>
          <w:sz w:val="21"/>
          <w:szCs w:val="21"/>
        </w:rPr>
        <w:fldChar w:fldCharType="separate"/>
      </w:r>
      <w:r>
        <w:rPr>
          <w:rFonts w:hint="eastAsia" w:ascii="宋体" w:hAnsi="宋体" w:eastAsia="宋体" w:cs="宋体"/>
          <w:sz w:val="21"/>
          <w:szCs w:val="21"/>
        </w:rPr>
        <w:t>23</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4FEC3317">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_Toc14845 </w:instrText>
      </w:r>
      <w:r>
        <w:rPr>
          <w:rFonts w:hint="eastAsia" w:ascii="宋体" w:hAnsi="宋体" w:eastAsia="宋体" w:cs="宋体"/>
          <w:sz w:val="21"/>
          <w:szCs w:val="21"/>
        </w:rPr>
        <w:fldChar w:fldCharType="separate"/>
      </w:r>
      <w:r>
        <w:rPr>
          <w:rFonts w:hint="eastAsia" w:ascii="宋体" w:hAnsi="宋体" w:eastAsia="宋体" w:cs="宋体"/>
          <w:sz w:val="21"/>
          <w:szCs w:val="21"/>
        </w:rPr>
        <w:t>11. 投标文件的语言及度量衡单位</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_Toc14845 \h </w:instrText>
      </w:r>
      <w:r>
        <w:rPr>
          <w:rFonts w:hint="eastAsia" w:ascii="宋体" w:hAnsi="宋体" w:eastAsia="宋体" w:cs="宋体"/>
          <w:sz w:val="21"/>
          <w:szCs w:val="21"/>
        </w:rPr>
        <w:fldChar w:fldCharType="separate"/>
      </w:r>
      <w:r>
        <w:rPr>
          <w:rFonts w:hint="eastAsia" w:ascii="宋体" w:hAnsi="宋体" w:eastAsia="宋体" w:cs="宋体"/>
          <w:sz w:val="21"/>
          <w:szCs w:val="21"/>
        </w:rPr>
        <w:t>23</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563589C4">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_Toc4208 </w:instrText>
      </w:r>
      <w:r>
        <w:rPr>
          <w:rFonts w:hint="eastAsia" w:ascii="宋体" w:hAnsi="宋体" w:eastAsia="宋体" w:cs="宋体"/>
          <w:sz w:val="21"/>
          <w:szCs w:val="21"/>
        </w:rPr>
        <w:fldChar w:fldCharType="separate"/>
      </w:r>
      <w:r>
        <w:rPr>
          <w:rFonts w:hint="eastAsia" w:ascii="宋体" w:hAnsi="宋体" w:eastAsia="宋体" w:cs="宋体"/>
          <w:sz w:val="21"/>
          <w:szCs w:val="21"/>
        </w:rPr>
        <w:t>12. 投标文件的组成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_Toc4208 \h </w:instrText>
      </w:r>
      <w:r>
        <w:rPr>
          <w:rFonts w:hint="eastAsia" w:ascii="宋体" w:hAnsi="宋体" w:eastAsia="宋体" w:cs="宋体"/>
          <w:sz w:val="21"/>
          <w:szCs w:val="21"/>
        </w:rPr>
        <w:fldChar w:fldCharType="separate"/>
      </w:r>
      <w:r>
        <w:rPr>
          <w:rFonts w:hint="eastAsia" w:ascii="宋体" w:hAnsi="宋体" w:eastAsia="宋体" w:cs="宋体"/>
          <w:sz w:val="21"/>
          <w:szCs w:val="21"/>
        </w:rPr>
        <w:t>23</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0E9053A2">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_Toc2974 </w:instrText>
      </w:r>
      <w:r>
        <w:rPr>
          <w:rFonts w:hint="eastAsia" w:ascii="宋体" w:hAnsi="宋体" w:eastAsia="宋体" w:cs="宋体"/>
          <w:sz w:val="21"/>
          <w:szCs w:val="21"/>
        </w:rPr>
        <w:fldChar w:fldCharType="separate"/>
      </w:r>
      <w:r>
        <w:rPr>
          <w:rFonts w:hint="eastAsia" w:ascii="宋体" w:hAnsi="宋体" w:eastAsia="宋体" w:cs="宋体"/>
          <w:sz w:val="21"/>
          <w:szCs w:val="21"/>
        </w:rPr>
        <w:t>13. 投标文件编制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_Toc2974 \h </w:instrText>
      </w:r>
      <w:r>
        <w:rPr>
          <w:rFonts w:hint="eastAsia" w:ascii="宋体" w:hAnsi="宋体" w:eastAsia="宋体" w:cs="宋体"/>
          <w:sz w:val="21"/>
          <w:szCs w:val="21"/>
        </w:rPr>
        <w:fldChar w:fldCharType="separate"/>
      </w:r>
      <w:r>
        <w:rPr>
          <w:rFonts w:hint="eastAsia" w:ascii="宋体" w:hAnsi="宋体" w:eastAsia="宋体" w:cs="宋体"/>
          <w:sz w:val="21"/>
          <w:szCs w:val="21"/>
        </w:rPr>
        <w:t>23</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7179CADD">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_Toc9268 </w:instrText>
      </w:r>
      <w:r>
        <w:rPr>
          <w:rFonts w:hint="eastAsia" w:ascii="宋体" w:hAnsi="宋体" w:eastAsia="宋体" w:cs="宋体"/>
          <w:sz w:val="21"/>
          <w:szCs w:val="21"/>
        </w:rPr>
        <w:fldChar w:fldCharType="separate"/>
      </w:r>
      <w:r>
        <w:rPr>
          <w:rFonts w:hint="eastAsia" w:ascii="宋体" w:hAnsi="宋体" w:eastAsia="宋体" w:cs="宋体"/>
          <w:sz w:val="21"/>
          <w:szCs w:val="21"/>
        </w:rPr>
        <w:t>14. 投标报价说明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_Toc9268 \h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41FD2A53">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_Toc27397 </w:instrText>
      </w:r>
      <w:r>
        <w:rPr>
          <w:rFonts w:hint="eastAsia" w:ascii="宋体" w:hAnsi="宋体" w:eastAsia="宋体" w:cs="宋体"/>
          <w:sz w:val="21"/>
          <w:szCs w:val="21"/>
        </w:rPr>
        <w:fldChar w:fldCharType="separate"/>
      </w:r>
      <w:r>
        <w:rPr>
          <w:rFonts w:hint="eastAsia" w:ascii="宋体" w:hAnsi="宋体" w:eastAsia="宋体" w:cs="宋体"/>
          <w:sz w:val="21"/>
          <w:szCs w:val="21"/>
        </w:rPr>
        <w:t>15. 投标人所提供的服务或货物的证明文件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_Toc27397 \h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579F2DC9">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_Toc6153 </w:instrText>
      </w:r>
      <w:r>
        <w:rPr>
          <w:rFonts w:hint="eastAsia" w:ascii="宋体" w:hAnsi="宋体" w:eastAsia="宋体" w:cs="宋体"/>
          <w:sz w:val="21"/>
          <w:szCs w:val="21"/>
        </w:rPr>
        <w:fldChar w:fldCharType="separate"/>
      </w:r>
      <w:r>
        <w:rPr>
          <w:rFonts w:hint="eastAsia" w:ascii="宋体" w:hAnsi="宋体" w:eastAsia="宋体" w:cs="宋体"/>
          <w:sz w:val="21"/>
          <w:szCs w:val="21"/>
        </w:rPr>
        <w:t>16. 投标有效期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_Toc6153 \h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0FDF38F1">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_Toc13063 </w:instrText>
      </w:r>
      <w:r>
        <w:rPr>
          <w:rFonts w:hint="eastAsia" w:ascii="宋体" w:hAnsi="宋体" w:eastAsia="宋体" w:cs="宋体"/>
          <w:sz w:val="21"/>
          <w:szCs w:val="21"/>
        </w:rPr>
        <w:fldChar w:fldCharType="separate"/>
      </w:r>
      <w:r>
        <w:rPr>
          <w:rFonts w:hint="eastAsia" w:ascii="宋体" w:hAnsi="宋体" w:eastAsia="宋体" w:cs="宋体"/>
          <w:sz w:val="21"/>
          <w:szCs w:val="21"/>
        </w:rPr>
        <w:t>17. 投标保证金</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_Toc13063 \h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49ABEA84">
      <w:pPr>
        <w:pStyle w:val="14"/>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_Toc18586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四、 </w:t>
      </w:r>
      <w:r>
        <w:rPr>
          <w:rFonts w:hint="eastAsia" w:ascii="宋体" w:hAnsi="宋体" w:eastAsia="宋体" w:cs="宋体"/>
          <w:sz w:val="21"/>
          <w:szCs w:val="21"/>
          <w:highlight w:val="none"/>
        </w:rPr>
        <w:t>投标文件的递交</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_Toc18586 \h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5ABDB759">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_Toc11817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18. </w:t>
      </w:r>
      <w:r>
        <w:rPr>
          <w:rFonts w:hint="eastAsia" w:ascii="宋体" w:hAnsi="宋体" w:eastAsia="宋体" w:cs="宋体"/>
          <w:sz w:val="21"/>
          <w:szCs w:val="21"/>
          <w:highlight w:val="none"/>
        </w:rPr>
        <w:t>投标文件的装订，签署，密封和标记</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_Toc11817 \h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30073F44">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_Toc15574 </w:instrText>
      </w:r>
      <w:r>
        <w:rPr>
          <w:rFonts w:hint="eastAsia" w:ascii="宋体" w:hAnsi="宋体" w:eastAsia="宋体" w:cs="宋体"/>
          <w:sz w:val="21"/>
          <w:szCs w:val="21"/>
        </w:rPr>
        <w:fldChar w:fldCharType="separate"/>
      </w:r>
      <w:r>
        <w:rPr>
          <w:rFonts w:hint="eastAsia" w:ascii="宋体" w:hAnsi="宋体" w:eastAsia="宋体" w:cs="宋体"/>
          <w:sz w:val="21"/>
          <w:szCs w:val="21"/>
        </w:rPr>
        <w:t>19. 迟交的投标文件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_Toc15574 \h </w:instrText>
      </w:r>
      <w:r>
        <w:rPr>
          <w:rFonts w:hint="eastAsia" w:ascii="宋体" w:hAnsi="宋体" w:eastAsia="宋体" w:cs="宋体"/>
          <w:sz w:val="21"/>
          <w:szCs w:val="21"/>
        </w:rPr>
        <w:fldChar w:fldCharType="separate"/>
      </w:r>
      <w:r>
        <w:rPr>
          <w:rFonts w:hint="eastAsia" w:ascii="宋体" w:hAnsi="宋体" w:eastAsia="宋体" w:cs="宋体"/>
          <w:sz w:val="21"/>
          <w:szCs w:val="21"/>
        </w:rPr>
        <w:t>27</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27262DCE">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_Toc31789 </w:instrText>
      </w:r>
      <w:r>
        <w:rPr>
          <w:rFonts w:hint="eastAsia" w:ascii="宋体" w:hAnsi="宋体" w:eastAsia="宋体" w:cs="宋体"/>
          <w:sz w:val="21"/>
          <w:szCs w:val="21"/>
        </w:rPr>
        <w:fldChar w:fldCharType="separate"/>
      </w:r>
      <w:r>
        <w:rPr>
          <w:rFonts w:hint="eastAsia" w:ascii="宋体" w:hAnsi="宋体" w:eastAsia="宋体" w:cs="宋体"/>
          <w:sz w:val="21"/>
          <w:szCs w:val="21"/>
        </w:rPr>
        <w:t>20. 投标样品（如需提交）</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_Toc31789 \h </w:instrText>
      </w:r>
      <w:r>
        <w:rPr>
          <w:rFonts w:hint="eastAsia" w:ascii="宋体" w:hAnsi="宋体" w:eastAsia="宋体" w:cs="宋体"/>
          <w:sz w:val="21"/>
          <w:szCs w:val="21"/>
        </w:rPr>
        <w:fldChar w:fldCharType="separate"/>
      </w:r>
      <w:r>
        <w:rPr>
          <w:rFonts w:hint="eastAsia" w:ascii="宋体" w:hAnsi="宋体" w:eastAsia="宋体" w:cs="宋体"/>
          <w:sz w:val="21"/>
          <w:szCs w:val="21"/>
        </w:rPr>
        <w:t>27</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55CF8FAA">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_Toc16322 </w:instrText>
      </w:r>
      <w:r>
        <w:rPr>
          <w:rFonts w:hint="eastAsia" w:ascii="宋体" w:hAnsi="宋体" w:eastAsia="宋体" w:cs="宋体"/>
          <w:sz w:val="21"/>
          <w:szCs w:val="21"/>
        </w:rPr>
        <w:fldChar w:fldCharType="separate"/>
      </w:r>
      <w:r>
        <w:rPr>
          <w:rFonts w:hint="eastAsia" w:ascii="宋体" w:hAnsi="宋体" w:eastAsia="宋体" w:cs="宋体"/>
          <w:sz w:val="21"/>
          <w:szCs w:val="21"/>
        </w:rPr>
        <w:t>21. 投标截止期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_Toc16322 \h </w:instrText>
      </w:r>
      <w:r>
        <w:rPr>
          <w:rFonts w:hint="eastAsia" w:ascii="宋体" w:hAnsi="宋体" w:eastAsia="宋体" w:cs="宋体"/>
          <w:sz w:val="21"/>
          <w:szCs w:val="21"/>
        </w:rPr>
        <w:fldChar w:fldCharType="separate"/>
      </w:r>
      <w:r>
        <w:rPr>
          <w:rFonts w:hint="eastAsia" w:ascii="宋体" w:hAnsi="宋体" w:eastAsia="宋体" w:cs="宋体"/>
          <w:sz w:val="21"/>
          <w:szCs w:val="21"/>
        </w:rPr>
        <w:t>27</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67909FFA">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_Toc1461 </w:instrText>
      </w:r>
      <w:r>
        <w:rPr>
          <w:rFonts w:hint="eastAsia" w:ascii="宋体" w:hAnsi="宋体" w:eastAsia="宋体" w:cs="宋体"/>
          <w:sz w:val="21"/>
          <w:szCs w:val="21"/>
        </w:rPr>
        <w:fldChar w:fldCharType="separate"/>
      </w:r>
      <w:r>
        <w:rPr>
          <w:rFonts w:hint="eastAsia" w:ascii="宋体" w:hAnsi="宋体" w:eastAsia="宋体" w:cs="宋体"/>
          <w:sz w:val="21"/>
          <w:szCs w:val="21"/>
        </w:rPr>
        <w:t>22. 投标文件的补充、修改与撤回</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_Toc1461 \h </w:instrText>
      </w:r>
      <w:r>
        <w:rPr>
          <w:rFonts w:hint="eastAsia" w:ascii="宋体" w:hAnsi="宋体" w:eastAsia="宋体" w:cs="宋体"/>
          <w:sz w:val="21"/>
          <w:szCs w:val="21"/>
        </w:rPr>
        <w:fldChar w:fldCharType="separate"/>
      </w:r>
      <w:r>
        <w:rPr>
          <w:rFonts w:hint="eastAsia" w:ascii="宋体" w:hAnsi="宋体" w:eastAsia="宋体" w:cs="宋体"/>
          <w:sz w:val="21"/>
          <w:szCs w:val="21"/>
        </w:rPr>
        <w:t>27</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2EF0E3F6">
      <w:pPr>
        <w:pStyle w:val="14"/>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_Toc3655 </w:instrText>
      </w:r>
      <w:r>
        <w:rPr>
          <w:rFonts w:hint="eastAsia" w:ascii="宋体" w:hAnsi="宋体" w:eastAsia="宋体" w:cs="宋体"/>
          <w:sz w:val="21"/>
          <w:szCs w:val="21"/>
        </w:rPr>
        <w:fldChar w:fldCharType="separate"/>
      </w:r>
      <w:r>
        <w:rPr>
          <w:rFonts w:hint="eastAsia" w:ascii="宋体" w:hAnsi="宋体" w:eastAsia="宋体" w:cs="宋体"/>
          <w:sz w:val="21"/>
          <w:szCs w:val="21"/>
        </w:rPr>
        <w:t>五、 开标与评标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_Toc3655 \h </w:instrText>
      </w:r>
      <w:r>
        <w:rPr>
          <w:rFonts w:hint="eastAsia" w:ascii="宋体" w:hAnsi="宋体" w:eastAsia="宋体" w:cs="宋体"/>
          <w:sz w:val="21"/>
          <w:szCs w:val="21"/>
        </w:rPr>
        <w:fldChar w:fldCharType="separate"/>
      </w:r>
      <w:r>
        <w:rPr>
          <w:rFonts w:hint="eastAsia" w:ascii="宋体" w:hAnsi="宋体" w:eastAsia="宋体" w:cs="宋体"/>
          <w:sz w:val="21"/>
          <w:szCs w:val="21"/>
        </w:rPr>
        <w:t>28</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0AF68AFD">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_Toc8336 </w:instrText>
      </w:r>
      <w:r>
        <w:rPr>
          <w:rFonts w:hint="eastAsia" w:ascii="宋体" w:hAnsi="宋体" w:eastAsia="宋体" w:cs="宋体"/>
          <w:sz w:val="21"/>
          <w:szCs w:val="21"/>
        </w:rPr>
        <w:fldChar w:fldCharType="separate"/>
      </w:r>
      <w:r>
        <w:rPr>
          <w:rFonts w:hint="eastAsia" w:ascii="宋体" w:hAnsi="宋体" w:eastAsia="宋体" w:cs="宋体"/>
          <w:sz w:val="21"/>
          <w:szCs w:val="21"/>
        </w:rPr>
        <w:t>23. 开标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_Toc8336 \h </w:instrText>
      </w:r>
      <w:r>
        <w:rPr>
          <w:rFonts w:hint="eastAsia" w:ascii="宋体" w:hAnsi="宋体" w:eastAsia="宋体" w:cs="宋体"/>
          <w:sz w:val="21"/>
          <w:szCs w:val="21"/>
        </w:rPr>
        <w:fldChar w:fldCharType="separate"/>
      </w:r>
      <w:r>
        <w:rPr>
          <w:rFonts w:hint="eastAsia" w:ascii="宋体" w:hAnsi="宋体" w:eastAsia="宋体" w:cs="宋体"/>
          <w:sz w:val="21"/>
          <w:szCs w:val="21"/>
        </w:rPr>
        <w:t>28</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0C755BCF">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_Toc26024 </w:instrText>
      </w:r>
      <w:r>
        <w:rPr>
          <w:rFonts w:hint="eastAsia" w:ascii="宋体" w:hAnsi="宋体" w:eastAsia="宋体" w:cs="宋体"/>
          <w:sz w:val="21"/>
          <w:szCs w:val="21"/>
        </w:rPr>
        <w:fldChar w:fldCharType="separate"/>
      </w:r>
      <w:r>
        <w:rPr>
          <w:rFonts w:hint="eastAsia" w:ascii="宋体" w:hAnsi="宋体" w:eastAsia="宋体" w:cs="宋体"/>
          <w:sz w:val="21"/>
          <w:szCs w:val="21"/>
        </w:rPr>
        <w:t>24. 评标委员会及评标方法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_Toc26024 \h </w:instrText>
      </w:r>
      <w:r>
        <w:rPr>
          <w:rFonts w:hint="eastAsia" w:ascii="宋体" w:hAnsi="宋体" w:eastAsia="宋体" w:cs="宋体"/>
          <w:sz w:val="21"/>
          <w:szCs w:val="21"/>
        </w:rPr>
        <w:fldChar w:fldCharType="separate"/>
      </w:r>
      <w:r>
        <w:rPr>
          <w:rFonts w:hint="eastAsia" w:ascii="宋体" w:hAnsi="宋体" w:eastAsia="宋体" w:cs="宋体"/>
          <w:sz w:val="21"/>
          <w:szCs w:val="21"/>
        </w:rPr>
        <w:t>28</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0F089969">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_Toc25274 </w:instrText>
      </w:r>
      <w:r>
        <w:rPr>
          <w:rFonts w:hint="eastAsia" w:ascii="宋体" w:hAnsi="宋体" w:eastAsia="宋体" w:cs="宋体"/>
          <w:sz w:val="21"/>
          <w:szCs w:val="21"/>
        </w:rPr>
        <w:fldChar w:fldCharType="separate"/>
      </w:r>
      <w:r>
        <w:rPr>
          <w:rFonts w:hint="eastAsia" w:ascii="宋体" w:hAnsi="宋体" w:eastAsia="宋体" w:cs="宋体"/>
          <w:sz w:val="21"/>
          <w:szCs w:val="21"/>
        </w:rPr>
        <w:t>25. 评审原则及评标过程的保密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_Toc25274 \h </w:instrText>
      </w:r>
      <w:r>
        <w:rPr>
          <w:rFonts w:hint="eastAsia" w:ascii="宋体" w:hAnsi="宋体" w:eastAsia="宋体" w:cs="宋体"/>
          <w:sz w:val="21"/>
          <w:szCs w:val="21"/>
        </w:rPr>
        <w:fldChar w:fldCharType="separate"/>
      </w:r>
      <w:r>
        <w:rPr>
          <w:rFonts w:hint="eastAsia" w:ascii="宋体" w:hAnsi="宋体" w:eastAsia="宋体" w:cs="宋体"/>
          <w:sz w:val="21"/>
          <w:szCs w:val="21"/>
        </w:rPr>
        <w:t>29</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0C4495A0">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_Toc1512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26. </w:t>
      </w:r>
      <w:r>
        <w:rPr>
          <w:rFonts w:hint="eastAsia" w:ascii="宋体" w:hAnsi="宋体" w:eastAsia="宋体" w:cs="宋体"/>
          <w:sz w:val="21"/>
          <w:szCs w:val="21"/>
          <w:highlight w:val="none"/>
        </w:rPr>
        <w:t>评标程序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_Toc1512 \h </w:instrText>
      </w:r>
      <w:r>
        <w:rPr>
          <w:rFonts w:hint="eastAsia" w:ascii="宋体" w:hAnsi="宋体" w:eastAsia="宋体" w:cs="宋体"/>
          <w:sz w:val="21"/>
          <w:szCs w:val="21"/>
        </w:rPr>
        <w:fldChar w:fldCharType="separate"/>
      </w:r>
      <w:r>
        <w:rPr>
          <w:rFonts w:hint="eastAsia" w:ascii="宋体" w:hAnsi="宋体" w:eastAsia="宋体" w:cs="宋体"/>
          <w:sz w:val="21"/>
          <w:szCs w:val="21"/>
        </w:rPr>
        <w:t>29</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27CE202C">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_Toc3807 </w:instrText>
      </w:r>
      <w:r>
        <w:rPr>
          <w:rFonts w:hint="eastAsia" w:ascii="宋体" w:hAnsi="宋体" w:eastAsia="宋体" w:cs="宋体"/>
          <w:sz w:val="21"/>
          <w:szCs w:val="21"/>
        </w:rPr>
        <w:fldChar w:fldCharType="separate"/>
      </w:r>
      <w:r>
        <w:rPr>
          <w:rFonts w:hint="eastAsia" w:ascii="宋体" w:hAnsi="宋体" w:eastAsia="宋体" w:cs="宋体"/>
          <w:sz w:val="21"/>
          <w:szCs w:val="21"/>
        </w:rPr>
        <w:t>27. 商务、技术评审（具体评审项目详见投标资料表）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_Toc3807 \h </w:instrText>
      </w:r>
      <w:r>
        <w:rPr>
          <w:rFonts w:hint="eastAsia" w:ascii="宋体" w:hAnsi="宋体" w:eastAsia="宋体" w:cs="宋体"/>
          <w:sz w:val="21"/>
          <w:szCs w:val="21"/>
        </w:rPr>
        <w:fldChar w:fldCharType="separate"/>
      </w:r>
      <w:r>
        <w:rPr>
          <w:rFonts w:hint="eastAsia" w:ascii="宋体" w:hAnsi="宋体" w:eastAsia="宋体" w:cs="宋体"/>
          <w:sz w:val="21"/>
          <w:szCs w:val="21"/>
        </w:rPr>
        <w:t>31</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461630B4">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_Toc5988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28. </w:t>
      </w:r>
      <w:r>
        <w:rPr>
          <w:rFonts w:hint="eastAsia" w:ascii="宋体" w:hAnsi="宋体" w:eastAsia="宋体" w:cs="宋体"/>
          <w:sz w:val="21"/>
          <w:szCs w:val="21"/>
          <w:highlight w:val="none"/>
        </w:rPr>
        <w:t>纪律和保密事项</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_Toc5988 \h </w:instrText>
      </w:r>
      <w:r>
        <w:rPr>
          <w:rFonts w:hint="eastAsia" w:ascii="宋体" w:hAnsi="宋体" w:eastAsia="宋体" w:cs="宋体"/>
          <w:sz w:val="21"/>
          <w:szCs w:val="21"/>
        </w:rPr>
        <w:fldChar w:fldCharType="separate"/>
      </w:r>
      <w:r>
        <w:rPr>
          <w:rFonts w:hint="eastAsia" w:ascii="宋体" w:hAnsi="宋体" w:eastAsia="宋体" w:cs="宋体"/>
          <w:sz w:val="21"/>
          <w:szCs w:val="21"/>
        </w:rPr>
        <w:t>31</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33EF39F7">
      <w:pPr>
        <w:pStyle w:val="14"/>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_Toc25286 </w:instrText>
      </w:r>
      <w:r>
        <w:rPr>
          <w:rFonts w:hint="eastAsia" w:ascii="宋体" w:hAnsi="宋体" w:eastAsia="宋体" w:cs="宋体"/>
          <w:sz w:val="21"/>
          <w:szCs w:val="21"/>
        </w:rPr>
        <w:fldChar w:fldCharType="separate"/>
      </w:r>
      <w:r>
        <w:rPr>
          <w:rFonts w:hint="eastAsia" w:ascii="宋体" w:hAnsi="宋体" w:eastAsia="宋体" w:cs="宋体"/>
          <w:sz w:val="21"/>
          <w:szCs w:val="21"/>
        </w:rPr>
        <w:t>六、 授予合同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_Toc25286 \h </w:instrText>
      </w:r>
      <w:r>
        <w:rPr>
          <w:rFonts w:hint="eastAsia" w:ascii="宋体" w:hAnsi="宋体" w:eastAsia="宋体" w:cs="宋体"/>
          <w:sz w:val="21"/>
          <w:szCs w:val="21"/>
        </w:rPr>
        <w:fldChar w:fldCharType="separate"/>
      </w:r>
      <w:r>
        <w:rPr>
          <w:rFonts w:hint="eastAsia" w:ascii="宋体" w:hAnsi="宋体" w:eastAsia="宋体" w:cs="宋体"/>
          <w:sz w:val="21"/>
          <w:szCs w:val="21"/>
        </w:rPr>
        <w:t>32</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617B5A90">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_Toc9276 </w:instrText>
      </w:r>
      <w:r>
        <w:rPr>
          <w:rFonts w:hint="eastAsia" w:ascii="宋体" w:hAnsi="宋体" w:eastAsia="宋体" w:cs="宋体"/>
          <w:sz w:val="21"/>
          <w:szCs w:val="21"/>
        </w:rPr>
        <w:fldChar w:fldCharType="separate"/>
      </w:r>
      <w:r>
        <w:rPr>
          <w:rFonts w:hint="eastAsia" w:ascii="宋体" w:hAnsi="宋体" w:eastAsia="宋体" w:cs="宋体"/>
          <w:sz w:val="21"/>
          <w:szCs w:val="21"/>
        </w:rPr>
        <w:t>29. 合同授予标准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_Toc9276 \h </w:instrText>
      </w:r>
      <w:r>
        <w:rPr>
          <w:rFonts w:hint="eastAsia" w:ascii="宋体" w:hAnsi="宋体" w:eastAsia="宋体" w:cs="宋体"/>
          <w:sz w:val="21"/>
          <w:szCs w:val="21"/>
        </w:rPr>
        <w:fldChar w:fldCharType="separate"/>
      </w:r>
      <w:r>
        <w:rPr>
          <w:rFonts w:hint="eastAsia" w:ascii="宋体" w:hAnsi="宋体" w:eastAsia="宋体" w:cs="宋体"/>
          <w:sz w:val="21"/>
          <w:szCs w:val="21"/>
        </w:rPr>
        <w:t>32</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04BB0436">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_Toc15802 </w:instrText>
      </w:r>
      <w:r>
        <w:rPr>
          <w:rFonts w:hint="eastAsia" w:ascii="宋体" w:hAnsi="宋体" w:eastAsia="宋体" w:cs="宋体"/>
          <w:sz w:val="21"/>
          <w:szCs w:val="21"/>
        </w:rPr>
        <w:fldChar w:fldCharType="separate"/>
      </w:r>
      <w:r>
        <w:rPr>
          <w:rFonts w:hint="eastAsia" w:ascii="宋体" w:hAnsi="宋体" w:eastAsia="宋体" w:cs="宋体"/>
          <w:sz w:val="21"/>
          <w:szCs w:val="21"/>
        </w:rPr>
        <w:t>30. 发布中标结果</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_Toc15802 \h </w:instrText>
      </w:r>
      <w:r>
        <w:rPr>
          <w:rFonts w:hint="eastAsia" w:ascii="宋体" w:hAnsi="宋体" w:eastAsia="宋体" w:cs="宋体"/>
          <w:sz w:val="21"/>
          <w:szCs w:val="21"/>
        </w:rPr>
        <w:fldChar w:fldCharType="separate"/>
      </w:r>
      <w:r>
        <w:rPr>
          <w:rFonts w:hint="eastAsia" w:ascii="宋体" w:hAnsi="宋体" w:eastAsia="宋体" w:cs="宋体"/>
          <w:sz w:val="21"/>
          <w:szCs w:val="21"/>
        </w:rPr>
        <w:t>32</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4B1BDAAD">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_Toc15757 </w:instrText>
      </w:r>
      <w:r>
        <w:rPr>
          <w:rFonts w:hint="eastAsia" w:ascii="宋体" w:hAnsi="宋体" w:eastAsia="宋体" w:cs="宋体"/>
          <w:sz w:val="21"/>
          <w:szCs w:val="21"/>
        </w:rPr>
        <w:fldChar w:fldCharType="separate"/>
      </w:r>
      <w:r>
        <w:rPr>
          <w:rFonts w:hint="eastAsia" w:ascii="宋体" w:hAnsi="宋体" w:eastAsia="宋体" w:cs="宋体"/>
          <w:sz w:val="21"/>
          <w:szCs w:val="21"/>
        </w:rPr>
        <w:t>31. 资格后审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_Toc15757 \h </w:instrText>
      </w:r>
      <w:r>
        <w:rPr>
          <w:rFonts w:hint="eastAsia" w:ascii="宋体" w:hAnsi="宋体" w:eastAsia="宋体" w:cs="宋体"/>
          <w:sz w:val="21"/>
          <w:szCs w:val="21"/>
        </w:rPr>
        <w:fldChar w:fldCharType="separate"/>
      </w:r>
      <w:r>
        <w:rPr>
          <w:rFonts w:hint="eastAsia" w:ascii="宋体" w:hAnsi="宋体" w:eastAsia="宋体" w:cs="宋体"/>
          <w:sz w:val="21"/>
          <w:szCs w:val="21"/>
        </w:rPr>
        <w:t>32</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77922E70">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_Toc26459 </w:instrText>
      </w:r>
      <w:r>
        <w:rPr>
          <w:rFonts w:hint="eastAsia" w:ascii="宋体" w:hAnsi="宋体" w:eastAsia="宋体" w:cs="宋体"/>
          <w:sz w:val="21"/>
          <w:szCs w:val="21"/>
        </w:rPr>
        <w:fldChar w:fldCharType="separate"/>
      </w:r>
      <w:r>
        <w:rPr>
          <w:rFonts w:hint="eastAsia" w:ascii="宋体" w:hAnsi="宋体" w:eastAsia="宋体" w:cs="宋体"/>
          <w:sz w:val="21"/>
          <w:szCs w:val="21"/>
        </w:rPr>
        <w:t>32. 合同的签订与履行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_Toc26459 \h </w:instrText>
      </w:r>
      <w:r>
        <w:rPr>
          <w:rFonts w:hint="eastAsia" w:ascii="宋体" w:hAnsi="宋体" w:eastAsia="宋体" w:cs="宋体"/>
          <w:sz w:val="21"/>
          <w:szCs w:val="21"/>
        </w:rPr>
        <w:fldChar w:fldCharType="separate"/>
      </w:r>
      <w:r>
        <w:rPr>
          <w:rFonts w:hint="eastAsia" w:ascii="宋体" w:hAnsi="宋体" w:eastAsia="宋体" w:cs="宋体"/>
          <w:sz w:val="21"/>
          <w:szCs w:val="21"/>
        </w:rPr>
        <w:t>33</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215197D1">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_Toc910 </w:instrText>
      </w:r>
      <w:r>
        <w:rPr>
          <w:rFonts w:hint="eastAsia" w:ascii="宋体" w:hAnsi="宋体" w:eastAsia="宋体" w:cs="宋体"/>
          <w:sz w:val="21"/>
          <w:szCs w:val="21"/>
        </w:rPr>
        <w:fldChar w:fldCharType="separate"/>
      </w:r>
      <w:r>
        <w:rPr>
          <w:rFonts w:hint="eastAsia" w:ascii="宋体" w:hAnsi="宋体" w:eastAsia="宋体" w:cs="宋体"/>
          <w:sz w:val="21"/>
          <w:szCs w:val="21"/>
        </w:rPr>
        <w:t>33. 履约担保</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本项目投标保证金在合同签订后自动转为履约保证金</w:t>
      </w:r>
      <w:r>
        <w:rPr>
          <w:rFonts w:hint="eastAsia" w:ascii="宋体" w:hAnsi="宋体" w:eastAsia="宋体" w:cs="宋体"/>
          <w:sz w:val="21"/>
          <w:szCs w:val="21"/>
          <w:lang w:eastAsia="zh-CN"/>
        </w:rPr>
        <w:t>）</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_Toc910 \h </w:instrText>
      </w:r>
      <w:r>
        <w:rPr>
          <w:rFonts w:hint="eastAsia" w:ascii="宋体" w:hAnsi="宋体" w:eastAsia="宋体" w:cs="宋体"/>
          <w:sz w:val="21"/>
          <w:szCs w:val="21"/>
        </w:rPr>
        <w:fldChar w:fldCharType="separate"/>
      </w:r>
      <w:r>
        <w:rPr>
          <w:rFonts w:hint="eastAsia" w:ascii="宋体" w:hAnsi="宋体" w:eastAsia="宋体" w:cs="宋体"/>
          <w:sz w:val="21"/>
          <w:szCs w:val="21"/>
        </w:rPr>
        <w:t>33</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7E0487BE">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_Toc25039 </w:instrText>
      </w:r>
      <w:r>
        <w:rPr>
          <w:rFonts w:hint="eastAsia" w:ascii="宋体" w:hAnsi="宋体" w:eastAsia="宋体" w:cs="宋体"/>
          <w:sz w:val="21"/>
          <w:szCs w:val="21"/>
        </w:rPr>
        <w:fldChar w:fldCharType="separate"/>
      </w:r>
      <w:r>
        <w:rPr>
          <w:rFonts w:hint="eastAsia" w:ascii="宋体" w:hAnsi="宋体" w:eastAsia="宋体" w:cs="宋体"/>
          <w:sz w:val="21"/>
          <w:szCs w:val="21"/>
        </w:rPr>
        <w:t>34. 预付款保函（适用于预付款支付）</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_Toc25039 \h </w:instrText>
      </w:r>
      <w:r>
        <w:rPr>
          <w:rFonts w:hint="eastAsia" w:ascii="宋体" w:hAnsi="宋体" w:eastAsia="宋体" w:cs="宋体"/>
          <w:sz w:val="21"/>
          <w:szCs w:val="21"/>
        </w:rPr>
        <w:fldChar w:fldCharType="separate"/>
      </w:r>
      <w:r>
        <w:rPr>
          <w:rFonts w:hint="eastAsia" w:ascii="宋体" w:hAnsi="宋体" w:eastAsia="宋体" w:cs="宋体"/>
          <w:sz w:val="21"/>
          <w:szCs w:val="21"/>
        </w:rPr>
        <w:t>33</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38C1A107">
      <w:pPr>
        <w:pStyle w:val="14"/>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_Toc28523 </w:instrText>
      </w:r>
      <w:r>
        <w:rPr>
          <w:rFonts w:hint="eastAsia" w:ascii="宋体" w:hAnsi="宋体" w:eastAsia="宋体" w:cs="宋体"/>
          <w:sz w:val="21"/>
          <w:szCs w:val="21"/>
        </w:rPr>
        <w:fldChar w:fldCharType="separate"/>
      </w:r>
      <w:r>
        <w:rPr>
          <w:rFonts w:hint="eastAsia" w:ascii="宋体" w:hAnsi="宋体" w:eastAsia="宋体" w:cs="宋体"/>
          <w:sz w:val="21"/>
          <w:szCs w:val="21"/>
        </w:rPr>
        <w:t>七、 异议</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_Toc28523 \h </w:instrText>
      </w:r>
      <w:r>
        <w:rPr>
          <w:rFonts w:hint="eastAsia" w:ascii="宋体" w:hAnsi="宋体" w:eastAsia="宋体" w:cs="宋体"/>
          <w:sz w:val="21"/>
          <w:szCs w:val="21"/>
        </w:rPr>
        <w:fldChar w:fldCharType="separate"/>
      </w:r>
      <w:r>
        <w:rPr>
          <w:rFonts w:hint="eastAsia" w:ascii="宋体" w:hAnsi="宋体" w:eastAsia="宋体" w:cs="宋体"/>
          <w:sz w:val="21"/>
          <w:szCs w:val="21"/>
        </w:rPr>
        <w:t>34</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55E1EE2C">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_Toc19118 </w:instrText>
      </w:r>
      <w:r>
        <w:rPr>
          <w:rFonts w:hint="eastAsia" w:ascii="宋体" w:hAnsi="宋体" w:eastAsia="宋体" w:cs="宋体"/>
          <w:sz w:val="21"/>
          <w:szCs w:val="21"/>
        </w:rPr>
        <w:fldChar w:fldCharType="separate"/>
      </w:r>
      <w:r>
        <w:rPr>
          <w:rFonts w:hint="eastAsia" w:ascii="宋体" w:hAnsi="宋体" w:eastAsia="宋体" w:cs="宋体"/>
          <w:sz w:val="21"/>
          <w:szCs w:val="21"/>
        </w:rPr>
        <w:t>35. 异议</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_Toc19118 \h </w:instrText>
      </w:r>
      <w:r>
        <w:rPr>
          <w:rFonts w:hint="eastAsia" w:ascii="宋体" w:hAnsi="宋体" w:eastAsia="宋体" w:cs="宋体"/>
          <w:sz w:val="21"/>
          <w:szCs w:val="21"/>
        </w:rPr>
        <w:fldChar w:fldCharType="separate"/>
      </w:r>
      <w:r>
        <w:rPr>
          <w:rFonts w:hint="eastAsia" w:ascii="宋体" w:hAnsi="宋体" w:eastAsia="宋体" w:cs="宋体"/>
          <w:sz w:val="21"/>
          <w:szCs w:val="21"/>
        </w:rPr>
        <w:t>34</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3D1A756F">
      <w:pPr>
        <w:pStyle w:val="14"/>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_Toc29966 </w:instrText>
      </w:r>
      <w:r>
        <w:rPr>
          <w:rFonts w:hint="eastAsia" w:ascii="宋体" w:hAnsi="宋体" w:eastAsia="宋体" w:cs="宋体"/>
          <w:sz w:val="21"/>
          <w:szCs w:val="21"/>
        </w:rPr>
        <w:fldChar w:fldCharType="separate"/>
      </w:r>
      <w:r>
        <w:rPr>
          <w:rFonts w:hint="eastAsia" w:ascii="宋体" w:hAnsi="宋体" w:eastAsia="宋体" w:cs="宋体"/>
          <w:sz w:val="21"/>
          <w:szCs w:val="21"/>
        </w:rPr>
        <w:t>八、 其他</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_Toc29966 \h </w:instrText>
      </w:r>
      <w:r>
        <w:rPr>
          <w:rFonts w:hint="eastAsia" w:ascii="宋体" w:hAnsi="宋体" w:eastAsia="宋体" w:cs="宋体"/>
          <w:sz w:val="21"/>
          <w:szCs w:val="21"/>
        </w:rPr>
        <w:fldChar w:fldCharType="separate"/>
      </w:r>
      <w:r>
        <w:rPr>
          <w:rFonts w:hint="eastAsia" w:ascii="宋体" w:hAnsi="宋体" w:eastAsia="宋体" w:cs="宋体"/>
          <w:sz w:val="21"/>
          <w:szCs w:val="21"/>
        </w:rPr>
        <w:t>34</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6D29C7AA">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_Toc10272 </w:instrText>
      </w:r>
      <w:r>
        <w:rPr>
          <w:rFonts w:hint="eastAsia" w:ascii="宋体" w:hAnsi="宋体" w:eastAsia="宋体" w:cs="宋体"/>
          <w:sz w:val="21"/>
          <w:szCs w:val="21"/>
        </w:rPr>
        <w:fldChar w:fldCharType="separate"/>
      </w:r>
      <w:r>
        <w:rPr>
          <w:rFonts w:hint="eastAsia" w:ascii="宋体" w:hAnsi="宋体" w:eastAsia="宋体" w:cs="宋体"/>
          <w:sz w:val="21"/>
          <w:szCs w:val="21"/>
        </w:rPr>
        <w:t>36. 采购文件的解释权</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_Toc10272 \h </w:instrText>
      </w:r>
      <w:r>
        <w:rPr>
          <w:rFonts w:hint="eastAsia" w:ascii="宋体" w:hAnsi="宋体" w:eastAsia="宋体" w:cs="宋体"/>
          <w:sz w:val="21"/>
          <w:szCs w:val="21"/>
        </w:rPr>
        <w:fldChar w:fldCharType="separate"/>
      </w:r>
      <w:r>
        <w:rPr>
          <w:rFonts w:hint="eastAsia" w:ascii="宋体" w:hAnsi="宋体" w:eastAsia="宋体" w:cs="宋体"/>
          <w:sz w:val="21"/>
          <w:szCs w:val="21"/>
        </w:rPr>
        <w:t>34</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5BB97991">
      <w:pPr>
        <w:pStyle w:val="25"/>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_Toc1092 </w:instrText>
      </w:r>
      <w:r>
        <w:rPr>
          <w:rFonts w:hint="eastAsia" w:ascii="宋体" w:hAnsi="宋体" w:eastAsia="宋体" w:cs="宋体"/>
          <w:sz w:val="21"/>
          <w:szCs w:val="21"/>
        </w:rPr>
        <w:fldChar w:fldCharType="separate"/>
      </w:r>
      <w:r>
        <w:rPr>
          <w:rFonts w:hint="eastAsia" w:ascii="宋体" w:hAnsi="宋体" w:eastAsia="宋体" w:cs="宋体"/>
          <w:sz w:val="21"/>
          <w:szCs w:val="21"/>
        </w:rPr>
        <w:t>第五部分  合同条款格式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_Toc1092 \h </w:instrText>
      </w:r>
      <w:r>
        <w:rPr>
          <w:rFonts w:hint="eastAsia" w:ascii="宋体" w:hAnsi="宋体" w:eastAsia="宋体" w:cs="宋体"/>
          <w:sz w:val="21"/>
          <w:szCs w:val="21"/>
        </w:rPr>
        <w:fldChar w:fldCharType="separate"/>
      </w:r>
      <w:r>
        <w:rPr>
          <w:rFonts w:hint="eastAsia" w:ascii="宋体" w:hAnsi="宋体" w:eastAsia="宋体" w:cs="宋体"/>
          <w:sz w:val="21"/>
          <w:szCs w:val="21"/>
        </w:rPr>
        <w:t>35</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210B1DD2">
      <w:pPr>
        <w:pStyle w:val="20"/>
        <w:tabs>
          <w:tab w:val="right" w:leader="dot" w:pos="8312"/>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_Toc11262 </w:instrText>
      </w:r>
      <w:r>
        <w:rPr>
          <w:rFonts w:hint="eastAsia" w:ascii="宋体" w:hAnsi="宋体" w:eastAsia="宋体" w:cs="宋体"/>
          <w:sz w:val="21"/>
          <w:szCs w:val="21"/>
        </w:rPr>
        <w:fldChar w:fldCharType="separate"/>
      </w:r>
      <w:r>
        <w:rPr>
          <w:rFonts w:hint="eastAsia" w:ascii="宋体" w:hAnsi="宋体" w:eastAsia="宋体" w:cs="宋体"/>
          <w:sz w:val="21"/>
          <w:szCs w:val="21"/>
        </w:rPr>
        <w:t>第二十四条  附则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_Toc11262 \h </w:instrText>
      </w:r>
      <w:r>
        <w:rPr>
          <w:rFonts w:hint="eastAsia" w:ascii="宋体" w:hAnsi="宋体" w:eastAsia="宋体" w:cs="宋体"/>
          <w:sz w:val="21"/>
          <w:szCs w:val="21"/>
        </w:rPr>
        <w:fldChar w:fldCharType="separate"/>
      </w:r>
      <w:r>
        <w:rPr>
          <w:rFonts w:hint="eastAsia" w:ascii="宋体" w:hAnsi="宋体" w:eastAsia="宋体" w:cs="宋体"/>
          <w:sz w:val="21"/>
          <w:szCs w:val="21"/>
        </w:rPr>
        <w:t>65</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2D274102">
      <w:pPr>
        <w:pStyle w:val="25"/>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_Toc27602 </w:instrText>
      </w:r>
      <w:r>
        <w:rPr>
          <w:rFonts w:hint="eastAsia" w:ascii="宋体" w:hAnsi="宋体" w:eastAsia="宋体" w:cs="宋体"/>
          <w:sz w:val="21"/>
          <w:szCs w:val="21"/>
        </w:rPr>
        <w:fldChar w:fldCharType="separate"/>
      </w:r>
      <w:r>
        <w:rPr>
          <w:rFonts w:hint="eastAsia" w:ascii="宋体" w:hAnsi="宋体" w:eastAsia="宋体" w:cs="宋体"/>
          <w:sz w:val="21"/>
          <w:szCs w:val="21"/>
        </w:rPr>
        <w:t>第六部分附件－投标文件格式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_Toc27602 \h </w:instrText>
      </w:r>
      <w:r>
        <w:rPr>
          <w:rFonts w:hint="eastAsia" w:ascii="宋体" w:hAnsi="宋体" w:eastAsia="宋体" w:cs="宋体"/>
          <w:sz w:val="21"/>
          <w:szCs w:val="21"/>
        </w:rPr>
        <w:fldChar w:fldCharType="separate"/>
      </w:r>
      <w:r>
        <w:rPr>
          <w:rFonts w:hint="eastAsia" w:ascii="宋体" w:hAnsi="宋体" w:eastAsia="宋体" w:cs="宋体"/>
          <w:sz w:val="21"/>
          <w:szCs w:val="21"/>
        </w:rPr>
        <w:t>75</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643EBC6F">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_Toc1276 </w:instrText>
      </w:r>
      <w:r>
        <w:rPr>
          <w:rFonts w:hint="eastAsia" w:ascii="宋体" w:hAnsi="宋体" w:eastAsia="宋体" w:cs="宋体"/>
          <w:sz w:val="21"/>
          <w:szCs w:val="21"/>
        </w:rPr>
        <w:fldChar w:fldCharType="separate"/>
      </w:r>
      <w:r>
        <w:rPr>
          <w:rFonts w:hint="eastAsia" w:ascii="宋体" w:hAnsi="宋体" w:eastAsia="宋体" w:cs="宋体"/>
          <w:sz w:val="21"/>
          <w:szCs w:val="21"/>
        </w:rPr>
        <w:t>投标文件目录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_Toc1276 \h </w:instrText>
      </w:r>
      <w:r>
        <w:rPr>
          <w:rFonts w:hint="eastAsia" w:ascii="宋体" w:hAnsi="宋体" w:eastAsia="宋体" w:cs="宋体"/>
          <w:sz w:val="21"/>
          <w:szCs w:val="21"/>
        </w:rPr>
        <w:fldChar w:fldCharType="separate"/>
      </w:r>
      <w:r>
        <w:rPr>
          <w:rFonts w:hint="eastAsia" w:ascii="宋体" w:hAnsi="宋体" w:eastAsia="宋体" w:cs="宋体"/>
          <w:sz w:val="21"/>
          <w:szCs w:val="21"/>
        </w:rPr>
        <w:t>75</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4B639660">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_Toc30334 </w:instrText>
      </w:r>
      <w:r>
        <w:rPr>
          <w:rFonts w:hint="eastAsia" w:ascii="宋体" w:hAnsi="宋体" w:eastAsia="宋体" w:cs="宋体"/>
          <w:sz w:val="21"/>
          <w:szCs w:val="21"/>
        </w:rPr>
        <w:fldChar w:fldCharType="separate"/>
      </w:r>
      <w:r>
        <w:rPr>
          <w:rFonts w:hint="eastAsia" w:ascii="宋体" w:hAnsi="宋体" w:eastAsia="宋体" w:cs="宋体"/>
          <w:sz w:val="21"/>
          <w:szCs w:val="21"/>
        </w:rPr>
        <w:t>附件1.评分标准索引表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_Toc30334 \h </w:instrText>
      </w:r>
      <w:r>
        <w:rPr>
          <w:rFonts w:hint="eastAsia" w:ascii="宋体" w:hAnsi="宋体" w:eastAsia="宋体" w:cs="宋体"/>
          <w:sz w:val="21"/>
          <w:szCs w:val="21"/>
        </w:rPr>
        <w:fldChar w:fldCharType="separate"/>
      </w:r>
      <w:r>
        <w:rPr>
          <w:rFonts w:hint="eastAsia" w:ascii="宋体" w:hAnsi="宋体" w:eastAsia="宋体" w:cs="宋体"/>
          <w:sz w:val="21"/>
          <w:szCs w:val="21"/>
        </w:rPr>
        <w:t>76</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42F6F7A2">
      <w:pPr>
        <w:pStyle w:val="25"/>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_Toc22053 </w:instrText>
      </w:r>
      <w:r>
        <w:rPr>
          <w:rFonts w:hint="eastAsia" w:ascii="宋体" w:hAnsi="宋体" w:eastAsia="宋体" w:cs="宋体"/>
          <w:sz w:val="21"/>
          <w:szCs w:val="21"/>
        </w:rPr>
        <w:fldChar w:fldCharType="separate"/>
      </w:r>
      <w:r>
        <w:rPr>
          <w:rFonts w:hint="eastAsia" w:ascii="宋体" w:hAnsi="宋体" w:eastAsia="宋体" w:cs="宋体"/>
          <w:sz w:val="21"/>
          <w:szCs w:val="21"/>
        </w:rPr>
        <w:t>价格文件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_Toc22053 \h </w:instrText>
      </w:r>
      <w:r>
        <w:rPr>
          <w:rFonts w:hint="eastAsia" w:ascii="宋体" w:hAnsi="宋体" w:eastAsia="宋体" w:cs="宋体"/>
          <w:sz w:val="21"/>
          <w:szCs w:val="21"/>
        </w:rPr>
        <w:fldChar w:fldCharType="separate"/>
      </w:r>
      <w:r>
        <w:rPr>
          <w:rFonts w:hint="eastAsia" w:ascii="宋体" w:hAnsi="宋体" w:eastAsia="宋体" w:cs="宋体"/>
          <w:sz w:val="21"/>
          <w:szCs w:val="21"/>
        </w:rPr>
        <w:t>77</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085CF9EC">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_Toc6426 </w:instrText>
      </w:r>
      <w:r>
        <w:rPr>
          <w:rFonts w:hint="eastAsia" w:ascii="宋体" w:hAnsi="宋体" w:eastAsia="宋体" w:cs="宋体"/>
          <w:sz w:val="21"/>
          <w:szCs w:val="21"/>
        </w:rPr>
        <w:fldChar w:fldCharType="separate"/>
      </w:r>
      <w:r>
        <w:rPr>
          <w:rFonts w:hint="eastAsia" w:ascii="宋体" w:hAnsi="宋体" w:eastAsia="宋体" w:cs="宋体"/>
          <w:sz w:val="21"/>
          <w:szCs w:val="21"/>
        </w:rPr>
        <w:t>附件2.开标一览表格式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_Toc6426 \h </w:instrText>
      </w:r>
      <w:r>
        <w:rPr>
          <w:rFonts w:hint="eastAsia" w:ascii="宋体" w:hAnsi="宋体" w:eastAsia="宋体" w:cs="宋体"/>
          <w:sz w:val="21"/>
          <w:szCs w:val="21"/>
        </w:rPr>
        <w:fldChar w:fldCharType="separate"/>
      </w:r>
      <w:r>
        <w:rPr>
          <w:rFonts w:hint="eastAsia" w:ascii="宋体" w:hAnsi="宋体" w:eastAsia="宋体" w:cs="宋体"/>
          <w:sz w:val="21"/>
          <w:szCs w:val="21"/>
        </w:rPr>
        <w:t>78</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0A988ED8">
      <w:pPr>
        <w:pStyle w:val="25"/>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_Toc28462 </w:instrText>
      </w:r>
      <w:r>
        <w:rPr>
          <w:rFonts w:hint="eastAsia" w:ascii="宋体" w:hAnsi="宋体" w:eastAsia="宋体" w:cs="宋体"/>
          <w:sz w:val="21"/>
          <w:szCs w:val="21"/>
        </w:rPr>
        <w:fldChar w:fldCharType="separate"/>
      </w:r>
      <w:r>
        <w:rPr>
          <w:rFonts w:hint="eastAsia" w:ascii="宋体" w:hAnsi="宋体" w:eastAsia="宋体" w:cs="宋体"/>
          <w:sz w:val="21"/>
          <w:szCs w:val="21"/>
        </w:rPr>
        <w:t>商务文件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_Toc28462 \h </w:instrText>
      </w:r>
      <w:r>
        <w:rPr>
          <w:rFonts w:hint="eastAsia" w:ascii="宋体" w:hAnsi="宋体" w:eastAsia="宋体" w:cs="宋体"/>
          <w:sz w:val="21"/>
          <w:szCs w:val="21"/>
        </w:rPr>
        <w:fldChar w:fldCharType="separate"/>
      </w:r>
      <w:r>
        <w:rPr>
          <w:rFonts w:hint="eastAsia" w:ascii="宋体" w:hAnsi="宋体" w:eastAsia="宋体" w:cs="宋体"/>
          <w:sz w:val="21"/>
          <w:szCs w:val="21"/>
        </w:rPr>
        <w:t>79</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3E2F29C9">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_Toc519 </w:instrText>
      </w:r>
      <w:r>
        <w:rPr>
          <w:rFonts w:hint="eastAsia" w:ascii="宋体" w:hAnsi="宋体" w:eastAsia="宋体" w:cs="宋体"/>
          <w:sz w:val="21"/>
          <w:szCs w:val="21"/>
        </w:rPr>
        <w:fldChar w:fldCharType="separate"/>
      </w:r>
      <w:r>
        <w:rPr>
          <w:rFonts w:hint="eastAsia" w:ascii="宋体" w:hAnsi="宋体" w:eastAsia="宋体" w:cs="宋体"/>
          <w:sz w:val="21"/>
          <w:szCs w:val="21"/>
        </w:rPr>
        <w:t>附件</w:t>
      </w:r>
      <w:r>
        <w:rPr>
          <w:rFonts w:hint="eastAsia" w:ascii="宋体" w:hAnsi="宋体" w:eastAsia="宋体" w:cs="宋体"/>
          <w:sz w:val="21"/>
          <w:szCs w:val="21"/>
          <w:lang w:val="en-US" w:eastAsia="zh-CN"/>
        </w:rPr>
        <w:t>3</w:t>
      </w:r>
      <w:r>
        <w:rPr>
          <w:rFonts w:hint="eastAsia" w:ascii="宋体" w:hAnsi="宋体" w:eastAsia="宋体" w:cs="宋体"/>
          <w:sz w:val="21"/>
          <w:szCs w:val="21"/>
        </w:rPr>
        <w:t>.投标书格式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_Toc519 \h </w:instrText>
      </w:r>
      <w:r>
        <w:rPr>
          <w:rFonts w:hint="eastAsia" w:ascii="宋体" w:hAnsi="宋体" w:eastAsia="宋体" w:cs="宋体"/>
          <w:sz w:val="21"/>
          <w:szCs w:val="21"/>
        </w:rPr>
        <w:fldChar w:fldCharType="separate"/>
      </w:r>
      <w:r>
        <w:rPr>
          <w:rFonts w:hint="eastAsia" w:ascii="宋体" w:hAnsi="宋体" w:eastAsia="宋体" w:cs="宋体"/>
          <w:sz w:val="21"/>
          <w:szCs w:val="21"/>
        </w:rPr>
        <w:t>80</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097DF34E">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_Toc29805 </w:instrText>
      </w:r>
      <w:r>
        <w:rPr>
          <w:rFonts w:hint="eastAsia" w:ascii="宋体" w:hAnsi="宋体" w:eastAsia="宋体" w:cs="宋体"/>
          <w:sz w:val="21"/>
          <w:szCs w:val="21"/>
        </w:rPr>
        <w:fldChar w:fldCharType="separate"/>
      </w:r>
      <w:r>
        <w:rPr>
          <w:rFonts w:hint="eastAsia" w:ascii="宋体" w:hAnsi="宋体" w:eastAsia="宋体" w:cs="宋体"/>
          <w:sz w:val="21"/>
          <w:szCs w:val="21"/>
        </w:rPr>
        <w:t>附件</w:t>
      </w:r>
      <w:r>
        <w:rPr>
          <w:rFonts w:hint="eastAsia" w:ascii="宋体" w:hAnsi="宋体" w:eastAsia="宋体" w:cs="宋体"/>
          <w:sz w:val="21"/>
          <w:szCs w:val="21"/>
          <w:lang w:val="en-US" w:eastAsia="zh-CN"/>
        </w:rPr>
        <w:t>4</w:t>
      </w:r>
      <w:r>
        <w:rPr>
          <w:rFonts w:hint="eastAsia" w:ascii="宋体" w:hAnsi="宋体" w:eastAsia="宋体" w:cs="宋体"/>
          <w:sz w:val="21"/>
          <w:szCs w:val="21"/>
        </w:rPr>
        <w:t>. 法定代表人证明书格式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_Toc29805 \h </w:instrText>
      </w:r>
      <w:r>
        <w:rPr>
          <w:rFonts w:hint="eastAsia" w:ascii="宋体" w:hAnsi="宋体" w:eastAsia="宋体" w:cs="宋体"/>
          <w:sz w:val="21"/>
          <w:szCs w:val="21"/>
        </w:rPr>
        <w:fldChar w:fldCharType="separate"/>
      </w:r>
      <w:r>
        <w:rPr>
          <w:rFonts w:hint="eastAsia" w:ascii="宋体" w:hAnsi="宋体" w:eastAsia="宋体" w:cs="宋体"/>
          <w:sz w:val="21"/>
          <w:szCs w:val="21"/>
        </w:rPr>
        <w:t>81</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1B3BB207">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_Toc7640 </w:instrText>
      </w:r>
      <w:r>
        <w:rPr>
          <w:rFonts w:hint="eastAsia" w:ascii="宋体" w:hAnsi="宋体" w:eastAsia="宋体" w:cs="宋体"/>
          <w:sz w:val="21"/>
          <w:szCs w:val="21"/>
        </w:rPr>
        <w:fldChar w:fldCharType="separate"/>
      </w:r>
      <w:r>
        <w:rPr>
          <w:rFonts w:hint="eastAsia" w:ascii="宋体" w:hAnsi="宋体" w:eastAsia="宋体" w:cs="宋体"/>
          <w:sz w:val="21"/>
          <w:szCs w:val="21"/>
        </w:rPr>
        <w:t>附件</w:t>
      </w:r>
      <w:r>
        <w:rPr>
          <w:rFonts w:hint="eastAsia" w:ascii="宋体" w:hAnsi="宋体" w:eastAsia="宋体" w:cs="宋体"/>
          <w:sz w:val="21"/>
          <w:szCs w:val="21"/>
          <w:lang w:val="en-US" w:eastAsia="zh-CN"/>
        </w:rPr>
        <w:t>5</w:t>
      </w:r>
      <w:r>
        <w:rPr>
          <w:rFonts w:hint="eastAsia" w:ascii="宋体" w:hAnsi="宋体" w:eastAsia="宋体" w:cs="宋体"/>
          <w:sz w:val="21"/>
          <w:szCs w:val="21"/>
        </w:rPr>
        <w:t>.法定代表人授权书格式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_Toc7640 \h </w:instrText>
      </w:r>
      <w:r>
        <w:rPr>
          <w:rFonts w:hint="eastAsia" w:ascii="宋体" w:hAnsi="宋体" w:eastAsia="宋体" w:cs="宋体"/>
          <w:sz w:val="21"/>
          <w:szCs w:val="21"/>
        </w:rPr>
        <w:fldChar w:fldCharType="separate"/>
      </w:r>
      <w:r>
        <w:rPr>
          <w:rFonts w:hint="eastAsia" w:ascii="宋体" w:hAnsi="宋体" w:eastAsia="宋体" w:cs="宋体"/>
          <w:sz w:val="21"/>
          <w:szCs w:val="21"/>
        </w:rPr>
        <w:t>82</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3481DDBF">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_Toc23412 </w:instrText>
      </w:r>
      <w:r>
        <w:rPr>
          <w:rFonts w:hint="eastAsia" w:ascii="宋体" w:hAnsi="宋体" w:eastAsia="宋体" w:cs="宋体"/>
          <w:sz w:val="21"/>
          <w:szCs w:val="21"/>
        </w:rPr>
        <w:fldChar w:fldCharType="separate"/>
      </w:r>
      <w:r>
        <w:rPr>
          <w:rFonts w:hint="eastAsia" w:ascii="宋体" w:hAnsi="宋体" w:eastAsia="宋体" w:cs="宋体"/>
          <w:sz w:val="21"/>
          <w:szCs w:val="21"/>
        </w:rPr>
        <w:t>附件</w:t>
      </w:r>
      <w:r>
        <w:rPr>
          <w:rFonts w:hint="eastAsia" w:ascii="宋体" w:hAnsi="宋体" w:eastAsia="宋体" w:cs="宋体"/>
          <w:sz w:val="21"/>
          <w:szCs w:val="21"/>
          <w:lang w:val="en-US" w:eastAsia="zh-CN"/>
        </w:rPr>
        <w:t>6</w:t>
      </w:r>
      <w:r>
        <w:rPr>
          <w:rFonts w:hint="eastAsia" w:ascii="宋体" w:hAnsi="宋体" w:eastAsia="宋体" w:cs="宋体"/>
          <w:sz w:val="21"/>
          <w:szCs w:val="21"/>
        </w:rPr>
        <w:t>.资格申明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_Toc23412 \h </w:instrText>
      </w:r>
      <w:r>
        <w:rPr>
          <w:rFonts w:hint="eastAsia" w:ascii="宋体" w:hAnsi="宋体" w:eastAsia="宋体" w:cs="宋体"/>
          <w:sz w:val="21"/>
          <w:szCs w:val="21"/>
        </w:rPr>
        <w:fldChar w:fldCharType="separate"/>
      </w:r>
      <w:r>
        <w:rPr>
          <w:rFonts w:hint="eastAsia" w:ascii="宋体" w:hAnsi="宋体" w:eastAsia="宋体" w:cs="宋体"/>
          <w:sz w:val="21"/>
          <w:szCs w:val="21"/>
        </w:rPr>
        <w:t>83</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54DAF169">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_Toc501 </w:instrText>
      </w:r>
      <w:r>
        <w:rPr>
          <w:rFonts w:hint="eastAsia" w:ascii="宋体" w:hAnsi="宋体" w:eastAsia="宋体" w:cs="宋体"/>
          <w:sz w:val="21"/>
          <w:szCs w:val="21"/>
        </w:rPr>
        <w:fldChar w:fldCharType="separate"/>
      </w:r>
      <w:r>
        <w:rPr>
          <w:rFonts w:hint="eastAsia" w:ascii="宋体" w:hAnsi="宋体" w:eastAsia="宋体" w:cs="宋体"/>
          <w:sz w:val="21"/>
          <w:szCs w:val="21"/>
        </w:rPr>
        <w:t>附件</w:t>
      </w:r>
      <w:r>
        <w:rPr>
          <w:rFonts w:hint="eastAsia" w:ascii="宋体" w:hAnsi="宋体" w:eastAsia="宋体" w:cs="宋体"/>
          <w:sz w:val="21"/>
          <w:szCs w:val="21"/>
          <w:lang w:val="en-US" w:eastAsia="zh-CN"/>
        </w:rPr>
        <w:t>7</w:t>
      </w:r>
      <w:r>
        <w:rPr>
          <w:rFonts w:hint="eastAsia" w:ascii="宋体" w:hAnsi="宋体" w:eastAsia="宋体" w:cs="宋体"/>
          <w:sz w:val="21"/>
          <w:szCs w:val="21"/>
        </w:rPr>
        <w:t>.营业执照</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_Toc501 \h </w:instrText>
      </w:r>
      <w:r>
        <w:rPr>
          <w:rFonts w:hint="eastAsia" w:ascii="宋体" w:hAnsi="宋体" w:eastAsia="宋体" w:cs="宋体"/>
          <w:sz w:val="21"/>
          <w:szCs w:val="21"/>
        </w:rPr>
        <w:fldChar w:fldCharType="separate"/>
      </w:r>
      <w:r>
        <w:rPr>
          <w:rFonts w:hint="eastAsia" w:ascii="宋体" w:hAnsi="宋体" w:eastAsia="宋体" w:cs="宋体"/>
          <w:sz w:val="21"/>
          <w:szCs w:val="21"/>
        </w:rPr>
        <w:t>84</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21BB2765">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_Toc2468 </w:instrText>
      </w:r>
      <w:r>
        <w:rPr>
          <w:rFonts w:hint="eastAsia" w:ascii="宋体" w:hAnsi="宋体" w:eastAsia="宋体" w:cs="宋体"/>
          <w:sz w:val="21"/>
          <w:szCs w:val="21"/>
        </w:rPr>
        <w:fldChar w:fldCharType="separate"/>
      </w:r>
      <w:r>
        <w:rPr>
          <w:rFonts w:hint="eastAsia" w:ascii="宋体" w:hAnsi="宋体" w:eastAsia="宋体" w:cs="宋体"/>
          <w:sz w:val="21"/>
          <w:szCs w:val="21"/>
        </w:rPr>
        <w:t>附件</w:t>
      </w:r>
      <w:r>
        <w:rPr>
          <w:rFonts w:hint="eastAsia" w:ascii="宋体" w:hAnsi="宋体" w:eastAsia="宋体" w:cs="宋体"/>
          <w:sz w:val="21"/>
          <w:szCs w:val="21"/>
          <w:lang w:val="en-US" w:eastAsia="zh-CN"/>
        </w:rPr>
        <w:t>8</w:t>
      </w:r>
      <w:r>
        <w:rPr>
          <w:rFonts w:hint="eastAsia" w:ascii="宋体" w:hAnsi="宋体" w:eastAsia="宋体" w:cs="宋体"/>
          <w:sz w:val="21"/>
          <w:szCs w:val="21"/>
        </w:rPr>
        <w:t>.相关资质证明文件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_Toc2468 \h </w:instrText>
      </w:r>
      <w:r>
        <w:rPr>
          <w:rFonts w:hint="eastAsia" w:ascii="宋体" w:hAnsi="宋体" w:eastAsia="宋体" w:cs="宋体"/>
          <w:sz w:val="21"/>
          <w:szCs w:val="21"/>
        </w:rPr>
        <w:fldChar w:fldCharType="separate"/>
      </w:r>
      <w:r>
        <w:rPr>
          <w:rFonts w:hint="eastAsia" w:ascii="宋体" w:hAnsi="宋体" w:eastAsia="宋体" w:cs="宋体"/>
          <w:sz w:val="21"/>
          <w:szCs w:val="21"/>
        </w:rPr>
        <w:t>85</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0C813F38">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_Toc30064 </w:instrText>
      </w:r>
      <w:r>
        <w:rPr>
          <w:rFonts w:hint="eastAsia" w:ascii="宋体" w:hAnsi="宋体" w:eastAsia="宋体" w:cs="宋体"/>
          <w:sz w:val="21"/>
          <w:szCs w:val="21"/>
        </w:rPr>
        <w:fldChar w:fldCharType="separate"/>
      </w:r>
      <w:r>
        <w:rPr>
          <w:rFonts w:hint="eastAsia" w:ascii="宋体" w:hAnsi="宋体" w:eastAsia="宋体" w:cs="宋体"/>
          <w:sz w:val="21"/>
          <w:szCs w:val="21"/>
        </w:rPr>
        <w:t>附件</w:t>
      </w:r>
      <w:r>
        <w:rPr>
          <w:rFonts w:hint="eastAsia" w:ascii="宋体" w:hAnsi="宋体" w:eastAsia="宋体" w:cs="宋体"/>
          <w:sz w:val="21"/>
          <w:szCs w:val="21"/>
          <w:lang w:val="en-US" w:eastAsia="zh-CN"/>
        </w:rPr>
        <w:t>9</w:t>
      </w:r>
      <w:r>
        <w:rPr>
          <w:rFonts w:hint="eastAsia" w:ascii="宋体" w:hAnsi="宋体" w:eastAsia="宋体" w:cs="宋体"/>
          <w:sz w:val="21"/>
          <w:szCs w:val="21"/>
        </w:rPr>
        <w:t>.在经营活动中没有重大违法记录的书面声明格式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_Toc30064 \h </w:instrText>
      </w:r>
      <w:r>
        <w:rPr>
          <w:rFonts w:hint="eastAsia" w:ascii="宋体" w:hAnsi="宋体" w:eastAsia="宋体" w:cs="宋体"/>
          <w:sz w:val="21"/>
          <w:szCs w:val="21"/>
        </w:rPr>
        <w:fldChar w:fldCharType="separate"/>
      </w:r>
      <w:r>
        <w:rPr>
          <w:rFonts w:hint="eastAsia" w:ascii="宋体" w:hAnsi="宋体" w:eastAsia="宋体" w:cs="宋体"/>
          <w:sz w:val="21"/>
          <w:szCs w:val="21"/>
        </w:rPr>
        <w:t>87</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5727D9A4">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_Toc3123 </w:instrText>
      </w:r>
      <w:r>
        <w:rPr>
          <w:rFonts w:hint="eastAsia" w:ascii="宋体" w:hAnsi="宋体" w:eastAsia="宋体" w:cs="宋体"/>
          <w:sz w:val="21"/>
          <w:szCs w:val="21"/>
        </w:rPr>
        <w:fldChar w:fldCharType="separate"/>
      </w:r>
      <w:r>
        <w:rPr>
          <w:rFonts w:hint="eastAsia" w:ascii="宋体" w:hAnsi="宋体" w:eastAsia="宋体" w:cs="宋体"/>
          <w:sz w:val="21"/>
          <w:szCs w:val="21"/>
        </w:rPr>
        <w:t>附件1</w:t>
      </w:r>
      <w:r>
        <w:rPr>
          <w:rFonts w:hint="eastAsia" w:ascii="宋体" w:hAnsi="宋体" w:eastAsia="宋体" w:cs="宋体"/>
          <w:sz w:val="21"/>
          <w:szCs w:val="21"/>
          <w:lang w:val="en-US" w:eastAsia="zh-CN"/>
        </w:rPr>
        <w:t>0</w:t>
      </w:r>
      <w:r>
        <w:rPr>
          <w:rFonts w:hint="eastAsia" w:ascii="宋体" w:hAnsi="宋体" w:eastAsia="宋体" w:cs="宋体"/>
          <w:sz w:val="21"/>
          <w:szCs w:val="21"/>
        </w:rPr>
        <w:t>.承诺书格式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_Toc3123 \h </w:instrText>
      </w:r>
      <w:r>
        <w:rPr>
          <w:rFonts w:hint="eastAsia" w:ascii="宋体" w:hAnsi="宋体" w:eastAsia="宋体" w:cs="宋体"/>
          <w:sz w:val="21"/>
          <w:szCs w:val="21"/>
        </w:rPr>
        <w:fldChar w:fldCharType="separate"/>
      </w:r>
      <w:r>
        <w:rPr>
          <w:rFonts w:hint="eastAsia" w:ascii="宋体" w:hAnsi="宋体" w:eastAsia="宋体" w:cs="宋体"/>
          <w:sz w:val="21"/>
          <w:szCs w:val="21"/>
        </w:rPr>
        <w:t>88</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197AE40B">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_Toc20842 </w:instrText>
      </w:r>
      <w:r>
        <w:rPr>
          <w:rFonts w:hint="eastAsia" w:ascii="宋体" w:hAnsi="宋体" w:eastAsia="宋体" w:cs="宋体"/>
          <w:sz w:val="21"/>
          <w:szCs w:val="21"/>
        </w:rPr>
        <w:fldChar w:fldCharType="separate"/>
      </w:r>
      <w:r>
        <w:rPr>
          <w:rFonts w:hint="eastAsia" w:ascii="宋体" w:hAnsi="宋体" w:eastAsia="宋体" w:cs="宋体"/>
          <w:sz w:val="21"/>
          <w:szCs w:val="21"/>
        </w:rPr>
        <w:t>附件1</w:t>
      </w:r>
      <w:r>
        <w:rPr>
          <w:rFonts w:hint="eastAsia" w:ascii="宋体" w:hAnsi="宋体" w:eastAsia="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sz w:val="21"/>
          <w:szCs w:val="21"/>
          <w:highlight w:val="none"/>
        </w:rPr>
        <w:t>商务需求条款偏离表格式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_Toc20842 \h </w:instrText>
      </w:r>
      <w:r>
        <w:rPr>
          <w:rFonts w:hint="eastAsia" w:ascii="宋体" w:hAnsi="宋体" w:eastAsia="宋体" w:cs="宋体"/>
          <w:sz w:val="21"/>
          <w:szCs w:val="21"/>
        </w:rPr>
        <w:fldChar w:fldCharType="separate"/>
      </w:r>
      <w:r>
        <w:rPr>
          <w:rFonts w:hint="eastAsia" w:ascii="宋体" w:hAnsi="宋体" w:eastAsia="宋体" w:cs="宋体"/>
          <w:sz w:val="21"/>
          <w:szCs w:val="21"/>
        </w:rPr>
        <w:t>89</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0ABE98BF">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_Toc23923 </w:instrText>
      </w:r>
      <w:r>
        <w:rPr>
          <w:rFonts w:hint="eastAsia" w:ascii="宋体" w:hAnsi="宋体" w:eastAsia="宋体" w:cs="宋体"/>
          <w:sz w:val="21"/>
          <w:szCs w:val="21"/>
        </w:rPr>
        <w:fldChar w:fldCharType="separate"/>
      </w:r>
      <w:r>
        <w:rPr>
          <w:rFonts w:hint="eastAsia" w:ascii="宋体" w:hAnsi="宋体" w:eastAsia="宋体" w:cs="宋体"/>
          <w:sz w:val="21"/>
          <w:szCs w:val="21"/>
        </w:rPr>
        <w:t>附件1</w:t>
      </w:r>
      <w:r>
        <w:rPr>
          <w:rFonts w:hint="eastAsia" w:ascii="宋体" w:hAnsi="宋体" w:eastAsia="宋体" w:cs="宋体"/>
          <w:sz w:val="21"/>
          <w:szCs w:val="21"/>
          <w:lang w:val="en-US" w:eastAsia="zh-CN"/>
        </w:rPr>
        <w:t>2</w:t>
      </w:r>
      <w:r>
        <w:rPr>
          <w:rFonts w:hint="eastAsia" w:ascii="宋体" w:hAnsi="宋体" w:eastAsia="宋体" w:cs="宋体"/>
          <w:sz w:val="21"/>
          <w:szCs w:val="21"/>
        </w:rPr>
        <w:t>.业绩表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_Toc23923 \h </w:instrText>
      </w:r>
      <w:r>
        <w:rPr>
          <w:rFonts w:hint="eastAsia" w:ascii="宋体" w:hAnsi="宋体" w:eastAsia="宋体" w:cs="宋体"/>
          <w:sz w:val="21"/>
          <w:szCs w:val="21"/>
        </w:rPr>
        <w:fldChar w:fldCharType="separate"/>
      </w:r>
      <w:r>
        <w:rPr>
          <w:rFonts w:hint="eastAsia" w:ascii="宋体" w:hAnsi="宋体" w:eastAsia="宋体" w:cs="宋体"/>
          <w:sz w:val="21"/>
          <w:szCs w:val="21"/>
        </w:rPr>
        <w:t>90</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04679813">
      <w:pPr>
        <w:pStyle w:val="25"/>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_Toc32188 </w:instrText>
      </w:r>
      <w:r>
        <w:rPr>
          <w:rFonts w:hint="eastAsia" w:ascii="宋体" w:hAnsi="宋体" w:eastAsia="宋体" w:cs="宋体"/>
          <w:sz w:val="21"/>
          <w:szCs w:val="21"/>
        </w:rPr>
        <w:fldChar w:fldCharType="separate"/>
      </w:r>
      <w:r>
        <w:rPr>
          <w:rFonts w:hint="eastAsia" w:ascii="宋体" w:hAnsi="宋体" w:eastAsia="宋体" w:cs="宋体"/>
          <w:sz w:val="21"/>
          <w:szCs w:val="21"/>
        </w:rPr>
        <w:t>技术文件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_Toc32188 \h </w:instrText>
      </w:r>
      <w:r>
        <w:rPr>
          <w:rFonts w:hint="eastAsia" w:ascii="宋体" w:hAnsi="宋体" w:eastAsia="宋体" w:cs="宋体"/>
          <w:sz w:val="21"/>
          <w:szCs w:val="21"/>
        </w:rPr>
        <w:fldChar w:fldCharType="separate"/>
      </w:r>
      <w:r>
        <w:rPr>
          <w:rFonts w:hint="eastAsia" w:ascii="宋体" w:hAnsi="宋体" w:eastAsia="宋体" w:cs="宋体"/>
          <w:sz w:val="21"/>
          <w:szCs w:val="21"/>
        </w:rPr>
        <w:t>91</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69EB0239">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_Toc2408 </w:instrText>
      </w:r>
      <w:r>
        <w:rPr>
          <w:rFonts w:hint="eastAsia" w:ascii="宋体" w:hAnsi="宋体" w:eastAsia="宋体" w:cs="宋体"/>
          <w:sz w:val="21"/>
          <w:szCs w:val="21"/>
        </w:rPr>
        <w:fldChar w:fldCharType="separate"/>
      </w:r>
      <w:r>
        <w:rPr>
          <w:rFonts w:hint="eastAsia" w:ascii="宋体" w:hAnsi="宋体" w:eastAsia="宋体" w:cs="宋体"/>
          <w:sz w:val="21"/>
          <w:szCs w:val="21"/>
        </w:rPr>
        <w:t>附件1</w:t>
      </w:r>
      <w:r>
        <w:rPr>
          <w:rFonts w:hint="eastAsia" w:ascii="宋体" w:hAnsi="宋体" w:eastAsia="宋体" w:cs="宋体"/>
          <w:sz w:val="21"/>
          <w:szCs w:val="21"/>
          <w:lang w:val="en-US" w:eastAsia="zh-CN"/>
        </w:rPr>
        <w:t>3</w:t>
      </w:r>
      <w:r>
        <w:rPr>
          <w:rFonts w:hint="eastAsia" w:ascii="宋体" w:hAnsi="宋体" w:eastAsia="宋体" w:cs="宋体"/>
          <w:sz w:val="21"/>
          <w:szCs w:val="21"/>
        </w:rPr>
        <w:t>. 技术规格偏离表格式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_Toc2408 \h </w:instrText>
      </w:r>
      <w:r>
        <w:rPr>
          <w:rFonts w:hint="eastAsia" w:ascii="宋体" w:hAnsi="宋体" w:eastAsia="宋体" w:cs="宋体"/>
          <w:sz w:val="21"/>
          <w:szCs w:val="21"/>
        </w:rPr>
        <w:fldChar w:fldCharType="separate"/>
      </w:r>
      <w:r>
        <w:rPr>
          <w:rFonts w:hint="eastAsia" w:ascii="宋体" w:hAnsi="宋体" w:eastAsia="宋体" w:cs="宋体"/>
          <w:sz w:val="21"/>
          <w:szCs w:val="21"/>
        </w:rPr>
        <w:t>92</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5B5AB03B">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_Toc13243 </w:instrText>
      </w:r>
      <w:r>
        <w:rPr>
          <w:rFonts w:hint="eastAsia" w:ascii="宋体" w:hAnsi="宋体" w:eastAsia="宋体" w:cs="宋体"/>
          <w:sz w:val="21"/>
          <w:szCs w:val="21"/>
        </w:rPr>
        <w:fldChar w:fldCharType="separate"/>
      </w:r>
      <w:r>
        <w:rPr>
          <w:rFonts w:hint="eastAsia" w:ascii="宋体" w:hAnsi="宋体" w:eastAsia="宋体" w:cs="宋体"/>
          <w:sz w:val="21"/>
          <w:szCs w:val="21"/>
        </w:rPr>
        <w:t>附件1</w:t>
      </w:r>
      <w:r>
        <w:rPr>
          <w:rFonts w:hint="eastAsia" w:ascii="宋体" w:hAnsi="宋体" w:eastAsia="宋体" w:cs="宋体"/>
          <w:sz w:val="21"/>
          <w:szCs w:val="21"/>
          <w:lang w:val="en-US" w:eastAsia="zh-CN"/>
        </w:rPr>
        <w:t>4</w:t>
      </w:r>
      <w:r>
        <w:rPr>
          <w:rFonts w:hint="eastAsia" w:ascii="宋体" w:hAnsi="宋体" w:eastAsia="宋体" w:cs="宋体"/>
          <w:sz w:val="21"/>
          <w:szCs w:val="21"/>
        </w:rPr>
        <w:t>.项目实施方案格式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_Toc13243 \h </w:instrText>
      </w:r>
      <w:r>
        <w:rPr>
          <w:rFonts w:hint="eastAsia" w:ascii="宋体" w:hAnsi="宋体" w:eastAsia="宋体" w:cs="宋体"/>
          <w:sz w:val="21"/>
          <w:szCs w:val="21"/>
        </w:rPr>
        <w:fldChar w:fldCharType="separate"/>
      </w:r>
      <w:r>
        <w:rPr>
          <w:rFonts w:hint="eastAsia" w:ascii="宋体" w:hAnsi="宋体" w:eastAsia="宋体" w:cs="宋体"/>
          <w:sz w:val="21"/>
          <w:szCs w:val="21"/>
        </w:rPr>
        <w:t>93</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402CB578">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_Toc21483 </w:instrText>
      </w:r>
      <w:r>
        <w:rPr>
          <w:rFonts w:hint="eastAsia" w:ascii="宋体" w:hAnsi="宋体" w:eastAsia="宋体" w:cs="宋体"/>
          <w:sz w:val="21"/>
          <w:szCs w:val="21"/>
        </w:rPr>
        <w:fldChar w:fldCharType="separate"/>
      </w:r>
      <w:r>
        <w:rPr>
          <w:rFonts w:hint="eastAsia" w:ascii="宋体" w:hAnsi="宋体" w:eastAsia="宋体" w:cs="宋体"/>
          <w:sz w:val="21"/>
          <w:szCs w:val="21"/>
        </w:rPr>
        <w:t>附件1</w:t>
      </w:r>
      <w:r>
        <w:rPr>
          <w:rFonts w:hint="eastAsia" w:ascii="宋体" w:hAnsi="宋体" w:eastAsia="宋体" w:cs="宋体"/>
          <w:sz w:val="21"/>
          <w:szCs w:val="21"/>
          <w:lang w:val="en-US" w:eastAsia="zh-CN"/>
        </w:rPr>
        <w:t>5</w:t>
      </w:r>
      <w:r>
        <w:rPr>
          <w:rFonts w:hint="eastAsia" w:ascii="宋体" w:hAnsi="宋体" w:eastAsia="宋体" w:cs="宋体"/>
          <w:sz w:val="21"/>
          <w:szCs w:val="21"/>
        </w:rPr>
        <w:t>.实施本项目的有关人员资料表格式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_Toc21483 \h </w:instrText>
      </w:r>
      <w:r>
        <w:rPr>
          <w:rFonts w:hint="eastAsia" w:ascii="宋体" w:hAnsi="宋体" w:eastAsia="宋体" w:cs="宋体"/>
          <w:sz w:val="21"/>
          <w:szCs w:val="21"/>
        </w:rPr>
        <w:fldChar w:fldCharType="separate"/>
      </w:r>
      <w:r>
        <w:rPr>
          <w:rFonts w:hint="eastAsia" w:ascii="宋体" w:hAnsi="宋体" w:eastAsia="宋体" w:cs="宋体"/>
          <w:sz w:val="21"/>
          <w:szCs w:val="21"/>
        </w:rPr>
        <w:t>94</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4CC371C3">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_Toc16467 </w:instrText>
      </w:r>
      <w:r>
        <w:rPr>
          <w:rFonts w:hint="eastAsia" w:ascii="宋体" w:hAnsi="宋体" w:eastAsia="宋体" w:cs="宋体"/>
          <w:sz w:val="21"/>
          <w:szCs w:val="21"/>
        </w:rPr>
        <w:fldChar w:fldCharType="separate"/>
      </w:r>
      <w:r>
        <w:rPr>
          <w:rFonts w:hint="eastAsia" w:ascii="宋体" w:hAnsi="宋体" w:eastAsia="宋体" w:cs="宋体"/>
          <w:sz w:val="21"/>
          <w:szCs w:val="21"/>
        </w:rPr>
        <w:t>附件1</w:t>
      </w:r>
      <w:r>
        <w:rPr>
          <w:rFonts w:hint="eastAsia" w:ascii="宋体" w:hAnsi="宋体" w:eastAsia="宋体" w:cs="宋体"/>
          <w:sz w:val="21"/>
          <w:szCs w:val="21"/>
          <w:lang w:val="en-US" w:eastAsia="zh-CN"/>
        </w:rPr>
        <w:t>6</w:t>
      </w:r>
      <w:r>
        <w:rPr>
          <w:rFonts w:hint="eastAsia" w:ascii="宋体" w:hAnsi="宋体" w:eastAsia="宋体" w:cs="宋体"/>
          <w:sz w:val="21"/>
          <w:szCs w:val="21"/>
        </w:rPr>
        <w:t>.投标保证金汇入情况说明格式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_Toc16467 \h </w:instrText>
      </w:r>
      <w:r>
        <w:rPr>
          <w:rFonts w:hint="eastAsia" w:ascii="宋体" w:hAnsi="宋体" w:eastAsia="宋体" w:cs="宋体"/>
          <w:sz w:val="21"/>
          <w:szCs w:val="21"/>
        </w:rPr>
        <w:fldChar w:fldCharType="separate"/>
      </w:r>
      <w:r>
        <w:rPr>
          <w:rFonts w:hint="eastAsia" w:ascii="宋体" w:hAnsi="宋体" w:eastAsia="宋体" w:cs="宋体"/>
          <w:sz w:val="21"/>
          <w:szCs w:val="21"/>
        </w:rPr>
        <w:t>95</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2C2E8986">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_Toc21730 </w:instrText>
      </w:r>
      <w:r>
        <w:rPr>
          <w:rFonts w:hint="eastAsia" w:ascii="宋体" w:hAnsi="宋体" w:eastAsia="宋体" w:cs="宋体"/>
          <w:sz w:val="21"/>
          <w:szCs w:val="21"/>
        </w:rPr>
        <w:fldChar w:fldCharType="separate"/>
      </w:r>
      <w:r>
        <w:rPr>
          <w:rFonts w:hint="eastAsia" w:ascii="宋体" w:hAnsi="宋体" w:eastAsia="宋体" w:cs="宋体"/>
          <w:sz w:val="21"/>
          <w:szCs w:val="21"/>
        </w:rPr>
        <w:t>附件1</w:t>
      </w:r>
      <w:r>
        <w:rPr>
          <w:rFonts w:hint="eastAsia" w:ascii="宋体" w:hAnsi="宋体" w:eastAsia="宋体" w:cs="宋体"/>
          <w:sz w:val="21"/>
          <w:szCs w:val="21"/>
          <w:lang w:val="en-US" w:eastAsia="zh-CN"/>
        </w:rPr>
        <w:t>7</w:t>
      </w:r>
      <w:r>
        <w:rPr>
          <w:rFonts w:hint="eastAsia" w:ascii="宋体" w:hAnsi="宋体" w:eastAsia="宋体" w:cs="宋体"/>
          <w:sz w:val="21"/>
          <w:szCs w:val="21"/>
        </w:rPr>
        <w:t>.不可撤销履约保函</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_Toc21730 \h </w:instrText>
      </w:r>
      <w:r>
        <w:rPr>
          <w:rFonts w:hint="eastAsia" w:ascii="宋体" w:hAnsi="宋体" w:eastAsia="宋体" w:cs="宋体"/>
          <w:sz w:val="21"/>
          <w:szCs w:val="21"/>
        </w:rPr>
        <w:fldChar w:fldCharType="separate"/>
      </w:r>
      <w:r>
        <w:rPr>
          <w:rFonts w:hint="eastAsia" w:ascii="宋体" w:hAnsi="宋体" w:eastAsia="宋体" w:cs="宋体"/>
          <w:sz w:val="21"/>
          <w:szCs w:val="21"/>
        </w:rPr>
        <w:t>97</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28A0AA2E">
      <w:pPr>
        <w:pStyle w:val="21"/>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_Toc2001 </w:instrText>
      </w:r>
      <w:r>
        <w:rPr>
          <w:rFonts w:hint="eastAsia" w:ascii="宋体" w:hAnsi="宋体" w:eastAsia="宋体" w:cs="宋体"/>
          <w:sz w:val="21"/>
          <w:szCs w:val="21"/>
        </w:rPr>
        <w:fldChar w:fldCharType="separate"/>
      </w:r>
      <w:r>
        <w:rPr>
          <w:rFonts w:hint="eastAsia" w:ascii="宋体" w:hAnsi="宋体" w:eastAsia="宋体" w:cs="宋体"/>
          <w:sz w:val="21"/>
          <w:szCs w:val="21"/>
        </w:rPr>
        <w:t>附件</w:t>
      </w:r>
      <w:r>
        <w:rPr>
          <w:rFonts w:hint="eastAsia" w:ascii="宋体" w:hAnsi="宋体" w:eastAsia="宋体" w:cs="宋体"/>
          <w:sz w:val="21"/>
          <w:szCs w:val="21"/>
          <w:lang w:val="en-US" w:eastAsia="zh-CN"/>
        </w:rPr>
        <w:t>18</w:t>
      </w:r>
      <w:r>
        <w:rPr>
          <w:rFonts w:hint="eastAsia" w:ascii="宋体" w:hAnsi="宋体" w:eastAsia="宋体" w:cs="宋体"/>
          <w:sz w:val="21"/>
          <w:szCs w:val="21"/>
        </w:rPr>
        <w:t>.预付款保函（适用于预付款支付）</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_Toc2001 \h </w:instrText>
      </w:r>
      <w:r>
        <w:rPr>
          <w:rFonts w:hint="eastAsia" w:ascii="宋体" w:hAnsi="宋体" w:eastAsia="宋体" w:cs="宋体"/>
          <w:sz w:val="21"/>
          <w:szCs w:val="21"/>
        </w:rPr>
        <w:fldChar w:fldCharType="separate"/>
      </w:r>
      <w:r>
        <w:rPr>
          <w:rFonts w:hint="eastAsia" w:ascii="宋体" w:hAnsi="宋体" w:eastAsia="宋体" w:cs="宋体"/>
          <w:sz w:val="21"/>
          <w:szCs w:val="21"/>
        </w:rPr>
        <w:t>98</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2073177B">
      <w:pPr>
        <w:pStyle w:val="25"/>
        <w:tabs>
          <w:tab w:val="right" w:leader="dot" w:pos="8312"/>
          <w:tab w:val="clear" w:pos="8296"/>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_Toc25441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rPr>
        <w:t>唱标信封</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_Toc25441 \h </w:instrText>
      </w:r>
      <w:r>
        <w:rPr>
          <w:rFonts w:hint="eastAsia" w:ascii="宋体" w:hAnsi="宋体" w:eastAsia="宋体" w:cs="宋体"/>
          <w:sz w:val="21"/>
          <w:szCs w:val="21"/>
        </w:rPr>
        <w:fldChar w:fldCharType="separate"/>
      </w:r>
      <w:r>
        <w:rPr>
          <w:rFonts w:hint="eastAsia" w:ascii="宋体" w:hAnsi="宋体" w:eastAsia="宋体" w:cs="宋体"/>
          <w:sz w:val="21"/>
          <w:szCs w:val="21"/>
        </w:rPr>
        <w:t>99</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259DBF7B">
      <w:pPr>
        <w:pStyle w:val="21"/>
        <w:tabs>
          <w:tab w:val="right" w:leader="dot" w:pos="8312"/>
          <w:tab w:val="clear" w:pos="8296"/>
        </w:tabs>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_Toc24843 </w:instrText>
      </w:r>
      <w:r>
        <w:rPr>
          <w:rFonts w:hint="eastAsia" w:ascii="宋体" w:hAnsi="宋体" w:eastAsia="宋体" w:cs="宋体"/>
          <w:sz w:val="21"/>
          <w:szCs w:val="21"/>
        </w:rPr>
        <w:fldChar w:fldCharType="separate"/>
      </w:r>
      <w:r>
        <w:rPr>
          <w:rFonts w:hint="eastAsia" w:ascii="宋体" w:hAnsi="宋体" w:eastAsia="宋体" w:cs="宋体"/>
          <w:sz w:val="21"/>
          <w:szCs w:val="21"/>
        </w:rPr>
        <w:t>附件</w:t>
      </w:r>
      <w:r>
        <w:rPr>
          <w:rFonts w:hint="eastAsia" w:ascii="宋体" w:hAnsi="宋体" w:eastAsia="宋体" w:cs="宋体"/>
          <w:sz w:val="21"/>
          <w:szCs w:val="21"/>
          <w:lang w:val="en-US" w:eastAsia="zh-CN"/>
        </w:rPr>
        <w:t>19</w:t>
      </w:r>
      <w:r>
        <w:rPr>
          <w:rFonts w:hint="eastAsia" w:ascii="宋体" w:hAnsi="宋体" w:eastAsia="宋体" w:cs="宋体"/>
          <w:sz w:val="21"/>
          <w:szCs w:val="21"/>
        </w:rPr>
        <w:t>.唱标信封内装（内容务必与投标文件正本一致）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_Toc24843 \h </w:instrText>
      </w:r>
      <w:r>
        <w:rPr>
          <w:rFonts w:hint="eastAsia" w:ascii="宋体" w:hAnsi="宋体" w:eastAsia="宋体" w:cs="宋体"/>
          <w:sz w:val="21"/>
          <w:szCs w:val="21"/>
        </w:rPr>
        <w:fldChar w:fldCharType="separate"/>
      </w:r>
      <w:r>
        <w:rPr>
          <w:rFonts w:hint="eastAsia" w:ascii="宋体" w:hAnsi="宋体" w:eastAsia="宋体" w:cs="宋体"/>
          <w:sz w:val="21"/>
          <w:szCs w:val="21"/>
        </w:rPr>
        <w:t>100</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16EB4FFA">
      <w:pPr>
        <w:pStyle w:val="25"/>
        <w:tabs>
          <w:tab w:val="right" w:leader="dot" w:pos="8306"/>
          <w:tab w:val="clear" w:pos="8296"/>
        </w:tabs>
        <w:ind w:left="0" w:leftChars="0"/>
        <w:rPr>
          <w:rFonts w:cs="宋体"/>
          <w:color w:val="auto"/>
          <w:sz w:val="21"/>
          <w:szCs w:val="21"/>
        </w:rPr>
      </w:pPr>
      <w:r>
        <w:rPr>
          <w:rFonts w:hint="eastAsia" w:ascii="宋体" w:hAnsi="宋体" w:eastAsia="宋体" w:cs="宋体"/>
          <w:color w:val="auto"/>
          <w:szCs w:val="21"/>
        </w:rPr>
        <w:fldChar w:fldCharType="end"/>
      </w:r>
    </w:p>
    <w:p w14:paraId="1AC3323A">
      <w:pPr>
        <w:rPr>
          <w:rFonts w:ascii="宋体" w:hAnsi="宋体" w:cs="宋体"/>
          <w:color w:val="auto"/>
          <w:szCs w:val="21"/>
        </w:rPr>
      </w:pPr>
      <w:r>
        <w:rPr>
          <w:rFonts w:hint="eastAsia" w:ascii="宋体" w:hAnsi="宋体" w:cs="宋体"/>
          <w:color w:val="auto"/>
          <w:szCs w:val="21"/>
        </w:rPr>
        <w:br w:type="page"/>
      </w:r>
    </w:p>
    <w:p w14:paraId="70342023">
      <w:pPr>
        <w:pStyle w:val="3"/>
        <w:spacing w:before="0" w:after="0" w:line="240" w:lineRule="auto"/>
        <w:rPr>
          <w:color w:val="auto"/>
          <w:sz w:val="28"/>
          <w:szCs w:val="28"/>
          <w:highlight w:val="none"/>
        </w:rPr>
      </w:pPr>
      <w:bookmarkStart w:id="0" w:name="_Toc25180"/>
      <w:r>
        <w:rPr>
          <w:rFonts w:hint="eastAsia"/>
          <w:color w:val="auto"/>
          <w:sz w:val="28"/>
          <w:szCs w:val="28"/>
        </w:rPr>
        <w:t>第一部分投</w:t>
      </w:r>
      <w:r>
        <w:rPr>
          <w:rFonts w:hint="eastAsia"/>
          <w:color w:val="auto"/>
          <w:sz w:val="28"/>
          <w:szCs w:val="28"/>
          <w:highlight w:val="none"/>
        </w:rPr>
        <w:t>标邀请</w:t>
      </w:r>
      <w:bookmarkEnd w:id="0"/>
    </w:p>
    <w:p w14:paraId="79BDBC88">
      <w:pPr>
        <w:pStyle w:val="4"/>
        <w:spacing w:before="0" w:after="0" w:line="360" w:lineRule="auto"/>
        <w:jc w:val="center"/>
        <w:rPr>
          <w:rFonts w:ascii="宋体" w:hAnsi="宋体" w:cs="宋体"/>
          <w:color w:val="auto"/>
          <w:highlight w:val="none"/>
        </w:rPr>
      </w:pPr>
      <w:bookmarkStart w:id="1" w:name="_Toc15807"/>
      <w:r>
        <w:rPr>
          <w:rFonts w:hint="eastAsia" w:ascii="宋体" w:hAnsi="宋体" w:cs="宋体"/>
          <w:color w:val="auto"/>
          <w:highlight w:val="none"/>
        </w:rPr>
        <w:t>投标邀请书</w:t>
      </w:r>
      <w:bookmarkEnd w:id="1"/>
    </w:p>
    <w:p w14:paraId="0EC7A683">
      <w:pPr>
        <w:ind w:firstLine="422" w:firstLineChars="200"/>
        <w:rPr>
          <w:rFonts w:ascii="宋体" w:hAnsi="宋体"/>
          <w:color w:val="auto"/>
          <w:szCs w:val="21"/>
        </w:rPr>
      </w:pPr>
      <w:r>
        <w:rPr>
          <w:rFonts w:hint="eastAsia" w:ascii="宋体" w:hAnsi="宋体"/>
          <w:b/>
          <w:bCs/>
          <w:color w:val="auto"/>
          <w:szCs w:val="21"/>
          <w:highlight w:val="none"/>
          <w:u w:val="single"/>
          <w:lang w:eastAsia="zh-CN"/>
        </w:rPr>
        <w:t>广东政通招标有限公司</w:t>
      </w:r>
      <w:r>
        <w:rPr>
          <w:rFonts w:ascii="宋体" w:hAnsi="宋体"/>
          <w:color w:val="auto"/>
          <w:szCs w:val="21"/>
          <w:highlight w:val="none"/>
        </w:rPr>
        <w:t>（以下简称</w:t>
      </w:r>
      <w:r>
        <w:rPr>
          <w:rFonts w:hint="eastAsia" w:ascii="宋体" w:hAnsi="宋体"/>
          <w:color w:val="auto"/>
          <w:szCs w:val="21"/>
          <w:highlight w:val="none"/>
        </w:rPr>
        <w:t>“采购代理机构”</w:t>
      </w:r>
      <w:r>
        <w:rPr>
          <w:rFonts w:ascii="宋体" w:hAnsi="宋体"/>
          <w:color w:val="auto"/>
          <w:szCs w:val="21"/>
          <w:highlight w:val="none"/>
        </w:rPr>
        <w:t>）受</w:t>
      </w:r>
      <w:r>
        <w:rPr>
          <w:rFonts w:hint="eastAsia" w:ascii="宋体" w:hAnsi="宋体"/>
          <w:b/>
          <w:color w:val="auto"/>
          <w:szCs w:val="21"/>
          <w:highlight w:val="none"/>
          <w:u w:val="single"/>
          <w:lang w:eastAsia="zh-CN"/>
        </w:rPr>
        <w:t>东莞实业投资控股集团有限公司</w:t>
      </w:r>
      <w:r>
        <w:rPr>
          <w:rFonts w:ascii="宋体" w:hAnsi="宋体"/>
          <w:color w:val="auto"/>
          <w:szCs w:val="21"/>
          <w:highlight w:val="none"/>
        </w:rPr>
        <w:t>（以下简称</w:t>
      </w:r>
      <w:r>
        <w:rPr>
          <w:rFonts w:hint="eastAsia" w:ascii="宋体" w:hAnsi="宋体"/>
          <w:color w:val="auto"/>
          <w:szCs w:val="21"/>
          <w:highlight w:val="none"/>
        </w:rPr>
        <w:t>“采</w:t>
      </w:r>
      <w:r>
        <w:rPr>
          <w:rFonts w:hint="eastAsia" w:ascii="宋体" w:hAnsi="宋体"/>
          <w:color w:val="auto"/>
          <w:szCs w:val="21"/>
        </w:rPr>
        <w:t>购人”</w:t>
      </w:r>
      <w:r>
        <w:rPr>
          <w:rFonts w:ascii="宋体" w:hAnsi="宋体"/>
          <w:color w:val="auto"/>
          <w:szCs w:val="21"/>
        </w:rPr>
        <w:t>）委托，</w:t>
      </w:r>
      <w:r>
        <w:rPr>
          <w:rFonts w:hint="eastAsia" w:ascii="宋体" w:hAnsi="宋体"/>
          <w:color w:val="auto"/>
          <w:szCs w:val="21"/>
        </w:rPr>
        <w:t>现</w:t>
      </w:r>
      <w:r>
        <w:rPr>
          <w:rFonts w:ascii="宋体" w:hAnsi="宋体"/>
          <w:color w:val="auto"/>
          <w:szCs w:val="21"/>
        </w:rPr>
        <w:t>就</w:t>
      </w:r>
      <w:r>
        <w:rPr>
          <w:rFonts w:hint="eastAsia" w:ascii="宋体" w:hAnsi="宋体"/>
          <w:b/>
          <w:color w:val="auto"/>
          <w:szCs w:val="21"/>
          <w:u w:val="single"/>
          <w:lang w:eastAsia="zh-CN"/>
        </w:rPr>
        <w:t>东莞实业投资控股集团有限公司注册发行超短期融资券主承销商采购项目</w:t>
      </w:r>
      <w:r>
        <w:rPr>
          <w:rFonts w:hint="eastAsia" w:ascii="宋体" w:hAnsi="宋体"/>
          <w:color w:val="auto"/>
          <w:szCs w:val="21"/>
        </w:rPr>
        <w:t>（项目编号：</w:t>
      </w:r>
      <w:r>
        <w:rPr>
          <w:rFonts w:hint="eastAsia" w:ascii="宋体" w:hAnsi="宋体"/>
          <w:b/>
          <w:bCs/>
          <w:color w:val="auto"/>
          <w:szCs w:val="21"/>
        </w:rPr>
        <w:t>DGSY-CW-03-12-014(2024)</w:t>
      </w:r>
      <w:r>
        <w:rPr>
          <w:rFonts w:hint="eastAsia" w:ascii="宋体" w:hAnsi="宋体"/>
          <w:color w:val="auto"/>
          <w:szCs w:val="21"/>
        </w:rPr>
        <w:t>）</w:t>
      </w:r>
      <w:r>
        <w:rPr>
          <w:rFonts w:hint="eastAsia" w:ascii="宋体" w:hAnsi="宋体" w:cs="Times New Roman"/>
          <w:color w:val="auto"/>
          <w:szCs w:val="21"/>
        </w:rPr>
        <w:t>进行国内公开采购</w:t>
      </w:r>
      <w:r>
        <w:rPr>
          <w:rFonts w:hint="eastAsia" w:ascii="宋体" w:hAnsi="宋体"/>
          <w:color w:val="auto"/>
          <w:szCs w:val="21"/>
        </w:rPr>
        <w:t>，欢迎符合采购文件要求的国内投标人参加投标</w:t>
      </w:r>
      <w:r>
        <w:rPr>
          <w:rFonts w:ascii="宋体" w:hAnsi="宋体"/>
          <w:color w:val="auto"/>
          <w:szCs w:val="21"/>
        </w:rPr>
        <w:t>。有关事项如下：</w:t>
      </w:r>
    </w:p>
    <w:p w14:paraId="42F73F2D">
      <w:pPr>
        <w:ind w:firstLine="413" w:firstLineChars="196"/>
        <w:rPr>
          <w:rFonts w:ascii="宋体" w:hAnsi="宋体"/>
          <w:b/>
          <w:color w:val="auto"/>
          <w:szCs w:val="21"/>
        </w:rPr>
      </w:pPr>
    </w:p>
    <w:p w14:paraId="1FFC09F1">
      <w:pPr>
        <w:ind w:firstLine="413"/>
        <w:rPr>
          <w:rFonts w:ascii="宋体" w:hAnsi="宋体"/>
          <w:b/>
          <w:color w:val="auto"/>
          <w:szCs w:val="21"/>
        </w:rPr>
      </w:pPr>
      <w:r>
        <w:rPr>
          <w:rFonts w:hint="eastAsia" w:ascii="宋体" w:hAnsi="宋体"/>
          <w:b/>
          <w:color w:val="auto"/>
          <w:szCs w:val="21"/>
        </w:rPr>
        <w:t>一、采购项目概况</w:t>
      </w:r>
    </w:p>
    <w:p w14:paraId="2A947BBE">
      <w:pPr>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、采购</w:t>
      </w:r>
      <w:r>
        <w:rPr>
          <w:rFonts w:ascii="宋体" w:hAnsi="宋体"/>
          <w:color w:val="auto"/>
          <w:szCs w:val="21"/>
        </w:rPr>
        <w:t>项目名称</w:t>
      </w:r>
      <w:r>
        <w:rPr>
          <w:rFonts w:hint="eastAsia" w:ascii="宋体" w:hAnsi="宋体"/>
          <w:color w:val="auto"/>
          <w:szCs w:val="21"/>
        </w:rPr>
        <w:t>：</w:t>
      </w:r>
      <w:r>
        <w:rPr>
          <w:rFonts w:hint="eastAsia" w:ascii="宋体" w:hAnsi="宋体"/>
          <w:b/>
          <w:color w:val="auto"/>
          <w:szCs w:val="21"/>
          <w:u w:val="single"/>
          <w:lang w:eastAsia="zh-CN"/>
        </w:rPr>
        <w:t>东莞实业投资控股集团有限公司注册发行超短期融资券主承销商采购项目</w:t>
      </w:r>
    </w:p>
    <w:p w14:paraId="55EFC44B">
      <w:pPr>
        <w:ind w:firstLine="420" w:firstLineChars="200"/>
        <w:rPr>
          <w:rFonts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、最高</w:t>
      </w:r>
      <w:r>
        <w:rPr>
          <w:rFonts w:ascii="宋体" w:hAnsi="宋体"/>
          <w:color w:val="auto"/>
          <w:szCs w:val="21"/>
        </w:rPr>
        <w:t>限价：</w:t>
      </w:r>
      <w:r>
        <w:rPr>
          <w:rFonts w:hint="eastAsia" w:ascii="宋体" w:hAnsi="宋体"/>
          <w:b/>
          <w:bCs/>
          <w:color w:val="auto"/>
          <w:szCs w:val="21"/>
          <w:highlight w:val="none"/>
          <w:u w:val="single"/>
          <w:lang w:val="en-US" w:eastAsia="zh-CN"/>
        </w:rPr>
        <w:t>承销费率最高限价为0.01%/年</w:t>
      </w:r>
    </w:p>
    <w:p w14:paraId="6772E105">
      <w:pPr>
        <w:ind w:firstLine="420" w:firstLineChars="200"/>
        <w:rPr>
          <w:rFonts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、项目内容</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2132"/>
        <w:gridCol w:w="2476"/>
        <w:gridCol w:w="2724"/>
      </w:tblGrid>
      <w:tr w14:paraId="6D81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00" w:type="pct"/>
            <w:vAlign w:val="center"/>
          </w:tcPr>
          <w:p w14:paraId="165B6AA9">
            <w:pPr>
              <w:spacing w:line="240" w:lineRule="auto"/>
              <w:jc w:val="center"/>
              <w:rPr>
                <w:rFonts w:ascii="宋体" w:hAnsi="宋体" w:cs="宋体"/>
                <w:color w:val="auto"/>
                <w:kern w:val="28"/>
                <w:szCs w:val="21"/>
              </w:rPr>
            </w:pPr>
            <w:r>
              <w:rPr>
                <w:rFonts w:hint="eastAsia" w:ascii="宋体" w:hAnsi="宋体" w:cs="宋体"/>
                <w:color w:val="auto"/>
                <w:kern w:val="28"/>
                <w:szCs w:val="21"/>
              </w:rPr>
              <w:t>采购包号</w:t>
            </w:r>
          </w:p>
        </w:tc>
        <w:tc>
          <w:tcPr>
            <w:tcW w:w="1250" w:type="pct"/>
            <w:vAlign w:val="center"/>
          </w:tcPr>
          <w:p w14:paraId="6F7E3AFC">
            <w:pPr>
              <w:spacing w:line="240" w:lineRule="auto"/>
              <w:jc w:val="center"/>
              <w:rPr>
                <w:rFonts w:ascii="宋体" w:hAnsi="宋体" w:cs="宋体"/>
                <w:color w:val="auto"/>
                <w:kern w:val="28"/>
                <w:szCs w:val="21"/>
              </w:rPr>
            </w:pPr>
            <w:r>
              <w:rPr>
                <w:rFonts w:hint="eastAsia" w:ascii="宋体" w:hAnsi="宋体" w:cs="宋体"/>
                <w:color w:val="auto"/>
                <w:kern w:val="28"/>
                <w:szCs w:val="21"/>
              </w:rPr>
              <w:t>项目内容</w:t>
            </w:r>
          </w:p>
        </w:tc>
        <w:tc>
          <w:tcPr>
            <w:tcW w:w="1452" w:type="pct"/>
            <w:vAlign w:val="center"/>
          </w:tcPr>
          <w:p w14:paraId="5558960F">
            <w:pPr>
              <w:spacing w:line="240" w:lineRule="auto"/>
              <w:jc w:val="center"/>
              <w:rPr>
                <w:rFonts w:ascii="宋体" w:hAnsi="宋体" w:cs="宋体"/>
                <w:color w:val="auto"/>
                <w:kern w:val="28"/>
                <w:szCs w:val="21"/>
              </w:rPr>
            </w:pPr>
            <w:r>
              <w:rPr>
                <w:rFonts w:hint="eastAsia" w:ascii="宋体" w:hAnsi="宋体" w:cs="宋体"/>
                <w:color w:val="auto"/>
                <w:kern w:val="28"/>
                <w:szCs w:val="21"/>
              </w:rPr>
              <w:t>采购服务单位数量</w:t>
            </w:r>
          </w:p>
        </w:tc>
        <w:tc>
          <w:tcPr>
            <w:tcW w:w="1597" w:type="pct"/>
            <w:vAlign w:val="center"/>
          </w:tcPr>
          <w:p w14:paraId="00263E5B">
            <w:pPr>
              <w:spacing w:line="240" w:lineRule="auto"/>
              <w:jc w:val="center"/>
              <w:rPr>
                <w:rFonts w:ascii="宋体" w:hAnsi="宋体" w:cs="宋体"/>
                <w:color w:val="auto"/>
                <w:kern w:val="28"/>
                <w:szCs w:val="21"/>
              </w:rPr>
            </w:pPr>
            <w:r>
              <w:rPr>
                <w:rFonts w:hint="eastAsia" w:ascii="宋体" w:hAnsi="宋体" w:cs="宋体"/>
                <w:color w:val="auto"/>
                <w:kern w:val="28"/>
                <w:szCs w:val="21"/>
              </w:rPr>
              <w:t>服务期</w:t>
            </w:r>
          </w:p>
        </w:tc>
      </w:tr>
      <w:tr w14:paraId="6B6B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00" w:type="pct"/>
            <w:vAlign w:val="center"/>
          </w:tcPr>
          <w:p w14:paraId="3385172B">
            <w:pPr>
              <w:spacing w:line="240" w:lineRule="auto"/>
              <w:jc w:val="center"/>
              <w:rPr>
                <w:rFonts w:hint="eastAsia" w:ascii="宋体" w:hAnsi="宋体" w:eastAsia="宋体" w:cs="宋体"/>
                <w:color w:val="auto"/>
                <w:kern w:val="28"/>
                <w:szCs w:val="21"/>
              </w:rPr>
            </w:pPr>
            <w:r>
              <w:rPr>
                <w:rFonts w:hint="eastAsia" w:ascii="宋体" w:hAnsi="宋体" w:eastAsia="宋体" w:cs="宋体"/>
                <w:color w:val="auto"/>
                <w:kern w:val="28"/>
                <w:szCs w:val="21"/>
              </w:rPr>
              <w:t>A</w:t>
            </w:r>
          </w:p>
        </w:tc>
        <w:tc>
          <w:tcPr>
            <w:tcW w:w="1250" w:type="pct"/>
            <w:vAlign w:val="center"/>
          </w:tcPr>
          <w:p w14:paraId="32C7A2AB">
            <w:pPr>
              <w:spacing w:line="240" w:lineRule="auto"/>
              <w:jc w:val="center"/>
              <w:rPr>
                <w:rFonts w:hint="eastAsia" w:ascii="宋体" w:hAnsi="宋体" w:eastAsia="宋体" w:cs="宋体"/>
                <w:color w:val="auto"/>
                <w:kern w:val="28"/>
                <w:szCs w:val="21"/>
              </w:rPr>
            </w:pPr>
            <w:r>
              <w:rPr>
                <w:rFonts w:hint="eastAsia" w:ascii="宋体" w:hAnsi="宋体" w:eastAsia="宋体" w:cs="宋体"/>
                <w:color w:val="auto"/>
                <w:kern w:val="28"/>
                <w:szCs w:val="21"/>
                <w:lang w:eastAsia="zh-CN"/>
              </w:rPr>
              <w:t>东莞实业投资控股集团有限公司注册发行超短期融资券主承销商采购项目</w:t>
            </w:r>
          </w:p>
        </w:tc>
        <w:tc>
          <w:tcPr>
            <w:tcW w:w="1452" w:type="pct"/>
            <w:vAlign w:val="center"/>
          </w:tcPr>
          <w:p w14:paraId="21FD0E3D">
            <w:pPr>
              <w:spacing w:line="240" w:lineRule="auto"/>
              <w:jc w:val="center"/>
              <w:rPr>
                <w:rFonts w:hint="eastAsia" w:ascii="宋体" w:hAnsi="宋体" w:eastAsia="宋体" w:cs="宋体"/>
                <w:color w:val="auto"/>
                <w:kern w:val="28"/>
                <w:szCs w:val="21"/>
                <w:lang w:val="en-US" w:eastAsia="zh-CN"/>
              </w:rPr>
            </w:pPr>
            <w:r>
              <w:rPr>
                <w:rFonts w:hint="eastAsia" w:ascii="宋体" w:hAnsi="宋体" w:cs="宋体"/>
                <w:b/>
                <w:bCs/>
                <w:color w:val="auto"/>
                <w:szCs w:val="21"/>
                <w:highlight w:val="none"/>
                <w:lang w:val="en-US" w:eastAsia="zh-CN"/>
              </w:rPr>
              <w:t>数量不作限定，综合评分≥60分的投标人均作为本项目中标候选人。</w:t>
            </w:r>
            <w:r>
              <w:rPr>
                <w:rFonts w:hint="eastAsia" w:ascii="宋体" w:hAnsi="宋体"/>
                <w:b/>
                <w:bCs/>
                <w:color w:val="auto"/>
                <w:szCs w:val="21"/>
                <w:highlight w:val="none"/>
              </w:rPr>
              <w:t xml:space="preserve"> </w:t>
            </w:r>
          </w:p>
        </w:tc>
        <w:tc>
          <w:tcPr>
            <w:tcW w:w="1597" w:type="pct"/>
            <w:vAlign w:val="center"/>
          </w:tcPr>
          <w:p w14:paraId="787FC75C">
            <w:pPr>
              <w:spacing w:line="240" w:lineRule="auto"/>
              <w:jc w:val="center"/>
              <w:rPr>
                <w:rFonts w:hint="eastAsia" w:ascii="宋体" w:hAnsi="宋体" w:eastAsia="宋体" w:cs="宋体"/>
                <w:color w:val="auto"/>
                <w:kern w:val="28"/>
                <w:szCs w:val="21"/>
              </w:rPr>
            </w:pPr>
            <w:r>
              <w:rPr>
                <w:rFonts w:hint="eastAsia" w:ascii="宋体" w:hAnsi="宋体" w:eastAsia="宋体" w:cs="宋体"/>
                <w:color w:val="auto"/>
                <w:kern w:val="28"/>
                <w:szCs w:val="21"/>
                <w:lang w:eastAsia="zh-CN"/>
              </w:rPr>
              <w:t>本项目服务期自签订服务合同之日起至本项目工作全部完成止</w:t>
            </w:r>
          </w:p>
        </w:tc>
      </w:tr>
    </w:tbl>
    <w:p w14:paraId="74156845">
      <w:pPr>
        <w:ind w:firstLine="420" w:firstLineChars="200"/>
        <w:rPr>
          <w:rFonts w:hint="eastAsia" w:ascii="宋体" w:hAnsi="宋体"/>
          <w:color w:val="auto"/>
          <w:szCs w:val="21"/>
        </w:rPr>
      </w:pPr>
    </w:p>
    <w:p w14:paraId="623C63EA">
      <w:pPr>
        <w:ind w:firstLine="420" w:firstLineChars="200"/>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、项目需求</w:t>
      </w:r>
    </w:p>
    <w:p w14:paraId="05391403">
      <w:pPr>
        <w:ind w:firstLine="420" w:firstLineChars="200"/>
        <w:rPr>
          <w:rFonts w:ascii="宋体" w:hAnsi="宋体"/>
          <w:color w:val="auto"/>
          <w:szCs w:val="21"/>
        </w:rPr>
      </w:pPr>
      <w:r>
        <w:rPr>
          <w:rFonts w:hint="eastAsia" w:ascii="宋体" w:hAnsi="宋体"/>
          <w:color w:val="auto"/>
          <w:szCs w:val="21"/>
        </w:rPr>
        <w:t>详细内容请参阅采购文件第三部分《用户需求书》。</w:t>
      </w:r>
    </w:p>
    <w:p w14:paraId="70081310">
      <w:pPr>
        <w:ind w:firstLine="413" w:firstLineChars="196"/>
        <w:rPr>
          <w:rFonts w:ascii="宋体" w:hAnsi="宋体"/>
          <w:b/>
          <w:color w:val="auto"/>
          <w:szCs w:val="21"/>
        </w:rPr>
      </w:pPr>
    </w:p>
    <w:p w14:paraId="36E9A10D">
      <w:pPr>
        <w:ind w:firstLine="413" w:firstLineChars="196"/>
        <w:rPr>
          <w:rFonts w:ascii="宋体" w:hAnsi="宋体"/>
          <w:b/>
          <w:color w:val="auto"/>
          <w:szCs w:val="21"/>
        </w:rPr>
      </w:pPr>
      <w:r>
        <w:rPr>
          <w:rFonts w:hint="eastAsia" w:ascii="宋体" w:hAnsi="宋体"/>
          <w:b/>
          <w:color w:val="auto"/>
          <w:szCs w:val="21"/>
        </w:rPr>
        <w:t>二、投标人资格要求</w:t>
      </w:r>
    </w:p>
    <w:p w14:paraId="5161686C">
      <w:pPr>
        <w:ind w:firstLine="411" w:firstLineChars="196"/>
        <w:rPr>
          <w:rFonts w:ascii="宋体" w:hAnsi="宋体"/>
          <w:color w:val="auto"/>
          <w:szCs w:val="21"/>
        </w:rPr>
      </w:pPr>
      <w:r>
        <w:rPr>
          <w:rFonts w:hint="eastAsia" w:ascii="宋体" w:hAnsi="宋体"/>
          <w:color w:val="auto"/>
          <w:szCs w:val="21"/>
        </w:rPr>
        <w:t>1、一般要求：</w:t>
      </w:r>
    </w:p>
    <w:p w14:paraId="174AC217">
      <w:pPr>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投标人是在中华人民共和国境内登记注册的具有独立承担民事责任能力的金融机构或其分支机构（分支机构投标的，须提供其所属金融机构就本项目对该分支机构的投标授权书，如中标，由其所属金融机构签订合同）；同一家金融机构最多只能授权一家分支机构参与投标，如果同一家金融机构及其分支机构均报名或同一家金融机构的多个分支机构报名，则该金融机构及其分支机构的投标将被拒绝</w:t>
      </w:r>
      <w:r>
        <w:rPr>
          <w:rFonts w:hint="eastAsia" w:ascii="宋体" w:hAnsi="宋体"/>
          <w:color w:val="auto"/>
          <w:szCs w:val="21"/>
          <w:highlight w:val="none"/>
          <w:lang w:val="en-US" w:eastAsia="zh-CN"/>
        </w:rPr>
        <w:t>（授权委托书格式自拟，亦可参考商务文件格式附件8独家授权委托书）</w:t>
      </w:r>
      <w:r>
        <w:rPr>
          <w:rFonts w:hint="eastAsia" w:ascii="宋体" w:hAnsi="宋体"/>
          <w:color w:val="auto"/>
          <w:szCs w:val="21"/>
          <w:highlight w:val="none"/>
          <w:lang w:eastAsia="zh-CN"/>
        </w:rPr>
        <w:t>；</w:t>
      </w:r>
    </w:p>
    <w:p w14:paraId="39C61218">
      <w:pPr>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投标人或其上级法人（分支机构投标时其所属的金融机构法人）为具备非金融企业债务融资工具主承销商业务资格的银行类</w:t>
      </w:r>
      <w:r>
        <w:rPr>
          <w:rFonts w:hint="eastAsia" w:ascii="宋体" w:hAnsi="宋体"/>
          <w:color w:val="auto"/>
          <w:szCs w:val="21"/>
          <w:highlight w:val="none"/>
          <w:lang w:val="en-US" w:eastAsia="zh-CN"/>
        </w:rPr>
        <w:t>主承销商</w:t>
      </w:r>
      <w:r>
        <w:rPr>
          <w:rFonts w:hint="eastAsia" w:ascii="宋体" w:hAnsi="宋体"/>
          <w:color w:val="auto"/>
          <w:szCs w:val="21"/>
          <w:highlight w:val="none"/>
          <w:lang w:eastAsia="zh-CN"/>
        </w:rPr>
        <w:t>机构（以中国银行间市场交易商协会</w:t>
      </w:r>
      <w:r>
        <w:rPr>
          <w:rFonts w:hint="eastAsia" w:ascii="宋体" w:hAnsi="宋体"/>
          <w:color w:val="auto"/>
          <w:szCs w:val="21"/>
          <w:highlight w:val="none"/>
          <w:lang w:val="en-US" w:eastAsia="zh-CN"/>
        </w:rPr>
        <w:t>最新</w:t>
      </w:r>
      <w:r>
        <w:rPr>
          <w:rFonts w:hint="eastAsia" w:ascii="宋体" w:hAnsi="宋体"/>
          <w:color w:val="auto"/>
          <w:szCs w:val="21"/>
          <w:highlight w:val="none"/>
          <w:lang w:eastAsia="zh-CN"/>
        </w:rPr>
        <w:t>公布的“非金融企业债务融资工具承销机构名单—主承销商—</w:t>
      </w:r>
      <w:r>
        <w:rPr>
          <w:rFonts w:hint="eastAsia" w:ascii="宋体" w:hAnsi="宋体"/>
          <w:color w:val="auto"/>
          <w:szCs w:val="21"/>
          <w:highlight w:val="none"/>
          <w:lang w:val="en-US" w:eastAsia="zh-CN"/>
        </w:rPr>
        <w:t>一般主承销商</w:t>
      </w:r>
      <w:r>
        <w:rPr>
          <w:rFonts w:hint="eastAsia" w:ascii="宋体" w:hAnsi="宋体"/>
          <w:color w:val="auto"/>
          <w:szCs w:val="21"/>
          <w:highlight w:val="none"/>
          <w:lang w:eastAsia="zh-CN"/>
        </w:rPr>
        <w:t xml:space="preserve">—银行类机构”为准）； </w:t>
      </w:r>
    </w:p>
    <w:p w14:paraId="787C71C3">
      <w:pPr>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 xml:space="preserve">）投标人负责人为同一人或者存在控股、管理关系的不同投标人，不得参加同一合同项下的采购活动； </w:t>
      </w:r>
    </w:p>
    <w:p w14:paraId="07E1C5E3">
      <w:pPr>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投标人</w:t>
      </w:r>
      <w:r>
        <w:rPr>
          <w:rFonts w:hint="eastAsia" w:ascii="宋体" w:hAnsi="宋体"/>
          <w:color w:val="auto"/>
          <w:szCs w:val="21"/>
          <w:highlight w:val="none"/>
          <w:lang w:val="en-US" w:eastAsia="zh-CN"/>
        </w:rPr>
        <w:t>在2024</w:t>
      </w:r>
      <w:r>
        <w:rPr>
          <w:rFonts w:hint="eastAsia" w:ascii="宋体" w:hAnsi="宋体"/>
          <w:color w:val="auto"/>
          <w:szCs w:val="21"/>
          <w:highlight w:val="none"/>
          <w:lang w:eastAsia="zh-CN"/>
        </w:rPr>
        <w:t>年1月1日至开标日没有因债券承销业务不良记录或对债券存续期的管理、督导被银行间交易商协会处罚以致于不能正常开展债券承销业务。（</w:t>
      </w:r>
      <w:r>
        <w:rPr>
          <w:rFonts w:hint="eastAsia"/>
          <w:color w:val="auto"/>
          <w:highlight w:val="none"/>
          <w:u w:val="none"/>
          <w:lang w:eastAsia="zh-CN"/>
        </w:rPr>
        <w:t>在</w:t>
      </w:r>
      <w:r>
        <w:rPr>
          <w:rFonts w:hint="eastAsia"/>
          <w:color w:val="auto"/>
          <w:highlight w:val="none"/>
          <w:u w:val="none"/>
          <w:lang w:val="en-US" w:eastAsia="zh-CN"/>
        </w:rPr>
        <w:t>商务文件格式附件8</w:t>
      </w:r>
      <w:r>
        <w:rPr>
          <w:rFonts w:hint="eastAsia" w:ascii="宋体" w:hAnsi="宋体"/>
          <w:color w:val="auto"/>
          <w:szCs w:val="21"/>
          <w:highlight w:val="none"/>
          <w:lang w:eastAsia="zh-CN"/>
        </w:rPr>
        <w:t>资格声明函中承诺，如</w:t>
      </w:r>
      <w:r>
        <w:rPr>
          <w:rFonts w:hint="eastAsia" w:ascii="宋体" w:hAnsi="宋体"/>
          <w:color w:val="auto"/>
          <w:szCs w:val="21"/>
          <w:highlight w:val="none"/>
          <w:lang w:val="en-US" w:eastAsia="zh-CN"/>
        </w:rPr>
        <w:t>采购</w:t>
      </w:r>
      <w:r>
        <w:rPr>
          <w:rFonts w:hint="eastAsia" w:ascii="宋体" w:hAnsi="宋体"/>
          <w:color w:val="auto"/>
          <w:szCs w:val="21"/>
          <w:highlight w:val="none"/>
          <w:lang w:eastAsia="zh-CN"/>
        </w:rPr>
        <w:t>人在投标人中标后发现存在上述处罚或未结案的立案调查事项，有权取消其中标资格）；</w:t>
      </w:r>
    </w:p>
    <w:p w14:paraId="10C3A588">
      <w:pPr>
        <w:ind w:firstLine="420" w:firstLineChars="200"/>
        <w:rPr>
          <w:rFonts w:ascii="宋体" w:hAnsi="宋体"/>
          <w:szCs w:val="21"/>
          <w:highlight w:val="none"/>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）参加采购活动前三年内，</w:t>
      </w:r>
      <w:r>
        <w:rPr>
          <w:rFonts w:hint="eastAsia" w:ascii="宋体" w:hAnsi="宋体"/>
          <w:szCs w:val="21"/>
          <w:highlight w:val="none"/>
        </w:rPr>
        <w:t>在经营活动中没有重大违法记录（须提供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3E438B26">
      <w:pPr>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6</w:t>
      </w:r>
      <w:r>
        <w:rPr>
          <w:rFonts w:hint="eastAsia" w:ascii="宋体" w:hAnsi="宋体"/>
          <w:szCs w:val="21"/>
          <w:highlight w:val="none"/>
        </w:rPr>
        <w:t>）未被列入“信用中国”网站(www.creditchina.gov.cn )“记录失信被执行人或</w:t>
      </w:r>
      <w:r>
        <w:rPr>
          <w:rFonts w:hint="eastAsia"/>
          <w:highlight w:val="none"/>
        </w:rPr>
        <w:t>重大税收违法失信主体</w:t>
      </w:r>
      <w:r>
        <w:rPr>
          <w:rFonts w:hint="eastAsia" w:ascii="宋体" w:hAnsi="宋体"/>
          <w:szCs w:val="21"/>
          <w:highlight w:val="none"/>
        </w:rPr>
        <w:t>或政府采购严重违法失信行为”记录名单。以代理机构于投标截止日当天在“信用中国”网站查询结果为准，如相关失信记录已失效，投标人需提供相关证明资料。</w:t>
      </w:r>
    </w:p>
    <w:p w14:paraId="4A357C90">
      <w:pPr>
        <w:ind w:firstLine="420" w:firstLineChars="200"/>
        <w:rPr>
          <w:rFonts w:hint="eastAsia" w:ascii="宋体" w:hAnsi="宋体"/>
          <w:color w:val="auto"/>
          <w:szCs w:val="21"/>
          <w:highlight w:val="none"/>
          <w:lang w:eastAsia="zh-CN"/>
        </w:rPr>
      </w:pPr>
      <w:r>
        <w:rPr>
          <w:rFonts w:hint="eastAsia" w:ascii="宋体" w:hAnsi="宋体"/>
          <w:szCs w:val="21"/>
          <w:highlight w:val="none"/>
        </w:rPr>
        <w:t>（</w:t>
      </w:r>
      <w:r>
        <w:rPr>
          <w:rFonts w:hint="eastAsia" w:ascii="宋体" w:hAnsi="宋体"/>
          <w:szCs w:val="21"/>
          <w:highlight w:val="none"/>
          <w:lang w:val="en-US" w:eastAsia="zh-CN"/>
        </w:rPr>
        <w:t>7</w:t>
      </w:r>
      <w:r>
        <w:rPr>
          <w:rFonts w:hint="eastAsia" w:ascii="宋体" w:hAnsi="宋体"/>
          <w:szCs w:val="21"/>
          <w:highlight w:val="none"/>
        </w:rPr>
        <w:t>）未被列入东实集团及下属企业相关领域黑名单。【以</w:t>
      </w:r>
      <w:r>
        <w:rPr>
          <w:rFonts w:hint="eastAsia" w:hAnsi="宋体" w:cs="宋体"/>
          <w:kern w:val="2"/>
          <w:szCs w:val="21"/>
          <w:highlight w:val="none"/>
          <w:lang w:val="zh-CN"/>
        </w:rPr>
        <w:t>东莞实业投资控股集团有限公司</w:t>
      </w:r>
      <w:r>
        <w:rPr>
          <w:rFonts w:hint="eastAsia" w:ascii="宋体" w:hAnsi="宋体"/>
          <w:szCs w:val="21"/>
          <w:highlight w:val="none"/>
        </w:rPr>
        <w:t>发文（东实通〔2021〕44号）、（东实通〔2021〕98号）、</w:t>
      </w:r>
      <w:r>
        <w:rPr>
          <w:rFonts w:ascii="宋体" w:hAnsi="宋体"/>
          <w:szCs w:val="21"/>
          <w:highlight w:val="none"/>
        </w:rPr>
        <w:t>（东实通〔2022〕75号）</w:t>
      </w:r>
      <w:r>
        <w:rPr>
          <w:rFonts w:hint="eastAsia" w:ascii="宋体" w:hAnsi="宋体"/>
          <w:szCs w:val="21"/>
          <w:highlight w:val="none"/>
        </w:rPr>
        <w:t>、（东实通〔2023〕37号）为准，如有最新发文通知，按最新文件执行。】</w:t>
      </w:r>
    </w:p>
    <w:p w14:paraId="484EEB75">
      <w:pPr>
        <w:ind w:firstLine="420" w:firstLineChars="200"/>
        <w:rPr>
          <w:rFonts w:ascii="宋体" w:hAnsi="宋体"/>
          <w:color w:val="auto"/>
          <w:szCs w:val="21"/>
          <w:highlight w:val="none"/>
        </w:rPr>
      </w:pPr>
      <w:r>
        <w:rPr>
          <w:rFonts w:hint="eastAsia" w:ascii="宋体" w:hAnsi="宋体"/>
          <w:color w:val="auto"/>
          <w:szCs w:val="21"/>
          <w:highlight w:val="none"/>
          <w:lang w:val="en-US" w:eastAsia="zh-CN"/>
        </w:rPr>
        <w:t>2、本项目不接受联合体投标。</w:t>
      </w:r>
    </w:p>
    <w:p w14:paraId="17115FDA">
      <w:pPr>
        <w:ind w:firstLine="420" w:firstLineChars="200"/>
        <w:rPr>
          <w:color w:val="auto"/>
          <w:highlight w:val="none"/>
        </w:rPr>
      </w:pPr>
      <w:r>
        <w:rPr>
          <w:rFonts w:hint="eastAsia"/>
          <w:color w:val="auto"/>
          <w:highlight w:val="none"/>
        </w:rPr>
        <w:t xml:space="preserve"> </w:t>
      </w:r>
    </w:p>
    <w:p w14:paraId="5886223F">
      <w:pPr>
        <w:ind w:firstLine="413" w:firstLineChars="196"/>
        <w:rPr>
          <w:rFonts w:ascii="宋体" w:hAnsi="宋体"/>
          <w:b/>
          <w:color w:val="auto"/>
          <w:szCs w:val="21"/>
          <w:highlight w:val="none"/>
        </w:rPr>
      </w:pPr>
      <w:r>
        <w:rPr>
          <w:rFonts w:hint="eastAsia" w:ascii="宋体" w:hAnsi="宋体"/>
          <w:b/>
          <w:color w:val="auto"/>
          <w:szCs w:val="21"/>
          <w:highlight w:val="none"/>
        </w:rPr>
        <w:t>三、获取采购文件方式及要求：</w:t>
      </w:r>
    </w:p>
    <w:p w14:paraId="1089B23D">
      <w:pPr>
        <w:pStyle w:val="8"/>
        <w:rPr>
          <w:rFonts w:hint="eastAsia" w:ascii="宋体" w:hAnsi="宋体" w:cs="宋体"/>
          <w:color w:val="auto"/>
          <w:szCs w:val="21"/>
          <w:highlight w:val="none"/>
          <w:u w:val="single"/>
        </w:rPr>
      </w:pPr>
      <w:r>
        <w:rPr>
          <w:rFonts w:hint="eastAsia" w:ascii="宋体" w:hAnsi="宋体" w:cs="宋体"/>
          <w:color w:val="auto"/>
          <w:szCs w:val="21"/>
          <w:highlight w:val="none"/>
        </w:rPr>
        <w:t>本项目不进行实名登记报名，拟参加投标的投标人可于投标截止时间前自行网上下载采购</w:t>
      </w:r>
      <w:r>
        <w:rPr>
          <w:rFonts w:hint="eastAsia" w:ascii="宋体" w:hAnsi="宋体" w:cs="宋体"/>
          <w:color w:val="auto"/>
          <w:szCs w:val="21"/>
          <w:highlight w:val="none"/>
          <w:u w:val="single"/>
        </w:rPr>
        <w:t>文件。采购文件下载地址：中国招标投标公共服务平（http://www.cebpubservice.com/）、</w:t>
      </w:r>
      <w:r>
        <w:rPr>
          <w:rFonts w:hint="eastAsia" w:ascii="宋体" w:hAnsi="宋体" w:cs="宋体"/>
          <w:color w:val="auto"/>
          <w:szCs w:val="21"/>
          <w:highlight w:val="none"/>
          <w:u w:val="single"/>
          <w:lang w:eastAsia="zh-CN"/>
        </w:rPr>
        <w:t>广东省公共资源交易平台（https://ygp.gdzwfw.gov.cn/）</w:t>
      </w:r>
      <w:r>
        <w:rPr>
          <w:rFonts w:hint="eastAsia" w:ascii="宋体" w:hAnsi="宋体" w:cs="宋体"/>
          <w:color w:val="auto"/>
          <w:szCs w:val="21"/>
          <w:highlight w:val="none"/>
          <w:u w:val="single"/>
        </w:rPr>
        <w:t>、东莞实业投资控股集团有限公司-招标采购栏目（http://www.dgsy.com.cn/）、广东政通招标有限公司官网（https://www.zttendering.com/）。</w:t>
      </w:r>
    </w:p>
    <w:p w14:paraId="75AA344E">
      <w:pPr>
        <w:rPr>
          <w:color w:val="auto"/>
        </w:rPr>
      </w:pPr>
    </w:p>
    <w:p w14:paraId="150D4A6E">
      <w:pPr>
        <w:ind w:firstLine="413" w:firstLineChars="196"/>
        <w:rPr>
          <w:rFonts w:ascii="宋体" w:hAnsi="宋体"/>
          <w:b/>
          <w:color w:val="auto"/>
          <w:szCs w:val="21"/>
        </w:rPr>
      </w:pPr>
      <w:r>
        <w:rPr>
          <w:rFonts w:hint="eastAsia" w:ascii="宋体" w:hAnsi="宋体"/>
          <w:b/>
          <w:color w:val="auto"/>
          <w:szCs w:val="21"/>
        </w:rPr>
        <w:t>四、投标文件的递交</w:t>
      </w:r>
    </w:p>
    <w:p w14:paraId="4B704280">
      <w:pPr>
        <w:ind w:firstLine="420" w:firstLineChars="200"/>
        <w:rPr>
          <w:rFonts w:ascii="宋体" w:hAnsi="宋体"/>
          <w:color w:val="auto"/>
          <w:szCs w:val="21"/>
        </w:rPr>
      </w:pPr>
      <w:r>
        <w:rPr>
          <w:rFonts w:hint="eastAsia" w:ascii="宋体" w:hAnsi="宋体"/>
          <w:color w:val="auto"/>
          <w:szCs w:val="21"/>
        </w:rPr>
        <w:t>1、递交投标文件时间：</w:t>
      </w:r>
      <w:r>
        <w:rPr>
          <w:rFonts w:hint="eastAsia" w:ascii="宋体" w:hAnsi="宋体" w:cs="宋体"/>
          <w:color w:val="auto"/>
          <w:szCs w:val="21"/>
        </w:rPr>
        <w:t>20</w:t>
      </w:r>
      <w:r>
        <w:rPr>
          <w:rFonts w:hint="eastAsia" w:ascii="宋体" w:hAnsi="宋体" w:cs="宋体"/>
          <w:color w:val="auto"/>
          <w:szCs w:val="21"/>
          <w:lang w:val="en-US" w:eastAsia="zh-CN"/>
        </w:rPr>
        <w:t>25</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1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20  </w:t>
      </w:r>
      <w:r>
        <w:rPr>
          <w:rFonts w:hint="eastAsia" w:ascii="宋体" w:hAnsi="宋体" w:cs="宋体"/>
          <w:color w:val="auto"/>
          <w:szCs w:val="21"/>
        </w:rPr>
        <w:t>日（</w:t>
      </w:r>
      <w:r>
        <w:rPr>
          <w:rFonts w:hint="eastAsia" w:ascii="宋体" w:hAnsi="宋体"/>
          <w:color w:val="auto"/>
          <w:szCs w:val="21"/>
        </w:rPr>
        <w:t>北京时间）</w:t>
      </w:r>
      <w:r>
        <w:rPr>
          <w:rFonts w:hint="eastAsia" w:ascii="宋体" w:hAnsi="宋体"/>
          <w:color w:val="auto"/>
          <w:szCs w:val="21"/>
          <w:u w:val="single"/>
          <w:lang w:val="en-US" w:eastAsia="zh-CN"/>
        </w:rPr>
        <w:t>09</w:t>
      </w:r>
      <w:r>
        <w:rPr>
          <w:rFonts w:hint="eastAsia" w:ascii="宋体" w:hAnsi="宋体"/>
          <w:color w:val="auto"/>
          <w:szCs w:val="21"/>
        </w:rPr>
        <w:t>:</w:t>
      </w:r>
      <w:r>
        <w:rPr>
          <w:rFonts w:hint="eastAsia" w:ascii="宋体" w:hAnsi="宋体"/>
          <w:color w:val="auto"/>
          <w:szCs w:val="21"/>
          <w:u w:val="single"/>
          <w:lang w:val="en-US" w:eastAsia="zh-CN"/>
        </w:rPr>
        <w:t>00</w:t>
      </w:r>
      <w:r>
        <w:rPr>
          <w:rFonts w:ascii="宋体" w:hAnsi="宋体"/>
          <w:color w:val="auto"/>
          <w:szCs w:val="21"/>
        </w:rPr>
        <w:t>-</w:t>
      </w:r>
      <w:r>
        <w:rPr>
          <w:rFonts w:hint="eastAsia" w:ascii="宋体" w:hAnsi="宋体"/>
          <w:color w:val="auto"/>
          <w:szCs w:val="21"/>
          <w:u w:val="single"/>
          <w:lang w:val="en-US" w:eastAsia="zh-CN"/>
        </w:rPr>
        <w:t>09</w:t>
      </w:r>
      <w:r>
        <w:rPr>
          <w:rFonts w:hint="eastAsia" w:ascii="宋体" w:hAnsi="宋体"/>
          <w:color w:val="auto"/>
          <w:szCs w:val="21"/>
        </w:rPr>
        <w:t>:</w:t>
      </w:r>
      <w:r>
        <w:rPr>
          <w:rFonts w:hint="eastAsia" w:ascii="宋体" w:hAnsi="宋体"/>
          <w:color w:val="auto"/>
          <w:szCs w:val="21"/>
          <w:u w:val="single"/>
          <w:lang w:val="en-US" w:eastAsia="zh-CN"/>
        </w:rPr>
        <w:t>30</w:t>
      </w:r>
      <w:r>
        <w:rPr>
          <w:rFonts w:hint="eastAsia" w:ascii="宋体" w:hAnsi="宋体"/>
          <w:color w:val="auto"/>
          <w:szCs w:val="21"/>
        </w:rPr>
        <w:t>。</w:t>
      </w:r>
    </w:p>
    <w:p w14:paraId="0DDF4C5D">
      <w:pPr>
        <w:ind w:firstLine="420" w:firstLineChars="200"/>
        <w:rPr>
          <w:rFonts w:ascii="宋体" w:hAnsi="宋体"/>
          <w:b/>
          <w:color w:val="auto"/>
          <w:szCs w:val="21"/>
        </w:rPr>
      </w:pPr>
      <w:r>
        <w:rPr>
          <w:rFonts w:hint="eastAsia" w:ascii="宋体" w:hAnsi="宋体"/>
          <w:color w:val="auto"/>
          <w:szCs w:val="21"/>
        </w:rPr>
        <w:t>2、递交投标文件</w:t>
      </w:r>
      <w:r>
        <w:rPr>
          <w:rFonts w:ascii="宋体" w:hAnsi="宋体"/>
          <w:color w:val="auto"/>
          <w:szCs w:val="21"/>
        </w:rPr>
        <w:t>截止</w:t>
      </w:r>
      <w:r>
        <w:rPr>
          <w:rFonts w:hint="eastAsia" w:ascii="宋体" w:hAnsi="宋体"/>
          <w:color w:val="auto"/>
          <w:szCs w:val="21"/>
        </w:rPr>
        <w:t>及开标时间：</w:t>
      </w:r>
      <w:r>
        <w:rPr>
          <w:rFonts w:hint="eastAsia" w:ascii="宋体" w:hAnsi="宋体" w:cs="宋体"/>
          <w:color w:val="auto"/>
          <w:szCs w:val="21"/>
        </w:rPr>
        <w:t>20</w:t>
      </w:r>
      <w:r>
        <w:rPr>
          <w:rFonts w:hint="eastAsia" w:ascii="宋体" w:hAnsi="宋体" w:cs="宋体"/>
          <w:color w:val="auto"/>
          <w:szCs w:val="21"/>
          <w:lang w:val="en-US" w:eastAsia="zh-CN"/>
        </w:rPr>
        <w:t>25</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1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20 </w:t>
      </w:r>
      <w:r>
        <w:rPr>
          <w:rFonts w:hint="eastAsia" w:ascii="宋体" w:hAnsi="宋体" w:cs="宋体"/>
          <w:color w:val="auto"/>
          <w:szCs w:val="21"/>
        </w:rPr>
        <w:t>日</w:t>
      </w:r>
      <w:r>
        <w:rPr>
          <w:rFonts w:hint="eastAsia" w:ascii="宋体" w:hAnsi="宋体"/>
          <w:color w:val="auto"/>
          <w:szCs w:val="21"/>
          <w:u w:val="single"/>
          <w:lang w:val="en-US" w:eastAsia="zh-CN"/>
        </w:rPr>
        <w:t>09</w:t>
      </w:r>
      <w:r>
        <w:rPr>
          <w:rFonts w:hint="eastAsia" w:ascii="宋体" w:hAnsi="宋体"/>
          <w:color w:val="auto"/>
          <w:szCs w:val="21"/>
        </w:rPr>
        <w:t>:</w:t>
      </w:r>
      <w:r>
        <w:rPr>
          <w:rFonts w:hint="eastAsia" w:ascii="宋体" w:hAnsi="宋体"/>
          <w:color w:val="auto"/>
          <w:szCs w:val="21"/>
          <w:u w:val="single"/>
          <w:lang w:val="en-US" w:eastAsia="zh-CN"/>
        </w:rPr>
        <w:t>30</w:t>
      </w:r>
      <w:r>
        <w:rPr>
          <w:rFonts w:hint="eastAsia" w:ascii="宋体" w:hAnsi="宋体"/>
          <w:color w:val="auto"/>
          <w:szCs w:val="21"/>
        </w:rPr>
        <w:t>（北京时间），所有投标文件应于截止时间之前递交，迟交或以电报、传真形式的投标文件将拒绝接收。</w:t>
      </w:r>
    </w:p>
    <w:p w14:paraId="4A593E4B">
      <w:pPr>
        <w:ind w:firstLine="420" w:firstLineChars="200"/>
        <w:rPr>
          <w:rFonts w:ascii="宋体" w:hAnsi="宋体"/>
          <w:color w:val="auto"/>
          <w:szCs w:val="21"/>
          <w:u w:val="single"/>
        </w:rPr>
      </w:pPr>
      <w:r>
        <w:rPr>
          <w:rFonts w:hint="eastAsia" w:ascii="宋体" w:hAnsi="宋体"/>
          <w:color w:val="auto"/>
          <w:szCs w:val="21"/>
        </w:rPr>
        <w:t>3、</w:t>
      </w:r>
      <w:r>
        <w:rPr>
          <w:rFonts w:ascii="宋体" w:hAnsi="宋体"/>
          <w:color w:val="auto"/>
          <w:szCs w:val="21"/>
        </w:rPr>
        <w:t>开标地点</w:t>
      </w:r>
      <w:r>
        <w:rPr>
          <w:rFonts w:hint="eastAsia" w:ascii="宋体" w:hAnsi="宋体"/>
          <w:color w:val="auto"/>
          <w:szCs w:val="21"/>
        </w:rPr>
        <w:t>：</w:t>
      </w:r>
      <w:r>
        <w:rPr>
          <w:rFonts w:hint="eastAsia" w:ascii="宋体" w:hAnsi="宋体"/>
          <w:color w:val="auto"/>
          <w:szCs w:val="21"/>
          <w:u w:val="single"/>
        </w:rPr>
        <w:t>东莞市南城街道鸿福路199号（市民服务中心）411室</w:t>
      </w:r>
    </w:p>
    <w:p w14:paraId="332202FC">
      <w:pPr>
        <w:ind w:firstLine="411" w:firstLineChars="196"/>
        <w:rPr>
          <w:rFonts w:ascii="宋体" w:hAnsi="宋体"/>
          <w:bCs/>
          <w:color w:val="auto"/>
          <w:szCs w:val="21"/>
        </w:rPr>
      </w:pPr>
      <w:r>
        <w:rPr>
          <w:rFonts w:hint="eastAsia" w:ascii="宋体" w:hAnsi="宋体"/>
          <w:bCs/>
          <w:color w:val="auto"/>
          <w:szCs w:val="21"/>
        </w:rPr>
        <w:t>4、开标事宜：</w:t>
      </w:r>
      <w:r>
        <w:rPr>
          <w:rFonts w:hint="eastAsia" w:ascii="宋体" w:hAnsi="宋体"/>
          <w:b/>
          <w:bCs/>
          <w:color w:val="auto"/>
          <w:szCs w:val="21"/>
        </w:rPr>
        <w:t>届时请投标人的法定代表人或其授权代表务必携带有效身份证明出席开标会</w:t>
      </w:r>
      <w:r>
        <w:rPr>
          <w:rFonts w:hint="eastAsia" w:ascii="宋体" w:hAnsi="宋体"/>
          <w:bCs/>
          <w:color w:val="auto"/>
          <w:szCs w:val="21"/>
        </w:rPr>
        <w:t>。</w:t>
      </w:r>
    </w:p>
    <w:p w14:paraId="0D841346">
      <w:pPr>
        <w:pStyle w:val="39"/>
        <w:spacing w:line="360" w:lineRule="auto"/>
        <w:rPr>
          <w:color w:val="auto"/>
          <w:sz w:val="21"/>
          <w:szCs w:val="21"/>
        </w:rPr>
      </w:pPr>
      <w:r>
        <w:rPr>
          <w:rFonts w:hint="eastAsia"/>
          <w:color w:val="auto"/>
          <w:sz w:val="21"/>
          <w:szCs w:val="21"/>
        </w:rPr>
        <w:t>5、出现以下情形时，采购代理机构不予接收投标（响应）文件：</w:t>
      </w:r>
    </w:p>
    <w:p w14:paraId="5CCF2F0D">
      <w:pPr>
        <w:pStyle w:val="39"/>
        <w:spacing w:line="360" w:lineRule="auto"/>
        <w:rPr>
          <w:color w:val="auto"/>
          <w:sz w:val="21"/>
          <w:szCs w:val="21"/>
        </w:rPr>
      </w:pPr>
      <w:r>
        <w:rPr>
          <w:color w:val="auto"/>
          <w:sz w:val="21"/>
          <w:szCs w:val="21"/>
        </w:rPr>
        <w:tab/>
      </w:r>
      <w:r>
        <w:rPr>
          <w:rFonts w:hint="eastAsia"/>
          <w:color w:val="auto"/>
          <w:sz w:val="21"/>
          <w:szCs w:val="21"/>
        </w:rPr>
        <w:t>（1）逾期送达或者未送达指定地点的；</w:t>
      </w:r>
    </w:p>
    <w:p w14:paraId="20D7EE16">
      <w:pPr>
        <w:pStyle w:val="39"/>
        <w:spacing w:line="360" w:lineRule="auto"/>
        <w:rPr>
          <w:color w:val="auto"/>
          <w:sz w:val="21"/>
          <w:szCs w:val="21"/>
        </w:rPr>
      </w:pPr>
      <w:r>
        <w:rPr>
          <w:color w:val="auto"/>
          <w:sz w:val="21"/>
          <w:szCs w:val="21"/>
        </w:rPr>
        <w:tab/>
      </w:r>
      <w:r>
        <w:rPr>
          <w:rFonts w:hint="eastAsia"/>
          <w:color w:val="auto"/>
          <w:sz w:val="21"/>
          <w:szCs w:val="21"/>
        </w:rPr>
        <w:t>（2）未按采购文件要求密封的。</w:t>
      </w:r>
    </w:p>
    <w:p w14:paraId="14A634FD">
      <w:pPr>
        <w:pStyle w:val="39"/>
        <w:ind w:firstLine="400"/>
        <w:rPr>
          <w:color w:val="auto"/>
        </w:rPr>
      </w:pPr>
    </w:p>
    <w:p w14:paraId="0134D1AB">
      <w:pPr>
        <w:pStyle w:val="39"/>
        <w:ind w:firstLine="422"/>
        <w:rPr>
          <w:rFonts w:ascii="宋体" w:hAnsi="宋体" w:eastAsia="宋体" w:cstheme="minorBidi"/>
          <w:b/>
          <w:color w:val="auto"/>
          <w:sz w:val="21"/>
          <w:szCs w:val="21"/>
        </w:rPr>
      </w:pPr>
      <w:r>
        <w:rPr>
          <w:rFonts w:hint="eastAsia" w:ascii="宋体" w:hAnsi="宋体" w:eastAsia="宋体" w:cstheme="minorBidi"/>
          <w:b/>
          <w:color w:val="auto"/>
          <w:sz w:val="21"/>
          <w:szCs w:val="21"/>
        </w:rPr>
        <w:t>五</w:t>
      </w:r>
      <w:r>
        <w:rPr>
          <w:rFonts w:ascii="宋体" w:hAnsi="宋体" w:eastAsia="宋体" w:cstheme="minorBidi"/>
          <w:b/>
          <w:color w:val="auto"/>
          <w:sz w:val="21"/>
          <w:szCs w:val="21"/>
        </w:rPr>
        <w:t>、发布公告的媒介</w:t>
      </w:r>
    </w:p>
    <w:p w14:paraId="12AA68AD">
      <w:pPr>
        <w:pStyle w:val="39"/>
        <w:spacing w:line="360" w:lineRule="auto"/>
        <w:rPr>
          <w:rFonts w:ascii="宋体" w:hAnsi="宋体" w:eastAsia="宋体" w:cs="宋体"/>
          <w:color w:val="auto"/>
          <w:sz w:val="21"/>
          <w:szCs w:val="21"/>
        </w:rPr>
      </w:pPr>
      <w:r>
        <w:rPr>
          <w:rFonts w:hint="eastAsia" w:ascii="宋体" w:hAnsi="宋体" w:eastAsia="宋体" w:cs="宋体"/>
          <w:color w:val="auto"/>
          <w:sz w:val="21"/>
          <w:szCs w:val="21"/>
        </w:rPr>
        <w:t>1、采购公告发布媒介：</w:t>
      </w:r>
    </w:p>
    <w:p w14:paraId="317465D4">
      <w:pPr>
        <w:pStyle w:val="39"/>
        <w:spacing w:line="360" w:lineRule="auto"/>
        <w:rPr>
          <w:rFonts w:ascii="宋体" w:hAnsi="宋体" w:eastAsia="宋体" w:cs="宋体"/>
          <w:color w:val="auto"/>
          <w:sz w:val="21"/>
          <w:szCs w:val="21"/>
        </w:rPr>
      </w:pPr>
      <w:r>
        <w:rPr>
          <w:rFonts w:hint="eastAsia" w:ascii="宋体" w:hAnsi="宋体" w:eastAsia="宋体" w:cs="宋体"/>
          <w:color w:val="auto"/>
          <w:sz w:val="21"/>
          <w:szCs w:val="21"/>
          <w:u w:val="single"/>
        </w:rPr>
        <w:t>中国招标投标公共服务平台（http://www.cebpubservice.com/）、</w:t>
      </w:r>
      <w:r>
        <w:rPr>
          <w:rFonts w:hint="eastAsia" w:ascii="宋体" w:hAnsi="宋体" w:cs="宋体"/>
          <w:color w:val="auto"/>
          <w:szCs w:val="21"/>
          <w:highlight w:val="none"/>
          <w:u w:val="single"/>
          <w:lang w:eastAsia="zh-CN"/>
        </w:rPr>
        <w:t>广东省公共资源交易平台（https://ygp.gdzwfw.gov.cn/）</w:t>
      </w:r>
      <w:r>
        <w:rPr>
          <w:rFonts w:hint="eastAsia" w:ascii="宋体" w:hAnsi="宋体" w:eastAsia="宋体" w:cs="宋体"/>
          <w:color w:val="auto"/>
          <w:sz w:val="21"/>
          <w:szCs w:val="21"/>
          <w:u w:val="single"/>
        </w:rPr>
        <w:t>、东莞实业投资控股集团有限公司-招标采购栏目（http://www.dgsy.com.cn/）、广东政通招标有限公司官网（https://www.zttendering.com/）</w:t>
      </w:r>
      <w:r>
        <w:rPr>
          <w:rFonts w:hint="eastAsia" w:ascii="宋体" w:hAnsi="宋体" w:eastAsia="宋体" w:cs="宋体"/>
          <w:color w:val="auto"/>
          <w:sz w:val="21"/>
          <w:szCs w:val="21"/>
        </w:rPr>
        <w:t>。</w:t>
      </w:r>
    </w:p>
    <w:p w14:paraId="39100C91">
      <w:pPr>
        <w:pStyle w:val="39"/>
        <w:spacing w:line="360" w:lineRule="auto"/>
        <w:rPr>
          <w:rFonts w:ascii="宋体" w:hAnsi="宋体" w:eastAsia="宋体" w:cs="宋体"/>
          <w:bCs/>
          <w:color w:val="auto"/>
          <w:sz w:val="21"/>
          <w:szCs w:val="21"/>
        </w:rPr>
      </w:pPr>
      <w:r>
        <w:rPr>
          <w:rFonts w:hint="eastAsia" w:ascii="宋体" w:hAnsi="宋体" w:eastAsia="宋体" w:cs="宋体"/>
          <w:bCs/>
          <w:color w:val="auto"/>
          <w:sz w:val="21"/>
          <w:szCs w:val="21"/>
        </w:rPr>
        <w:t>2、结果公告发布媒介：</w:t>
      </w:r>
    </w:p>
    <w:p w14:paraId="2AC71FA2">
      <w:pPr>
        <w:pStyle w:val="39"/>
        <w:spacing w:line="360" w:lineRule="auto"/>
        <w:rPr>
          <w:rFonts w:ascii="宋体" w:hAnsi="宋体" w:eastAsia="宋体" w:cs="宋体"/>
          <w:bCs/>
          <w:color w:val="auto"/>
          <w:sz w:val="21"/>
          <w:szCs w:val="21"/>
        </w:rPr>
      </w:pPr>
      <w:r>
        <w:rPr>
          <w:rFonts w:hint="eastAsia" w:ascii="宋体" w:hAnsi="宋体" w:eastAsia="宋体" w:cs="宋体"/>
          <w:color w:val="auto"/>
          <w:sz w:val="21"/>
          <w:szCs w:val="21"/>
        </w:rPr>
        <w:t>东莞实业投资控股集团有限公司-招标采购栏目（http://www.dgsy.com.cn/）。</w:t>
      </w:r>
    </w:p>
    <w:p w14:paraId="562D8C4C">
      <w:pPr>
        <w:ind w:firstLine="413" w:firstLineChars="196"/>
        <w:rPr>
          <w:rFonts w:hint="eastAsia" w:ascii="宋体" w:hAnsi="宋体"/>
          <w:b/>
          <w:color w:val="auto"/>
          <w:szCs w:val="21"/>
        </w:rPr>
      </w:pPr>
    </w:p>
    <w:p w14:paraId="558A7811">
      <w:pPr>
        <w:ind w:firstLine="413" w:firstLineChars="196"/>
        <w:rPr>
          <w:rFonts w:hint="eastAsia" w:ascii="宋体" w:hAnsi="宋体"/>
          <w:b/>
          <w:color w:val="auto"/>
          <w:szCs w:val="21"/>
        </w:rPr>
      </w:pPr>
    </w:p>
    <w:p w14:paraId="12BA4301">
      <w:pPr>
        <w:ind w:firstLine="413" w:firstLineChars="196"/>
        <w:rPr>
          <w:rFonts w:ascii="宋体" w:hAnsi="宋体"/>
          <w:bCs/>
          <w:color w:val="auto"/>
          <w:szCs w:val="21"/>
        </w:rPr>
      </w:pPr>
      <w:r>
        <w:rPr>
          <w:rFonts w:hint="eastAsia" w:ascii="宋体" w:hAnsi="宋体"/>
          <w:b/>
          <w:color w:val="auto"/>
          <w:szCs w:val="21"/>
        </w:rPr>
        <w:t>六、采购人及采购代理机构的名称、地址和联系方法：</w:t>
      </w:r>
    </w:p>
    <w:p w14:paraId="4F47ADFD">
      <w:pPr>
        <w:ind w:firstLine="420" w:firstLineChars="200"/>
        <w:rPr>
          <w:rFonts w:ascii="宋体" w:hAnsi="宋体"/>
          <w:bCs/>
          <w:color w:val="auto"/>
          <w:szCs w:val="21"/>
        </w:rPr>
      </w:pPr>
      <w:r>
        <w:rPr>
          <w:rFonts w:hint="eastAsia" w:ascii="宋体" w:hAnsi="宋体"/>
          <w:bCs/>
          <w:color w:val="auto"/>
          <w:szCs w:val="21"/>
        </w:rPr>
        <w:t>采购人</w:t>
      </w:r>
      <w:r>
        <w:rPr>
          <w:rFonts w:ascii="宋体" w:hAnsi="宋体"/>
          <w:bCs/>
          <w:color w:val="auto"/>
          <w:szCs w:val="21"/>
        </w:rPr>
        <w:t>名称</w:t>
      </w:r>
      <w:r>
        <w:rPr>
          <w:rFonts w:hint="eastAsia" w:ascii="宋体" w:hAnsi="宋体"/>
          <w:bCs/>
          <w:color w:val="auto"/>
          <w:szCs w:val="21"/>
        </w:rPr>
        <w:t>：</w:t>
      </w:r>
      <w:r>
        <w:rPr>
          <w:rFonts w:hint="eastAsia" w:ascii="宋体" w:hAnsi="宋体" w:eastAsia="宋体" w:cs="宋体"/>
          <w:color w:val="auto"/>
          <w:sz w:val="21"/>
          <w:szCs w:val="21"/>
          <w:u w:val="none"/>
        </w:rPr>
        <w:t>东莞实业投资控股集团有限公司</w:t>
      </w:r>
    </w:p>
    <w:p w14:paraId="04C1C6E4">
      <w:pPr>
        <w:ind w:firstLine="420" w:firstLineChars="200"/>
        <w:rPr>
          <w:rFonts w:hint="eastAsia" w:ascii="宋体" w:hAnsi="宋体" w:eastAsia="宋体"/>
          <w:bCs/>
          <w:color w:val="auto"/>
          <w:szCs w:val="21"/>
          <w:lang w:eastAsia="zh-CN"/>
        </w:rPr>
      </w:pPr>
      <w:r>
        <w:rPr>
          <w:rFonts w:hint="eastAsia" w:ascii="宋体" w:hAnsi="宋体"/>
          <w:bCs/>
          <w:color w:val="auto"/>
          <w:szCs w:val="21"/>
        </w:rPr>
        <w:t>采购人联系人： 段</w:t>
      </w:r>
      <w:r>
        <w:rPr>
          <w:rFonts w:hint="eastAsia" w:ascii="宋体" w:hAnsi="宋体"/>
          <w:color w:val="auto"/>
          <w:szCs w:val="21"/>
          <w:highlight w:val="none"/>
          <w:lang w:val="en-US" w:eastAsia="zh-CN"/>
        </w:rPr>
        <w:t>工</w:t>
      </w:r>
    </w:p>
    <w:p w14:paraId="185C94BC">
      <w:pPr>
        <w:ind w:firstLine="420" w:firstLineChars="200"/>
        <w:rPr>
          <w:rFonts w:ascii="宋体" w:hAnsi="宋体"/>
          <w:bCs/>
          <w:color w:val="auto"/>
          <w:szCs w:val="21"/>
        </w:rPr>
      </w:pPr>
      <w:r>
        <w:rPr>
          <w:rFonts w:hint="eastAsia" w:ascii="宋体" w:hAnsi="宋体"/>
          <w:bCs/>
          <w:color w:val="auto"/>
          <w:szCs w:val="21"/>
        </w:rPr>
        <w:t>采购人地址：东莞市八一路1号机关二号大院9号楼</w:t>
      </w:r>
    </w:p>
    <w:p w14:paraId="16FEE0ED">
      <w:pPr>
        <w:ind w:firstLine="420" w:firstLineChars="200"/>
        <w:rPr>
          <w:rFonts w:ascii="宋体" w:hAnsi="宋体"/>
          <w:bCs/>
          <w:color w:val="auto"/>
          <w:szCs w:val="21"/>
        </w:rPr>
      </w:pPr>
      <w:r>
        <w:rPr>
          <w:rFonts w:hint="eastAsia" w:ascii="宋体" w:hAnsi="宋体"/>
          <w:bCs/>
          <w:color w:val="auto"/>
          <w:szCs w:val="21"/>
        </w:rPr>
        <w:t>采购人联系电话：</w:t>
      </w:r>
      <w:r>
        <w:rPr>
          <w:rFonts w:hint="eastAsia" w:ascii="宋体" w:hAnsi="宋体" w:cs="宋体"/>
          <w:color w:val="auto"/>
          <w:sz w:val="22"/>
        </w:rPr>
        <w:t xml:space="preserve"> </w:t>
      </w:r>
      <w:r>
        <w:rPr>
          <w:rFonts w:hint="eastAsia" w:ascii="宋体" w:hAnsi="宋体" w:eastAsia="宋体"/>
          <w:bCs/>
          <w:color w:val="auto"/>
          <w:szCs w:val="21"/>
        </w:rPr>
        <w:t>0769-28822381</w:t>
      </w:r>
    </w:p>
    <w:p w14:paraId="699F4DEB">
      <w:pPr>
        <w:ind w:firstLine="420" w:firstLineChars="200"/>
        <w:rPr>
          <w:rFonts w:ascii="宋体" w:hAnsi="宋体"/>
          <w:color w:val="auto"/>
          <w:szCs w:val="21"/>
        </w:rPr>
      </w:pPr>
    </w:p>
    <w:p w14:paraId="278AE510">
      <w:pPr>
        <w:ind w:firstLine="420" w:firstLineChars="200"/>
        <w:rPr>
          <w:rFonts w:ascii="宋体" w:hAnsi="宋体"/>
          <w:color w:val="auto"/>
          <w:szCs w:val="21"/>
          <w:highlight w:val="none"/>
        </w:rPr>
      </w:pPr>
      <w:r>
        <w:rPr>
          <w:rFonts w:hint="eastAsia" w:ascii="宋体" w:hAnsi="宋体"/>
          <w:color w:val="auto"/>
          <w:szCs w:val="21"/>
          <w:highlight w:val="none"/>
        </w:rPr>
        <w:t>采购代理机构名称：广东政通招标有限公司</w:t>
      </w:r>
    </w:p>
    <w:p w14:paraId="1556D5B5">
      <w:pPr>
        <w:ind w:firstLine="420" w:firstLineChars="200"/>
        <w:rPr>
          <w:rFonts w:ascii="宋体" w:hAnsi="宋体"/>
          <w:color w:val="auto"/>
          <w:szCs w:val="21"/>
          <w:highlight w:val="none"/>
        </w:rPr>
      </w:pPr>
      <w:r>
        <w:rPr>
          <w:rFonts w:hint="eastAsia" w:ascii="宋体" w:hAnsi="宋体"/>
          <w:color w:val="auto"/>
          <w:szCs w:val="21"/>
          <w:highlight w:val="none"/>
        </w:rPr>
        <w:t>采购代理机构地址：东莞市南城街道鸿福路199号（市民服务中心）411室</w:t>
      </w:r>
    </w:p>
    <w:p w14:paraId="6F2E5A99">
      <w:pPr>
        <w:ind w:firstLine="420" w:firstLineChars="200"/>
        <w:rPr>
          <w:rFonts w:ascii="宋体" w:hAnsi="宋体"/>
          <w:color w:val="auto"/>
          <w:szCs w:val="21"/>
          <w:highlight w:val="none"/>
        </w:rPr>
      </w:pPr>
      <w:r>
        <w:rPr>
          <w:rFonts w:hint="eastAsia" w:ascii="宋体" w:hAnsi="宋体"/>
          <w:color w:val="auto"/>
          <w:szCs w:val="21"/>
          <w:highlight w:val="none"/>
        </w:rPr>
        <w:t>联系人：杨先生</w:t>
      </w:r>
    </w:p>
    <w:p w14:paraId="3B49B3F9">
      <w:pPr>
        <w:ind w:firstLine="420" w:firstLineChars="200"/>
        <w:rPr>
          <w:rFonts w:ascii="宋体" w:hAnsi="宋体"/>
          <w:color w:val="auto"/>
          <w:szCs w:val="21"/>
          <w:highlight w:val="none"/>
        </w:rPr>
      </w:pPr>
      <w:r>
        <w:rPr>
          <w:rFonts w:hint="eastAsia" w:ascii="宋体" w:hAnsi="宋体"/>
          <w:color w:val="auto"/>
          <w:szCs w:val="21"/>
          <w:highlight w:val="none"/>
        </w:rPr>
        <w:t>联系电话：0769-22881803</w:t>
      </w:r>
    </w:p>
    <w:p w14:paraId="2EA325B3">
      <w:pPr>
        <w:ind w:firstLine="420" w:firstLineChars="200"/>
        <w:rPr>
          <w:rFonts w:hint="eastAsia" w:ascii="宋体" w:hAnsi="宋体"/>
          <w:color w:val="auto"/>
          <w:szCs w:val="21"/>
          <w:highlight w:val="none"/>
        </w:rPr>
      </w:pPr>
      <w:r>
        <w:rPr>
          <w:rFonts w:hint="eastAsia" w:ascii="宋体" w:hAnsi="宋体"/>
          <w:color w:val="auto"/>
          <w:szCs w:val="21"/>
          <w:highlight w:val="none"/>
        </w:rPr>
        <w:t>电子邮</w:t>
      </w:r>
      <w:r>
        <w:rPr>
          <w:rFonts w:hint="eastAsia" w:ascii="宋体" w:hAnsi="宋体" w:eastAsia="宋体"/>
          <w:color w:val="auto"/>
          <w:szCs w:val="21"/>
          <w:highlight w:val="none"/>
        </w:rPr>
        <w:t>件：</w:t>
      </w:r>
      <w:r>
        <w:rPr>
          <w:rFonts w:hint="eastAsia" w:ascii="宋体" w:hAnsi="宋体" w:eastAsia="宋体"/>
          <w:color w:val="auto"/>
          <w:szCs w:val="21"/>
          <w:highlight w:val="none"/>
        </w:rPr>
        <w:fldChar w:fldCharType="begin"/>
      </w:r>
      <w:r>
        <w:rPr>
          <w:rFonts w:hint="eastAsia" w:ascii="宋体" w:hAnsi="宋体" w:eastAsia="宋体"/>
          <w:color w:val="auto"/>
          <w:szCs w:val="21"/>
          <w:highlight w:val="none"/>
        </w:rPr>
        <w:instrText xml:space="preserve"> HYPERLINK "mailto:471539976@qq.com" </w:instrText>
      </w:r>
      <w:r>
        <w:rPr>
          <w:rFonts w:hint="eastAsia" w:ascii="宋体" w:hAnsi="宋体" w:eastAsia="宋体"/>
          <w:color w:val="auto"/>
          <w:szCs w:val="21"/>
          <w:highlight w:val="none"/>
        </w:rPr>
        <w:fldChar w:fldCharType="separate"/>
      </w:r>
      <w:r>
        <w:rPr>
          <w:rFonts w:hint="eastAsia" w:ascii="宋体" w:hAnsi="宋体" w:eastAsia="宋体"/>
          <w:color w:val="auto"/>
          <w:szCs w:val="21"/>
          <w:highlight w:val="none"/>
        </w:rPr>
        <w:t>471539976@qq.com</w:t>
      </w:r>
      <w:r>
        <w:rPr>
          <w:rFonts w:hint="eastAsia" w:ascii="宋体" w:hAnsi="宋体" w:eastAsia="宋体"/>
          <w:color w:val="auto"/>
          <w:szCs w:val="21"/>
          <w:highlight w:val="none"/>
        </w:rPr>
        <w:fldChar w:fldCharType="end"/>
      </w:r>
    </w:p>
    <w:p w14:paraId="48541E39">
      <w:pPr>
        <w:ind w:firstLine="420" w:firstLineChars="200"/>
        <w:rPr>
          <w:color w:val="auto"/>
        </w:rPr>
      </w:pPr>
      <w:r>
        <w:rPr>
          <w:rFonts w:hint="eastAsia" w:ascii="宋体" w:hAnsi="宋体"/>
          <w:color w:val="auto"/>
          <w:szCs w:val="21"/>
        </w:rPr>
        <w:t xml:space="preserve"> </w:t>
      </w:r>
    </w:p>
    <w:p w14:paraId="279B9B4B">
      <w:pPr>
        <w:ind w:firstLine="420" w:firstLineChars="200"/>
        <w:rPr>
          <w:color w:val="auto"/>
        </w:rPr>
      </w:pPr>
    </w:p>
    <w:p w14:paraId="3A46C53D">
      <w:pPr>
        <w:ind w:right="752" w:rightChars="358"/>
        <w:jc w:val="right"/>
        <w:rPr>
          <w:color w:val="auto"/>
        </w:rPr>
      </w:pPr>
    </w:p>
    <w:p w14:paraId="265A65EA">
      <w:pPr>
        <w:ind w:right="752" w:rightChars="358"/>
        <w:jc w:val="right"/>
        <w:rPr>
          <w:rFonts w:hint="eastAsia" w:ascii="宋体" w:hAnsi="宋体"/>
          <w:color w:val="auto"/>
          <w:szCs w:val="21"/>
          <w:highlight w:val="none"/>
        </w:rPr>
      </w:pPr>
      <w:r>
        <w:rPr>
          <w:rFonts w:hint="eastAsia" w:ascii="宋体" w:hAnsi="宋体"/>
          <w:color w:val="auto"/>
          <w:szCs w:val="21"/>
          <w:highlight w:val="none"/>
        </w:rPr>
        <w:t>广东政通招标有限公司</w:t>
      </w:r>
    </w:p>
    <w:p w14:paraId="1694AC09">
      <w:pPr>
        <w:ind w:right="752" w:rightChars="358"/>
        <w:jc w:val="right"/>
        <w:rPr>
          <w:rFonts w:ascii="宋体" w:hAnsi="宋体" w:cs="宋体"/>
          <w:color w:val="auto"/>
          <w:szCs w:val="21"/>
        </w:rPr>
      </w:pPr>
      <w:r>
        <w:rPr>
          <w:rFonts w:hint="eastAsia" w:ascii="宋体" w:hAnsi="宋体" w:cs="宋体"/>
          <w:color w:val="auto"/>
          <w:szCs w:val="21"/>
        </w:rPr>
        <w:t>20</w:t>
      </w:r>
      <w:r>
        <w:rPr>
          <w:rFonts w:hint="eastAsia" w:ascii="宋体" w:hAnsi="宋体" w:cs="宋体"/>
          <w:color w:val="auto"/>
          <w:szCs w:val="21"/>
          <w:lang w:val="en-US" w:eastAsia="zh-CN"/>
        </w:rPr>
        <w:t>24</w:t>
      </w:r>
      <w:r>
        <w:rPr>
          <w:rFonts w:hint="eastAsia" w:ascii="宋体" w:hAnsi="宋体" w:cs="宋体"/>
          <w:color w:val="auto"/>
          <w:szCs w:val="21"/>
        </w:rPr>
        <w:t>年</w:t>
      </w:r>
      <w:r>
        <w:rPr>
          <w:rFonts w:hint="eastAsia" w:ascii="宋体" w:hAnsi="宋体" w:cs="宋体"/>
          <w:color w:val="auto"/>
          <w:szCs w:val="21"/>
          <w:lang w:val="en-US" w:eastAsia="zh-CN"/>
        </w:rPr>
        <w:t>12</w:t>
      </w:r>
      <w:bookmarkStart w:id="316" w:name="_GoBack"/>
      <w:bookmarkEnd w:id="316"/>
      <w:r>
        <w:rPr>
          <w:rFonts w:hint="eastAsia" w:ascii="宋体" w:hAnsi="宋体" w:cs="宋体"/>
          <w:color w:val="auto"/>
          <w:szCs w:val="21"/>
        </w:rPr>
        <w:t xml:space="preserve"> 月 </w:t>
      </w:r>
    </w:p>
    <w:p w14:paraId="668615E3">
      <w:pPr>
        <w:ind w:left="6205" w:leftChars="2755" w:hanging="420" w:hangingChars="200"/>
        <w:rPr>
          <w:rFonts w:ascii="黑体" w:hAnsi="宋体" w:eastAsia="黑体"/>
          <w:color w:val="auto"/>
        </w:rPr>
      </w:pPr>
      <w:r>
        <w:rPr>
          <w:rFonts w:hint="eastAsia" w:ascii="宋体" w:hAnsi="宋体" w:cs="宋体"/>
          <w:color w:val="auto"/>
          <w:szCs w:val="21"/>
        </w:rPr>
        <w:br w:type="page"/>
      </w:r>
    </w:p>
    <w:p w14:paraId="592A9D44">
      <w:pPr>
        <w:pStyle w:val="3"/>
        <w:spacing w:before="0" w:after="0" w:line="240" w:lineRule="auto"/>
        <w:rPr>
          <w:color w:val="auto"/>
          <w:sz w:val="28"/>
          <w:szCs w:val="28"/>
        </w:rPr>
      </w:pPr>
      <w:bookmarkStart w:id="2" w:name="_Toc26511"/>
      <w:r>
        <w:rPr>
          <w:rFonts w:hint="eastAsia"/>
          <w:color w:val="auto"/>
          <w:sz w:val="28"/>
          <w:szCs w:val="28"/>
        </w:rPr>
        <w:t>第二部分相关资料表格</w:t>
      </w:r>
      <w:bookmarkEnd w:id="2"/>
    </w:p>
    <w:p w14:paraId="7C05E9EF">
      <w:pPr>
        <w:pStyle w:val="4"/>
        <w:spacing w:before="0" w:after="0" w:line="240" w:lineRule="auto"/>
        <w:jc w:val="center"/>
        <w:rPr>
          <w:rFonts w:ascii="宋体" w:hAnsi="宋体" w:cs="宋体"/>
          <w:color w:val="auto"/>
          <w:sz w:val="24"/>
          <w:szCs w:val="24"/>
        </w:rPr>
      </w:pPr>
      <w:bookmarkStart w:id="3" w:name="_Toc24420"/>
      <w:r>
        <w:rPr>
          <w:rFonts w:hint="eastAsia" w:ascii="宋体" w:hAnsi="宋体" w:cs="宋体"/>
          <w:color w:val="auto"/>
          <w:sz w:val="24"/>
          <w:szCs w:val="24"/>
        </w:rPr>
        <w:t>附表一：投标资料表</w:t>
      </w:r>
      <w:bookmarkEnd w:id="3"/>
    </w:p>
    <w:tbl>
      <w:tblPr>
        <w:tblStyle w:val="30"/>
        <w:tblW w:w="8410" w:type="dxa"/>
        <w:tblInd w:w="-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8"/>
        <w:gridCol w:w="2608"/>
        <w:gridCol w:w="4924"/>
      </w:tblGrid>
      <w:tr w14:paraId="2C9D82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878" w:type="dxa"/>
            <w:tcBorders>
              <w:tl2br w:val="nil"/>
              <w:tr2bl w:val="nil"/>
            </w:tcBorders>
            <w:vAlign w:val="center"/>
          </w:tcPr>
          <w:p w14:paraId="364F36F7">
            <w:pPr>
              <w:jc w:val="center"/>
              <w:rPr>
                <w:rFonts w:ascii="宋体" w:hAnsi="宋体"/>
                <w:color w:val="auto"/>
                <w:szCs w:val="21"/>
              </w:rPr>
            </w:pPr>
            <w:r>
              <w:rPr>
                <w:rFonts w:hint="eastAsia" w:ascii="宋体" w:hAnsi="宋体"/>
                <w:color w:val="auto"/>
                <w:szCs w:val="21"/>
              </w:rPr>
              <w:t>序号</w:t>
            </w:r>
          </w:p>
        </w:tc>
        <w:tc>
          <w:tcPr>
            <w:tcW w:w="7532" w:type="dxa"/>
            <w:gridSpan w:val="2"/>
            <w:tcBorders>
              <w:tl2br w:val="nil"/>
              <w:tr2bl w:val="nil"/>
            </w:tcBorders>
            <w:vAlign w:val="center"/>
          </w:tcPr>
          <w:p w14:paraId="703DEF73">
            <w:pPr>
              <w:jc w:val="center"/>
              <w:rPr>
                <w:rFonts w:ascii="宋体" w:hAnsi="宋体"/>
                <w:b/>
                <w:color w:val="auto"/>
                <w:szCs w:val="21"/>
              </w:rPr>
            </w:pPr>
            <w:r>
              <w:rPr>
                <w:rFonts w:hint="eastAsia" w:ascii="宋体" w:hAnsi="宋体"/>
                <w:b/>
                <w:color w:val="auto"/>
                <w:szCs w:val="21"/>
              </w:rPr>
              <w:t>内容</w:t>
            </w:r>
          </w:p>
        </w:tc>
      </w:tr>
      <w:tr w14:paraId="7FC644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trPr>
        <w:tc>
          <w:tcPr>
            <w:tcW w:w="8410" w:type="dxa"/>
            <w:gridSpan w:val="3"/>
            <w:tcBorders>
              <w:tl2br w:val="nil"/>
              <w:tr2bl w:val="nil"/>
            </w:tcBorders>
            <w:vAlign w:val="center"/>
          </w:tcPr>
          <w:p w14:paraId="188E1FF3">
            <w:pPr>
              <w:jc w:val="center"/>
              <w:rPr>
                <w:rFonts w:ascii="宋体" w:hAnsi="宋体"/>
                <w:b/>
                <w:color w:val="auto"/>
                <w:szCs w:val="21"/>
              </w:rPr>
            </w:pPr>
            <w:r>
              <w:rPr>
                <w:rFonts w:hint="eastAsia" w:ascii="宋体" w:hAnsi="宋体"/>
                <w:b/>
                <w:color w:val="auto"/>
                <w:szCs w:val="21"/>
              </w:rPr>
              <w:t>一、说明</w:t>
            </w:r>
          </w:p>
        </w:tc>
      </w:tr>
      <w:tr w14:paraId="1DB339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64CF4770">
            <w:pPr>
              <w:jc w:val="center"/>
              <w:rPr>
                <w:rFonts w:ascii="宋体" w:hAnsi="宋体"/>
                <w:color w:val="auto"/>
                <w:szCs w:val="21"/>
                <w:highlight w:val="none"/>
              </w:rPr>
            </w:pPr>
            <w:r>
              <w:rPr>
                <w:rFonts w:hint="eastAsia" w:ascii="宋体" w:hAnsi="宋体"/>
                <w:color w:val="auto"/>
                <w:szCs w:val="21"/>
                <w:highlight w:val="none"/>
              </w:rPr>
              <w:t>1</w:t>
            </w:r>
          </w:p>
        </w:tc>
        <w:tc>
          <w:tcPr>
            <w:tcW w:w="7532" w:type="dxa"/>
            <w:gridSpan w:val="2"/>
            <w:tcBorders>
              <w:tl2br w:val="nil"/>
              <w:tr2bl w:val="nil"/>
            </w:tcBorders>
            <w:vAlign w:val="center"/>
          </w:tcPr>
          <w:p w14:paraId="21BF49B9">
            <w:pPr>
              <w:rPr>
                <w:rFonts w:ascii="宋体" w:hAnsi="宋体"/>
                <w:b/>
                <w:bCs/>
                <w:color w:val="auto"/>
                <w:szCs w:val="21"/>
                <w:highlight w:val="none"/>
              </w:rPr>
            </w:pPr>
            <w:r>
              <w:rPr>
                <w:rFonts w:hint="eastAsia" w:ascii="宋体" w:hAnsi="宋体"/>
                <w:b/>
                <w:bCs/>
                <w:color w:val="auto"/>
                <w:szCs w:val="21"/>
                <w:highlight w:val="none"/>
              </w:rPr>
              <w:t>项目最高限价</w:t>
            </w:r>
          </w:p>
        </w:tc>
      </w:tr>
      <w:tr w14:paraId="35E206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72EDF8AF">
            <w:pPr>
              <w:jc w:val="center"/>
              <w:rPr>
                <w:rFonts w:ascii="宋体" w:hAnsi="宋体"/>
                <w:color w:val="auto"/>
                <w:szCs w:val="21"/>
              </w:rPr>
            </w:pPr>
          </w:p>
        </w:tc>
        <w:tc>
          <w:tcPr>
            <w:tcW w:w="7532" w:type="dxa"/>
            <w:gridSpan w:val="2"/>
            <w:tcBorders>
              <w:tl2br w:val="nil"/>
              <w:tr2bl w:val="nil"/>
            </w:tcBorders>
            <w:vAlign w:val="center"/>
          </w:tcPr>
          <w:p w14:paraId="30EF5943">
            <w:pPr>
              <w:rPr>
                <w:rFonts w:ascii="宋体" w:hAnsi="宋体"/>
                <w:b/>
                <w:bCs/>
                <w:color w:val="auto"/>
                <w:szCs w:val="21"/>
              </w:rPr>
            </w:pPr>
            <w:r>
              <w:rPr>
                <w:rFonts w:hint="eastAsia" w:ascii="宋体" w:hAnsi="宋体"/>
                <w:b w:val="0"/>
                <w:bCs w:val="0"/>
                <w:color w:val="auto"/>
                <w:szCs w:val="21"/>
                <w:lang w:val="en-US" w:eastAsia="zh-CN"/>
              </w:rPr>
              <w:t>承销费率最高限价为0.01%/年</w:t>
            </w:r>
          </w:p>
        </w:tc>
      </w:tr>
      <w:tr w14:paraId="103ACF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14:paraId="443E3843">
            <w:pPr>
              <w:jc w:val="center"/>
              <w:rPr>
                <w:rFonts w:ascii="宋体" w:hAnsi="宋体"/>
                <w:color w:val="auto"/>
                <w:szCs w:val="21"/>
              </w:rPr>
            </w:pPr>
            <w:r>
              <w:rPr>
                <w:rFonts w:hint="eastAsia" w:ascii="宋体" w:hAnsi="宋体"/>
                <w:color w:val="auto"/>
                <w:szCs w:val="21"/>
              </w:rPr>
              <w:t>2</w:t>
            </w:r>
          </w:p>
        </w:tc>
        <w:tc>
          <w:tcPr>
            <w:tcW w:w="7532" w:type="dxa"/>
            <w:gridSpan w:val="2"/>
            <w:tcBorders>
              <w:tl2br w:val="nil"/>
              <w:tr2bl w:val="nil"/>
            </w:tcBorders>
            <w:vAlign w:val="center"/>
          </w:tcPr>
          <w:p w14:paraId="7236D696">
            <w:pPr>
              <w:rPr>
                <w:rFonts w:ascii="宋体" w:hAnsi="宋体"/>
                <w:b/>
                <w:bCs/>
                <w:color w:val="auto"/>
                <w:szCs w:val="21"/>
              </w:rPr>
            </w:pPr>
            <w:r>
              <w:rPr>
                <w:rFonts w:hint="eastAsia" w:ascii="宋体" w:hAnsi="宋体"/>
                <w:b/>
                <w:bCs/>
                <w:color w:val="auto"/>
                <w:szCs w:val="21"/>
              </w:rPr>
              <w:t>发包方式</w:t>
            </w:r>
          </w:p>
        </w:tc>
      </w:tr>
      <w:tr w14:paraId="5F099B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714103ED">
            <w:pPr>
              <w:jc w:val="center"/>
              <w:rPr>
                <w:rFonts w:ascii="宋体" w:hAnsi="宋体"/>
                <w:color w:val="auto"/>
                <w:szCs w:val="21"/>
              </w:rPr>
            </w:pPr>
          </w:p>
        </w:tc>
        <w:tc>
          <w:tcPr>
            <w:tcW w:w="7532" w:type="dxa"/>
            <w:gridSpan w:val="2"/>
            <w:tcBorders>
              <w:tl2br w:val="nil"/>
              <w:tr2bl w:val="nil"/>
            </w:tcBorders>
            <w:vAlign w:val="center"/>
          </w:tcPr>
          <w:p w14:paraId="43BCC11F">
            <w:pPr>
              <w:rPr>
                <w:rFonts w:ascii="宋体" w:hAnsi="宋体"/>
                <w:b/>
                <w:bCs/>
                <w:color w:val="auto"/>
                <w:szCs w:val="21"/>
              </w:rPr>
            </w:pPr>
            <w:r>
              <w:rPr>
                <w:rFonts w:hint="eastAsia" w:ascii="宋体" w:hAnsi="宋体"/>
                <w:color w:val="auto"/>
                <w:szCs w:val="21"/>
              </w:rPr>
              <w:sym w:font="Wingdings 2" w:char="00A3"/>
            </w:r>
            <w:r>
              <w:rPr>
                <w:rFonts w:hint="eastAsia" w:ascii="宋体" w:hAnsi="宋体"/>
                <w:b/>
                <w:bCs/>
                <w:color w:val="auto"/>
                <w:szCs w:val="21"/>
              </w:rPr>
              <w:t>固定总价包干；</w:t>
            </w:r>
          </w:p>
          <w:p w14:paraId="0F59D737">
            <w:pPr>
              <w:rPr>
                <w:rFonts w:ascii="宋体" w:hAnsi="宋体"/>
                <w:b/>
                <w:bCs/>
                <w:color w:val="auto"/>
                <w:szCs w:val="21"/>
              </w:rPr>
            </w:pPr>
            <w:r>
              <w:rPr>
                <w:rFonts w:hint="eastAsia" w:ascii="宋体" w:hAnsi="宋体"/>
                <w:color w:val="auto"/>
                <w:szCs w:val="21"/>
              </w:rPr>
              <w:sym w:font="Wingdings 2" w:char="00A3"/>
            </w:r>
            <w:r>
              <w:rPr>
                <w:rFonts w:hint="eastAsia" w:ascii="宋体" w:hAnsi="宋体"/>
                <w:b/>
                <w:bCs/>
                <w:color w:val="auto"/>
                <w:szCs w:val="21"/>
              </w:rPr>
              <w:t>固定单价暂定总价包干；</w:t>
            </w:r>
          </w:p>
          <w:p w14:paraId="576B95BB">
            <w:pPr>
              <w:rPr>
                <w:rFonts w:ascii="宋体" w:hAnsi="宋体"/>
                <w:b/>
                <w:bCs/>
                <w:color w:val="auto"/>
                <w:szCs w:val="21"/>
                <w:u w:val="single"/>
              </w:rPr>
            </w:pPr>
            <w:r>
              <w:rPr>
                <w:rFonts w:hint="eastAsia" w:ascii="宋体" w:hAnsi="宋体"/>
                <w:color w:val="auto"/>
                <w:szCs w:val="21"/>
              </w:rPr>
              <w:sym w:font="Wingdings 2" w:char="0052"/>
            </w:r>
            <w:r>
              <w:rPr>
                <w:rFonts w:hint="eastAsia" w:ascii="宋体" w:hAnsi="宋体"/>
                <w:b/>
                <w:bCs/>
                <w:color w:val="auto"/>
                <w:szCs w:val="21"/>
              </w:rPr>
              <w:t>费率</w:t>
            </w:r>
            <w:r>
              <w:rPr>
                <w:rFonts w:hint="eastAsia" w:ascii="宋体" w:hAnsi="宋体"/>
                <w:b/>
                <w:bCs/>
                <w:color w:val="auto"/>
                <w:szCs w:val="21"/>
                <w:u w:val="single"/>
              </w:rPr>
              <w:t xml:space="preserve">  </w:t>
            </w:r>
            <w:r>
              <w:rPr>
                <w:rFonts w:hint="eastAsia" w:ascii="宋体" w:hAnsi="宋体"/>
                <w:b/>
                <w:bCs/>
                <w:color w:val="auto"/>
                <w:szCs w:val="21"/>
                <w:u w:val="single"/>
                <w:lang w:val="en-US" w:eastAsia="zh-CN"/>
              </w:rPr>
              <w:t>承销费率</w:t>
            </w:r>
            <w:r>
              <w:rPr>
                <w:rFonts w:hint="eastAsia" w:ascii="宋体" w:hAnsi="宋体"/>
                <w:b/>
                <w:bCs/>
                <w:color w:val="auto"/>
                <w:szCs w:val="21"/>
                <w:u w:val="single"/>
              </w:rPr>
              <w:t xml:space="preserve"> ；</w:t>
            </w:r>
          </w:p>
          <w:p w14:paraId="0C2A0279">
            <w:pPr>
              <w:rPr>
                <w:rFonts w:ascii="宋体" w:hAnsi="宋体"/>
                <w:b/>
                <w:bCs/>
                <w:color w:val="auto"/>
                <w:szCs w:val="21"/>
              </w:rPr>
            </w:pPr>
            <w:r>
              <w:rPr>
                <w:rFonts w:hint="eastAsia" w:ascii="宋体" w:hAnsi="宋体"/>
                <w:color w:val="auto"/>
                <w:szCs w:val="21"/>
              </w:rPr>
              <w:sym w:font="Wingdings 2" w:char="00A3"/>
            </w:r>
            <w:r>
              <w:rPr>
                <w:rFonts w:hint="eastAsia" w:ascii="宋体" w:hAnsi="宋体"/>
                <w:b/>
                <w:bCs/>
                <w:color w:val="auto"/>
                <w:szCs w:val="21"/>
              </w:rPr>
              <w:t>其他</w:t>
            </w:r>
            <w:r>
              <w:rPr>
                <w:rFonts w:hint="eastAsia" w:ascii="宋体" w:hAnsi="宋体"/>
                <w:b/>
                <w:bCs/>
                <w:color w:val="auto"/>
                <w:szCs w:val="21"/>
                <w:u w:val="single"/>
              </w:rPr>
              <w:t xml:space="preserve">           </w:t>
            </w:r>
            <w:r>
              <w:rPr>
                <w:rFonts w:hint="eastAsia" w:ascii="宋体" w:hAnsi="宋体"/>
                <w:b/>
                <w:bCs/>
                <w:color w:val="auto"/>
                <w:szCs w:val="21"/>
              </w:rPr>
              <w:t>；</w:t>
            </w:r>
          </w:p>
        </w:tc>
      </w:tr>
      <w:tr w14:paraId="46E42B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14:paraId="34E7816D">
            <w:pPr>
              <w:jc w:val="center"/>
              <w:rPr>
                <w:rFonts w:ascii="宋体" w:hAnsi="宋体"/>
                <w:color w:val="auto"/>
                <w:szCs w:val="21"/>
              </w:rPr>
            </w:pPr>
            <w:r>
              <w:rPr>
                <w:rFonts w:hint="eastAsia" w:ascii="宋体" w:hAnsi="宋体"/>
                <w:color w:val="auto"/>
                <w:szCs w:val="21"/>
              </w:rPr>
              <w:t>3</w:t>
            </w:r>
          </w:p>
        </w:tc>
        <w:tc>
          <w:tcPr>
            <w:tcW w:w="7532" w:type="dxa"/>
            <w:gridSpan w:val="2"/>
            <w:tcBorders>
              <w:tl2br w:val="nil"/>
              <w:tr2bl w:val="nil"/>
            </w:tcBorders>
            <w:vAlign w:val="center"/>
          </w:tcPr>
          <w:p w14:paraId="12E9B06D">
            <w:pPr>
              <w:rPr>
                <w:rFonts w:ascii="宋体" w:hAnsi="宋体"/>
                <w:b/>
                <w:bCs/>
                <w:color w:val="auto"/>
                <w:szCs w:val="21"/>
              </w:rPr>
            </w:pPr>
            <w:r>
              <w:rPr>
                <w:rFonts w:hint="eastAsia" w:ascii="宋体" w:hAnsi="宋体"/>
                <w:b/>
                <w:bCs/>
                <w:color w:val="auto"/>
                <w:szCs w:val="21"/>
              </w:rPr>
              <w:t>是否接受联合体投标</w:t>
            </w:r>
          </w:p>
        </w:tc>
      </w:tr>
      <w:tr w14:paraId="0DFD4F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680D359C">
            <w:pPr>
              <w:jc w:val="center"/>
              <w:rPr>
                <w:rFonts w:ascii="宋体" w:hAnsi="宋体"/>
                <w:color w:val="auto"/>
                <w:szCs w:val="21"/>
              </w:rPr>
            </w:pPr>
          </w:p>
        </w:tc>
        <w:tc>
          <w:tcPr>
            <w:tcW w:w="7532" w:type="dxa"/>
            <w:gridSpan w:val="2"/>
            <w:tcBorders>
              <w:tl2br w:val="nil"/>
              <w:tr2bl w:val="nil"/>
            </w:tcBorders>
            <w:vAlign w:val="center"/>
          </w:tcPr>
          <w:p w14:paraId="53C945F5">
            <w:pPr>
              <w:pStyle w:val="42"/>
              <w:ind w:firstLine="0" w:firstLineChars="0"/>
              <w:rPr>
                <w:rFonts w:ascii="宋体" w:hAnsi="宋体" w:cs="宋体"/>
                <w:color w:val="auto"/>
                <w:szCs w:val="21"/>
              </w:rPr>
            </w:pPr>
            <w:r>
              <w:rPr>
                <w:rFonts w:hint="eastAsia" w:ascii="宋体" w:hAnsi="宋体"/>
                <w:color w:val="auto"/>
                <w:szCs w:val="21"/>
              </w:rPr>
              <w:sym w:font="Wingdings 2" w:char="00A3"/>
            </w:r>
            <w:r>
              <w:rPr>
                <w:rFonts w:hint="eastAsia" w:ascii="宋体" w:hAnsi="宋体" w:cs="宋体"/>
                <w:color w:val="auto"/>
                <w:szCs w:val="21"/>
              </w:rPr>
              <w:t>是，</w:t>
            </w:r>
            <w:r>
              <w:rPr>
                <w:rFonts w:hint="eastAsia" w:ascii="宋体" w:hAnsi="宋体"/>
                <w:color w:val="auto"/>
                <w:szCs w:val="21"/>
              </w:rPr>
              <w:t>联合体投标的，应满足下列要求：</w:t>
            </w:r>
            <w:r>
              <w:rPr>
                <w:rFonts w:ascii="宋体" w:hAnsi="宋体"/>
                <w:color w:val="auto"/>
                <w:szCs w:val="21"/>
                <w:u w:val="single"/>
              </w:rPr>
              <w:t xml:space="preserve">         </w:t>
            </w:r>
            <w:r>
              <w:rPr>
                <w:rFonts w:hint="eastAsia" w:ascii="宋体" w:hAnsi="宋体" w:cs="宋体"/>
                <w:color w:val="auto"/>
                <w:szCs w:val="21"/>
              </w:rPr>
              <w:t>；</w:t>
            </w:r>
          </w:p>
          <w:p w14:paraId="4642D6FC">
            <w:pPr>
              <w:rPr>
                <w:rFonts w:ascii="宋体" w:hAnsi="宋体"/>
                <w:b/>
                <w:bCs/>
                <w:color w:val="auto"/>
                <w:szCs w:val="21"/>
              </w:rPr>
            </w:pPr>
            <w:r>
              <w:rPr>
                <w:rFonts w:hint="eastAsia" w:ascii="宋体" w:hAnsi="宋体"/>
                <w:color w:val="auto"/>
                <w:szCs w:val="21"/>
              </w:rPr>
              <w:sym w:font="Wingdings 2" w:char="0052"/>
            </w:r>
            <w:r>
              <w:rPr>
                <w:rFonts w:hint="eastAsia" w:ascii="宋体" w:hAnsi="宋体" w:cs="宋体"/>
                <w:color w:val="auto"/>
                <w:szCs w:val="21"/>
              </w:rPr>
              <w:t>否；</w:t>
            </w:r>
          </w:p>
        </w:tc>
      </w:tr>
      <w:tr w14:paraId="0622F6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3AD1BA68">
            <w:pPr>
              <w:jc w:val="center"/>
              <w:rPr>
                <w:rFonts w:ascii="宋体" w:hAnsi="宋体"/>
                <w:color w:val="auto"/>
                <w:szCs w:val="21"/>
              </w:rPr>
            </w:pPr>
            <w:r>
              <w:rPr>
                <w:rFonts w:hint="eastAsia" w:ascii="宋体" w:hAnsi="宋体"/>
                <w:color w:val="auto"/>
                <w:szCs w:val="21"/>
              </w:rPr>
              <w:t>4</w:t>
            </w:r>
          </w:p>
        </w:tc>
        <w:tc>
          <w:tcPr>
            <w:tcW w:w="7532" w:type="dxa"/>
            <w:gridSpan w:val="2"/>
            <w:tcBorders>
              <w:tl2br w:val="nil"/>
              <w:tr2bl w:val="nil"/>
            </w:tcBorders>
            <w:vAlign w:val="center"/>
          </w:tcPr>
          <w:p w14:paraId="48F22707">
            <w:pPr>
              <w:rPr>
                <w:rFonts w:ascii="宋体" w:hAnsi="宋体"/>
                <w:b/>
                <w:bCs/>
                <w:color w:val="auto"/>
                <w:szCs w:val="21"/>
              </w:rPr>
            </w:pPr>
            <w:r>
              <w:rPr>
                <w:rFonts w:hint="eastAsia" w:ascii="宋体" w:hAnsi="宋体"/>
                <w:b/>
                <w:bCs/>
                <w:color w:val="auto"/>
                <w:szCs w:val="21"/>
              </w:rPr>
              <w:t>资金来源</w:t>
            </w:r>
          </w:p>
        </w:tc>
      </w:tr>
      <w:tr w14:paraId="575A3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360D0691">
            <w:pPr>
              <w:jc w:val="center"/>
              <w:rPr>
                <w:rFonts w:ascii="宋体" w:hAnsi="宋体"/>
                <w:color w:val="auto"/>
                <w:szCs w:val="21"/>
              </w:rPr>
            </w:pPr>
          </w:p>
        </w:tc>
        <w:tc>
          <w:tcPr>
            <w:tcW w:w="7532" w:type="dxa"/>
            <w:gridSpan w:val="2"/>
            <w:tcBorders>
              <w:tl2br w:val="nil"/>
              <w:tr2bl w:val="nil"/>
            </w:tcBorders>
            <w:vAlign w:val="center"/>
          </w:tcPr>
          <w:p w14:paraId="2A32F4D6">
            <w:pPr>
              <w:rPr>
                <w:rFonts w:ascii="宋体" w:hAnsi="宋体"/>
                <w:b/>
                <w:bCs/>
                <w:color w:val="auto"/>
                <w:szCs w:val="21"/>
              </w:rPr>
            </w:pPr>
            <w:r>
              <w:rPr>
                <w:rFonts w:hint="eastAsia" w:ascii="宋体" w:hAnsi="宋体"/>
                <w:color w:val="auto"/>
                <w:szCs w:val="21"/>
                <w:u w:val="single"/>
              </w:rPr>
              <w:t>自筹资金。</w:t>
            </w:r>
          </w:p>
        </w:tc>
      </w:tr>
      <w:tr w14:paraId="410C03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78AD18FD">
            <w:pPr>
              <w:jc w:val="center"/>
              <w:rPr>
                <w:rFonts w:ascii="宋体" w:hAnsi="宋体"/>
                <w:color w:val="auto"/>
                <w:szCs w:val="21"/>
              </w:rPr>
            </w:pPr>
            <w:r>
              <w:rPr>
                <w:rFonts w:hint="eastAsia" w:ascii="宋体" w:hAnsi="宋体"/>
                <w:color w:val="auto"/>
                <w:szCs w:val="21"/>
              </w:rPr>
              <w:t>5</w:t>
            </w:r>
          </w:p>
        </w:tc>
        <w:tc>
          <w:tcPr>
            <w:tcW w:w="7532" w:type="dxa"/>
            <w:gridSpan w:val="2"/>
            <w:tcBorders>
              <w:tl2br w:val="nil"/>
              <w:tr2bl w:val="nil"/>
            </w:tcBorders>
            <w:vAlign w:val="center"/>
          </w:tcPr>
          <w:p w14:paraId="2AAF6EDD">
            <w:pPr>
              <w:rPr>
                <w:rFonts w:ascii="宋体" w:hAnsi="宋体"/>
                <w:b/>
                <w:color w:val="auto"/>
                <w:szCs w:val="21"/>
              </w:rPr>
            </w:pPr>
            <w:r>
              <w:rPr>
                <w:rFonts w:hint="eastAsia" w:ascii="宋体" w:hAnsi="宋体"/>
                <w:b/>
                <w:color w:val="auto"/>
                <w:szCs w:val="21"/>
              </w:rPr>
              <w:t>踏勘现场</w:t>
            </w:r>
          </w:p>
        </w:tc>
      </w:tr>
      <w:tr w14:paraId="3C2D59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7D25D448">
            <w:pPr>
              <w:jc w:val="center"/>
              <w:rPr>
                <w:rFonts w:ascii="宋体" w:hAnsi="宋体"/>
                <w:color w:val="auto"/>
                <w:szCs w:val="21"/>
              </w:rPr>
            </w:pPr>
          </w:p>
        </w:tc>
        <w:tc>
          <w:tcPr>
            <w:tcW w:w="7532" w:type="dxa"/>
            <w:gridSpan w:val="2"/>
            <w:tcBorders>
              <w:tl2br w:val="nil"/>
              <w:tr2bl w:val="nil"/>
            </w:tcBorders>
            <w:vAlign w:val="center"/>
          </w:tcPr>
          <w:p w14:paraId="0656B7A6">
            <w:pPr>
              <w:rPr>
                <w:rFonts w:ascii="宋体" w:hAnsi="宋体"/>
                <w:bCs/>
                <w:color w:val="auto"/>
                <w:szCs w:val="21"/>
              </w:rPr>
            </w:pPr>
            <w:r>
              <w:rPr>
                <w:rFonts w:hint="eastAsia" w:ascii="宋体" w:hAnsi="宋体"/>
                <w:bCs/>
                <w:color w:val="auto"/>
                <w:szCs w:val="21"/>
                <w:lang w:eastAsia="zh-CN"/>
              </w:rPr>
              <w:t>☑</w:t>
            </w:r>
            <w:r>
              <w:rPr>
                <w:rFonts w:hint="eastAsia" w:ascii="宋体" w:hAnsi="宋体"/>
                <w:bCs/>
                <w:color w:val="auto"/>
                <w:szCs w:val="21"/>
              </w:rPr>
              <w:t>不组织 。</w:t>
            </w:r>
          </w:p>
          <w:p w14:paraId="492C6B39">
            <w:pPr>
              <w:rPr>
                <w:rFonts w:ascii="宋体" w:hAnsi="宋体"/>
                <w:bCs/>
                <w:color w:val="auto"/>
                <w:szCs w:val="21"/>
              </w:rPr>
            </w:pPr>
            <w:r>
              <w:rPr>
                <w:rFonts w:hint="eastAsia" w:ascii="宋体" w:hAnsi="宋体"/>
                <w:bCs/>
                <w:color w:val="auto"/>
                <w:szCs w:val="21"/>
              </w:rPr>
              <w:t>□组织，踏勘现场时间、地点：</w:t>
            </w:r>
            <w:r>
              <w:rPr>
                <w:rFonts w:hint="eastAsia" w:ascii="宋体" w:hAnsi="宋体"/>
                <w:bCs/>
                <w:color w:val="auto"/>
                <w:szCs w:val="21"/>
                <w:u w:val="single"/>
              </w:rPr>
              <w:t xml:space="preserve">         </w:t>
            </w:r>
            <w:r>
              <w:rPr>
                <w:rFonts w:hint="eastAsia" w:ascii="宋体" w:hAnsi="宋体"/>
                <w:bCs/>
                <w:color w:val="auto"/>
                <w:szCs w:val="21"/>
              </w:rPr>
              <w:t xml:space="preserve">。 </w:t>
            </w:r>
          </w:p>
        </w:tc>
      </w:tr>
      <w:tr w14:paraId="6D19C3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629" w:hRule="atLeast"/>
        </w:trPr>
        <w:tc>
          <w:tcPr>
            <w:tcW w:w="8410" w:type="dxa"/>
            <w:gridSpan w:val="3"/>
            <w:tcBorders>
              <w:tl2br w:val="nil"/>
              <w:tr2bl w:val="nil"/>
            </w:tcBorders>
            <w:vAlign w:val="center"/>
          </w:tcPr>
          <w:p w14:paraId="648C1014">
            <w:pPr>
              <w:jc w:val="center"/>
              <w:rPr>
                <w:rFonts w:ascii="宋体" w:hAnsi="宋体"/>
                <w:b/>
                <w:color w:val="auto"/>
                <w:szCs w:val="21"/>
              </w:rPr>
            </w:pPr>
            <w:r>
              <w:rPr>
                <w:rFonts w:hint="eastAsia" w:ascii="宋体" w:hAnsi="宋体"/>
                <w:b/>
                <w:color w:val="auto"/>
                <w:szCs w:val="21"/>
              </w:rPr>
              <w:t>二、投标文件的编制</w:t>
            </w:r>
          </w:p>
        </w:tc>
      </w:tr>
      <w:tr w14:paraId="6AC756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6B13BD9F">
            <w:pPr>
              <w:jc w:val="center"/>
              <w:rPr>
                <w:rFonts w:ascii="宋体" w:hAnsi="宋体"/>
                <w:color w:val="auto"/>
                <w:szCs w:val="21"/>
              </w:rPr>
            </w:pPr>
            <w:r>
              <w:rPr>
                <w:rFonts w:hint="eastAsia" w:ascii="宋体" w:hAnsi="宋体"/>
                <w:color w:val="auto"/>
                <w:szCs w:val="21"/>
              </w:rPr>
              <w:t>6</w:t>
            </w:r>
          </w:p>
        </w:tc>
        <w:tc>
          <w:tcPr>
            <w:tcW w:w="7532" w:type="dxa"/>
            <w:gridSpan w:val="2"/>
            <w:tcBorders>
              <w:tl2br w:val="nil"/>
              <w:tr2bl w:val="nil"/>
            </w:tcBorders>
            <w:vAlign w:val="center"/>
          </w:tcPr>
          <w:p w14:paraId="51A7E22C">
            <w:pPr>
              <w:rPr>
                <w:rFonts w:ascii="宋体" w:hAnsi="宋体"/>
                <w:b/>
                <w:color w:val="auto"/>
                <w:szCs w:val="21"/>
              </w:rPr>
            </w:pPr>
            <w:r>
              <w:rPr>
                <w:rFonts w:hint="eastAsia" w:ascii="宋体" w:hAnsi="宋体"/>
                <w:b/>
                <w:color w:val="auto"/>
                <w:szCs w:val="21"/>
              </w:rPr>
              <w:t>投标语言</w:t>
            </w:r>
          </w:p>
        </w:tc>
      </w:tr>
      <w:tr w14:paraId="575576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0ED7E6DD">
            <w:pPr>
              <w:jc w:val="center"/>
              <w:rPr>
                <w:rFonts w:ascii="宋体" w:hAnsi="宋体"/>
                <w:color w:val="auto"/>
                <w:szCs w:val="21"/>
              </w:rPr>
            </w:pPr>
          </w:p>
        </w:tc>
        <w:tc>
          <w:tcPr>
            <w:tcW w:w="7532" w:type="dxa"/>
            <w:gridSpan w:val="2"/>
            <w:tcBorders>
              <w:tl2br w:val="nil"/>
              <w:tr2bl w:val="nil"/>
            </w:tcBorders>
            <w:vAlign w:val="center"/>
          </w:tcPr>
          <w:p w14:paraId="6B801243">
            <w:pPr>
              <w:rPr>
                <w:rFonts w:ascii="宋体" w:hAnsi="宋体"/>
                <w:b/>
                <w:color w:val="auto"/>
                <w:szCs w:val="21"/>
              </w:rPr>
            </w:pPr>
            <w:r>
              <w:rPr>
                <w:rFonts w:hint="eastAsia" w:ascii="宋体" w:hAnsi="宋体"/>
                <w:color w:val="auto"/>
                <w:szCs w:val="21"/>
              </w:rPr>
              <w:t>中文。</w:t>
            </w:r>
          </w:p>
        </w:tc>
      </w:tr>
      <w:tr w14:paraId="6D67F3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21AF2FED">
            <w:pPr>
              <w:jc w:val="center"/>
              <w:rPr>
                <w:rFonts w:ascii="宋体" w:hAnsi="宋体"/>
                <w:color w:val="auto"/>
                <w:szCs w:val="21"/>
              </w:rPr>
            </w:pPr>
            <w:r>
              <w:rPr>
                <w:rFonts w:hint="eastAsia" w:ascii="宋体" w:hAnsi="宋体"/>
                <w:color w:val="auto"/>
                <w:szCs w:val="21"/>
              </w:rPr>
              <w:t>7</w:t>
            </w:r>
          </w:p>
        </w:tc>
        <w:tc>
          <w:tcPr>
            <w:tcW w:w="7532" w:type="dxa"/>
            <w:gridSpan w:val="2"/>
            <w:tcBorders>
              <w:tl2br w:val="nil"/>
              <w:tr2bl w:val="nil"/>
            </w:tcBorders>
            <w:vAlign w:val="center"/>
          </w:tcPr>
          <w:p w14:paraId="7C505D4E">
            <w:pPr>
              <w:jc w:val="both"/>
              <w:rPr>
                <w:rFonts w:ascii="宋体" w:hAnsi="宋体"/>
                <w:b/>
                <w:color w:val="auto"/>
                <w:szCs w:val="21"/>
              </w:rPr>
            </w:pPr>
            <w:r>
              <w:rPr>
                <w:rFonts w:hint="eastAsia" w:ascii="宋体" w:hAnsi="宋体"/>
                <w:b/>
                <w:color w:val="auto"/>
                <w:szCs w:val="21"/>
              </w:rPr>
              <w:t>投标报价</w:t>
            </w:r>
          </w:p>
        </w:tc>
      </w:tr>
      <w:tr w14:paraId="4FD5F1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2FBA46DE">
            <w:pPr>
              <w:jc w:val="center"/>
              <w:rPr>
                <w:rFonts w:ascii="宋体" w:hAnsi="宋体"/>
                <w:color w:val="auto"/>
                <w:szCs w:val="21"/>
              </w:rPr>
            </w:pPr>
          </w:p>
        </w:tc>
        <w:tc>
          <w:tcPr>
            <w:tcW w:w="7532" w:type="dxa"/>
            <w:gridSpan w:val="2"/>
            <w:tcBorders>
              <w:tl2br w:val="nil"/>
              <w:tr2bl w:val="nil"/>
            </w:tcBorders>
            <w:vAlign w:val="center"/>
          </w:tcPr>
          <w:p w14:paraId="5FCC872E">
            <w:pPr>
              <w:jc w:val="both"/>
              <w:rPr>
                <w:rFonts w:ascii="宋体" w:hAnsi="宋体"/>
                <w:color w:val="auto"/>
                <w:szCs w:val="21"/>
              </w:rPr>
            </w:pPr>
            <w:r>
              <w:rPr>
                <w:rFonts w:hint="eastAsia" w:ascii="宋体" w:hAnsi="宋体"/>
                <w:color w:val="auto"/>
                <w:szCs w:val="21"/>
              </w:rPr>
              <w:t>详见投标人须知。</w:t>
            </w:r>
          </w:p>
        </w:tc>
      </w:tr>
      <w:tr w14:paraId="5F8F6B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restart"/>
            <w:tcBorders>
              <w:tl2br w:val="nil"/>
              <w:tr2bl w:val="nil"/>
            </w:tcBorders>
            <w:vAlign w:val="center"/>
          </w:tcPr>
          <w:p w14:paraId="20D12B80">
            <w:pPr>
              <w:jc w:val="center"/>
              <w:rPr>
                <w:rFonts w:ascii="宋体" w:hAnsi="宋体"/>
                <w:color w:val="auto"/>
                <w:szCs w:val="21"/>
              </w:rPr>
            </w:pPr>
            <w:r>
              <w:rPr>
                <w:rFonts w:hint="eastAsia" w:ascii="宋体" w:hAnsi="宋体"/>
                <w:color w:val="auto"/>
                <w:szCs w:val="21"/>
              </w:rPr>
              <w:t>8</w:t>
            </w:r>
          </w:p>
        </w:tc>
        <w:tc>
          <w:tcPr>
            <w:tcW w:w="7532" w:type="dxa"/>
            <w:gridSpan w:val="2"/>
            <w:tcBorders>
              <w:tl2br w:val="nil"/>
              <w:tr2bl w:val="nil"/>
            </w:tcBorders>
            <w:vAlign w:val="center"/>
          </w:tcPr>
          <w:p w14:paraId="10916F67">
            <w:pPr>
              <w:jc w:val="both"/>
              <w:rPr>
                <w:rFonts w:ascii="宋体" w:hAnsi="宋体"/>
                <w:b/>
                <w:color w:val="auto"/>
                <w:szCs w:val="21"/>
              </w:rPr>
            </w:pPr>
            <w:r>
              <w:rPr>
                <w:rFonts w:hint="eastAsia" w:ascii="宋体" w:hAnsi="宋体"/>
                <w:b/>
                <w:color w:val="auto"/>
                <w:szCs w:val="21"/>
              </w:rPr>
              <w:t>投标保证金</w:t>
            </w:r>
          </w:p>
        </w:tc>
      </w:tr>
      <w:tr w14:paraId="0D96F9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continue"/>
            <w:tcBorders>
              <w:tl2br w:val="nil"/>
              <w:tr2bl w:val="nil"/>
            </w:tcBorders>
            <w:vAlign w:val="center"/>
          </w:tcPr>
          <w:p w14:paraId="03481A4A">
            <w:pPr>
              <w:jc w:val="center"/>
              <w:rPr>
                <w:rFonts w:ascii="宋体" w:hAnsi="宋体"/>
                <w:color w:val="auto"/>
                <w:szCs w:val="21"/>
              </w:rPr>
            </w:pPr>
          </w:p>
        </w:tc>
        <w:tc>
          <w:tcPr>
            <w:tcW w:w="7532" w:type="dxa"/>
            <w:gridSpan w:val="2"/>
            <w:tcBorders>
              <w:tl2br w:val="nil"/>
              <w:tr2bl w:val="nil"/>
            </w:tcBorders>
            <w:vAlign w:val="center"/>
          </w:tcPr>
          <w:p w14:paraId="5C6D30BE">
            <w:pPr>
              <w:jc w:val="both"/>
              <w:rPr>
                <w:rFonts w:ascii="宋体" w:hAnsi="宋体"/>
                <w:color w:val="auto"/>
                <w:szCs w:val="21"/>
              </w:rPr>
            </w:pPr>
            <w:r>
              <w:rPr>
                <w:rFonts w:hint="eastAsia" w:ascii="宋体" w:hAnsi="宋体"/>
                <w:color w:val="auto"/>
                <w:szCs w:val="21"/>
              </w:rPr>
              <w:t>（1）投标保证金金额：人民币</w:t>
            </w:r>
            <w:r>
              <w:rPr>
                <w:rFonts w:hint="eastAsia" w:ascii="宋体" w:hAnsi="宋体"/>
                <w:b/>
                <w:color w:val="auto"/>
                <w:szCs w:val="21"/>
              </w:rPr>
              <w:t>（大写）</w:t>
            </w:r>
            <w:r>
              <w:rPr>
                <w:rFonts w:hint="eastAsia" w:ascii="宋体" w:hAnsi="宋体"/>
                <w:b/>
                <w:color w:val="auto"/>
                <w:szCs w:val="21"/>
                <w:u w:val="single"/>
              </w:rPr>
              <w:t xml:space="preserve"> 壹万壹仟元整 </w:t>
            </w:r>
            <w:r>
              <w:rPr>
                <w:rFonts w:hint="eastAsia" w:ascii="宋体" w:hAnsi="宋体"/>
                <w:color w:val="auto"/>
                <w:szCs w:val="21"/>
              </w:rPr>
              <w:t>（</w:t>
            </w:r>
            <w:r>
              <w:rPr>
                <w:rFonts w:hint="eastAsia" w:ascii="宋体" w:hAnsi="宋体"/>
                <w:b/>
                <w:bCs/>
                <w:color w:val="auto"/>
                <w:szCs w:val="21"/>
              </w:rPr>
              <w:t>￥</w:t>
            </w:r>
            <w:r>
              <w:rPr>
                <w:rFonts w:hint="eastAsia" w:ascii="宋体" w:hAnsi="宋体"/>
                <w:b/>
                <w:color w:val="auto"/>
                <w:szCs w:val="21"/>
                <w:u w:val="single"/>
              </w:rPr>
              <w:t xml:space="preserve"> </w:t>
            </w:r>
            <w:r>
              <w:rPr>
                <w:rFonts w:hint="eastAsia" w:ascii="宋体" w:hAnsi="宋体"/>
                <w:b/>
                <w:color w:val="auto"/>
                <w:szCs w:val="21"/>
                <w:u w:val="single"/>
                <w:lang w:val="en-US" w:eastAsia="zh-CN"/>
              </w:rPr>
              <w:t>11000.00</w:t>
            </w:r>
            <w:r>
              <w:rPr>
                <w:rFonts w:hint="eastAsia" w:ascii="宋体" w:hAnsi="宋体"/>
                <w:b/>
                <w:color w:val="auto"/>
                <w:szCs w:val="21"/>
                <w:u w:val="single"/>
              </w:rPr>
              <w:t>元</w:t>
            </w:r>
            <w:r>
              <w:rPr>
                <w:rFonts w:hint="eastAsia" w:ascii="宋体" w:hAnsi="宋体"/>
                <w:color w:val="auto"/>
                <w:szCs w:val="21"/>
              </w:rPr>
              <w:t>）。</w:t>
            </w:r>
          </w:p>
        </w:tc>
      </w:tr>
      <w:tr w14:paraId="18C688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273" w:hRule="atLeast"/>
        </w:trPr>
        <w:tc>
          <w:tcPr>
            <w:tcW w:w="878" w:type="dxa"/>
            <w:vMerge w:val="continue"/>
            <w:tcBorders>
              <w:tl2br w:val="nil"/>
              <w:tr2bl w:val="nil"/>
            </w:tcBorders>
            <w:vAlign w:val="center"/>
          </w:tcPr>
          <w:p w14:paraId="6049E163">
            <w:pPr>
              <w:jc w:val="center"/>
              <w:rPr>
                <w:rFonts w:ascii="宋体" w:hAnsi="宋体"/>
                <w:color w:val="auto"/>
                <w:szCs w:val="21"/>
              </w:rPr>
            </w:pPr>
          </w:p>
        </w:tc>
        <w:tc>
          <w:tcPr>
            <w:tcW w:w="7532" w:type="dxa"/>
            <w:gridSpan w:val="2"/>
            <w:tcBorders>
              <w:tl2br w:val="nil"/>
              <w:tr2bl w:val="nil"/>
            </w:tcBorders>
            <w:vAlign w:val="center"/>
          </w:tcPr>
          <w:p w14:paraId="3523AD38">
            <w:pPr>
              <w:tabs>
                <w:tab w:val="left" w:pos="567"/>
              </w:tabs>
              <w:jc w:val="both"/>
              <w:rPr>
                <w:rFonts w:hAnsi="宋体"/>
                <w:color w:val="auto"/>
                <w:kern w:val="2"/>
                <w:szCs w:val="21"/>
                <w:lang w:val="zh-CN"/>
              </w:rPr>
            </w:pPr>
            <w:r>
              <w:rPr>
                <w:rFonts w:hint="eastAsia" w:ascii="宋体" w:hAnsi="宋体"/>
                <w:color w:val="auto"/>
                <w:szCs w:val="21"/>
              </w:rPr>
              <w:t>（2）</w:t>
            </w:r>
            <w:r>
              <w:rPr>
                <w:rFonts w:hint="eastAsia" w:hAnsi="宋体"/>
                <w:color w:val="auto"/>
                <w:kern w:val="2"/>
                <w:szCs w:val="21"/>
                <w:lang w:val="zh-CN"/>
              </w:rPr>
              <w:t>投标保证金采用</w:t>
            </w:r>
            <w:r>
              <w:rPr>
                <w:rFonts w:hint="eastAsia" w:hAnsi="宋体"/>
                <w:color w:val="auto"/>
                <w:kern w:val="2"/>
                <w:szCs w:val="21"/>
                <w:lang w:val="en-US" w:eastAsia="zh-CN"/>
              </w:rPr>
              <w:t>转账</w:t>
            </w:r>
            <w:r>
              <w:rPr>
                <w:rFonts w:hint="eastAsia" w:hAnsi="宋体"/>
                <w:color w:val="auto"/>
                <w:kern w:val="2"/>
                <w:szCs w:val="21"/>
                <w:lang w:val="zh-CN"/>
              </w:rPr>
              <w:t>方式提交，应符合以下要求：采用银行转账方式提交的，保证金汇入以下投标保证金专用账户，不接收由以投标人分支机构、私人</w:t>
            </w:r>
            <w:r>
              <w:rPr>
                <w:rFonts w:hint="eastAsia" w:hAnsi="宋体"/>
                <w:color w:val="auto"/>
                <w:kern w:val="2"/>
                <w:szCs w:val="21"/>
                <w:lang w:val="en-US" w:eastAsia="zh-CN"/>
              </w:rPr>
              <w:t>账户</w:t>
            </w:r>
            <w:r>
              <w:rPr>
                <w:rFonts w:hint="eastAsia" w:hAnsi="宋体"/>
                <w:color w:val="auto"/>
                <w:kern w:val="2"/>
                <w:szCs w:val="21"/>
                <w:lang w:val="zh-CN"/>
              </w:rPr>
              <w:t>和其他单位转入的保证金。投标保证金必须在投标文件递交截止前到账，投标保证金未按规定时间到达指定账户或提交金额不足的，将被视为无效投标。且在备注或用途中注明本项目的项目编号。</w:t>
            </w:r>
          </w:p>
          <w:p w14:paraId="64EC1359">
            <w:pPr>
              <w:tabs>
                <w:tab w:val="left" w:pos="567"/>
              </w:tabs>
              <w:ind w:left="567" w:hanging="567"/>
              <w:jc w:val="both"/>
              <w:rPr>
                <w:rFonts w:hAnsi="宋体"/>
                <w:color w:val="auto"/>
                <w:kern w:val="2"/>
                <w:szCs w:val="21"/>
                <w:lang w:val="zh-CN"/>
              </w:rPr>
            </w:pPr>
            <w:r>
              <w:rPr>
                <w:rFonts w:hint="eastAsia" w:hAnsi="宋体"/>
                <w:color w:val="auto"/>
                <w:kern w:val="2"/>
                <w:szCs w:val="21"/>
                <w:lang w:val="zh-CN"/>
              </w:rPr>
              <w:t>投标保证金专用账户如下：</w:t>
            </w:r>
          </w:p>
          <w:p w14:paraId="5FC66715">
            <w:pPr>
              <w:tabs>
                <w:tab w:val="left" w:pos="567"/>
              </w:tabs>
              <w:ind w:firstLine="420" w:firstLineChars="200"/>
              <w:jc w:val="both"/>
              <w:rPr>
                <w:rFonts w:hAnsi="宋体" w:cs="宋体"/>
                <w:color w:val="auto"/>
                <w:kern w:val="2"/>
                <w:szCs w:val="21"/>
                <w:lang w:val="zh-CN"/>
              </w:rPr>
            </w:pPr>
            <w:r>
              <w:rPr>
                <w:rFonts w:hint="eastAsia" w:hAnsi="宋体" w:cs="宋体"/>
                <w:color w:val="auto"/>
                <w:kern w:val="2"/>
                <w:szCs w:val="21"/>
                <w:lang w:val="en-US" w:eastAsia="zh-CN"/>
              </w:rPr>
              <w:t>账户</w:t>
            </w:r>
            <w:r>
              <w:rPr>
                <w:rFonts w:hint="eastAsia" w:hAnsi="宋体" w:cs="宋体"/>
                <w:color w:val="auto"/>
                <w:kern w:val="2"/>
                <w:szCs w:val="21"/>
                <w:lang w:val="zh-CN"/>
              </w:rPr>
              <w:t xml:space="preserve">名称： </w:t>
            </w:r>
            <w:r>
              <w:rPr>
                <w:rFonts w:hint="eastAsia" w:hAnsi="宋体" w:cs="宋体"/>
                <w:color w:val="auto"/>
                <w:kern w:val="2"/>
                <w:szCs w:val="21"/>
                <w:u w:val="single"/>
              </w:rPr>
              <w:t xml:space="preserve">  东莞实业投资控股集团有限公司  </w:t>
            </w:r>
            <w:r>
              <w:rPr>
                <w:rFonts w:hint="eastAsia" w:hAnsi="宋体" w:cs="宋体"/>
                <w:color w:val="auto"/>
                <w:kern w:val="2"/>
                <w:szCs w:val="21"/>
                <w:lang w:val="zh-CN"/>
              </w:rPr>
              <w:t>；</w:t>
            </w:r>
          </w:p>
          <w:p w14:paraId="7E0815C9">
            <w:pPr>
              <w:tabs>
                <w:tab w:val="left" w:pos="567"/>
              </w:tabs>
              <w:ind w:firstLine="420" w:firstLineChars="200"/>
              <w:jc w:val="both"/>
              <w:rPr>
                <w:rFonts w:hAnsi="宋体" w:cs="宋体"/>
                <w:color w:val="auto"/>
                <w:kern w:val="2"/>
                <w:szCs w:val="21"/>
                <w:lang w:val="zh-CN"/>
              </w:rPr>
            </w:pPr>
            <w:r>
              <w:rPr>
                <w:rFonts w:hint="eastAsia" w:hAnsi="宋体" w:cs="宋体"/>
                <w:color w:val="auto"/>
                <w:kern w:val="2"/>
                <w:szCs w:val="21"/>
                <w:lang w:val="zh-CN"/>
              </w:rPr>
              <w:t xml:space="preserve">开户银行： </w:t>
            </w:r>
            <w:r>
              <w:rPr>
                <w:rFonts w:hint="eastAsia" w:hAnsi="宋体" w:cs="宋体"/>
                <w:color w:val="auto"/>
                <w:kern w:val="2"/>
                <w:szCs w:val="21"/>
                <w:u w:val="single"/>
              </w:rPr>
              <w:t xml:space="preserve"> </w:t>
            </w:r>
            <w:r>
              <w:rPr>
                <w:rFonts w:hint="eastAsia" w:hAnsi="宋体" w:cs="宋体"/>
                <w:color w:val="auto"/>
                <w:kern w:val="2"/>
                <w:szCs w:val="21"/>
                <w:u w:val="single"/>
                <w:lang w:val="en-US" w:eastAsia="zh-CN"/>
              </w:rPr>
              <w:t xml:space="preserve">  </w:t>
            </w:r>
            <w:r>
              <w:rPr>
                <w:rFonts w:hint="eastAsia" w:hAnsi="宋体" w:cs="宋体"/>
                <w:color w:val="auto"/>
                <w:kern w:val="2"/>
                <w:szCs w:val="21"/>
                <w:u w:val="single"/>
                <w:lang w:val="zh-CN"/>
              </w:rPr>
              <w:t>中国邮政储蓄银行东莞市分行</w:t>
            </w:r>
            <w:r>
              <w:rPr>
                <w:rFonts w:hint="eastAsia" w:hAnsi="宋体" w:cs="宋体"/>
                <w:color w:val="auto"/>
                <w:kern w:val="2"/>
                <w:szCs w:val="21"/>
                <w:u w:val="single"/>
                <w:lang w:val="en-US" w:eastAsia="zh-CN"/>
              </w:rPr>
              <w:t xml:space="preserve">  </w:t>
            </w:r>
            <w:r>
              <w:rPr>
                <w:rFonts w:hint="eastAsia" w:hAnsi="宋体" w:cs="宋体"/>
                <w:color w:val="auto"/>
                <w:kern w:val="2"/>
                <w:szCs w:val="21"/>
                <w:u w:val="single"/>
              </w:rPr>
              <w:t xml:space="preserve"> </w:t>
            </w:r>
            <w:r>
              <w:rPr>
                <w:rFonts w:hint="eastAsia" w:hAnsi="宋体" w:cs="宋体"/>
                <w:color w:val="auto"/>
                <w:kern w:val="2"/>
                <w:szCs w:val="21"/>
                <w:lang w:val="zh-CN"/>
              </w:rPr>
              <w:t>；</w:t>
            </w:r>
          </w:p>
          <w:p w14:paraId="420ACDA7">
            <w:pPr>
              <w:tabs>
                <w:tab w:val="left" w:pos="567"/>
              </w:tabs>
              <w:ind w:firstLine="420" w:firstLineChars="200"/>
              <w:jc w:val="both"/>
              <w:rPr>
                <w:rFonts w:hAnsi="宋体" w:cs="宋体"/>
                <w:color w:val="auto"/>
                <w:kern w:val="2"/>
                <w:szCs w:val="21"/>
                <w:lang w:val="zh-CN"/>
              </w:rPr>
            </w:pPr>
            <w:r>
              <w:rPr>
                <w:rFonts w:hint="eastAsia" w:hAnsi="宋体" w:cs="宋体"/>
                <w:color w:val="auto"/>
                <w:kern w:val="2"/>
                <w:szCs w:val="21"/>
                <w:lang w:val="zh-CN"/>
              </w:rPr>
              <w:t>银行</w:t>
            </w:r>
            <w:r>
              <w:rPr>
                <w:rFonts w:hint="eastAsia" w:hAnsi="宋体" w:cs="宋体"/>
                <w:color w:val="auto"/>
                <w:kern w:val="2"/>
                <w:szCs w:val="21"/>
                <w:lang w:val="en-US" w:eastAsia="zh-CN"/>
              </w:rPr>
              <w:t>账号</w:t>
            </w:r>
            <w:r>
              <w:rPr>
                <w:rFonts w:hint="eastAsia" w:hAnsi="宋体" w:cs="宋体"/>
                <w:color w:val="auto"/>
                <w:kern w:val="2"/>
                <w:szCs w:val="21"/>
                <w:lang w:val="zh-CN"/>
              </w:rPr>
              <w:t xml:space="preserve">： </w:t>
            </w:r>
            <w:r>
              <w:rPr>
                <w:rFonts w:hint="eastAsia" w:hAnsi="宋体" w:cs="宋体"/>
                <w:color w:val="auto"/>
                <w:kern w:val="2"/>
                <w:szCs w:val="21"/>
                <w:u w:val="single"/>
              </w:rPr>
              <w:t xml:space="preserve">   </w:t>
            </w:r>
            <w:r>
              <w:rPr>
                <w:rFonts w:hint="eastAsia" w:hAnsi="宋体" w:cs="宋体"/>
                <w:color w:val="auto"/>
                <w:kern w:val="2"/>
                <w:szCs w:val="21"/>
                <w:u w:val="single"/>
                <w:lang w:val="en-US" w:eastAsia="zh-CN"/>
              </w:rPr>
              <w:t xml:space="preserve">  </w:t>
            </w:r>
            <w:r>
              <w:rPr>
                <w:rFonts w:hint="eastAsia" w:hAnsi="宋体" w:cs="宋体"/>
                <w:color w:val="auto"/>
                <w:kern w:val="2"/>
                <w:szCs w:val="21"/>
                <w:u w:val="single"/>
                <w:lang w:val="zh-CN"/>
              </w:rPr>
              <w:t>100899920180018888</w:t>
            </w:r>
            <w:r>
              <w:rPr>
                <w:rFonts w:hint="eastAsia" w:hAnsi="宋体" w:cs="宋体"/>
                <w:color w:val="auto"/>
                <w:kern w:val="2"/>
                <w:szCs w:val="21"/>
                <w:u w:val="single"/>
                <w:lang w:val="en-US" w:eastAsia="zh-CN"/>
              </w:rPr>
              <w:t xml:space="preserve">     </w:t>
            </w:r>
            <w:r>
              <w:rPr>
                <w:rFonts w:hint="eastAsia" w:hAnsi="宋体" w:cs="宋体"/>
                <w:color w:val="auto"/>
                <w:kern w:val="2"/>
                <w:szCs w:val="21"/>
                <w:u w:val="single"/>
              </w:rPr>
              <w:t xml:space="preserve">  </w:t>
            </w:r>
            <w:r>
              <w:rPr>
                <w:rFonts w:hint="eastAsia" w:hAnsi="宋体" w:cs="宋体"/>
                <w:color w:val="auto"/>
                <w:kern w:val="2"/>
                <w:szCs w:val="21"/>
                <w:lang w:val="zh-CN"/>
              </w:rPr>
              <w:t>；</w:t>
            </w:r>
          </w:p>
          <w:p w14:paraId="4CEA1336">
            <w:pPr>
              <w:tabs>
                <w:tab w:val="left" w:pos="567"/>
              </w:tabs>
              <w:ind w:firstLine="422" w:firstLineChars="200"/>
              <w:jc w:val="both"/>
              <w:rPr>
                <w:rFonts w:ascii="宋体" w:hAnsi="宋体"/>
                <w:b/>
                <w:color w:val="auto"/>
                <w:szCs w:val="21"/>
              </w:rPr>
            </w:pPr>
            <w:r>
              <w:rPr>
                <w:rFonts w:hint="eastAsia" w:hAnsi="宋体" w:cs="宋体"/>
                <w:b/>
                <w:color w:val="auto"/>
                <w:szCs w:val="21"/>
              </w:rPr>
              <w:t>（注：各投标人在</w:t>
            </w:r>
            <w:r>
              <w:rPr>
                <w:rFonts w:hint="eastAsia" w:hAnsi="宋体" w:cs="宋体"/>
                <w:b/>
                <w:color w:val="auto"/>
                <w:szCs w:val="21"/>
                <w:lang w:val="en-US" w:eastAsia="zh-CN"/>
              </w:rPr>
              <w:t>转账</w:t>
            </w:r>
            <w:r>
              <w:rPr>
                <w:rFonts w:hint="eastAsia" w:hAnsi="宋体" w:cs="宋体"/>
                <w:b/>
                <w:color w:val="auto"/>
                <w:szCs w:val="21"/>
              </w:rPr>
              <w:t>或电汇时须在用途栏上备注项目编号，及项目名称，如有字数限制项目名称可简写。）</w:t>
            </w:r>
          </w:p>
        </w:tc>
      </w:tr>
      <w:tr w14:paraId="073EA8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20" w:hRule="atLeast"/>
        </w:trPr>
        <w:tc>
          <w:tcPr>
            <w:tcW w:w="878" w:type="dxa"/>
            <w:vMerge w:val="restart"/>
            <w:tcBorders>
              <w:tl2br w:val="nil"/>
              <w:tr2bl w:val="nil"/>
            </w:tcBorders>
            <w:vAlign w:val="center"/>
          </w:tcPr>
          <w:p w14:paraId="0841C78A">
            <w:pPr>
              <w:jc w:val="center"/>
              <w:rPr>
                <w:rFonts w:ascii="宋体" w:hAnsi="宋体"/>
                <w:color w:val="auto"/>
                <w:szCs w:val="21"/>
              </w:rPr>
            </w:pPr>
            <w:r>
              <w:rPr>
                <w:rFonts w:hint="eastAsia" w:ascii="宋体" w:hAnsi="宋体"/>
                <w:color w:val="auto"/>
                <w:szCs w:val="21"/>
              </w:rPr>
              <w:t>9</w:t>
            </w:r>
          </w:p>
        </w:tc>
        <w:tc>
          <w:tcPr>
            <w:tcW w:w="7532" w:type="dxa"/>
            <w:gridSpan w:val="2"/>
            <w:tcBorders>
              <w:tl2br w:val="nil"/>
              <w:tr2bl w:val="nil"/>
            </w:tcBorders>
            <w:vAlign w:val="center"/>
          </w:tcPr>
          <w:p w14:paraId="5592C086">
            <w:pPr>
              <w:jc w:val="both"/>
              <w:rPr>
                <w:rFonts w:ascii="宋体" w:hAnsi="宋体"/>
                <w:b/>
                <w:bCs/>
                <w:color w:val="auto"/>
                <w:szCs w:val="21"/>
                <w:lang w:val="zh-CN"/>
              </w:rPr>
            </w:pPr>
            <w:r>
              <w:rPr>
                <w:rFonts w:hint="eastAsia" w:ascii="宋体" w:hAnsi="宋体"/>
                <w:b/>
                <w:bCs/>
                <w:color w:val="auto"/>
                <w:szCs w:val="21"/>
                <w:lang w:val="zh-CN"/>
              </w:rPr>
              <w:t>投标保证金退还</w:t>
            </w:r>
          </w:p>
        </w:tc>
      </w:tr>
      <w:tr w14:paraId="46A824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535" w:hRule="atLeast"/>
        </w:trPr>
        <w:tc>
          <w:tcPr>
            <w:tcW w:w="878" w:type="dxa"/>
            <w:vMerge w:val="continue"/>
            <w:tcBorders>
              <w:tl2br w:val="nil"/>
              <w:tr2bl w:val="nil"/>
            </w:tcBorders>
            <w:vAlign w:val="center"/>
          </w:tcPr>
          <w:p w14:paraId="070AB77F">
            <w:pPr>
              <w:jc w:val="center"/>
              <w:rPr>
                <w:rFonts w:ascii="宋体" w:hAnsi="宋体"/>
                <w:color w:val="auto"/>
                <w:szCs w:val="21"/>
              </w:rPr>
            </w:pPr>
          </w:p>
        </w:tc>
        <w:tc>
          <w:tcPr>
            <w:tcW w:w="7532" w:type="dxa"/>
            <w:gridSpan w:val="2"/>
            <w:tcBorders>
              <w:tl2br w:val="nil"/>
              <w:tr2bl w:val="nil"/>
            </w:tcBorders>
            <w:vAlign w:val="center"/>
          </w:tcPr>
          <w:p w14:paraId="07B18B28">
            <w:pPr>
              <w:jc w:val="both"/>
              <w:rPr>
                <w:rFonts w:ascii="宋体" w:hAnsi="宋体"/>
                <w:color w:val="auto"/>
                <w:szCs w:val="21"/>
                <w:lang w:val="zh-CN"/>
              </w:rPr>
            </w:pPr>
            <w:r>
              <w:rPr>
                <w:rFonts w:hint="eastAsia" w:ascii="宋体" w:hAnsi="宋体"/>
                <w:color w:val="auto"/>
                <w:szCs w:val="21"/>
                <w:lang w:val="zh-CN"/>
              </w:rPr>
              <w:t>（</w:t>
            </w:r>
            <w:r>
              <w:rPr>
                <w:rFonts w:hint="eastAsia" w:ascii="宋体" w:hAnsi="宋体"/>
                <w:color w:val="auto"/>
                <w:szCs w:val="21"/>
              </w:rPr>
              <w:t>1</w:t>
            </w:r>
            <w:r>
              <w:rPr>
                <w:rFonts w:hint="eastAsia" w:ascii="宋体" w:hAnsi="宋体"/>
                <w:color w:val="auto"/>
                <w:szCs w:val="21"/>
                <w:lang w:val="zh-CN"/>
              </w:rPr>
              <w:t>）未中标的投标人的保证金应当在中标通知书发出后退还，中标</w:t>
            </w:r>
            <w:r>
              <w:rPr>
                <w:rFonts w:hint="eastAsia" w:ascii="宋体" w:hAnsi="宋体"/>
                <w:color w:val="auto"/>
                <w:szCs w:val="21"/>
              </w:rPr>
              <w:t>的</w:t>
            </w:r>
            <w:r>
              <w:rPr>
                <w:rFonts w:hint="eastAsia" w:ascii="宋体" w:hAnsi="宋体"/>
                <w:color w:val="auto"/>
                <w:szCs w:val="21"/>
                <w:lang w:val="zh-CN"/>
              </w:rPr>
              <w:t>投标人的投标保证金在合同签订后自动转为履约保证金。</w:t>
            </w:r>
          </w:p>
          <w:p w14:paraId="38745A43">
            <w:pPr>
              <w:jc w:val="both"/>
              <w:rPr>
                <w:color w:val="auto"/>
              </w:rPr>
            </w:pPr>
            <w:r>
              <w:rPr>
                <w:rFonts w:hint="eastAsia" w:ascii="宋体" w:hAnsi="宋体"/>
                <w:color w:val="auto"/>
                <w:szCs w:val="21"/>
                <w:lang w:val="zh-CN"/>
              </w:rPr>
              <w:t>（</w:t>
            </w:r>
            <w:r>
              <w:rPr>
                <w:rFonts w:hint="eastAsia" w:ascii="宋体" w:hAnsi="宋体"/>
                <w:color w:val="auto"/>
                <w:szCs w:val="21"/>
              </w:rPr>
              <w:t>2</w:t>
            </w:r>
            <w:r>
              <w:rPr>
                <w:rFonts w:hint="eastAsia" w:ascii="宋体" w:hAnsi="宋体"/>
                <w:color w:val="auto"/>
                <w:szCs w:val="21"/>
                <w:lang w:val="zh-CN"/>
              </w:rPr>
              <w:t>）为方便退还未中标的投标人的保证金，投标人应制作《投标保证金汇入情况说明》随唱标信封一并递交。</w:t>
            </w:r>
          </w:p>
        </w:tc>
      </w:tr>
      <w:tr w14:paraId="2A4C8C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00279BCA">
            <w:pPr>
              <w:jc w:val="center"/>
              <w:rPr>
                <w:rFonts w:ascii="宋体" w:hAnsi="宋体"/>
                <w:color w:val="auto"/>
                <w:szCs w:val="21"/>
              </w:rPr>
            </w:pPr>
            <w:r>
              <w:rPr>
                <w:rFonts w:hint="eastAsia" w:ascii="宋体" w:hAnsi="宋体"/>
                <w:color w:val="auto"/>
                <w:szCs w:val="21"/>
              </w:rPr>
              <w:t>10</w:t>
            </w:r>
          </w:p>
        </w:tc>
        <w:tc>
          <w:tcPr>
            <w:tcW w:w="7532" w:type="dxa"/>
            <w:gridSpan w:val="2"/>
            <w:tcBorders>
              <w:tl2br w:val="nil"/>
              <w:tr2bl w:val="nil"/>
            </w:tcBorders>
            <w:vAlign w:val="center"/>
          </w:tcPr>
          <w:p w14:paraId="46EB1A08">
            <w:pPr>
              <w:jc w:val="both"/>
              <w:rPr>
                <w:rFonts w:ascii="宋体" w:hAnsi="宋体"/>
                <w:b/>
                <w:color w:val="auto"/>
                <w:szCs w:val="21"/>
              </w:rPr>
            </w:pPr>
            <w:r>
              <w:rPr>
                <w:rFonts w:hint="eastAsia" w:ascii="宋体" w:hAnsi="宋体"/>
                <w:b/>
                <w:color w:val="auto"/>
                <w:szCs w:val="21"/>
              </w:rPr>
              <w:t>投标有效期</w:t>
            </w:r>
          </w:p>
        </w:tc>
      </w:tr>
      <w:tr w14:paraId="1B814F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60459379">
            <w:pPr>
              <w:jc w:val="center"/>
              <w:rPr>
                <w:rFonts w:ascii="宋体" w:hAnsi="宋体"/>
                <w:color w:val="auto"/>
                <w:szCs w:val="21"/>
              </w:rPr>
            </w:pPr>
          </w:p>
        </w:tc>
        <w:tc>
          <w:tcPr>
            <w:tcW w:w="7532" w:type="dxa"/>
            <w:gridSpan w:val="2"/>
            <w:tcBorders>
              <w:tl2br w:val="nil"/>
              <w:tr2bl w:val="nil"/>
            </w:tcBorders>
            <w:vAlign w:val="center"/>
          </w:tcPr>
          <w:p w14:paraId="57775C07">
            <w:pPr>
              <w:jc w:val="both"/>
              <w:rPr>
                <w:rFonts w:ascii="宋体" w:hAnsi="宋体"/>
                <w:b/>
                <w:color w:val="auto"/>
                <w:szCs w:val="21"/>
              </w:rPr>
            </w:pPr>
            <w:r>
              <w:rPr>
                <w:rFonts w:hint="eastAsia" w:ascii="宋体" w:hAnsi="宋体"/>
                <w:color w:val="auto"/>
                <w:szCs w:val="21"/>
              </w:rPr>
              <w:t>九十天。</w:t>
            </w:r>
          </w:p>
        </w:tc>
      </w:tr>
      <w:tr w14:paraId="5D96DA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restart"/>
            <w:tcBorders>
              <w:tl2br w:val="nil"/>
              <w:tr2bl w:val="nil"/>
            </w:tcBorders>
            <w:vAlign w:val="center"/>
          </w:tcPr>
          <w:p w14:paraId="78637C38">
            <w:pPr>
              <w:jc w:val="center"/>
              <w:rPr>
                <w:rFonts w:ascii="宋体" w:hAnsi="宋体"/>
                <w:color w:val="auto"/>
                <w:szCs w:val="21"/>
              </w:rPr>
            </w:pPr>
            <w:r>
              <w:rPr>
                <w:rFonts w:hint="eastAsia" w:ascii="宋体" w:hAnsi="宋体"/>
                <w:color w:val="auto"/>
                <w:szCs w:val="21"/>
              </w:rPr>
              <w:t>11</w:t>
            </w:r>
          </w:p>
        </w:tc>
        <w:tc>
          <w:tcPr>
            <w:tcW w:w="7532" w:type="dxa"/>
            <w:gridSpan w:val="2"/>
            <w:tcBorders>
              <w:tl2br w:val="nil"/>
              <w:tr2bl w:val="nil"/>
            </w:tcBorders>
            <w:vAlign w:val="center"/>
          </w:tcPr>
          <w:p w14:paraId="32AB19BE">
            <w:pPr>
              <w:jc w:val="center"/>
              <w:rPr>
                <w:rFonts w:ascii="宋体" w:hAnsi="宋体"/>
                <w:b/>
                <w:color w:val="auto"/>
                <w:szCs w:val="21"/>
              </w:rPr>
            </w:pPr>
            <w:r>
              <w:rPr>
                <w:rFonts w:hint="eastAsia" w:ascii="宋体" w:hAnsi="宋体"/>
                <w:b/>
                <w:color w:val="auto"/>
                <w:szCs w:val="21"/>
              </w:rPr>
              <w:t>投标人应提交以下投标文件（投标文件由唱标信封、价格文件、商务文件、技术文件、电子文档五部分组成；价格文件、商务文件、技术文件分别单独装订成册，电子文档装入唱标信封一同封装；具体编制和封装要求详见第四部分投标人须知）</w:t>
            </w:r>
          </w:p>
        </w:tc>
      </w:tr>
      <w:tr w14:paraId="30320B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6311D4CE">
            <w:pPr>
              <w:jc w:val="center"/>
              <w:rPr>
                <w:rFonts w:ascii="宋体" w:hAnsi="宋体"/>
                <w:color w:val="auto"/>
                <w:szCs w:val="21"/>
              </w:rPr>
            </w:pPr>
          </w:p>
        </w:tc>
        <w:tc>
          <w:tcPr>
            <w:tcW w:w="2608" w:type="dxa"/>
            <w:tcBorders>
              <w:tl2br w:val="nil"/>
              <w:tr2bl w:val="nil"/>
            </w:tcBorders>
            <w:vAlign w:val="center"/>
          </w:tcPr>
          <w:p w14:paraId="08975C2C">
            <w:pPr>
              <w:jc w:val="center"/>
              <w:rPr>
                <w:rFonts w:ascii="宋体" w:hAnsi="宋体"/>
                <w:b/>
                <w:color w:val="auto"/>
                <w:szCs w:val="21"/>
              </w:rPr>
            </w:pPr>
            <w:r>
              <w:rPr>
                <w:rFonts w:hint="eastAsia" w:ascii="宋体" w:hAnsi="宋体"/>
                <w:b/>
                <w:color w:val="auto"/>
                <w:szCs w:val="21"/>
              </w:rPr>
              <w:t>投标文件类型</w:t>
            </w:r>
          </w:p>
        </w:tc>
        <w:tc>
          <w:tcPr>
            <w:tcW w:w="4924" w:type="dxa"/>
            <w:tcBorders>
              <w:tl2br w:val="nil"/>
              <w:tr2bl w:val="nil"/>
            </w:tcBorders>
            <w:vAlign w:val="center"/>
          </w:tcPr>
          <w:p w14:paraId="07F6666F">
            <w:pPr>
              <w:jc w:val="center"/>
              <w:rPr>
                <w:rFonts w:ascii="宋体" w:hAnsi="宋体"/>
                <w:b/>
                <w:color w:val="auto"/>
                <w:szCs w:val="21"/>
              </w:rPr>
            </w:pPr>
            <w:r>
              <w:rPr>
                <w:rFonts w:hint="eastAsia" w:ascii="宋体" w:hAnsi="宋体"/>
                <w:b/>
                <w:color w:val="auto"/>
                <w:szCs w:val="21"/>
              </w:rPr>
              <w:t>份数</w:t>
            </w:r>
          </w:p>
        </w:tc>
      </w:tr>
      <w:tr w14:paraId="48BECB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3D8ABD51">
            <w:pPr>
              <w:jc w:val="center"/>
              <w:rPr>
                <w:rFonts w:ascii="宋体" w:hAnsi="宋体"/>
                <w:color w:val="auto"/>
                <w:szCs w:val="21"/>
              </w:rPr>
            </w:pPr>
          </w:p>
        </w:tc>
        <w:tc>
          <w:tcPr>
            <w:tcW w:w="2608" w:type="dxa"/>
            <w:tcBorders>
              <w:tl2br w:val="nil"/>
              <w:tr2bl w:val="nil"/>
            </w:tcBorders>
            <w:vAlign w:val="center"/>
          </w:tcPr>
          <w:p w14:paraId="43944D82">
            <w:pPr>
              <w:jc w:val="center"/>
              <w:rPr>
                <w:rFonts w:ascii="宋体" w:hAnsi="宋体"/>
                <w:b/>
                <w:color w:val="auto"/>
                <w:szCs w:val="21"/>
              </w:rPr>
            </w:pPr>
            <w:r>
              <w:rPr>
                <w:rFonts w:hint="eastAsia" w:ascii="宋体" w:hAnsi="宋体"/>
                <w:b/>
                <w:color w:val="auto"/>
                <w:szCs w:val="21"/>
              </w:rPr>
              <w:t>唱标信封</w:t>
            </w:r>
          </w:p>
        </w:tc>
        <w:tc>
          <w:tcPr>
            <w:tcW w:w="4924" w:type="dxa"/>
            <w:tcBorders>
              <w:tl2br w:val="nil"/>
              <w:tr2bl w:val="nil"/>
            </w:tcBorders>
            <w:vAlign w:val="center"/>
          </w:tcPr>
          <w:p w14:paraId="14FE2551">
            <w:pPr>
              <w:jc w:val="center"/>
              <w:rPr>
                <w:rFonts w:ascii="宋体" w:hAnsi="宋体"/>
                <w:b/>
                <w:color w:val="auto"/>
                <w:szCs w:val="21"/>
              </w:rPr>
            </w:pPr>
            <w:r>
              <w:rPr>
                <w:rFonts w:hint="eastAsia" w:ascii="宋体" w:hAnsi="宋体"/>
                <w:b/>
                <w:color w:val="auto"/>
                <w:szCs w:val="21"/>
              </w:rPr>
              <w:t>1</w:t>
            </w:r>
          </w:p>
        </w:tc>
      </w:tr>
      <w:tr w14:paraId="585B62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048B250B">
            <w:pPr>
              <w:jc w:val="center"/>
              <w:rPr>
                <w:rFonts w:ascii="宋体" w:hAnsi="宋体"/>
                <w:color w:val="auto"/>
                <w:szCs w:val="21"/>
              </w:rPr>
            </w:pPr>
          </w:p>
        </w:tc>
        <w:tc>
          <w:tcPr>
            <w:tcW w:w="2608" w:type="dxa"/>
            <w:tcBorders>
              <w:tl2br w:val="nil"/>
              <w:tr2bl w:val="nil"/>
            </w:tcBorders>
            <w:vAlign w:val="center"/>
          </w:tcPr>
          <w:p w14:paraId="7C953D5A">
            <w:pPr>
              <w:jc w:val="center"/>
              <w:rPr>
                <w:rFonts w:ascii="宋体" w:hAnsi="宋体"/>
                <w:b/>
                <w:color w:val="auto"/>
                <w:szCs w:val="21"/>
              </w:rPr>
            </w:pPr>
            <w:r>
              <w:rPr>
                <w:rFonts w:hint="eastAsia" w:ascii="宋体" w:hAnsi="宋体"/>
                <w:b/>
                <w:color w:val="auto"/>
                <w:szCs w:val="21"/>
              </w:rPr>
              <w:t>投标文件正本</w:t>
            </w:r>
          </w:p>
        </w:tc>
        <w:tc>
          <w:tcPr>
            <w:tcW w:w="4924" w:type="dxa"/>
            <w:tcBorders>
              <w:tl2br w:val="nil"/>
              <w:tr2bl w:val="nil"/>
            </w:tcBorders>
            <w:vAlign w:val="center"/>
          </w:tcPr>
          <w:p w14:paraId="50386B0D">
            <w:pPr>
              <w:jc w:val="center"/>
              <w:rPr>
                <w:rFonts w:ascii="宋体" w:hAnsi="宋体"/>
                <w:b/>
                <w:color w:val="auto"/>
                <w:szCs w:val="21"/>
              </w:rPr>
            </w:pPr>
            <w:r>
              <w:rPr>
                <w:rFonts w:hint="eastAsia" w:ascii="宋体" w:hAnsi="宋体"/>
                <w:b/>
                <w:color w:val="auto"/>
                <w:szCs w:val="21"/>
              </w:rPr>
              <w:t>1</w:t>
            </w:r>
          </w:p>
        </w:tc>
      </w:tr>
      <w:tr w14:paraId="6AFB25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7" w:hRule="atLeast"/>
        </w:trPr>
        <w:tc>
          <w:tcPr>
            <w:tcW w:w="878" w:type="dxa"/>
            <w:vMerge w:val="continue"/>
            <w:tcBorders>
              <w:tl2br w:val="nil"/>
              <w:tr2bl w:val="nil"/>
            </w:tcBorders>
            <w:vAlign w:val="center"/>
          </w:tcPr>
          <w:p w14:paraId="16B77559">
            <w:pPr>
              <w:jc w:val="center"/>
              <w:rPr>
                <w:rFonts w:ascii="宋体" w:hAnsi="宋体"/>
                <w:color w:val="auto"/>
                <w:szCs w:val="21"/>
              </w:rPr>
            </w:pPr>
          </w:p>
        </w:tc>
        <w:tc>
          <w:tcPr>
            <w:tcW w:w="2608" w:type="dxa"/>
            <w:tcBorders>
              <w:tl2br w:val="nil"/>
              <w:tr2bl w:val="nil"/>
            </w:tcBorders>
            <w:vAlign w:val="center"/>
          </w:tcPr>
          <w:p w14:paraId="6170E2E2">
            <w:pPr>
              <w:jc w:val="center"/>
              <w:rPr>
                <w:rFonts w:ascii="宋体" w:hAnsi="宋体"/>
                <w:b/>
                <w:color w:val="auto"/>
                <w:szCs w:val="21"/>
              </w:rPr>
            </w:pPr>
            <w:r>
              <w:rPr>
                <w:rFonts w:hint="eastAsia" w:ascii="宋体" w:hAnsi="宋体"/>
                <w:b/>
                <w:color w:val="auto"/>
                <w:szCs w:val="21"/>
              </w:rPr>
              <w:t>投标文件副本</w:t>
            </w:r>
          </w:p>
        </w:tc>
        <w:tc>
          <w:tcPr>
            <w:tcW w:w="4924" w:type="dxa"/>
            <w:tcBorders>
              <w:tl2br w:val="nil"/>
              <w:tr2bl w:val="nil"/>
            </w:tcBorders>
            <w:vAlign w:val="center"/>
          </w:tcPr>
          <w:p w14:paraId="29F945EF">
            <w:pPr>
              <w:jc w:val="center"/>
              <w:rPr>
                <w:rFonts w:ascii="宋体" w:hAnsi="宋体"/>
                <w:b/>
                <w:color w:val="auto"/>
                <w:szCs w:val="21"/>
              </w:rPr>
            </w:pPr>
            <w:r>
              <w:rPr>
                <w:rFonts w:hint="eastAsia" w:ascii="宋体" w:hAnsi="宋体"/>
                <w:b/>
                <w:color w:val="auto"/>
                <w:szCs w:val="21"/>
              </w:rPr>
              <w:sym w:font="Wingdings 2" w:char="0052"/>
            </w:r>
            <w:r>
              <w:rPr>
                <w:rFonts w:hint="eastAsia" w:ascii="宋体" w:hAnsi="宋体"/>
                <w:b/>
                <w:color w:val="auto"/>
                <w:szCs w:val="21"/>
              </w:rPr>
              <w:t xml:space="preserve">5  </w:t>
            </w:r>
            <w:r>
              <w:rPr>
                <w:rFonts w:hint="eastAsia" w:ascii="宋体" w:hAnsi="宋体"/>
                <w:b/>
                <w:color w:val="auto"/>
                <w:szCs w:val="21"/>
              </w:rPr>
              <w:sym w:font="Wingdings 2" w:char="00A3"/>
            </w:r>
            <w:r>
              <w:rPr>
                <w:rFonts w:hint="eastAsia" w:ascii="宋体" w:hAnsi="宋体"/>
                <w:b/>
                <w:color w:val="auto"/>
                <w:szCs w:val="21"/>
              </w:rPr>
              <w:t>7</w:t>
            </w:r>
          </w:p>
        </w:tc>
      </w:tr>
      <w:tr w14:paraId="74D5D8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493D3A62">
            <w:pPr>
              <w:jc w:val="center"/>
              <w:rPr>
                <w:rFonts w:ascii="宋体" w:hAnsi="宋体"/>
                <w:color w:val="auto"/>
                <w:szCs w:val="21"/>
              </w:rPr>
            </w:pPr>
          </w:p>
        </w:tc>
        <w:tc>
          <w:tcPr>
            <w:tcW w:w="2608" w:type="dxa"/>
            <w:vMerge w:val="restart"/>
            <w:tcBorders>
              <w:tl2br w:val="nil"/>
              <w:tr2bl w:val="nil"/>
            </w:tcBorders>
            <w:vAlign w:val="center"/>
          </w:tcPr>
          <w:p w14:paraId="06861DE8">
            <w:pPr>
              <w:jc w:val="center"/>
              <w:rPr>
                <w:rFonts w:ascii="宋体" w:hAnsi="宋体"/>
                <w:b/>
                <w:color w:val="auto"/>
                <w:szCs w:val="21"/>
              </w:rPr>
            </w:pPr>
            <w:r>
              <w:rPr>
                <w:rFonts w:hint="eastAsia" w:ascii="宋体" w:hAnsi="宋体"/>
                <w:b/>
                <w:color w:val="auto"/>
                <w:szCs w:val="21"/>
              </w:rPr>
              <w:t>电子文档</w:t>
            </w:r>
          </w:p>
        </w:tc>
        <w:tc>
          <w:tcPr>
            <w:tcW w:w="4924" w:type="dxa"/>
            <w:tcBorders>
              <w:tl2br w:val="nil"/>
              <w:tr2bl w:val="nil"/>
            </w:tcBorders>
            <w:vAlign w:val="center"/>
          </w:tcPr>
          <w:p w14:paraId="0D76CC90">
            <w:pPr>
              <w:jc w:val="center"/>
              <w:rPr>
                <w:rFonts w:ascii="宋体" w:hAnsi="宋体"/>
                <w:b/>
                <w:color w:val="auto"/>
                <w:szCs w:val="21"/>
              </w:rPr>
            </w:pPr>
            <w:r>
              <w:rPr>
                <w:rFonts w:hint="eastAsia" w:ascii="宋体" w:hAnsi="宋体"/>
                <w:b/>
                <w:color w:val="auto"/>
                <w:szCs w:val="21"/>
              </w:rPr>
              <w:t>1</w:t>
            </w:r>
          </w:p>
        </w:tc>
      </w:tr>
      <w:tr w14:paraId="1A4347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57E9F7C7">
            <w:pPr>
              <w:jc w:val="center"/>
              <w:rPr>
                <w:rFonts w:ascii="宋体" w:hAnsi="宋体"/>
                <w:color w:val="auto"/>
                <w:szCs w:val="21"/>
              </w:rPr>
            </w:pPr>
          </w:p>
        </w:tc>
        <w:tc>
          <w:tcPr>
            <w:tcW w:w="2608" w:type="dxa"/>
            <w:vMerge w:val="continue"/>
            <w:tcBorders>
              <w:tl2br w:val="nil"/>
              <w:tr2bl w:val="nil"/>
            </w:tcBorders>
            <w:vAlign w:val="center"/>
          </w:tcPr>
          <w:p w14:paraId="4473D589">
            <w:pPr>
              <w:jc w:val="center"/>
              <w:rPr>
                <w:rFonts w:ascii="宋体" w:hAnsi="宋体"/>
                <w:b/>
                <w:color w:val="auto"/>
                <w:szCs w:val="21"/>
              </w:rPr>
            </w:pPr>
          </w:p>
        </w:tc>
        <w:tc>
          <w:tcPr>
            <w:tcW w:w="4924" w:type="dxa"/>
            <w:tcBorders>
              <w:tl2br w:val="nil"/>
              <w:tr2bl w:val="nil"/>
            </w:tcBorders>
            <w:vAlign w:val="center"/>
          </w:tcPr>
          <w:p w14:paraId="7B426626">
            <w:pPr>
              <w:jc w:val="center"/>
              <w:rPr>
                <w:rFonts w:ascii="宋体" w:hAnsi="宋体"/>
                <w:b/>
                <w:color w:val="auto"/>
                <w:szCs w:val="21"/>
              </w:rPr>
            </w:pPr>
            <w:r>
              <w:rPr>
                <w:rFonts w:hint="eastAsia" w:ascii="宋体" w:hAnsi="宋体" w:cs="Times New Roman"/>
                <w:b/>
                <w:color w:val="auto"/>
                <w:szCs w:val="21"/>
              </w:rPr>
              <w:t>U盘，须含盖章版PDF投标文件和WORD版投标文件各一版，文字采用WORD文档，计算表格采用 EXCEL文档。</w:t>
            </w:r>
          </w:p>
        </w:tc>
      </w:tr>
      <w:tr w14:paraId="547C83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57" w:hRule="atLeast"/>
        </w:trPr>
        <w:tc>
          <w:tcPr>
            <w:tcW w:w="8410" w:type="dxa"/>
            <w:gridSpan w:val="3"/>
            <w:tcBorders>
              <w:tl2br w:val="nil"/>
              <w:tr2bl w:val="nil"/>
            </w:tcBorders>
            <w:vAlign w:val="center"/>
          </w:tcPr>
          <w:p w14:paraId="733D9C19">
            <w:pPr>
              <w:jc w:val="center"/>
              <w:rPr>
                <w:rFonts w:ascii="宋体" w:hAnsi="宋体"/>
                <w:b/>
                <w:color w:val="auto"/>
                <w:szCs w:val="21"/>
              </w:rPr>
            </w:pPr>
            <w:r>
              <w:rPr>
                <w:rFonts w:hint="eastAsia" w:ascii="宋体" w:hAnsi="宋体"/>
                <w:b/>
                <w:color w:val="auto"/>
                <w:szCs w:val="21"/>
              </w:rPr>
              <w:t>三、开标与评标</w:t>
            </w:r>
          </w:p>
        </w:tc>
      </w:tr>
      <w:tr w14:paraId="2E636C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7452DC5D">
            <w:pPr>
              <w:jc w:val="center"/>
              <w:rPr>
                <w:rFonts w:ascii="宋体" w:hAnsi="宋体"/>
                <w:color w:val="auto"/>
                <w:szCs w:val="21"/>
              </w:rPr>
            </w:pPr>
            <w:r>
              <w:rPr>
                <w:rFonts w:hint="eastAsia" w:ascii="宋体" w:hAnsi="宋体"/>
                <w:color w:val="auto"/>
                <w:szCs w:val="21"/>
              </w:rPr>
              <w:t>12</w:t>
            </w:r>
          </w:p>
        </w:tc>
        <w:tc>
          <w:tcPr>
            <w:tcW w:w="7532" w:type="dxa"/>
            <w:gridSpan w:val="2"/>
            <w:tcBorders>
              <w:tl2br w:val="nil"/>
              <w:tr2bl w:val="nil"/>
            </w:tcBorders>
            <w:vAlign w:val="center"/>
          </w:tcPr>
          <w:p w14:paraId="655C98A7">
            <w:pPr>
              <w:jc w:val="both"/>
              <w:rPr>
                <w:rFonts w:ascii="宋体" w:hAnsi="宋体"/>
                <w:color w:val="auto"/>
                <w:szCs w:val="21"/>
              </w:rPr>
            </w:pPr>
            <w:r>
              <w:rPr>
                <w:rFonts w:hint="eastAsia" w:ascii="宋体" w:hAnsi="宋体"/>
                <w:b/>
                <w:color w:val="auto"/>
                <w:szCs w:val="21"/>
              </w:rPr>
              <w:t>本项目评标方法</w:t>
            </w:r>
          </w:p>
        </w:tc>
      </w:tr>
      <w:tr w14:paraId="3669DF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4458424D">
            <w:pPr>
              <w:jc w:val="center"/>
              <w:rPr>
                <w:rFonts w:ascii="宋体" w:hAnsi="宋体"/>
                <w:color w:val="auto"/>
                <w:szCs w:val="21"/>
              </w:rPr>
            </w:pPr>
          </w:p>
        </w:tc>
        <w:tc>
          <w:tcPr>
            <w:tcW w:w="7532" w:type="dxa"/>
            <w:gridSpan w:val="2"/>
            <w:tcBorders>
              <w:tl2br w:val="nil"/>
              <w:tr2bl w:val="nil"/>
            </w:tcBorders>
            <w:vAlign w:val="center"/>
          </w:tcPr>
          <w:p w14:paraId="041CFCA7">
            <w:pPr>
              <w:jc w:val="both"/>
              <w:rPr>
                <w:rFonts w:ascii="宋体" w:hAnsi="宋体"/>
                <w:b/>
                <w:color w:val="auto"/>
                <w:szCs w:val="21"/>
              </w:rPr>
            </w:pPr>
            <w:r>
              <w:rPr>
                <w:rFonts w:hint="eastAsia" w:ascii="宋体" w:hAnsi="宋体"/>
                <w:color w:val="auto"/>
                <w:szCs w:val="21"/>
              </w:rPr>
              <w:t>综合评分法。</w:t>
            </w:r>
          </w:p>
        </w:tc>
      </w:tr>
      <w:tr w14:paraId="13666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2B049242">
            <w:pPr>
              <w:jc w:val="center"/>
              <w:rPr>
                <w:rFonts w:ascii="宋体" w:hAnsi="宋体"/>
                <w:color w:val="auto"/>
                <w:szCs w:val="21"/>
              </w:rPr>
            </w:pPr>
            <w:r>
              <w:rPr>
                <w:rFonts w:hint="eastAsia" w:ascii="宋体" w:hAnsi="宋体"/>
                <w:color w:val="auto"/>
                <w:szCs w:val="21"/>
              </w:rPr>
              <w:t>13</w:t>
            </w:r>
          </w:p>
        </w:tc>
        <w:tc>
          <w:tcPr>
            <w:tcW w:w="7532" w:type="dxa"/>
            <w:gridSpan w:val="2"/>
            <w:tcBorders>
              <w:tl2br w:val="nil"/>
              <w:tr2bl w:val="nil"/>
            </w:tcBorders>
            <w:vAlign w:val="center"/>
          </w:tcPr>
          <w:p w14:paraId="45E3FFBC">
            <w:pPr>
              <w:jc w:val="both"/>
              <w:rPr>
                <w:rFonts w:ascii="宋体" w:hAnsi="宋体"/>
                <w:b/>
                <w:color w:val="auto"/>
                <w:szCs w:val="21"/>
              </w:rPr>
            </w:pPr>
            <w:r>
              <w:rPr>
                <w:rFonts w:hint="eastAsia" w:ascii="宋体" w:hAnsi="宋体"/>
                <w:b/>
                <w:color w:val="auto"/>
                <w:szCs w:val="21"/>
              </w:rPr>
              <w:t>综合评分法评分因素和权重分值</w:t>
            </w:r>
          </w:p>
        </w:tc>
      </w:tr>
      <w:tr w14:paraId="581092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5D3DACA9">
            <w:pPr>
              <w:jc w:val="center"/>
              <w:rPr>
                <w:rFonts w:ascii="宋体" w:hAnsi="宋体"/>
                <w:color w:val="auto"/>
                <w:szCs w:val="21"/>
              </w:rPr>
            </w:pPr>
          </w:p>
        </w:tc>
        <w:tc>
          <w:tcPr>
            <w:tcW w:w="7532" w:type="dxa"/>
            <w:gridSpan w:val="2"/>
            <w:tcBorders>
              <w:tl2br w:val="nil"/>
              <w:tr2bl w:val="nil"/>
            </w:tcBorders>
            <w:vAlign w:val="center"/>
          </w:tcPr>
          <w:p w14:paraId="48CE103A">
            <w:pPr>
              <w:jc w:val="both"/>
              <w:rPr>
                <w:rFonts w:ascii="宋体" w:hAnsi="宋体"/>
                <w:b/>
                <w:color w:val="auto"/>
                <w:szCs w:val="21"/>
              </w:rPr>
            </w:pPr>
            <w:r>
              <w:rPr>
                <w:rFonts w:hint="eastAsia" w:ascii="宋体" w:hAnsi="宋体"/>
                <w:color w:val="auto"/>
                <w:szCs w:val="21"/>
              </w:rPr>
              <w:t>见附表二。</w:t>
            </w:r>
          </w:p>
        </w:tc>
      </w:tr>
      <w:tr w14:paraId="6C1E1B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14:paraId="3A00B638">
            <w:pPr>
              <w:jc w:val="center"/>
              <w:rPr>
                <w:rFonts w:ascii="宋体" w:hAnsi="宋体"/>
                <w:color w:val="auto"/>
                <w:szCs w:val="21"/>
                <w:highlight w:val="none"/>
              </w:rPr>
            </w:pPr>
            <w:r>
              <w:rPr>
                <w:rFonts w:hint="eastAsia" w:ascii="宋体" w:hAnsi="宋体"/>
                <w:color w:val="auto"/>
                <w:szCs w:val="21"/>
                <w:highlight w:val="none"/>
              </w:rPr>
              <w:t>14</w:t>
            </w:r>
          </w:p>
        </w:tc>
        <w:tc>
          <w:tcPr>
            <w:tcW w:w="7532" w:type="dxa"/>
            <w:gridSpan w:val="2"/>
            <w:tcBorders>
              <w:tl2br w:val="nil"/>
              <w:tr2bl w:val="nil"/>
            </w:tcBorders>
            <w:vAlign w:val="center"/>
          </w:tcPr>
          <w:p w14:paraId="18C84150">
            <w:pPr>
              <w:jc w:val="both"/>
              <w:rPr>
                <w:rFonts w:ascii="宋体" w:hAnsi="宋体"/>
                <w:color w:val="auto"/>
                <w:szCs w:val="21"/>
                <w:highlight w:val="none"/>
              </w:rPr>
            </w:pPr>
            <w:r>
              <w:rPr>
                <w:rFonts w:hint="eastAsia" w:ascii="宋体" w:hAnsi="宋体"/>
                <w:b/>
                <w:color w:val="auto"/>
                <w:szCs w:val="21"/>
                <w:highlight w:val="none"/>
              </w:rPr>
              <w:t>评标委员会</w:t>
            </w:r>
          </w:p>
        </w:tc>
      </w:tr>
      <w:tr w14:paraId="4265B6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18A5AD89">
            <w:pPr>
              <w:jc w:val="center"/>
              <w:rPr>
                <w:rFonts w:ascii="宋体" w:hAnsi="宋体"/>
                <w:color w:val="auto"/>
                <w:szCs w:val="21"/>
                <w:highlight w:val="none"/>
              </w:rPr>
            </w:pPr>
          </w:p>
        </w:tc>
        <w:tc>
          <w:tcPr>
            <w:tcW w:w="7532" w:type="dxa"/>
            <w:gridSpan w:val="2"/>
            <w:tcBorders>
              <w:tl2br w:val="nil"/>
              <w:tr2bl w:val="nil"/>
            </w:tcBorders>
            <w:vAlign w:val="center"/>
          </w:tcPr>
          <w:p w14:paraId="4E1212A3">
            <w:pPr>
              <w:jc w:val="both"/>
              <w:rPr>
                <w:rFonts w:ascii="宋体" w:hAnsi="宋体"/>
                <w:color w:val="auto"/>
                <w:szCs w:val="21"/>
                <w:highlight w:val="none"/>
              </w:rPr>
            </w:pPr>
            <w:r>
              <w:rPr>
                <w:rFonts w:hint="eastAsia" w:ascii="宋体" w:hAnsi="宋体"/>
                <w:color w:val="auto"/>
                <w:szCs w:val="21"/>
                <w:highlight w:val="none"/>
              </w:rPr>
              <w:t>评标委员会成员共</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 xml:space="preserve">  </w:t>
            </w:r>
            <w:r>
              <w:rPr>
                <w:rFonts w:hint="eastAsia" w:ascii="宋体" w:hAnsi="宋体"/>
                <w:color w:val="auto"/>
                <w:szCs w:val="21"/>
                <w:highlight w:val="none"/>
              </w:rPr>
              <w:t>人：</w:t>
            </w:r>
            <w:r>
              <w:rPr>
                <w:rFonts w:hint="eastAsia" w:ascii="宋体" w:hAnsi="宋体"/>
                <w:color w:val="auto"/>
                <w:szCs w:val="21"/>
                <w:highlight w:val="none"/>
                <w:lang w:val="zh-CN"/>
              </w:rPr>
              <w:t>评标委员会由采购人</w:t>
            </w:r>
            <w:r>
              <w:rPr>
                <w:rFonts w:hint="eastAsia" w:ascii="宋体" w:hAnsi="宋体"/>
                <w:color w:val="auto"/>
                <w:szCs w:val="21"/>
                <w:highlight w:val="none"/>
              </w:rPr>
              <w:t>的</w:t>
            </w:r>
            <w:r>
              <w:rPr>
                <w:rFonts w:hint="eastAsia" w:ascii="宋体" w:hAnsi="宋体"/>
                <w:color w:val="auto"/>
                <w:szCs w:val="21"/>
                <w:highlight w:val="none"/>
                <w:lang w:val="zh-CN"/>
              </w:rPr>
              <w:t>代表和</w:t>
            </w:r>
            <w:r>
              <w:rPr>
                <w:rFonts w:hint="eastAsia" w:ascii="宋体" w:hAnsi="宋体"/>
                <w:color w:val="auto"/>
                <w:szCs w:val="21"/>
                <w:highlight w:val="none"/>
              </w:rPr>
              <w:t>有关方面的</w:t>
            </w:r>
            <w:r>
              <w:rPr>
                <w:rFonts w:hint="eastAsia" w:ascii="宋体" w:hAnsi="宋体"/>
                <w:color w:val="auto"/>
                <w:szCs w:val="21"/>
                <w:highlight w:val="none"/>
                <w:lang w:val="zh-CN"/>
              </w:rPr>
              <w:t>专家组成，</w:t>
            </w:r>
            <w:r>
              <w:rPr>
                <w:rFonts w:hint="eastAsia" w:ascii="宋体" w:hAnsi="宋体"/>
                <w:color w:val="auto"/>
                <w:szCs w:val="21"/>
                <w:highlight w:val="none"/>
              </w:rPr>
              <w:t>成员人数为五人或五人以上单数</w:t>
            </w:r>
            <w:r>
              <w:rPr>
                <w:rFonts w:hint="eastAsia" w:ascii="宋体" w:hAnsi="宋体"/>
                <w:color w:val="auto"/>
                <w:szCs w:val="21"/>
                <w:highlight w:val="none"/>
                <w:lang w:val="zh-CN"/>
              </w:rPr>
              <w:t>，其中专家不得少于成员总数的三分之二。</w:t>
            </w:r>
          </w:p>
        </w:tc>
      </w:tr>
      <w:tr w14:paraId="2CF159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748" w:hRule="atLeast"/>
        </w:trPr>
        <w:tc>
          <w:tcPr>
            <w:tcW w:w="8410" w:type="dxa"/>
            <w:gridSpan w:val="3"/>
            <w:tcBorders>
              <w:tl2br w:val="nil"/>
              <w:tr2bl w:val="nil"/>
            </w:tcBorders>
            <w:vAlign w:val="center"/>
          </w:tcPr>
          <w:p w14:paraId="1F85EC79">
            <w:pPr>
              <w:jc w:val="center"/>
              <w:rPr>
                <w:rFonts w:ascii="宋体" w:hAnsi="宋体"/>
                <w:b/>
                <w:color w:val="auto"/>
                <w:szCs w:val="21"/>
              </w:rPr>
            </w:pPr>
            <w:r>
              <w:rPr>
                <w:rFonts w:hint="eastAsia" w:ascii="宋体" w:hAnsi="宋体"/>
                <w:b/>
                <w:color w:val="auto"/>
                <w:szCs w:val="21"/>
              </w:rPr>
              <w:t>四、授予合同</w:t>
            </w:r>
          </w:p>
        </w:tc>
      </w:tr>
      <w:tr w14:paraId="6F07D8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878" w:type="dxa"/>
            <w:vMerge w:val="restart"/>
            <w:tcBorders>
              <w:tl2br w:val="nil"/>
              <w:tr2bl w:val="nil"/>
            </w:tcBorders>
            <w:vAlign w:val="center"/>
          </w:tcPr>
          <w:p w14:paraId="0E3089C1">
            <w:pPr>
              <w:jc w:val="center"/>
              <w:rPr>
                <w:rFonts w:ascii="宋体" w:hAnsi="宋体"/>
                <w:color w:val="auto"/>
                <w:szCs w:val="21"/>
              </w:rPr>
            </w:pPr>
            <w:r>
              <w:rPr>
                <w:rFonts w:hint="eastAsia" w:ascii="宋体" w:hAnsi="宋体"/>
                <w:color w:val="auto"/>
                <w:szCs w:val="21"/>
              </w:rPr>
              <w:t>15</w:t>
            </w:r>
          </w:p>
        </w:tc>
        <w:tc>
          <w:tcPr>
            <w:tcW w:w="7532" w:type="dxa"/>
            <w:gridSpan w:val="2"/>
            <w:tcBorders>
              <w:tl2br w:val="nil"/>
              <w:tr2bl w:val="nil"/>
            </w:tcBorders>
            <w:shd w:val="clear" w:color="auto" w:fill="auto"/>
            <w:vAlign w:val="center"/>
          </w:tcPr>
          <w:p w14:paraId="40102419">
            <w:pPr>
              <w:jc w:val="both"/>
              <w:rPr>
                <w:rFonts w:hint="eastAsia" w:ascii="宋体" w:hAnsi="宋体" w:eastAsia="宋体"/>
                <w:b/>
                <w:color w:val="auto"/>
                <w:szCs w:val="21"/>
                <w:lang w:val="en-US" w:eastAsia="zh-CN"/>
              </w:rPr>
            </w:pPr>
            <w:r>
              <w:rPr>
                <w:rFonts w:hint="eastAsia" w:ascii="宋体" w:hAnsi="宋体"/>
                <w:b/>
                <w:color w:val="auto"/>
                <w:szCs w:val="21"/>
              </w:rPr>
              <w:t>履约担保</w:t>
            </w:r>
          </w:p>
        </w:tc>
      </w:tr>
      <w:tr w14:paraId="24BE5C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40" w:hRule="atLeast"/>
        </w:trPr>
        <w:tc>
          <w:tcPr>
            <w:tcW w:w="878" w:type="dxa"/>
            <w:vMerge w:val="continue"/>
            <w:tcBorders>
              <w:tl2br w:val="nil"/>
              <w:tr2bl w:val="nil"/>
            </w:tcBorders>
            <w:vAlign w:val="center"/>
          </w:tcPr>
          <w:p w14:paraId="2F10DE2D">
            <w:pPr>
              <w:jc w:val="center"/>
              <w:rPr>
                <w:rFonts w:ascii="宋体" w:hAnsi="宋体"/>
                <w:color w:val="auto"/>
                <w:szCs w:val="21"/>
                <w:highlight w:val="none"/>
              </w:rPr>
            </w:pPr>
          </w:p>
        </w:tc>
        <w:tc>
          <w:tcPr>
            <w:tcW w:w="7532" w:type="dxa"/>
            <w:gridSpan w:val="2"/>
            <w:tcBorders>
              <w:tl2br w:val="nil"/>
              <w:tr2bl w:val="nil"/>
            </w:tcBorders>
            <w:shd w:val="clear" w:color="auto" w:fill="auto"/>
            <w:vAlign w:val="center"/>
          </w:tcPr>
          <w:p w14:paraId="0636D930">
            <w:pPr>
              <w:jc w:val="both"/>
              <w:rPr>
                <w:rFonts w:ascii="宋体" w:hAnsi="宋体"/>
                <w:color w:val="auto"/>
                <w:szCs w:val="21"/>
                <w:highlight w:val="none"/>
              </w:rPr>
            </w:pPr>
            <w:r>
              <w:rPr>
                <w:rFonts w:hint="eastAsia" w:ascii="宋体" w:hAnsi="宋体"/>
                <w:color w:val="auto"/>
                <w:szCs w:val="21"/>
                <w:highlight w:val="none"/>
              </w:rPr>
              <w:t>1.履约担保金额为：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11000.00元/家</w:t>
            </w:r>
            <w:r>
              <w:rPr>
                <w:rFonts w:hint="eastAsia" w:ascii="宋体" w:hAnsi="宋体"/>
                <w:color w:val="auto"/>
                <w:szCs w:val="21"/>
                <w:highlight w:val="none"/>
                <w:u w:val="single"/>
              </w:rPr>
              <w:t xml:space="preserve">    。</w:t>
            </w:r>
          </w:p>
          <w:p w14:paraId="3BA7051A">
            <w:pPr>
              <w:jc w:val="both"/>
              <w:rPr>
                <w:rFonts w:hint="default" w:ascii="宋体" w:hAnsi="宋体" w:eastAsia="宋体"/>
                <w:color w:val="auto"/>
                <w:szCs w:val="21"/>
                <w:highlight w:val="none"/>
                <w:lang w:val="en-US" w:eastAsia="zh-CN"/>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b/>
                <w:color w:val="auto"/>
                <w:szCs w:val="21"/>
                <w:lang w:val="en-US" w:eastAsia="zh-CN"/>
              </w:rPr>
              <w:t>本项目投标保证金在合同签订后自动转为履约保证金</w:t>
            </w:r>
          </w:p>
          <w:p w14:paraId="2D74A622">
            <w:pPr>
              <w:jc w:val="both"/>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1</w:t>
            </w:r>
            <w:r>
              <w:rPr>
                <w:rFonts w:hint="eastAsia" w:ascii="宋体" w:hAnsi="宋体"/>
                <w:szCs w:val="21"/>
                <w:highlight w:val="none"/>
              </w:rPr>
              <w:t>）为取得履约担保所需的费用，由中标人承担；若</w:t>
            </w:r>
            <w:r>
              <w:rPr>
                <w:rFonts w:hint="eastAsia" w:ascii="宋体" w:hAnsi="宋体"/>
                <w:szCs w:val="21"/>
                <w:highlight w:val="none"/>
                <w:lang w:val="en-US" w:eastAsia="zh-CN"/>
              </w:rPr>
              <w:t>服务期</w:t>
            </w:r>
            <w:r>
              <w:rPr>
                <w:rFonts w:hint="eastAsia" w:ascii="宋体" w:hAnsi="宋体"/>
                <w:szCs w:val="21"/>
                <w:highlight w:val="none"/>
              </w:rPr>
              <w:t>延误，履约担保时间延长，延长费用由中标人承担。</w:t>
            </w:r>
          </w:p>
          <w:p w14:paraId="792CED2D">
            <w:pPr>
              <w:pStyle w:val="8"/>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2</w:t>
            </w:r>
            <w:r>
              <w:rPr>
                <w:rFonts w:hint="eastAsia" w:ascii="宋体" w:hAnsi="宋体"/>
                <w:szCs w:val="21"/>
                <w:highlight w:val="none"/>
              </w:rPr>
              <w:t>）若中标人在合同履行过程中出现</w:t>
            </w:r>
            <w:r>
              <w:rPr>
                <w:rFonts w:hint="eastAsia" w:ascii="宋体" w:hAnsi="宋体"/>
                <w:szCs w:val="21"/>
                <w:highlight w:val="none"/>
                <w:lang w:val="en-US" w:eastAsia="zh-CN"/>
              </w:rPr>
              <w:t>服务</w:t>
            </w:r>
            <w:r>
              <w:rPr>
                <w:rFonts w:hint="eastAsia" w:ascii="宋体" w:hAnsi="宋体"/>
                <w:szCs w:val="21"/>
                <w:highlight w:val="none"/>
              </w:rPr>
              <w:t>质量</w:t>
            </w:r>
            <w:r>
              <w:rPr>
                <w:rFonts w:hint="eastAsia" w:ascii="宋体" w:hAnsi="宋体" w:cs="宋体"/>
                <w:b w:val="0"/>
                <w:bCs w:val="0"/>
                <w:kern w:val="2"/>
                <w:sz w:val="21"/>
                <w:szCs w:val="21"/>
                <w:highlight w:val="none"/>
                <w:lang w:val="en-US" w:eastAsia="zh-CN" w:bidi="ar-SA"/>
              </w:rPr>
              <w:t>不符合要求</w:t>
            </w:r>
            <w:r>
              <w:rPr>
                <w:rFonts w:hint="eastAsia" w:ascii="宋体" w:hAnsi="宋体"/>
                <w:szCs w:val="21"/>
                <w:highlight w:val="none"/>
              </w:rPr>
              <w:t>、</w:t>
            </w:r>
            <w:r>
              <w:rPr>
                <w:rFonts w:hint="eastAsia" w:ascii="宋体" w:hAnsi="宋体"/>
                <w:szCs w:val="21"/>
                <w:highlight w:val="none"/>
                <w:lang w:val="en-US" w:eastAsia="zh-CN"/>
              </w:rPr>
              <w:t>服务期</w:t>
            </w:r>
            <w:r>
              <w:rPr>
                <w:rFonts w:hint="eastAsia" w:ascii="宋体" w:hAnsi="宋体"/>
                <w:szCs w:val="21"/>
                <w:highlight w:val="none"/>
              </w:rPr>
              <w:t>拖延等情况，</w:t>
            </w:r>
            <w:r>
              <w:rPr>
                <w:rFonts w:hint="eastAsia" w:ascii="宋体" w:hAnsi="宋体"/>
                <w:szCs w:val="21"/>
                <w:highlight w:val="none"/>
                <w:lang w:val="en-US" w:eastAsia="zh-CN"/>
              </w:rPr>
              <w:t>或被取消/暂停非金融企业债务融资工具主承销商业务资格导致无法为采购人提供服务，或中标人未在采购人要求的合理期限内提供注册和发行服务等，</w:t>
            </w:r>
            <w:r>
              <w:rPr>
                <w:rFonts w:hint="eastAsia" w:ascii="宋体" w:hAnsi="宋体"/>
                <w:szCs w:val="21"/>
                <w:highlight w:val="none"/>
              </w:rPr>
              <w:t>采购人在核查属实后，有权没收其履约</w:t>
            </w:r>
            <w:r>
              <w:rPr>
                <w:rFonts w:hint="eastAsia" w:ascii="宋体" w:hAnsi="宋体"/>
                <w:szCs w:val="21"/>
                <w:highlight w:val="none"/>
                <w:lang w:val="en-US" w:eastAsia="zh-CN"/>
              </w:rPr>
              <w:t>保证金</w:t>
            </w:r>
            <w:r>
              <w:rPr>
                <w:rFonts w:hint="eastAsia" w:ascii="宋体" w:hAnsi="宋体"/>
                <w:szCs w:val="21"/>
                <w:highlight w:val="none"/>
              </w:rPr>
              <w:t>，若造成损失超过履约担保</w:t>
            </w:r>
            <w:r>
              <w:rPr>
                <w:rFonts w:hint="eastAsia" w:ascii="宋体" w:hAnsi="宋体"/>
                <w:szCs w:val="21"/>
                <w:highlight w:val="none"/>
                <w:lang w:val="en-US" w:eastAsia="zh-CN"/>
              </w:rPr>
              <w:t>金额</w:t>
            </w:r>
            <w:r>
              <w:rPr>
                <w:rFonts w:hint="eastAsia" w:ascii="宋体" w:hAnsi="宋体"/>
                <w:szCs w:val="21"/>
                <w:highlight w:val="none"/>
              </w:rPr>
              <w:t>的，</w:t>
            </w:r>
            <w:r>
              <w:rPr>
                <w:rFonts w:hint="eastAsia" w:ascii="宋体" w:hAnsi="宋体"/>
                <w:szCs w:val="21"/>
                <w:highlight w:val="none"/>
                <w:lang w:val="en-US" w:eastAsia="zh-CN"/>
              </w:rPr>
              <w:t>中标人</w:t>
            </w:r>
            <w:r>
              <w:rPr>
                <w:rFonts w:hint="eastAsia" w:ascii="宋体" w:hAnsi="宋体"/>
                <w:szCs w:val="21"/>
                <w:highlight w:val="none"/>
              </w:rPr>
              <w:t>还应当对超过部分予以赔偿。</w:t>
            </w:r>
          </w:p>
          <w:p w14:paraId="25EA7A03">
            <w:pPr>
              <w:jc w:val="both"/>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3</w:t>
            </w:r>
            <w:r>
              <w:rPr>
                <w:rFonts w:hint="eastAsia" w:ascii="宋体" w:hAnsi="宋体"/>
                <w:szCs w:val="21"/>
                <w:highlight w:val="none"/>
              </w:rPr>
              <w:t>）下列任何情况发生时，采购人有权行使享有的担保权利：</w:t>
            </w:r>
          </w:p>
          <w:p w14:paraId="391B62C1">
            <w:pPr>
              <w:jc w:val="both"/>
              <w:rPr>
                <w:rFonts w:ascii="宋体" w:hAnsi="宋体"/>
                <w:szCs w:val="21"/>
                <w:highlight w:val="none"/>
              </w:rPr>
            </w:pPr>
            <w:r>
              <w:rPr>
                <w:rFonts w:hint="eastAsia" w:ascii="宋体" w:hAnsi="宋体"/>
                <w:szCs w:val="21"/>
                <w:highlight w:val="none"/>
              </w:rPr>
              <w:t>①中标人将本项目转让给他人，或者在投标文件中未说明，且未经采购人同意，将中标项目分包给他人的；</w:t>
            </w:r>
          </w:p>
          <w:p w14:paraId="1778E1B5">
            <w:pPr>
              <w:jc w:val="both"/>
              <w:rPr>
                <w:rFonts w:ascii="宋体" w:hAnsi="宋体"/>
                <w:szCs w:val="21"/>
                <w:highlight w:val="none"/>
              </w:rPr>
            </w:pPr>
            <w:r>
              <w:rPr>
                <w:rFonts w:hint="eastAsia" w:ascii="宋体" w:hAnsi="宋体"/>
                <w:szCs w:val="21"/>
                <w:highlight w:val="none"/>
              </w:rPr>
              <w:t>②中标人在履行采购合同期间，违反有关法律法规的规定及合同约定的条款，损害了采购人的利益。</w:t>
            </w:r>
          </w:p>
          <w:p w14:paraId="6C2F2F41">
            <w:pPr>
              <w:jc w:val="both"/>
              <w:rPr>
                <w:rFonts w:ascii="宋体" w:hAnsi="宋体"/>
                <w:b/>
                <w:color w:val="auto"/>
                <w:szCs w:val="21"/>
                <w:highlight w:val="none"/>
              </w:rPr>
            </w:pPr>
            <w:r>
              <w:rPr>
                <w:rFonts w:hint="eastAsia" w:ascii="宋体" w:hAnsi="宋体"/>
                <w:szCs w:val="21"/>
                <w:highlight w:val="none"/>
              </w:rPr>
              <w:t>（</w:t>
            </w:r>
            <w:r>
              <w:rPr>
                <w:rFonts w:hint="eastAsia" w:ascii="宋体" w:hAnsi="宋体"/>
                <w:szCs w:val="21"/>
                <w:highlight w:val="none"/>
                <w:lang w:val="en-US" w:eastAsia="zh-CN"/>
              </w:rPr>
              <w:t>4</w:t>
            </w:r>
            <w:r>
              <w:rPr>
                <w:rFonts w:hint="eastAsia" w:ascii="宋体" w:hAnsi="宋体"/>
                <w:szCs w:val="21"/>
                <w:highlight w:val="none"/>
              </w:rPr>
              <w:t>）在项目服务期结束验收合格并完成结算后，中标人向采购人提交退回履约担保的申请，采购人</w:t>
            </w:r>
            <w:r>
              <w:rPr>
                <w:rFonts w:hint="eastAsia" w:ascii="宋体" w:hAnsi="宋体"/>
                <w:szCs w:val="21"/>
                <w:highlight w:val="none"/>
                <w:lang w:val="en-US" w:eastAsia="zh-CN"/>
              </w:rPr>
              <w:t>审核后将扣罚后剩余的</w:t>
            </w:r>
            <w:r>
              <w:rPr>
                <w:rFonts w:hint="eastAsia" w:ascii="宋体" w:hAnsi="宋体"/>
                <w:szCs w:val="21"/>
                <w:highlight w:val="none"/>
              </w:rPr>
              <w:t>履约担保退还</w:t>
            </w:r>
            <w:r>
              <w:rPr>
                <w:rFonts w:hint="eastAsia" w:ascii="宋体" w:hAnsi="宋体"/>
                <w:szCs w:val="21"/>
                <w:highlight w:val="none"/>
                <w:lang w:val="en-US" w:eastAsia="zh-CN"/>
              </w:rPr>
              <w:t>中标人</w:t>
            </w:r>
            <w:r>
              <w:rPr>
                <w:rFonts w:hint="eastAsia" w:ascii="宋体" w:hAnsi="宋体"/>
                <w:szCs w:val="21"/>
                <w:highlight w:val="none"/>
              </w:rPr>
              <w:t>。</w:t>
            </w:r>
          </w:p>
        </w:tc>
      </w:tr>
      <w:tr w14:paraId="595FBD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878" w:type="dxa"/>
            <w:vMerge w:val="restart"/>
            <w:tcBorders>
              <w:tl2br w:val="nil"/>
              <w:tr2bl w:val="nil"/>
            </w:tcBorders>
            <w:vAlign w:val="center"/>
          </w:tcPr>
          <w:p w14:paraId="16366591">
            <w:pPr>
              <w:jc w:val="center"/>
              <w:rPr>
                <w:rFonts w:ascii="宋体" w:hAnsi="宋体"/>
                <w:color w:val="auto"/>
                <w:szCs w:val="21"/>
              </w:rPr>
            </w:pPr>
            <w:r>
              <w:rPr>
                <w:rFonts w:hint="eastAsia" w:ascii="宋体" w:hAnsi="宋体"/>
                <w:color w:val="auto"/>
                <w:szCs w:val="21"/>
              </w:rPr>
              <w:t>16</w:t>
            </w:r>
          </w:p>
        </w:tc>
        <w:tc>
          <w:tcPr>
            <w:tcW w:w="7532" w:type="dxa"/>
            <w:gridSpan w:val="2"/>
            <w:tcBorders>
              <w:tl2br w:val="nil"/>
              <w:tr2bl w:val="nil"/>
            </w:tcBorders>
            <w:vAlign w:val="center"/>
          </w:tcPr>
          <w:p w14:paraId="28B0D9D0">
            <w:pPr>
              <w:jc w:val="both"/>
              <w:rPr>
                <w:rFonts w:ascii="宋体" w:hAnsi="宋体"/>
                <w:b/>
                <w:color w:val="auto"/>
                <w:szCs w:val="21"/>
              </w:rPr>
            </w:pPr>
            <w:r>
              <w:rPr>
                <w:rFonts w:hint="eastAsia" w:ascii="宋体" w:hAnsi="宋体"/>
                <w:b/>
                <w:color w:val="auto"/>
                <w:szCs w:val="21"/>
              </w:rPr>
              <w:t>中标服务费</w:t>
            </w:r>
          </w:p>
        </w:tc>
      </w:tr>
      <w:tr w14:paraId="24B661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878" w:type="dxa"/>
            <w:vMerge w:val="continue"/>
            <w:tcBorders>
              <w:tl2br w:val="nil"/>
              <w:tr2bl w:val="nil"/>
            </w:tcBorders>
            <w:vAlign w:val="center"/>
          </w:tcPr>
          <w:p w14:paraId="4B13FD3D">
            <w:pPr>
              <w:jc w:val="center"/>
              <w:rPr>
                <w:rFonts w:ascii="宋体" w:hAnsi="宋体"/>
                <w:color w:val="auto"/>
                <w:szCs w:val="21"/>
                <w:highlight w:val="none"/>
              </w:rPr>
            </w:pPr>
          </w:p>
        </w:tc>
        <w:tc>
          <w:tcPr>
            <w:tcW w:w="7532" w:type="dxa"/>
            <w:gridSpan w:val="2"/>
            <w:tcBorders>
              <w:tl2br w:val="nil"/>
              <w:tr2bl w:val="nil"/>
            </w:tcBorders>
            <w:vAlign w:val="center"/>
          </w:tcPr>
          <w:p w14:paraId="79400937">
            <w:pPr>
              <w:widowControl w:val="0"/>
              <w:tabs>
                <w:tab w:val="left" w:pos="907"/>
              </w:tabs>
              <w:adjustRightInd/>
              <w:snapToGrid/>
              <w:spacing w:line="360" w:lineRule="exact"/>
              <w:jc w:val="both"/>
              <w:rPr>
                <w:rFonts w:ascii="宋体" w:hAnsi="宋体"/>
                <w:color w:val="auto"/>
                <w:szCs w:val="21"/>
                <w:highlight w:val="none"/>
              </w:rPr>
            </w:pPr>
            <w:r>
              <w:rPr>
                <w:rFonts w:hint="eastAsia" w:ascii="宋体" w:hAnsi="宋体"/>
                <w:color w:val="auto"/>
                <w:szCs w:val="21"/>
                <w:highlight w:val="none"/>
              </w:rPr>
              <w:t>本项目中标服务费由采购人支付。</w:t>
            </w:r>
          </w:p>
        </w:tc>
      </w:tr>
      <w:tr w14:paraId="4E8943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329" w:hRule="atLeast"/>
        </w:trPr>
        <w:tc>
          <w:tcPr>
            <w:tcW w:w="878" w:type="dxa"/>
            <w:vMerge w:val="restart"/>
            <w:tcBorders>
              <w:tl2br w:val="nil"/>
              <w:tr2bl w:val="nil"/>
            </w:tcBorders>
            <w:vAlign w:val="center"/>
          </w:tcPr>
          <w:p w14:paraId="5C80D5A8">
            <w:pPr>
              <w:jc w:val="center"/>
              <w:rPr>
                <w:rFonts w:ascii="宋体" w:hAnsi="宋体"/>
                <w:color w:val="auto"/>
                <w:szCs w:val="21"/>
              </w:rPr>
            </w:pPr>
            <w:r>
              <w:rPr>
                <w:rFonts w:hint="eastAsia" w:ascii="宋体" w:hAnsi="宋体"/>
                <w:color w:val="auto"/>
                <w:szCs w:val="21"/>
              </w:rPr>
              <w:t>17</w:t>
            </w:r>
          </w:p>
        </w:tc>
        <w:tc>
          <w:tcPr>
            <w:tcW w:w="7532" w:type="dxa"/>
            <w:gridSpan w:val="2"/>
            <w:tcBorders>
              <w:tl2br w:val="nil"/>
              <w:tr2bl w:val="nil"/>
            </w:tcBorders>
            <w:vAlign w:val="center"/>
          </w:tcPr>
          <w:p w14:paraId="108A7835">
            <w:pPr>
              <w:widowControl w:val="0"/>
              <w:tabs>
                <w:tab w:val="left" w:pos="907"/>
              </w:tabs>
              <w:adjustRightInd/>
              <w:snapToGrid/>
              <w:spacing w:line="360" w:lineRule="exact"/>
              <w:jc w:val="both"/>
              <w:rPr>
                <w:rFonts w:hint="eastAsia" w:ascii="宋体" w:hAnsi="宋体"/>
                <w:b/>
                <w:bCs/>
                <w:color w:val="auto"/>
                <w:szCs w:val="21"/>
                <w:highlight w:val="none"/>
              </w:rPr>
            </w:pPr>
            <w:r>
              <w:rPr>
                <w:rFonts w:hint="eastAsia" w:ascii="宋体" w:hAnsi="宋体"/>
                <w:b/>
                <w:bCs/>
                <w:color w:val="auto"/>
                <w:szCs w:val="21"/>
                <w:highlight w:val="none"/>
                <w:lang w:val="en-US" w:eastAsia="zh-CN"/>
              </w:rPr>
              <w:t>报价要求</w:t>
            </w:r>
          </w:p>
        </w:tc>
      </w:tr>
      <w:tr w14:paraId="5F5551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045" w:hRule="atLeast"/>
        </w:trPr>
        <w:tc>
          <w:tcPr>
            <w:tcW w:w="878" w:type="dxa"/>
            <w:vMerge w:val="continue"/>
            <w:tcBorders>
              <w:tl2br w:val="nil"/>
              <w:tr2bl w:val="nil"/>
            </w:tcBorders>
            <w:vAlign w:val="center"/>
          </w:tcPr>
          <w:p w14:paraId="67ECF497">
            <w:pPr>
              <w:jc w:val="center"/>
              <w:rPr>
                <w:rFonts w:ascii="宋体" w:hAnsi="宋体"/>
                <w:color w:val="auto"/>
                <w:szCs w:val="21"/>
              </w:rPr>
            </w:pPr>
          </w:p>
        </w:tc>
        <w:tc>
          <w:tcPr>
            <w:tcW w:w="7532" w:type="dxa"/>
            <w:gridSpan w:val="2"/>
            <w:tcBorders>
              <w:tl2br w:val="nil"/>
              <w:tr2bl w:val="nil"/>
            </w:tcBorders>
            <w:vAlign w:val="center"/>
          </w:tcPr>
          <w:p w14:paraId="46F7560C">
            <w:pPr>
              <w:widowControl w:val="0"/>
              <w:tabs>
                <w:tab w:val="left" w:pos="907"/>
              </w:tabs>
              <w:adjustRightInd/>
              <w:snapToGrid/>
              <w:spacing w:line="360" w:lineRule="exact"/>
              <w:jc w:val="both"/>
              <w:rPr>
                <w:rFonts w:ascii="宋体" w:hAnsi="宋体"/>
                <w:color w:val="auto"/>
                <w:szCs w:val="21"/>
              </w:rPr>
            </w:pPr>
            <w:r>
              <w:rPr>
                <w:rFonts w:hint="eastAsia" w:ascii="宋体" w:hAnsi="宋体"/>
                <w:b/>
                <w:bCs/>
                <w:color w:val="auto"/>
                <w:szCs w:val="21"/>
                <w:highlight w:val="none"/>
              </w:rPr>
              <w:t>本项目</w:t>
            </w:r>
            <w:r>
              <w:rPr>
                <w:rFonts w:hint="eastAsia" w:ascii="宋体" w:hAnsi="宋体"/>
                <w:b/>
                <w:bCs/>
                <w:color w:val="auto"/>
                <w:szCs w:val="21"/>
                <w:highlight w:val="none"/>
                <w:lang w:val="en-US" w:eastAsia="zh-CN"/>
              </w:rPr>
              <w:t>采用承销费率的方式进行报价，即以承销费占募集款项的比例的形式报价，费率报价最高限价为0.01%/年，报价小数点后最多保留3位，费率不能为0。投标人报价超出最高限价或费率报价不符合要求的将被视为非实质性响应而予以投标无效处理。</w:t>
            </w:r>
          </w:p>
        </w:tc>
      </w:tr>
      <w:tr w14:paraId="6F9362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20" w:hRule="atLeast"/>
        </w:trPr>
        <w:tc>
          <w:tcPr>
            <w:tcW w:w="8410" w:type="dxa"/>
            <w:gridSpan w:val="3"/>
            <w:tcBorders>
              <w:tl2br w:val="nil"/>
              <w:tr2bl w:val="nil"/>
            </w:tcBorders>
            <w:vAlign w:val="center"/>
          </w:tcPr>
          <w:p w14:paraId="48969526">
            <w:pPr>
              <w:widowControl w:val="0"/>
              <w:tabs>
                <w:tab w:val="left" w:pos="907"/>
              </w:tabs>
              <w:adjustRightInd/>
              <w:snapToGrid/>
              <w:ind w:firstLine="420" w:firstLineChars="200"/>
              <w:jc w:val="both"/>
              <w:rPr>
                <w:rFonts w:ascii="宋体" w:hAnsi="宋体"/>
                <w:color w:val="auto"/>
                <w:szCs w:val="21"/>
              </w:rPr>
            </w:pPr>
            <w:r>
              <w:rPr>
                <w:rFonts w:hint="eastAsia" w:ascii="宋体" w:hAnsi="宋体"/>
                <w:color w:val="auto"/>
                <w:szCs w:val="21"/>
              </w:rPr>
              <w:t>注：本表关于要采购项目的具体资料，是对投标人须知的具体补充和修改，如有矛盾，应以本资料表为准。不满足采购文件中 “★”条款的投标文件将作无效投标处理。</w:t>
            </w:r>
          </w:p>
        </w:tc>
      </w:tr>
    </w:tbl>
    <w:p w14:paraId="18770141">
      <w:pPr>
        <w:jc w:val="center"/>
        <w:rPr>
          <w:color w:val="auto"/>
        </w:rPr>
      </w:pPr>
      <w:r>
        <w:rPr>
          <w:rFonts w:hint="eastAsia"/>
          <w:color w:val="auto"/>
        </w:rPr>
        <w:br w:type="page"/>
      </w:r>
    </w:p>
    <w:p w14:paraId="11B688E5">
      <w:pPr>
        <w:pStyle w:val="4"/>
        <w:spacing w:before="0" w:after="0" w:line="240" w:lineRule="auto"/>
        <w:jc w:val="center"/>
        <w:rPr>
          <w:rFonts w:hAnsi="宋体" w:cs="宋体"/>
          <w:color w:val="auto"/>
          <w:sz w:val="21"/>
          <w:szCs w:val="21"/>
        </w:rPr>
      </w:pPr>
      <w:bookmarkStart w:id="4" w:name="_Toc23683"/>
      <w:r>
        <w:rPr>
          <w:rFonts w:hint="eastAsia" w:ascii="宋体" w:hAnsi="宋体" w:cs="宋体"/>
          <w:color w:val="auto"/>
          <w:sz w:val="24"/>
          <w:szCs w:val="24"/>
        </w:rPr>
        <w:t>附表二：商务技术评分</w:t>
      </w:r>
      <w:bookmarkEnd w:id="4"/>
    </w:p>
    <w:tbl>
      <w:tblPr>
        <w:tblStyle w:val="3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491"/>
        <w:gridCol w:w="742"/>
        <w:gridCol w:w="5599"/>
      </w:tblGrid>
      <w:tr w14:paraId="1DCB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9A8DF74">
            <w:pPr>
              <w:pStyle w:val="45"/>
              <w:spacing w:line="360" w:lineRule="auto"/>
              <w:ind w:firstLine="0" w:firstLineChars="0"/>
              <w:jc w:val="center"/>
              <w:rPr>
                <w:rFonts w:ascii="宋体" w:eastAsia="宋体" w:cs="宋体"/>
                <w:b/>
                <w:bCs/>
                <w:sz w:val="21"/>
                <w:szCs w:val="21"/>
              </w:rPr>
            </w:pPr>
            <w:r>
              <w:rPr>
                <w:rFonts w:hint="eastAsia" w:ascii="宋体" w:eastAsia="宋体" w:cs="宋体"/>
                <w:b/>
                <w:bCs/>
                <w:sz w:val="21"/>
                <w:szCs w:val="21"/>
              </w:rPr>
              <w:t>序号</w:t>
            </w:r>
          </w:p>
        </w:tc>
        <w:tc>
          <w:tcPr>
            <w:tcW w:w="1491" w:type="dxa"/>
            <w:tcBorders>
              <w:top w:val="single" w:color="auto" w:sz="4" w:space="0"/>
              <w:left w:val="single" w:color="auto" w:sz="4" w:space="0"/>
              <w:bottom w:val="single" w:color="auto" w:sz="4" w:space="0"/>
              <w:right w:val="single" w:color="auto" w:sz="4" w:space="0"/>
            </w:tcBorders>
            <w:vAlign w:val="center"/>
          </w:tcPr>
          <w:p w14:paraId="7312E533">
            <w:pPr>
              <w:pStyle w:val="45"/>
              <w:spacing w:line="360" w:lineRule="auto"/>
              <w:ind w:firstLine="0" w:firstLineChars="0"/>
              <w:jc w:val="center"/>
              <w:rPr>
                <w:rFonts w:ascii="宋体" w:eastAsia="宋体" w:cs="宋体"/>
                <w:b/>
                <w:bCs/>
                <w:sz w:val="21"/>
                <w:szCs w:val="21"/>
              </w:rPr>
            </w:pPr>
            <w:r>
              <w:rPr>
                <w:rFonts w:hint="eastAsia" w:ascii="宋体" w:eastAsia="宋体" w:cs="宋体"/>
                <w:b/>
                <w:bCs/>
                <w:sz w:val="21"/>
                <w:szCs w:val="21"/>
              </w:rPr>
              <w:t>评审项目</w:t>
            </w:r>
          </w:p>
        </w:tc>
        <w:tc>
          <w:tcPr>
            <w:tcW w:w="742" w:type="dxa"/>
            <w:tcBorders>
              <w:top w:val="single" w:color="auto" w:sz="4" w:space="0"/>
              <w:left w:val="single" w:color="auto" w:sz="4" w:space="0"/>
              <w:bottom w:val="single" w:color="auto" w:sz="4" w:space="0"/>
              <w:right w:val="single" w:color="auto" w:sz="4" w:space="0"/>
            </w:tcBorders>
            <w:vAlign w:val="center"/>
          </w:tcPr>
          <w:p w14:paraId="04EE345C">
            <w:pPr>
              <w:pStyle w:val="45"/>
              <w:spacing w:line="360" w:lineRule="auto"/>
              <w:ind w:firstLine="0" w:firstLineChars="0"/>
              <w:jc w:val="center"/>
              <w:rPr>
                <w:rFonts w:ascii="宋体" w:eastAsia="宋体" w:cs="宋体"/>
                <w:b/>
                <w:bCs/>
                <w:sz w:val="21"/>
                <w:szCs w:val="21"/>
              </w:rPr>
            </w:pPr>
            <w:r>
              <w:rPr>
                <w:rFonts w:hint="eastAsia" w:ascii="宋体" w:eastAsia="宋体" w:cs="宋体"/>
                <w:b/>
                <w:bCs/>
                <w:sz w:val="21"/>
                <w:szCs w:val="21"/>
              </w:rPr>
              <w:t>分值</w:t>
            </w:r>
          </w:p>
        </w:tc>
        <w:tc>
          <w:tcPr>
            <w:tcW w:w="5599" w:type="dxa"/>
            <w:tcBorders>
              <w:top w:val="single" w:color="auto" w:sz="4" w:space="0"/>
              <w:left w:val="single" w:color="auto" w:sz="4" w:space="0"/>
              <w:bottom w:val="single" w:color="auto" w:sz="4" w:space="0"/>
              <w:right w:val="single" w:color="auto" w:sz="4" w:space="0"/>
            </w:tcBorders>
            <w:vAlign w:val="center"/>
          </w:tcPr>
          <w:p w14:paraId="5A20B006">
            <w:pPr>
              <w:pStyle w:val="45"/>
              <w:spacing w:line="360" w:lineRule="auto"/>
              <w:ind w:firstLine="0" w:firstLineChars="0"/>
              <w:jc w:val="center"/>
              <w:rPr>
                <w:rFonts w:ascii="宋体" w:eastAsia="宋体" w:cs="宋体"/>
                <w:b/>
                <w:bCs/>
                <w:sz w:val="21"/>
                <w:szCs w:val="21"/>
              </w:rPr>
            </w:pPr>
            <w:r>
              <w:rPr>
                <w:rFonts w:hint="eastAsia" w:ascii="宋体" w:eastAsia="宋体" w:cs="宋体"/>
                <w:b/>
                <w:bCs/>
                <w:sz w:val="21"/>
                <w:szCs w:val="21"/>
              </w:rPr>
              <w:t>评审细则</w:t>
            </w:r>
          </w:p>
        </w:tc>
      </w:tr>
      <w:tr w14:paraId="1535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14:paraId="343BC472">
            <w:pPr>
              <w:pStyle w:val="45"/>
              <w:spacing w:line="360" w:lineRule="auto"/>
              <w:ind w:firstLine="0" w:firstLineChars="0"/>
              <w:jc w:val="center"/>
              <w:rPr>
                <w:rFonts w:hint="eastAsia" w:ascii="宋体" w:eastAsia="宋体" w:cs="宋体"/>
                <w:b/>
                <w:bCs/>
                <w:sz w:val="21"/>
                <w:szCs w:val="21"/>
              </w:rPr>
            </w:pPr>
            <w:r>
              <w:rPr>
                <w:rFonts w:hint="eastAsia" w:ascii="宋体" w:eastAsia="宋体" w:cs="宋体"/>
                <w:b/>
                <w:bCs/>
                <w:color w:val="auto"/>
                <w:sz w:val="21"/>
                <w:szCs w:val="21"/>
              </w:rPr>
              <w:t>商务评审（</w:t>
            </w:r>
            <w:r>
              <w:rPr>
                <w:rFonts w:hint="eastAsia" w:ascii="宋体" w:eastAsia="宋体" w:cs="宋体"/>
                <w:b/>
                <w:color w:val="auto"/>
                <w:sz w:val="22"/>
                <w:szCs w:val="22"/>
                <w:highlight w:val="none"/>
                <w:lang w:val="en-US" w:eastAsia="zh-CN"/>
              </w:rPr>
              <w:t>7</w:t>
            </w:r>
            <w:r>
              <w:rPr>
                <w:rFonts w:hint="eastAsia" w:ascii="宋体" w:hAnsi="宋体" w:eastAsia="宋体" w:cs="宋体"/>
                <w:b/>
                <w:color w:val="auto"/>
                <w:sz w:val="22"/>
                <w:szCs w:val="22"/>
                <w:highlight w:val="none"/>
                <w:lang w:val="en-US" w:eastAsia="zh-CN"/>
              </w:rPr>
              <w:t>0</w:t>
            </w:r>
            <w:r>
              <w:rPr>
                <w:rFonts w:hint="eastAsia" w:ascii="宋体" w:hAnsi="宋体" w:eastAsia="宋体" w:cs="宋体"/>
                <w:b/>
                <w:color w:val="auto"/>
                <w:sz w:val="22"/>
                <w:szCs w:val="22"/>
                <w:highlight w:val="none"/>
              </w:rPr>
              <w:t>分</w:t>
            </w:r>
            <w:r>
              <w:rPr>
                <w:rFonts w:hint="eastAsia" w:ascii="宋体" w:eastAsia="宋体" w:cs="宋体"/>
                <w:b/>
                <w:bCs/>
                <w:color w:val="auto"/>
                <w:sz w:val="21"/>
                <w:szCs w:val="21"/>
              </w:rPr>
              <w:t>）</w:t>
            </w:r>
          </w:p>
        </w:tc>
      </w:tr>
      <w:tr w14:paraId="4760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right w:val="single" w:color="auto" w:sz="4" w:space="0"/>
            </w:tcBorders>
            <w:vAlign w:val="center"/>
          </w:tcPr>
          <w:p w14:paraId="6C3AA8CB">
            <w:pPr>
              <w:pStyle w:val="45"/>
              <w:spacing w:line="360" w:lineRule="auto"/>
              <w:ind w:firstLine="0" w:firstLineChars="0"/>
              <w:jc w:val="center"/>
              <w:rPr>
                <w:rFonts w:ascii="宋体" w:eastAsia="宋体" w:cs="宋体"/>
                <w:sz w:val="21"/>
                <w:szCs w:val="21"/>
              </w:rPr>
            </w:pPr>
            <w:r>
              <w:rPr>
                <w:rFonts w:hint="eastAsia" w:ascii="宋体" w:eastAsia="宋体" w:cs="宋体"/>
                <w:sz w:val="21"/>
                <w:szCs w:val="21"/>
              </w:rPr>
              <w:t>1</w:t>
            </w:r>
          </w:p>
        </w:tc>
        <w:tc>
          <w:tcPr>
            <w:tcW w:w="1491" w:type="dxa"/>
            <w:tcBorders>
              <w:top w:val="single" w:color="auto" w:sz="4" w:space="0"/>
              <w:left w:val="single" w:color="auto" w:sz="4" w:space="0"/>
              <w:right w:val="single" w:color="auto" w:sz="4" w:space="0"/>
            </w:tcBorders>
            <w:vAlign w:val="center"/>
          </w:tcPr>
          <w:p w14:paraId="0887CB90">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ascii="宋体" w:eastAsia="宋体" w:cs="宋体"/>
                <w:sz w:val="21"/>
                <w:szCs w:val="21"/>
                <w:u w:val="single"/>
              </w:rPr>
            </w:pPr>
            <w:r>
              <w:rPr>
                <w:rFonts w:hint="eastAsia" w:ascii="宋体" w:hAnsi="宋体" w:eastAsia="宋体" w:cs="宋体"/>
                <w:color w:val="auto"/>
                <w:kern w:val="2"/>
                <w:sz w:val="22"/>
                <w:szCs w:val="22"/>
                <w:highlight w:val="none"/>
                <w:lang w:val="en-US" w:eastAsia="zh-CN" w:bidi="ar-SA"/>
              </w:rPr>
              <w:t>作为簿记管理人承销超短期融资券规模情况</w:t>
            </w:r>
          </w:p>
        </w:tc>
        <w:tc>
          <w:tcPr>
            <w:tcW w:w="742" w:type="dxa"/>
            <w:tcBorders>
              <w:top w:val="single" w:color="auto" w:sz="4" w:space="0"/>
              <w:left w:val="single" w:color="auto" w:sz="4" w:space="0"/>
              <w:bottom w:val="single" w:color="auto" w:sz="4" w:space="0"/>
              <w:right w:val="single" w:color="auto" w:sz="4" w:space="0"/>
            </w:tcBorders>
            <w:vAlign w:val="center"/>
          </w:tcPr>
          <w:p w14:paraId="0196A30D">
            <w:pPr>
              <w:pStyle w:val="45"/>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0" w:firstLineChars="0"/>
              <w:jc w:val="center"/>
              <w:textAlignment w:val="auto"/>
              <w:rPr>
                <w:rFonts w:ascii="宋体" w:eastAsia="宋体" w:cs="宋体"/>
                <w:sz w:val="21"/>
                <w:szCs w:val="21"/>
                <w:u w:val="single"/>
              </w:rPr>
            </w:pPr>
            <w:r>
              <w:rPr>
                <w:rFonts w:hint="eastAsia" w:ascii="宋体" w:eastAsia="宋体" w:cs="宋体"/>
                <w:color w:val="auto"/>
                <w:sz w:val="22"/>
                <w:szCs w:val="22"/>
                <w:highlight w:val="none"/>
                <w:lang w:val="en-US" w:eastAsia="zh-CN"/>
              </w:rPr>
              <w:t>10分</w:t>
            </w:r>
          </w:p>
        </w:tc>
        <w:tc>
          <w:tcPr>
            <w:tcW w:w="5599" w:type="dxa"/>
            <w:tcBorders>
              <w:top w:val="single" w:color="auto" w:sz="4" w:space="0"/>
              <w:left w:val="single" w:color="auto" w:sz="4" w:space="0"/>
              <w:bottom w:val="single" w:color="auto" w:sz="4" w:space="0"/>
              <w:right w:val="single" w:color="auto" w:sz="4" w:space="0"/>
            </w:tcBorders>
            <w:vAlign w:val="center"/>
          </w:tcPr>
          <w:p w14:paraId="5D2F4A3C">
            <w:pPr>
              <w:pStyle w:val="45"/>
              <w:spacing w:line="360" w:lineRule="auto"/>
              <w:ind w:firstLine="420" w:firstLineChars="200"/>
              <w:rPr>
                <w:rFonts w:hint="eastAsia" w:ascii="宋体" w:eastAsia="宋体" w:cs="宋体"/>
                <w:bCs/>
                <w:sz w:val="21"/>
                <w:szCs w:val="21"/>
                <w:u w:val="none"/>
                <w:lang w:val="zh-CN" w:eastAsia="zh-CN"/>
              </w:rPr>
            </w:pPr>
            <w:r>
              <w:rPr>
                <w:rFonts w:hint="eastAsia" w:ascii="宋体" w:eastAsia="宋体" w:cs="宋体"/>
                <w:bCs/>
                <w:sz w:val="21"/>
                <w:szCs w:val="21"/>
                <w:u w:val="none"/>
                <w:lang w:val="zh-CN" w:eastAsia="zh-CN"/>
              </w:rPr>
              <w:t>自</w:t>
            </w:r>
            <w:r>
              <w:rPr>
                <w:rFonts w:hint="eastAsia" w:ascii="宋体" w:eastAsia="宋体" w:cs="宋体"/>
                <w:bCs/>
                <w:sz w:val="21"/>
                <w:szCs w:val="21"/>
                <w:u w:val="none"/>
                <w:lang w:val="en-US" w:eastAsia="zh-CN"/>
              </w:rPr>
              <w:t>2023</w:t>
            </w:r>
            <w:r>
              <w:rPr>
                <w:rFonts w:hint="eastAsia" w:ascii="宋体" w:eastAsia="宋体" w:cs="宋体"/>
                <w:bCs/>
                <w:sz w:val="21"/>
                <w:szCs w:val="21"/>
                <w:u w:val="none"/>
                <w:lang w:val="zh-CN" w:eastAsia="zh-CN"/>
              </w:rPr>
              <w:t>年1月1日至今（以债券发行起始日时间为准），全国范围内，投标人或其所属金融机构作为簿记管理人发行的</w:t>
            </w:r>
            <w:r>
              <w:rPr>
                <w:rFonts w:hint="eastAsia" w:ascii="宋体" w:eastAsia="宋体" w:cs="宋体"/>
                <w:bCs/>
                <w:sz w:val="21"/>
                <w:szCs w:val="21"/>
                <w:u w:val="none"/>
                <w:lang w:val="en-US" w:eastAsia="zh-CN"/>
              </w:rPr>
              <w:t>主体评级AAA的</w:t>
            </w:r>
            <w:r>
              <w:rPr>
                <w:rFonts w:hint="eastAsia" w:ascii="宋体" w:eastAsia="宋体" w:cs="宋体"/>
                <w:bCs/>
                <w:sz w:val="21"/>
                <w:szCs w:val="21"/>
                <w:u w:val="none"/>
                <w:lang w:val="zh-CN" w:eastAsia="zh-CN"/>
              </w:rPr>
              <w:t>非金融企</w:t>
            </w:r>
            <w:r>
              <w:rPr>
                <w:rFonts w:hint="eastAsia" w:ascii="宋体" w:eastAsia="宋体" w:cs="宋体"/>
                <w:bCs/>
                <w:sz w:val="21"/>
                <w:szCs w:val="21"/>
                <w:highlight w:val="none"/>
                <w:u w:val="none"/>
                <w:lang w:val="zh-CN" w:eastAsia="zh-CN"/>
              </w:rPr>
              <w:t>业</w:t>
            </w:r>
            <w:r>
              <w:rPr>
                <w:rFonts w:hint="eastAsia" w:ascii="宋体" w:eastAsia="宋体" w:cs="宋体"/>
                <w:bCs/>
                <w:sz w:val="21"/>
                <w:szCs w:val="21"/>
                <w:highlight w:val="none"/>
                <w:u w:val="none"/>
                <w:lang w:val="en-US" w:eastAsia="zh-CN"/>
              </w:rPr>
              <w:t>超短期融资券</w:t>
            </w:r>
            <w:r>
              <w:rPr>
                <w:rFonts w:hint="eastAsia" w:ascii="宋体" w:eastAsia="宋体" w:cs="宋体"/>
                <w:bCs/>
                <w:sz w:val="21"/>
                <w:szCs w:val="21"/>
                <w:highlight w:val="none"/>
                <w:u w:val="none"/>
                <w:lang w:val="zh-CN" w:eastAsia="zh-CN"/>
              </w:rPr>
              <w:t>的</w:t>
            </w:r>
            <w:r>
              <w:rPr>
                <w:rFonts w:hint="eastAsia" w:ascii="宋体" w:eastAsia="宋体" w:cs="宋体"/>
                <w:bCs/>
                <w:sz w:val="21"/>
                <w:szCs w:val="21"/>
                <w:u w:val="none"/>
                <w:lang w:val="zh-CN" w:eastAsia="zh-CN"/>
              </w:rPr>
              <w:t>累计发行总额。</w:t>
            </w:r>
          </w:p>
          <w:p w14:paraId="3DC59D9E">
            <w:pPr>
              <w:pStyle w:val="45"/>
              <w:spacing w:line="360" w:lineRule="auto"/>
              <w:ind w:firstLine="440"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①发行总额≥1000亿元，得10分；</w:t>
            </w:r>
          </w:p>
          <w:p w14:paraId="2E5C91E5">
            <w:pPr>
              <w:pStyle w:val="45"/>
              <w:spacing w:line="360" w:lineRule="auto"/>
              <w:ind w:firstLine="440"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②500亿元≤发行总额＜1000亿元，得7分；</w:t>
            </w:r>
          </w:p>
          <w:p w14:paraId="057C9243">
            <w:pPr>
              <w:pStyle w:val="45"/>
              <w:spacing w:line="360" w:lineRule="auto"/>
              <w:ind w:firstLine="440"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③0亿元＜发行总额＜500亿元，得5分。</w:t>
            </w:r>
          </w:p>
          <w:p w14:paraId="19147A92">
            <w:pPr>
              <w:pStyle w:val="45"/>
              <w:spacing w:line="360" w:lineRule="auto"/>
              <w:ind w:firstLine="420" w:firstLineChars="200"/>
              <w:rPr>
                <w:rFonts w:hint="eastAsia" w:ascii="宋体" w:hAnsi="宋体" w:eastAsia="宋体" w:cs="宋体"/>
                <w:bCs/>
                <w:sz w:val="21"/>
                <w:szCs w:val="21"/>
                <w:highlight w:val="none"/>
                <w:u w:val="none"/>
                <w:lang w:val="en-US" w:eastAsia="zh-CN"/>
              </w:rPr>
            </w:pPr>
            <w:r>
              <w:rPr>
                <w:rFonts w:hint="eastAsia" w:ascii="宋体" w:hAnsi="宋体" w:eastAsia="宋体" w:cs="宋体"/>
                <w:bCs/>
                <w:sz w:val="21"/>
                <w:szCs w:val="21"/>
                <w:highlight w:val="none"/>
                <w:u w:val="none"/>
                <w:lang w:val="en-US" w:eastAsia="zh-CN"/>
              </w:rPr>
              <w:t>【备注】</w:t>
            </w:r>
          </w:p>
          <w:p w14:paraId="76FC8611">
            <w:pPr>
              <w:pStyle w:val="45"/>
              <w:spacing w:line="360" w:lineRule="auto"/>
              <w:ind w:firstLine="420" w:firstLineChars="200"/>
              <w:rPr>
                <w:rFonts w:hint="default" w:ascii="宋体" w:eastAsia="宋体" w:cs="宋体"/>
                <w:bCs/>
                <w:sz w:val="21"/>
                <w:szCs w:val="21"/>
                <w:u w:val="none"/>
                <w:lang w:val="zh-CN" w:eastAsia="zh-CN"/>
              </w:rPr>
            </w:pPr>
            <w:r>
              <w:rPr>
                <w:rFonts w:hint="eastAsia" w:ascii="宋体" w:eastAsia="宋体" w:cs="宋体"/>
                <w:bCs/>
                <w:sz w:val="21"/>
                <w:szCs w:val="21"/>
                <w:u w:val="none"/>
                <w:lang w:val="zh-CN" w:eastAsia="zh-CN"/>
              </w:rPr>
              <w:t>需提供Wind数据截图（图片内容至少包含序号、债券简称、发行起始日、发行规模、</w:t>
            </w:r>
            <w:r>
              <w:rPr>
                <w:rFonts w:hint="eastAsia" w:ascii="宋体" w:eastAsia="宋体" w:cs="宋体"/>
                <w:bCs/>
                <w:sz w:val="21"/>
                <w:szCs w:val="21"/>
                <w:u w:val="none"/>
                <w:lang w:val="en-US" w:eastAsia="zh-CN"/>
              </w:rPr>
              <w:t>发行期限、</w:t>
            </w:r>
            <w:r>
              <w:rPr>
                <w:rFonts w:hint="eastAsia" w:ascii="宋体" w:eastAsia="宋体" w:cs="宋体"/>
                <w:bCs/>
                <w:sz w:val="21"/>
                <w:szCs w:val="21"/>
                <w:u w:val="none"/>
                <w:lang w:val="zh-CN" w:eastAsia="zh-CN"/>
              </w:rPr>
              <w:t>主体评级、簿记管理人、Wind债券类型（二级）、整体统计结果）并加盖投标人公章。截图需包含</w:t>
            </w:r>
            <w:r>
              <w:rPr>
                <w:rFonts w:hint="eastAsia" w:ascii="宋体" w:eastAsia="宋体" w:cs="宋体"/>
                <w:bCs/>
                <w:sz w:val="21"/>
                <w:szCs w:val="21"/>
                <w:u w:val="none"/>
                <w:lang w:val="en-US" w:eastAsia="zh-CN"/>
              </w:rPr>
              <w:t>序号最后一笔</w:t>
            </w:r>
            <w:r>
              <w:rPr>
                <w:rFonts w:hint="eastAsia" w:ascii="宋体" w:eastAsia="宋体" w:cs="宋体"/>
                <w:bCs/>
                <w:sz w:val="21"/>
                <w:szCs w:val="21"/>
                <w:u w:val="none"/>
                <w:lang w:val="zh-CN" w:eastAsia="zh-CN"/>
              </w:rPr>
              <w:t>债券的信息</w:t>
            </w:r>
            <w:r>
              <w:rPr>
                <w:rFonts w:hint="eastAsia" w:ascii="宋体" w:eastAsia="宋体" w:cs="宋体"/>
                <w:bCs/>
                <w:sz w:val="21"/>
                <w:szCs w:val="21"/>
                <w:u w:val="none"/>
                <w:lang w:val="en-US" w:eastAsia="zh-CN"/>
              </w:rPr>
              <w:t>及统计结果发行规模总和</w:t>
            </w:r>
            <w:r>
              <w:rPr>
                <w:rFonts w:hint="eastAsia" w:ascii="宋体" w:eastAsia="宋体" w:cs="宋体"/>
                <w:bCs/>
                <w:sz w:val="21"/>
                <w:szCs w:val="21"/>
                <w:u w:val="none"/>
                <w:lang w:val="zh-CN" w:eastAsia="zh-CN"/>
              </w:rPr>
              <w:t>，将以截图</w:t>
            </w:r>
            <w:r>
              <w:rPr>
                <w:rFonts w:hint="eastAsia" w:ascii="宋体" w:eastAsia="宋体" w:cs="宋体"/>
                <w:bCs/>
                <w:sz w:val="21"/>
                <w:szCs w:val="21"/>
                <w:u w:val="none"/>
                <w:lang w:val="en-US" w:eastAsia="zh-CN"/>
              </w:rPr>
              <w:t>中</w:t>
            </w:r>
            <w:r>
              <w:rPr>
                <w:rFonts w:hint="eastAsia" w:ascii="宋体" w:eastAsia="宋体" w:cs="宋体"/>
                <w:bCs/>
                <w:sz w:val="21"/>
                <w:szCs w:val="21"/>
                <w:u w:val="none"/>
                <w:lang w:val="zh-CN" w:eastAsia="zh-CN"/>
              </w:rPr>
              <w:t>包含的债券的发行总额计算。</w:t>
            </w:r>
          </w:p>
          <w:p w14:paraId="163F1CD3">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ascii="宋体" w:eastAsia="宋体" w:cs="宋体"/>
                <w:bCs/>
                <w:sz w:val="21"/>
                <w:szCs w:val="21"/>
                <w:u w:val="single"/>
                <w:lang w:val="zh-CN"/>
              </w:rPr>
            </w:pPr>
            <w:r>
              <w:rPr>
                <w:rFonts w:hint="eastAsia" w:ascii="宋体" w:eastAsia="宋体" w:cs="宋体"/>
                <w:bCs/>
                <w:sz w:val="21"/>
                <w:szCs w:val="21"/>
                <w:u w:val="none"/>
                <w:lang w:val="zh-CN" w:eastAsia="zh-CN"/>
              </w:rPr>
              <w:t>查询路径：根据Wind终端查询，方式：债券-【</w:t>
            </w:r>
            <w:r>
              <w:rPr>
                <w:rFonts w:hint="eastAsia" w:ascii="宋体" w:cs="宋体"/>
                <w:bCs/>
                <w:sz w:val="21"/>
                <w:szCs w:val="21"/>
                <w:u w:val="none"/>
                <w:lang w:val="en-US" w:eastAsia="zh-CN"/>
              </w:rPr>
              <w:t>专题统计</w:t>
            </w:r>
            <w:r>
              <w:rPr>
                <w:rFonts w:hint="eastAsia" w:ascii="宋体" w:eastAsia="宋体" w:cs="宋体"/>
                <w:bCs/>
                <w:sz w:val="21"/>
                <w:szCs w:val="21"/>
                <w:u w:val="none"/>
                <w:lang w:val="zh-CN" w:eastAsia="zh-CN"/>
              </w:rPr>
              <w:t>】-</w:t>
            </w:r>
            <w:r>
              <w:rPr>
                <w:rFonts w:hint="eastAsia" w:ascii="宋体" w:cs="宋体"/>
                <w:bCs/>
                <w:sz w:val="21"/>
                <w:szCs w:val="21"/>
                <w:u w:val="none"/>
                <w:lang w:val="zh-CN" w:eastAsia="zh-CN"/>
              </w:rPr>
              <w:t>【</w:t>
            </w:r>
            <w:r>
              <w:rPr>
                <w:rFonts w:hint="eastAsia" w:ascii="宋体" w:cs="宋体"/>
                <w:bCs/>
                <w:sz w:val="21"/>
                <w:szCs w:val="21"/>
                <w:u w:val="none"/>
                <w:lang w:val="en-US" w:eastAsia="zh-CN"/>
              </w:rPr>
              <w:t>一级市场</w:t>
            </w:r>
            <w:r>
              <w:rPr>
                <w:rFonts w:hint="eastAsia" w:ascii="宋体" w:cs="宋体"/>
                <w:bCs/>
                <w:sz w:val="21"/>
                <w:szCs w:val="21"/>
                <w:u w:val="none"/>
                <w:lang w:val="zh-CN" w:eastAsia="zh-CN"/>
              </w:rPr>
              <w:t>】</w:t>
            </w:r>
            <w:r>
              <w:rPr>
                <w:rFonts w:hint="eastAsia" w:ascii="宋体" w:cs="宋体"/>
                <w:bCs/>
                <w:sz w:val="21"/>
                <w:szCs w:val="21"/>
                <w:u w:val="none"/>
                <w:lang w:val="en-US" w:eastAsia="zh-CN"/>
              </w:rPr>
              <w:t>-</w:t>
            </w:r>
            <w:r>
              <w:rPr>
                <w:rFonts w:hint="eastAsia" w:ascii="宋体" w:eastAsia="宋体" w:cs="宋体"/>
                <w:bCs/>
                <w:sz w:val="21"/>
                <w:szCs w:val="21"/>
                <w:u w:val="none"/>
                <w:lang w:val="zh-CN" w:eastAsia="zh-CN"/>
              </w:rPr>
              <w:t>【新发行债券】，</w:t>
            </w:r>
            <w:r>
              <w:rPr>
                <w:rFonts w:hint="eastAsia" w:ascii="宋体" w:eastAsia="宋体" w:cs="宋体"/>
                <w:bCs/>
                <w:sz w:val="21"/>
                <w:szCs w:val="21"/>
                <w:highlight w:val="none"/>
                <w:u w:val="none"/>
                <w:lang w:val="zh-CN" w:eastAsia="zh-CN"/>
              </w:rPr>
              <w:t>选择</w:t>
            </w:r>
            <w:r>
              <w:rPr>
                <w:rFonts w:hint="eastAsia" w:ascii="宋体" w:eastAsia="宋体" w:cs="宋体"/>
                <w:bCs/>
                <w:sz w:val="21"/>
                <w:szCs w:val="21"/>
                <w:u w:val="none"/>
                <w:lang w:val="en-US" w:eastAsia="zh-CN"/>
              </w:rPr>
              <w:t>【发行起始】时间</w:t>
            </w:r>
            <w:r>
              <w:rPr>
                <w:rFonts w:hint="eastAsia" w:ascii="宋体" w:eastAsia="宋体" w:cs="宋体"/>
                <w:bCs/>
                <w:sz w:val="21"/>
                <w:szCs w:val="21"/>
                <w:highlight w:val="none"/>
                <w:u w:val="none"/>
                <w:lang w:val="zh-CN" w:eastAsia="zh-CN"/>
              </w:rPr>
              <w:t>区间选择202</w:t>
            </w:r>
            <w:r>
              <w:rPr>
                <w:rFonts w:hint="eastAsia" w:ascii="宋体" w:eastAsia="宋体" w:cs="宋体"/>
                <w:bCs/>
                <w:sz w:val="21"/>
                <w:szCs w:val="21"/>
                <w:highlight w:val="none"/>
                <w:u w:val="none"/>
                <w:lang w:val="en-US" w:eastAsia="zh-CN"/>
              </w:rPr>
              <w:t>3</w:t>
            </w:r>
            <w:r>
              <w:rPr>
                <w:rFonts w:hint="eastAsia" w:ascii="宋体" w:eastAsia="宋体" w:cs="宋体"/>
                <w:bCs/>
                <w:sz w:val="21"/>
                <w:szCs w:val="21"/>
                <w:highlight w:val="none"/>
                <w:u w:val="none"/>
                <w:lang w:val="zh-CN" w:eastAsia="zh-CN"/>
              </w:rPr>
              <w:t>年1月1日至当日，【债券类型】选择</w:t>
            </w:r>
            <w:r>
              <w:rPr>
                <w:rFonts w:hint="eastAsia" w:ascii="宋体" w:eastAsia="宋体" w:cs="宋体"/>
                <w:bCs/>
                <w:sz w:val="21"/>
                <w:szCs w:val="21"/>
                <w:highlight w:val="none"/>
                <w:u w:val="none"/>
                <w:lang w:val="en-US" w:eastAsia="zh-CN"/>
              </w:rPr>
              <w:t>超短期融资券</w:t>
            </w:r>
            <w:r>
              <w:rPr>
                <w:rFonts w:hint="eastAsia" w:ascii="宋体" w:eastAsia="宋体" w:cs="宋体"/>
                <w:bCs/>
                <w:sz w:val="21"/>
                <w:szCs w:val="21"/>
                <w:highlight w:val="none"/>
                <w:u w:val="none"/>
                <w:lang w:val="zh-CN" w:eastAsia="zh-CN"/>
              </w:rPr>
              <w:t>，主体评级选择</w:t>
            </w:r>
            <w:r>
              <w:rPr>
                <w:rFonts w:hint="eastAsia" w:ascii="宋体" w:eastAsia="宋体" w:cs="宋体"/>
                <w:bCs/>
                <w:sz w:val="21"/>
                <w:szCs w:val="21"/>
                <w:highlight w:val="none"/>
                <w:u w:val="none"/>
                <w:lang w:val="en-US" w:eastAsia="zh-CN"/>
              </w:rPr>
              <w:t>AAA</w:t>
            </w:r>
            <w:r>
              <w:rPr>
                <w:rFonts w:hint="eastAsia" w:ascii="宋体" w:eastAsia="宋体" w:cs="宋体"/>
                <w:bCs/>
                <w:sz w:val="21"/>
                <w:szCs w:val="21"/>
                <w:highlight w:val="none"/>
                <w:u w:val="none"/>
                <w:lang w:val="zh-CN" w:eastAsia="zh-CN"/>
              </w:rPr>
              <w:t>。序号行右键选择指标设置（至少选择发行起</w:t>
            </w:r>
            <w:r>
              <w:rPr>
                <w:rFonts w:hint="eastAsia" w:ascii="宋体" w:eastAsia="宋体" w:cs="宋体"/>
                <w:bCs/>
                <w:sz w:val="21"/>
                <w:szCs w:val="21"/>
                <w:u w:val="none"/>
                <w:lang w:val="zh-CN" w:eastAsia="zh-CN"/>
              </w:rPr>
              <w:t>始日、发行规模、</w:t>
            </w:r>
            <w:r>
              <w:rPr>
                <w:rFonts w:hint="eastAsia" w:ascii="宋体" w:eastAsia="宋体" w:cs="宋体"/>
                <w:bCs/>
                <w:sz w:val="21"/>
                <w:szCs w:val="21"/>
                <w:u w:val="none"/>
                <w:lang w:val="en-US" w:eastAsia="zh-CN"/>
              </w:rPr>
              <w:t>发行期限、</w:t>
            </w:r>
            <w:r>
              <w:rPr>
                <w:rFonts w:hint="eastAsia" w:ascii="宋体" w:eastAsia="宋体" w:cs="宋体"/>
                <w:bCs/>
                <w:sz w:val="21"/>
                <w:szCs w:val="21"/>
                <w:u w:val="none"/>
                <w:lang w:val="zh-CN" w:eastAsia="zh-CN"/>
              </w:rPr>
              <w:t>主体评级</w:t>
            </w:r>
            <w:r>
              <w:rPr>
                <w:rFonts w:hint="eastAsia" w:ascii="宋体" w:cs="宋体"/>
                <w:bCs/>
                <w:sz w:val="21"/>
                <w:szCs w:val="21"/>
                <w:u w:val="none"/>
                <w:lang w:val="zh-CN" w:eastAsia="zh-CN"/>
              </w:rPr>
              <w:t>、</w:t>
            </w:r>
            <w:r>
              <w:rPr>
                <w:rFonts w:hint="eastAsia" w:ascii="宋体" w:eastAsia="宋体" w:cs="宋体"/>
                <w:bCs/>
                <w:sz w:val="21"/>
                <w:szCs w:val="21"/>
                <w:u w:val="none"/>
                <w:lang w:val="zh-CN" w:eastAsia="zh-CN"/>
              </w:rPr>
              <w:t>簿记管理人、Wind债券类型（二级）等信息），</w:t>
            </w:r>
            <w:r>
              <w:rPr>
                <w:rFonts w:hint="eastAsia" w:ascii="宋体" w:eastAsia="宋体" w:cs="宋体"/>
                <w:bCs/>
                <w:sz w:val="21"/>
                <w:szCs w:val="21"/>
                <w:u w:val="none"/>
                <w:lang w:val="en-US" w:eastAsia="zh-CN"/>
              </w:rPr>
              <w:t>点击</w:t>
            </w:r>
            <w:r>
              <w:rPr>
                <w:rFonts w:hint="eastAsia" w:ascii="宋体" w:eastAsia="宋体" w:cs="宋体"/>
                <w:bCs/>
                <w:sz w:val="21"/>
                <w:szCs w:val="21"/>
                <w:u w:val="none"/>
                <w:lang w:val="zh-CN" w:eastAsia="zh-CN"/>
              </w:rPr>
              <w:t>【提取数据】，</w:t>
            </w:r>
            <w:r>
              <w:rPr>
                <w:rFonts w:hint="eastAsia" w:ascii="宋体" w:eastAsia="宋体" w:cs="宋体"/>
                <w:bCs/>
                <w:sz w:val="21"/>
                <w:szCs w:val="21"/>
                <w:u w:val="none"/>
                <w:lang w:val="en-US" w:eastAsia="zh-CN"/>
              </w:rPr>
              <w:t>点击</w:t>
            </w:r>
            <w:r>
              <w:rPr>
                <w:rFonts w:hint="eastAsia" w:ascii="宋体" w:eastAsia="宋体" w:cs="宋体"/>
                <w:bCs/>
                <w:sz w:val="21"/>
                <w:szCs w:val="21"/>
                <w:u w:val="none"/>
                <w:lang w:val="zh-CN" w:eastAsia="zh-CN"/>
              </w:rPr>
              <w:t>【数据筛选】（簿记管理人选择本投标人或其所属金融机构），</w:t>
            </w:r>
            <w:r>
              <w:rPr>
                <w:rFonts w:hint="eastAsia" w:ascii="宋体" w:eastAsia="宋体" w:cs="宋体"/>
                <w:bCs/>
                <w:sz w:val="21"/>
                <w:szCs w:val="21"/>
                <w:u w:val="none"/>
                <w:lang w:val="en-US" w:eastAsia="zh-CN"/>
              </w:rPr>
              <w:t>点击【</w:t>
            </w:r>
            <w:r>
              <w:rPr>
                <w:rFonts w:hint="eastAsia" w:ascii="宋体" w:eastAsia="宋体" w:cs="宋体"/>
                <w:bCs/>
                <w:sz w:val="21"/>
                <w:szCs w:val="21"/>
                <w:u w:val="none"/>
                <w:lang w:val="zh-CN" w:eastAsia="zh-CN"/>
              </w:rPr>
              <w:t>整体统计】，鼠标下拉至最后一笔，显示到统计结果及最后一笔的序号数，截图该页面即可。</w:t>
            </w:r>
          </w:p>
        </w:tc>
      </w:tr>
      <w:tr w14:paraId="1EA5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D6CA9E7">
            <w:pPr>
              <w:pStyle w:val="45"/>
              <w:spacing w:line="360" w:lineRule="auto"/>
              <w:ind w:firstLine="0" w:firstLineChars="0"/>
              <w:jc w:val="center"/>
              <w:rPr>
                <w:rFonts w:ascii="宋体" w:eastAsia="宋体" w:cs="宋体"/>
                <w:sz w:val="21"/>
                <w:szCs w:val="21"/>
              </w:rPr>
            </w:pPr>
            <w:r>
              <w:rPr>
                <w:rFonts w:hint="eastAsia" w:ascii="宋体" w:eastAsia="宋体" w:cs="宋体"/>
                <w:sz w:val="21"/>
                <w:szCs w:val="21"/>
              </w:rPr>
              <w:t>2</w:t>
            </w:r>
          </w:p>
        </w:tc>
        <w:tc>
          <w:tcPr>
            <w:tcW w:w="1491" w:type="dxa"/>
            <w:tcBorders>
              <w:top w:val="single" w:color="auto" w:sz="4" w:space="0"/>
              <w:left w:val="single" w:color="auto" w:sz="4" w:space="0"/>
              <w:bottom w:val="single" w:color="auto" w:sz="4" w:space="0"/>
              <w:right w:val="single" w:color="auto" w:sz="4" w:space="0"/>
            </w:tcBorders>
            <w:vAlign w:val="center"/>
          </w:tcPr>
          <w:p w14:paraId="382D2750">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ascii="宋体" w:eastAsia="宋体" w:cs="宋体"/>
                <w:sz w:val="21"/>
                <w:szCs w:val="21"/>
                <w:u w:val="single"/>
              </w:rPr>
            </w:pPr>
            <w:r>
              <w:rPr>
                <w:rFonts w:hint="eastAsia" w:ascii="宋体" w:hAnsi="宋体" w:eastAsia="宋体" w:cs="宋体"/>
                <w:color w:val="auto"/>
                <w:kern w:val="2"/>
                <w:sz w:val="22"/>
                <w:szCs w:val="22"/>
                <w:highlight w:val="none"/>
                <w:lang w:val="en-US" w:eastAsia="zh-CN" w:bidi="ar-SA"/>
              </w:rPr>
              <w:t>作为簿记管理人承销超短期融资券数量情况</w:t>
            </w:r>
          </w:p>
        </w:tc>
        <w:tc>
          <w:tcPr>
            <w:tcW w:w="742" w:type="dxa"/>
            <w:tcBorders>
              <w:top w:val="single" w:color="auto" w:sz="4" w:space="0"/>
              <w:left w:val="single" w:color="auto" w:sz="4" w:space="0"/>
              <w:bottom w:val="single" w:color="auto" w:sz="4" w:space="0"/>
              <w:right w:val="single" w:color="auto" w:sz="4" w:space="0"/>
            </w:tcBorders>
            <w:vAlign w:val="center"/>
          </w:tcPr>
          <w:p w14:paraId="017296A3">
            <w:pPr>
              <w:pStyle w:val="45"/>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0" w:firstLineChars="0"/>
              <w:jc w:val="center"/>
              <w:textAlignment w:val="auto"/>
              <w:rPr>
                <w:rFonts w:ascii="宋体" w:eastAsia="宋体" w:cs="宋体"/>
                <w:sz w:val="21"/>
                <w:szCs w:val="21"/>
                <w:u w:val="single"/>
              </w:rPr>
            </w:pPr>
            <w:r>
              <w:rPr>
                <w:rFonts w:hint="eastAsia" w:ascii="宋体" w:eastAsia="宋体" w:cs="宋体"/>
                <w:color w:val="auto"/>
                <w:sz w:val="22"/>
                <w:szCs w:val="22"/>
                <w:highlight w:val="none"/>
                <w:lang w:val="en-US" w:eastAsia="zh-CN"/>
              </w:rPr>
              <w:t>10分</w:t>
            </w:r>
          </w:p>
        </w:tc>
        <w:tc>
          <w:tcPr>
            <w:tcW w:w="5599" w:type="dxa"/>
            <w:tcBorders>
              <w:top w:val="single" w:color="auto" w:sz="4" w:space="0"/>
              <w:left w:val="single" w:color="auto" w:sz="4" w:space="0"/>
              <w:bottom w:val="single" w:color="auto" w:sz="4" w:space="0"/>
              <w:right w:val="single" w:color="auto" w:sz="4" w:space="0"/>
            </w:tcBorders>
            <w:vAlign w:val="center"/>
          </w:tcPr>
          <w:p w14:paraId="5415ADFA">
            <w:pPr>
              <w:pStyle w:val="45"/>
              <w:spacing w:line="360" w:lineRule="auto"/>
              <w:ind w:firstLine="420" w:firstLineChars="200"/>
              <w:rPr>
                <w:rFonts w:hint="eastAsia" w:ascii="宋体" w:hAnsi="宋体" w:eastAsia="宋体" w:cs="宋体"/>
                <w:bCs/>
                <w:sz w:val="21"/>
                <w:szCs w:val="21"/>
                <w:highlight w:val="none"/>
                <w:u w:val="none"/>
                <w:lang w:val="en-US" w:eastAsia="zh-CN"/>
              </w:rPr>
            </w:pPr>
            <w:r>
              <w:rPr>
                <w:rFonts w:hint="eastAsia" w:ascii="宋体" w:hAnsi="宋体" w:eastAsia="宋体" w:cs="宋体"/>
                <w:bCs/>
                <w:sz w:val="21"/>
                <w:szCs w:val="21"/>
                <w:highlight w:val="none"/>
                <w:u w:val="none"/>
                <w:lang w:val="en-US" w:eastAsia="zh-CN"/>
              </w:rPr>
              <w:t>自</w:t>
            </w:r>
            <w:r>
              <w:rPr>
                <w:rFonts w:hint="eastAsia" w:ascii="宋体" w:eastAsia="宋体" w:cs="宋体"/>
                <w:bCs/>
                <w:sz w:val="21"/>
                <w:szCs w:val="21"/>
                <w:highlight w:val="none"/>
                <w:u w:val="none"/>
                <w:lang w:val="en-US" w:eastAsia="zh-CN"/>
              </w:rPr>
              <w:t>2023</w:t>
            </w:r>
            <w:r>
              <w:rPr>
                <w:rFonts w:hint="eastAsia" w:ascii="宋体" w:hAnsi="宋体" w:eastAsia="宋体" w:cs="宋体"/>
                <w:bCs/>
                <w:sz w:val="21"/>
                <w:szCs w:val="21"/>
                <w:highlight w:val="none"/>
                <w:u w:val="none"/>
                <w:lang w:val="en-US" w:eastAsia="zh-CN"/>
              </w:rPr>
              <w:t>年1月1日至今（以债券发行起始日时间为准），全国范围内，投标人或其所属金融机构担任簿记管理人发行的</w:t>
            </w:r>
            <w:r>
              <w:rPr>
                <w:rFonts w:hint="eastAsia" w:ascii="宋体" w:eastAsia="宋体" w:cs="宋体"/>
                <w:bCs/>
                <w:sz w:val="21"/>
                <w:szCs w:val="21"/>
                <w:highlight w:val="none"/>
                <w:u w:val="none"/>
                <w:lang w:val="en-US" w:eastAsia="zh-CN"/>
              </w:rPr>
              <w:t>主体评级为AAA及以上的</w:t>
            </w:r>
            <w:r>
              <w:rPr>
                <w:rFonts w:hint="eastAsia" w:ascii="宋体" w:hAnsi="宋体" w:eastAsia="宋体" w:cs="宋体"/>
                <w:bCs/>
                <w:sz w:val="21"/>
                <w:szCs w:val="21"/>
                <w:highlight w:val="none"/>
                <w:u w:val="none"/>
                <w:lang w:val="en-US" w:eastAsia="zh-CN"/>
              </w:rPr>
              <w:t>非金融企业</w:t>
            </w:r>
            <w:r>
              <w:rPr>
                <w:rFonts w:hint="eastAsia" w:ascii="宋体" w:eastAsia="宋体" w:cs="宋体"/>
                <w:bCs/>
                <w:sz w:val="21"/>
                <w:szCs w:val="21"/>
                <w:highlight w:val="none"/>
                <w:u w:val="none"/>
                <w:lang w:val="en-US" w:eastAsia="zh-CN"/>
              </w:rPr>
              <w:t>超短期融资券</w:t>
            </w:r>
            <w:r>
              <w:rPr>
                <w:rFonts w:hint="eastAsia" w:ascii="宋体" w:hAnsi="宋体" w:eastAsia="宋体" w:cs="宋体"/>
                <w:bCs/>
                <w:sz w:val="21"/>
                <w:szCs w:val="21"/>
                <w:highlight w:val="none"/>
                <w:u w:val="none"/>
                <w:lang w:val="en-US" w:eastAsia="zh-CN"/>
              </w:rPr>
              <w:t>的笔数。</w:t>
            </w:r>
          </w:p>
          <w:p w14:paraId="261F8751">
            <w:pPr>
              <w:pStyle w:val="45"/>
              <w:spacing w:line="360" w:lineRule="auto"/>
              <w:ind w:firstLine="420" w:firstLineChars="200"/>
              <w:rPr>
                <w:rFonts w:hint="eastAsia" w:ascii="宋体" w:hAnsi="宋体" w:eastAsia="宋体" w:cs="宋体"/>
                <w:bCs/>
                <w:sz w:val="21"/>
                <w:szCs w:val="21"/>
                <w:highlight w:val="none"/>
                <w:u w:val="none"/>
                <w:lang w:val="en-US" w:eastAsia="zh-CN"/>
              </w:rPr>
            </w:pPr>
            <w:r>
              <w:rPr>
                <w:rFonts w:hint="eastAsia" w:ascii="宋体" w:hAnsi="宋体" w:eastAsia="宋体" w:cs="宋体"/>
                <w:bCs/>
                <w:sz w:val="21"/>
                <w:szCs w:val="21"/>
                <w:highlight w:val="none"/>
                <w:u w:val="none"/>
                <w:lang w:val="en-US" w:eastAsia="zh-CN"/>
              </w:rPr>
              <w:t>①发行笔数≥100，得10分；</w:t>
            </w:r>
          </w:p>
          <w:p w14:paraId="6205D975">
            <w:pPr>
              <w:pStyle w:val="45"/>
              <w:spacing w:line="360" w:lineRule="auto"/>
              <w:ind w:firstLine="420" w:firstLineChars="200"/>
              <w:rPr>
                <w:rFonts w:hint="eastAsia" w:ascii="宋体" w:hAnsi="宋体" w:eastAsia="宋体" w:cs="宋体"/>
                <w:bCs/>
                <w:sz w:val="21"/>
                <w:szCs w:val="21"/>
                <w:highlight w:val="none"/>
                <w:u w:val="none"/>
                <w:lang w:val="en-US" w:eastAsia="zh-CN"/>
              </w:rPr>
            </w:pPr>
            <w:r>
              <w:rPr>
                <w:rFonts w:hint="eastAsia" w:ascii="宋体" w:hAnsi="宋体" w:eastAsia="宋体" w:cs="宋体"/>
                <w:bCs/>
                <w:sz w:val="21"/>
                <w:szCs w:val="21"/>
                <w:highlight w:val="none"/>
                <w:u w:val="none"/>
                <w:lang w:val="en-US" w:eastAsia="zh-CN"/>
              </w:rPr>
              <w:t>②50≤发行笔数＜100，得7分；</w:t>
            </w:r>
          </w:p>
          <w:p w14:paraId="6F2EDE94">
            <w:pPr>
              <w:pStyle w:val="45"/>
              <w:spacing w:line="360" w:lineRule="auto"/>
              <w:ind w:firstLine="420" w:firstLineChars="200"/>
              <w:rPr>
                <w:rFonts w:hint="eastAsia" w:ascii="宋体" w:hAnsi="宋体" w:eastAsia="宋体" w:cs="宋体"/>
                <w:bCs/>
                <w:sz w:val="21"/>
                <w:szCs w:val="21"/>
                <w:highlight w:val="none"/>
                <w:u w:val="none"/>
                <w:lang w:val="en-US" w:eastAsia="zh-CN"/>
              </w:rPr>
            </w:pPr>
            <w:r>
              <w:rPr>
                <w:rFonts w:hint="eastAsia" w:ascii="宋体" w:hAnsi="宋体" w:eastAsia="宋体" w:cs="宋体"/>
                <w:bCs/>
                <w:sz w:val="21"/>
                <w:szCs w:val="21"/>
                <w:highlight w:val="none"/>
                <w:u w:val="none"/>
                <w:lang w:val="en-US" w:eastAsia="zh-CN"/>
              </w:rPr>
              <w:t>③0＜发行笔数＜50，得5分。</w:t>
            </w:r>
          </w:p>
          <w:p w14:paraId="44CC9502">
            <w:pPr>
              <w:pStyle w:val="45"/>
              <w:spacing w:line="360" w:lineRule="auto"/>
              <w:ind w:firstLine="420" w:firstLineChars="200"/>
              <w:rPr>
                <w:rFonts w:hint="eastAsia" w:ascii="宋体" w:hAnsi="宋体" w:eastAsia="宋体" w:cs="宋体"/>
                <w:bCs/>
                <w:sz w:val="21"/>
                <w:szCs w:val="21"/>
                <w:highlight w:val="none"/>
                <w:u w:val="none"/>
                <w:lang w:val="en-US" w:eastAsia="zh-CN"/>
              </w:rPr>
            </w:pPr>
            <w:r>
              <w:rPr>
                <w:rFonts w:hint="eastAsia" w:ascii="宋体" w:hAnsi="宋体" w:eastAsia="宋体" w:cs="宋体"/>
                <w:bCs/>
                <w:sz w:val="21"/>
                <w:szCs w:val="21"/>
                <w:highlight w:val="none"/>
                <w:u w:val="none"/>
                <w:lang w:val="en-US" w:eastAsia="zh-CN"/>
              </w:rPr>
              <w:t>【备注】</w:t>
            </w:r>
          </w:p>
          <w:p w14:paraId="6496F298">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u w:val="single"/>
              </w:rPr>
            </w:pPr>
            <w:r>
              <w:rPr>
                <w:rFonts w:hint="eastAsia" w:ascii="宋体" w:hAnsi="宋体" w:eastAsia="宋体" w:cs="宋体"/>
                <w:bCs/>
                <w:sz w:val="21"/>
                <w:szCs w:val="21"/>
                <w:highlight w:val="none"/>
                <w:u w:val="none"/>
                <w:lang w:val="en-US" w:eastAsia="zh-CN"/>
              </w:rPr>
              <w:t>以本表序号</w:t>
            </w:r>
            <w:r>
              <w:rPr>
                <w:rFonts w:hint="eastAsia" w:ascii="宋体" w:eastAsia="宋体" w:cs="宋体"/>
                <w:bCs/>
                <w:sz w:val="21"/>
                <w:szCs w:val="21"/>
                <w:highlight w:val="none"/>
                <w:u w:val="none"/>
                <w:lang w:val="en-US" w:eastAsia="zh-CN"/>
              </w:rPr>
              <w:t>1</w:t>
            </w:r>
            <w:r>
              <w:rPr>
                <w:rFonts w:hint="eastAsia" w:ascii="宋体" w:hAnsi="宋体" w:eastAsia="宋体" w:cs="宋体"/>
                <w:bCs/>
                <w:sz w:val="21"/>
                <w:szCs w:val="21"/>
                <w:highlight w:val="none"/>
                <w:u w:val="none"/>
                <w:lang w:val="en-US" w:eastAsia="zh-CN"/>
              </w:rPr>
              <w:t>“作为簿记管理人承销</w:t>
            </w:r>
            <w:r>
              <w:rPr>
                <w:rFonts w:hint="eastAsia" w:ascii="宋体" w:cs="宋体"/>
                <w:bCs/>
                <w:sz w:val="21"/>
                <w:szCs w:val="21"/>
                <w:highlight w:val="none"/>
                <w:u w:val="none"/>
                <w:lang w:val="en-US" w:eastAsia="zh-CN"/>
              </w:rPr>
              <w:t>超短期融资券</w:t>
            </w:r>
            <w:r>
              <w:rPr>
                <w:rFonts w:hint="eastAsia" w:ascii="宋体" w:hAnsi="宋体" w:eastAsia="宋体" w:cs="宋体"/>
                <w:bCs/>
                <w:sz w:val="21"/>
                <w:szCs w:val="21"/>
                <w:highlight w:val="none"/>
                <w:u w:val="none"/>
                <w:lang w:val="en-US" w:eastAsia="zh-CN"/>
              </w:rPr>
              <w:t>规模情况”提供的Wind数据截图中序号列中最后一笔显示的序号数为统计数据，无须重复提供Wind数据截图。</w:t>
            </w:r>
          </w:p>
        </w:tc>
      </w:tr>
      <w:tr w14:paraId="7248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61F5E39A">
            <w:pPr>
              <w:pStyle w:val="45"/>
              <w:spacing w:line="360" w:lineRule="auto"/>
              <w:ind w:firstLine="0" w:firstLineChars="0"/>
              <w:jc w:val="center"/>
              <w:rPr>
                <w:rFonts w:hint="eastAsia" w:ascii="宋体" w:hAnsi="宋体" w:eastAsia="宋体" w:cs="宋体"/>
                <w:kern w:val="2"/>
                <w:sz w:val="21"/>
                <w:szCs w:val="21"/>
                <w:lang w:val="en-US" w:eastAsia="zh-CN" w:bidi="ar-SA"/>
              </w:rPr>
            </w:pPr>
            <w:r>
              <w:rPr>
                <w:rFonts w:hint="eastAsia" w:ascii="宋体" w:eastAsia="宋体" w:cs="宋体"/>
                <w:sz w:val="21"/>
                <w:szCs w:val="21"/>
              </w:rPr>
              <w:t>3</w:t>
            </w:r>
          </w:p>
        </w:tc>
        <w:tc>
          <w:tcPr>
            <w:tcW w:w="1491" w:type="dxa"/>
            <w:tcBorders>
              <w:top w:val="single" w:color="auto" w:sz="4" w:space="0"/>
              <w:left w:val="single" w:color="auto" w:sz="4" w:space="0"/>
              <w:bottom w:val="single" w:color="auto" w:sz="4" w:space="0"/>
              <w:right w:val="single" w:color="auto" w:sz="4" w:space="0"/>
            </w:tcBorders>
            <w:vAlign w:val="center"/>
          </w:tcPr>
          <w:p w14:paraId="4668CDD4">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Calibri" w:eastAsia="宋体" w:cs="宋体"/>
                <w:kern w:val="2"/>
                <w:sz w:val="21"/>
                <w:szCs w:val="21"/>
                <w:u w:val="single"/>
                <w:lang w:val="en-US" w:eastAsia="zh-CN" w:bidi="ar-SA"/>
              </w:rPr>
            </w:pPr>
            <w:r>
              <w:rPr>
                <w:rFonts w:hint="eastAsia" w:ascii="宋体" w:hAnsi="宋体" w:eastAsia="宋体" w:cs="宋体"/>
                <w:color w:val="auto"/>
                <w:kern w:val="2"/>
                <w:sz w:val="22"/>
                <w:szCs w:val="22"/>
                <w:highlight w:val="none"/>
                <w:lang w:val="en-US" w:eastAsia="zh-CN" w:bidi="ar-SA"/>
              </w:rPr>
              <w:t>对东实集团贷款</w:t>
            </w:r>
            <w:r>
              <w:rPr>
                <w:rFonts w:hint="eastAsia" w:ascii="宋体" w:hAnsi="宋体" w:cs="宋体"/>
                <w:color w:val="auto"/>
                <w:kern w:val="2"/>
                <w:sz w:val="22"/>
                <w:szCs w:val="22"/>
                <w:highlight w:val="none"/>
                <w:lang w:val="en-US" w:eastAsia="zh-CN" w:bidi="ar-SA"/>
              </w:rPr>
              <w:t>的</w:t>
            </w:r>
            <w:r>
              <w:rPr>
                <w:rFonts w:hint="eastAsia" w:ascii="宋体" w:hAnsi="宋体" w:eastAsia="宋体" w:cs="宋体"/>
                <w:color w:val="auto"/>
                <w:kern w:val="2"/>
                <w:sz w:val="22"/>
                <w:szCs w:val="22"/>
                <w:highlight w:val="none"/>
                <w:lang w:val="en-US" w:eastAsia="zh-CN" w:bidi="ar-SA"/>
              </w:rPr>
              <w:t>支持情况</w:t>
            </w:r>
          </w:p>
        </w:tc>
        <w:tc>
          <w:tcPr>
            <w:tcW w:w="742" w:type="dxa"/>
            <w:tcBorders>
              <w:top w:val="single" w:color="auto" w:sz="4" w:space="0"/>
              <w:left w:val="single" w:color="auto" w:sz="4" w:space="0"/>
              <w:bottom w:val="single" w:color="auto" w:sz="4" w:space="0"/>
              <w:right w:val="single" w:color="auto" w:sz="4" w:space="0"/>
            </w:tcBorders>
            <w:vAlign w:val="center"/>
          </w:tcPr>
          <w:p w14:paraId="27CA2186">
            <w:pPr>
              <w:pStyle w:val="45"/>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宋体" w:eastAsia="仿宋_GB2312" w:cs="Times New Roman"/>
                <w:kern w:val="2"/>
                <w:sz w:val="31"/>
                <w:szCs w:val="28"/>
                <w:u w:val="single"/>
                <w:lang w:val="en-US" w:eastAsia="zh-CN" w:bidi="ar-SA"/>
              </w:rPr>
            </w:pPr>
            <w:r>
              <w:rPr>
                <w:rFonts w:hint="eastAsia" w:ascii="宋体" w:eastAsia="宋体" w:cs="宋体"/>
                <w:color w:val="auto"/>
                <w:sz w:val="22"/>
                <w:szCs w:val="22"/>
                <w:highlight w:val="none"/>
                <w:lang w:val="en-US" w:eastAsia="zh-CN"/>
              </w:rPr>
              <w:t>20分</w:t>
            </w:r>
          </w:p>
        </w:tc>
        <w:tc>
          <w:tcPr>
            <w:tcW w:w="5599" w:type="dxa"/>
            <w:tcBorders>
              <w:top w:val="single" w:color="auto" w:sz="4" w:space="0"/>
              <w:left w:val="single" w:color="auto" w:sz="4" w:space="0"/>
              <w:bottom w:val="single" w:color="auto" w:sz="4" w:space="0"/>
              <w:right w:val="single" w:color="auto" w:sz="4" w:space="0"/>
            </w:tcBorders>
            <w:vAlign w:val="center"/>
          </w:tcPr>
          <w:p w14:paraId="324993DD">
            <w:pPr>
              <w:pStyle w:val="45"/>
              <w:spacing w:line="360" w:lineRule="auto"/>
              <w:ind w:firstLine="420" w:firstLineChars="200"/>
              <w:rPr>
                <w:rFonts w:hint="eastAsia" w:ascii="宋体" w:eastAsia="宋体" w:cs="宋体"/>
                <w:bCs/>
                <w:sz w:val="21"/>
                <w:szCs w:val="21"/>
                <w:highlight w:val="none"/>
                <w:u w:val="none"/>
                <w:lang w:val="zh-CN" w:eastAsia="zh-CN"/>
              </w:rPr>
            </w:pPr>
            <w:r>
              <w:rPr>
                <w:rFonts w:hint="eastAsia" w:ascii="宋体" w:eastAsia="宋体" w:cs="宋体"/>
                <w:bCs/>
                <w:sz w:val="21"/>
                <w:szCs w:val="21"/>
                <w:highlight w:val="none"/>
                <w:u w:val="none"/>
                <w:lang w:val="zh-CN" w:eastAsia="zh-CN"/>
              </w:rPr>
              <w:t>自202</w:t>
            </w:r>
            <w:r>
              <w:rPr>
                <w:rFonts w:hint="eastAsia" w:ascii="宋体" w:eastAsia="宋体" w:cs="宋体"/>
                <w:bCs/>
                <w:sz w:val="21"/>
                <w:szCs w:val="21"/>
                <w:highlight w:val="none"/>
                <w:u w:val="none"/>
                <w:lang w:val="en-US" w:eastAsia="zh-CN"/>
              </w:rPr>
              <w:t>3</w:t>
            </w:r>
            <w:r>
              <w:rPr>
                <w:rFonts w:hint="eastAsia" w:ascii="宋体" w:eastAsia="宋体" w:cs="宋体"/>
                <w:bCs/>
                <w:sz w:val="21"/>
                <w:szCs w:val="21"/>
                <w:highlight w:val="none"/>
                <w:u w:val="none"/>
                <w:lang w:val="zh-CN" w:eastAsia="zh-CN"/>
              </w:rPr>
              <w:t>年1月1日至今，投标人或其所属金融机构</w:t>
            </w:r>
            <w:r>
              <w:rPr>
                <w:rFonts w:hint="eastAsia" w:ascii="宋体" w:eastAsia="宋体" w:cs="宋体"/>
                <w:bCs/>
                <w:sz w:val="21"/>
                <w:szCs w:val="21"/>
                <w:highlight w:val="none"/>
                <w:u w:val="none"/>
                <w:lang w:val="en-US" w:eastAsia="zh-CN"/>
              </w:rPr>
              <w:t>的其他分支机构</w:t>
            </w:r>
            <w:r>
              <w:rPr>
                <w:rFonts w:hint="eastAsia" w:ascii="宋体" w:eastAsia="宋体" w:cs="宋体"/>
                <w:bCs/>
                <w:sz w:val="21"/>
                <w:szCs w:val="21"/>
                <w:highlight w:val="none"/>
                <w:u w:val="none"/>
                <w:lang w:val="zh-CN" w:eastAsia="zh-CN"/>
              </w:rPr>
              <w:t>对东实集团（</w:t>
            </w:r>
            <w:r>
              <w:rPr>
                <w:rFonts w:hint="eastAsia" w:ascii="宋体" w:eastAsia="宋体" w:cs="宋体"/>
                <w:bCs/>
                <w:sz w:val="21"/>
                <w:szCs w:val="21"/>
                <w:highlight w:val="none"/>
                <w:u w:val="none"/>
                <w:lang w:val="en-US" w:eastAsia="zh-CN"/>
              </w:rPr>
              <w:t>含</w:t>
            </w:r>
            <w:r>
              <w:rPr>
                <w:rFonts w:hint="eastAsia" w:ascii="宋体" w:eastAsia="宋体" w:cs="宋体"/>
                <w:bCs/>
                <w:sz w:val="21"/>
                <w:szCs w:val="21"/>
                <w:highlight w:val="none"/>
                <w:u w:val="none"/>
                <w:lang w:val="zh-CN" w:eastAsia="zh-CN"/>
              </w:rPr>
              <w:t>全资子公司，具体见名单）贷款和信用证方面的支持情况，统计累计贷款放款和累计开立信用证总金额。</w:t>
            </w:r>
          </w:p>
          <w:p w14:paraId="74527233">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fldChar w:fldCharType="begin"/>
            </w:r>
            <w:r>
              <w:rPr>
                <w:rFonts w:hint="eastAsia" w:ascii="宋体" w:hAnsi="宋体" w:eastAsia="宋体" w:cs="宋体"/>
                <w:color w:val="auto"/>
                <w:kern w:val="2"/>
                <w:sz w:val="22"/>
                <w:szCs w:val="22"/>
                <w:highlight w:val="none"/>
                <w:lang w:val="en-US" w:eastAsia="zh-CN" w:bidi="ar-SA"/>
              </w:rPr>
              <w:instrText xml:space="preserve"> = 1 \* GB3 </w:instrText>
            </w:r>
            <w:r>
              <w:rPr>
                <w:rFonts w:hint="eastAsia" w:ascii="宋体" w:hAnsi="宋体" w:eastAsia="宋体" w:cs="宋体"/>
                <w:color w:val="auto"/>
                <w:kern w:val="2"/>
                <w:sz w:val="22"/>
                <w:szCs w:val="22"/>
                <w:highlight w:val="none"/>
                <w:lang w:val="en-US" w:eastAsia="zh-CN" w:bidi="ar-SA"/>
              </w:rPr>
              <w:fldChar w:fldCharType="separate"/>
            </w:r>
            <w:r>
              <w:rPr>
                <w:rFonts w:hint="eastAsia" w:ascii="宋体" w:hAnsi="宋体" w:eastAsia="宋体" w:cs="宋体"/>
                <w:color w:val="auto"/>
                <w:kern w:val="2"/>
                <w:sz w:val="22"/>
                <w:szCs w:val="22"/>
                <w:highlight w:val="none"/>
                <w:lang w:val="en-US" w:eastAsia="zh-CN" w:bidi="ar-SA"/>
              </w:rPr>
              <w:t>①</w:t>
            </w:r>
            <w:r>
              <w:rPr>
                <w:rFonts w:hint="eastAsia" w:ascii="宋体" w:hAnsi="宋体" w:eastAsia="宋体" w:cs="宋体"/>
                <w:color w:val="auto"/>
                <w:kern w:val="2"/>
                <w:sz w:val="22"/>
                <w:szCs w:val="22"/>
                <w:highlight w:val="none"/>
                <w:lang w:val="en-US" w:eastAsia="zh-CN" w:bidi="ar-SA"/>
              </w:rPr>
              <w:fldChar w:fldCharType="end"/>
            </w:r>
            <w:r>
              <w:rPr>
                <w:rFonts w:hint="eastAsia" w:ascii="宋体" w:hAnsi="宋体" w:eastAsia="宋体" w:cs="宋体"/>
                <w:color w:val="auto"/>
                <w:kern w:val="2"/>
                <w:sz w:val="22"/>
                <w:szCs w:val="22"/>
                <w:highlight w:val="none"/>
                <w:lang w:val="en-US" w:eastAsia="zh-CN" w:bidi="ar-SA"/>
              </w:rPr>
              <w:t>总金额≥</w:t>
            </w:r>
            <w:r>
              <w:rPr>
                <w:rFonts w:hint="eastAsia" w:ascii="宋体" w:hAnsi="宋体" w:cs="宋体"/>
                <w:color w:val="auto"/>
                <w:kern w:val="2"/>
                <w:sz w:val="22"/>
                <w:szCs w:val="22"/>
                <w:highlight w:val="none"/>
                <w:lang w:val="en-US" w:eastAsia="zh-CN" w:bidi="ar-SA"/>
              </w:rPr>
              <w:t>4</w:t>
            </w:r>
            <w:r>
              <w:rPr>
                <w:rFonts w:hint="eastAsia" w:ascii="宋体" w:hAnsi="宋体" w:eastAsia="宋体" w:cs="宋体"/>
                <w:color w:val="auto"/>
                <w:kern w:val="2"/>
                <w:sz w:val="22"/>
                <w:szCs w:val="22"/>
                <w:highlight w:val="none"/>
                <w:lang w:val="en-US" w:eastAsia="zh-CN" w:bidi="ar-SA"/>
              </w:rPr>
              <w:t>亿元，得</w:t>
            </w:r>
            <w:r>
              <w:rPr>
                <w:rFonts w:hint="eastAsia" w:ascii="宋体" w:hAnsi="宋体" w:cs="宋体"/>
                <w:color w:val="auto"/>
                <w:kern w:val="2"/>
                <w:sz w:val="22"/>
                <w:szCs w:val="22"/>
                <w:highlight w:val="none"/>
                <w:lang w:val="en-US" w:eastAsia="zh-CN" w:bidi="ar-SA"/>
              </w:rPr>
              <w:t>20</w:t>
            </w:r>
            <w:r>
              <w:rPr>
                <w:rFonts w:hint="eastAsia" w:ascii="宋体" w:hAnsi="宋体" w:eastAsia="宋体" w:cs="宋体"/>
                <w:color w:val="auto"/>
                <w:kern w:val="2"/>
                <w:sz w:val="22"/>
                <w:szCs w:val="22"/>
                <w:highlight w:val="none"/>
                <w:lang w:val="en-US" w:eastAsia="zh-CN" w:bidi="ar-SA"/>
              </w:rPr>
              <w:t>分；</w:t>
            </w:r>
          </w:p>
          <w:p w14:paraId="050B15C9">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fldChar w:fldCharType="begin"/>
            </w:r>
            <w:r>
              <w:rPr>
                <w:rFonts w:hint="eastAsia" w:ascii="宋体" w:hAnsi="宋体" w:eastAsia="宋体" w:cs="宋体"/>
                <w:color w:val="auto"/>
                <w:kern w:val="2"/>
                <w:sz w:val="22"/>
                <w:szCs w:val="22"/>
                <w:highlight w:val="none"/>
                <w:lang w:val="en-US" w:eastAsia="zh-CN" w:bidi="ar-SA"/>
              </w:rPr>
              <w:instrText xml:space="preserve"> = 2 \* GB3 </w:instrText>
            </w:r>
            <w:r>
              <w:rPr>
                <w:rFonts w:hint="eastAsia" w:ascii="宋体" w:hAnsi="宋体" w:eastAsia="宋体" w:cs="宋体"/>
                <w:color w:val="auto"/>
                <w:kern w:val="2"/>
                <w:sz w:val="22"/>
                <w:szCs w:val="22"/>
                <w:highlight w:val="none"/>
                <w:lang w:val="en-US" w:eastAsia="zh-CN" w:bidi="ar-SA"/>
              </w:rPr>
              <w:fldChar w:fldCharType="separate"/>
            </w:r>
            <w:r>
              <w:rPr>
                <w:rFonts w:hint="eastAsia" w:ascii="宋体" w:hAnsi="宋体" w:eastAsia="宋体" w:cs="宋体"/>
                <w:color w:val="auto"/>
                <w:kern w:val="2"/>
                <w:sz w:val="22"/>
                <w:szCs w:val="22"/>
                <w:highlight w:val="none"/>
                <w:lang w:val="en-US" w:eastAsia="zh-CN" w:bidi="ar-SA"/>
              </w:rPr>
              <w:t>②</w:t>
            </w:r>
            <w:r>
              <w:rPr>
                <w:rFonts w:hint="eastAsia" w:ascii="宋体" w:hAnsi="宋体" w:eastAsia="宋体" w:cs="宋体"/>
                <w:color w:val="auto"/>
                <w:kern w:val="2"/>
                <w:sz w:val="22"/>
                <w:szCs w:val="22"/>
                <w:highlight w:val="none"/>
                <w:lang w:val="en-US" w:eastAsia="zh-CN" w:bidi="ar-SA"/>
              </w:rPr>
              <w:fldChar w:fldCharType="end"/>
            </w:r>
            <w:r>
              <w:rPr>
                <w:rFonts w:hint="eastAsia" w:ascii="宋体" w:hAnsi="宋体" w:cs="宋体"/>
                <w:color w:val="auto"/>
                <w:kern w:val="2"/>
                <w:sz w:val="22"/>
                <w:szCs w:val="22"/>
                <w:highlight w:val="none"/>
                <w:lang w:val="en-US" w:eastAsia="zh-CN" w:bidi="ar-SA"/>
              </w:rPr>
              <w:t>2</w:t>
            </w:r>
            <w:r>
              <w:rPr>
                <w:rFonts w:hint="eastAsia" w:ascii="宋体" w:hAnsi="宋体" w:eastAsia="宋体" w:cs="宋体"/>
                <w:color w:val="auto"/>
                <w:kern w:val="2"/>
                <w:sz w:val="22"/>
                <w:szCs w:val="22"/>
                <w:highlight w:val="none"/>
                <w:lang w:val="en-US" w:eastAsia="zh-CN" w:bidi="ar-SA"/>
              </w:rPr>
              <w:t>亿元≤总金额＜</w:t>
            </w:r>
            <w:r>
              <w:rPr>
                <w:rFonts w:hint="eastAsia" w:ascii="宋体" w:hAnsi="宋体" w:cs="宋体"/>
                <w:color w:val="auto"/>
                <w:kern w:val="2"/>
                <w:sz w:val="22"/>
                <w:szCs w:val="22"/>
                <w:highlight w:val="none"/>
                <w:lang w:val="en-US" w:eastAsia="zh-CN" w:bidi="ar-SA"/>
              </w:rPr>
              <w:t>4</w:t>
            </w:r>
            <w:r>
              <w:rPr>
                <w:rFonts w:hint="eastAsia" w:ascii="宋体" w:hAnsi="宋体" w:eastAsia="宋体" w:cs="宋体"/>
                <w:color w:val="auto"/>
                <w:kern w:val="2"/>
                <w:sz w:val="22"/>
                <w:szCs w:val="22"/>
                <w:highlight w:val="none"/>
                <w:lang w:val="en-US" w:eastAsia="zh-CN" w:bidi="ar-SA"/>
              </w:rPr>
              <w:t>亿元，得</w:t>
            </w:r>
            <w:r>
              <w:rPr>
                <w:rFonts w:hint="eastAsia" w:ascii="宋体" w:hAnsi="宋体" w:cs="宋体"/>
                <w:color w:val="auto"/>
                <w:kern w:val="2"/>
                <w:sz w:val="22"/>
                <w:szCs w:val="22"/>
                <w:highlight w:val="none"/>
                <w:lang w:val="en-US" w:eastAsia="zh-CN" w:bidi="ar-SA"/>
              </w:rPr>
              <w:t>15</w:t>
            </w:r>
            <w:r>
              <w:rPr>
                <w:rFonts w:hint="eastAsia" w:ascii="宋体" w:hAnsi="宋体" w:eastAsia="宋体" w:cs="宋体"/>
                <w:color w:val="auto"/>
                <w:kern w:val="2"/>
                <w:sz w:val="22"/>
                <w:szCs w:val="22"/>
                <w:highlight w:val="none"/>
                <w:lang w:val="en-US" w:eastAsia="zh-CN" w:bidi="ar-SA"/>
              </w:rPr>
              <w:t>分；</w:t>
            </w:r>
          </w:p>
          <w:p w14:paraId="5BA8CF45">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③0亿元＜总金额＜</w:t>
            </w:r>
            <w:r>
              <w:rPr>
                <w:rFonts w:hint="eastAsia" w:ascii="宋体" w:hAnsi="宋体" w:cs="宋体"/>
                <w:color w:val="auto"/>
                <w:kern w:val="2"/>
                <w:sz w:val="22"/>
                <w:szCs w:val="22"/>
                <w:highlight w:val="none"/>
                <w:lang w:val="en-US" w:eastAsia="zh-CN" w:bidi="ar-SA"/>
              </w:rPr>
              <w:t>2</w:t>
            </w:r>
            <w:r>
              <w:rPr>
                <w:rFonts w:hint="eastAsia" w:ascii="宋体" w:hAnsi="宋体" w:eastAsia="宋体" w:cs="宋体"/>
                <w:color w:val="auto"/>
                <w:kern w:val="2"/>
                <w:sz w:val="22"/>
                <w:szCs w:val="22"/>
                <w:highlight w:val="none"/>
                <w:lang w:val="en-US" w:eastAsia="zh-CN" w:bidi="ar-SA"/>
              </w:rPr>
              <w:t>亿元，得</w:t>
            </w:r>
            <w:r>
              <w:rPr>
                <w:rFonts w:hint="eastAsia" w:ascii="宋体" w:hAnsi="宋体" w:cs="宋体"/>
                <w:color w:val="auto"/>
                <w:kern w:val="2"/>
                <w:sz w:val="22"/>
                <w:szCs w:val="22"/>
                <w:highlight w:val="none"/>
                <w:lang w:val="en-US" w:eastAsia="zh-CN" w:bidi="ar-SA"/>
              </w:rPr>
              <w:t>10</w:t>
            </w:r>
            <w:r>
              <w:rPr>
                <w:rFonts w:hint="eastAsia" w:ascii="宋体" w:hAnsi="宋体" w:eastAsia="宋体" w:cs="宋体"/>
                <w:color w:val="auto"/>
                <w:kern w:val="2"/>
                <w:sz w:val="22"/>
                <w:szCs w:val="22"/>
                <w:highlight w:val="none"/>
                <w:lang w:val="en-US" w:eastAsia="zh-CN" w:bidi="ar-SA"/>
              </w:rPr>
              <w:t>分。</w:t>
            </w:r>
          </w:p>
          <w:p w14:paraId="7F8DA64A">
            <w:pPr>
              <w:pStyle w:val="45"/>
              <w:spacing w:line="360" w:lineRule="auto"/>
              <w:ind w:firstLine="420" w:firstLineChars="200"/>
              <w:rPr>
                <w:rFonts w:hint="eastAsia" w:ascii="宋体" w:eastAsia="宋体" w:cs="宋体"/>
                <w:bCs/>
                <w:sz w:val="21"/>
                <w:szCs w:val="21"/>
                <w:highlight w:val="none"/>
                <w:u w:val="none"/>
                <w:lang w:val="zh-CN" w:eastAsia="zh-CN"/>
              </w:rPr>
            </w:pPr>
            <w:r>
              <w:rPr>
                <w:rFonts w:hint="eastAsia" w:ascii="宋体" w:eastAsia="宋体" w:cs="宋体"/>
                <w:bCs/>
                <w:sz w:val="21"/>
                <w:szCs w:val="21"/>
                <w:highlight w:val="none"/>
                <w:u w:val="none"/>
                <w:lang w:val="zh-CN" w:eastAsia="zh-CN"/>
              </w:rPr>
              <w:t>【备注】</w:t>
            </w:r>
          </w:p>
          <w:p w14:paraId="2F172100">
            <w:pPr>
              <w:pStyle w:val="45"/>
              <w:spacing w:line="360" w:lineRule="auto"/>
              <w:ind w:firstLine="420" w:firstLineChars="200"/>
              <w:rPr>
                <w:rFonts w:hint="default" w:ascii="宋体" w:eastAsia="宋体" w:cs="宋体"/>
                <w:bCs/>
                <w:sz w:val="21"/>
                <w:szCs w:val="21"/>
                <w:highlight w:val="none"/>
                <w:u w:val="none"/>
                <w:lang w:val="en-US" w:eastAsia="zh-CN"/>
              </w:rPr>
            </w:pPr>
            <w:r>
              <w:rPr>
                <w:rFonts w:hint="eastAsia" w:ascii="宋体" w:eastAsia="宋体" w:cs="宋体"/>
                <w:bCs/>
                <w:sz w:val="21"/>
                <w:szCs w:val="21"/>
                <w:highlight w:val="none"/>
                <w:u w:val="none"/>
                <w:lang w:val="zh-CN" w:eastAsia="zh-CN"/>
              </w:rPr>
              <w:fldChar w:fldCharType="begin"/>
            </w:r>
            <w:r>
              <w:rPr>
                <w:rFonts w:hint="eastAsia" w:ascii="宋体" w:eastAsia="宋体" w:cs="宋体"/>
                <w:bCs/>
                <w:sz w:val="21"/>
                <w:szCs w:val="21"/>
                <w:highlight w:val="none"/>
                <w:u w:val="none"/>
                <w:lang w:val="zh-CN" w:eastAsia="zh-CN"/>
              </w:rPr>
              <w:instrText xml:space="preserve"> = 1 \* GB3 </w:instrText>
            </w:r>
            <w:r>
              <w:rPr>
                <w:rFonts w:hint="eastAsia" w:ascii="宋体" w:eastAsia="宋体" w:cs="宋体"/>
                <w:bCs/>
                <w:sz w:val="21"/>
                <w:szCs w:val="21"/>
                <w:highlight w:val="none"/>
                <w:u w:val="none"/>
                <w:lang w:val="zh-CN" w:eastAsia="zh-CN"/>
              </w:rPr>
              <w:fldChar w:fldCharType="separate"/>
            </w:r>
            <w:r>
              <w:rPr>
                <w:rFonts w:hint="eastAsia" w:ascii="宋体" w:eastAsia="宋体" w:cs="宋体"/>
                <w:bCs/>
                <w:sz w:val="21"/>
                <w:szCs w:val="21"/>
                <w:highlight w:val="none"/>
                <w:u w:val="none"/>
                <w:lang w:val="zh-CN" w:eastAsia="zh-CN"/>
              </w:rPr>
              <w:t>①</w:t>
            </w:r>
            <w:r>
              <w:rPr>
                <w:rFonts w:hint="eastAsia" w:ascii="宋体" w:eastAsia="宋体" w:cs="宋体"/>
                <w:bCs/>
                <w:sz w:val="21"/>
                <w:szCs w:val="21"/>
                <w:highlight w:val="none"/>
                <w:u w:val="none"/>
                <w:lang w:val="zh-CN" w:eastAsia="zh-CN"/>
              </w:rPr>
              <w:fldChar w:fldCharType="end"/>
            </w:r>
            <w:r>
              <w:rPr>
                <w:rFonts w:hint="eastAsia" w:ascii="宋体" w:eastAsia="宋体" w:cs="宋体"/>
                <w:bCs/>
                <w:sz w:val="21"/>
                <w:szCs w:val="21"/>
                <w:highlight w:val="none"/>
                <w:u w:val="none"/>
                <w:lang w:val="zh-CN" w:eastAsia="zh-CN"/>
              </w:rPr>
              <w:t>东实集团（含全资子公司）包括：东莞实业投资控股集团有限公司、东莞市东实城市开发有限公司、东莞市安居建设投资有限公司、东莞市东实旗云投资有限公司、广东东实环境股份有限公司、东莞市能源投资集团有限公司、东莞市旗领产业投资有限公司、东莞市东实旗力三限房房地产开发有限公司、东莞市东实旗信三限房房地产开发有限公司、东莞市东实旗安三限房房地产开发有限公司、东莞市东实旗林三限房房地产开发有限公司、东莞迎宾馆酒店有限公司 、东莞市新东欣环保投资有限公司、东莞市东实城市环境服务有限公司、东莞市新锋管道燃气有限公司、东莞新锋光伏能源科技有限公司、东莞市道生天然气有限公司、东莞市新有能源投资有限公司、</w:t>
            </w:r>
            <w:r>
              <w:rPr>
                <w:rFonts w:hint="eastAsia" w:ascii="宋体" w:eastAsia="宋体" w:cs="宋体"/>
                <w:bCs/>
                <w:sz w:val="21"/>
                <w:szCs w:val="21"/>
                <w:highlight w:val="none"/>
                <w:u w:val="none"/>
                <w:lang w:val="en-US" w:eastAsia="zh-CN"/>
              </w:rPr>
              <w:t>东莞新锋液化石油气有限公司</w:t>
            </w:r>
            <w:r>
              <w:rPr>
                <w:rFonts w:hint="eastAsia" w:ascii="宋体" w:eastAsia="宋体" w:cs="宋体"/>
                <w:bCs/>
                <w:sz w:val="21"/>
                <w:szCs w:val="21"/>
                <w:highlight w:val="none"/>
                <w:u w:val="none"/>
                <w:lang w:val="zh-CN" w:eastAsia="zh-CN"/>
              </w:rPr>
              <w:t>。（以上为采购人整理的</w:t>
            </w:r>
            <w:r>
              <w:rPr>
                <w:rFonts w:hint="eastAsia" w:ascii="宋体" w:eastAsia="宋体" w:cs="宋体"/>
                <w:bCs/>
                <w:sz w:val="21"/>
                <w:szCs w:val="21"/>
                <w:highlight w:val="none"/>
                <w:u w:val="none"/>
                <w:lang w:val="en-US" w:eastAsia="zh-CN"/>
              </w:rPr>
              <w:t>2024年12月30日</w:t>
            </w:r>
            <w:r>
              <w:rPr>
                <w:rFonts w:hint="eastAsia" w:ascii="宋体" w:eastAsia="宋体" w:cs="宋体"/>
                <w:bCs/>
                <w:sz w:val="21"/>
                <w:szCs w:val="21"/>
                <w:highlight w:val="none"/>
                <w:u w:val="none"/>
                <w:lang w:val="zh-CN" w:eastAsia="zh-CN"/>
              </w:rPr>
              <w:t>有贷款余额的子公司名单，若有遗漏，投标人提供所发放贷款或开立信用证公司的相关股权证明资料，证明</w:t>
            </w:r>
            <w:r>
              <w:rPr>
                <w:rFonts w:hint="eastAsia" w:ascii="宋体" w:eastAsia="宋体" w:cs="宋体"/>
                <w:bCs/>
                <w:sz w:val="21"/>
                <w:szCs w:val="21"/>
                <w:highlight w:val="none"/>
                <w:u w:val="none"/>
                <w:lang w:val="en-US" w:eastAsia="zh-CN"/>
              </w:rPr>
              <w:t>在2024年12月30日</w:t>
            </w:r>
            <w:r>
              <w:rPr>
                <w:rFonts w:hint="eastAsia" w:ascii="宋体" w:eastAsia="宋体" w:cs="宋体"/>
                <w:bCs/>
                <w:sz w:val="21"/>
                <w:szCs w:val="21"/>
                <w:highlight w:val="none"/>
                <w:u w:val="none"/>
                <w:lang w:val="zh-CN" w:eastAsia="zh-CN"/>
              </w:rPr>
              <w:t>为东实集团全资子公司的也可计算得分）。</w:t>
            </w:r>
          </w:p>
          <w:p w14:paraId="71B883DC">
            <w:pPr>
              <w:pStyle w:val="45"/>
              <w:spacing w:line="360" w:lineRule="auto"/>
              <w:ind w:firstLine="420" w:firstLineChars="200"/>
              <w:rPr>
                <w:rFonts w:hint="eastAsia" w:ascii="宋体" w:eastAsia="宋体" w:cs="宋体"/>
                <w:bCs/>
                <w:sz w:val="21"/>
                <w:szCs w:val="21"/>
                <w:highlight w:val="none"/>
                <w:u w:val="none"/>
                <w:lang w:val="zh-CN" w:eastAsia="zh-CN"/>
              </w:rPr>
            </w:pPr>
            <w:r>
              <w:rPr>
                <w:rFonts w:hint="eastAsia" w:ascii="宋体" w:eastAsia="宋体" w:cs="宋体"/>
                <w:bCs/>
                <w:sz w:val="21"/>
                <w:szCs w:val="21"/>
                <w:highlight w:val="none"/>
                <w:u w:val="none"/>
                <w:lang w:val="zh-CN" w:eastAsia="zh-CN"/>
              </w:rPr>
              <w:t>②需提供自2023年1月1日至今融资放款的银行回单、开立信用证凭证复印件并加盖投标人公章。</w:t>
            </w:r>
          </w:p>
          <w:p w14:paraId="40C63849">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Calibri" w:eastAsia="宋体" w:cs="宋体"/>
                <w:bCs/>
                <w:kern w:val="2"/>
                <w:sz w:val="21"/>
                <w:szCs w:val="21"/>
                <w:u w:val="single"/>
                <w:lang w:val="en-US" w:eastAsia="zh-CN" w:bidi="ar-SA"/>
              </w:rPr>
            </w:pPr>
          </w:p>
        </w:tc>
      </w:tr>
      <w:tr w14:paraId="3BC8A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25FFEC06">
            <w:pPr>
              <w:pStyle w:val="45"/>
              <w:spacing w:line="360" w:lineRule="auto"/>
              <w:ind w:firstLine="0" w:firstLineChars="0"/>
              <w:jc w:val="center"/>
              <w:rPr>
                <w:rFonts w:hint="eastAsia" w:ascii="宋体" w:eastAsia="宋体" w:cs="宋体"/>
                <w:sz w:val="21"/>
                <w:szCs w:val="21"/>
                <w:lang w:eastAsia="zh-CN"/>
              </w:rPr>
            </w:pPr>
            <w:r>
              <w:rPr>
                <w:rFonts w:hint="eastAsia" w:ascii="宋体" w:eastAsia="宋体" w:cs="宋体"/>
                <w:sz w:val="21"/>
                <w:szCs w:val="21"/>
                <w:lang w:val="en-US" w:eastAsia="zh-CN"/>
              </w:rPr>
              <w:t>4</w:t>
            </w:r>
          </w:p>
        </w:tc>
        <w:tc>
          <w:tcPr>
            <w:tcW w:w="1491" w:type="dxa"/>
            <w:tcBorders>
              <w:top w:val="single" w:color="auto" w:sz="4" w:space="0"/>
              <w:left w:val="single" w:color="auto" w:sz="4" w:space="0"/>
              <w:bottom w:val="single" w:color="auto" w:sz="4" w:space="0"/>
              <w:right w:val="single" w:color="auto" w:sz="4" w:space="0"/>
            </w:tcBorders>
            <w:vAlign w:val="center"/>
          </w:tcPr>
          <w:p w14:paraId="5004797D">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对东实集团</w:t>
            </w:r>
            <w:r>
              <w:rPr>
                <w:rFonts w:hint="eastAsia" w:ascii="宋体" w:hAnsi="宋体" w:cs="宋体"/>
                <w:color w:val="auto"/>
                <w:kern w:val="2"/>
                <w:sz w:val="22"/>
                <w:szCs w:val="22"/>
                <w:highlight w:val="none"/>
                <w:lang w:val="en-US" w:eastAsia="zh-CN" w:bidi="ar-SA"/>
              </w:rPr>
              <w:t>债券的</w:t>
            </w:r>
            <w:r>
              <w:rPr>
                <w:rFonts w:hint="eastAsia" w:ascii="宋体" w:hAnsi="宋体" w:eastAsia="宋体" w:cs="宋体"/>
                <w:color w:val="auto"/>
                <w:kern w:val="2"/>
                <w:sz w:val="22"/>
                <w:szCs w:val="22"/>
                <w:highlight w:val="none"/>
                <w:lang w:val="en-US" w:eastAsia="zh-CN" w:bidi="ar-SA"/>
              </w:rPr>
              <w:t>支持情况</w:t>
            </w:r>
          </w:p>
        </w:tc>
        <w:tc>
          <w:tcPr>
            <w:tcW w:w="742" w:type="dxa"/>
            <w:tcBorders>
              <w:top w:val="single" w:color="auto" w:sz="4" w:space="0"/>
              <w:left w:val="single" w:color="auto" w:sz="4" w:space="0"/>
              <w:bottom w:val="single" w:color="auto" w:sz="4" w:space="0"/>
              <w:right w:val="single" w:color="auto" w:sz="4" w:space="0"/>
            </w:tcBorders>
            <w:vAlign w:val="center"/>
          </w:tcPr>
          <w:p w14:paraId="35398A93">
            <w:pPr>
              <w:pStyle w:val="45"/>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0" w:firstLineChars="0"/>
              <w:jc w:val="center"/>
              <w:textAlignment w:val="auto"/>
              <w:rPr>
                <w:rFonts w:hint="default" w:ascii="宋体" w:eastAsia="宋体" w:cs="宋体"/>
                <w:color w:val="auto"/>
                <w:sz w:val="22"/>
                <w:szCs w:val="22"/>
                <w:highlight w:val="none"/>
                <w:lang w:val="en-US" w:eastAsia="zh-CN"/>
              </w:rPr>
            </w:pPr>
            <w:r>
              <w:rPr>
                <w:rFonts w:hint="eastAsia" w:ascii="宋体" w:eastAsia="宋体" w:cs="宋体"/>
                <w:color w:val="auto"/>
                <w:sz w:val="22"/>
                <w:szCs w:val="22"/>
                <w:highlight w:val="none"/>
                <w:lang w:val="en-US" w:eastAsia="zh-CN"/>
              </w:rPr>
              <w:t>10</w:t>
            </w:r>
          </w:p>
        </w:tc>
        <w:tc>
          <w:tcPr>
            <w:tcW w:w="5599" w:type="dxa"/>
            <w:tcBorders>
              <w:top w:val="single" w:color="auto" w:sz="4" w:space="0"/>
              <w:left w:val="single" w:color="auto" w:sz="4" w:space="0"/>
              <w:bottom w:val="single" w:color="auto" w:sz="4" w:space="0"/>
              <w:right w:val="single" w:color="auto" w:sz="4" w:space="0"/>
            </w:tcBorders>
            <w:vAlign w:val="center"/>
          </w:tcPr>
          <w:p w14:paraId="236DC803">
            <w:pPr>
              <w:pStyle w:val="45"/>
              <w:spacing w:line="360" w:lineRule="auto"/>
              <w:ind w:firstLine="420" w:firstLineChars="200"/>
              <w:rPr>
                <w:rFonts w:hint="eastAsia" w:ascii="宋体" w:eastAsia="宋体" w:cs="宋体"/>
                <w:bCs/>
                <w:sz w:val="21"/>
                <w:szCs w:val="21"/>
                <w:highlight w:val="none"/>
                <w:u w:val="none"/>
                <w:lang w:val="zh-CN" w:eastAsia="zh-CN"/>
              </w:rPr>
            </w:pPr>
            <w:r>
              <w:rPr>
                <w:rFonts w:hint="eastAsia" w:ascii="宋体" w:eastAsia="宋体" w:cs="宋体"/>
                <w:bCs/>
                <w:sz w:val="21"/>
                <w:szCs w:val="21"/>
                <w:highlight w:val="none"/>
                <w:u w:val="none"/>
                <w:lang w:val="zh-CN" w:eastAsia="zh-CN"/>
              </w:rPr>
              <w:t>自2021年1月1日至今，投标人或其所属金融机构在一级市场认购东实集团债券的情况。</w:t>
            </w:r>
          </w:p>
          <w:p w14:paraId="76305F64">
            <w:pPr>
              <w:pStyle w:val="45"/>
              <w:spacing w:line="360" w:lineRule="auto"/>
              <w:ind w:firstLine="420" w:firstLineChars="200"/>
              <w:rPr>
                <w:rFonts w:hint="eastAsia" w:ascii="宋体" w:eastAsia="宋体" w:cs="宋体"/>
                <w:bCs/>
                <w:sz w:val="21"/>
                <w:szCs w:val="21"/>
                <w:highlight w:val="none"/>
                <w:u w:val="none"/>
                <w:lang w:val="zh-CN" w:eastAsia="zh-CN"/>
              </w:rPr>
            </w:pPr>
            <w:r>
              <w:rPr>
                <w:rFonts w:hint="eastAsia" w:ascii="宋体" w:eastAsia="宋体" w:cs="宋体"/>
                <w:bCs/>
                <w:sz w:val="21"/>
                <w:szCs w:val="21"/>
                <w:highlight w:val="none"/>
                <w:u w:val="none"/>
                <w:lang w:val="zh-CN" w:eastAsia="zh-CN"/>
              </w:rPr>
              <w:t>①总金额≥2亿元，得10分；</w:t>
            </w:r>
          </w:p>
          <w:p w14:paraId="0D601F64">
            <w:pPr>
              <w:pStyle w:val="45"/>
              <w:spacing w:line="360" w:lineRule="auto"/>
              <w:ind w:firstLine="420" w:firstLineChars="200"/>
              <w:rPr>
                <w:rFonts w:hint="eastAsia" w:ascii="宋体" w:eastAsia="宋体" w:cs="宋体"/>
                <w:bCs/>
                <w:sz w:val="21"/>
                <w:szCs w:val="21"/>
                <w:highlight w:val="none"/>
                <w:u w:val="none"/>
                <w:lang w:val="zh-CN" w:eastAsia="zh-CN"/>
              </w:rPr>
            </w:pPr>
            <w:r>
              <w:rPr>
                <w:rFonts w:hint="eastAsia" w:ascii="宋体" w:eastAsia="宋体" w:cs="宋体"/>
                <w:bCs/>
                <w:sz w:val="21"/>
                <w:szCs w:val="21"/>
                <w:highlight w:val="none"/>
                <w:u w:val="none"/>
                <w:lang w:val="zh-CN" w:eastAsia="zh-CN"/>
              </w:rPr>
              <w:t>②1亿元≤总金额＜2亿元，得</w:t>
            </w:r>
            <w:r>
              <w:rPr>
                <w:rFonts w:hint="eastAsia" w:ascii="宋体" w:eastAsia="宋体" w:cs="宋体"/>
                <w:bCs/>
                <w:sz w:val="21"/>
                <w:szCs w:val="21"/>
                <w:highlight w:val="none"/>
                <w:u w:val="none"/>
                <w:lang w:val="en-US" w:eastAsia="zh-CN"/>
              </w:rPr>
              <w:t>7</w:t>
            </w:r>
            <w:r>
              <w:rPr>
                <w:rFonts w:hint="eastAsia" w:ascii="宋体" w:eastAsia="宋体" w:cs="宋体"/>
                <w:bCs/>
                <w:sz w:val="21"/>
                <w:szCs w:val="21"/>
                <w:highlight w:val="none"/>
                <w:u w:val="none"/>
                <w:lang w:val="zh-CN" w:eastAsia="zh-CN"/>
              </w:rPr>
              <w:t>分；</w:t>
            </w:r>
          </w:p>
          <w:p w14:paraId="402AA2D7">
            <w:pPr>
              <w:pStyle w:val="45"/>
              <w:spacing w:line="360" w:lineRule="auto"/>
              <w:ind w:firstLine="420" w:firstLineChars="200"/>
              <w:rPr>
                <w:rFonts w:hint="eastAsia" w:ascii="宋体" w:eastAsia="宋体" w:cs="宋体"/>
                <w:bCs/>
                <w:sz w:val="21"/>
                <w:szCs w:val="21"/>
                <w:highlight w:val="none"/>
                <w:u w:val="none"/>
                <w:lang w:val="zh-CN" w:eastAsia="zh-CN"/>
              </w:rPr>
            </w:pPr>
            <w:r>
              <w:rPr>
                <w:rFonts w:hint="eastAsia" w:ascii="宋体" w:eastAsia="宋体" w:cs="宋体"/>
                <w:bCs/>
                <w:sz w:val="21"/>
                <w:szCs w:val="21"/>
                <w:highlight w:val="none"/>
                <w:u w:val="none"/>
                <w:lang w:val="zh-CN" w:eastAsia="zh-CN"/>
              </w:rPr>
              <w:t>③0亿元＜总金额＜1亿元，得</w:t>
            </w:r>
            <w:r>
              <w:rPr>
                <w:rFonts w:hint="eastAsia" w:ascii="宋体" w:eastAsia="宋体" w:cs="宋体"/>
                <w:bCs/>
                <w:sz w:val="21"/>
                <w:szCs w:val="21"/>
                <w:highlight w:val="none"/>
                <w:u w:val="none"/>
                <w:lang w:val="en-US" w:eastAsia="zh-CN"/>
              </w:rPr>
              <w:t>5</w:t>
            </w:r>
            <w:r>
              <w:rPr>
                <w:rFonts w:hint="eastAsia" w:ascii="宋体" w:eastAsia="宋体" w:cs="宋体"/>
                <w:bCs/>
                <w:sz w:val="21"/>
                <w:szCs w:val="21"/>
                <w:highlight w:val="none"/>
                <w:u w:val="none"/>
                <w:lang w:val="zh-CN" w:eastAsia="zh-CN"/>
              </w:rPr>
              <w:t>分。</w:t>
            </w:r>
          </w:p>
          <w:p w14:paraId="2A9D75F6">
            <w:pPr>
              <w:pStyle w:val="45"/>
              <w:spacing w:line="360" w:lineRule="auto"/>
              <w:ind w:firstLine="420" w:firstLineChars="200"/>
              <w:rPr>
                <w:rFonts w:hint="eastAsia" w:ascii="宋体" w:eastAsia="宋体" w:cs="宋体"/>
                <w:bCs/>
                <w:sz w:val="21"/>
                <w:szCs w:val="21"/>
                <w:highlight w:val="none"/>
                <w:u w:val="none"/>
                <w:lang w:val="zh-CN" w:eastAsia="zh-CN"/>
              </w:rPr>
            </w:pPr>
            <w:r>
              <w:rPr>
                <w:rFonts w:hint="eastAsia" w:ascii="宋体" w:eastAsia="宋体" w:cs="宋体"/>
                <w:bCs/>
                <w:sz w:val="21"/>
                <w:szCs w:val="21"/>
                <w:highlight w:val="none"/>
                <w:u w:val="none"/>
                <w:lang w:val="zh-CN" w:eastAsia="zh-CN"/>
              </w:rPr>
              <w:t>【备注】</w:t>
            </w:r>
          </w:p>
          <w:p w14:paraId="31CB4872">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eastAsia="宋体" w:cs="宋体"/>
                <w:bCs/>
                <w:sz w:val="21"/>
                <w:szCs w:val="21"/>
                <w:highlight w:val="none"/>
                <w:u w:val="none"/>
                <w:lang w:val="zh-CN" w:eastAsia="zh-CN"/>
              </w:rPr>
            </w:pPr>
            <w:r>
              <w:rPr>
                <w:rFonts w:hint="eastAsia" w:ascii="宋体" w:eastAsia="宋体" w:cs="宋体"/>
                <w:bCs/>
                <w:sz w:val="21"/>
                <w:szCs w:val="21"/>
                <w:highlight w:val="none"/>
                <w:u w:val="none"/>
                <w:lang w:val="zh-CN" w:eastAsia="zh-CN"/>
              </w:rPr>
              <w:t>需提供一级市场认购东实集团债券的</w:t>
            </w:r>
            <w:r>
              <w:rPr>
                <w:rFonts w:hint="eastAsia" w:ascii="宋体" w:eastAsia="宋体" w:cs="宋体"/>
                <w:bCs/>
                <w:sz w:val="21"/>
                <w:szCs w:val="21"/>
                <w:highlight w:val="none"/>
                <w:u w:val="none"/>
                <w:lang w:val="en-US" w:eastAsia="zh-CN"/>
              </w:rPr>
              <w:t>依据</w:t>
            </w:r>
            <w:r>
              <w:rPr>
                <w:rFonts w:hint="eastAsia" w:ascii="宋体" w:eastAsia="宋体" w:cs="宋体"/>
                <w:bCs/>
                <w:sz w:val="21"/>
                <w:szCs w:val="21"/>
                <w:highlight w:val="none"/>
                <w:u w:val="none"/>
                <w:lang w:val="zh-CN" w:eastAsia="zh-CN"/>
              </w:rPr>
              <w:t>复印件并加盖投标人公章。</w:t>
            </w:r>
          </w:p>
        </w:tc>
      </w:tr>
      <w:tr w14:paraId="0F38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131E86F0">
            <w:pPr>
              <w:pStyle w:val="45"/>
              <w:spacing w:line="360" w:lineRule="auto"/>
              <w:ind w:firstLine="0" w:firstLineChars="0"/>
              <w:jc w:val="center"/>
              <w:rPr>
                <w:rFonts w:ascii="宋体" w:eastAsia="宋体" w:cs="宋体"/>
                <w:sz w:val="21"/>
                <w:szCs w:val="21"/>
              </w:rPr>
            </w:pPr>
            <w:r>
              <w:rPr>
                <w:rFonts w:hint="eastAsia" w:ascii="宋体" w:eastAsia="宋体" w:cs="宋体"/>
                <w:sz w:val="21"/>
                <w:szCs w:val="21"/>
                <w:u w:val="none"/>
                <w:lang w:val="en-US" w:eastAsia="zh-CN"/>
              </w:rPr>
              <w:t>5</w:t>
            </w:r>
          </w:p>
        </w:tc>
        <w:tc>
          <w:tcPr>
            <w:tcW w:w="1491" w:type="dxa"/>
            <w:tcBorders>
              <w:top w:val="single" w:color="auto" w:sz="4" w:space="0"/>
              <w:left w:val="single" w:color="auto" w:sz="4" w:space="0"/>
              <w:bottom w:val="single" w:color="auto" w:sz="4" w:space="0"/>
              <w:right w:val="single" w:color="auto" w:sz="4" w:space="0"/>
            </w:tcBorders>
            <w:vAlign w:val="center"/>
          </w:tcPr>
          <w:p w14:paraId="0BEBA219">
            <w:pPr>
              <w:pStyle w:val="45"/>
              <w:spacing w:line="360" w:lineRule="auto"/>
              <w:ind w:firstLine="0" w:firstLineChars="0"/>
              <w:jc w:val="center"/>
              <w:rPr>
                <w:rFonts w:ascii="宋体" w:eastAsia="宋体" w:cs="宋体"/>
                <w:sz w:val="21"/>
                <w:szCs w:val="21"/>
                <w:u w:val="single"/>
              </w:rPr>
            </w:pPr>
            <w:r>
              <w:rPr>
                <w:rFonts w:hint="eastAsia" w:ascii="宋体" w:eastAsia="宋体" w:cs="宋体"/>
                <w:sz w:val="21"/>
                <w:szCs w:val="21"/>
                <w:u w:val="none"/>
                <w:lang w:val="en-US" w:eastAsia="zh-CN"/>
              </w:rPr>
              <w:t>承销人员及销售资源配备</w:t>
            </w:r>
          </w:p>
        </w:tc>
        <w:tc>
          <w:tcPr>
            <w:tcW w:w="742" w:type="dxa"/>
            <w:tcBorders>
              <w:top w:val="single" w:color="auto" w:sz="4" w:space="0"/>
              <w:left w:val="single" w:color="auto" w:sz="4" w:space="0"/>
              <w:bottom w:val="single" w:color="auto" w:sz="4" w:space="0"/>
              <w:right w:val="single" w:color="auto" w:sz="4" w:space="0"/>
            </w:tcBorders>
            <w:vAlign w:val="center"/>
          </w:tcPr>
          <w:p w14:paraId="559DDF81">
            <w:pPr>
              <w:jc w:val="center"/>
              <w:rPr>
                <w:u w:val="single"/>
              </w:rPr>
            </w:pPr>
            <w:r>
              <w:rPr>
                <w:rFonts w:hint="eastAsia" w:ascii="宋体" w:hAnsi="宋体" w:cs="宋体"/>
                <w:sz w:val="21"/>
                <w:szCs w:val="21"/>
                <w:highlight w:val="none"/>
                <w:u w:val="none"/>
                <w:lang w:val="en-US" w:eastAsia="zh-CN"/>
              </w:rPr>
              <w:t>20分</w:t>
            </w:r>
          </w:p>
        </w:tc>
        <w:tc>
          <w:tcPr>
            <w:tcW w:w="5599" w:type="dxa"/>
            <w:tcBorders>
              <w:top w:val="single" w:color="auto" w:sz="4" w:space="0"/>
              <w:left w:val="single" w:color="auto" w:sz="4" w:space="0"/>
              <w:bottom w:val="single" w:color="auto" w:sz="4" w:space="0"/>
              <w:right w:val="single" w:color="auto" w:sz="4" w:space="0"/>
            </w:tcBorders>
            <w:vAlign w:val="center"/>
          </w:tcPr>
          <w:p w14:paraId="326F6166">
            <w:pPr>
              <w:adjustRightInd/>
              <w:snapToGrid/>
              <w:ind w:firstLine="420" w:firstLineChars="200"/>
              <w:rPr>
                <w:rFonts w:hint="eastAsia" w:ascii="宋体" w:hAnsi="宋体" w:cs="宋体"/>
                <w:sz w:val="21"/>
                <w:szCs w:val="21"/>
                <w:highlight w:val="none"/>
                <w:u w:val="none"/>
                <w:lang w:val="zh-CN" w:eastAsia="zh-CN"/>
              </w:rPr>
            </w:pPr>
            <w:r>
              <w:rPr>
                <w:rFonts w:hint="eastAsia" w:ascii="宋体" w:hAnsi="宋体" w:cs="宋体"/>
                <w:sz w:val="21"/>
                <w:szCs w:val="21"/>
                <w:highlight w:val="none"/>
                <w:u w:val="none"/>
                <w:lang w:val="zh-CN" w:eastAsia="zh-CN"/>
              </w:rPr>
              <w:t>（1）投标人或其所属金融机构拟投入本</w:t>
            </w:r>
            <w:r>
              <w:rPr>
                <w:rFonts w:hint="eastAsia" w:ascii="宋体" w:eastAsia="宋体" w:cs="宋体"/>
                <w:bCs/>
                <w:sz w:val="21"/>
                <w:szCs w:val="21"/>
                <w:highlight w:val="none"/>
                <w:u w:val="none"/>
                <w:lang w:val="en-US" w:eastAsia="zh-CN"/>
              </w:rPr>
              <w:t>超短期融资券</w:t>
            </w:r>
            <w:r>
              <w:rPr>
                <w:rFonts w:hint="eastAsia" w:ascii="宋体" w:hAnsi="宋体" w:cs="宋体"/>
                <w:sz w:val="21"/>
                <w:szCs w:val="21"/>
                <w:highlight w:val="none"/>
                <w:u w:val="none"/>
                <w:lang w:val="zh-CN" w:eastAsia="zh-CN"/>
              </w:rPr>
              <w:t>注册发行的服务团队人员情况（</w:t>
            </w:r>
            <w:r>
              <w:rPr>
                <w:rFonts w:hint="eastAsia" w:ascii="宋体" w:hAnsi="宋体" w:cs="宋体"/>
                <w:sz w:val="21"/>
                <w:szCs w:val="21"/>
                <w:highlight w:val="none"/>
                <w:u w:val="none"/>
                <w:lang w:val="en-US" w:eastAsia="zh-CN"/>
              </w:rPr>
              <w:t>12</w:t>
            </w:r>
            <w:r>
              <w:rPr>
                <w:rFonts w:hint="eastAsia" w:ascii="宋体" w:hAnsi="宋体" w:cs="宋体"/>
                <w:sz w:val="21"/>
                <w:szCs w:val="21"/>
                <w:highlight w:val="none"/>
                <w:u w:val="none"/>
                <w:lang w:val="zh-CN" w:eastAsia="zh-CN"/>
              </w:rPr>
              <w:t>分）</w:t>
            </w:r>
          </w:p>
          <w:p w14:paraId="36821BF8">
            <w:pPr>
              <w:adjustRightInd/>
              <w:snapToGrid/>
              <w:ind w:firstLine="420" w:firstLineChars="200"/>
              <w:rPr>
                <w:rFonts w:hint="eastAsia" w:ascii="宋体" w:hAnsi="宋体" w:cs="宋体"/>
                <w:sz w:val="21"/>
                <w:szCs w:val="21"/>
                <w:highlight w:val="none"/>
                <w:u w:val="none"/>
                <w:lang w:val="zh-CN" w:eastAsia="zh-CN"/>
              </w:rPr>
            </w:pPr>
            <w:r>
              <w:rPr>
                <w:rFonts w:hint="eastAsia" w:ascii="宋体" w:hAnsi="宋体" w:cs="宋体"/>
                <w:sz w:val="21"/>
                <w:szCs w:val="21"/>
                <w:highlight w:val="none"/>
                <w:u w:val="none"/>
                <w:lang w:val="zh-CN" w:eastAsia="zh-CN"/>
              </w:rPr>
              <w:fldChar w:fldCharType="begin"/>
            </w:r>
            <w:r>
              <w:rPr>
                <w:rFonts w:hint="eastAsia" w:ascii="宋体" w:hAnsi="宋体" w:cs="宋体"/>
                <w:sz w:val="21"/>
                <w:szCs w:val="21"/>
                <w:highlight w:val="none"/>
                <w:u w:val="none"/>
                <w:lang w:val="zh-CN" w:eastAsia="zh-CN"/>
              </w:rPr>
              <w:instrText xml:space="preserve"> = 1 \* GB3 </w:instrText>
            </w:r>
            <w:r>
              <w:rPr>
                <w:rFonts w:hint="eastAsia" w:ascii="宋体" w:hAnsi="宋体" w:cs="宋体"/>
                <w:sz w:val="21"/>
                <w:szCs w:val="21"/>
                <w:highlight w:val="none"/>
                <w:u w:val="none"/>
                <w:lang w:val="zh-CN" w:eastAsia="zh-CN"/>
              </w:rPr>
              <w:fldChar w:fldCharType="separate"/>
            </w:r>
            <w:r>
              <w:rPr>
                <w:rFonts w:hint="eastAsia" w:ascii="宋体" w:hAnsi="宋体" w:cs="宋体"/>
                <w:sz w:val="21"/>
                <w:szCs w:val="21"/>
                <w:highlight w:val="none"/>
                <w:u w:val="none"/>
                <w:lang w:val="zh-CN" w:eastAsia="zh-CN"/>
              </w:rPr>
              <w:t>①</w:t>
            </w:r>
            <w:r>
              <w:rPr>
                <w:rFonts w:hint="eastAsia" w:ascii="宋体" w:hAnsi="宋体" w:cs="宋体"/>
                <w:sz w:val="21"/>
                <w:szCs w:val="21"/>
                <w:highlight w:val="none"/>
                <w:u w:val="none"/>
                <w:lang w:val="zh-CN" w:eastAsia="zh-CN"/>
              </w:rPr>
              <w:fldChar w:fldCharType="end"/>
            </w:r>
            <w:r>
              <w:rPr>
                <w:rFonts w:hint="eastAsia" w:ascii="宋体" w:hAnsi="宋体" w:cs="宋体"/>
                <w:sz w:val="21"/>
                <w:szCs w:val="21"/>
                <w:highlight w:val="none"/>
                <w:u w:val="none"/>
                <w:lang w:val="zh-CN" w:eastAsia="zh-CN"/>
              </w:rPr>
              <w:t>项目负责人具有注册会计师资格证书（CPA）或高级经济师资格证书或法律职业资格证书或注册金融分析师（CFA）的</w:t>
            </w:r>
            <w:r>
              <w:rPr>
                <w:rFonts w:hint="eastAsia" w:ascii="宋体" w:hAnsi="宋体" w:cs="宋体"/>
                <w:sz w:val="21"/>
                <w:szCs w:val="21"/>
                <w:highlight w:val="none"/>
                <w:u w:val="none"/>
                <w:lang w:val="en-US" w:eastAsia="zh-CN"/>
              </w:rPr>
              <w:t>得4分</w:t>
            </w:r>
            <w:r>
              <w:rPr>
                <w:rFonts w:hint="eastAsia" w:ascii="宋体" w:hAnsi="宋体" w:cs="宋体"/>
                <w:sz w:val="21"/>
                <w:szCs w:val="21"/>
                <w:highlight w:val="none"/>
                <w:u w:val="none"/>
                <w:lang w:val="zh-CN" w:eastAsia="zh-CN"/>
              </w:rPr>
              <w:t>。</w:t>
            </w:r>
          </w:p>
          <w:p w14:paraId="5BEEACF7">
            <w:pPr>
              <w:adjustRightInd/>
              <w:snapToGrid/>
              <w:ind w:firstLine="420" w:firstLineChars="200"/>
              <w:rPr>
                <w:rFonts w:hint="default" w:ascii="宋体" w:hAnsi="宋体" w:cs="宋体"/>
                <w:sz w:val="21"/>
                <w:szCs w:val="21"/>
                <w:highlight w:val="none"/>
                <w:u w:val="none"/>
                <w:lang w:val="en-US" w:eastAsia="zh-CN"/>
              </w:rPr>
            </w:pPr>
            <w:r>
              <w:rPr>
                <w:rFonts w:hint="eastAsia" w:ascii="宋体" w:hAnsi="宋体" w:cs="宋体"/>
                <w:sz w:val="21"/>
                <w:szCs w:val="21"/>
                <w:highlight w:val="none"/>
                <w:u w:val="none"/>
                <w:lang w:val="zh-CN" w:eastAsia="zh-CN"/>
              </w:rPr>
              <w:fldChar w:fldCharType="begin"/>
            </w:r>
            <w:r>
              <w:rPr>
                <w:rFonts w:hint="eastAsia" w:ascii="宋体" w:hAnsi="宋体" w:cs="宋体"/>
                <w:sz w:val="21"/>
                <w:szCs w:val="21"/>
                <w:highlight w:val="none"/>
                <w:u w:val="none"/>
                <w:lang w:val="zh-CN" w:eastAsia="zh-CN"/>
              </w:rPr>
              <w:instrText xml:space="preserve"> = 2 \* GB3 </w:instrText>
            </w:r>
            <w:r>
              <w:rPr>
                <w:rFonts w:hint="eastAsia" w:ascii="宋体" w:hAnsi="宋体" w:cs="宋体"/>
                <w:sz w:val="21"/>
                <w:szCs w:val="21"/>
                <w:highlight w:val="none"/>
                <w:u w:val="none"/>
                <w:lang w:val="zh-CN" w:eastAsia="zh-CN"/>
              </w:rPr>
              <w:fldChar w:fldCharType="separate"/>
            </w:r>
            <w:r>
              <w:rPr>
                <w:rFonts w:hint="eastAsia" w:ascii="宋体" w:hAnsi="宋体" w:cs="宋体"/>
                <w:sz w:val="21"/>
                <w:szCs w:val="21"/>
                <w:highlight w:val="none"/>
                <w:u w:val="none"/>
                <w:lang w:val="zh-CN" w:eastAsia="zh-CN"/>
              </w:rPr>
              <w:t>②</w:t>
            </w:r>
            <w:r>
              <w:rPr>
                <w:rFonts w:hint="eastAsia" w:ascii="宋体" w:hAnsi="宋体" w:cs="宋体"/>
                <w:sz w:val="21"/>
                <w:szCs w:val="21"/>
                <w:highlight w:val="none"/>
                <w:u w:val="none"/>
                <w:lang w:val="zh-CN" w:eastAsia="zh-CN"/>
              </w:rPr>
              <w:fldChar w:fldCharType="end"/>
            </w:r>
            <w:r>
              <w:rPr>
                <w:rFonts w:hint="eastAsia" w:ascii="宋体" w:hAnsi="宋体" w:cs="宋体"/>
                <w:sz w:val="21"/>
                <w:szCs w:val="21"/>
                <w:highlight w:val="none"/>
                <w:u w:val="none"/>
                <w:lang w:val="zh-CN" w:eastAsia="zh-CN"/>
              </w:rPr>
              <w:t>项目的服务团队人员（除项目负责人以外）具有</w:t>
            </w:r>
            <w:r>
              <w:rPr>
                <w:rFonts w:hint="eastAsia" w:ascii="宋体" w:hAnsi="宋体" w:eastAsia="宋体" w:cs="宋体"/>
                <w:kern w:val="2"/>
                <w:sz w:val="22"/>
                <w:szCs w:val="22"/>
                <w:highlight w:val="none"/>
                <w:lang w:val="en-US" w:eastAsia="zh-CN" w:bidi="ar-SA"/>
              </w:rPr>
              <w:t>证券从业资格证</w:t>
            </w:r>
            <w:r>
              <w:rPr>
                <w:rFonts w:hint="eastAsia" w:ascii="宋体" w:hAnsi="宋体" w:cs="宋体"/>
                <w:kern w:val="2"/>
                <w:sz w:val="22"/>
                <w:szCs w:val="22"/>
                <w:highlight w:val="none"/>
                <w:lang w:val="en-US" w:eastAsia="zh-CN" w:bidi="ar-SA"/>
              </w:rPr>
              <w:t>或</w:t>
            </w:r>
            <w:r>
              <w:rPr>
                <w:rFonts w:hint="eastAsia" w:ascii="宋体" w:hAnsi="宋体" w:cs="宋体"/>
                <w:sz w:val="21"/>
                <w:szCs w:val="21"/>
                <w:highlight w:val="none"/>
                <w:u w:val="none"/>
                <w:lang w:val="zh-CN" w:eastAsia="zh-CN"/>
              </w:rPr>
              <w:t>中级或以上经济师资格证或注册会计师资格证书（CPA）或法律职业资格证书或注册金融分析师（CFA）的，每</w:t>
            </w:r>
            <w:r>
              <w:rPr>
                <w:rFonts w:hint="eastAsia" w:ascii="宋体" w:hAnsi="宋体" w:cs="宋体"/>
                <w:sz w:val="21"/>
                <w:szCs w:val="21"/>
                <w:highlight w:val="none"/>
                <w:u w:val="none"/>
                <w:lang w:val="en-US" w:eastAsia="zh-CN"/>
              </w:rPr>
              <w:t>提供</w:t>
            </w:r>
            <w:r>
              <w:rPr>
                <w:rFonts w:hint="eastAsia" w:ascii="宋体" w:hAnsi="宋体" w:cs="宋体"/>
                <w:sz w:val="21"/>
                <w:szCs w:val="21"/>
                <w:highlight w:val="none"/>
                <w:u w:val="none"/>
                <w:lang w:val="zh-CN" w:eastAsia="zh-CN"/>
              </w:rPr>
              <w:t>一个得</w:t>
            </w:r>
            <w:r>
              <w:rPr>
                <w:rFonts w:hint="eastAsia" w:ascii="宋体" w:hAnsi="宋体" w:cs="宋体"/>
                <w:sz w:val="21"/>
                <w:szCs w:val="21"/>
                <w:highlight w:val="none"/>
                <w:u w:val="none"/>
                <w:lang w:val="en-US" w:eastAsia="zh-CN"/>
              </w:rPr>
              <w:t>2</w:t>
            </w:r>
            <w:r>
              <w:rPr>
                <w:rFonts w:hint="eastAsia" w:ascii="宋体" w:hAnsi="宋体" w:cs="宋体"/>
                <w:sz w:val="21"/>
                <w:szCs w:val="21"/>
                <w:highlight w:val="none"/>
                <w:u w:val="none"/>
                <w:lang w:val="zh-CN" w:eastAsia="zh-CN"/>
              </w:rPr>
              <w:t>分，本子项满分</w:t>
            </w:r>
            <w:r>
              <w:rPr>
                <w:rFonts w:hint="eastAsia" w:ascii="宋体" w:hAnsi="宋体" w:cs="宋体"/>
                <w:sz w:val="21"/>
                <w:szCs w:val="21"/>
                <w:highlight w:val="none"/>
                <w:u w:val="none"/>
                <w:lang w:val="en-US" w:eastAsia="zh-CN"/>
              </w:rPr>
              <w:t>8</w:t>
            </w:r>
            <w:r>
              <w:rPr>
                <w:rFonts w:hint="eastAsia" w:ascii="宋体" w:hAnsi="宋体" w:cs="宋体"/>
                <w:sz w:val="21"/>
                <w:szCs w:val="21"/>
                <w:highlight w:val="none"/>
                <w:u w:val="none"/>
                <w:lang w:val="zh-CN" w:eastAsia="zh-CN"/>
              </w:rPr>
              <w:t>分。（</w:t>
            </w:r>
            <w:r>
              <w:rPr>
                <w:rFonts w:hint="eastAsia" w:ascii="宋体" w:hAnsi="宋体" w:cs="宋体"/>
                <w:sz w:val="21"/>
                <w:szCs w:val="21"/>
                <w:highlight w:val="none"/>
                <w:u w:val="none"/>
                <w:lang w:val="en-US" w:eastAsia="zh-CN"/>
              </w:rPr>
              <w:t>同一人具有多个证书不重复得分，每人最多得2分</w:t>
            </w:r>
            <w:r>
              <w:rPr>
                <w:rFonts w:hint="eastAsia" w:ascii="宋体" w:hAnsi="宋体" w:cs="宋体"/>
                <w:sz w:val="21"/>
                <w:szCs w:val="21"/>
                <w:highlight w:val="none"/>
                <w:u w:val="none"/>
                <w:lang w:val="zh-CN" w:eastAsia="zh-CN"/>
              </w:rPr>
              <w:t>）</w:t>
            </w:r>
            <w:r>
              <w:rPr>
                <w:rFonts w:hint="eastAsia" w:ascii="宋体" w:hAnsi="宋体" w:cs="宋体"/>
                <w:sz w:val="21"/>
                <w:szCs w:val="21"/>
                <w:highlight w:val="none"/>
                <w:u w:val="none"/>
                <w:lang w:val="en-US" w:eastAsia="zh-CN"/>
              </w:rPr>
              <w:t xml:space="preserve">  </w:t>
            </w:r>
          </w:p>
          <w:p w14:paraId="1F589CF9">
            <w:pPr>
              <w:adjustRightInd/>
              <w:snapToGrid/>
              <w:ind w:firstLine="420" w:firstLineChars="200"/>
              <w:rPr>
                <w:rFonts w:hint="eastAsia" w:ascii="宋体" w:hAnsi="宋体" w:cs="宋体"/>
                <w:sz w:val="21"/>
                <w:szCs w:val="21"/>
                <w:highlight w:val="none"/>
                <w:u w:val="none"/>
                <w:lang w:val="zh-CN" w:eastAsia="zh-CN"/>
              </w:rPr>
            </w:pPr>
            <w:r>
              <w:rPr>
                <w:rFonts w:hint="eastAsia" w:ascii="宋体" w:hAnsi="宋体" w:cs="宋体"/>
                <w:sz w:val="21"/>
                <w:szCs w:val="21"/>
                <w:highlight w:val="none"/>
                <w:u w:val="none"/>
                <w:lang w:val="zh-CN" w:eastAsia="zh-CN"/>
              </w:rPr>
              <w:t>（2）投标人或其所属金融机构拟投入本</w:t>
            </w:r>
            <w:r>
              <w:rPr>
                <w:rFonts w:hint="eastAsia" w:ascii="宋体" w:eastAsia="宋体" w:cs="宋体"/>
                <w:bCs/>
                <w:sz w:val="21"/>
                <w:szCs w:val="21"/>
                <w:highlight w:val="none"/>
                <w:u w:val="none"/>
                <w:lang w:val="en-US" w:eastAsia="zh-CN"/>
              </w:rPr>
              <w:t>超短期融资券</w:t>
            </w:r>
            <w:r>
              <w:rPr>
                <w:rFonts w:hint="eastAsia" w:ascii="宋体" w:hAnsi="宋体" w:cs="宋体"/>
                <w:sz w:val="21"/>
                <w:szCs w:val="21"/>
                <w:highlight w:val="none"/>
                <w:u w:val="none"/>
                <w:lang w:val="zh-CN" w:eastAsia="zh-CN"/>
              </w:rPr>
              <w:t>发行项目的</w:t>
            </w:r>
            <w:r>
              <w:rPr>
                <w:rFonts w:hint="eastAsia" w:ascii="宋体" w:hAnsi="宋体" w:eastAsia="宋体" w:cs="宋体"/>
                <w:kern w:val="2"/>
                <w:sz w:val="22"/>
                <w:szCs w:val="22"/>
                <w:highlight w:val="none"/>
                <w:lang w:val="en-US" w:eastAsia="zh-CN" w:bidi="ar-SA"/>
              </w:rPr>
              <w:t>服务团队人员</w:t>
            </w:r>
            <w:r>
              <w:rPr>
                <w:rFonts w:hint="eastAsia" w:ascii="宋体" w:hAnsi="宋体" w:cs="宋体"/>
                <w:sz w:val="21"/>
                <w:szCs w:val="21"/>
                <w:highlight w:val="none"/>
                <w:u w:val="none"/>
                <w:lang w:val="zh-CN" w:eastAsia="zh-CN"/>
              </w:rPr>
              <w:t>业绩情况（</w:t>
            </w:r>
            <w:r>
              <w:rPr>
                <w:rFonts w:hint="eastAsia" w:ascii="宋体" w:hAnsi="宋体" w:cs="宋体"/>
                <w:sz w:val="21"/>
                <w:szCs w:val="21"/>
                <w:highlight w:val="none"/>
                <w:u w:val="none"/>
                <w:lang w:val="en-US" w:eastAsia="zh-CN"/>
              </w:rPr>
              <w:t>4</w:t>
            </w:r>
            <w:r>
              <w:rPr>
                <w:rFonts w:hint="eastAsia" w:ascii="宋体" w:hAnsi="宋体" w:cs="宋体"/>
                <w:sz w:val="21"/>
                <w:szCs w:val="21"/>
                <w:highlight w:val="none"/>
                <w:u w:val="none"/>
                <w:lang w:val="zh-CN" w:eastAsia="zh-CN"/>
              </w:rPr>
              <w:t>分）</w:t>
            </w:r>
          </w:p>
          <w:p w14:paraId="51D51020">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cs="宋体"/>
                <w:sz w:val="21"/>
                <w:szCs w:val="21"/>
                <w:highlight w:val="none"/>
                <w:u w:val="none"/>
                <w:lang w:val="zh-CN" w:eastAsia="zh-CN"/>
              </w:rPr>
            </w:pPr>
            <w:r>
              <w:rPr>
                <w:rFonts w:hint="eastAsia" w:ascii="宋体" w:hAnsi="宋体" w:eastAsia="宋体" w:cs="宋体"/>
                <w:kern w:val="2"/>
                <w:sz w:val="22"/>
                <w:szCs w:val="22"/>
                <w:highlight w:val="none"/>
                <w:lang w:val="en-US" w:eastAsia="zh-CN" w:bidi="ar-SA"/>
              </w:rPr>
              <w:t>服务</w:t>
            </w:r>
            <w:r>
              <w:rPr>
                <w:rFonts w:hint="eastAsia" w:ascii="宋体" w:hAnsi="宋体" w:eastAsia="宋体" w:cs="宋体"/>
                <w:kern w:val="2"/>
                <w:sz w:val="22"/>
                <w:szCs w:val="22"/>
                <w:highlight w:val="none"/>
                <w:lang w:val="zh-CN" w:eastAsia="zh-CN" w:bidi="ar-SA"/>
              </w:rPr>
              <w:t>团队人员参与银行间债券市场非金融企业债务融资工具（中票、超短融、短融等）承销</w:t>
            </w:r>
            <w:r>
              <w:rPr>
                <w:rFonts w:hint="eastAsia" w:ascii="宋体" w:hAnsi="宋体" w:eastAsia="宋体" w:cs="宋体"/>
                <w:kern w:val="2"/>
                <w:sz w:val="22"/>
                <w:szCs w:val="22"/>
                <w:highlight w:val="none"/>
                <w:lang w:val="en-US" w:eastAsia="zh-CN" w:bidi="ar-SA"/>
              </w:rPr>
              <w:t>项目的业绩，每提供一个得2分，本子项最高得4分。</w:t>
            </w:r>
          </w:p>
          <w:p w14:paraId="132FFC8A">
            <w:pPr>
              <w:adjustRightInd/>
              <w:snapToGrid/>
              <w:ind w:firstLine="420" w:firstLineChars="200"/>
              <w:rPr>
                <w:rFonts w:hint="eastAsia" w:ascii="宋体" w:hAnsi="宋体" w:cs="宋体"/>
                <w:sz w:val="21"/>
                <w:szCs w:val="21"/>
                <w:highlight w:val="none"/>
                <w:u w:val="none"/>
                <w:lang w:val="zh-CN" w:eastAsia="zh-CN"/>
              </w:rPr>
            </w:pPr>
            <w:r>
              <w:rPr>
                <w:rFonts w:hint="eastAsia" w:ascii="宋体" w:hAnsi="宋体" w:cs="宋体"/>
                <w:sz w:val="21"/>
                <w:szCs w:val="21"/>
                <w:highlight w:val="none"/>
                <w:u w:val="none"/>
                <w:lang w:val="zh-CN" w:eastAsia="zh-CN"/>
              </w:rPr>
              <w:t>（3）在册的交易商协会注册专家及借调交易商协会人数情况（</w:t>
            </w:r>
            <w:r>
              <w:rPr>
                <w:rFonts w:hint="eastAsia" w:ascii="宋体" w:hAnsi="宋体" w:cs="宋体"/>
                <w:sz w:val="21"/>
                <w:szCs w:val="21"/>
                <w:highlight w:val="none"/>
                <w:u w:val="none"/>
                <w:lang w:val="en-US" w:eastAsia="zh-CN"/>
              </w:rPr>
              <w:t>4</w:t>
            </w:r>
            <w:r>
              <w:rPr>
                <w:rFonts w:hint="eastAsia" w:ascii="宋体" w:hAnsi="宋体" w:cs="宋体"/>
                <w:sz w:val="21"/>
                <w:szCs w:val="21"/>
                <w:highlight w:val="none"/>
                <w:u w:val="none"/>
                <w:lang w:val="zh-CN" w:eastAsia="zh-CN"/>
              </w:rPr>
              <w:t>分）</w:t>
            </w:r>
          </w:p>
          <w:p w14:paraId="2AF1D15A">
            <w:pPr>
              <w:adjustRightInd/>
              <w:snapToGrid/>
              <w:ind w:firstLine="420" w:firstLineChars="200"/>
              <w:rPr>
                <w:rFonts w:hint="eastAsia" w:ascii="宋体" w:hAnsi="宋体" w:cs="宋体"/>
                <w:sz w:val="21"/>
                <w:szCs w:val="21"/>
                <w:highlight w:val="none"/>
                <w:u w:val="none"/>
                <w:lang w:val="zh-CN" w:eastAsia="zh-CN"/>
              </w:rPr>
            </w:pPr>
            <w:r>
              <w:rPr>
                <w:rFonts w:hint="eastAsia" w:ascii="宋体" w:hAnsi="宋体" w:cs="宋体"/>
                <w:sz w:val="21"/>
                <w:szCs w:val="21"/>
                <w:highlight w:val="none"/>
                <w:u w:val="none"/>
                <w:lang w:val="zh-CN" w:eastAsia="zh-CN"/>
              </w:rPr>
              <w:t>根据投标人或其所属金融机构在交易商协会的注册专家及借调交易商协会人员人数（借调期间需包含投标截止前一日）。每一个人得</w:t>
            </w:r>
            <w:r>
              <w:rPr>
                <w:rFonts w:hint="eastAsia" w:ascii="宋体" w:hAnsi="宋体" w:cs="宋体"/>
                <w:sz w:val="21"/>
                <w:szCs w:val="21"/>
                <w:highlight w:val="none"/>
                <w:u w:val="none"/>
                <w:lang w:val="en-US" w:eastAsia="zh-CN"/>
              </w:rPr>
              <w:t>2</w:t>
            </w:r>
            <w:r>
              <w:rPr>
                <w:rFonts w:hint="eastAsia" w:ascii="宋体" w:hAnsi="宋体" w:cs="宋体"/>
                <w:sz w:val="21"/>
                <w:szCs w:val="21"/>
                <w:highlight w:val="none"/>
                <w:u w:val="none"/>
                <w:lang w:val="zh-CN" w:eastAsia="zh-CN"/>
              </w:rPr>
              <w:t>分，本子项最高得</w:t>
            </w:r>
            <w:r>
              <w:rPr>
                <w:rFonts w:hint="eastAsia" w:ascii="宋体" w:hAnsi="宋体" w:cs="宋体"/>
                <w:sz w:val="21"/>
                <w:szCs w:val="21"/>
                <w:highlight w:val="none"/>
                <w:u w:val="none"/>
                <w:lang w:val="en-US" w:eastAsia="zh-CN"/>
              </w:rPr>
              <w:t>4</w:t>
            </w:r>
            <w:r>
              <w:rPr>
                <w:rFonts w:hint="eastAsia" w:ascii="宋体" w:hAnsi="宋体" w:cs="宋体"/>
                <w:sz w:val="21"/>
                <w:szCs w:val="21"/>
                <w:highlight w:val="none"/>
                <w:u w:val="none"/>
                <w:lang w:val="zh-CN" w:eastAsia="zh-CN"/>
              </w:rPr>
              <w:t xml:space="preserve">分。 </w:t>
            </w:r>
          </w:p>
          <w:p w14:paraId="6A35D9A7">
            <w:pPr>
              <w:adjustRightInd/>
              <w:snapToGrid/>
              <w:ind w:firstLine="420" w:firstLineChars="200"/>
              <w:rPr>
                <w:rFonts w:hint="eastAsia" w:ascii="宋体" w:hAnsi="宋体" w:cs="宋体"/>
                <w:sz w:val="21"/>
                <w:szCs w:val="21"/>
                <w:u w:val="none"/>
                <w:lang w:val="zh-CN" w:eastAsia="zh-CN"/>
              </w:rPr>
            </w:pPr>
            <w:r>
              <w:rPr>
                <w:rFonts w:hint="eastAsia" w:ascii="宋体" w:hAnsi="宋体" w:cs="宋体"/>
                <w:sz w:val="21"/>
                <w:szCs w:val="21"/>
                <w:u w:val="none"/>
                <w:lang w:val="zh-CN" w:eastAsia="zh-CN"/>
              </w:rPr>
              <w:t>【备注】</w:t>
            </w:r>
          </w:p>
          <w:p w14:paraId="68A70EEA">
            <w:pPr>
              <w:adjustRightInd/>
              <w:snapToGrid/>
              <w:ind w:firstLine="420" w:firstLineChars="200"/>
              <w:rPr>
                <w:rFonts w:hint="eastAsia" w:ascii="宋体" w:hAnsi="宋体" w:cs="宋体"/>
                <w:sz w:val="21"/>
                <w:szCs w:val="21"/>
                <w:highlight w:val="none"/>
                <w:u w:val="none"/>
                <w:lang w:val="zh-CN" w:eastAsia="zh-CN"/>
              </w:rPr>
            </w:pPr>
            <w:r>
              <w:rPr>
                <w:rFonts w:hint="eastAsia" w:ascii="宋体" w:hAnsi="宋体" w:cs="宋体"/>
                <w:sz w:val="21"/>
                <w:szCs w:val="21"/>
                <w:u w:val="none"/>
                <w:lang w:val="zh-CN" w:eastAsia="zh-CN"/>
              </w:rPr>
              <w:fldChar w:fldCharType="begin"/>
            </w:r>
            <w:r>
              <w:rPr>
                <w:rFonts w:hint="eastAsia" w:ascii="宋体" w:hAnsi="宋体" w:cs="宋体"/>
                <w:sz w:val="21"/>
                <w:szCs w:val="21"/>
                <w:u w:val="none"/>
                <w:lang w:val="zh-CN" w:eastAsia="zh-CN"/>
              </w:rPr>
              <w:instrText xml:space="preserve"> = 1 \* GB3 </w:instrText>
            </w:r>
            <w:r>
              <w:rPr>
                <w:rFonts w:hint="eastAsia" w:ascii="宋体" w:hAnsi="宋体" w:cs="宋体"/>
                <w:sz w:val="21"/>
                <w:szCs w:val="21"/>
                <w:u w:val="none"/>
                <w:lang w:val="zh-CN" w:eastAsia="zh-CN"/>
              </w:rPr>
              <w:fldChar w:fldCharType="separate"/>
            </w:r>
            <w:r>
              <w:rPr>
                <w:rFonts w:hint="eastAsia" w:ascii="宋体" w:hAnsi="宋体" w:cs="宋体"/>
                <w:sz w:val="21"/>
                <w:szCs w:val="21"/>
                <w:u w:val="none"/>
                <w:lang w:val="zh-CN" w:eastAsia="zh-CN"/>
              </w:rPr>
              <w:t>①</w:t>
            </w:r>
            <w:r>
              <w:rPr>
                <w:rFonts w:hint="eastAsia" w:ascii="宋体" w:hAnsi="宋体" w:cs="宋体"/>
                <w:sz w:val="21"/>
                <w:szCs w:val="21"/>
                <w:u w:val="none"/>
                <w:lang w:val="zh-CN" w:eastAsia="zh-CN"/>
              </w:rPr>
              <w:fldChar w:fldCharType="end"/>
            </w:r>
            <w:r>
              <w:rPr>
                <w:rFonts w:hint="eastAsia" w:ascii="宋体" w:hAnsi="宋体" w:cs="宋体"/>
                <w:sz w:val="21"/>
                <w:szCs w:val="21"/>
                <w:u w:val="none"/>
                <w:lang w:val="zh-CN" w:eastAsia="zh-CN"/>
              </w:rPr>
              <w:t>需提供有效证书或证明材料复印件并加盖投标人公章。</w:t>
            </w:r>
          </w:p>
          <w:p w14:paraId="3D3080AA">
            <w:pPr>
              <w:adjustRightInd/>
              <w:snapToGrid/>
              <w:ind w:firstLine="420" w:firstLineChars="200"/>
              <w:rPr>
                <w:rFonts w:hint="eastAsia" w:ascii="宋体" w:hAnsi="宋体" w:cs="宋体"/>
                <w:sz w:val="21"/>
                <w:szCs w:val="21"/>
                <w:u w:val="none"/>
                <w:lang w:val="zh-CN" w:eastAsia="zh-CN"/>
              </w:rPr>
            </w:pPr>
            <w:r>
              <w:rPr>
                <w:rFonts w:hint="eastAsia" w:ascii="宋体" w:hAnsi="宋体" w:cs="宋体"/>
                <w:sz w:val="21"/>
                <w:szCs w:val="21"/>
                <w:highlight w:val="none"/>
                <w:u w:val="none"/>
                <w:lang w:val="zh-CN" w:eastAsia="zh-CN"/>
              </w:rPr>
              <w:fldChar w:fldCharType="begin"/>
            </w:r>
            <w:r>
              <w:rPr>
                <w:rFonts w:hint="eastAsia" w:ascii="宋体" w:hAnsi="宋体" w:cs="宋体"/>
                <w:sz w:val="21"/>
                <w:szCs w:val="21"/>
                <w:highlight w:val="none"/>
                <w:u w:val="none"/>
                <w:lang w:val="zh-CN" w:eastAsia="zh-CN"/>
              </w:rPr>
              <w:instrText xml:space="preserve"> = 2 \* GB3 </w:instrText>
            </w:r>
            <w:r>
              <w:rPr>
                <w:rFonts w:hint="eastAsia" w:ascii="宋体" w:hAnsi="宋体" w:cs="宋体"/>
                <w:sz w:val="21"/>
                <w:szCs w:val="21"/>
                <w:highlight w:val="none"/>
                <w:u w:val="none"/>
                <w:lang w:val="zh-CN" w:eastAsia="zh-CN"/>
              </w:rPr>
              <w:fldChar w:fldCharType="separate"/>
            </w:r>
            <w:r>
              <w:rPr>
                <w:rFonts w:hint="eastAsia" w:ascii="宋体" w:hAnsi="宋体" w:cs="宋体"/>
                <w:sz w:val="21"/>
                <w:szCs w:val="21"/>
                <w:highlight w:val="none"/>
                <w:u w:val="none"/>
                <w:lang w:val="zh-CN" w:eastAsia="zh-CN"/>
              </w:rPr>
              <w:t>②</w:t>
            </w:r>
            <w:r>
              <w:rPr>
                <w:rFonts w:hint="eastAsia" w:ascii="宋体" w:hAnsi="宋体" w:cs="宋体"/>
                <w:sz w:val="21"/>
                <w:szCs w:val="21"/>
                <w:highlight w:val="none"/>
                <w:u w:val="none"/>
                <w:lang w:val="zh-CN" w:eastAsia="zh-CN"/>
              </w:rPr>
              <w:fldChar w:fldCharType="end"/>
            </w:r>
            <w:r>
              <w:rPr>
                <w:rFonts w:hint="eastAsia" w:ascii="宋体" w:hAnsi="宋体" w:cs="宋体"/>
                <w:sz w:val="21"/>
                <w:szCs w:val="21"/>
                <w:highlight w:val="none"/>
                <w:u w:val="none"/>
                <w:lang w:val="zh-CN" w:eastAsia="zh-CN"/>
              </w:rPr>
              <w:t>业绩需提供佐证材料（反映该人员参与该项目的合同关键页或经甲方盖章</w:t>
            </w:r>
            <w:r>
              <w:rPr>
                <w:rFonts w:hint="eastAsia" w:ascii="宋体" w:hAnsi="宋体" w:cs="宋体"/>
                <w:sz w:val="21"/>
                <w:szCs w:val="21"/>
                <w:u w:val="none"/>
                <w:lang w:val="zh-CN" w:eastAsia="zh-CN"/>
              </w:rPr>
              <w:t>确认的证明材料，以及该项目的发行证明材料）复印件并加盖投标人公章，若发现与事实不符的情况或佐证材料弄虚作假情况，采购人将有权取消其中标资格。</w:t>
            </w:r>
          </w:p>
          <w:p w14:paraId="19632699">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cs="宋体"/>
                <w:sz w:val="21"/>
                <w:szCs w:val="21"/>
                <w:u w:val="none"/>
                <w:lang w:val="zh-CN" w:eastAsia="zh-CN"/>
              </w:rPr>
            </w:pPr>
            <w:r>
              <w:rPr>
                <w:rFonts w:hint="eastAsia" w:ascii="宋体" w:hAnsi="宋体" w:cs="宋体"/>
                <w:sz w:val="21"/>
                <w:szCs w:val="21"/>
                <w:u w:val="none"/>
                <w:lang w:val="zh-CN" w:eastAsia="zh-CN"/>
              </w:rPr>
              <w:t>③协会注册专家及借调人员需提供借调函等证明材料并加盖投标人公章。</w:t>
            </w:r>
          </w:p>
          <w:p w14:paraId="2AF647F1">
            <w:pPr>
              <w:keepNext w:val="0"/>
              <w:keepLines w:val="0"/>
              <w:pageBreakBefore w:val="0"/>
              <w:widowControl/>
              <w:kinsoku/>
              <w:wordWrap/>
              <w:overflowPunct/>
              <w:topLinePunct w:val="0"/>
              <w:autoSpaceDE/>
              <w:autoSpaceDN/>
              <w:bidi w:val="0"/>
              <w:adjustRightInd/>
              <w:snapToGrid/>
              <w:ind w:firstLine="420" w:firstLineChars="200"/>
              <w:textAlignment w:val="auto"/>
              <w:rPr>
                <w:rFonts w:ascii="宋体" w:eastAsia="宋体" w:cs="宋体"/>
                <w:bCs/>
                <w:sz w:val="21"/>
                <w:szCs w:val="21"/>
                <w:u w:val="single"/>
                <w:lang w:val="zh-CN"/>
              </w:rPr>
            </w:pPr>
            <w:r>
              <w:rPr>
                <w:rFonts w:hint="eastAsia" w:ascii="宋体" w:hAnsi="宋体" w:cs="宋体"/>
                <w:sz w:val="21"/>
                <w:szCs w:val="21"/>
                <w:u w:val="none"/>
                <w:lang w:val="zh-CN" w:eastAsia="zh-CN"/>
              </w:rPr>
              <w:t>④拟投入本项目的服务团队人员、交易商协会注册专家及借调人员均需提供投标人或其所属金融机构为其购买的近六个月（开标当月不计算）社保证明材料加盖投标人公章，如为退休返聘人员，须提供退休证明、合法劳务合同（或劳动合同）及投标人为其代缴的个税证明材料加盖投标人公章。</w:t>
            </w:r>
          </w:p>
        </w:tc>
      </w:tr>
      <w:tr w14:paraId="605F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14:paraId="53B48F23">
            <w:pPr>
              <w:keepNext w:val="0"/>
              <w:keepLines w:val="0"/>
              <w:pageBreakBefore w:val="0"/>
              <w:widowControl/>
              <w:kinsoku/>
              <w:wordWrap/>
              <w:overflowPunct/>
              <w:topLinePunct w:val="0"/>
              <w:autoSpaceDE/>
              <w:autoSpaceDN/>
              <w:bidi w:val="0"/>
              <w:adjustRightInd/>
              <w:snapToGrid/>
              <w:ind w:firstLine="422" w:firstLineChars="200"/>
              <w:jc w:val="center"/>
              <w:textAlignment w:val="auto"/>
              <w:rPr>
                <w:rFonts w:hint="eastAsia" w:ascii="宋体" w:hAnsi="宋体" w:cs="宋体"/>
                <w:sz w:val="21"/>
                <w:szCs w:val="21"/>
                <w:u w:val="none"/>
                <w:lang w:val="zh-CN" w:eastAsia="zh-CN"/>
              </w:rPr>
            </w:pPr>
            <w:r>
              <w:rPr>
                <w:rFonts w:hint="eastAsia" w:ascii="宋体" w:eastAsia="宋体" w:cs="宋体"/>
                <w:b/>
                <w:bCs/>
                <w:color w:val="auto"/>
                <w:sz w:val="21"/>
                <w:szCs w:val="21"/>
              </w:rPr>
              <w:t>技术评审（</w:t>
            </w:r>
            <w:r>
              <w:rPr>
                <w:rFonts w:hint="eastAsia" w:ascii="宋体" w:cs="宋体"/>
                <w:b/>
                <w:bCs/>
                <w:color w:val="auto"/>
                <w:sz w:val="21"/>
                <w:szCs w:val="21"/>
                <w:lang w:val="en-US" w:eastAsia="zh-CN"/>
              </w:rPr>
              <w:t>3</w:t>
            </w:r>
            <w:r>
              <w:rPr>
                <w:rFonts w:hint="eastAsia" w:ascii="宋体" w:eastAsia="宋体" w:cs="宋体"/>
                <w:b/>
                <w:bCs/>
                <w:color w:val="auto"/>
                <w:sz w:val="21"/>
                <w:szCs w:val="21"/>
                <w:lang w:val="en-US" w:eastAsia="zh-CN"/>
              </w:rPr>
              <w:t>0</w:t>
            </w:r>
            <w:r>
              <w:rPr>
                <w:rFonts w:hint="eastAsia" w:ascii="宋体" w:eastAsia="宋体" w:cs="宋体"/>
                <w:b/>
                <w:bCs/>
                <w:color w:val="auto"/>
                <w:sz w:val="21"/>
                <w:szCs w:val="21"/>
              </w:rPr>
              <w:t>分）</w:t>
            </w:r>
          </w:p>
        </w:tc>
      </w:tr>
      <w:tr w14:paraId="3698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09905E3">
            <w:pPr>
              <w:pStyle w:val="45"/>
              <w:spacing w:line="360" w:lineRule="auto"/>
              <w:ind w:firstLine="0" w:firstLineChars="0"/>
              <w:jc w:val="center"/>
              <w:rPr>
                <w:rFonts w:hint="eastAsia" w:ascii="宋体" w:eastAsia="宋体" w:cs="宋体"/>
                <w:sz w:val="21"/>
                <w:szCs w:val="21"/>
                <w:lang w:eastAsia="zh-CN"/>
              </w:rPr>
            </w:pPr>
            <w:r>
              <w:rPr>
                <w:rFonts w:hint="eastAsia" w:ascii="宋体" w:eastAsia="宋体" w:cs="宋体"/>
                <w:sz w:val="21"/>
                <w:szCs w:val="21"/>
                <w:highlight w:val="none"/>
                <w:u w:val="none"/>
                <w:lang w:val="en-US" w:eastAsia="zh-CN"/>
              </w:rPr>
              <w:t>6</w:t>
            </w:r>
          </w:p>
        </w:tc>
        <w:tc>
          <w:tcPr>
            <w:tcW w:w="1491" w:type="dxa"/>
            <w:tcBorders>
              <w:top w:val="single" w:color="auto" w:sz="4" w:space="0"/>
              <w:left w:val="single" w:color="auto" w:sz="4" w:space="0"/>
              <w:bottom w:val="single" w:color="auto" w:sz="4" w:space="0"/>
              <w:right w:val="single" w:color="auto" w:sz="4" w:space="0"/>
            </w:tcBorders>
            <w:vAlign w:val="center"/>
          </w:tcPr>
          <w:p w14:paraId="165CD13A">
            <w:pPr>
              <w:widowControl w:val="0"/>
              <w:adjustRightInd/>
              <w:snapToGrid/>
              <w:jc w:val="center"/>
              <w:rPr>
                <w:rFonts w:ascii="宋体" w:hAnsi="宋体" w:cs="宋体"/>
                <w:szCs w:val="21"/>
                <w:u w:val="single"/>
              </w:rPr>
            </w:pPr>
            <w:r>
              <w:rPr>
                <w:rFonts w:hint="eastAsia" w:ascii="宋体" w:hAnsi="宋体" w:cs="宋体"/>
                <w:szCs w:val="21"/>
                <w:highlight w:val="none"/>
                <w:u w:val="none"/>
                <w:lang w:val="en-US" w:eastAsia="zh-CN"/>
              </w:rPr>
              <w:t>对本项目超短期融资券发行背景的认知</w:t>
            </w:r>
          </w:p>
        </w:tc>
        <w:tc>
          <w:tcPr>
            <w:tcW w:w="742" w:type="dxa"/>
            <w:tcBorders>
              <w:top w:val="single" w:color="auto" w:sz="4" w:space="0"/>
              <w:left w:val="single" w:color="auto" w:sz="4" w:space="0"/>
              <w:bottom w:val="single" w:color="auto" w:sz="4" w:space="0"/>
              <w:right w:val="single" w:color="auto" w:sz="4" w:space="0"/>
            </w:tcBorders>
            <w:vAlign w:val="center"/>
          </w:tcPr>
          <w:p w14:paraId="43C14564">
            <w:pPr>
              <w:widowControl w:val="0"/>
              <w:adjustRightInd/>
              <w:snapToGrid/>
              <w:jc w:val="center"/>
              <w:rPr>
                <w:rFonts w:ascii="宋体" w:hAnsi="宋体" w:cs="宋体"/>
                <w:szCs w:val="21"/>
              </w:rPr>
            </w:pPr>
            <w:r>
              <w:rPr>
                <w:rFonts w:hint="eastAsia" w:ascii="宋体" w:hAnsi="宋体" w:cs="宋体"/>
                <w:szCs w:val="21"/>
                <w:highlight w:val="none"/>
                <w:u w:val="none"/>
                <w:lang w:val="en-US" w:eastAsia="zh-CN"/>
              </w:rPr>
              <w:t>10分</w:t>
            </w:r>
          </w:p>
        </w:tc>
        <w:tc>
          <w:tcPr>
            <w:tcW w:w="5599" w:type="dxa"/>
            <w:tcBorders>
              <w:top w:val="single" w:color="auto" w:sz="4" w:space="0"/>
              <w:left w:val="single" w:color="auto" w:sz="4" w:space="0"/>
              <w:bottom w:val="single" w:color="auto" w:sz="4" w:space="0"/>
              <w:right w:val="single" w:color="auto" w:sz="4" w:space="0"/>
            </w:tcBorders>
            <w:vAlign w:val="center"/>
          </w:tcPr>
          <w:p w14:paraId="6DFDEA59">
            <w:pPr>
              <w:adjustRightInd/>
              <w:snapToGrid/>
              <w:ind w:firstLine="420" w:firstLineChars="200"/>
              <w:rPr>
                <w:rFonts w:hint="eastAsia"/>
                <w:sz w:val="21"/>
                <w:szCs w:val="21"/>
                <w:highlight w:val="none"/>
                <w:u w:val="none"/>
                <w:lang w:val="en-US" w:eastAsia="zh-CN" w:bidi="ar-SA"/>
              </w:rPr>
            </w:pPr>
            <w:r>
              <w:rPr>
                <w:rFonts w:hint="eastAsia"/>
                <w:sz w:val="21"/>
                <w:szCs w:val="21"/>
                <w:highlight w:val="none"/>
                <w:u w:val="none"/>
                <w:lang w:val="en-US" w:eastAsia="zh-CN" w:bidi="ar-SA"/>
              </w:rPr>
              <w:t>根据各投标人对本项目</w:t>
            </w:r>
            <w:r>
              <w:rPr>
                <w:rFonts w:hint="eastAsia" w:ascii="宋体" w:cs="宋体"/>
                <w:bCs/>
                <w:sz w:val="21"/>
                <w:szCs w:val="21"/>
                <w:highlight w:val="none"/>
                <w:u w:val="none"/>
                <w:lang w:val="en-US" w:eastAsia="zh-CN"/>
              </w:rPr>
              <w:t>超短期融资券</w:t>
            </w:r>
            <w:r>
              <w:rPr>
                <w:rFonts w:hint="eastAsia"/>
                <w:sz w:val="21"/>
                <w:szCs w:val="21"/>
                <w:highlight w:val="none"/>
                <w:u w:val="none"/>
                <w:lang w:val="en-US" w:eastAsia="zh-CN" w:bidi="ar-SA"/>
              </w:rPr>
              <w:t>发行背景及发行</w:t>
            </w:r>
            <w:r>
              <w:rPr>
                <w:rFonts w:hint="eastAsia" w:ascii="宋体" w:cs="宋体"/>
                <w:bCs/>
                <w:sz w:val="21"/>
                <w:szCs w:val="21"/>
                <w:highlight w:val="none"/>
                <w:u w:val="none"/>
                <w:lang w:val="zh-CN" w:eastAsia="zh-CN"/>
              </w:rPr>
              <w:t>超短期融资券</w:t>
            </w:r>
            <w:r>
              <w:rPr>
                <w:rFonts w:hint="eastAsia"/>
                <w:sz w:val="21"/>
                <w:szCs w:val="21"/>
                <w:highlight w:val="none"/>
                <w:u w:val="none"/>
                <w:lang w:val="en-US" w:eastAsia="zh-CN" w:bidi="ar-SA"/>
              </w:rPr>
              <w:t>的重点及难点的认知，以及对投标机构分析的针对性和合理性进行综合评审。</w:t>
            </w:r>
          </w:p>
          <w:p w14:paraId="1F979925">
            <w:pPr>
              <w:adjustRightInd/>
              <w:snapToGrid/>
              <w:ind w:firstLine="420" w:firstLineChars="200"/>
              <w:rPr>
                <w:rFonts w:hint="default" w:ascii="宋体" w:hAnsi="宋体" w:eastAsia="宋体" w:cs="宋体"/>
                <w:sz w:val="21"/>
                <w:szCs w:val="21"/>
                <w:highlight w:val="none"/>
                <w:u w:val="none"/>
                <w:lang w:val="en-US" w:eastAsia="zh-CN" w:bidi="ar-SA"/>
              </w:rPr>
            </w:pPr>
            <w:r>
              <w:rPr>
                <w:rFonts w:hint="eastAsia" w:ascii="宋体" w:hAnsi="宋体" w:cs="宋体"/>
                <w:sz w:val="21"/>
                <w:szCs w:val="21"/>
                <w:highlight w:val="none"/>
                <w:u w:val="none"/>
                <w:lang w:val="zh-CN" w:eastAsia="zh-CN"/>
              </w:rPr>
              <w:fldChar w:fldCharType="begin"/>
            </w:r>
            <w:r>
              <w:rPr>
                <w:rFonts w:hint="eastAsia" w:ascii="宋体" w:hAnsi="宋体" w:cs="宋体"/>
                <w:sz w:val="21"/>
                <w:szCs w:val="21"/>
                <w:highlight w:val="none"/>
                <w:u w:val="none"/>
                <w:lang w:val="zh-CN" w:eastAsia="zh-CN"/>
              </w:rPr>
              <w:instrText xml:space="preserve"> = 1 \* GB3 </w:instrText>
            </w:r>
            <w:r>
              <w:rPr>
                <w:rFonts w:hint="eastAsia" w:ascii="宋体" w:hAnsi="宋体" w:cs="宋体"/>
                <w:sz w:val="21"/>
                <w:szCs w:val="21"/>
                <w:highlight w:val="none"/>
                <w:u w:val="none"/>
                <w:lang w:val="zh-CN" w:eastAsia="zh-CN"/>
              </w:rPr>
              <w:fldChar w:fldCharType="separate"/>
            </w:r>
            <w:r>
              <w:rPr>
                <w:rFonts w:hint="eastAsia" w:ascii="宋体" w:hAnsi="宋体" w:cs="宋体"/>
                <w:sz w:val="21"/>
                <w:szCs w:val="21"/>
                <w:highlight w:val="none"/>
                <w:u w:val="none"/>
                <w:lang w:val="zh-CN" w:eastAsia="zh-CN"/>
              </w:rPr>
              <w:t>①</w:t>
            </w:r>
            <w:r>
              <w:rPr>
                <w:rFonts w:hint="eastAsia" w:ascii="宋体" w:hAnsi="宋体" w:cs="宋体"/>
                <w:sz w:val="21"/>
                <w:szCs w:val="21"/>
                <w:highlight w:val="none"/>
                <w:u w:val="none"/>
                <w:lang w:val="zh-CN" w:eastAsia="zh-CN"/>
              </w:rPr>
              <w:fldChar w:fldCharType="end"/>
            </w:r>
            <w:r>
              <w:rPr>
                <w:rFonts w:hint="eastAsia" w:ascii="宋体" w:hAnsi="宋体" w:cs="宋体"/>
                <w:sz w:val="21"/>
                <w:szCs w:val="21"/>
                <w:highlight w:val="none"/>
                <w:u w:val="none"/>
                <w:lang w:val="en-US" w:eastAsia="zh-CN" w:bidi="ar-SA"/>
              </w:rPr>
              <w:t>投标人对本项目超短期融资券发行背景认识</w:t>
            </w:r>
            <w:r>
              <w:rPr>
                <w:rFonts w:hint="eastAsia" w:ascii="宋体" w:hAnsi="Calibri" w:eastAsia="宋体" w:cs="宋体"/>
                <w:color w:val="auto"/>
                <w:sz w:val="21"/>
                <w:szCs w:val="21"/>
                <w:highlight w:val="none"/>
                <w:lang w:val="en-US" w:eastAsia="zh-CN" w:bidi="ar-SA"/>
              </w:rPr>
              <w:t>清晰准确，对项目重点难点</w:t>
            </w:r>
            <w:r>
              <w:rPr>
                <w:rFonts w:hint="eastAsia" w:ascii="宋体" w:hAnsi="宋体" w:eastAsia="宋体" w:cs="宋体"/>
                <w:color w:val="auto"/>
                <w:sz w:val="21"/>
                <w:szCs w:val="21"/>
                <w:highlight w:val="none"/>
                <w:lang w:val="zh-CN" w:eastAsia="zh-CN" w:bidi="ar-SA"/>
              </w:rPr>
              <w:t>分析全面、条理清晰、</w:t>
            </w:r>
            <w:r>
              <w:rPr>
                <w:rFonts w:hint="eastAsia" w:ascii="宋体" w:hAnsi="宋体" w:eastAsia="宋体" w:cs="宋体"/>
                <w:color w:val="auto"/>
                <w:sz w:val="21"/>
                <w:szCs w:val="21"/>
                <w:highlight w:val="none"/>
                <w:lang w:val="en-US" w:eastAsia="zh-CN" w:bidi="ar-SA"/>
              </w:rPr>
              <w:t>针对性</w:t>
            </w:r>
            <w:r>
              <w:rPr>
                <w:rFonts w:hint="eastAsia" w:ascii="宋体" w:hAnsi="宋体" w:cs="宋体"/>
                <w:color w:val="auto"/>
                <w:sz w:val="21"/>
                <w:szCs w:val="21"/>
                <w:highlight w:val="none"/>
                <w:lang w:val="en-US" w:eastAsia="zh-CN" w:bidi="ar-SA"/>
              </w:rPr>
              <w:t>强、非常</w:t>
            </w:r>
            <w:r>
              <w:rPr>
                <w:rFonts w:hint="eastAsia" w:ascii="宋体" w:hAnsi="宋体" w:eastAsia="宋体" w:cs="宋体"/>
                <w:color w:val="auto"/>
                <w:sz w:val="21"/>
                <w:szCs w:val="21"/>
                <w:highlight w:val="none"/>
                <w:lang w:val="en-US" w:eastAsia="zh-CN" w:bidi="ar-SA"/>
              </w:rPr>
              <w:t>合理得</w:t>
            </w:r>
            <w:r>
              <w:rPr>
                <w:rFonts w:hint="eastAsia" w:ascii="宋体" w:hAnsi="宋体" w:cs="宋体"/>
                <w:color w:val="auto"/>
                <w:sz w:val="21"/>
                <w:szCs w:val="21"/>
                <w:highlight w:val="none"/>
                <w:lang w:val="en-US" w:eastAsia="zh-CN" w:bidi="ar-SA"/>
              </w:rPr>
              <w:t>10</w:t>
            </w:r>
            <w:r>
              <w:rPr>
                <w:rFonts w:hint="eastAsia" w:ascii="宋体" w:hAnsi="宋体" w:eastAsia="宋体" w:cs="宋体"/>
                <w:color w:val="auto"/>
                <w:sz w:val="21"/>
                <w:szCs w:val="21"/>
                <w:highlight w:val="none"/>
                <w:lang w:val="en-US" w:eastAsia="zh-CN" w:bidi="ar-SA"/>
              </w:rPr>
              <w:t>分；</w:t>
            </w:r>
          </w:p>
          <w:p w14:paraId="01DA7AB7">
            <w:pPr>
              <w:adjustRightInd/>
              <w:snapToGrid/>
              <w:ind w:firstLine="420" w:firstLineChars="200"/>
              <w:rPr>
                <w:rFonts w:hint="eastAsia" w:ascii="宋体" w:hAnsi="宋体" w:eastAsia="宋体" w:cs="宋体"/>
                <w:sz w:val="21"/>
                <w:szCs w:val="21"/>
                <w:highlight w:val="none"/>
                <w:u w:val="none"/>
                <w:lang w:val="en-US" w:eastAsia="zh-CN" w:bidi="ar-SA"/>
              </w:rPr>
            </w:pPr>
            <w:r>
              <w:rPr>
                <w:rFonts w:hint="eastAsia" w:ascii="宋体" w:hAnsi="宋体" w:cs="宋体"/>
                <w:sz w:val="21"/>
                <w:szCs w:val="21"/>
                <w:highlight w:val="none"/>
                <w:u w:val="none"/>
                <w:lang w:val="zh-CN" w:eastAsia="zh-CN"/>
              </w:rPr>
              <w:fldChar w:fldCharType="begin"/>
            </w:r>
            <w:r>
              <w:rPr>
                <w:rFonts w:hint="eastAsia" w:ascii="宋体" w:hAnsi="宋体" w:cs="宋体"/>
                <w:sz w:val="21"/>
                <w:szCs w:val="21"/>
                <w:highlight w:val="none"/>
                <w:u w:val="none"/>
                <w:lang w:val="zh-CN" w:eastAsia="zh-CN"/>
              </w:rPr>
              <w:instrText xml:space="preserve"> = 2 \* GB3 </w:instrText>
            </w:r>
            <w:r>
              <w:rPr>
                <w:rFonts w:hint="eastAsia" w:ascii="宋体" w:hAnsi="宋体" w:cs="宋体"/>
                <w:sz w:val="21"/>
                <w:szCs w:val="21"/>
                <w:highlight w:val="none"/>
                <w:u w:val="none"/>
                <w:lang w:val="zh-CN" w:eastAsia="zh-CN"/>
              </w:rPr>
              <w:fldChar w:fldCharType="separate"/>
            </w:r>
            <w:r>
              <w:rPr>
                <w:rFonts w:hint="eastAsia" w:ascii="宋体" w:hAnsi="宋体" w:cs="宋体"/>
                <w:sz w:val="21"/>
                <w:szCs w:val="21"/>
                <w:highlight w:val="none"/>
                <w:u w:val="none"/>
                <w:lang w:val="zh-CN" w:eastAsia="zh-CN"/>
              </w:rPr>
              <w:t>②</w:t>
            </w:r>
            <w:r>
              <w:rPr>
                <w:rFonts w:hint="eastAsia" w:ascii="宋体" w:hAnsi="宋体" w:cs="宋体"/>
                <w:sz w:val="21"/>
                <w:szCs w:val="21"/>
                <w:highlight w:val="none"/>
                <w:u w:val="none"/>
                <w:lang w:val="zh-CN" w:eastAsia="zh-CN"/>
              </w:rPr>
              <w:fldChar w:fldCharType="end"/>
            </w:r>
            <w:r>
              <w:rPr>
                <w:rFonts w:hint="eastAsia" w:ascii="宋体" w:hAnsi="宋体" w:cs="宋体"/>
                <w:sz w:val="21"/>
                <w:szCs w:val="21"/>
                <w:highlight w:val="none"/>
                <w:u w:val="none"/>
                <w:lang w:val="en-US" w:eastAsia="zh-CN" w:bidi="ar-SA"/>
              </w:rPr>
              <w:t>投标人对本项目超短期融资券发行背景认识</w:t>
            </w:r>
            <w:r>
              <w:rPr>
                <w:rFonts w:hint="eastAsia" w:ascii="宋体" w:hAnsi="Calibri" w:eastAsia="宋体" w:cs="宋体"/>
                <w:color w:val="auto"/>
                <w:sz w:val="21"/>
                <w:szCs w:val="21"/>
                <w:highlight w:val="none"/>
                <w:lang w:val="en-US" w:eastAsia="zh-CN" w:bidi="ar-SA"/>
              </w:rPr>
              <w:t>较为清晰准确，对项目重点难点</w:t>
            </w:r>
            <w:r>
              <w:rPr>
                <w:rFonts w:hint="eastAsia" w:ascii="宋体" w:hAnsi="宋体" w:eastAsia="宋体" w:cs="宋体"/>
                <w:color w:val="auto"/>
                <w:sz w:val="21"/>
                <w:szCs w:val="21"/>
                <w:highlight w:val="none"/>
                <w:lang w:val="zh-CN" w:eastAsia="zh-CN" w:bidi="ar-SA"/>
              </w:rPr>
              <w:t>分析</w:t>
            </w:r>
            <w:r>
              <w:rPr>
                <w:rFonts w:hint="eastAsia" w:ascii="宋体" w:hAnsi="宋体" w:eastAsia="宋体" w:cs="宋体"/>
                <w:color w:val="auto"/>
                <w:sz w:val="21"/>
                <w:szCs w:val="21"/>
                <w:highlight w:val="none"/>
                <w:lang w:val="en-US" w:eastAsia="zh-CN" w:bidi="ar-SA"/>
              </w:rPr>
              <w:t>一般</w:t>
            </w:r>
            <w:r>
              <w:rPr>
                <w:rFonts w:hint="eastAsia" w:ascii="宋体" w:hAnsi="宋体" w:eastAsia="宋体" w:cs="宋体"/>
                <w:color w:val="auto"/>
                <w:sz w:val="21"/>
                <w:szCs w:val="21"/>
                <w:highlight w:val="none"/>
                <w:lang w:val="zh-CN" w:eastAsia="zh-CN" w:bidi="ar-SA"/>
              </w:rPr>
              <w:t>、</w:t>
            </w:r>
            <w:r>
              <w:rPr>
                <w:rFonts w:hint="eastAsia" w:ascii="宋体" w:hAnsi="宋体" w:eastAsia="宋体" w:cs="宋体"/>
                <w:color w:val="auto"/>
                <w:sz w:val="21"/>
                <w:szCs w:val="21"/>
                <w:highlight w:val="none"/>
                <w:lang w:val="en-US" w:eastAsia="zh-CN" w:bidi="ar-SA"/>
              </w:rPr>
              <w:t>针对性</w:t>
            </w:r>
            <w:r>
              <w:rPr>
                <w:rFonts w:hint="eastAsia" w:ascii="宋体" w:hAnsi="宋体" w:cs="宋体"/>
                <w:color w:val="auto"/>
                <w:sz w:val="21"/>
                <w:szCs w:val="21"/>
                <w:highlight w:val="none"/>
                <w:lang w:val="en-US" w:eastAsia="zh-CN" w:bidi="ar-SA"/>
              </w:rPr>
              <w:t>较强、</w:t>
            </w:r>
            <w:r>
              <w:rPr>
                <w:rFonts w:hint="eastAsia" w:ascii="宋体" w:hAnsi="宋体" w:eastAsia="宋体" w:cs="宋体"/>
                <w:color w:val="auto"/>
                <w:sz w:val="21"/>
                <w:szCs w:val="21"/>
                <w:highlight w:val="none"/>
                <w:lang w:val="en-US" w:eastAsia="zh-CN" w:bidi="ar-SA"/>
              </w:rPr>
              <w:t>比较合理得</w:t>
            </w:r>
            <w:r>
              <w:rPr>
                <w:rFonts w:hint="eastAsia" w:ascii="宋体" w:hAnsi="宋体" w:cs="宋体"/>
                <w:color w:val="auto"/>
                <w:sz w:val="21"/>
                <w:szCs w:val="21"/>
                <w:highlight w:val="none"/>
                <w:lang w:val="en-US" w:eastAsia="zh-CN" w:bidi="ar-SA"/>
              </w:rPr>
              <w:t>8</w:t>
            </w:r>
            <w:r>
              <w:rPr>
                <w:rFonts w:hint="eastAsia" w:ascii="宋体" w:hAnsi="宋体" w:eastAsia="宋体" w:cs="宋体"/>
                <w:color w:val="auto"/>
                <w:sz w:val="21"/>
                <w:szCs w:val="21"/>
                <w:highlight w:val="none"/>
                <w:lang w:val="en-US" w:eastAsia="zh-CN" w:bidi="ar-SA"/>
              </w:rPr>
              <w:t>分；</w:t>
            </w:r>
          </w:p>
          <w:p w14:paraId="0A12220B">
            <w:pPr>
              <w:adjustRightInd/>
              <w:snapToGrid/>
              <w:ind w:firstLine="420" w:firstLineChars="200"/>
              <w:rPr>
                <w:rFonts w:hint="eastAsia" w:ascii="宋体" w:hAnsi="宋体" w:eastAsia="宋体" w:cs="宋体"/>
                <w:sz w:val="21"/>
                <w:szCs w:val="21"/>
                <w:highlight w:val="none"/>
                <w:u w:val="none"/>
                <w:lang w:val="en-US" w:eastAsia="zh-CN" w:bidi="ar-SA"/>
              </w:rPr>
            </w:pPr>
            <w:r>
              <w:rPr>
                <w:rFonts w:hint="eastAsia" w:ascii="宋体" w:hAnsi="宋体" w:cs="宋体"/>
                <w:sz w:val="21"/>
                <w:szCs w:val="21"/>
                <w:u w:val="none"/>
                <w:lang w:val="zh-CN" w:eastAsia="zh-CN"/>
              </w:rPr>
              <w:t>③</w:t>
            </w:r>
            <w:r>
              <w:rPr>
                <w:rFonts w:hint="eastAsia" w:ascii="宋体" w:hAnsi="宋体" w:cs="宋体"/>
                <w:sz w:val="21"/>
                <w:szCs w:val="21"/>
                <w:highlight w:val="none"/>
                <w:u w:val="none"/>
                <w:lang w:val="en-US" w:eastAsia="zh-CN" w:bidi="ar-SA"/>
              </w:rPr>
              <w:t>投标人对本项目超短期融资券发行背景认识不够透彻</w:t>
            </w:r>
            <w:r>
              <w:rPr>
                <w:rFonts w:hint="eastAsia" w:ascii="宋体" w:hAnsi="Calibri" w:eastAsia="宋体" w:cs="宋体"/>
                <w:color w:val="auto"/>
                <w:sz w:val="21"/>
                <w:szCs w:val="21"/>
                <w:highlight w:val="none"/>
                <w:lang w:val="en-US" w:eastAsia="zh-CN" w:bidi="ar-SA"/>
              </w:rPr>
              <w:t>，对项目重点难点</w:t>
            </w:r>
            <w:r>
              <w:rPr>
                <w:rFonts w:hint="eastAsia" w:ascii="宋体" w:hAnsi="宋体" w:eastAsia="宋体" w:cs="宋体"/>
                <w:color w:val="auto"/>
                <w:sz w:val="21"/>
                <w:szCs w:val="21"/>
                <w:highlight w:val="none"/>
                <w:lang w:val="zh-CN" w:eastAsia="zh-CN" w:bidi="ar-SA"/>
              </w:rPr>
              <w:t>分析不足、</w:t>
            </w:r>
            <w:r>
              <w:rPr>
                <w:rFonts w:hint="eastAsia" w:ascii="宋体" w:hAnsi="宋体" w:eastAsia="宋体" w:cs="宋体"/>
                <w:color w:val="auto"/>
                <w:sz w:val="21"/>
                <w:szCs w:val="21"/>
                <w:highlight w:val="none"/>
                <w:lang w:val="en-US" w:eastAsia="zh-CN" w:bidi="ar-SA"/>
              </w:rPr>
              <w:t>针对性</w:t>
            </w:r>
            <w:r>
              <w:rPr>
                <w:rFonts w:hint="eastAsia" w:ascii="宋体" w:hAnsi="宋体" w:cs="宋体"/>
                <w:color w:val="auto"/>
                <w:sz w:val="21"/>
                <w:szCs w:val="21"/>
                <w:highlight w:val="none"/>
                <w:lang w:val="en-US" w:eastAsia="zh-CN" w:bidi="ar-SA"/>
              </w:rPr>
              <w:t>一般、</w:t>
            </w:r>
            <w:r>
              <w:rPr>
                <w:rFonts w:hint="eastAsia" w:ascii="宋体" w:hAnsi="宋体" w:eastAsia="宋体" w:cs="宋体"/>
                <w:color w:val="auto"/>
                <w:sz w:val="21"/>
                <w:szCs w:val="21"/>
                <w:highlight w:val="none"/>
                <w:lang w:val="en-US" w:eastAsia="zh-CN" w:bidi="ar-SA"/>
              </w:rPr>
              <w:t>合理性</w:t>
            </w:r>
            <w:r>
              <w:rPr>
                <w:rFonts w:hint="eastAsia" w:ascii="宋体" w:hAnsi="宋体" w:cs="宋体"/>
                <w:color w:val="auto"/>
                <w:sz w:val="21"/>
                <w:szCs w:val="21"/>
                <w:highlight w:val="none"/>
                <w:lang w:val="en-US" w:eastAsia="zh-CN" w:bidi="ar-SA"/>
              </w:rPr>
              <w:t>一般</w:t>
            </w:r>
            <w:r>
              <w:rPr>
                <w:rFonts w:hint="eastAsia" w:ascii="宋体" w:hAnsi="宋体" w:eastAsia="宋体" w:cs="宋体"/>
                <w:color w:val="auto"/>
                <w:sz w:val="21"/>
                <w:szCs w:val="21"/>
                <w:highlight w:val="none"/>
                <w:lang w:val="en-US" w:eastAsia="zh-CN" w:bidi="ar-SA"/>
              </w:rPr>
              <w:t>得</w:t>
            </w:r>
            <w:r>
              <w:rPr>
                <w:rFonts w:hint="eastAsia" w:ascii="宋体" w:hAnsi="宋体" w:cs="宋体"/>
                <w:color w:val="auto"/>
                <w:sz w:val="21"/>
                <w:szCs w:val="21"/>
                <w:highlight w:val="none"/>
                <w:lang w:val="en-US" w:eastAsia="zh-CN" w:bidi="ar-SA"/>
              </w:rPr>
              <w:t>6</w:t>
            </w:r>
            <w:r>
              <w:rPr>
                <w:rFonts w:hint="eastAsia" w:ascii="宋体" w:hAnsi="宋体" w:eastAsia="宋体" w:cs="宋体"/>
                <w:color w:val="auto"/>
                <w:sz w:val="21"/>
                <w:szCs w:val="21"/>
                <w:highlight w:val="none"/>
                <w:lang w:val="en-US" w:eastAsia="zh-CN" w:bidi="ar-SA"/>
              </w:rPr>
              <w:t>分；</w:t>
            </w:r>
          </w:p>
          <w:p w14:paraId="5B71B4FD">
            <w:pPr>
              <w:adjustRightInd/>
              <w:snapToGrid/>
              <w:ind w:firstLine="420" w:firstLineChars="200"/>
              <w:rPr>
                <w:sz w:val="21"/>
                <w:szCs w:val="21"/>
                <w:lang w:val="en-US" w:bidi="ar-SA"/>
              </w:rPr>
            </w:pPr>
            <w:r>
              <w:rPr>
                <w:rFonts w:hint="eastAsia" w:ascii="宋体" w:hAnsi="宋体" w:eastAsia="宋体" w:cs="宋体"/>
                <w:color w:val="auto"/>
                <w:sz w:val="21"/>
                <w:szCs w:val="21"/>
                <w:highlight w:val="none"/>
                <w:lang w:val="zh-CN" w:eastAsia="zh-CN" w:bidi="ar-SA"/>
              </w:rPr>
              <w:t>无提供不得分。</w:t>
            </w:r>
          </w:p>
        </w:tc>
      </w:tr>
      <w:tr w14:paraId="7B3C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100CD6E">
            <w:pPr>
              <w:pStyle w:val="45"/>
              <w:spacing w:line="360" w:lineRule="auto"/>
              <w:ind w:firstLine="0" w:firstLineChars="0"/>
              <w:jc w:val="center"/>
              <w:rPr>
                <w:rFonts w:ascii="宋体" w:eastAsia="宋体" w:cs="宋体"/>
                <w:sz w:val="21"/>
                <w:szCs w:val="21"/>
              </w:rPr>
            </w:pPr>
            <w:r>
              <w:rPr>
                <w:rFonts w:hint="eastAsia" w:ascii="宋体" w:eastAsia="宋体" w:cs="宋体"/>
                <w:sz w:val="21"/>
                <w:szCs w:val="21"/>
                <w:u w:val="none"/>
                <w:lang w:val="en-US" w:eastAsia="zh-CN"/>
              </w:rPr>
              <w:t>7</w:t>
            </w:r>
          </w:p>
        </w:tc>
        <w:tc>
          <w:tcPr>
            <w:tcW w:w="1491" w:type="dxa"/>
            <w:tcBorders>
              <w:top w:val="single" w:color="auto" w:sz="4" w:space="0"/>
              <w:left w:val="single" w:color="auto" w:sz="4" w:space="0"/>
              <w:bottom w:val="single" w:color="auto" w:sz="4" w:space="0"/>
              <w:right w:val="single" w:color="auto" w:sz="4" w:space="0"/>
            </w:tcBorders>
            <w:vAlign w:val="center"/>
          </w:tcPr>
          <w:p w14:paraId="5BD73A18">
            <w:pPr>
              <w:widowControl w:val="0"/>
              <w:adjustRightInd/>
              <w:snapToGrid/>
              <w:jc w:val="center"/>
              <w:rPr>
                <w:rFonts w:ascii="宋体" w:hAnsi="宋体" w:cs="宋体"/>
                <w:szCs w:val="21"/>
                <w:u w:val="single"/>
              </w:rPr>
            </w:pPr>
            <w:r>
              <w:rPr>
                <w:rFonts w:hint="eastAsia" w:ascii="宋体" w:hAnsi="宋体" w:cs="宋体"/>
                <w:szCs w:val="21"/>
                <w:u w:val="none"/>
                <w:lang w:val="en-US" w:eastAsia="zh-CN"/>
              </w:rPr>
              <w:t>发行及债券风险管理建议</w:t>
            </w:r>
          </w:p>
        </w:tc>
        <w:tc>
          <w:tcPr>
            <w:tcW w:w="742" w:type="dxa"/>
            <w:tcBorders>
              <w:top w:val="single" w:color="auto" w:sz="4" w:space="0"/>
              <w:left w:val="single" w:color="auto" w:sz="4" w:space="0"/>
              <w:bottom w:val="single" w:color="auto" w:sz="4" w:space="0"/>
              <w:right w:val="single" w:color="auto" w:sz="4" w:space="0"/>
            </w:tcBorders>
            <w:vAlign w:val="center"/>
          </w:tcPr>
          <w:p w14:paraId="6C8EF07D">
            <w:pPr>
              <w:widowControl w:val="0"/>
              <w:adjustRightInd/>
              <w:snapToGrid/>
              <w:jc w:val="center"/>
              <w:rPr>
                <w:rFonts w:ascii="宋体" w:hAnsi="宋体" w:cs="宋体"/>
                <w:szCs w:val="21"/>
              </w:rPr>
            </w:pPr>
            <w:r>
              <w:rPr>
                <w:rFonts w:hint="eastAsia" w:ascii="宋体" w:hAnsi="宋体" w:cs="宋体"/>
                <w:szCs w:val="21"/>
                <w:u w:val="none"/>
                <w:lang w:val="en-US" w:eastAsia="zh-CN"/>
              </w:rPr>
              <w:t>10分</w:t>
            </w:r>
          </w:p>
        </w:tc>
        <w:tc>
          <w:tcPr>
            <w:tcW w:w="5599" w:type="dxa"/>
            <w:tcBorders>
              <w:top w:val="single" w:color="auto" w:sz="4" w:space="0"/>
              <w:left w:val="single" w:color="auto" w:sz="4" w:space="0"/>
              <w:bottom w:val="single" w:color="auto" w:sz="4" w:space="0"/>
              <w:right w:val="single" w:color="auto" w:sz="4" w:space="0"/>
            </w:tcBorders>
            <w:vAlign w:val="center"/>
          </w:tcPr>
          <w:p w14:paraId="54976B9F">
            <w:pPr>
              <w:pStyle w:val="10"/>
              <w:keepNext w:val="0"/>
              <w:keepLines w:val="0"/>
              <w:pageBreakBefore w:val="0"/>
              <w:widowControl/>
              <w:kinsoku/>
              <w:wordWrap/>
              <w:overflowPunct/>
              <w:topLinePunct w:val="0"/>
              <w:autoSpaceDE/>
              <w:autoSpaceDN/>
              <w:bidi w:val="0"/>
              <w:adjustRightInd w:val="0"/>
              <w:snapToGrid w:val="0"/>
              <w:spacing w:before="0"/>
              <w:ind w:left="0" w:firstLine="240"/>
              <w:textAlignment w:val="auto"/>
              <w:rPr>
                <w:rFonts w:hint="eastAsia" w:ascii="Tahoma" w:hAnsi="Tahoma" w:eastAsia="宋体" w:cstheme="minorBidi"/>
                <w:bCs w:val="0"/>
                <w:sz w:val="21"/>
                <w:szCs w:val="21"/>
                <w:highlight w:val="none"/>
                <w:u w:val="none"/>
                <w:lang w:val="en-US" w:eastAsia="zh-CN" w:bidi="ar-SA"/>
              </w:rPr>
            </w:pPr>
            <w:r>
              <w:rPr>
                <w:rFonts w:hint="eastAsia" w:ascii="Tahoma" w:hAnsi="Tahoma" w:eastAsia="宋体" w:cstheme="minorBidi"/>
                <w:bCs w:val="0"/>
                <w:sz w:val="21"/>
                <w:szCs w:val="21"/>
                <w:highlight w:val="none"/>
                <w:u w:val="none"/>
                <w:lang w:val="en-US" w:eastAsia="zh-CN" w:bidi="ar-SA"/>
              </w:rPr>
              <w:t>（1）各投标人对未来两年内的发行时机提出建议，对两年内的利率走势做出判断，同时逐条列出详细理由，并进行综合评审。</w:t>
            </w:r>
          </w:p>
          <w:p w14:paraId="0F20806F">
            <w:pPr>
              <w:pStyle w:val="10"/>
              <w:keepNext w:val="0"/>
              <w:keepLines w:val="0"/>
              <w:pageBreakBefore w:val="0"/>
              <w:widowControl/>
              <w:kinsoku/>
              <w:wordWrap/>
              <w:overflowPunct/>
              <w:topLinePunct w:val="0"/>
              <w:autoSpaceDE/>
              <w:autoSpaceDN/>
              <w:bidi w:val="0"/>
              <w:adjustRightInd w:val="0"/>
              <w:snapToGrid w:val="0"/>
              <w:spacing w:before="0"/>
              <w:ind w:left="0" w:firstLine="240"/>
              <w:textAlignment w:val="auto"/>
              <w:rPr>
                <w:rFonts w:hint="default" w:ascii="Tahoma" w:hAnsi="Tahoma" w:eastAsia="宋体" w:cstheme="minorBidi"/>
                <w:bCs w:val="0"/>
                <w:sz w:val="21"/>
                <w:szCs w:val="21"/>
                <w:highlight w:val="none"/>
                <w:u w:val="none"/>
                <w:lang w:val="en-US" w:eastAsia="zh-CN" w:bidi="ar-SA"/>
              </w:rPr>
            </w:pPr>
            <w:r>
              <w:rPr>
                <w:rFonts w:hint="eastAsia" w:ascii="Tahoma" w:hAnsi="Tahoma" w:eastAsia="宋体" w:cstheme="minorBidi"/>
                <w:bCs w:val="0"/>
                <w:sz w:val="21"/>
                <w:szCs w:val="21"/>
                <w:highlight w:val="none"/>
                <w:u w:val="none"/>
                <w:lang w:val="zh-CN" w:eastAsia="zh-CN" w:bidi="ar-SA"/>
              </w:rPr>
              <w:fldChar w:fldCharType="begin"/>
            </w:r>
            <w:r>
              <w:rPr>
                <w:rFonts w:hint="eastAsia" w:ascii="Tahoma" w:hAnsi="Tahoma" w:eastAsia="宋体" w:cstheme="minorBidi"/>
                <w:bCs w:val="0"/>
                <w:sz w:val="21"/>
                <w:szCs w:val="21"/>
                <w:highlight w:val="none"/>
                <w:u w:val="none"/>
                <w:lang w:val="zh-CN" w:eastAsia="zh-CN" w:bidi="ar-SA"/>
              </w:rPr>
              <w:instrText xml:space="preserve"> = 1 \* GB3 </w:instrText>
            </w:r>
            <w:r>
              <w:rPr>
                <w:rFonts w:hint="eastAsia" w:ascii="Tahoma" w:hAnsi="Tahoma" w:eastAsia="宋体" w:cstheme="minorBidi"/>
                <w:bCs w:val="0"/>
                <w:sz w:val="21"/>
                <w:szCs w:val="21"/>
                <w:highlight w:val="none"/>
                <w:u w:val="none"/>
                <w:lang w:val="zh-CN" w:eastAsia="zh-CN" w:bidi="ar-SA"/>
              </w:rPr>
              <w:fldChar w:fldCharType="separate"/>
            </w:r>
            <w:r>
              <w:rPr>
                <w:rFonts w:hint="eastAsia" w:ascii="Tahoma" w:hAnsi="Tahoma" w:eastAsia="宋体" w:cstheme="minorBidi"/>
                <w:bCs w:val="0"/>
                <w:sz w:val="21"/>
                <w:szCs w:val="21"/>
                <w:highlight w:val="none"/>
                <w:u w:val="none"/>
                <w:lang w:val="zh-CN" w:eastAsia="zh-CN" w:bidi="ar-SA"/>
              </w:rPr>
              <w:t>①</w:t>
            </w:r>
            <w:r>
              <w:rPr>
                <w:rFonts w:hint="eastAsia" w:ascii="Tahoma" w:hAnsi="Tahoma" w:eastAsia="宋体" w:cstheme="minorBidi"/>
                <w:bCs w:val="0"/>
                <w:sz w:val="21"/>
                <w:szCs w:val="21"/>
                <w:highlight w:val="none"/>
                <w:u w:val="none"/>
                <w:lang w:val="zh-CN" w:eastAsia="zh-CN" w:bidi="ar-SA"/>
              </w:rPr>
              <w:fldChar w:fldCharType="end"/>
            </w:r>
            <w:r>
              <w:rPr>
                <w:rFonts w:hint="eastAsia" w:ascii="Tahoma" w:hAnsi="Tahoma" w:eastAsia="宋体" w:cstheme="minorBidi"/>
                <w:bCs w:val="0"/>
                <w:sz w:val="21"/>
                <w:szCs w:val="21"/>
                <w:highlight w:val="none"/>
                <w:u w:val="none"/>
                <w:lang w:val="en-US" w:eastAsia="zh-CN" w:bidi="ar-SA"/>
              </w:rPr>
              <w:t>投标人对未来两年内的发行时机提出合理建议</w:t>
            </w:r>
            <w:r>
              <w:rPr>
                <w:rFonts w:hint="eastAsia" w:ascii="Tahoma" w:hAnsi="Tahoma" w:eastAsia="宋体" w:cstheme="minorBidi"/>
                <w:bCs w:val="0"/>
                <w:sz w:val="21"/>
                <w:szCs w:val="21"/>
                <w:highlight w:val="none"/>
                <w:u w:val="none"/>
                <w:lang w:val="zh-CN" w:eastAsia="zh-CN" w:bidi="ar-SA"/>
              </w:rPr>
              <w:t>，</w:t>
            </w:r>
            <w:r>
              <w:rPr>
                <w:rFonts w:hint="eastAsia" w:ascii="Tahoma" w:hAnsi="Tahoma" w:eastAsia="宋体" w:cstheme="minorBidi"/>
                <w:bCs w:val="0"/>
                <w:sz w:val="21"/>
                <w:szCs w:val="21"/>
                <w:highlight w:val="none"/>
                <w:u w:val="none"/>
                <w:lang w:val="en-US" w:eastAsia="zh-CN" w:bidi="ar-SA"/>
              </w:rPr>
              <w:t>对两年内的利率走势作出判断且所列理由非常合理得5分；</w:t>
            </w:r>
          </w:p>
          <w:p w14:paraId="03A50FF9">
            <w:pPr>
              <w:pStyle w:val="10"/>
              <w:keepNext w:val="0"/>
              <w:keepLines w:val="0"/>
              <w:pageBreakBefore w:val="0"/>
              <w:widowControl/>
              <w:kinsoku/>
              <w:wordWrap/>
              <w:overflowPunct/>
              <w:topLinePunct w:val="0"/>
              <w:autoSpaceDE/>
              <w:autoSpaceDN/>
              <w:bidi w:val="0"/>
              <w:adjustRightInd w:val="0"/>
              <w:snapToGrid w:val="0"/>
              <w:spacing w:before="0"/>
              <w:ind w:left="0" w:firstLine="240"/>
              <w:textAlignment w:val="auto"/>
              <w:rPr>
                <w:rFonts w:hint="default" w:ascii="Tahoma" w:hAnsi="Tahoma" w:eastAsia="宋体" w:cstheme="minorBidi"/>
                <w:bCs w:val="0"/>
                <w:sz w:val="21"/>
                <w:szCs w:val="21"/>
                <w:highlight w:val="none"/>
                <w:u w:val="none"/>
                <w:lang w:val="en-US" w:eastAsia="zh-CN" w:bidi="ar-SA"/>
              </w:rPr>
            </w:pPr>
            <w:r>
              <w:rPr>
                <w:rFonts w:hint="eastAsia" w:ascii="Tahoma" w:hAnsi="Tahoma" w:eastAsia="宋体" w:cstheme="minorBidi"/>
                <w:bCs w:val="0"/>
                <w:sz w:val="21"/>
                <w:szCs w:val="21"/>
                <w:highlight w:val="none"/>
                <w:u w:val="none"/>
                <w:lang w:val="zh-CN" w:eastAsia="zh-CN" w:bidi="ar-SA"/>
              </w:rPr>
              <w:fldChar w:fldCharType="begin"/>
            </w:r>
            <w:r>
              <w:rPr>
                <w:rFonts w:hint="eastAsia" w:ascii="Tahoma" w:hAnsi="Tahoma" w:eastAsia="宋体" w:cstheme="minorBidi"/>
                <w:bCs w:val="0"/>
                <w:sz w:val="21"/>
                <w:szCs w:val="21"/>
                <w:highlight w:val="none"/>
                <w:u w:val="none"/>
                <w:lang w:val="zh-CN" w:eastAsia="zh-CN" w:bidi="ar-SA"/>
              </w:rPr>
              <w:instrText xml:space="preserve"> = 2 \* GB3 </w:instrText>
            </w:r>
            <w:r>
              <w:rPr>
                <w:rFonts w:hint="eastAsia" w:ascii="Tahoma" w:hAnsi="Tahoma" w:eastAsia="宋体" w:cstheme="minorBidi"/>
                <w:bCs w:val="0"/>
                <w:sz w:val="21"/>
                <w:szCs w:val="21"/>
                <w:highlight w:val="none"/>
                <w:u w:val="none"/>
                <w:lang w:val="zh-CN" w:eastAsia="zh-CN" w:bidi="ar-SA"/>
              </w:rPr>
              <w:fldChar w:fldCharType="separate"/>
            </w:r>
            <w:r>
              <w:rPr>
                <w:rFonts w:hint="eastAsia" w:ascii="Tahoma" w:hAnsi="Tahoma" w:eastAsia="宋体" w:cstheme="minorBidi"/>
                <w:bCs w:val="0"/>
                <w:sz w:val="21"/>
                <w:szCs w:val="21"/>
                <w:highlight w:val="none"/>
                <w:u w:val="none"/>
                <w:lang w:val="zh-CN" w:eastAsia="zh-CN" w:bidi="ar-SA"/>
              </w:rPr>
              <w:t>②</w:t>
            </w:r>
            <w:r>
              <w:rPr>
                <w:rFonts w:hint="eastAsia" w:ascii="Tahoma" w:hAnsi="Tahoma" w:eastAsia="宋体" w:cstheme="minorBidi"/>
                <w:bCs w:val="0"/>
                <w:sz w:val="21"/>
                <w:szCs w:val="21"/>
                <w:highlight w:val="none"/>
                <w:u w:val="none"/>
                <w:lang w:val="zh-CN" w:eastAsia="zh-CN" w:bidi="ar-SA"/>
              </w:rPr>
              <w:fldChar w:fldCharType="end"/>
            </w:r>
            <w:r>
              <w:rPr>
                <w:rFonts w:hint="eastAsia" w:ascii="Tahoma" w:hAnsi="Tahoma" w:eastAsia="宋体" w:cstheme="minorBidi"/>
                <w:bCs w:val="0"/>
                <w:sz w:val="21"/>
                <w:szCs w:val="21"/>
                <w:highlight w:val="none"/>
                <w:u w:val="none"/>
                <w:lang w:val="en-US" w:eastAsia="zh-CN" w:bidi="ar-SA"/>
              </w:rPr>
              <w:t>投标人对未来两年内的发行时机提出比较合理建议</w:t>
            </w:r>
            <w:r>
              <w:rPr>
                <w:rFonts w:hint="eastAsia" w:ascii="Tahoma" w:hAnsi="Tahoma" w:eastAsia="宋体" w:cstheme="minorBidi"/>
                <w:bCs w:val="0"/>
                <w:sz w:val="21"/>
                <w:szCs w:val="21"/>
                <w:highlight w:val="none"/>
                <w:u w:val="none"/>
                <w:lang w:val="zh-CN" w:eastAsia="zh-CN" w:bidi="ar-SA"/>
              </w:rPr>
              <w:t>，</w:t>
            </w:r>
            <w:r>
              <w:rPr>
                <w:rFonts w:hint="eastAsia" w:ascii="Tahoma" w:hAnsi="Tahoma" w:eastAsia="宋体" w:cstheme="minorBidi"/>
                <w:bCs w:val="0"/>
                <w:sz w:val="21"/>
                <w:szCs w:val="21"/>
                <w:highlight w:val="none"/>
                <w:u w:val="none"/>
                <w:lang w:val="en-US" w:eastAsia="zh-CN" w:bidi="ar-SA"/>
              </w:rPr>
              <w:t>对两年内的利率走势作出判断且所列理由比较合理得4分；</w:t>
            </w:r>
          </w:p>
          <w:p w14:paraId="7578A1C7">
            <w:pPr>
              <w:pStyle w:val="10"/>
              <w:keepNext w:val="0"/>
              <w:keepLines w:val="0"/>
              <w:pageBreakBefore w:val="0"/>
              <w:widowControl/>
              <w:kinsoku/>
              <w:wordWrap/>
              <w:overflowPunct/>
              <w:topLinePunct w:val="0"/>
              <w:autoSpaceDE/>
              <w:autoSpaceDN/>
              <w:bidi w:val="0"/>
              <w:adjustRightInd w:val="0"/>
              <w:snapToGrid w:val="0"/>
              <w:spacing w:before="0"/>
              <w:ind w:left="0" w:firstLine="240"/>
              <w:textAlignment w:val="auto"/>
              <w:rPr>
                <w:rFonts w:hint="eastAsia" w:ascii="Tahoma" w:hAnsi="Tahoma" w:eastAsia="宋体" w:cstheme="minorBidi"/>
                <w:bCs w:val="0"/>
                <w:sz w:val="21"/>
                <w:szCs w:val="21"/>
                <w:highlight w:val="none"/>
                <w:u w:val="none"/>
                <w:lang w:val="en-US" w:eastAsia="zh-CN" w:bidi="ar-SA"/>
              </w:rPr>
            </w:pPr>
            <w:r>
              <w:rPr>
                <w:rFonts w:hint="eastAsia" w:ascii="Tahoma" w:hAnsi="Tahoma" w:eastAsia="宋体" w:cstheme="minorBidi"/>
                <w:bCs w:val="0"/>
                <w:sz w:val="21"/>
                <w:szCs w:val="21"/>
                <w:highlight w:val="none"/>
                <w:u w:val="none"/>
                <w:lang w:val="zh-CN" w:eastAsia="zh-CN" w:bidi="ar-SA"/>
              </w:rPr>
              <w:t>③</w:t>
            </w:r>
            <w:r>
              <w:rPr>
                <w:rFonts w:hint="eastAsia" w:ascii="Tahoma" w:hAnsi="Tahoma" w:eastAsia="宋体" w:cstheme="minorBidi"/>
                <w:bCs w:val="0"/>
                <w:sz w:val="21"/>
                <w:szCs w:val="21"/>
                <w:highlight w:val="none"/>
                <w:u w:val="none"/>
                <w:lang w:val="en-US" w:eastAsia="zh-CN" w:bidi="ar-SA"/>
              </w:rPr>
              <w:t>投标人对未来两年内的发行时机建议不太合理</w:t>
            </w:r>
            <w:r>
              <w:rPr>
                <w:rFonts w:hint="eastAsia" w:ascii="Tahoma" w:hAnsi="Tahoma" w:eastAsia="宋体" w:cstheme="minorBidi"/>
                <w:bCs w:val="0"/>
                <w:sz w:val="21"/>
                <w:szCs w:val="21"/>
                <w:highlight w:val="none"/>
                <w:u w:val="none"/>
                <w:lang w:val="zh-CN" w:eastAsia="zh-CN" w:bidi="ar-SA"/>
              </w:rPr>
              <w:t>，</w:t>
            </w:r>
            <w:r>
              <w:rPr>
                <w:rFonts w:hint="eastAsia" w:ascii="Tahoma" w:hAnsi="Tahoma" w:eastAsia="宋体" w:cstheme="minorBidi"/>
                <w:bCs w:val="0"/>
                <w:sz w:val="21"/>
                <w:szCs w:val="21"/>
                <w:highlight w:val="none"/>
                <w:u w:val="none"/>
                <w:lang w:val="en-US" w:eastAsia="zh-CN" w:bidi="ar-SA"/>
              </w:rPr>
              <w:t>对两年内的利率走势作出判断但所列理由一般得3分；</w:t>
            </w:r>
          </w:p>
          <w:p w14:paraId="670352CF">
            <w:pPr>
              <w:pStyle w:val="10"/>
              <w:keepNext w:val="0"/>
              <w:keepLines w:val="0"/>
              <w:pageBreakBefore w:val="0"/>
              <w:widowControl/>
              <w:kinsoku/>
              <w:wordWrap/>
              <w:overflowPunct/>
              <w:topLinePunct w:val="0"/>
              <w:autoSpaceDE/>
              <w:autoSpaceDN/>
              <w:bidi w:val="0"/>
              <w:adjustRightInd w:val="0"/>
              <w:snapToGrid w:val="0"/>
              <w:spacing w:before="0"/>
              <w:ind w:left="0" w:firstLine="240"/>
              <w:textAlignment w:val="auto"/>
              <w:rPr>
                <w:rFonts w:hint="eastAsia" w:ascii="Tahoma" w:hAnsi="Tahoma" w:eastAsia="宋体" w:cstheme="minorBidi"/>
                <w:bCs w:val="0"/>
                <w:sz w:val="21"/>
                <w:szCs w:val="21"/>
                <w:highlight w:val="none"/>
                <w:u w:val="none"/>
                <w:lang w:val="en-US" w:eastAsia="zh-CN" w:bidi="ar-SA"/>
              </w:rPr>
            </w:pPr>
            <w:r>
              <w:rPr>
                <w:rFonts w:hint="eastAsia" w:ascii="Tahoma" w:hAnsi="Tahoma" w:eastAsia="宋体" w:cstheme="minorBidi"/>
                <w:bCs w:val="0"/>
                <w:sz w:val="21"/>
                <w:szCs w:val="21"/>
                <w:highlight w:val="none"/>
                <w:u w:val="none"/>
                <w:lang w:val="zh-CN" w:eastAsia="zh-CN" w:bidi="ar-SA"/>
              </w:rPr>
              <w:t>无提供不得分。</w:t>
            </w:r>
          </w:p>
          <w:p w14:paraId="656A1E66">
            <w:pPr>
              <w:pStyle w:val="10"/>
              <w:keepNext w:val="0"/>
              <w:keepLines w:val="0"/>
              <w:pageBreakBefore w:val="0"/>
              <w:widowControl/>
              <w:kinsoku/>
              <w:wordWrap/>
              <w:overflowPunct/>
              <w:topLinePunct w:val="0"/>
              <w:autoSpaceDE/>
              <w:autoSpaceDN/>
              <w:bidi w:val="0"/>
              <w:adjustRightInd w:val="0"/>
              <w:snapToGrid w:val="0"/>
              <w:spacing w:before="0"/>
              <w:ind w:left="0" w:firstLine="240"/>
              <w:textAlignment w:val="auto"/>
              <w:rPr>
                <w:rFonts w:hint="eastAsia" w:ascii="Tahoma" w:hAnsi="Tahoma" w:eastAsia="宋体" w:cstheme="minorBidi"/>
                <w:bCs w:val="0"/>
                <w:sz w:val="21"/>
                <w:szCs w:val="21"/>
                <w:highlight w:val="none"/>
                <w:u w:val="none"/>
                <w:lang w:val="en-US" w:eastAsia="zh-CN" w:bidi="ar-SA"/>
              </w:rPr>
            </w:pPr>
            <w:r>
              <w:rPr>
                <w:rFonts w:hint="eastAsia" w:ascii="Tahoma" w:hAnsi="Tahoma" w:eastAsia="宋体" w:cstheme="minorBidi"/>
                <w:bCs w:val="0"/>
                <w:sz w:val="21"/>
                <w:szCs w:val="21"/>
                <w:highlight w:val="none"/>
                <w:u w:val="none"/>
                <w:lang w:val="en-US" w:eastAsia="zh-CN" w:bidi="ar-SA"/>
              </w:rPr>
              <w:t>（2）根据各投标人对采购人未来三年债券融资提出风险管理建议进行综合评审。</w:t>
            </w:r>
          </w:p>
          <w:p w14:paraId="732A3A2B">
            <w:pPr>
              <w:pStyle w:val="10"/>
              <w:keepNext w:val="0"/>
              <w:keepLines w:val="0"/>
              <w:pageBreakBefore w:val="0"/>
              <w:widowControl/>
              <w:kinsoku/>
              <w:wordWrap/>
              <w:overflowPunct/>
              <w:topLinePunct w:val="0"/>
              <w:autoSpaceDE/>
              <w:autoSpaceDN/>
              <w:bidi w:val="0"/>
              <w:adjustRightInd w:val="0"/>
              <w:snapToGrid w:val="0"/>
              <w:spacing w:before="0"/>
              <w:ind w:left="0" w:firstLine="240"/>
              <w:textAlignment w:val="auto"/>
              <w:rPr>
                <w:rFonts w:hint="default" w:ascii="Tahoma" w:hAnsi="Tahoma" w:eastAsia="宋体" w:cstheme="minorBidi"/>
                <w:bCs w:val="0"/>
                <w:sz w:val="21"/>
                <w:szCs w:val="21"/>
                <w:highlight w:val="none"/>
                <w:u w:val="none"/>
                <w:lang w:val="en-US" w:eastAsia="zh-CN" w:bidi="ar-SA"/>
              </w:rPr>
            </w:pPr>
            <w:r>
              <w:rPr>
                <w:rFonts w:hint="eastAsia" w:ascii="Tahoma" w:hAnsi="Tahoma" w:eastAsia="宋体" w:cstheme="minorBidi"/>
                <w:bCs w:val="0"/>
                <w:sz w:val="21"/>
                <w:szCs w:val="21"/>
                <w:highlight w:val="none"/>
                <w:u w:val="none"/>
                <w:lang w:val="zh-CN" w:eastAsia="zh-CN" w:bidi="ar-SA"/>
              </w:rPr>
              <w:fldChar w:fldCharType="begin"/>
            </w:r>
            <w:r>
              <w:rPr>
                <w:rFonts w:hint="eastAsia" w:ascii="Tahoma" w:hAnsi="Tahoma" w:eastAsia="宋体" w:cstheme="minorBidi"/>
                <w:bCs w:val="0"/>
                <w:sz w:val="21"/>
                <w:szCs w:val="21"/>
                <w:highlight w:val="none"/>
                <w:u w:val="none"/>
                <w:lang w:val="zh-CN" w:eastAsia="zh-CN" w:bidi="ar-SA"/>
              </w:rPr>
              <w:instrText xml:space="preserve"> = 1 \* GB3 </w:instrText>
            </w:r>
            <w:r>
              <w:rPr>
                <w:rFonts w:hint="eastAsia" w:ascii="Tahoma" w:hAnsi="Tahoma" w:eastAsia="宋体" w:cstheme="minorBidi"/>
                <w:bCs w:val="0"/>
                <w:sz w:val="21"/>
                <w:szCs w:val="21"/>
                <w:highlight w:val="none"/>
                <w:u w:val="none"/>
                <w:lang w:val="zh-CN" w:eastAsia="zh-CN" w:bidi="ar-SA"/>
              </w:rPr>
              <w:fldChar w:fldCharType="separate"/>
            </w:r>
            <w:r>
              <w:rPr>
                <w:rFonts w:hint="eastAsia" w:ascii="Tahoma" w:hAnsi="Tahoma" w:eastAsia="宋体" w:cstheme="minorBidi"/>
                <w:bCs w:val="0"/>
                <w:sz w:val="21"/>
                <w:szCs w:val="21"/>
                <w:highlight w:val="none"/>
                <w:u w:val="none"/>
                <w:lang w:val="zh-CN" w:eastAsia="zh-CN" w:bidi="ar-SA"/>
              </w:rPr>
              <w:t>①</w:t>
            </w:r>
            <w:r>
              <w:rPr>
                <w:rFonts w:hint="eastAsia" w:ascii="Tahoma" w:hAnsi="Tahoma" w:eastAsia="宋体" w:cstheme="minorBidi"/>
                <w:bCs w:val="0"/>
                <w:sz w:val="21"/>
                <w:szCs w:val="21"/>
                <w:highlight w:val="none"/>
                <w:u w:val="none"/>
                <w:lang w:val="zh-CN" w:eastAsia="zh-CN" w:bidi="ar-SA"/>
              </w:rPr>
              <w:fldChar w:fldCharType="end"/>
            </w:r>
            <w:r>
              <w:rPr>
                <w:rFonts w:hint="eastAsia" w:ascii="Tahoma" w:hAnsi="Tahoma" w:eastAsia="宋体" w:cstheme="minorBidi"/>
                <w:bCs w:val="0"/>
                <w:sz w:val="21"/>
                <w:szCs w:val="21"/>
                <w:highlight w:val="none"/>
                <w:u w:val="none"/>
                <w:lang w:val="en-US" w:eastAsia="zh-CN" w:bidi="ar-SA"/>
              </w:rPr>
              <w:t>投标人对采购人未来三年债券融资提出的风险管理建议非常合理、可行得5分；</w:t>
            </w:r>
          </w:p>
          <w:p w14:paraId="0841F869">
            <w:pPr>
              <w:pStyle w:val="10"/>
              <w:keepNext w:val="0"/>
              <w:keepLines w:val="0"/>
              <w:pageBreakBefore w:val="0"/>
              <w:widowControl/>
              <w:kinsoku/>
              <w:wordWrap/>
              <w:overflowPunct/>
              <w:topLinePunct w:val="0"/>
              <w:autoSpaceDE/>
              <w:autoSpaceDN/>
              <w:bidi w:val="0"/>
              <w:adjustRightInd w:val="0"/>
              <w:snapToGrid w:val="0"/>
              <w:spacing w:before="0"/>
              <w:ind w:left="0" w:firstLine="240"/>
              <w:textAlignment w:val="auto"/>
              <w:rPr>
                <w:rFonts w:hint="default" w:ascii="Tahoma" w:hAnsi="Tahoma" w:eastAsia="宋体" w:cstheme="minorBidi"/>
                <w:bCs w:val="0"/>
                <w:sz w:val="21"/>
                <w:szCs w:val="21"/>
                <w:highlight w:val="none"/>
                <w:u w:val="none"/>
                <w:lang w:val="en-US" w:eastAsia="zh-CN" w:bidi="ar-SA"/>
              </w:rPr>
            </w:pPr>
            <w:r>
              <w:rPr>
                <w:rFonts w:hint="eastAsia" w:ascii="Tahoma" w:hAnsi="Tahoma" w:eastAsia="宋体" w:cstheme="minorBidi"/>
                <w:bCs w:val="0"/>
                <w:sz w:val="21"/>
                <w:szCs w:val="21"/>
                <w:highlight w:val="none"/>
                <w:u w:val="none"/>
                <w:lang w:val="zh-CN" w:eastAsia="zh-CN" w:bidi="ar-SA"/>
              </w:rPr>
              <w:fldChar w:fldCharType="begin"/>
            </w:r>
            <w:r>
              <w:rPr>
                <w:rFonts w:hint="eastAsia" w:ascii="Tahoma" w:hAnsi="Tahoma" w:eastAsia="宋体" w:cstheme="minorBidi"/>
                <w:bCs w:val="0"/>
                <w:sz w:val="21"/>
                <w:szCs w:val="21"/>
                <w:highlight w:val="none"/>
                <w:u w:val="none"/>
                <w:lang w:val="zh-CN" w:eastAsia="zh-CN" w:bidi="ar-SA"/>
              </w:rPr>
              <w:instrText xml:space="preserve"> = 2 \* GB3 </w:instrText>
            </w:r>
            <w:r>
              <w:rPr>
                <w:rFonts w:hint="eastAsia" w:ascii="Tahoma" w:hAnsi="Tahoma" w:eastAsia="宋体" w:cstheme="minorBidi"/>
                <w:bCs w:val="0"/>
                <w:sz w:val="21"/>
                <w:szCs w:val="21"/>
                <w:highlight w:val="none"/>
                <w:u w:val="none"/>
                <w:lang w:val="zh-CN" w:eastAsia="zh-CN" w:bidi="ar-SA"/>
              </w:rPr>
              <w:fldChar w:fldCharType="separate"/>
            </w:r>
            <w:r>
              <w:rPr>
                <w:rFonts w:hint="eastAsia" w:ascii="Tahoma" w:hAnsi="Tahoma" w:eastAsia="宋体" w:cstheme="minorBidi"/>
                <w:bCs w:val="0"/>
                <w:sz w:val="21"/>
                <w:szCs w:val="21"/>
                <w:highlight w:val="none"/>
                <w:u w:val="none"/>
                <w:lang w:val="zh-CN" w:eastAsia="zh-CN" w:bidi="ar-SA"/>
              </w:rPr>
              <w:t>②</w:t>
            </w:r>
            <w:r>
              <w:rPr>
                <w:rFonts w:hint="eastAsia" w:ascii="Tahoma" w:hAnsi="Tahoma" w:eastAsia="宋体" w:cstheme="minorBidi"/>
                <w:bCs w:val="0"/>
                <w:sz w:val="21"/>
                <w:szCs w:val="21"/>
                <w:highlight w:val="none"/>
                <w:u w:val="none"/>
                <w:lang w:val="zh-CN" w:eastAsia="zh-CN" w:bidi="ar-SA"/>
              </w:rPr>
              <w:fldChar w:fldCharType="end"/>
            </w:r>
            <w:r>
              <w:rPr>
                <w:rFonts w:hint="eastAsia" w:ascii="Tahoma" w:hAnsi="Tahoma" w:eastAsia="宋体" w:cstheme="minorBidi"/>
                <w:bCs w:val="0"/>
                <w:sz w:val="21"/>
                <w:szCs w:val="21"/>
                <w:highlight w:val="none"/>
                <w:u w:val="none"/>
                <w:lang w:val="en-US" w:eastAsia="zh-CN" w:bidi="ar-SA"/>
              </w:rPr>
              <w:t>投标人对采购人未来三年债券融资提出的风险管理建议较为合理得4分；</w:t>
            </w:r>
          </w:p>
          <w:p w14:paraId="7E4C5B42">
            <w:pPr>
              <w:pStyle w:val="10"/>
              <w:keepNext w:val="0"/>
              <w:keepLines w:val="0"/>
              <w:pageBreakBefore w:val="0"/>
              <w:widowControl/>
              <w:kinsoku/>
              <w:wordWrap/>
              <w:overflowPunct/>
              <w:topLinePunct w:val="0"/>
              <w:autoSpaceDE/>
              <w:autoSpaceDN/>
              <w:bidi w:val="0"/>
              <w:adjustRightInd w:val="0"/>
              <w:snapToGrid w:val="0"/>
              <w:spacing w:before="0"/>
              <w:ind w:left="0" w:firstLine="240"/>
              <w:textAlignment w:val="auto"/>
              <w:rPr>
                <w:rFonts w:hint="eastAsia" w:ascii="Tahoma" w:hAnsi="Tahoma" w:eastAsia="宋体" w:cstheme="minorBidi"/>
                <w:bCs w:val="0"/>
                <w:sz w:val="21"/>
                <w:szCs w:val="21"/>
                <w:highlight w:val="none"/>
                <w:u w:val="none"/>
                <w:lang w:val="en-US" w:eastAsia="zh-CN" w:bidi="ar-SA"/>
              </w:rPr>
            </w:pPr>
            <w:r>
              <w:rPr>
                <w:rFonts w:hint="eastAsia" w:ascii="Tahoma" w:hAnsi="Tahoma" w:eastAsia="宋体" w:cstheme="minorBidi"/>
                <w:bCs w:val="0"/>
                <w:sz w:val="21"/>
                <w:szCs w:val="21"/>
                <w:highlight w:val="none"/>
                <w:u w:val="none"/>
                <w:lang w:val="zh-CN" w:eastAsia="zh-CN" w:bidi="ar-SA"/>
              </w:rPr>
              <w:t>③</w:t>
            </w:r>
            <w:r>
              <w:rPr>
                <w:rFonts w:hint="eastAsia" w:ascii="Tahoma" w:hAnsi="Tahoma" w:eastAsia="宋体" w:cstheme="minorBidi"/>
                <w:bCs w:val="0"/>
                <w:sz w:val="21"/>
                <w:szCs w:val="21"/>
                <w:highlight w:val="none"/>
                <w:u w:val="none"/>
                <w:lang w:val="en-US" w:eastAsia="zh-CN" w:bidi="ar-SA"/>
              </w:rPr>
              <w:t>投标人对采购人未来三年债券融资提出的风险管理建议一般得3分；</w:t>
            </w:r>
          </w:p>
          <w:p w14:paraId="605C797E">
            <w:pPr>
              <w:pStyle w:val="10"/>
              <w:keepNext w:val="0"/>
              <w:keepLines w:val="0"/>
              <w:pageBreakBefore w:val="0"/>
              <w:widowControl/>
              <w:kinsoku/>
              <w:wordWrap/>
              <w:overflowPunct/>
              <w:topLinePunct w:val="0"/>
              <w:autoSpaceDE/>
              <w:autoSpaceDN/>
              <w:bidi w:val="0"/>
              <w:adjustRightInd w:val="0"/>
              <w:snapToGrid w:val="0"/>
              <w:spacing w:before="0"/>
              <w:ind w:left="0" w:firstLine="210" w:firstLineChars="100"/>
              <w:textAlignment w:val="auto"/>
              <w:rPr>
                <w:rFonts w:ascii="宋体" w:hAnsi="宋体" w:cs="宋体"/>
                <w:sz w:val="21"/>
                <w:szCs w:val="21"/>
                <w:u w:val="single"/>
                <w:lang w:val="zh-CN"/>
              </w:rPr>
            </w:pPr>
            <w:r>
              <w:rPr>
                <w:rFonts w:hint="eastAsia" w:ascii="Tahoma" w:hAnsi="Tahoma" w:eastAsia="宋体" w:cstheme="minorBidi"/>
                <w:bCs w:val="0"/>
                <w:sz w:val="21"/>
                <w:szCs w:val="21"/>
                <w:highlight w:val="none"/>
                <w:u w:val="none"/>
                <w:lang w:val="zh-CN" w:eastAsia="zh-CN" w:bidi="ar-SA"/>
              </w:rPr>
              <w:t>无提供不得分。</w:t>
            </w:r>
          </w:p>
        </w:tc>
      </w:tr>
      <w:tr w14:paraId="73CF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64774D7D">
            <w:pPr>
              <w:pStyle w:val="45"/>
              <w:spacing w:line="360" w:lineRule="auto"/>
              <w:ind w:firstLine="0" w:firstLineChars="0"/>
              <w:jc w:val="center"/>
              <w:rPr>
                <w:rFonts w:ascii="宋体" w:eastAsia="宋体" w:cs="宋体"/>
                <w:sz w:val="21"/>
                <w:szCs w:val="21"/>
              </w:rPr>
            </w:pPr>
            <w:r>
              <w:rPr>
                <w:rFonts w:hint="eastAsia" w:ascii="宋体" w:eastAsia="宋体" w:cs="宋体"/>
                <w:sz w:val="21"/>
                <w:szCs w:val="21"/>
                <w:u w:val="none"/>
                <w:lang w:val="en-US" w:eastAsia="zh-CN"/>
              </w:rPr>
              <w:t>8</w:t>
            </w:r>
          </w:p>
        </w:tc>
        <w:tc>
          <w:tcPr>
            <w:tcW w:w="1491" w:type="dxa"/>
            <w:tcBorders>
              <w:top w:val="single" w:color="auto" w:sz="4" w:space="0"/>
              <w:left w:val="single" w:color="auto" w:sz="4" w:space="0"/>
              <w:bottom w:val="single" w:color="auto" w:sz="4" w:space="0"/>
              <w:right w:val="single" w:color="auto" w:sz="4" w:space="0"/>
            </w:tcBorders>
            <w:vAlign w:val="center"/>
          </w:tcPr>
          <w:p w14:paraId="2C70EB39">
            <w:pPr>
              <w:widowControl w:val="0"/>
              <w:adjustRightInd/>
              <w:snapToGrid/>
              <w:jc w:val="center"/>
              <w:rPr>
                <w:rFonts w:ascii="宋体" w:hAnsi="宋体" w:cs="宋体"/>
                <w:szCs w:val="21"/>
                <w:u w:val="single"/>
              </w:rPr>
            </w:pPr>
            <w:r>
              <w:rPr>
                <w:rFonts w:hint="eastAsia" w:hAnsi="宋体" w:cs="宋体"/>
                <w:spacing w:val="2"/>
                <w:szCs w:val="21"/>
                <w:u w:val="none"/>
                <w:lang w:val="en-US" w:eastAsia="zh-CN"/>
              </w:rPr>
              <w:t>进度、质量保证措施及服务承诺</w:t>
            </w:r>
          </w:p>
        </w:tc>
        <w:tc>
          <w:tcPr>
            <w:tcW w:w="742" w:type="dxa"/>
            <w:tcBorders>
              <w:top w:val="single" w:color="auto" w:sz="4" w:space="0"/>
              <w:left w:val="single" w:color="auto" w:sz="4" w:space="0"/>
              <w:bottom w:val="single" w:color="auto" w:sz="4" w:space="0"/>
              <w:right w:val="single" w:color="auto" w:sz="4" w:space="0"/>
            </w:tcBorders>
            <w:vAlign w:val="center"/>
          </w:tcPr>
          <w:p w14:paraId="322E0325">
            <w:pPr>
              <w:widowControl w:val="0"/>
              <w:adjustRightInd/>
              <w:snapToGrid/>
              <w:jc w:val="center"/>
              <w:rPr>
                <w:rFonts w:ascii="宋体" w:hAnsi="宋体" w:cs="宋体"/>
                <w:szCs w:val="21"/>
              </w:rPr>
            </w:pPr>
            <w:r>
              <w:rPr>
                <w:rFonts w:hint="eastAsia" w:ascii="宋体" w:hAnsi="宋体" w:cs="宋体"/>
                <w:szCs w:val="21"/>
                <w:u w:val="none"/>
                <w:lang w:val="en-US" w:eastAsia="zh-CN"/>
              </w:rPr>
              <w:t>10分</w:t>
            </w:r>
          </w:p>
        </w:tc>
        <w:tc>
          <w:tcPr>
            <w:tcW w:w="5599" w:type="dxa"/>
            <w:tcBorders>
              <w:top w:val="single" w:color="auto" w:sz="4" w:space="0"/>
              <w:left w:val="single" w:color="auto" w:sz="4" w:space="0"/>
              <w:bottom w:val="single" w:color="auto" w:sz="4" w:space="0"/>
              <w:right w:val="single" w:color="auto" w:sz="4" w:space="0"/>
            </w:tcBorders>
            <w:vAlign w:val="center"/>
          </w:tcPr>
          <w:p w14:paraId="6D814377">
            <w:pPr>
              <w:pStyle w:val="10"/>
              <w:rPr>
                <w:rFonts w:hint="eastAsia"/>
                <w:sz w:val="21"/>
                <w:szCs w:val="21"/>
                <w:u w:val="none"/>
                <w:lang w:val="en-US" w:eastAsia="zh-CN"/>
              </w:rPr>
            </w:pPr>
            <w:r>
              <w:rPr>
                <w:rFonts w:hint="eastAsia"/>
                <w:sz w:val="21"/>
                <w:szCs w:val="21"/>
                <w:u w:val="none"/>
                <w:lang w:val="en-US" w:eastAsia="zh-CN"/>
              </w:rPr>
              <w:t>根据各投标人发行进度计划、服务质量的保证措施及服务承诺（如进度安排是否合理可行、是否能够保证按时按质按量完成注册和发行业务等）进行综合评审。</w:t>
            </w:r>
          </w:p>
          <w:p w14:paraId="4D559BE3">
            <w:pPr>
              <w:pStyle w:val="10"/>
              <w:rPr>
                <w:rFonts w:hint="eastAsia"/>
                <w:sz w:val="21"/>
                <w:szCs w:val="21"/>
                <w:u w:val="none"/>
                <w:lang w:val="en-US" w:eastAsia="zh-CN"/>
              </w:rPr>
            </w:pPr>
            <w:r>
              <w:rPr>
                <w:rFonts w:hint="eastAsia" w:ascii="宋体" w:hAnsi="宋体" w:cs="宋体"/>
                <w:sz w:val="21"/>
                <w:szCs w:val="21"/>
                <w:highlight w:val="none"/>
                <w:u w:val="none"/>
                <w:lang w:val="zh-CN" w:eastAsia="zh-CN"/>
              </w:rPr>
              <w:fldChar w:fldCharType="begin"/>
            </w:r>
            <w:r>
              <w:rPr>
                <w:rFonts w:hint="eastAsia" w:ascii="宋体" w:hAnsi="宋体" w:cs="宋体"/>
                <w:sz w:val="21"/>
                <w:szCs w:val="21"/>
                <w:highlight w:val="none"/>
                <w:u w:val="none"/>
                <w:lang w:val="zh-CN" w:eastAsia="zh-CN"/>
              </w:rPr>
              <w:instrText xml:space="preserve"> = 1 \* GB3 </w:instrText>
            </w:r>
            <w:r>
              <w:rPr>
                <w:rFonts w:hint="eastAsia" w:ascii="宋体" w:hAnsi="宋体" w:cs="宋体"/>
                <w:sz w:val="21"/>
                <w:szCs w:val="21"/>
                <w:highlight w:val="none"/>
                <w:u w:val="none"/>
                <w:lang w:val="zh-CN" w:eastAsia="zh-CN"/>
              </w:rPr>
              <w:fldChar w:fldCharType="separate"/>
            </w:r>
            <w:r>
              <w:rPr>
                <w:rFonts w:hint="eastAsia" w:ascii="宋体" w:hAnsi="宋体" w:cs="宋体"/>
                <w:sz w:val="21"/>
                <w:szCs w:val="21"/>
                <w:highlight w:val="none"/>
                <w:u w:val="none"/>
                <w:lang w:val="zh-CN" w:eastAsia="zh-CN"/>
              </w:rPr>
              <w:t>①</w:t>
            </w:r>
            <w:r>
              <w:rPr>
                <w:rFonts w:hint="eastAsia" w:ascii="宋体" w:hAnsi="宋体" w:cs="宋体"/>
                <w:sz w:val="21"/>
                <w:szCs w:val="21"/>
                <w:highlight w:val="none"/>
                <w:u w:val="none"/>
                <w:lang w:val="zh-CN" w:eastAsia="zh-CN"/>
              </w:rPr>
              <w:fldChar w:fldCharType="end"/>
            </w:r>
            <w:r>
              <w:rPr>
                <w:rFonts w:hint="eastAsia"/>
                <w:sz w:val="21"/>
                <w:szCs w:val="21"/>
                <w:u w:val="none"/>
                <w:lang w:val="en-US" w:eastAsia="zh-CN" w:bidi="ar-SA"/>
              </w:rPr>
              <w:t>对</w:t>
            </w:r>
            <w:r>
              <w:rPr>
                <w:rFonts w:hint="eastAsia" w:hAnsi="宋体"/>
                <w:sz w:val="21"/>
                <w:szCs w:val="21"/>
              </w:rPr>
              <w:t>本项目</w:t>
            </w:r>
            <w:r>
              <w:rPr>
                <w:rFonts w:hint="eastAsia" w:hAnsi="宋体"/>
                <w:sz w:val="21"/>
                <w:szCs w:val="21"/>
                <w:lang w:val="en-US" w:eastAsia="zh-CN"/>
              </w:rPr>
              <w:t>发行</w:t>
            </w:r>
            <w:r>
              <w:rPr>
                <w:rFonts w:hint="eastAsia" w:hAnsi="宋体"/>
                <w:sz w:val="21"/>
                <w:szCs w:val="21"/>
              </w:rPr>
              <w:t>进度计划详细可行，</w:t>
            </w:r>
            <w:r>
              <w:rPr>
                <w:rFonts w:hint="eastAsia"/>
                <w:sz w:val="21"/>
                <w:szCs w:val="21"/>
                <w:u w:val="none"/>
                <w:lang w:val="en-US" w:eastAsia="zh-CN"/>
              </w:rPr>
              <w:t>服务质量保证措施完善，服务承诺全面得10分；</w:t>
            </w:r>
          </w:p>
          <w:p w14:paraId="12B52DE7">
            <w:pPr>
              <w:pStyle w:val="10"/>
              <w:rPr>
                <w:rFonts w:hint="eastAsia"/>
                <w:sz w:val="21"/>
                <w:szCs w:val="21"/>
                <w:u w:val="none"/>
                <w:lang w:val="en-US" w:eastAsia="zh-CN"/>
              </w:rPr>
            </w:pPr>
            <w:r>
              <w:rPr>
                <w:rFonts w:hint="eastAsia" w:ascii="宋体" w:hAnsi="宋体" w:cs="宋体"/>
                <w:sz w:val="21"/>
                <w:szCs w:val="21"/>
                <w:highlight w:val="none"/>
                <w:u w:val="none"/>
                <w:lang w:val="zh-CN" w:eastAsia="zh-CN"/>
              </w:rPr>
              <w:fldChar w:fldCharType="begin"/>
            </w:r>
            <w:r>
              <w:rPr>
                <w:rFonts w:hint="eastAsia" w:ascii="宋体" w:hAnsi="宋体" w:cs="宋体"/>
                <w:sz w:val="21"/>
                <w:szCs w:val="21"/>
                <w:highlight w:val="none"/>
                <w:u w:val="none"/>
                <w:lang w:val="zh-CN" w:eastAsia="zh-CN"/>
              </w:rPr>
              <w:instrText xml:space="preserve"> = 2 \* GB3 </w:instrText>
            </w:r>
            <w:r>
              <w:rPr>
                <w:rFonts w:hint="eastAsia" w:ascii="宋体" w:hAnsi="宋体" w:cs="宋体"/>
                <w:sz w:val="21"/>
                <w:szCs w:val="21"/>
                <w:highlight w:val="none"/>
                <w:u w:val="none"/>
                <w:lang w:val="zh-CN" w:eastAsia="zh-CN"/>
              </w:rPr>
              <w:fldChar w:fldCharType="separate"/>
            </w:r>
            <w:r>
              <w:rPr>
                <w:rFonts w:hint="eastAsia" w:ascii="宋体" w:hAnsi="宋体" w:cs="宋体"/>
                <w:sz w:val="21"/>
                <w:szCs w:val="21"/>
                <w:highlight w:val="none"/>
                <w:u w:val="none"/>
                <w:lang w:val="zh-CN" w:eastAsia="zh-CN"/>
              </w:rPr>
              <w:t>②</w:t>
            </w:r>
            <w:r>
              <w:rPr>
                <w:rFonts w:hint="eastAsia" w:ascii="宋体" w:hAnsi="宋体" w:cs="宋体"/>
                <w:sz w:val="21"/>
                <w:szCs w:val="21"/>
                <w:highlight w:val="none"/>
                <w:u w:val="none"/>
                <w:lang w:val="zh-CN" w:eastAsia="zh-CN"/>
              </w:rPr>
              <w:fldChar w:fldCharType="end"/>
            </w:r>
            <w:r>
              <w:rPr>
                <w:rFonts w:hint="eastAsia"/>
                <w:sz w:val="21"/>
                <w:szCs w:val="21"/>
                <w:u w:val="none"/>
                <w:lang w:val="en-US" w:eastAsia="zh-CN" w:bidi="ar-SA"/>
              </w:rPr>
              <w:t>对</w:t>
            </w:r>
            <w:r>
              <w:rPr>
                <w:rFonts w:hint="eastAsia" w:hAnsi="宋体"/>
                <w:sz w:val="21"/>
                <w:szCs w:val="21"/>
              </w:rPr>
              <w:t>本项目</w:t>
            </w:r>
            <w:r>
              <w:rPr>
                <w:rFonts w:hint="eastAsia" w:hAnsi="宋体"/>
                <w:sz w:val="21"/>
                <w:szCs w:val="21"/>
                <w:lang w:val="en-US" w:eastAsia="zh-CN"/>
              </w:rPr>
              <w:t>发行</w:t>
            </w:r>
            <w:r>
              <w:rPr>
                <w:rFonts w:hint="eastAsia" w:hAnsi="宋体"/>
                <w:sz w:val="21"/>
                <w:szCs w:val="21"/>
              </w:rPr>
              <w:t>进度计划详较为详细，</w:t>
            </w:r>
            <w:r>
              <w:rPr>
                <w:rFonts w:hint="eastAsia"/>
                <w:sz w:val="21"/>
                <w:szCs w:val="21"/>
                <w:u w:val="none"/>
                <w:lang w:val="en-US" w:eastAsia="zh-CN"/>
              </w:rPr>
              <w:t>服务质量保证措施</w:t>
            </w:r>
            <w:r>
              <w:rPr>
                <w:rFonts w:hint="eastAsia" w:hAnsi="宋体"/>
                <w:sz w:val="21"/>
                <w:szCs w:val="21"/>
              </w:rPr>
              <w:t>较为完善</w:t>
            </w:r>
            <w:r>
              <w:rPr>
                <w:rFonts w:hint="eastAsia"/>
                <w:sz w:val="21"/>
                <w:szCs w:val="21"/>
                <w:u w:val="none"/>
                <w:lang w:val="en-US" w:eastAsia="zh-CN"/>
              </w:rPr>
              <w:t>，服务承诺比较全面得8分；</w:t>
            </w:r>
          </w:p>
          <w:p w14:paraId="6F6B4563">
            <w:pPr>
              <w:pStyle w:val="10"/>
              <w:rPr>
                <w:rFonts w:hint="eastAsia"/>
                <w:sz w:val="21"/>
                <w:szCs w:val="21"/>
                <w:u w:val="none"/>
                <w:lang w:val="en-US" w:eastAsia="zh-CN"/>
              </w:rPr>
            </w:pPr>
            <w:r>
              <w:rPr>
                <w:rFonts w:hint="eastAsia" w:ascii="宋体" w:hAnsi="宋体" w:cs="宋体"/>
                <w:sz w:val="21"/>
                <w:szCs w:val="21"/>
                <w:u w:val="none"/>
                <w:lang w:val="zh-CN" w:eastAsia="zh-CN"/>
              </w:rPr>
              <w:t>③</w:t>
            </w:r>
            <w:r>
              <w:rPr>
                <w:rFonts w:hint="eastAsia"/>
                <w:sz w:val="21"/>
                <w:szCs w:val="21"/>
                <w:u w:val="none"/>
                <w:lang w:val="en-US" w:eastAsia="zh-CN" w:bidi="ar-SA"/>
              </w:rPr>
              <w:t>对</w:t>
            </w:r>
            <w:r>
              <w:rPr>
                <w:rFonts w:hint="eastAsia" w:hAnsi="宋体"/>
                <w:sz w:val="21"/>
                <w:szCs w:val="21"/>
              </w:rPr>
              <w:t>本项目</w:t>
            </w:r>
            <w:r>
              <w:rPr>
                <w:rFonts w:hint="eastAsia" w:hAnsi="宋体"/>
                <w:sz w:val="21"/>
                <w:szCs w:val="21"/>
                <w:lang w:val="en-US" w:eastAsia="zh-CN"/>
              </w:rPr>
              <w:t>发行</w:t>
            </w:r>
            <w:r>
              <w:rPr>
                <w:rFonts w:hint="eastAsia" w:hAnsi="宋体"/>
                <w:sz w:val="21"/>
                <w:szCs w:val="21"/>
              </w:rPr>
              <w:t>进度计划一般，</w:t>
            </w:r>
            <w:r>
              <w:rPr>
                <w:rFonts w:hint="eastAsia"/>
                <w:sz w:val="21"/>
                <w:szCs w:val="21"/>
                <w:u w:val="none"/>
                <w:lang w:val="en-US" w:eastAsia="zh-CN"/>
              </w:rPr>
              <w:t>服务质量保证措施</w:t>
            </w:r>
            <w:r>
              <w:rPr>
                <w:rFonts w:hint="eastAsia" w:hAnsi="宋体"/>
                <w:sz w:val="21"/>
                <w:szCs w:val="21"/>
              </w:rPr>
              <w:t>一般</w:t>
            </w:r>
            <w:r>
              <w:rPr>
                <w:rFonts w:hint="eastAsia"/>
                <w:sz w:val="21"/>
                <w:szCs w:val="21"/>
                <w:u w:val="none"/>
                <w:lang w:val="en-US" w:eastAsia="zh-CN"/>
              </w:rPr>
              <w:t>，服务承诺比较</w:t>
            </w:r>
            <w:r>
              <w:rPr>
                <w:rFonts w:hint="eastAsia" w:hAnsi="宋体"/>
                <w:sz w:val="21"/>
                <w:szCs w:val="21"/>
              </w:rPr>
              <w:t>一般</w:t>
            </w:r>
            <w:r>
              <w:rPr>
                <w:rFonts w:hint="eastAsia"/>
                <w:sz w:val="21"/>
                <w:szCs w:val="21"/>
                <w:u w:val="none"/>
                <w:lang w:val="en-US" w:eastAsia="zh-CN"/>
              </w:rPr>
              <w:t>得6分；</w:t>
            </w:r>
          </w:p>
          <w:p w14:paraId="006A4EF7">
            <w:pPr>
              <w:pStyle w:val="10"/>
              <w:ind w:firstLine="210" w:firstLineChars="100"/>
              <w:rPr>
                <w:rFonts w:hint="eastAsia"/>
                <w:sz w:val="21"/>
                <w:szCs w:val="21"/>
                <w:u w:val="none"/>
                <w:lang w:val="en-US" w:eastAsia="zh-CN" w:bidi="ar-SA"/>
              </w:rPr>
            </w:pPr>
            <w:r>
              <w:rPr>
                <w:rFonts w:hint="eastAsia" w:ascii="宋体" w:hAnsi="宋体" w:eastAsia="宋体" w:cs="宋体"/>
                <w:color w:val="auto"/>
                <w:sz w:val="21"/>
                <w:szCs w:val="21"/>
                <w:highlight w:val="none"/>
                <w:lang w:val="zh-CN" w:eastAsia="zh-CN" w:bidi="ar-SA"/>
              </w:rPr>
              <w:t>无提供不得分。</w:t>
            </w:r>
          </w:p>
        </w:tc>
      </w:tr>
      <w:tr w14:paraId="547D1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14:paraId="2A06245A">
            <w:pPr>
              <w:widowControl w:val="0"/>
              <w:tabs>
                <w:tab w:val="left" w:pos="907"/>
              </w:tabs>
              <w:adjustRightInd/>
              <w:snapToGrid/>
              <w:ind w:firstLine="422" w:firstLineChars="200"/>
              <w:jc w:val="both"/>
              <w:rPr>
                <w:rFonts w:ascii="宋体" w:hAnsi="宋体" w:cs="宋体"/>
                <w:b/>
                <w:szCs w:val="21"/>
                <w:u w:val="none"/>
              </w:rPr>
            </w:pPr>
            <w:r>
              <w:rPr>
                <w:rFonts w:hint="eastAsia" w:ascii="宋体" w:hAnsi="宋体" w:cs="宋体"/>
                <w:b/>
                <w:szCs w:val="21"/>
                <w:u w:val="none"/>
              </w:rPr>
              <w:t>注：</w:t>
            </w:r>
          </w:p>
          <w:p w14:paraId="2960B98C">
            <w:pPr>
              <w:widowControl w:val="0"/>
              <w:tabs>
                <w:tab w:val="left" w:pos="907"/>
              </w:tabs>
              <w:adjustRightInd/>
              <w:snapToGrid/>
              <w:ind w:firstLine="422" w:firstLineChars="200"/>
              <w:jc w:val="both"/>
              <w:rPr>
                <w:rFonts w:hint="eastAsia" w:ascii="宋体" w:hAnsi="宋体" w:eastAsia="宋体" w:cs="宋体"/>
                <w:b/>
                <w:szCs w:val="21"/>
                <w:highlight w:val="none"/>
                <w:u w:val="none"/>
                <w:lang w:val="en-US" w:eastAsia="zh-CN"/>
              </w:rPr>
            </w:pPr>
            <w:r>
              <w:rPr>
                <w:rFonts w:hint="eastAsia" w:ascii="宋体" w:hAnsi="宋体" w:cs="宋体"/>
                <w:b/>
                <w:szCs w:val="21"/>
                <w:highlight w:val="none"/>
                <w:u w:val="none"/>
              </w:rPr>
              <w:t>（</w:t>
            </w:r>
            <w:r>
              <w:rPr>
                <w:rFonts w:hint="eastAsia" w:ascii="宋体" w:hAnsi="宋体" w:cs="宋体"/>
                <w:b/>
                <w:szCs w:val="21"/>
                <w:highlight w:val="none"/>
                <w:u w:val="none"/>
                <w:lang w:val="en-US" w:eastAsia="zh-CN"/>
              </w:rPr>
              <w:t>1</w:t>
            </w:r>
            <w:r>
              <w:rPr>
                <w:rFonts w:hint="eastAsia" w:ascii="宋体" w:hAnsi="宋体" w:cs="宋体"/>
                <w:b/>
                <w:szCs w:val="21"/>
                <w:highlight w:val="none"/>
                <w:u w:val="none"/>
              </w:rPr>
              <w:t>）</w:t>
            </w:r>
            <w:r>
              <w:rPr>
                <w:rFonts w:hint="eastAsia" w:ascii="宋体" w:hAnsi="宋体" w:cs="宋体"/>
                <w:b/>
                <w:szCs w:val="21"/>
                <w:highlight w:val="none"/>
                <w:u w:val="none"/>
                <w:lang w:val="en-US" w:eastAsia="zh-CN"/>
              </w:rPr>
              <w:t>除</w:t>
            </w:r>
            <w:r>
              <w:rPr>
                <w:rFonts w:hint="eastAsia" w:ascii="宋体" w:hAnsi="宋体" w:cs="宋体"/>
                <w:b/>
                <w:szCs w:val="21"/>
                <w:highlight w:val="none"/>
                <w:u w:val="none"/>
              </w:rPr>
              <w:t>特殊说明外，以上评审项，同一证明文件不重复计分</w:t>
            </w:r>
            <w:r>
              <w:rPr>
                <w:rFonts w:hint="eastAsia" w:ascii="宋体" w:hAnsi="宋体" w:cs="宋体"/>
                <w:b/>
                <w:szCs w:val="21"/>
                <w:highlight w:val="none"/>
                <w:u w:val="none"/>
                <w:lang w:eastAsia="zh-CN"/>
              </w:rPr>
              <w:t>。</w:t>
            </w:r>
          </w:p>
          <w:p w14:paraId="4E17969F">
            <w:pPr>
              <w:widowControl w:val="0"/>
              <w:tabs>
                <w:tab w:val="left" w:pos="907"/>
              </w:tabs>
              <w:adjustRightInd/>
              <w:snapToGrid/>
              <w:ind w:firstLine="422" w:firstLineChars="200"/>
              <w:jc w:val="both"/>
              <w:rPr>
                <w:rFonts w:ascii="宋体" w:hAnsi="宋体" w:cs="宋体"/>
                <w:szCs w:val="21"/>
              </w:rPr>
            </w:pPr>
            <w:r>
              <w:rPr>
                <w:rFonts w:hint="eastAsia" w:ascii="宋体" w:hAnsi="宋体" w:cs="宋体"/>
                <w:b/>
                <w:szCs w:val="21"/>
                <w:highlight w:val="none"/>
                <w:u w:val="none"/>
                <w:lang w:eastAsia="zh-CN"/>
              </w:rPr>
              <w:t>（</w:t>
            </w:r>
            <w:r>
              <w:rPr>
                <w:rFonts w:hint="eastAsia" w:ascii="宋体" w:hAnsi="宋体" w:cs="宋体"/>
                <w:b/>
                <w:szCs w:val="21"/>
                <w:highlight w:val="none"/>
                <w:u w:val="none"/>
                <w:lang w:val="en-US" w:eastAsia="zh-CN"/>
              </w:rPr>
              <w:t>2</w:t>
            </w:r>
            <w:r>
              <w:rPr>
                <w:rFonts w:hint="eastAsia" w:ascii="宋体" w:hAnsi="宋体" w:cs="宋体"/>
                <w:b/>
                <w:szCs w:val="21"/>
                <w:highlight w:val="none"/>
                <w:u w:val="none"/>
                <w:lang w:eastAsia="zh-CN"/>
              </w:rPr>
              <w:t>）</w:t>
            </w:r>
            <w:r>
              <w:rPr>
                <w:rFonts w:hint="eastAsia" w:ascii="宋体" w:hAnsi="宋体" w:cs="宋体"/>
                <w:b/>
                <w:szCs w:val="21"/>
                <w:highlight w:val="none"/>
                <w:u w:val="none"/>
              </w:rPr>
              <w:t>投标人根据以上评分要求提供的投标材料因模糊不清导致评标委员会无法清晰辨认进行评审的，视为无效</w:t>
            </w:r>
            <w:r>
              <w:rPr>
                <w:rFonts w:hint="eastAsia" w:ascii="宋体" w:hAnsi="宋体" w:cs="宋体"/>
                <w:b/>
                <w:szCs w:val="21"/>
                <w:u w:val="none"/>
              </w:rPr>
              <w:t>材料。</w:t>
            </w:r>
          </w:p>
        </w:tc>
      </w:tr>
    </w:tbl>
    <w:p w14:paraId="3D9E2AC8">
      <w:pPr>
        <w:ind w:firstLine="420" w:firstLineChars="200"/>
        <w:rPr>
          <w:rFonts w:hint="eastAsia"/>
          <w:color w:val="auto"/>
          <w:highlight w:val="none"/>
        </w:rPr>
      </w:pPr>
      <w:r>
        <w:rPr>
          <w:rFonts w:hint="eastAsia"/>
          <w:color w:val="auto"/>
        </w:rPr>
        <w:t>注：评标委员会评委按评标标准独立对技术标进行评审，得出技术标评分。当评标委员会为五人时，在所有评委</w:t>
      </w:r>
      <w:r>
        <w:rPr>
          <w:rFonts w:hint="eastAsia"/>
          <w:color w:val="auto"/>
          <w:highlight w:val="none"/>
        </w:rPr>
        <w:t>对同一份投标文件技术标评审的总评分中，去掉一个最高分和一个最低分，计算剩余总评分的算术平均值即为该投标人技术标的最终综合得分；当评标委员会为七人及以上单数时，在各评委的打分中，同一评委的最高评分减去最低评分，去掉分差最大评委的所有技术标评分（当一位或两位评委评分差值最大时均取消其评委评分，当多于两位评分差值均最大时，不取消任一评委评分），在所有剩余评委对同一份投标文件技术部分评审的总评分中，去掉一个最高分和一个最低分，计算剩余总评分的算术平均值即为该投标人技术部分的最终综合得分。</w:t>
      </w:r>
    </w:p>
    <w:p w14:paraId="62E69FBF">
      <w:pPr>
        <w:rPr>
          <w:rFonts w:hint="eastAsia"/>
          <w:color w:val="auto"/>
          <w:sz w:val="28"/>
          <w:szCs w:val="28"/>
        </w:rPr>
      </w:pPr>
      <w:r>
        <w:rPr>
          <w:rFonts w:hint="eastAsia"/>
          <w:color w:val="auto"/>
          <w:sz w:val="28"/>
          <w:szCs w:val="28"/>
        </w:rPr>
        <w:br w:type="page"/>
      </w:r>
    </w:p>
    <w:p w14:paraId="32D0D577">
      <w:pPr>
        <w:pStyle w:val="3"/>
        <w:spacing w:before="0" w:after="0" w:line="240" w:lineRule="auto"/>
        <w:rPr>
          <w:color w:val="auto"/>
          <w:sz w:val="36"/>
          <w:szCs w:val="36"/>
        </w:rPr>
      </w:pPr>
      <w:bookmarkStart w:id="5" w:name="_Toc10752"/>
      <w:r>
        <w:rPr>
          <w:rFonts w:hint="eastAsia"/>
          <w:color w:val="auto"/>
          <w:sz w:val="28"/>
          <w:szCs w:val="28"/>
        </w:rPr>
        <w:t>第三部分用户需求书</w:t>
      </w:r>
      <w:bookmarkEnd w:id="5"/>
    </w:p>
    <w:p w14:paraId="39FA665F">
      <w:pPr>
        <w:pStyle w:val="4"/>
        <w:spacing w:before="0" w:after="0" w:line="360" w:lineRule="auto"/>
        <w:jc w:val="center"/>
        <w:rPr>
          <w:rFonts w:ascii="宋体" w:hAnsi="宋体"/>
          <w:color w:val="auto"/>
        </w:rPr>
      </w:pPr>
      <w:bookmarkStart w:id="6" w:name="_Toc1593"/>
      <w:bookmarkStart w:id="7" w:name="_Toc23276"/>
      <w:bookmarkStart w:id="8" w:name="_Toc308786492"/>
      <w:bookmarkStart w:id="9" w:name="_Toc24679"/>
      <w:bookmarkStart w:id="10" w:name="_Toc14462"/>
      <w:bookmarkStart w:id="11" w:name="_Toc31278"/>
      <w:bookmarkStart w:id="12" w:name="_Toc13112"/>
      <w:r>
        <w:rPr>
          <w:rFonts w:hint="eastAsia" w:ascii="宋体" w:hAnsi="宋体"/>
          <w:color w:val="auto"/>
        </w:rPr>
        <w:t>第一章 商务需求书</w:t>
      </w:r>
      <w:bookmarkEnd w:id="6"/>
      <w:bookmarkEnd w:id="7"/>
    </w:p>
    <w:tbl>
      <w:tblPr>
        <w:tblStyle w:val="30"/>
        <w:tblW w:w="868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1501"/>
        <w:gridCol w:w="6466"/>
      </w:tblGrid>
      <w:tr w14:paraId="49C4F9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18" w:type="dxa"/>
            <w:vAlign w:val="center"/>
          </w:tcPr>
          <w:p w14:paraId="308136F7">
            <w:pPr>
              <w:jc w:val="center"/>
              <w:rPr>
                <w:rFonts w:ascii="宋体" w:hAnsi="宋体" w:cs="宋体"/>
                <w:color w:val="auto"/>
                <w:szCs w:val="21"/>
              </w:rPr>
            </w:pPr>
            <w:r>
              <w:rPr>
                <w:rFonts w:hint="eastAsia" w:ascii="宋体" w:hAnsi="宋体" w:cs="宋体"/>
                <w:color w:val="auto"/>
                <w:szCs w:val="21"/>
              </w:rPr>
              <w:t>序号</w:t>
            </w:r>
          </w:p>
        </w:tc>
        <w:tc>
          <w:tcPr>
            <w:tcW w:w="1501" w:type="dxa"/>
            <w:vAlign w:val="center"/>
          </w:tcPr>
          <w:p w14:paraId="5969E519">
            <w:pPr>
              <w:jc w:val="center"/>
              <w:rPr>
                <w:rFonts w:ascii="宋体" w:hAnsi="宋体" w:cs="宋体"/>
                <w:color w:val="auto"/>
                <w:szCs w:val="21"/>
              </w:rPr>
            </w:pPr>
            <w:r>
              <w:rPr>
                <w:rFonts w:hint="eastAsia" w:ascii="宋体" w:hAnsi="宋体" w:cs="宋体"/>
                <w:color w:val="auto"/>
                <w:szCs w:val="21"/>
              </w:rPr>
              <w:t>条款名称</w:t>
            </w:r>
          </w:p>
        </w:tc>
        <w:tc>
          <w:tcPr>
            <w:tcW w:w="6466" w:type="dxa"/>
            <w:vAlign w:val="center"/>
          </w:tcPr>
          <w:p w14:paraId="47FB4D83">
            <w:pPr>
              <w:jc w:val="center"/>
              <w:rPr>
                <w:rFonts w:ascii="宋体" w:hAnsi="宋体" w:cs="宋体"/>
                <w:color w:val="auto"/>
                <w:szCs w:val="21"/>
              </w:rPr>
            </w:pPr>
            <w:r>
              <w:rPr>
                <w:rFonts w:hint="eastAsia" w:ascii="宋体" w:hAnsi="宋体" w:cs="宋体"/>
                <w:color w:val="auto"/>
                <w:szCs w:val="21"/>
              </w:rPr>
              <w:t>说  明</w:t>
            </w:r>
          </w:p>
        </w:tc>
      </w:tr>
      <w:tr w14:paraId="2AA28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trPr>
        <w:tc>
          <w:tcPr>
            <w:tcW w:w="718" w:type="dxa"/>
            <w:vAlign w:val="center"/>
          </w:tcPr>
          <w:p w14:paraId="14C8E1F6">
            <w:pPr>
              <w:jc w:val="center"/>
              <w:rPr>
                <w:rFonts w:ascii="宋体" w:hAnsi="宋体" w:cs="宋体"/>
                <w:color w:val="auto"/>
                <w:szCs w:val="21"/>
              </w:rPr>
            </w:pPr>
            <w:r>
              <w:rPr>
                <w:rFonts w:hint="eastAsia" w:ascii="宋体" w:hAnsi="宋体" w:cs="宋体"/>
                <w:color w:val="auto"/>
                <w:szCs w:val="21"/>
              </w:rPr>
              <w:t>1</w:t>
            </w:r>
          </w:p>
        </w:tc>
        <w:tc>
          <w:tcPr>
            <w:tcW w:w="1501" w:type="dxa"/>
            <w:vAlign w:val="center"/>
          </w:tcPr>
          <w:p w14:paraId="20BD0254">
            <w:pPr>
              <w:jc w:val="center"/>
              <w:rPr>
                <w:rFonts w:ascii="宋体" w:hAnsi="宋体" w:cs="宋体"/>
                <w:color w:val="auto"/>
                <w:szCs w:val="21"/>
              </w:rPr>
            </w:pPr>
            <w:r>
              <w:rPr>
                <w:rFonts w:hint="eastAsia" w:ascii="宋体" w:hAnsi="宋体" w:cs="宋体"/>
                <w:color w:val="auto"/>
                <w:szCs w:val="21"/>
              </w:rPr>
              <w:t>合格投标人</w:t>
            </w:r>
          </w:p>
        </w:tc>
        <w:tc>
          <w:tcPr>
            <w:tcW w:w="6466" w:type="dxa"/>
            <w:vAlign w:val="center"/>
          </w:tcPr>
          <w:p w14:paraId="070E551B">
            <w:pPr>
              <w:pStyle w:val="42"/>
              <w:ind w:firstLine="420" w:firstLineChars="200"/>
              <w:rPr>
                <w:rFonts w:ascii="宋体" w:hAnsi="宋体" w:cs="宋体"/>
                <w:bCs/>
                <w:color w:val="auto"/>
                <w:kern w:val="44"/>
                <w:szCs w:val="21"/>
              </w:rPr>
            </w:pPr>
            <w:r>
              <w:rPr>
                <w:rFonts w:hint="eastAsia" w:ascii="宋体" w:hAnsi="宋体" w:cs="宋体"/>
                <w:color w:val="auto"/>
                <w:szCs w:val="21"/>
              </w:rPr>
              <w:t>详见“第一部分 投标邀请”中“二、投标人资格要求”</w:t>
            </w:r>
          </w:p>
        </w:tc>
      </w:tr>
      <w:tr w14:paraId="7AB3CC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trPr>
        <w:tc>
          <w:tcPr>
            <w:tcW w:w="718" w:type="dxa"/>
            <w:vAlign w:val="center"/>
          </w:tcPr>
          <w:p w14:paraId="57FDD601">
            <w:pPr>
              <w:jc w:val="center"/>
              <w:rPr>
                <w:rFonts w:ascii="宋体" w:hAnsi="宋体" w:cs="宋体"/>
                <w:color w:val="auto"/>
                <w:szCs w:val="21"/>
              </w:rPr>
            </w:pPr>
            <w:r>
              <w:rPr>
                <w:rFonts w:hint="eastAsia" w:ascii="宋体" w:hAnsi="宋体" w:cs="宋体"/>
                <w:color w:val="auto"/>
                <w:szCs w:val="21"/>
              </w:rPr>
              <w:t>2</w:t>
            </w:r>
          </w:p>
        </w:tc>
        <w:tc>
          <w:tcPr>
            <w:tcW w:w="1501" w:type="dxa"/>
            <w:vAlign w:val="center"/>
          </w:tcPr>
          <w:p w14:paraId="6D279BA4">
            <w:pPr>
              <w:jc w:val="center"/>
              <w:rPr>
                <w:rFonts w:ascii="宋体" w:hAnsi="宋体" w:cs="宋体"/>
                <w:color w:val="auto"/>
                <w:szCs w:val="21"/>
              </w:rPr>
            </w:pPr>
            <w:r>
              <w:rPr>
                <w:rFonts w:hint="eastAsia" w:ascii="宋体" w:hAnsi="宋体" w:cs="宋体"/>
                <w:color w:val="auto"/>
                <w:szCs w:val="21"/>
              </w:rPr>
              <w:t>服务期</w:t>
            </w:r>
          </w:p>
        </w:tc>
        <w:tc>
          <w:tcPr>
            <w:tcW w:w="6466" w:type="dxa"/>
            <w:vAlign w:val="center"/>
          </w:tcPr>
          <w:p w14:paraId="4385E793">
            <w:pPr>
              <w:pStyle w:val="39"/>
              <w:spacing w:line="360" w:lineRule="auto"/>
              <w:ind w:firstLine="420" w:firstLineChars="200"/>
              <w:rPr>
                <w:rFonts w:ascii="宋体" w:hAnsi="宋体" w:cs="宋体"/>
                <w:color w:val="auto"/>
                <w:szCs w:val="21"/>
              </w:rPr>
            </w:pPr>
            <w:r>
              <w:rPr>
                <w:rFonts w:hint="eastAsia" w:ascii="宋体" w:hAnsi="宋体" w:eastAsia="宋体" w:cs="宋体"/>
                <w:color w:val="auto"/>
                <w:sz w:val="21"/>
                <w:szCs w:val="21"/>
                <w:lang w:val="en-US" w:eastAsia="zh-CN" w:bidi="ar-SA"/>
              </w:rPr>
              <w:t>本项目服务期自签订服务合同之日起至本项目工作全部完成止。</w:t>
            </w:r>
          </w:p>
        </w:tc>
      </w:tr>
      <w:tr w14:paraId="665265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8" w:hRule="atLeast"/>
        </w:trPr>
        <w:tc>
          <w:tcPr>
            <w:tcW w:w="718" w:type="dxa"/>
            <w:vAlign w:val="center"/>
          </w:tcPr>
          <w:p w14:paraId="2333E5D2">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3</w:t>
            </w:r>
          </w:p>
        </w:tc>
        <w:tc>
          <w:tcPr>
            <w:tcW w:w="1501" w:type="dxa"/>
            <w:vAlign w:val="center"/>
          </w:tcPr>
          <w:p w14:paraId="4C9079F4">
            <w:pPr>
              <w:jc w:val="center"/>
              <w:rPr>
                <w:rFonts w:ascii="宋体" w:hAnsi="宋体" w:cs="宋体"/>
                <w:color w:val="auto"/>
                <w:szCs w:val="21"/>
              </w:rPr>
            </w:pPr>
            <w:r>
              <w:rPr>
                <w:rFonts w:hint="eastAsia" w:ascii="宋体" w:hAnsi="宋体" w:cs="宋体"/>
                <w:color w:val="auto"/>
                <w:szCs w:val="21"/>
              </w:rPr>
              <w:t>付款方式</w:t>
            </w:r>
          </w:p>
        </w:tc>
        <w:tc>
          <w:tcPr>
            <w:tcW w:w="6466" w:type="dxa"/>
            <w:vAlign w:val="center"/>
          </w:tcPr>
          <w:p w14:paraId="63E78C3A">
            <w:pPr>
              <w:pStyle w:val="9"/>
              <w:shd w:val="clear" w:color="auto" w:fill="auto"/>
              <w:spacing w:after="0" w:line="400" w:lineRule="exact"/>
              <w:ind w:left="120" w:leftChars="0" w:firstLine="420" w:firstLineChars="200"/>
              <w:rPr>
                <w:color w:val="auto"/>
              </w:rPr>
            </w:pPr>
            <w:r>
              <w:rPr>
                <w:rFonts w:hint="eastAsia" w:ascii="宋体" w:hAnsi="宋体" w:eastAsia="宋体" w:cs="宋体"/>
                <w:color w:val="auto"/>
                <w:sz w:val="21"/>
                <w:szCs w:val="21"/>
                <w:lang w:val="en-US" w:eastAsia="zh-CN" w:bidi="ar-SA"/>
              </w:rPr>
              <w:t>承销费按“当期债务融资工具发行面值总额×发行年限×年承销费率”进行计算。承销费由簿记管理人在缴款日从募集资金中扣收。如采购人在本次超短期融资券获得注册后的有效期内没有发行，采购人无需向中标人支付承销费用。</w:t>
            </w:r>
          </w:p>
        </w:tc>
      </w:tr>
      <w:tr w14:paraId="75EEE3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6" w:hRule="atLeast"/>
        </w:trPr>
        <w:tc>
          <w:tcPr>
            <w:tcW w:w="718" w:type="dxa"/>
            <w:vAlign w:val="center"/>
          </w:tcPr>
          <w:p w14:paraId="28F2CE75">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4</w:t>
            </w:r>
          </w:p>
        </w:tc>
        <w:tc>
          <w:tcPr>
            <w:tcW w:w="1501" w:type="dxa"/>
            <w:vAlign w:val="center"/>
          </w:tcPr>
          <w:p w14:paraId="71DE8C6A">
            <w:pPr>
              <w:jc w:val="center"/>
              <w:rPr>
                <w:rFonts w:ascii="宋体" w:hAnsi="宋体" w:cs="宋体"/>
                <w:color w:val="auto"/>
                <w:szCs w:val="21"/>
              </w:rPr>
            </w:pPr>
            <w:r>
              <w:rPr>
                <w:rFonts w:hint="eastAsia" w:ascii="宋体" w:hAnsi="宋体" w:cs="宋体"/>
                <w:color w:val="auto"/>
                <w:szCs w:val="21"/>
              </w:rPr>
              <w:t>项目地点</w:t>
            </w:r>
          </w:p>
        </w:tc>
        <w:tc>
          <w:tcPr>
            <w:tcW w:w="6466" w:type="dxa"/>
            <w:vAlign w:val="center"/>
          </w:tcPr>
          <w:p w14:paraId="7EB37202">
            <w:pPr>
              <w:ind w:firstLine="420" w:firstLineChars="200"/>
              <w:rPr>
                <w:rFonts w:ascii="宋体" w:hAnsi="宋体" w:cs="宋体"/>
                <w:color w:val="auto"/>
                <w:szCs w:val="21"/>
              </w:rPr>
            </w:pPr>
            <w:r>
              <w:rPr>
                <w:rFonts w:hint="eastAsia" w:ascii="宋体" w:hAnsi="宋体" w:cs="宋体"/>
                <w:color w:val="auto"/>
                <w:szCs w:val="21"/>
                <w:lang w:val="en-US" w:eastAsia="zh-CN"/>
              </w:rPr>
              <w:t>东莞实业投资控股集团有限公司或采购人指定地点</w:t>
            </w:r>
            <w:r>
              <w:rPr>
                <w:rFonts w:hint="eastAsia" w:ascii="宋体" w:hAnsi="宋体" w:cs="宋体"/>
                <w:color w:val="auto"/>
                <w:szCs w:val="21"/>
              </w:rPr>
              <w:t>。</w:t>
            </w:r>
          </w:p>
        </w:tc>
      </w:tr>
      <w:tr w14:paraId="2DA11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6" w:hRule="atLeast"/>
        </w:trPr>
        <w:tc>
          <w:tcPr>
            <w:tcW w:w="718" w:type="dxa"/>
            <w:vAlign w:val="center"/>
          </w:tcPr>
          <w:p w14:paraId="78ED365B">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5</w:t>
            </w:r>
          </w:p>
        </w:tc>
        <w:tc>
          <w:tcPr>
            <w:tcW w:w="1501" w:type="dxa"/>
            <w:vAlign w:val="center"/>
          </w:tcPr>
          <w:p w14:paraId="42207099">
            <w:pPr>
              <w:jc w:val="center"/>
              <w:rPr>
                <w:rFonts w:ascii="宋体" w:hAnsi="宋体" w:cs="宋体"/>
                <w:color w:val="auto"/>
                <w:szCs w:val="21"/>
              </w:rPr>
            </w:pPr>
            <w:r>
              <w:rPr>
                <w:rFonts w:hint="eastAsia" w:ascii="宋体" w:hAnsi="宋体" w:cs="宋体"/>
                <w:color w:val="auto"/>
                <w:szCs w:val="21"/>
              </w:rPr>
              <w:t>报价要求</w:t>
            </w:r>
          </w:p>
        </w:tc>
        <w:tc>
          <w:tcPr>
            <w:tcW w:w="6466" w:type="dxa"/>
            <w:vAlign w:val="center"/>
          </w:tcPr>
          <w:p w14:paraId="525C7FF6">
            <w:pPr>
              <w:pStyle w:val="8"/>
              <w:ind w:firstLine="560" w:firstLineChars="200"/>
              <w:rPr>
                <w:rFonts w:hint="eastAsia" w:ascii="宋体" w:hAnsi="宋体" w:cs="宋体"/>
                <w:color w:val="auto"/>
                <w:szCs w:val="21"/>
                <w:lang w:eastAsia="zh-CN"/>
              </w:rPr>
            </w:pPr>
            <w:r>
              <w:rPr>
                <w:rFonts w:hint="eastAsia" w:ascii="仿宋_GB2312" w:hAnsi="仿宋_GB2312" w:eastAsia="仿宋_GB2312" w:cs="仿宋_GB2312"/>
                <w:color w:val="auto"/>
                <w:sz w:val="28"/>
                <w:szCs w:val="28"/>
                <w:lang w:eastAsia="zh-CN"/>
              </w:rPr>
              <w:t>★</w:t>
            </w:r>
            <w:r>
              <w:rPr>
                <w:rFonts w:hint="eastAsia" w:ascii="宋体" w:hAnsi="宋体" w:cs="宋体"/>
                <w:color w:val="auto"/>
                <w:szCs w:val="21"/>
                <w:lang w:eastAsia="zh-CN"/>
              </w:rPr>
              <w:t>本项目采用承销费率的方式进行报价，即以承销费占募集款项的比例的形式报价。最高限价0.01%/年，超过最高限价的承销费率</w:t>
            </w:r>
            <w:r>
              <w:rPr>
                <w:rFonts w:hint="eastAsia" w:ascii="宋体" w:hAnsi="宋体" w:cs="宋体"/>
                <w:color w:val="auto"/>
                <w:szCs w:val="21"/>
                <w:lang w:val="en-US" w:eastAsia="zh-CN"/>
              </w:rPr>
              <w:t>的作无效投标处理</w:t>
            </w:r>
            <w:r>
              <w:rPr>
                <w:rFonts w:hint="eastAsia" w:ascii="宋体" w:hAnsi="宋体" w:cs="宋体"/>
                <w:color w:val="auto"/>
                <w:szCs w:val="21"/>
                <w:lang w:eastAsia="zh-CN"/>
              </w:rPr>
              <w:t>。</w:t>
            </w:r>
          </w:p>
          <w:p w14:paraId="2403F326">
            <w:pPr>
              <w:pStyle w:val="8"/>
              <w:ind w:firstLine="420" w:firstLineChars="200"/>
              <w:rPr>
                <w:rFonts w:ascii="宋体" w:hAnsi="宋体" w:cs="宋体"/>
                <w:color w:val="auto"/>
                <w:szCs w:val="21"/>
              </w:rPr>
            </w:pPr>
            <w:r>
              <w:rPr>
                <w:rFonts w:hint="eastAsia" w:ascii="宋体" w:hAnsi="宋体" w:cs="宋体"/>
                <w:color w:val="auto"/>
                <w:szCs w:val="21"/>
                <w:lang w:eastAsia="zh-CN"/>
              </w:rPr>
              <w:t>含中标人履行本</w:t>
            </w:r>
            <w:r>
              <w:rPr>
                <w:rFonts w:hint="eastAsia" w:ascii="宋体" w:hAnsi="宋体" w:cs="宋体"/>
                <w:color w:val="auto"/>
                <w:szCs w:val="21"/>
                <w:lang w:val="en-US" w:eastAsia="zh-CN"/>
              </w:rPr>
              <w:t>采购</w:t>
            </w:r>
            <w:r>
              <w:rPr>
                <w:rFonts w:hint="eastAsia" w:ascii="宋体" w:hAnsi="宋体" w:cs="宋体"/>
                <w:color w:val="auto"/>
                <w:szCs w:val="21"/>
                <w:lang w:eastAsia="zh-CN"/>
              </w:rPr>
              <w:t>内容全部义务的一切费用，包括但不限于发行费、文本制作费、信息披露费、修改费、咨询费、审查费、报批费用、现场服务费、差旅费、通讯费、现场办公费、税金及利润、路演推介费等投标人全面妥善履行发行工作内容的全部费用，除律师费、评级费、会计师费、登记托管兑付费、集中簿记建档费、注册入会费以及双方另有约定的应由</w:t>
            </w:r>
            <w:r>
              <w:rPr>
                <w:rFonts w:hint="eastAsia" w:ascii="宋体" w:hAnsi="宋体" w:cs="宋体"/>
                <w:color w:val="auto"/>
                <w:szCs w:val="21"/>
                <w:lang w:val="en-US" w:eastAsia="zh-CN"/>
              </w:rPr>
              <w:t>采购</w:t>
            </w:r>
            <w:r>
              <w:rPr>
                <w:rFonts w:hint="eastAsia" w:ascii="宋体" w:hAnsi="宋体" w:cs="宋体"/>
                <w:color w:val="auto"/>
                <w:szCs w:val="21"/>
                <w:lang w:eastAsia="zh-CN"/>
              </w:rPr>
              <w:t>人支付的项目外，</w:t>
            </w:r>
            <w:r>
              <w:rPr>
                <w:rFonts w:hint="eastAsia" w:ascii="宋体" w:hAnsi="宋体" w:cs="宋体"/>
                <w:color w:val="auto"/>
                <w:szCs w:val="21"/>
                <w:lang w:val="en-US" w:eastAsia="zh-CN"/>
              </w:rPr>
              <w:t>采购</w:t>
            </w:r>
            <w:r>
              <w:rPr>
                <w:rFonts w:hint="eastAsia" w:ascii="宋体" w:hAnsi="宋体" w:cs="宋体"/>
                <w:color w:val="auto"/>
                <w:szCs w:val="21"/>
                <w:lang w:eastAsia="zh-CN"/>
              </w:rPr>
              <w:t>人不再支付其他任何费用。</w:t>
            </w:r>
          </w:p>
        </w:tc>
      </w:tr>
      <w:tr w14:paraId="641DB5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1" w:hRule="atLeast"/>
        </w:trPr>
        <w:tc>
          <w:tcPr>
            <w:tcW w:w="718" w:type="dxa"/>
            <w:vAlign w:val="center"/>
          </w:tcPr>
          <w:p w14:paraId="44814BAF">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1501" w:type="dxa"/>
            <w:vAlign w:val="center"/>
          </w:tcPr>
          <w:p w14:paraId="7B434969">
            <w:pPr>
              <w:jc w:val="center"/>
              <w:rPr>
                <w:rFonts w:ascii="宋体" w:hAnsi="宋体" w:cs="宋体"/>
                <w:color w:val="auto"/>
                <w:szCs w:val="21"/>
              </w:rPr>
            </w:pPr>
            <w:r>
              <w:rPr>
                <w:rFonts w:hint="eastAsia" w:ascii="宋体" w:hAnsi="宋体" w:cs="宋体"/>
                <w:color w:val="auto"/>
                <w:szCs w:val="21"/>
              </w:rPr>
              <w:t>投标有效期</w:t>
            </w:r>
          </w:p>
        </w:tc>
        <w:tc>
          <w:tcPr>
            <w:tcW w:w="6466" w:type="dxa"/>
            <w:vAlign w:val="center"/>
          </w:tcPr>
          <w:p w14:paraId="53E808DE">
            <w:pPr>
              <w:tabs>
                <w:tab w:val="center" w:pos="3125"/>
              </w:tabs>
              <w:ind w:firstLine="420" w:firstLineChars="200"/>
              <w:rPr>
                <w:rFonts w:ascii="宋体" w:hAnsi="宋体" w:cs="宋体"/>
                <w:color w:val="auto"/>
                <w:szCs w:val="21"/>
              </w:rPr>
            </w:pPr>
            <w:r>
              <w:rPr>
                <w:rFonts w:hint="eastAsia" w:ascii="宋体" w:hAnsi="宋体" w:cs="宋体"/>
                <w:color w:val="auto"/>
                <w:szCs w:val="21"/>
              </w:rPr>
              <w:t>自开标之日起90天。</w:t>
            </w:r>
          </w:p>
        </w:tc>
      </w:tr>
      <w:tr w14:paraId="76128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1" w:hRule="atLeast"/>
        </w:trPr>
        <w:tc>
          <w:tcPr>
            <w:tcW w:w="718" w:type="dxa"/>
            <w:vAlign w:val="center"/>
          </w:tcPr>
          <w:p w14:paraId="2F9AEB0A">
            <w:pPr>
              <w:jc w:val="center"/>
              <w:rPr>
                <w:rFonts w:hint="eastAsia" w:ascii="宋体" w:hAnsi="宋体" w:eastAsia="宋体" w:cs="宋体"/>
                <w:color w:val="auto"/>
                <w:szCs w:val="21"/>
                <w:lang w:eastAsia="zh-CN"/>
              </w:rPr>
            </w:pPr>
            <w:r>
              <w:rPr>
                <w:rFonts w:hint="eastAsia" w:ascii="宋体" w:hAnsi="宋体" w:cs="宋体"/>
                <w:color w:val="auto"/>
                <w:szCs w:val="21"/>
                <w:highlight w:val="none"/>
                <w:lang w:val="en-US" w:eastAsia="zh-CN"/>
              </w:rPr>
              <w:t>7</w:t>
            </w:r>
          </w:p>
        </w:tc>
        <w:tc>
          <w:tcPr>
            <w:tcW w:w="1501" w:type="dxa"/>
            <w:vAlign w:val="center"/>
          </w:tcPr>
          <w:p w14:paraId="5491955C">
            <w:pPr>
              <w:jc w:val="center"/>
              <w:rPr>
                <w:rFonts w:ascii="宋体" w:hAnsi="宋体" w:cs="宋体"/>
                <w:color w:val="auto"/>
                <w:szCs w:val="21"/>
              </w:rPr>
            </w:pPr>
            <w:r>
              <w:rPr>
                <w:rFonts w:hint="eastAsia" w:ascii="宋体" w:hAnsi="宋体" w:cs="宋体"/>
                <w:color w:val="auto"/>
                <w:szCs w:val="21"/>
              </w:rPr>
              <w:t>合同条款</w:t>
            </w:r>
          </w:p>
        </w:tc>
        <w:tc>
          <w:tcPr>
            <w:tcW w:w="6466" w:type="dxa"/>
            <w:vAlign w:val="center"/>
          </w:tcPr>
          <w:p w14:paraId="7E6EEC0E">
            <w:pPr>
              <w:ind w:firstLine="420" w:firstLineChars="200"/>
              <w:rPr>
                <w:rFonts w:ascii="宋体" w:hAnsi="宋体" w:cs="宋体"/>
                <w:color w:val="auto"/>
                <w:szCs w:val="21"/>
              </w:rPr>
            </w:pPr>
            <w:r>
              <w:rPr>
                <w:rFonts w:hint="eastAsia" w:ascii="宋体" w:hAnsi="宋体" w:cs="宋体"/>
                <w:color w:val="auto"/>
                <w:szCs w:val="21"/>
              </w:rPr>
              <w:t>投标人实质响应合同各条款。</w:t>
            </w:r>
          </w:p>
        </w:tc>
      </w:tr>
    </w:tbl>
    <w:p w14:paraId="2F8A5B19">
      <w:pPr>
        <w:rPr>
          <w:rFonts w:hint="eastAsia" w:ascii="宋体" w:hAnsi="宋体"/>
          <w:color w:val="auto"/>
        </w:rPr>
      </w:pPr>
      <w:bookmarkStart w:id="13" w:name="_Toc19316"/>
      <w:r>
        <w:rPr>
          <w:rFonts w:hint="eastAsia" w:ascii="宋体" w:hAnsi="宋体"/>
          <w:color w:val="auto"/>
        </w:rPr>
        <w:br w:type="page"/>
      </w:r>
    </w:p>
    <w:p w14:paraId="4561B2FD">
      <w:pPr>
        <w:pStyle w:val="4"/>
        <w:spacing w:before="0" w:after="0" w:line="360" w:lineRule="auto"/>
        <w:jc w:val="center"/>
        <w:rPr>
          <w:color w:val="auto"/>
        </w:rPr>
      </w:pPr>
      <w:bookmarkStart w:id="14" w:name="_Toc1068"/>
      <w:r>
        <w:rPr>
          <w:rFonts w:hint="eastAsia" w:ascii="宋体" w:hAnsi="宋体"/>
          <w:color w:val="auto"/>
        </w:rPr>
        <w:t>第二章 技术需求书</w:t>
      </w:r>
      <w:bookmarkEnd w:id="13"/>
      <w:bookmarkEnd w:id="14"/>
    </w:p>
    <w:bookmarkEnd w:id="8"/>
    <w:p w14:paraId="3023CF95">
      <w:pPr>
        <w:keepNext w:val="0"/>
        <w:keepLines w:val="0"/>
        <w:pageBreakBefore w:val="0"/>
        <w:widowControl/>
        <w:kinsoku/>
        <w:wordWrap/>
        <w:overflowPunct/>
        <w:topLinePunct w:val="0"/>
        <w:autoSpaceDE/>
        <w:autoSpaceDN/>
        <w:bidi w:val="0"/>
        <w:adjustRightInd w:val="0"/>
        <w:snapToGrid w:val="0"/>
        <w:textAlignment w:val="auto"/>
        <w:rPr>
          <w:rFonts w:hint="eastAsia" w:ascii="宋体" w:hAnsi="宋体" w:eastAsia="宋体" w:cs="宋体"/>
          <w:b/>
          <w:bCs/>
          <w:color w:val="auto"/>
        </w:rPr>
      </w:pPr>
      <w:r>
        <w:rPr>
          <w:rFonts w:hint="eastAsia" w:ascii="宋体" w:hAnsi="宋体" w:eastAsia="宋体" w:cs="宋体"/>
          <w:b/>
          <w:bCs/>
          <w:color w:val="auto"/>
          <w:lang w:val="en-US" w:eastAsia="zh-CN"/>
        </w:rPr>
        <w:t>一、采购人</w:t>
      </w:r>
      <w:r>
        <w:rPr>
          <w:rFonts w:hint="eastAsia" w:ascii="宋体" w:hAnsi="宋体" w:eastAsia="宋体" w:cs="宋体"/>
          <w:b/>
          <w:bCs/>
          <w:color w:val="auto"/>
        </w:rPr>
        <w:t>基本情况描述</w:t>
      </w:r>
    </w:p>
    <w:p w14:paraId="6A38ACC8">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东实集团，全称“东莞实业投资控股集团有限公司”，是东莞市属国有独资企业。自2012年10月成立以来，集团始终围绕东莞市委、市政府的战略部署，坚持“政府主导、市场运作、科学管理”的工作思路，以“推动城市升级、创造美好生活”为使命，坚持参与市场竞争、完成政府交办任务“双轮驱动”，探索城投与产投“双轨发展”，实施投资、建设、运营“三位一体”模式，聚力推进城市综合运营、产业投资运营、能源环保产业三大主营业务高质量发展，并积极承担产业援助地方事业，构建形成集团内部多元协同的业务生态圈，为城市社会经济发展贡献积极力量。</w:t>
      </w:r>
    </w:p>
    <w:p w14:paraId="141B75C6">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根据本公司发展规划，拟申请注册额度不超过15 亿元、期限不超过 270 天的超短期融资券（以最终批准注册发行的规模、期限为准），并根据本公司资金需求情况分期发行。为保证发行工作的顺利开展，拟通过公开采购方式选取具有合法资质和丰富发行经验的银行机构组成承销团作为本次超短期融资券的主承销商，发行票面利率不高于同等评级企业在同期发行的同期限债券的平均利率水平。</w:t>
      </w:r>
    </w:p>
    <w:p w14:paraId="45AE369B">
      <w:pPr>
        <w:keepNext w:val="0"/>
        <w:keepLines w:val="0"/>
        <w:pageBreakBefore w:val="0"/>
        <w:widowControl/>
        <w:kinsoku/>
        <w:wordWrap/>
        <w:overflowPunct/>
        <w:topLinePunct w:val="0"/>
        <w:autoSpaceDE/>
        <w:autoSpaceDN/>
        <w:bidi w:val="0"/>
        <w:adjustRightInd w:val="0"/>
        <w:snapToGrid w:val="0"/>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 xml:space="preserve">二、服务要求 </w:t>
      </w:r>
    </w:p>
    <w:p w14:paraId="694B7EAD">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主承销商负责牵头中介机构共同向协会报送超短期融资券注册发行材料，主要工作内容包括但不限于：</w:t>
      </w:r>
    </w:p>
    <w:p w14:paraId="1E9D9D07">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（一）协助</w:t>
      </w:r>
      <w:r>
        <w:rPr>
          <w:rFonts w:hint="eastAsia" w:ascii="宋体" w:hAnsi="宋体" w:cs="宋体"/>
          <w:color w:val="auto"/>
          <w:lang w:val="en-US" w:eastAsia="zh-CN"/>
        </w:rPr>
        <w:t>采购人</w:t>
      </w:r>
      <w:r>
        <w:rPr>
          <w:rFonts w:hint="eastAsia" w:ascii="宋体" w:hAnsi="宋体" w:eastAsia="宋体" w:cs="宋体"/>
          <w:color w:val="auto"/>
          <w:lang w:val="en-US" w:eastAsia="zh-CN"/>
        </w:rPr>
        <w:t>准备募集说明书、评级报告、律师意见书等超短期融资券注册发行过程中所需材料；</w:t>
      </w:r>
    </w:p>
    <w:p w14:paraId="63FABEF0">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（二）跟进审批进度，推进注册发行流程；</w:t>
      </w:r>
    </w:p>
    <w:p w14:paraId="6C8F180F">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（三）取得注册通知书后，根据</w:t>
      </w:r>
      <w:r>
        <w:rPr>
          <w:rFonts w:hint="eastAsia" w:ascii="宋体" w:hAnsi="宋体" w:cs="宋体"/>
          <w:color w:val="auto"/>
          <w:lang w:val="en-US" w:eastAsia="zh-CN"/>
        </w:rPr>
        <w:t>采购人</w:t>
      </w:r>
      <w:r>
        <w:rPr>
          <w:rFonts w:hint="eastAsia" w:ascii="宋体" w:hAnsi="宋体" w:eastAsia="宋体" w:cs="宋体"/>
          <w:color w:val="auto"/>
          <w:lang w:val="en-US" w:eastAsia="zh-CN"/>
        </w:rPr>
        <w:t>用款需求和市场资金面，选择最佳发行窗口，将发行成本控制在合理范围内；</w:t>
      </w:r>
    </w:p>
    <w:p w14:paraId="3722D6A5">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（四）发行完毕后，协助</w:t>
      </w:r>
      <w:r>
        <w:rPr>
          <w:rFonts w:hint="eastAsia" w:ascii="宋体" w:hAnsi="宋体" w:cs="宋体"/>
          <w:color w:val="auto"/>
          <w:lang w:val="en-US" w:eastAsia="zh-CN"/>
        </w:rPr>
        <w:t>采购人</w:t>
      </w:r>
      <w:r>
        <w:rPr>
          <w:rFonts w:hint="eastAsia" w:ascii="宋体" w:hAnsi="宋体" w:eastAsia="宋体" w:cs="宋体"/>
          <w:color w:val="auto"/>
          <w:lang w:val="en-US" w:eastAsia="zh-CN"/>
        </w:rPr>
        <w:t>完成后续管理、信息披露及本息兑付等工作。</w:t>
      </w:r>
    </w:p>
    <w:p w14:paraId="148BE877">
      <w:pPr>
        <w:keepNext w:val="0"/>
        <w:keepLines w:val="0"/>
        <w:pageBreakBefore w:val="0"/>
        <w:widowControl/>
        <w:kinsoku/>
        <w:wordWrap/>
        <w:overflowPunct/>
        <w:topLinePunct w:val="0"/>
        <w:autoSpaceDE/>
        <w:autoSpaceDN/>
        <w:bidi w:val="0"/>
        <w:adjustRightInd w:val="0"/>
        <w:snapToGrid w:val="0"/>
        <w:textAlignment w:val="auto"/>
        <w:rPr>
          <w:rFonts w:hint="default" w:ascii="宋体" w:hAnsi="宋体" w:eastAsia="宋体" w:cs="宋体"/>
          <w:b/>
          <w:bCs/>
          <w:color w:val="auto"/>
          <w:lang w:val="en-US" w:eastAsia="zh-CN"/>
        </w:rPr>
      </w:pPr>
      <w:r>
        <w:rPr>
          <w:rFonts w:hint="eastAsia" w:ascii="宋体" w:hAnsi="宋体" w:cs="Times New Roman"/>
          <w:b/>
          <w:bCs/>
          <w:color w:val="auto"/>
          <w:szCs w:val="21"/>
          <w:highlight w:val="none"/>
        </w:rPr>
        <w:t>★</w:t>
      </w:r>
      <w:r>
        <w:rPr>
          <w:rFonts w:hint="eastAsia" w:ascii="宋体" w:hAnsi="宋体" w:eastAsia="宋体" w:cs="宋体"/>
          <w:b/>
          <w:bCs/>
          <w:color w:val="auto"/>
          <w:lang w:val="en-US" w:eastAsia="zh-CN"/>
        </w:rPr>
        <w:t>三、承销团、中标承销费率的确定方式</w:t>
      </w:r>
    </w:p>
    <w:p w14:paraId="543F7BAE">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对满足本项目采购文件要求（通过资格性、符合性审查），</w:t>
      </w:r>
      <w:r>
        <w:rPr>
          <w:rFonts w:hint="eastAsia" w:ascii="宋体" w:hAnsi="宋体" w:eastAsia="宋体" w:cs="宋体"/>
          <w:color w:val="auto"/>
          <w:lang w:val="en-US" w:eastAsia="zh-CN"/>
        </w:rPr>
        <w:t>且</w:t>
      </w:r>
      <w:r>
        <w:rPr>
          <w:rFonts w:hint="eastAsia" w:ascii="宋体" w:hAnsi="宋体" w:cs="宋体"/>
          <w:color w:val="auto"/>
          <w:lang w:val="en-US" w:eastAsia="zh-CN"/>
        </w:rPr>
        <w:t>经评标委员会评审综合得分≥60分</w:t>
      </w:r>
      <w:r>
        <w:rPr>
          <w:rFonts w:hint="eastAsia" w:ascii="宋体" w:hAnsi="宋体" w:eastAsia="宋体" w:cs="宋体"/>
          <w:color w:val="auto"/>
          <w:lang w:val="en-US" w:eastAsia="zh-CN"/>
        </w:rPr>
        <w:t>的</w:t>
      </w:r>
      <w:r>
        <w:rPr>
          <w:rFonts w:hint="eastAsia" w:ascii="宋体" w:hAnsi="宋体" w:cs="宋体"/>
          <w:color w:val="auto"/>
          <w:lang w:val="en-US" w:eastAsia="zh-CN"/>
        </w:rPr>
        <w:t>投标单位</w:t>
      </w:r>
      <w:r>
        <w:rPr>
          <w:rFonts w:hint="eastAsia" w:ascii="宋体" w:hAnsi="宋体" w:eastAsia="宋体" w:cs="宋体"/>
          <w:color w:val="auto"/>
          <w:lang w:val="en-US" w:eastAsia="zh-CN"/>
        </w:rPr>
        <w:t>均推荐为</w:t>
      </w:r>
      <w:r>
        <w:rPr>
          <w:rFonts w:hint="eastAsia" w:ascii="宋体" w:hAnsi="宋体" w:cs="宋体"/>
          <w:color w:val="auto"/>
          <w:lang w:val="en-US" w:eastAsia="zh-CN"/>
        </w:rPr>
        <w:t>中标</w:t>
      </w:r>
      <w:r>
        <w:rPr>
          <w:rFonts w:hint="eastAsia" w:ascii="宋体" w:hAnsi="宋体" w:eastAsia="宋体" w:cs="宋体"/>
          <w:color w:val="auto"/>
          <w:lang w:val="en-US" w:eastAsia="zh-CN"/>
        </w:rPr>
        <w:t>候选供应商</w:t>
      </w:r>
      <w:r>
        <w:rPr>
          <w:rFonts w:hint="eastAsia" w:ascii="宋体" w:hAnsi="宋体" w:cs="宋体"/>
          <w:color w:val="auto"/>
          <w:lang w:val="en-US" w:eastAsia="zh-CN"/>
        </w:rPr>
        <w:t>，</w:t>
      </w:r>
      <w:r>
        <w:rPr>
          <w:rFonts w:hint="eastAsia" w:ascii="宋体" w:hAnsi="宋体" w:eastAsia="宋体" w:cs="宋体"/>
          <w:color w:val="auto"/>
          <w:lang w:val="en-US" w:eastAsia="zh-CN"/>
        </w:rPr>
        <w:t>以实际数量为准，组成本次采购的承销团成员。</w:t>
      </w:r>
    </w:p>
    <w:p w14:paraId="4E9616DF">
      <w:pPr>
        <w:keepNext w:val="0"/>
        <w:keepLines w:val="0"/>
        <w:pageBreakBefore w:val="0"/>
        <w:widowControl/>
        <w:kinsoku/>
        <w:wordWrap/>
        <w:overflowPunct/>
        <w:topLinePunct w:val="0"/>
        <w:autoSpaceDE/>
        <w:autoSpaceDN/>
        <w:bidi w:val="0"/>
        <w:adjustRightInd w:val="0"/>
        <w:snapToGrid w:val="0"/>
        <w:textAlignment w:val="auto"/>
        <w:rPr>
          <w:rFonts w:hint="default" w:ascii="宋体" w:hAnsi="宋体" w:eastAsia="宋体" w:cs="宋体"/>
          <w:b/>
          <w:bCs/>
          <w:color w:val="auto"/>
          <w:lang w:val="en-US" w:eastAsia="zh-CN"/>
        </w:rPr>
      </w:pPr>
      <w:r>
        <w:rPr>
          <w:rFonts w:hint="eastAsia" w:ascii="宋体" w:hAnsi="宋体" w:cs="Times New Roman"/>
          <w:b/>
          <w:bCs/>
          <w:color w:val="auto"/>
          <w:szCs w:val="21"/>
          <w:highlight w:val="none"/>
        </w:rPr>
        <w:t>★</w:t>
      </w:r>
      <w:r>
        <w:rPr>
          <w:rFonts w:hint="eastAsia" w:ascii="宋体" w:hAnsi="宋体" w:eastAsia="宋体" w:cs="宋体"/>
          <w:b/>
          <w:bCs/>
          <w:color w:val="auto"/>
          <w:lang w:val="en-US" w:eastAsia="zh-CN"/>
        </w:rPr>
        <w:t>四、债券发行承销费率确定方式</w:t>
      </w:r>
    </w:p>
    <w:p w14:paraId="453B0629">
      <w:pPr>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每期债券由采购人在全体承销团成员中选定1家或多家为该期债券的发行主承销商，综合排名第一的投标人为注册牵头主承销商并作为首期主承销商成员，若主动放弃注册牵头主承销商资格，可继续纳入主承销团成员，但将不被纳入首期发行的主承销商选取范围。由综合排名第二的投标人为注册牵头主承销商并作为首期主承销商成员，以此类推，直至选出注册牵头主承销商。选定每期发行承销机构的参考因素包括竞价结果、与东实集团其他业务合作情况综合考虑等。选定的发行主承销商的中标承销费率为该承销商该期债券的承销费率。如选定多家发行主承销商，则各家发行主承销商分别按照其中标承销费率收取该期债券的承销费。</w:t>
      </w:r>
    </w:p>
    <w:p w14:paraId="1E951EEF">
      <w:pPr>
        <w:ind w:firstLine="422" w:firstLineChars="200"/>
        <w:rPr>
          <w:rFonts w:hint="eastAsia" w:ascii="宋体" w:hAnsi="宋体" w:eastAsia="宋体" w:cs="宋体"/>
          <w:color w:val="auto"/>
          <w:lang w:val="en-US" w:eastAsia="zh-CN"/>
        </w:rPr>
      </w:pPr>
      <w:r>
        <w:rPr>
          <w:rFonts w:hint="eastAsia" w:ascii="宋体" w:hAnsi="宋体" w:cs="Times New Roman"/>
          <w:b/>
          <w:bCs/>
          <w:color w:val="auto"/>
          <w:szCs w:val="21"/>
          <w:highlight w:val="none"/>
        </w:rPr>
        <w:t>注：不满足招标文件中 “★”条款的投标文件将作无效投标处理。</w:t>
      </w:r>
    </w:p>
    <w:bookmarkEnd w:id="9"/>
    <w:bookmarkEnd w:id="10"/>
    <w:bookmarkEnd w:id="11"/>
    <w:bookmarkEnd w:id="12"/>
    <w:p w14:paraId="4483C333">
      <w:pPr>
        <w:rPr>
          <w:rFonts w:hint="eastAsia"/>
          <w:color w:val="auto"/>
          <w:sz w:val="28"/>
          <w:szCs w:val="28"/>
        </w:rPr>
      </w:pPr>
      <w:r>
        <w:rPr>
          <w:rFonts w:hint="eastAsia"/>
          <w:color w:val="auto"/>
          <w:sz w:val="28"/>
          <w:szCs w:val="28"/>
        </w:rPr>
        <w:br w:type="page"/>
      </w:r>
    </w:p>
    <w:p w14:paraId="0721E519">
      <w:pPr>
        <w:pStyle w:val="3"/>
        <w:spacing w:before="0" w:after="0" w:line="240" w:lineRule="auto"/>
        <w:rPr>
          <w:color w:val="auto"/>
          <w:sz w:val="24"/>
          <w:szCs w:val="24"/>
        </w:rPr>
      </w:pPr>
      <w:bookmarkStart w:id="15" w:name="_Toc31698"/>
      <w:r>
        <w:rPr>
          <w:rFonts w:hint="eastAsia"/>
          <w:color w:val="auto"/>
          <w:sz w:val="28"/>
          <w:szCs w:val="28"/>
        </w:rPr>
        <w:t>第四部分投标人须知</w:t>
      </w:r>
      <w:bookmarkEnd w:id="15"/>
    </w:p>
    <w:p w14:paraId="67B3F198">
      <w:pPr>
        <w:pStyle w:val="4"/>
        <w:numPr>
          <w:ilvl w:val="0"/>
          <w:numId w:val="1"/>
        </w:numPr>
        <w:spacing w:before="0" w:after="0" w:line="480" w:lineRule="auto"/>
        <w:jc w:val="center"/>
        <w:rPr>
          <w:rFonts w:ascii="宋体" w:hAnsi="宋体"/>
          <w:color w:val="auto"/>
        </w:rPr>
      </w:pPr>
      <w:bookmarkStart w:id="16" w:name="_Toc1118"/>
      <w:r>
        <w:rPr>
          <w:rFonts w:hint="eastAsia" w:ascii="宋体" w:hAnsi="宋体"/>
          <w:color w:val="auto"/>
        </w:rPr>
        <w:t>说明</w:t>
      </w:r>
      <w:bookmarkEnd w:id="16"/>
    </w:p>
    <w:p w14:paraId="4E7F7748">
      <w:pPr>
        <w:pStyle w:val="5"/>
        <w:widowControl w:val="0"/>
        <w:numPr>
          <w:ilvl w:val="0"/>
          <w:numId w:val="2"/>
        </w:numPr>
        <w:overflowPunct w:val="0"/>
        <w:rPr>
          <w:rFonts w:ascii="宋体" w:hAnsi="宋体" w:cs="宋体"/>
          <w:color w:val="auto"/>
          <w:sz w:val="21"/>
          <w:szCs w:val="21"/>
        </w:rPr>
      </w:pPr>
      <w:bookmarkStart w:id="17" w:name="_Toc3534"/>
      <w:bookmarkStart w:id="18" w:name="_Toc32566"/>
      <w:r>
        <w:rPr>
          <w:rFonts w:hint="eastAsia" w:ascii="宋体" w:hAnsi="宋体" w:cs="宋体"/>
          <w:color w:val="auto"/>
          <w:sz w:val="21"/>
          <w:szCs w:val="21"/>
        </w:rPr>
        <w:t>适用范围</w:t>
      </w:r>
      <w:bookmarkEnd w:id="17"/>
      <w:bookmarkEnd w:id="18"/>
    </w:p>
    <w:p w14:paraId="33B0E045">
      <w:pPr>
        <w:widowControl w:val="0"/>
        <w:numPr>
          <w:ilvl w:val="1"/>
          <w:numId w:val="2"/>
        </w:numPr>
        <w:overflowPunct w:val="0"/>
        <w:rPr>
          <w:rFonts w:ascii="宋体" w:hAnsi="宋体" w:cs="宋体"/>
          <w:color w:val="auto"/>
          <w:szCs w:val="21"/>
        </w:rPr>
      </w:pPr>
      <w:r>
        <w:rPr>
          <w:rFonts w:hint="eastAsia" w:ascii="宋体" w:hAnsi="宋体" w:cs="宋体"/>
          <w:color w:val="auto"/>
          <w:szCs w:val="21"/>
        </w:rPr>
        <w:t>采购范围：见本文件《用户需求书》</w:t>
      </w:r>
    </w:p>
    <w:p w14:paraId="549C16C7">
      <w:pPr>
        <w:rPr>
          <w:rFonts w:ascii="宋体" w:hAnsi="宋体" w:cs="宋体"/>
          <w:color w:val="auto"/>
        </w:rPr>
      </w:pPr>
    </w:p>
    <w:p w14:paraId="58FECF5D">
      <w:pPr>
        <w:pStyle w:val="5"/>
        <w:widowControl w:val="0"/>
        <w:numPr>
          <w:ilvl w:val="0"/>
          <w:numId w:val="2"/>
        </w:numPr>
        <w:overflowPunct w:val="0"/>
        <w:rPr>
          <w:rFonts w:ascii="宋体" w:hAnsi="宋体" w:cs="宋体"/>
          <w:color w:val="auto"/>
          <w:sz w:val="21"/>
          <w:szCs w:val="21"/>
        </w:rPr>
      </w:pPr>
      <w:bookmarkStart w:id="19" w:name="_Toc20286"/>
      <w:bookmarkStart w:id="20" w:name="_Toc26729"/>
      <w:bookmarkStart w:id="21" w:name="_Toc303084246"/>
      <w:bookmarkStart w:id="22" w:name="_Toc1530"/>
      <w:bookmarkStart w:id="23" w:name="_Toc382049092"/>
      <w:bookmarkStart w:id="24" w:name="_Toc298847174"/>
      <w:r>
        <w:rPr>
          <w:rFonts w:hint="eastAsia" w:ascii="宋体" w:hAnsi="宋体" w:cs="宋体"/>
          <w:color w:val="auto"/>
          <w:sz w:val="21"/>
          <w:szCs w:val="21"/>
        </w:rPr>
        <w:t>定义</w:t>
      </w:r>
      <w:bookmarkEnd w:id="19"/>
      <w:bookmarkEnd w:id="20"/>
      <w:bookmarkEnd w:id="21"/>
      <w:bookmarkEnd w:id="22"/>
      <w:bookmarkEnd w:id="23"/>
      <w:bookmarkEnd w:id="24"/>
    </w:p>
    <w:p w14:paraId="19DA055E">
      <w:pPr>
        <w:pStyle w:val="42"/>
        <w:widowControl w:val="0"/>
        <w:adjustRightInd/>
        <w:snapToGrid/>
        <w:ind w:left="425" w:hanging="425" w:firstLineChars="0"/>
        <w:jc w:val="both"/>
        <w:rPr>
          <w:rFonts w:ascii="宋体" w:hAnsi="宋体" w:cs="宋体"/>
          <w:vanish/>
          <w:color w:val="auto"/>
          <w:szCs w:val="21"/>
        </w:rPr>
      </w:pPr>
    </w:p>
    <w:p w14:paraId="27336359">
      <w:pPr>
        <w:widowControl w:val="0"/>
        <w:numPr>
          <w:ilvl w:val="1"/>
          <w:numId w:val="2"/>
        </w:numPr>
        <w:overflowPunct w:val="0"/>
        <w:rPr>
          <w:rFonts w:ascii="宋体" w:hAnsi="宋体" w:cs="宋体"/>
          <w:color w:val="auto"/>
          <w:szCs w:val="21"/>
        </w:rPr>
      </w:pPr>
      <w:r>
        <w:rPr>
          <w:rFonts w:hint="eastAsia" w:ascii="宋体" w:hAnsi="宋体" w:cs="宋体"/>
          <w:color w:val="auto"/>
          <w:szCs w:val="21"/>
        </w:rPr>
        <w:t>采购人：见投标邀请书。</w:t>
      </w:r>
    </w:p>
    <w:p w14:paraId="470B4A73">
      <w:pPr>
        <w:widowControl w:val="0"/>
        <w:numPr>
          <w:ilvl w:val="1"/>
          <w:numId w:val="2"/>
        </w:numPr>
        <w:overflowPunct w:val="0"/>
        <w:rPr>
          <w:rFonts w:ascii="宋体" w:hAnsi="宋体" w:cs="宋体"/>
          <w:color w:val="auto"/>
          <w:szCs w:val="21"/>
        </w:rPr>
      </w:pPr>
      <w:r>
        <w:rPr>
          <w:rFonts w:hint="eastAsia" w:ascii="宋体" w:hAnsi="宋体" w:cs="宋体"/>
          <w:color w:val="auto"/>
          <w:szCs w:val="21"/>
        </w:rPr>
        <w:t>投标人：响应采购并且符合采购文件规定资格条件和参加投标竞争的法人、其他组织或者自然人。</w:t>
      </w:r>
    </w:p>
    <w:p w14:paraId="57C96B8C">
      <w:pPr>
        <w:widowControl w:val="0"/>
        <w:numPr>
          <w:ilvl w:val="1"/>
          <w:numId w:val="2"/>
        </w:numPr>
        <w:overflowPunct w:val="0"/>
        <w:rPr>
          <w:rFonts w:ascii="宋体" w:hAnsi="宋体" w:cs="宋体"/>
          <w:color w:val="auto"/>
          <w:szCs w:val="21"/>
        </w:rPr>
      </w:pPr>
      <w:r>
        <w:rPr>
          <w:rFonts w:hint="eastAsia" w:ascii="宋体" w:hAnsi="宋体" w:cs="宋体"/>
          <w:color w:val="auto"/>
          <w:szCs w:val="21"/>
        </w:rPr>
        <w:t>法人：法人是依法在国内进行注册并具有民事权利能力和民事行为能力，依法独立享有民事权利和承担民事义务的组织。</w:t>
      </w:r>
    </w:p>
    <w:p w14:paraId="541028C3">
      <w:pPr>
        <w:widowControl w:val="0"/>
        <w:numPr>
          <w:ilvl w:val="1"/>
          <w:numId w:val="2"/>
        </w:numPr>
        <w:overflowPunct w:val="0"/>
        <w:rPr>
          <w:rFonts w:ascii="宋体" w:hAnsi="宋体" w:cs="宋体"/>
          <w:color w:val="auto"/>
          <w:szCs w:val="21"/>
        </w:rPr>
      </w:pPr>
      <w:r>
        <w:rPr>
          <w:rFonts w:hint="eastAsia" w:ascii="宋体" w:hAnsi="宋体" w:cs="宋体"/>
          <w:color w:val="auto"/>
          <w:szCs w:val="21"/>
        </w:rPr>
        <w:t>中标人：指经评标委员会评审推荐、采购人确认的获得本项目中标资格的投标人。</w:t>
      </w:r>
    </w:p>
    <w:p w14:paraId="0A65589E">
      <w:pPr>
        <w:widowControl w:val="0"/>
        <w:numPr>
          <w:ilvl w:val="1"/>
          <w:numId w:val="2"/>
        </w:numPr>
        <w:overflowPunct w:val="0"/>
        <w:rPr>
          <w:rFonts w:ascii="宋体" w:hAnsi="宋体" w:cs="宋体"/>
          <w:color w:val="auto"/>
          <w:szCs w:val="21"/>
        </w:rPr>
      </w:pPr>
      <w:r>
        <w:rPr>
          <w:rFonts w:hint="eastAsia" w:ascii="宋体" w:hAnsi="宋体" w:cs="宋体"/>
          <w:color w:val="auto"/>
          <w:szCs w:val="21"/>
        </w:rPr>
        <w:t>采购代理机构：见投标邀请书。</w:t>
      </w:r>
    </w:p>
    <w:p w14:paraId="612D4EFC">
      <w:pPr>
        <w:widowControl w:val="0"/>
        <w:numPr>
          <w:ilvl w:val="1"/>
          <w:numId w:val="2"/>
        </w:numPr>
        <w:overflowPunct w:val="0"/>
        <w:rPr>
          <w:rFonts w:ascii="宋体" w:hAnsi="宋体" w:cs="宋体"/>
          <w:color w:val="auto"/>
          <w:szCs w:val="21"/>
        </w:rPr>
      </w:pPr>
      <w:r>
        <w:rPr>
          <w:rFonts w:hint="eastAsia" w:ascii="宋体" w:hAnsi="宋体" w:cs="宋体"/>
          <w:color w:val="auto"/>
          <w:szCs w:val="21"/>
        </w:rPr>
        <w:t>评标委员会：评标委员会是依据相关规定组建的专门负责本次采购其评标工作的临时性机构。</w:t>
      </w:r>
    </w:p>
    <w:p w14:paraId="772B885B">
      <w:pPr>
        <w:widowControl w:val="0"/>
        <w:numPr>
          <w:ilvl w:val="1"/>
          <w:numId w:val="2"/>
        </w:numPr>
        <w:overflowPunct w:val="0"/>
        <w:rPr>
          <w:rFonts w:ascii="宋体" w:hAnsi="宋体" w:cs="宋体"/>
          <w:color w:val="auto"/>
          <w:szCs w:val="21"/>
        </w:rPr>
      </w:pPr>
      <w:r>
        <w:rPr>
          <w:rFonts w:hint="eastAsia" w:ascii="宋体" w:hAnsi="宋体" w:cs="宋体"/>
          <w:color w:val="auto"/>
          <w:szCs w:val="21"/>
        </w:rPr>
        <w:t>合同：指由本次采购所产生的合同或合约文件。</w:t>
      </w:r>
    </w:p>
    <w:p w14:paraId="2E3E7F40">
      <w:pPr>
        <w:widowControl w:val="0"/>
        <w:numPr>
          <w:ilvl w:val="1"/>
          <w:numId w:val="2"/>
        </w:numPr>
        <w:overflowPunct w:val="0"/>
        <w:rPr>
          <w:rFonts w:ascii="宋体" w:hAnsi="宋体" w:cs="宋体"/>
          <w:color w:val="auto"/>
          <w:szCs w:val="21"/>
        </w:rPr>
      </w:pPr>
      <w:r>
        <w:rPr>
          <w:rFonts w:hint="eastAsia" w:ascii="宋体" w:hAnsi="宋体" w:cs="宋体"/>
          <w:color w:val="auto"/>
          <w:szCs w:val="21"/>
        </w:rPr>
        <w:t>公章：公章是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p>
    <w:p w14:paraId="08AE0F77">
      <w:pPr>
        <w:widowControl w:val="0"/>
        <w:numPr>
          <w:ilvl w:val="1"/>
          <w:numId w:val="2"/>
        </w:numPr>
        <w:overflowPunct w:val="0"/>
        <w:rPr>
          <w:rFonts w:ascii="宋体" w:hAnsi="宋体" w:cs="宋体"/>
          <w:color w:val="auto"/>
          <w:szCs w:val="21"/>
        </w:rPr>
      </w:pPr>
      <w:r>
        <w:rPr>
          <w:rFonts w:hint="eastAsia" w:ascii="宋体" w:hAnsi="宋体" w:cs="宋体"/>
          <w:color w:val="auto"/>
          <w:szCs w:val="21"/>
        </w:rPr>
        <w:t>时间：本文件规定按日计算期间的，开始当天不计入，从次日开始计算。期限的最后一日是国家法定节假日的，顺延到节假日后的次日为期限的最后一日。</w:t>
      </w:r>
    </w:p>
    <w:p w14:paraId="1964E864">
      <w:pPr>
        <w:rPr>
          <w:rFonts w:ascii="宋体" w:hAnsi="宋体" w:cs="宋体"/>
          <w:color w:val="auto"/>
        </w:rPr>
      </w:pPr>
    </w:p>
    <w:p w14:paraId="7342446E">
      <w:pPr>
        <w:pStyle w:val="5"/>
        <w:widowControl w:val="0"/>
        <w:numPr>
          <w:ilvl w:val="0"/>
          <w:numId w:val="2"/>
        </w:numPr>
        <w:overflowPunct w:val="0"/>
        <w:rPr>
          <w:rFonts w:ascii="宋体" w:hAnsi="宋体" w:cs="宋体"/>
          <w:color w:val="auto"/>
          <w:sz w:val="21"/>
          <w:szCs w:val="21"/>
        </w:rPr>
      </w:pPr>
      <w:bookmarkStart w:id="25" w:name="_Toc6667"/>
      <w:bookmarkStart w:id="26" w:name="_Toc11624"/>
      <w:r>
        <w:rPr>
          <w:rFonts w:hint="eastAsia" w:ascii="宋体" w:hAnsi="宋体" w:cs="宋体"/>
          <w:color w:val="auto"/>
          <w:sz w:val="21"/>
          <w:szCs w:val="21"/>
        </w:rPr>
        <w:t>货物和服务</w:t>
      </w:r>
      <w:bookmarkEnd w:id="25"/>
      <w:bookmarkEnd w:id="26"/>
    </w:p>
    <w:p w14:paraId="30B67EFE">
      <w:pPr>
        <w:pStyle w:val="42"/>
        <w:widowControl w:val="0"/>
        <w:adjustRightInd/>
        <w:snapToGrid/>
        <w:ind w:left="425" w:hanging="425" w:firstLineChars="0"/>
        <w:jc w:val="both"/>
        <w:rPr>
          <w:rFonts w:ascii="宋体" w:hAnsi="宋体" w:cs="宋体"/>
          <w:vanish/>
          <w:color w:val="auto"/>
          <w:szCs w:val="21"/>
        </w:rPr>
      </w:pPr>
    </w:p>
    <w:p w14:paraId="2D44BB64">
      <w:pPr>
        <w:widowControl w:val="0"/>
        <w:numPr>
          <w:ilvl w:val="1"/>
          <w:numId w:val="2"/>
        </w:numPr>
        <w:overflowPunct w:val="0"/>
        <w:rPr>
          <w:rFonts w:ascii="宋体" w:hAnsi="宋体" w:cs="宋体"/>
          <w:color w:val="auto"/>
          <w:szCs w:val="21"/>
        </w:rPr>
      </w:pPr>
      <w:r>
        <w:rPr>
          <w:rFonts w:hint="eastAsia" w:ascii="宋体" w:hAnsi="宋体" w:cs="宋体"/>
          <w:color w:val="auto"/>
          <w:szCs w:val="21"/>
        </w:rPr>
        <w:t>货物是指各种形态和种类的物品，包括原材料、燃料、设备、产品等。</w:t>
      </w:r>
    </w:p>
    <w:p w14:paraId="5645342D">
      <w:pPr>
        <w:widowControl w:val="0"/>
        <w:numPr>
          <w:ilvl w:val="1"/>
          <w:numId w:val="2"/>
        </w:numPr>
        <w:overflowPunct w:val="0"/>
        <w:rPr>
          <w:rFonts w:ascii="宋体" w:hAnsi="宋体" w:cs="宋体"/>
          <w:color w:val="auto"/>
          <w:szCs w:val="21"/>
        </w:rPr>
      </w:pPr>
      <w:r>
        <w:rPr>
          <w:rFonts w:hint="eastAsia" w:ascii="宋体" w:hAnsi="宋体" w:cs="宋体"/>
          <w:color w:val="auto"/>
          <w:szCs w:val="21"/>
        </w:rPr>
        <w:t>服务是指除货物和工程以外的其他采购对象。</w:t>
      </w:r>
    </w:p>
    <w:p w14:paraId="7B0D6ED4">
      <w:pPr>
        <w:rPr>
          <w:rFonts w:ascii="宋体" w:hAnsi="宋体" w:cs="宋体"/>
          <w:color w:val="auto"/>
        </w:rPr>
      </w:pPr>
    </w:p>
    <w:p w14:paraId="2857F212">
      <w:pPr>
        <w:pStyle w:val="5"/>
        <w:widowControl w:val="0"/>
        <w:numPr>
          <w:ilvl w:val="0"/>
          <w:numId w:val="2"/>
        </w:numPr>
        <w:overflowPunct w:val="0"/>
        <w:rPr>
          <w:rFonts w:ascii="宋体" w:hAnsi="宋体" w:cs="宋体"/>
          <w:color w:val="auto"/>
          <w:sz w:val="21"/>
          <w:szCs w:val="21"/>
        </w:rPr>
      </w:pPr>
      <w:bookmarkStart w:id="27" w:name="_Toc15719"/>
      <w:bookmarkStart w:id="28" w:name="_Toc3616"/>
      <w:r>
        <w:rPr>
          <w:rFonts w:hint="eastAsia" w:ascii="宋体" w:hAnsi="宋体" w:cs="宋体"/>
          <w:color w:val="auto"/>
          <w:sz w:val="21"/>
          <w:szCs w:val="21"/>
        </w:rPr>
        <w:t>投标费用</w:t>
      </w:r>
      <w:bookmarkEnd w:id="27"/>
      <w:bookmarkEnd w:id="28"/>
    </w:p>
    <w:p w14:paraId="7D92B3CE">
      <w:pPr>
        <w:pStyle w:val="42"/>
        <w:widowControl w:val="0"/>
        <w:adjustRightInd/>
        <w:snapToGrid/>
        <w:ind w:left="425" w:hanging="425" w:firstLineChars="0"/>
        <w:jc w:val="both"/>
        <w:rPr>
          <w:rFonts w:ascii="宋体" w:hAnsi="宋体" w:cs="宋体"/>
          <w:vanish/>
          <w:color w:val="auto"/>
          <w:szCs w:val="21"/>
        </w:rPr>
      </w:pPr>
    </w:p>
    <w:p w14:paraId="7E6CE929">
      <w:pPr>
        <w:widowControl w:val="0"/>
        <w:numPr>
          <w:ilvl w:val="1"/>
          <w:numId w:val="2"/>
        </w:numPr>
        <w:overflowPunct w:val="0"/>
        <w:rPr>
          <w:rFonts w:ascii="宋体" w:hAnsi="宋体" w:cs="宋体"/>
          <w:color w:val="auto"/>
          <w:szCs w:val="21"/>
        </w:rPr>
      </w:pPr>
      <w:r>
        <w:rPr>
          <w:rFonts w:hint="eastAsia" w:ascii="宋体" w:hAnsi="宋体" w:cs="宋体"/>
          <w:color w:val="auto"/>
          <w:szCs w:val="21"/>
        </w:rPr>
        <w:t>投标人应承担所有与编写投标文件和参加投标有关的自身的所有费用，不论投标的结果如何，采购代理机构和采购人在任何情况下均无义务和责任承担这些费用。</w:t>
      </w:r>
    </w:p>
    <w:p w14:paraId="5A9A72CB">
      <w:pPr>
        <w:widowControl w:val="0"/>
        <w:adjustRightInd/>
        <w:snapToGrid/>
        <w:jc w:val="both"/>
        <w:rPr>
          <w:rFonts w:ascii="宋体" w:hAnsi="宋体" w:cs="宋体"/>
          <w:color w:val="auto"/>
          <w:szCs w:val="21"/>
        </w:rPr>
      </w:pPr>
    </w:p>
    <w:p w14:paraId="1A0FE5D2">
      <w:pPr>
        <w:pStyle w:val="5"/>
        <w:widowControl w:val="0"/>
        <w:numPr>
          <w:ilvl w:val="0"/>
          <w:numId w:val="2"/>
        </w:numPr>
        <w:overflowPunct w:val="0"/>
        <w:rPr>
          <w:rFonts w:ascii="宋体" w:hAnsi="宋体" w:cs="宋体"/>
          <w:color w:val="auto"/>
          <w:sz w:val="21"/>
          <w:szCs w:val="21"/>
        </w:rPr>
      </w:pPr>
      <w:bookmarkStart w:id="29" w:name="_Toc6180"/>
      <w:bookmarkStart w:id="30" w:name="_Toc25827"/>
      <w:r>
        <w:rPr>
          <w:rFonts w:hint="eastAsia" w:ascii="宋体" w:hAnsi="宋体" w:cs="宋体"/>
          <w:color w:val="auto"/>
          <w:sz w:val="21"/>
          <w:szCs w:val="21"/>
        </w:rPr>
        <w:t>知识产权</w:t>
      </w:r>
      <w:bookmarkEnd w:id="29"/>
      <w:bookmarkEnd w:id="30"/>
    </w:p>
    <w:p w14:paraId="47C8EBBA">
      <w:pPr>
        <w:pStyle w:val="42"/>
        <w:widowControl w:val="0"/>
        <w:adjustRightInd/>
        <w:snapToGrid/>
        <w:ind w:left="425" w:hanging="425" w:firstLineChars="0"/>
        <w:jc w:val="both"/>
        <w:rPr>
          <w:rFonts w:ascii="宋体" w:hAnsi="宋体" w:cs="宋体"/>
          <w:vanish/>
          <w:color w:val="auto"/>
          <w:szCs w:val="21"/>
        </w:rPr>
      </w:pPr>
    </w:p>
    <w:p w14:paraId="6019964F">
      <w:pPr>
        <w:widowControl w:val="0"/>
        <w:numPr>
          <w:ilvl w:val="1"/>
          <w:numId w:val="2"/>
        </w:numPr>
        <w:overflowPunct w:val="0"/>
        <w:rPr>
          <w:rFonts w:ascii="宋体" w:hAnsi="宋体" w:cs="宋体"/>
          <w:color w:val="auto"/>
          <w:szCs w:val="21"/>
        </w:rPr>
      </w:pPr>
      <w:r>
        <w:rPr>
          <w:rFonts w:hint="eastAsia" w:ascii="宋体" w:hAnsi="宋体" w:cs="宋体"/>
          <w:color w:val="auto"/>
          <w:szCs w:val="21"/>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60F4FCA2">
      <w:pPr>
        <w:widowControl w:val="0"/>
        <w:numPr>
          <w:ilvl w:val="1"/>
          <w:numId w:val="2"/>
        </w:numPr>
        <w:overflowPunct w:val="0"/>
        <w:rPr>
          <w:rFonts w:ascii="宋体" w:hAnsi="宋体" w:cs="宋体"/>
          <w:color w:val="auto"/>
          <w:szCs w:val="21"/>
        </w:rPr>
      </w:pPr>
      <w:r>
        <w:rPr>
          <w:rFonts w:hint="eastAsia" w:ascii="宋体" w:hAnsi="宋体" w:cs="宋体"/>
          <w:color w:val="auto"/>
          <w:szCs w:val="21"/>
        </w:rPr>
        <w:t>采购人享有本项目实施过程中产生的知识成果及知识产权。</w:t>
      </w:r>
    </w:p>
    <w:p w14:paraId="11A47A6F">
      <w:pPr>
        <w:widowControl w:val="0"/>
        <w:numPr>
          <w:ilvl w:val="1"/>
          <w:numId w:val="2"/>
        </w:numPr>
        <w:overflowPunct w:val="0"/>
        <w:rPr>
          <w:rFonts w:ascii="宋体" w:hAnsi="宋体" w:cs="宋体"/>
          <w:color w:val="auto"/>
          <w:szCs w:val="21"/>
        </w:rPr>
      </w:pPr>
      <w:r>
        <w:rPr>
          <w:rFonts w:hint="eastAsia" w:ascii="宋体" w:hAnsi="宋体" w:cs="宋体"/>
          <w:color w:val="auto"/>
          <w:szCs w:val="21"/>
        </w:rPr>
        <w:t>投标人如欲在项目实施过程中采用自有知识成果，需在投标文件中声明，并提供相关知识产权证明文件。使用该知识成果后，投标人需提供开发接口和开发手册等技术文档。</w:t>
      </w:r>
    </w:p>
    <w:p w14:paraId="71A465D9">
      <w:pPr>
        <w:widowControl w:val="0"/>
        <w:numPr>
          <w:ilvl w:val="1"/>
          <w:numId w:val="2"/>
        </w:numPr>
        <w:overflowPunct w:val="0"/>
        <w:rPr>
          <w:rFonts w:ascii="宋体" w:hAnsi="宋体" w:cs="宋体"/>
          <w:color w:val="auto"/>
          <w:szCs w:val="21"/>
        </w:rPr>
      </w:pPr>
      <w:r>
        <w:rPr>
          <w:rFonts w:hint="eastAsia" w:ascii="宋体" w:hAnsi="宋体" w:cs="宋体"/>
          <w:color w:val="auto"/>
          <w:szCs w:val="21"/>
        </w:rPr>
        <w:t>采购货物为计算机办公设备时，投标人提供的产品必须是预装正版操作系统软件的计算机产品。</w:t>
      </w:r>
    </w:p>
    <w:p w14:paraId="78ADE4F8">
      <w:pPr>
        <w:widowControl w:val="0"/>
        <w:adjustRightInd/>
        <w:snapToGrid/>
        <w:ind w:left="567"/>
        <w:jc w:val="both"/>
        <w:rPr>
          <w:rFonts w:ascii="宋体" w:hAnsi="宋体" w:cs="宋体"/>
          <w:color w:val="auto"/>
          <w:szCs w:val="21"/>
        </w:rPr>
      </w:pPr>
    </w:p>
    <w:p w14:paraId="2741E125">
      <w:pPr>
        <w:pStyle w:val="5"/>
        <w:widowControl w:val="0"/>
        <w:numPr>
          <w:ilvl w:val="0"/>
          <w:numId w:val="2"/>
        </w:numPr>
        <w:overflowPunct w:val="0"/>
        <w:rPr>
          <w:rFonts w:ascii="宋体" w:hAnsi="宋体" w:cs="宋体"/>
          <w:color w:val="auto"/>
          <w:sz w:val="21"/>
          <w:szCs w:val="21"/>
        </w:rPr>
      </w:pPr>
      <w:bookmarkStart w:id="31" w:name="_Toc7626"/>
      <w:bookmarkStart w:id="32" w:name="_Toc2352"/>
      <w:r>
        <w:rPr>
          <w:rFonts w:hint="eastAsia" w:ascii="宋体" w:hAnsi="宋体" w:cs="宋体"/>
          <w:color w:val="auto"/>
          <w:sz w:val="21"/>
          <w:szCs w:val="21"/>
        </w:rPr>
        <w:t>关于联合体投标</w:t>
      </w:r>
      <w:bookmarkEnd w:id="31"/>
      <w:bookmarkEnd w:id="32"/>
    </w:p>
    <w:p w14:paraId="504BDACD">
      <w:pPr>
        <w:pStyle w:val="42"/>
        <w:widowControl w:val="0"/>
        <w:adjustRightInd/>
        <w:snapToGrid/>
        <w:ind w:left="425" w:hanging="425" w:firstLineChars="0"/>
        <w:jc w:val="both"/>
        <w:rPr>
          <w:rFonts w:ascii="宋体" w:hAnsi="宋体" w:cs="宋体"/>
          <w:vanish/>
          <w:color w:val="auto"/>
          <w:szCs w:val="21"/>
        </w:rPr>
      </w:pPr>
    </w:p>
    <w:p w14:paraId="3BFE1195">
      <w:pPr>
        <w:widowControl w:val="0"/>
        <w:numPr>
          <w:ilvl w:val="1"/>
          <w:numId w:val="2"/>
        </w:numPr>
        <w:overflowPunct w:val="0"/>
        <w:rPr>
          <w:rFonts w:ascii="宋体" w:hAnsi="宋体" w:cs="宋体"/>
          <w:color w:val="auto"/>
          <w:szCs w:val="21"/>
        </w:rPr>
      </w:pPr>
      <w:r>
        <w:rPr>
          <w:rFonts w:hint="eastAsia" w:ascii="宋体" w:hAnsi="宋体" w:cs="宋体"/>
          <w:color w:val="auto"/>
          <w:szCs w:val="21"/>
        </w:rPr>
        <w:t>对接受联合体投标的项目：两个以上的自然人、法人或者其他组织可以组成一个联合体，以一个投标人的身份共同参加采购活动。</w:t>
      </w:r>
    </w:p>
    <w:p w14:paraId="0A6A3FFB">
      <w:pPr>
        <w:widowControl w:val="0"/>
        <w:numPr>
          <w:ilvl w:val="1"/>
          <w:numId w:val="2"/>
        </w:numPr>
        <w:overflowPunct w:val="0"/>
        <w:rPr>
          <w:rFonts w:ascii="宋体" w:hAnsi="宋体" w:cs="宋体"/>
          <w:color w:val="auto"/>
          <w:szCs w:val="21"/>
        </w:rPr>
      </w:pPr>
      <w:r>
        <w:rPr>
          <w:rFonts w:hint="eastAsia" w:ascii="宋体" w:hAnsi="宋体" w:cs="宋体"/>
          <w:color w:val="auto"/>
          <w:szCs w:val="21"/>
        </w:rPr>
        <w:t>以联合体形式参与项目的供应商在领购采购文件时，应提供所有联合体组成成员的营业执照复印件，并加盖各联合体组成成员的公章。</w:t>
      </w:r>
    </w:p>
    <w:p w14:paraId="79E5AA4E">
      <w:pPr>
        <w:widowControl w:val="0"/>
        <w:numPr>
          <w:ilvl w:val="1"/>
          <w:numId w:val="2"/>
        </w:numPr>
        <w:overflowPunct w:val="0"/>
        <w:rPr>
          <w:rFonts w:ascii="宋体" w:hAnsi="宋体" w:cs="宋体"/>
          <w:color w:val="auto"/>
          <w:szCs w:val="21"/>
        </w:rPr>
      </w:pPr>
      <w:r>
        <w:rPr>
          <w:rFonts w:hint="eastAsia" w:ascii="宋体" w:hAnsi="宋体" w:cs="宋体"/>
          <w:color w:val="auto"/>
          <w:szCs w:val="21"/>
        </w:rPr>
        <w:t>联合体各方均应具有独立承担民事责任能力的法人或其他组织。</w:t>
      </w:r>
    </w:p>
    <w:p w14:paraId="2966000A">
      <w:pPr>
        <w:widowControl w:val="0"/>
        <w:numPr>
          <w:ilvl w:val="1"/>
          <w:numId w:val="2"/>
        </w:numPr>
        <w:overflowPunct w:val="0"/>
        <w:rPr>
          <w:rFonts w:ascii="宋体" w:hAnsi="宋体" w:cs="宋体"/>
          <w:color w:val="auto"/>
          <w:szCs w:val="21"/>
        </w:rPr>
      </w:pPr>
      <w:r>
        <w:rPr>
          <w:rFonts w:hint="eastAsia" w:ascii="宋体" w:hAnsi="宋体" w:cs="宋体"/>
          <w:color w:val="auto"/>
          <w:szCs w:val="21"/>
        </w:rPr>
        <w:t>两个以上的自然人、法人或者其他组织组成一个联合体，以一个供应商的身份共同参加采购活动的，应当对所有联合体成员进行信用记录查询，联合体成员存在不良信用记录的，视同联合体存在不良信用记录。</w:t>
      </w:r>
    </w:p>
    <w:p w14:paraId="4999E06B">
      <w:pPr>
        <w:widowControl w:val="0"/>
        <w:numPr>
          <w:ilvl w:val="1"/>
          <w:numId w:val="2"/>
        </w:numPr>
        <w:overflowPunct w:val="0"/>
        <w:rPr>
          <w:rFonts w:ascii="宋体" w:hAnsi="宋体" w:cs="宋体"/>
          <w:color w:val="auto"/>
          <w:szCs w:val="21"/>
        </w:rPr>
      </w:pPr>
      <w:r>
        <w:rPr>
          <w:rFonts w:hint="eastAsia" w:ascii="宋体" w:hAnsi="宋体" w:cs="宋体"/>
          <w:color w:val="auto"/>
          <w:szCs w:val="21"/>
        </w:rPr>
        <w:t>采购文件对投标人资格条件有规定的，联合体各方均应当具备规定的相应资格条件。由同一专业的单位组成的联合体，按照资质等级较低的单位确定资质等级。</w:t>
      </w:r>
    </w:p>
    <w:p w14:paraId="687D7F1A">
      <w:pPr>
        <w:widowControl w:val="0"/>
        <w:numPr>
          <w:ilvl w:val="1"/>
          <w:numId w:val="2"/>
        </w:numPr>
        <w:overflowPunct w:val="0"/>
        <w:rPr>
          <w:rFonts w:ascii="宋体" w:hAnsi="宋体" w:cs="宋体"/>
          <w:color w:val="auto"/>
          <w:szCs w:val="21"/>
        </w:rPr>
      </w:pPr>
      <w:r>
        <w:rPr>
          <w:rFonts w:hint="eastAsia" w:ascii="宋体" w:hAnsi="宋体" w:cs="宋体"/>
          <w:color w:val="auto"/>
          <w:szCs w:val="21"/>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14:paraId="58C15BD1">
      <w:pPr>
        <w:widowControl w:val="0"/>
        <w:numPr>
          <w:ilvl w:val="1"/>
          <w:numId w:val="2"/>
        </w:numPr>
        <w:overflowPunct w:val="0"/>
        <w:rPr>
          <w:rFonts w:ascii="宋体" w:hAnsi="宋体" w:cs="宋体"/>
          <w:color w:val="auto"/>
          <w:szCs w:val="21"/>
        </w:rPr>
      </w:pPr>
      <w:r>
        <w:rPr>
          <w:rFonts w:hint="eastAsia" w:ascii="宋体" w:hAnsi="宋体" w:cs="宋体"/>
          <w:color w:val="auto"/>
          <w:szCs w:val="21"/>
        </w:rPr>
        <w:t>供应商为联合体的，可以由联合体中的任意一方交纳保证金，其交纳的保证金对联合体各方均具有约束力。</w:t>
      </w:r>
    </w:p>
    <w:p w14:paraId="58612387">
      <w:pPr>
        <w:widowControl w:val="0"/>
        <w:numPr>
          <w:ilvl w:val="1"/>
          <w:numId w:val="2"/>
        </w:numPr>
        <w:overflowPunct w:val="0"/>
        <w:rPr>
          <w:rFonts w:ascii="宋体" w:hAnsi="宋体" w:cs="宋体"/>
          <w:color w:val="auto"/>
          <w:szCs w:val="21"/>
        </w:rPr>
      </w:pPr>
      <w:r>
        <w:rPr>
          <w:rFonts w:hint="eastAsia" w:ascii="宋体" w:hAnsi="宋体" w:cs="宋体"/>
          <w:color w:val="auto"/>
          <w:szCs w:val="21"/>
        </w:rPr>
        <w:t>除联合体协议明确授权盖章单位外，联合体投标时投标文件中所有要求盖章的地方均须加盖联合体所有组成成员的公章，否则该处盖章无效。</w:t>
      </w:r>
    </w:p>
    <w:p w14:paraId="17805CD3">
      <w:pPr>
        <w:widowControl w:val="0"/>
        <w:numPr>
          <w:ilvl w:val="1"/>
          <w:numId w:val="2"/>
        </w:numPr>
        <w:overflowPunct w:val="0"/>
        <w:rPr>
          <w:rFonts w:ascii="宋体" w:hAnsi="宋体" w:cs="宋体"/>
          <w:color w:val="auto"/>
          <w:szCs w:val="21"/>
        </w:rPr>
      </w:pPr>
      <w:r>
        <w:rPr>
          <w:rFonts w:hint="eastAsia" w:ascii="宋体" w:hAnsi="宋体" w:cs="宋体"/>
          <w:color w:val="auto"/>
          <w:szCs w:val="21"/>
        </w:rPr>
        <w:t>联合体进行评分时，业绩、奖项等的认定和评分根据共同投标协议约定的各方承担的工作和相应责任，确定一方打分，不累加打分；评审标准不明确或难以明确以哪一方计算评分情况时，则按主体方情况评分。</w:t>
      </w:r>
    </w:p>
    <w:p w14:paraId="6B06F4C5">
      <w:pPr>
        <w:widowControl w:val="0"/>
        <w:adjustRightInd/>
        <w:snapToGrid/>
        <w:ind w:left="567"/>
        <w:jc w:val="both"/>
        <w:rPr>
          <w:rFonts w:ascii="宋体" w:hAnsi="宋体" w:cs="宋体"/>
          <w:color w:val="auto"/>
          <w:szCs w:val="21"/>
        </w:rPr>
      </w:pPr>
    </w:p>
    <w:p w14:paraId="438A42CB">
      <w:pPr>
        <w:pStyle w:val="5"/>
        <w:widowControl w:val="0"/>
        <w:numPr>
          <w:ilvl w:val="0"/>
          <w:numId w:val="2"/>
        </w:numPr>
        <w:overflowPunct w:val="0"/>
        <w:rPr>
          <w:rFonts w:ascii="宋体" w:hAnsi="宋体" w:cs="宋体"/>
          <w:color w:val="auto"/>
          <w:sz w:val="21"/>
          <w:szCs w:val="21"/>
        </w:rPr>
      </w:pPr>
      <w:bookmarkStart w:id="33" w:name="_Toc30962"/>
      <w:bookmarkStart w:id="34" w:name="_Toc3572"/>
      <w:r>
        <w:rPr>
          <w:rFonts w:hint="eastAsia" w:ascii="宋体" w:hAnsi="宋体" w:cs="宋体"/>
          <w:color w:val="auto"/>
          <w:sz w:val="21"/>
          <w:szCs w:val="21"/>
        </w:rPr>
        <w:t>关于分支机构投标</w:t>
      </w:r>
      <w:bookmarkEnd w:id="33"/>
      <w:bookmarkEnd w:id="34"/>
    </w:p>
    <w:p w14:paraId="11E1C188">
      <w:pPr>
        <w:pStyle w:val="42"/>
        <w:widowControl w:val="0"/>
        <w:adjustRightInd/>
        <w:snapToGrid/>
        <w:ind w:left="425" w:hanging="425" w:firstLineChars="0"/>
        <w:jc w:val="both"/>
        <w:rPr>
          <w:rFonts w:ascii="宋体" w:hAnsi="宋体" w:cs="宋体"/>
          <w:vanish/>
          <w:color w:val="auto"/>
          <w:szCs w:val="21"/>
        </w:rPr>
      </w:pPr>
      <w:bookmarkStart w:id="35" w:name="EB389f116341dd4693875bc7987e7327f3"/>
    </w:p>
    <w:p w14:paraId="66907B0C">
      <w:pPr>
        <w:widowControl w:val="0"/>
        <w:numPr>
          <w:ilvl w:val="1"/>
          <w:numId w:val="2"/>
        </w:numPr>
        <w:overflowPunct w:val="0"/>
        <w:rPr>
          <w:rFonts w:ascii="宋体" w:hAnsi="宋体" w:cs="宋体"/>
          <w:color w:val="auto"/>
          <w:szCs w:val="21"/>
        </w:rPr>
      </w:pPr>
      <w:r>
        <w:rPr>
          <w:rFonts w:hint="eastAsia" w:ascii="宋体" w:hAnsi="宋体" w:cs="宋体"/>
          <w:color w:val="auto"/>
          <w:szCs w:val="21"/>
        </w:rPr>
        <w:t>对可接受分支机构投标的项目，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35"/>
    </w:p>
    <w:p w14:paraId="305052E6">
      <w:pPr>
        <w:widowControl w:val="0"/>
        <w:adjustRightInd/>
        <w:snapToGrid/>
        <w:ind w:left="567"/>
        <w:jc w:val="both"/>
        <w:rPr>
          <w:rFonts w:ascii="宋体" w:hAnsi="宋体" w:cs="宋体"/>
          <w:color w:val="auto"/>
          <w:szCs w:val="21"/>
        </w:rPr>
      </w:pPr>
    </w:p>
    <w:p w14:paraId="4C274A99">
      <w:pPr>
        <w:pStyle w:val="5"/>
        <w:widowControl w:val="0"/>
        <w:numPr>
          <w:ilvl w:val="0"/>
          <w:numId w:val="2"/>
        </w:numPr>
        <w:overflowPunct w:val="0"/>
        <w:rPr>
          <w:rFonts w:ascii="宋体" w:hAnsi="宋体" w:cs="宋体"/>
          <w:color w:val="auto"/>
          <w:sz w:val="21"/>
          <w:szCs w:val="21"/>
        </w:rPr>
      </w:pPr>
      <w:bookmarkStart w:id="36" w:name="_Toc23953"/>
      <w:r>
        <w:rPr>
          <w:rFonts w:hint="eastAsia" w:ascii="宋体" w:hAnsi="宋体" w:cs="宋体"/>
          <w:color w:val="auto"/>
          <w:sz w:val="21"/>
          <w:szCs w:val="21"/>
        </w:rPr>
        <w:t>踏勘现场</w:t>
      </w:r>
      <w:bookmarkEnd w:id="36"/>
    </w:p>
    <w:p w14:paraId="769FD3F1">
      <w:pPr>
        <w:widowControl w:val="0"/>
        <w:numPr>
          <w:ilvl w:val="1"/>
          <w:numId w:val="2"/>
        </w:numPr>
        <w:overflowPunct w:val="0"/>
        <w:rPr>
          <w:rFonts w:ascii="宋体" w:hAnsi="宋体" w:cs="宋体"/>
          <w:color w:val="auto"/>
          <w:szCs w:val="21"/>
        </w:rPr>
      </w:pPr>
      <w:r>
        <w:rPr>
          <w:rFonts w:hint="eastAsia" w:ascii="宋体" w:hAnsi="宋体" w:cs="宋体"/>
          <w:color w:val="auto"/>
          <w:szCs w:val="21"/>
        </w:rPr>
        <w:t>《投标资料表》规定组织踏勘现场的，采购人按《投标资料表》规定的时间、地点组织响应人踏勘项目现场；</w:t>
      </w:r>
    </w:p>
    <w:p w14:paraId="01E14D13">
      <w:pPr>
        <w:widowControl w:val="0"/>
        <w:numPr>
          <w:ilvl w:val="1"/>
          <w:numId w:val="2"/>
        </w:numPr>
        <w:overflowPunct w:val="0"/>
        <w:rPr>
          <w:rFonts w:ascii="宋体" w:hAnsi="宋体" w:cs="宋体"/>
          <w:color w:val="auto"/>
          <w:szCs w:val="21"/>
        </w:rPr>
      </w:pPr>
      <w:r>
        <w:rPr>
          <w:rFonts w:hint="eastAsia" w:ascii="宋体" w:hAnsi="宋体" w:cs="宋体"/>
          <w:color w:val="auto"/>
          <w:szCs w:val="21"/>
        </w:rPr>
        <w:t>响应人踏勘现场发生的费用自理；</w:t>
      </w:r>
    </w:p>
    <w:p w14:paraId="2D4167B8">
      <w:pPr>
        <w:widowControl w:val="0"/>
        <w:numPr>
          <w:ilvl w:val="1"/>
          <w:numId w:val="2"/>
        </w:numPr>
        <w:overflowPunct w:val="0"/>
        <w:rPr>
          <w:rFonts w:ascii="宋体" w:hAnsi="宋体" w:cs="宋体"/>
          <w:color w:val="auto"/>
          <w:szCs w:val="21"/>
        </w:rPr>
      </w:pPr>
      <w:r>
        <w:rPr>
          <w:rFonts w:hint="eastAsia" w:ascii="宋体" w:hAnsi="宋体" w:cs="宋体"/>
          <w:color w:val="auto"/>
          <w:szCs w:val="21"/>
        </w:rPr>
        <w:t>除采购人的原因外，响应人自行负责在踏勘现场中所发生的人员伤亡和财产损失；</w:t>
      </w:r>
    </w:p>
    <w:p w14:paraId="1022B8F1">
      <w:pPr>
        <w:widowControl w:val="0"/>
        <w:numPr>
          <w:ilvl w:val="1"/>
          <w:numId w:val="2"/>
        </w:numPr>
        <w:overflowPunct w:val="0"/>
        <w:rPr>
          <w:rFonts w:ascii="宋体" w:hAnsi="宋体" w:cs="宋体"/>
          <w:color w:val="auto"/>
          <w:szCs w:val="21"/>
        </w:rPr>
      </w:pPr>
      <w:r>
        <w:rPr>
          <w:rFonts w:hint="eastAsia" w:ascii="宋体" w:hAnsi="宋体" w:cs="宋体"/>
          <w:color w:val="auto"/>
          <w:szCs w:val="21"/>
        </w:rPr>
        <w:t>采购人在踏勘现场中介绍的实施地点和相关的周边环境情况，供响应人在编制响应文件时参考，采购人不对响应人据此作出的判断和决策负责；</w:t>
      </w:r>
    </w:p>
    <w:p w14:paraId="2FCBC719">
      <w:pPr>
        <w:rPr>
          <w:rFonts w:ascii="宋体" w:hAnsi="宋体" w:cs="宋体"/>
          <w:color w:val="auto"/>
        </w:rPr>
      </w:pPr>
    </w:p>
    <w:p w14:paraId="36715E70">
      <w:pPr>
        <w:pStyle w:val="4"/>
        <w:numPr>
          <w:ilvl w:val="0"/>
          <w:numId w:val="1"/>
        </w:numPr>
        <w:spacing w:before="0" w:after="0" w:line="360" w:lineRule="auto"/>
        <w:jc w:val="center"/>
        <w:rPr>
          <w:rFonts w:ascii="宋体" w:hAnsi="宋体" w:cs="宋体"/>
          <w:color w:val="auto"/>
        </w:rPr>
      </w:pPr>
      <w:bookmarkStart w:id="37" w:name="_Toc9444"/>
      <w:bookmarkStart w:id="38" w:name="_Toc30305"/>
      <w:r>
        <w:rPr>
          <w:rFonts w:hint="eastAsia" w:ascii="宋体" w:hAnsi="宋体" w:cs="宋体"/>
          <w:color w:val="auto"/>
        </w:rPr>
        <w:t>采购文件</w:t>
      </w:r>
      <w:bookmarkEnd w:id="37"/>
      <w:bookmarkEnd w:id="38"/>
    </w:p>
    <w:p w14:paraId="130E0582">
      <w:pPr>
        <w:pStyle w:val="5"/>
        <w:widowControl w:val="0"/>
        <w:numPr>
          <w:ilvl w:val="0"/>
          <w:numId w:val="2"/>
        </w:numPr>
        <w:overflowPunct w:val="0"/>
        <w:rPr>
          <w:rFonts w:ascii="宋体" w:hAnsi="宋体" w:cs="宋体"/>
          <w:color w:val="auto"/>
          <w:sz w:val="21"/>
          <w:szCs w:val="21"/>
        </w:rPr>
      </w:pPr>
      <w:bookmarkStart w:id="39" w:name="_Toc7443"/>
      <w:bookmarkStart w:id="40" w:name="_Toc10638"/>
      <w:r>
        <w:rPr>
          <w:rFonts w:hint="eastAsia" w:ascii="宋体" w:hAnsi="宋体" w:cs="宋体"/>
          <w:color w:val="auto"/>
          <w:sz w:val="21"/>
          <w:szCs w:val="21"/>
        </w:rPr>
        <w:t>采购文件的组成</w:t>
      </w:r>
      <w:bookmarkEnd w:id="39"/>
      <w:bookmarkEnd w:id="40"/>
    </w:p>
    <w:p w14:paraId="6CCBCD9A">
      <w:pPr>
        <w:pStyle w:val="42"/>
        <w:widowControl w:val="0"/>
        <w:numPr>
          <w:ilvl w:val="0"/>
          <w:numId w:val="3"/>
        </w:numPr>
        <w:adjustRightInd/>
        <w:snapToGrid/>
        <w:ind w:firstLineChars="0"/>
        <w:jc w:val="both"/>
        <w:rPr>
          <w:rFonts w:ascii="宋体" w:hAnsi="宋体" w:cs="宋体"/>
          <w:vanish/>
          <w:color w:val="auto"/>
          <w:szCs w:val="21"/>
        </w:rPr>
      </w:pPr>
    </w:p>
    <w:p w14:paraId="09342114">
      <w:pPr>
        <w:widowControl w:val="0"/>
        <w:numPr>
          <w:ilvl w:val="1"/>
          <w:numId w:val="2"/>
        </w:numPr>
        <w:overflowPunct w:val="0"/>
        <w:rPr>
          <w:rFonts w:ascii="宋体" w:hAnsi="宋体" w:cs="宋体"/>
          <w:color w:val="auto"/>
          <w:szCs w:val="21"/>
        </w:rPr>
      </w:pPr>
      <w:r>
        <w:rPr>
          <w:rFonts w:hint="eastAsia" w:ascii="宋体" w:hAnsi="宋体" w:cs="宋体"/>
          <w:color w:val="auto"/>
          <w:szCs w:val="21"/>
        </w:rPr>
        <w:t>采购文件包括：</w:t>
      </w:r>
    </w:p>
    <w:p w14:paraId="61A0024E">
      <w:pPr>
        <w:widowControl w:val="0"/>
        <w:adjustRightInd/>
        <w:snapToGrid/>
        <w:jc w:val="both"/>
        <w:rPr>
          <w:rFonts w:ascii="宋体" w:hAnsi="宋体" w:cs="宋体"/>
          <w:color w:val="auto"/>
          <w:szCs w:val="21"/>
        </w:rPr>
      </w:pPr>
      <w:r>
        <w:rPr>
          <w:rFonts w:hint="eastAsia" w:ascii="宋体" w:hAnsi="宋体" w:cs="宋体"/>
          <w:color w:val="auto"/>
          <w:szCs w:val="21"/>
        </w:rPr>
        <w:t>（1）投标邀请书；</w:t>
      </w:r>
    </w:p>
    <w:p w14:paraId="749FF897">
      <w:pPr>
        <w:widowControl w:val="0"/>
        <w:adjustRightInd/>
        <w:snapToGrid/>
        <w:jc w:val="both"/>
        <w:rPr>
          <w:rFonts w:ascii="宋体" w:hAnsi="宋体" w:cs="宋体"/>
          <w:color w:val="auto"/>
          <w:szCs w:val="21"/>
        </w:rPr>
      </w:pPr>
      <w:r>
        <w:rPr>
          <w:rFonts w:hint="eastAsia" w:ascii="宋体" w:hAnsi="宋体" w:cs="宋体"/>
          <w:color w:val="auto"/>
          <w:szCs w:val="21"/>
        </w:rPr>
        <w:t>（2）投标资料表；</w:t>
      </w:r>
    </w:p>
    <w:p w14:paraId="6AD20143">
      <w:pPr>
        <w:widowControl w:val="0"/>
        <w:adjustRightInd/>
        <w:snapToGrid/>
        <w:jc w:val="both"/>
        <w:rPr>
          <w:rFonts w:ascii="宋体" w:hAnsi="宋体" w:cs="宋体"/>
          <w:color w:val="auto"/>
          <w:szCs w:val="21"/>
        </w:rPr>
      </w:pPr>
      <w:r>
        <w:rPr>
          <w:rFonts w:hint="eastAsia" w:ascii="宋体" w:hAnsi="宋体" w:cs="宋体"/>
          <w:color w:val="auto"/>
          <w:szCs w:val="21"/>
        </w:rPr>
        <w:t>（3）用户需求书；</w:t>
      </w:r>
    </w:p>
    <w:p w14:paraId="3AE8BF61">
      <w:pPr>
        <w:widowControl w:val="0"/>
        <w:adjustRightInd/>
        <w:snapToGrid/>
        <w:jc w:val="both"/>
        <w:rPr>
          <w:rFonts w:ascii="宋体" w:hAnsi="宋体" w:cs="宋体"/>
          <w:color w:val="auto"/>
          <w:szCs w:val="21"/>
        </w:rPr>
      </w:pPr>
      <w:r>
        <w:rPr>
          <w:rFonts w:hint="eastAsia" w:ascii="宋体" w:hAnsi="宋体" w:cs="宋体"/>
          <w:color w:val="auto"/>
          <w:szCs w:val="21"/>
        </w:rPr>
        <w:t>（4）投标人须知；</w:t>
      </w:r>
    </w:p>
    <w:p w14:paraId="6F26CBF8">
      <w:pPr>
        <w:widowControl w:val="0"/>
        <w:adjustRightInd/>
        <w:snapToGrid/>
        <w:jc w:val="both"/>
        <w:rPr>
          <w:rFonts w:ascii="宋体" w:hAnsi="宋体" w:cs="宋体"/>
          <w:color w:val="auto"/>
          <w:szCs w:val="21"/>
        </w:rPr>
      </w:pPr>
      <w:r>
        <w:rPr>
          <w:rFonts w:hint="eastAsia" w:ascii="宋体" w:hAnsi="宋体" w:cs="宋体"/>
          <w:color w:val="auto"/>
          <w:szCs w:val="21"/>
        </w:rPr>
        <w:t>（5）拟签订的合同文本；</w:t>
      </w:r>
    </w:p>
    <w:p w14:paraId="033F3F2E">
      <w:pPr>
        <w:widowControl w:val="0"/>
        <w:adjustRightInd/>
        <w:snapToGrid/>
        <w:jc w:val="both"/>
        <w:rPr>
          <w:rFonts w:ascii="宋体" w:hAnsi="宋体" w:cs="宋体"/>
          <w:color w:val="auto"/>
          <w:szCs w:val="21"/>
        </w:rPr>
      </w:pPr>
      <w:r>
        <w:rPr>
          <w:rFonts w:hint="eastAsia" w:ascii="宋体" w:hAnsi="宋体" w:cs="宋体"/>
          <w:color w:val="auto"/>
          <w:szCs w:val="21"/>
        </w:rPr>
        <w:t>（6）投标文件格式；</w:t>
      </w:r>
    </w:p>
    <w:p w14:paraId="2EB69177">
      <w:pPr>
        <w:widowControl w:val="0"/>
        <w:adjustRightInd/>
        <w:snapToGrid/>
        <w:jc w:val="both"/>
        <w:rPr>
          <w:rFonts w:ascii="宋体" w:hAnsi="宋体" w:cs="宋体"/>
          <w:color w:val="auto"/>
          <w:szCs w:val="21"/>
        </w:rPr>
      </w:pPr>
      <w:r>
        <w:rPr>
          <w:rFonts w:hint="eastAsia" w:ascii="宋体" w:hAnsi="宋体" w:cs="宋体"/>
          <w:color w:val="auto"/>
          <w:szCs w:val="21"/>
        </w:rPr>
        <w:t>（7）在采购过程中由采购代理机构发出的澄清更正文件等。</w:t>
      </w:r>
    </w:p>
    <w:p w14:paraId="205A5DB2">
      <w:pPr>
        <w:rPr>
          <w:rFonts w:ascii="宋体" w:hAnsi="宋体" w:cs="宋体"/>
          <w:color w:val="auto"/>
        </w:rPr>
      </w:pPr>
    </w:p>
    <w:p w14:paraId="219521E4">
      <w:pPr>
        <w:pStyle w:val="5"/>
        <w:widowControl w:val="0"/>
        <w:numPr>
          <w:ilvl w:val="0"/>
          <w:numId w:val="2"/>
        </w:numPr>
        <w:overflowPunct w:val="0"/>
        <w:rPr>
          <w:rFonts w:ascii="宋体" w:hAnsi="宋体" w:cs="宋体"/>
          <w:color w:val="auto"/>
          <w:sz w:val="21"/>
          <w:szCs w:val="21"/>
        </w:rPr>
      </w:pPr>
      <w:bookmarkStart w:id="41" w:name="_Toc21392"/>
      <w:bookmarkStart w:id="42" w:name="_Toc17929"/>
      <w:r>
        <w:rPr>
          <w:rFonts w:hint="eastAsia" w:ascii="宋体" w:hAnsi="宋体" w:cs="宋体"/>
          <w:color w:val="auto"/>
          <w:sz w:val="21"/>
          <w:szCs w:val="21"/>
        </w:rPr>
        <w:t>采购文件的澄清或修改</w:t>
      </w:r>
      <w:bookmarkEnd w:id="41"/>
      <w:bookmarkEnd w:id="42"/>
    </w:p>
    <w:p w14:paraId="52217CF0">
      <w:pPr>
        <w:pStyle w:val="42"/>
        <w:widowControl w:val="0"/>
        <w:numPr>
          <w:ilvl w:val="0"/>
          <w:numId w:val="3"/>
        </w:numPr>
        <w:adjustRightInd/>
        <w:snapToGrid/>
        <w:ind w:firstLineChars="0"/>
        <w:jc w:val="both"/>
        <w:rPr>
          <w:rFonts w:ascii="宋体" w:hAnsi="宋体" w:cs="宋体"/>
          <w:vanish/>
          <w:color w:val="auto"/>
          <w:szCs w:val="21"/>
        </w:rPr>
      </w:pPr>
    </w:p>
    <w:p w14:paraId="66CBDF2C">
      <w:pPr>
        <w:widowControl w:val="0"/>
        <w:numPr>
          <w:ilvl w:val="1"/>
          <w:numId w:val="2"/>
        </w:numPr>
        <w:overflowPunct w:val="0"/>
        <w:rPr>
          <w:rFonts w:ascii="宋体" w:hAnsi="宋体" w:cs="宋体"/>
          <w:color w:val="auto"/>
          <w:szCs w:val="21"/>
        </w:rPr>
      </w:pPr>
      <w:r>
        <w:rPr>
          <w:rFonts w:hint="eastAsia" w:ascii="宋体" w:hAnsi="宋体" w:cs="宋体"/>
          <w:color w:val="auto"/>
          <w:szCs w:val="21"/>
        </w:rPr>
        <w:t>采购人或者采购代理机构可以对已发出的采购文件、资格预审文件、投标邀请书进行必要的澄清或者修改。澄清或者修改的内容为采购文件、资格预审文件、投标邀请书的组成部分，具有约束作用。当采购文件、采购文件的澄清或修改等在同一内容的表述上不一致时，以最后发出的书面文件及公告为准。</w:t>
      </w:r>
    </w:p>
    <w:p w14:paraId="6B04DDD4">
      <w:pPr>
        <w:widowControl w:val="0"/>
        <w:numPr>
          <w:ilvl w:val="1"/>
          <w:numId w:val="2"/>
        </w:numPr>
        <w:overflowPunct w:val="0"/>
        <w:rPr>
          <w:rFonts w:ascii="宋体" w:hAnsi="宋体" w:cs="宋体"/>
          <w:b/>
          <w:bCs/>
          <w:color w:val="auto"/>
          <w:szCs w:val="21"/>
        </w:rPr>
      </w:pPr>
      <w:r>
        <w:rPr>
          <w:rFonts w:hint="eastAsia" w:ascii="宋体" w:hAnsi="宋体" w:cs="宋体"/>
          <w:b/>
          <w:bCs/>
          <w:color w:val="auto"/>
          <w:szCs w:val="21"/>
        </w:rPr>
        <w:t>采购期间，投标人有义务上网查看，公告一经上网发布，即视为送达。因投标人未及时上网查看而造成的所有后果，由投标人自行承担。</w:t>
      </w:r>
    </w:p>
    <w:p w14:paraId="11BAD9ED">
      <w:pPr>
        <w:widowControl w:val="0"/>
        <w:adjustRightInd/>
        <w:snapToGrid/>
        <w:ind w:left="567"/>
        <w:jc w:val="both"/>
        <w:rPr>
          <w:rFonts w:ascii="宋体" w:hAnsi="宋体" w:cs="宋体"/>
          <w:color w:val="auto"/>
          <w:szCs w:val="21"/>
        </w:rPr>
      </w:pPr>
    </w:p>
    <w:p w14:paraId="59492F5A">
      <w:pPr>
        <w:pStyle w:val="4"/>
        <w:numPr>
          <w:ilvl w:val="0"/>
          <w:numId w:val="1"/>
        </w:numPr>
        <w:spacing w:before="0" w:after="0" w:line="360" w:lineRule="auto"/>
        <w:jc w:val="center"/>
        <w:rPr>
          <w:rFonts w:ascii="宋体" w:hAnsi="宋体" w:cs="宋体"/>
          <w:color w:val="auto"/>
        </w:rPr>
      </w:pPr>
      <w:bookmarkStart w:id="43" w:name="_Toc12343"/>
      <w:bookmarkStart w:id="44" w:name="_Toc25268"/>
      <w:r>
        <w:rPr>
          <w:rFonts w:hint="eastAsia" w:ascii="宋体" w:hAnsi="宋体" w:cs="宋体"/>
          <w:color w:val="auto"/>
        </w:rPr>
        <w:t>投标文件的编制</w:t>
      </w:r>
      <w:bookmarkEnd w:id="43"/>
      <w:bookmarkEnd w:id="44"/>
    </w:p>
    <w:p w14:paraId="387638EF">
      <w:pPr>
        <w:pStyle w:val="5"/>
        <w:widowControl w:val="0"/>
        <w:numPr>
          <w:ilvl w:val="0"/>
          <w:numId w:val="2"/>
        </w:numPr>
        <w:overflowPunct w:val="0"/>
        <w:rPr>
          <w:rFonts w:ascii="宋体" w:hAnsi="宋体" w:cs="宋体"/>
          <w:color w:val="auto"/>
          <w:sz w:val="21"/>
          <w:szCs w:val="21"/>
        </w:rPr>
      </w:pPr>
      <w:bookmarkStart w:id="45" w:name="_Toc14845"/>
      <w:bookmarkStart w:id="46" w:name="_Toc16938"/>
      <w:r>
        <w:rPr>
          <w:rFonts w:hint="eastAsia" w:ascii="宋体" w:hAnsi="宋体" w:cs="宋体"/>
          <w:color w:val="auto"/>
          <w:sz w:val="21"/>
          <w:szCs w:val="21"/>
        </w:rPr>
        <w:t>投标文件的语言及度量衡单位</w:t>
      </w:r>
      <w:bookmarkEnd w:id="45"/>
      <w:bookmarkEnd w:id="46"/>
    </w:p>
    <w:p w14:paraId="022DAF05">
      <w:pPr>
        <w:pStyle w:val="42"/>
        <w:widowControl w:val="0"/>
        <w:numPr>
          <w:ilvl w:val="0"/>
          <w:numId w:val="3"/>
        </w:numPr>
        <w:adjustRightInd/>
        <w:snapToGrid/>
        <w:ind w:firstLineChars="0"/>
        <w:jc w:val="both"/>
        <w:rPr>
          <w:rFonts w:ascii="宋体" w:hAnsi="宋体" w:cs="宋体"/>
          <w:vanish/>
          <w:color w:val="auto"/>
          <w:szCs w:val="21"/>
        </w:rPr>
      </w:pPr>
    </w:p>
    <w:p w14:paraId="67B6BAFD">
      <w:pPr>
        <w:widowControl w:val="0"/>
        <w:numPr>
          <w:ilvl w:val="1"/>
          <w:numId w:val="2"/>
        </w:numPr>
        <w:overflowPunct w:val="0"/>
        <w:rPr>
          <w:rFonts w:ascii="宋体" w:hAnsi="宋体" w:cs="宋体"/>
          <w:color w:val="auto"/>
          <w:szCs w:val="21"/>
        </w:rPr>
      </w:pPr>
      <w:r>
        <w:rPr>
          <w:rFonts w:hint="eastAsia" w:ascii="宋体" w:hAnsi="宋体" w:cs="宋体"/>
          <w:color w:val="auto"/>
          <w:szCs w:val="21"/>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14:paraId="5FCFA39E">
      <w:pPr>
        <w:widowControl w:val="0"/>
        <w:numPr>
          <w:ilvl w:val="1"/>
          <w:numId w:val="2"/>
        </w:numPr>
        <w:overflowPunct w:val="0"/>
        <w:rPr>
          <w:rFonts w:ascii="宋体" w:hAnsi="宋体" w:cs="宋体"/>
          <w:color w:val="auto"/>
          <w:szCs w:val="21"/>
        </w:rPr>
      </w:pPr>
      <w:r>
        <w:rPr>
          <w:rFonts w:hint="eastAsia" w:ascii="宋体" w:hAnsi="宋体" w:cs="宋体"/>
          <w:color w:val="auto"/>
          <w:szCs w:val="21"/>
        </w:rPr>
        <w:t>除非采购文件在技术规格中另有规定，投标人在投标文件中及其与采购代理机构和采购人所有往来文件中的所有计量单位均应采用中华人民共和国法定计量单位。</w:t>
      </w:r>
    </w:p>
    <w:p w14:paraId="28FB3E85">
      <w:pPr>
        <w:widowControl w:val="0"/>
        <w:adjustRightInd/>
        <w:snapToGrid/>
        <w:ind w:left="567"/>
        <w:jc w:val="both"/>
        <w:rPr>
          <w:rFonts w:ascii="宋体" w:hAnsi="宋体" w:cs="宋体"/>
          <w:color w:val="auto"/>
          <w:szCs w:val="21"/>
        </w:rPr>
      </w:pPr>
    </w:p>
    <w:p w14:paraId="6F7A06A8">
      <w:pPr>
        <w:pStyle w:val="5"/>
        <w:widowControl w:val="0"/>
        <w:numPr>
          <w:ilvl w:val="0"/>
          <w:numId w:val="2"/>
        </w:numPr>
        <w:overflowPunct w:val="0"/>
        <w:rPr>
          <w:rFonts w:ascii="宋体" w:hAnsi="宋体" w:cs="宋体"/>
          <w:color w:val="auto"/>
          <w:sz w:val="21"/>
          <w:szCs w:val="21"/>
        </w:rPr>
      </w:pPr>
      <w:bookmarkStart w:id="47" w:name="_Toc11466"/>
      <w:bookmarkStart w:id="48" w:name="_Toc303084256"/>
      <w:bookmarkStart w:id="49" w:name="_Toc4208"/>
      <w:bookmarkStart w:id="50" w:name="_Toc382049103"/>
      <w:bookmarkStart w:id="51" w:name="_Toc307934854"/>
      <w:bookmarkStart w:id="52" w:name="_Toc28866"/>
      <w:r>
        <w:rPr>
          <w:rFonts w:hint="eastAsia" w:ascii="宋体" w:hAnsi="宋体" w:cs="宋体"/>
          <w:color w:val="auto"/>
          <w:sz w:val="21"/>
          <w:szCs w:val="21"/>
        </w:rPr>
        <w:t>投标文件的组成</w:t>
      </w:r>
      <w:bookmarkEnd w:id="47"/>
      <w:bookmarkEnd w:id="48"/>
      <w:bookmarkEnd w:id="49"/>
      <w:bookmarkEnd w:id="50"/>
      <w:bookmarkEnd w:id="51"/>
      <w:bookmarkEnd w:id="52"/>
    </w:p>
    <w:p w14:paraId="1E4D0F8A">
      <w:pPr>
        <w:pStyle w:val="42"/>
        <w:widowControl w:val="0"/>
        <w:numPr>
          <w:ilvl w:val="0"/>
          <w:numId w:val="3"/>
        </w:numPr>
        <w:adjustRightInd/>
        <w:snapToGrid/>
        <w:ind w:firstLineChars="0"/>
        <w:jc w:val="both"/>
        <w:rPr>
          <w:rFonts w:ascii="宋体" w:hAnsi="宋体" w:cs="宋体"/>
          <w:vanish/>
          <w:color w:val="auto"/>
          <w:szCs w:val="21"/>
        </w:rPr>
      </w:pPr>
    </w:p>
    <w:p w14:paraId="02459940">
      <w:pPr>
        <w:widowControl w:val="0"/>
        <w:numPr>
          <w:ilvl w:val="1"/>
          <w:numId w:val="2"/>
        </w:numPr>
        <w:overflowPunct w:val="0"/>
        <w:rPr>
          <w:rFonts w:ascii="宋体" w:hAnsi="宋体" w:cs="宋体"/>
          <w:color w:val="auto"/>
          <w:szCs w:val="21"/>
        </w:rPr>
      </w:pPr>
      <w:r>
        <w:rPr>
          <w:rFonts w:hint="eastAsia" w:ascii="宋体" w:hAnsi="宋体" w:cs="宋体"/>
          <w:color w:val="auto"/>
          <w:szCs w:val="21"/>
        </w:rPr>
        <w:t>包括但不限于采购文件附件格式中要求提供的表格。</w:t>
      </w:r>
    </w:p>
    <w:p w14:paraId="16D9FB51">
      <w:pPr>
        <w:widowControl w:val="0"/>
        <w:numPr>
          <w:ilvl w:val="1"/>
          <w:numId w:val="2"/>
        </w:numPr>
        <w:overflowPunct w:val="0"/>
        <w:rPr>
          <w:rFonts w:ascii="宋体" w:hAnsi="宋体" w:cs="宋体"/>
          <w:color w:val="auto"/>
          <w:szCs w:val="21"/>
        </w:rPr>
      </w:pPr>
      <w:r>
        <w:rPr>
          <w:rFonts w:hint="eastAsia" w:ascii="宋体" w:hAnsi="宋体" w:cs="宋体"/>
          <w:color w:val="auto"/>
          <w:szCs w:val="21"/>
        </w:rPr>
        <w:t>上述文件须按顺序装订成册，并编制投标文件目录。除上述文件资料外投标人还须按投标人须知的要求制作“唱标信封”。“唱标信封”作为投标文件的一部分，但须单独密封。</w:t>
      </w:r>
    </w:p>
    <w:p w14:paraId="6DCA5A74">
      <w:pPr>
        <w:rPr>
          <w:rFonts w:ascii="宋体" w:hAnsi="宋体" w:cs="宋体"/>
          <w:color w:val="auto"/>
        </w:rPr>
      </w:pPr>
    </w:p>
    <w:p w14:paraId="4FA05573">
      <w:pPr>
        <w:pStyle w:val="5"/>
        <w:widowControl w:val="0"/>
        <w:numPr>
          <w:ilvl w:val="0"/>
          <w:numId w:val="2"/>
        </w:numPr>
        <w:overflowPunct w:val="0"/>
        <w:rPr>
          <w:rFonts w:ascii="宋体" w:hAnsi="宋体" w:cs="宋体"/>
          <w:color w:val="auto"/>
          <w:sz w:val="21"/>
          <w:szCs w:val="21"/>
        </w:rPr>
      </w:pPr>
      <w:bookmarkStart w:id="53" w:name="_Toc755"/>
      <w:bookmarkStart w:id="54" w:name="_Toc2974"/>
      <w:r>
        <w:rPr>
          <w:rFonts w:hint="eastAsia" w:ascii="宋体" w:hAnsi="宋体" w:cs="宋体"/>
          <w:color w:val="auto"/>
          <w:sz w:val="21"/>
          <w:szCs w:val="21"/>
        </w:rPr>
        <w:t>投标文件编制</w:t>
      </w:r>
      <w:bookmarkEnd w:id="53"/>
      <w:bookmarkEnd w:id="54"/>
    </w:p>
    <w:p w14:paraId="76DB4E56">
      <w:pPr>
        <w:pStyle w:val="42"/>
        <w:widowControl w:val="0"/>
        <w:numPr>
          <w:ilvl w:val="0"/>
          <w:numId w:val="3"/>
        </w:numPr>
        <w:adjustRightInd/>
        <w:snapToGrid/>
        <w:ind w:firstLineChars="0"/>
        <w:jc w:val="both"/>
        <w:rPr>
          <w:rFonts w:ascii="宋体" w:hAnsi="宋体" w:cs="宋体"/>
          <w:vanish/>
          <w:color w:val="auto"/>
          <w:szCs w:val="21"/>
        </w:rPr>
      </w:pPr>
      <w:bookmarkStart w:id="55" w:name="_Toc303084258"/>
    </w:p>
    <w:p w14:paraId="36796255">
      <w:pPr>
        <w:widowControl w:val="0"/>
        <w:numPr>
          <w:ilvl w:val="1"/>
          <w:numId w:val="2"/>
        </w:numPr>
        <w:overflowPunct w:val="0"/>
        <w:rPr>
          <w:rFonts w:ascii="宋体" w:hAnsi="宋体" w:cs="宋体"/>
          <w:color w:val="auto"/>
          <w:szCs w:val="21"/>
        </w:rPr>
      </w:pPr>
      <w:r>
        <w:rPr>
          <w:rFonts w:hint="eastAsia" w:ascii="宋体" w:hAnsi="宋体" w:cs="宋体"/>
          <w:color w:val="auto"/>
          <w:szCs w:val="21"/>
        </w:rPr>
        <w:t>投标人应按采购文件的规定以及附件要求的内容和格式完整地填写（表格可以按同样格式扩展）和提供资料，投标人必须对投标文件所提供的全部材料的真实性承担法律责任，并无条件接受采购人或采购代理机构对其中任何资料进行核实的要求。</w:t>
      </w:r>
    </w:p>
    <w:p w14:paraId="00996807">
      <w:pPr>
        <w:widowControl w:val="0"/>
        <w:numPr>
          <w:ilvl w:val="1"/>
          <w:numId w:val="2"/>
        </w:numPr>
        <w:overflowPunct w:val="0"/>
        <w:rPr>
          <w:rFonts w:ascii="宋体" w:hAnsi="宋体" w:cs="宋体"/>
          <w:color w:val="auto"/>
          <w:szCs w:val="21"/>
        </w:rPr>
      </w:pPr>
      <w:r>
        <w:rPr>
          <w:rFonts w:hint="eastAsia" w:ascii="宋体" w:hAnsi="宋体" w:cs="宋体"/>
          <w:color w:val="auto"/>
          <w:szCs w:val="21"/>
        </w:rPr>
        <w:t>因投标文件编制存在歧义对投标人产生负面影响的，投标人自行承担后果。</w:t>
      </w:r>
    </w:p>
    <w:p w14:paraId="03D4005C">
      <w:pPr>
        <w:widowControl w:val="0"/>
        <w:numPr>
          <w:ilvl w:val="1"/>
          <w:numId w:val="2"/>
        </w:numPr>
        <w:overflowPunct w:val="0"/>
        <w:rPr>
          <w:rFonts w:ascii="宋体" w:hAnsi="宋体" w:cs="宋体"/>
          <w:color w:val="auto"/>
          <w:szCs w:val="21"/>
        </w:rPr>
      </w:pPr>
      <w:r>
        <w:rPr>
          <w:rFonts w:hint="eastAsia" w:ascii="宋体" w:hAnsi="宋体" w:cs="宋体"/>
          <w:color w:val="auto"/>
          <w:szCs w:val="21"/>
        </w:rPr>
        <w:t>投标单位名称与投标人公章不一致，若投标单位名称已进行变更，应在投标文件中提供相应的证明材料并加盖公章，否则投标文件无效。</w:t>
      </w:r>
    </w:p>
    <w:p w14:paraId="7B52580B">
      <w:pPr>
        <w:widowControl w:val="0"/>
        <w:numPr>
          <w:ilvl w:val="1"/>
          <w:numId w:val="2"/>
        </w:numPr>
        <w:overflowPunct w:val="0"/>
        <w:rPr>
          <w:rFonts w:ascii="宋体" w:hAnsi="宋体" w:cs="宋体"/>
          <w:color w:val="auto"/>
          <w:szCs w:val="21"/>
        </w:rPr>
      </w:pPr>
      <w:r>
        <w:rPr>
          <w:rFonts w:hint="eastAsia" w:ascii="宋体" w:hAnsi="宋体" w:cs="宋体"/>
          <w:color w:val="auto"/>
          <w:szCs w:val="21"/>
        </w:rPr>
        <w:t>投标文件密封、标记及内容与本项目采购信息不符，导致无法分辨所投项目为本项目的，投标文件无效。</w:t>
      </w:r>
    </w:p>
    <w:p w14:paraId="6154C923">
      <w:pPr>
        <w:widowControl w:val="0"/>
        <w:numPr>
          <w:ilvl w:val="1"/>
          <w:numId w:val="2"/>
        </w:numPr>
        <w:overflowPunct w:val="0"/>
        <w:rPr>
          <w:rFonts w:ascii="宋体" w:hAnsi="宋体" w:cs="宋体"/>
          <w:color w:val="auto"/>
          <w:szCs w:val="21"/>
        </w:rPr>
      </w:pPr>
      <w:r>
        <w:rPr>
          <w:rFonts w:hint="eastAsia" w:ascii="宋体" w:hAnsi="宋体" w:cs="宋体"/>
          <w:color w:val="auto"/>
          <w:szCs w:val="21"/>
        </w:rPr>
        <w:t>投标人须客观撰写投标人简介（格式自理，并提供相关证明）以及所投的产品或服务说明。</w:t>
      </w:r>
    </w:p>
    <w:p w14:paraId="030181DC">
      <w:pPr>
        <w:widowControl w:val="0"/>
        <w:numPr>
          <w:ilvl w:val="1"/>
          <w:numId w:val="2"/>
        </w:numPr>
        <w:overflowPunct w:val="0"/>
        <w:rPr>
          <w:rFonts w:ascii="宋体" w:hAnsi="宋体" w:cs="宋体"/>
          <w:color w:val="auto"/>
          <w:szCs w:val="21"/>
        </w:rPr>
      </w:pPr>
      <w:r>
        <w:rPr>
          <w:rFonts w:hint="eastAsia" w:ascii="宋体" w:hAnsi="宋体" w:cs="宋体"/>
          <w:color w:val="auto"/>
          <w:szCs w:val="21"/>
        </w:rPr>
        <w:t>投标文件若出现以下内容，经评标委员会认定有可能间接影响评审秩序，作废标处理。</w:t>
      </w:r>
    </w:p>
    <w:p w14:paraId="70B194CD">
      <w:pPr>
        <w:pStyle w:val="42"/>
        <w:widowControl w:val="0"/>
        <w:numPr>
          <w:ilvl w:val="0"/>
          <w:numId w:val="4"/>
        </w:numPr>
        <w:adjustRightInd/>
        <w:snapToGrid/>
        <w:ind w:firstLineChars="0"/>
        <w:jc w:val="both"/>
        <w:rPr>
          <w:rFonts w:ascii="宋体" w:hAnsi="宋体" w:cs="宋体"/>
          <w:color w:val="auto"/>
          <w:szCs w:val="21"/>
        </w:rPr>
      </w:pPr>
      <w:r>
        <w:rPr>
          <w:rFonts w:hint="eastAsia" w:ascii="宋体" w:hAnsi="宋体" w:cs="宋体"/>
          <w:color w:val="auto"/>
          <w:szCs w:val="21"/>
        </w:rPr>
        <w:t>投标文件内出现无官方证明文件的行业地域排名或使用“国家级”、“最高级”、“最佳”等用语字眼的。</w:t>
      </w:r>
    </w:p>
    <w:p w14:paraId="53B4A787">
      <w:pPr>
        <w:pStyle w:val="42"/>
        <w:widowControl w:val="0"/>
        <w:numPr>
          <w:ilvl w:val="0"/>
          <w:numId w:val="4"/>
        </w:numPr>
        <w:adjustRightInd/>
        <w:snapToGrid/>
        <w:ind w:firstLineChars="0"/>
        <w:jc w:val="both"/>
        <w:rPr>
          <w:rFonts w:ascii="宋体" w:hAnsi="宋体" w:cs="宋体"/>
          <w:color w:val="auto"/>
          <w:szCs w:val="21"/>
        </w:rPr>
      </w:pPr>
      <w:r>
        <w:rPr>
          <w:rFonts w:hint="eastAsia" w:ascii="宋体" w:hAnsi="宋体" w:cs="宋体"/>
          <w:color w:val="auto"/>
          <w:szCs w:val="21"/>
        </w:rPr>
        <w:t>投标文件内出现恶意诋毁、贬低其他生产经营者的商品或者服务的内容。</w:t>
      </w:r>
    </w:p>
    <w:p w14:paraId="3F928CF5">
      <w:pPr>
        <w:widowControl w:val="0"/>
        <w:numPr>
          <w:ilvl w:val="1"/>
          <w:numId w:val="2"/>
        </w:numPr>
        <w:overflowPunct w:val="0"/>
        <w:rPr>
          <w:rFonts w:ascii="宋体" w:hAnsi="宋体" w:cs="宋体"/>
          <w:color w:val="auto"/>
          <w:szCs w:val="21"/>
        </w:rPr>
      </w:pPr>
      <w:r>
        <w:rPr>
          <w:rFonts w:hint="eastAsia" w:ascii="宋体" w:hAnsi="宋体" w:cs="宋体"/>
          <w:color w:val="auto"/>
          <w:szCs w:val="21"/>
        </w:rPr>
        <w:t>有下列情形之一的，视为投标人串通投标，其投标无效：</w:t>
      </w:r>
    </w:p>
    <w:p w14:paraId="3F9A100F">
      <w:pPr>
        <w:widowControl w:val="0"/>
        <w:adjustRightInd/>
        <w:snapToGrid/>
        <w:ind w:firstLine="420" w:firstLineChars="200"/>
        <w:jc w:val="both"/>
        <w:rPr>
          <w:rFonts w:ascii="宋体" w:hAnsi="宋体" w:cs="宋体"/>
          <w:color w:val="auto"/>
          <w:szCs w:val="21"/>
        </w:rPr>
      </w:pPr>
      <w:r>
        <w:rPr>
          <w:rFonts w:hint="eastAsia" w:ascii="宋体" w:hAnsi="宋体" w:cs="宋体"/>
          <w:color w:val="auto"/>
          <w:szCs w:val="21"/>
        </w:rPr>
        <w:t>（1）不同投标人的投标文件由同一单位或者个人编制；</w:t>
      </w:r>
    </w:p>
    <w:p w14:paraId="710D0AFD">
      <w:pPr>
        <w:widowControl w:val="0"/>
        <w:adjustRightInd/>
        <w:snapToGrid/>
        <w:ind w:firstLine="420" w:firstLineChars="200"/>
        <w:jc w:val="both"/>
        <w:rPr>
          <w:rFonts w:ascii="宋体" w:hAnsi="宋体" w:cs="宋体"/>
          <w:color w:val="auto"/>
          <w:szCs w:val="21"/>
        </w:rPr>
      </w:pPr>
      <w:r>
        <w:rPr>
          <w:rFonts w:hint="eastAsia" w:ascii="宋体" w:hAnsi="宋体" w:cs="宋体"/>
          <w:color w:val="auto"/>
          <w:szCs w:val="21"/>
        </w:rPr>
        <w:t>（2）不同投标人委托同一单位或者个人办理投标事宜；</w:t>
      </w:r>
    </w:p>
    <w:p w14:paraId="7CD11C5C">
      <w:pPr>
        <w:widowControl w:val="0"/>
        <w:adjustRightInd/>
        <w:snapToGrid/>
        <w:ind w:firstLine="420" w:firstLineChars="200"/>
        <w:jc w:val="both"/>
        <w:rPr>
          <w:rFonts w:ascii="宋体" w:hAnsi="宋体" w:cs="宋体"/>
          <w:color w:val="auto"/>
          <w:szCs w:val="21"/>
        </w:rPr>
      </w:pPr>
      <w:r>
        <w:rPr>
          <w:rFonts w:hint="eastAsia" w:ascii="宋体" w:hAnsi="宋体" w:cs="宋体"/>
          <w:color w:val="auto"/>
          <w:szCs w:val="21"/>
        </w:rPr>
        <w:t>（3）不同投标人的投标文件载明的项目管理成员或者联系人员为同一人；</w:t>
      </w:r>
    </w:p>
    <w:p w14:paraId="000589A7">
      <w:pPr>
        <w:widowControl w:val="0"/>
        <w:adjustRightInd/>
        <w:snapToGrid/>
        <w:ind w:firstLine="420" w:firstLineChars="200"/>
        <w:jc w:val="both"/>
        <w:rPr>
          <w:rFonts w:ascii="宋体" w:hAnsi="宋体" w:cs="宋体"/>
          <w:color w:val="auto"/>
          <w:szCs w:val="21"/>
        </w:rPr>
      </w:pPr>
      <w:r>
        <w:rPr>
          <w:rFonts w:hint="eastAsia" w:ascii="宋体" w:hAnsi="宋体" w:cs="宋体"/>
          <w:color w:val="auto"/>
          <w:szCs w:val="21"/>
        </w:rPr>
        <w:t>（4）不同投标人的投标文件异常一致或者投标报价呈规律性差异；</w:t>
      </w:r>
    </w:p>
    <w:p w14:paraId="1381A6DA">
      <w:pPr>
        <w:widowControl w:val="0"/>
        <w:adjustRightInd/>
        <w:snapToGrid/>
        <w:ind w:firstLine="420" w:firstLineChars="200"/>
        <w:jc w:val="both"/>
        <w:rPr>
          <w:rFonts w:ascii="宋体" w:hAnsi="宋体" w:cs="宋体"/>
          <w:color w:val="auto"/>
          <w:szCs w:val="21"/>
        </w:rPr>
      </w:pPr>
      <w:r>
        <w:rPr>
          <w:rFonts w:hint="eastAsia" w:ascii="宋体" w:hAnsi="宋体" w:cs="宋体"/>
          <w:color w:val="auto"/>
          <w:szCs w:val="21"/>
        </w:rPr>
        <w:t>（5）不同投标人的投标文件相互混装；</w:t>
      </w:r>
    </w:p>
    <w:p w14:paraId="0CAEEC83">
      <w:pPr>
        <w:widowControl w:val="0"/>
        <w:adjustRightInd/>
        <w:snapToGrid/>
        <w:ind w:firstLine="420" w:firstLineChars="200"/>
        <w:jc w:val="both"/>
        <w:rPr>
          <w:rFonts w:ascii="宋体" w:hAnsi="宋体" w:cs="宋体"/>
          <w:color w:val="auto"/>
          <w:szCs w:val="21"/>
        </w:rPr>
      </w:pPr>
      <w:r>
        <w:rPr>
          <w:rFonts w:hint="eastAsia" w:ascii="宋体" w:hAnsi="宋体" w:cs="宋体"/>
          <w:color w:val="auto"/>
          <w:szCs w:val="21"/>
        </w:rPr>
        <w:t>（6）不同投标人的投标保证金从同一单位或者个人的账户转出。</w:t>
      </w:r>
    </w:p>
    <w:bookmarkEnd w:id="55"/>
    <w:p w14:paraId="79F94958">
      <w:pPr>
        <w:rPr>
          <w:rFonts w:ascii="宋体" w:hAnsi="宋体" w:cs="宋体"/>
          <w:color w:val="auto"/>
        </w:rPr>
      </w:pPr>
    </w:p>
    <w:p w14:paraId="497A86C3">
      <w:pPr>
        <w:pStyle w:val="5"/>
        <w:widowControl w:val="0"/>
        <w:numPr>
          <w:ilvl w:val="0"/>
          <w:numId w:val="2"/>
        </w:numPr>
        <w:overflowPunct w:val="0"/>
        <w:rPr>
          <w:rFonts w:ascii="宋体" w:hAnsi="宋体" w:cs="宋体"/>
          <w:color w:val="auto"/>
          <w:sz w:val="21"/>
          <w:szCs w:val="21"/>
        </w:rPr>
      </w:pPr>
      <w:bookmarkStart w:id="56" w:name="_Toc6154"/>
      <w:bookmarkStart w:id="57" w:name="_Toc9268"/>
      <w:r>
        <w:rPr>
          <w:rFonts w:hint="eastAsia" w:ascii="宋体" w:hAnsi="宋体" w:cs="宋体"/>
          <w:color w:val="auto"/>
          <w:sz w:val="21"/>
          <w:szCs w:val="21"/>
        </w:rPr>
        <w:t>投标报价说明</w:t>
      </w:r>
      <w:bookmarkEnd w:id="56"/>
      <w:bookmarkEnd w:id="57"/>
    </w:p>
    <w:p w14:paraId="614870EE">
      <w:pPr>
        <w:pStyle w:val="42"/>
        <w:widowControl w:val="0"/>
        <w:numPr>
          <w:ilvl w:val="0"/>
          <w:numId w:val="3"/>
        </w:numPr>
        <w:adjustRightInd/>
        <w:snapToGrid/>
        <w:ind w:firstLineChars="0"/>
        <w:jc w:val="both"/>
        <w:rPr>
          <w:rFonts w:ascii="宋体" w:hAnsi="宋体" w:cs="宋体"/>
          <w:vanish/>
          <w:color w:val="auto"/>
          <w:szCs w:val="21"/>
        </w:rPr>
      </w:pPr>
    </w:p>
    <w:p w14:paraId="60BDBF36">
      <w:pPr>
        <w:widowControl w:val="0"/>
        <w:numPr>
          <w:ilvl w:val="1"/>
          <w:numId w:val="2"/>
        </w:numPr>
        <w:overflowPunct w:val="0"/>
        <w:rPr>
          <w:rFonts w:ascii="宋体" w:hAnsi="宋体" w:cs="宋体"/>
          <w:color w:val="auto"/>
          <w:szCs w:val="21"/>
        </w:rPr>
      </w:pPr>
      <w:r>
        <w:rPr>
          <w:rFonts w:hint="eastAsia" w:ascii="宋体" w:hAnsi="宋体" w:cs="宋体"/>
          <w:color w:val="auto"/>
          <w:szCs w:val="21"/>
        </w:rPr>
        <w:t>本次采购，投标人应按用户需求中的要求进行投标报价，少报无效。</w:t>
      </w:r>
    </w:p>
    <w:p w14:paraId="6548C8E3">
      <w:pPr>
        <w:widowControl w:val="0"/>
        <w:numPr>
          <w:ilvl w:val="1"/>
          <w:numId w:val="2"/>
        </w:numPr>
        <w:overflowPunct w:val="0"/>
        <w:rPr>
          <w:rFonts w:ascii="宋体" w:hAnsi="宋体" w:cs="宋体"/>
          <w:color w:val="auto"/>
          <w:szCs w:val="21"/>
        </w:rPr>
      </w:pPr>
      <w:r>
        <w:rPr>
          <w:rFonts w:hint="eastAsia" w:ascii="宋体" w:hAnsi="宋体" w:cs="宋体"/>
          <w:color w:val="auto"/>
          <w:szCs w:val="21"/>
        </w:rPr>
        <w:t>投标人所提供的货物或服务均以人民币（或相关费率）报价。</w:t>
      </w:r>
    </w:p>
    <w:p w14:paraId="352C8E71">
      <w:pPr>
        <w:widowControl w:val="0"/>
        <w:numPr>
          <w:ilvl w:val="1"/>
          <w:numId w:val="2"/>
        </w:numPr>
        <w:overflowPunct w:val="0"/>
        <w:rPr>
          <w:rFonts w:ascii="宋体" w:hAnsi="宋体" w:cs="宋体"/>
          <w:color w:val="auto"/>
          <w:szCs w:val="21"/>
        </w:rPr>
      </w:pPr>
      <w:r>
        <w:rPr>
          <w:rFonts w:hint="eastAsia" w:ascii="宋体" w:hAnsi="宋体" w:cs="宋体"/>
          <w:color w:val="auto"/>
          <w:szCs w:val="21"/>
        </w:rPr>
        <w:t>投标报价应包含完成本次采购所有服务内容的费用，包含各种税务费及合同实施过程中的全部费用和售后服务费等。</w:t>
      </w:r>
    </w:p>
    <w:p w14:paraId="285222AD">
      <w:pPr>
        <w:widowControl w:val="0"/>
        <w:numPr>
          <w:ilvl w:val="1"/>
          <w:numId w:val="2"/>
        </w:numPr>
        <w:overflowPunct w:val="0"/>
        <w:rPr>
          <w:rFonts w:ascii="宋体" w:hAnsi="宋体" w:cs="宋体"/>
          <w:color w:val="auto"/>
          <w:szCs w:val="21"/>
        </w:rPr>
      </w:pPr>
      <w:r>
        <w:rPr>
          <w:rFonts w:hint="eastAsia" w:ascii="宋体" w:hAnsi="宋体" w:cs="宋体"/>
          <w:color w:val="auto"/>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AD6984A">
      <w:pPr>
        <w:widowControl w:val="0"/>
        <w:numPr>
          <w:ilvl w:val="1"/>
          <w:numId w:val="2"/>
        </w:numPr>
        <w:overflowPunct w:val="0"/>
        <w:rPr>
          <w:rFonts w:ascii="宋体" w:hAnsi="宋体" w:cs="宋体"/>
          <w:color w:val="auto"/>
          <w:szCs w:val="21"/>
        </w:rPr>
      </w:pPr>
      <w:r>
        <w:rPr>
          <w:rFonts w:hint="eastAsia" w:ascii="宋体" w:hAnsi="宋体" w:cs="宋体"/>
          <w:color w:val="auto"/>
          <w:szCs w:val="21"/>
        </w:rPr>
        <w:t>中标后开出的所有发票必须与中标人的名称一致。</w:t>
      </w:r>
    </w:p>
    <w:p w14:paraId="5C5567D3">
      <w:pPr>
        <w:rPr>
          <w:rFonts w:ascii="宋体" w:hAnsi="宋体" w:cs="宋体"/>
          <w:color w:val="auto"/>
        </w:rPr>
      </w:pPr>
    </w:p>
    <w:p w14:paraId="7DDDDEFF">
      <w:pPr>
        <w:pStyle w:val="5"/>
        <w:widowControl w:val="0"/>
        <w:numPr>
          <w:ilvl w:val="0"/>
          <w:numId w:val="2"/>
        </w:numPr>
        <w:overflowPunct w:val="0"/>
        <w:rPr>
          <w:rFonts w:ascii="宋体" w:hAnsi="宋体" w:cs="宋体"/>
          <w:color w:val="auto"/>
          <w:sz w:val="21"/>
          <w:szCs w:val="21"/>
        </w:rPr>
      </w:pPr>
      <w:bookmarkStart w:id="58" w:name="_Toc27397"/>
      <w:bookmarkStart w:id="59" w:name="_Toc17669"/>
      <w:r>
        <w:rPr>
          <w:rFonts w:hint="eastAsia" w:ascii="宋体" w:hAnsi="宋体" w:cs="宋体"/>
          <w:color w:val="auto"/>
          <w:sz w:val="21"/>
          <w:szCs w:val="21"/>
        </w:rPr>
        <w:t>投标人所提供的服务或货物的证明文件</w:t>
      </w:r>
      <w:bookmarkEnd w:id="58"/>
      <w:bookmarkEnd w:id="59"/>
    </w:p>
    <w:p w14:paraId="7AB5D3F9">
      <w:pPr>
        <w:pStyle w:val="42"/>
        <w:widowControl w:val="0"/>
        <w:numPr>
          <w:ilvl w:val="0"/>
          <w:numId w:val="3"/>
        </w:numPr>
        <w:adjustRightInd/>
        <w:snapToGrid/>
        <w:ind w:firstLineChars="0"/>
        <w:jc w:val="both"/>
        <w:rPr>
          <w:rFonts w:ascii="宋体" w:hAnsi="宋体" w:cs="宋体"/>
          <w:vanish/>
          <w:color w:val="auto"/>
          <w:szCs w:val="21"/>
        </w:rPr>
      </w:pPr>
    </w:p>
    <w:p w14:paraId="3847B548">
      <w:pPr>
        <w:widowControl w:val="0"/>
        <w:numPr>
          <w:ilvl w:val="1"/>
          <w:numId w:val="2"/>
        </w:numPr>
        <w:overflowPunct w:val="0"/>
        <w:rPr>
          <w:rFonts w:ascii="宋体" w:hAnsi="宋体" w:cs="宋体"/>
          <w:color w:val="auto"/>
          <w:szCs w:val="21"/>
        </w:rPr>
      </w:pPr>
      <w:bookmarkStart w:id="60" w:name="_Hlt107925638"/>
      <w:bookmarkEnd w:id="60"/>
      <w:bookmarkStart w:id="61" w:name="_Hlt107925668"/>
      <w:bookmarkEnd w:id="61"/>
      <w:r>
        <w:rPr>
          <w:rFonts w:hint="eastAsia" w:ascii="宋体" w:hAnsi="宋体" w:cs="宋体"/>
          <w:color w:val="auto"/>
          <w:szCs w:val="21"/>
        </w:rPr>
        <w:t>证明服务或货物的文件，它可以是文字资料、图纸和数据包括但不限于：服务主要内容、标准、质量、人员资质、计划安排、报告审核等的详细说明；对采购文件第三部分《用户需求书》中规定的要求进行详细应答和说明。</w:t>
      </w:r>
    </w:p>
    <w:p w14:paraId="5A0FE989">
      <w:pPr>
        <w:widowControl w:val="0"/>
        <w:numPr>
          <w:ilvl w:val="1"/>
          <w:numId w:val="2"/>
        </w:numPr>
        <w:overflowPunct w:val="0"/>
        <w:rPr>
          <w:rFonts w:ascii="宋体" w:hAnsi="宋体" w:cs="宋体"/>
          <w:color w:val="auto"/>
          <w:szCs w:val="21"/>
        </w:rPr>
      </w:pPr>
      <w:r>
        <w:rPr>
          <w:rFonts w:hint="eastAsia" w:ascii="宋体" w:hAnsi="宋体" w:cs="宋体"/>
          <w:color w:val="auto"/>
          <w:szCs w:val="21"/>
        </w:rPr>
        <w:t>有下列情形之一的，视为投标人弄虚作假，其投标无效：</w:t>
      </w:r>
    </w:p>
    <w:p w14:paraId="1C5C4DF8">
      <w:pPr>
        <w:pStyle w:val="42"/>
        <w:widowControl w:val="0"/>
        <w:adjustRightInd/>
        <w:snapToGrid/>
        <w:ind w:left="425" w:firstLine="0" w:firstLineChars="0"/>
        <w:jc w:val="both"/>
        <w:rPr>
          <w:rFonts w:ascii="宋体" w:hAnsi="宋体" w:cs="宋体"/>
          <w:color w:val="auto"/>
        </w:rPr>
      </w:pPr>
      <w:r>
        <w:rPr>
          <w:rFonts w:hint="eastAsia" w:ascii="宋体" w:hAnsi="宋体" w:cs="宋体"/>
          <w:color w:val="auto"/>
        </w:rPr>
        <w:t>1、使用通过受让或者租借等方式获取的资格、资质证书投标的，属于以他人名义投标。</w:t>
      </w:r>
    </w:p>
    <w:p w14:paraId="533B02C5">
      <w:pPr>
        <w:pStyle w:val="42"/>
        <w:widowControl w:val="0"/>
        <w:adjustRightInd/>
        <w:snapToGrid/>
        <w:ind w:left="425" w:firstLine="0" w:firstLineChars="0"/>
        <w:jc w:val="both"/>
        <w:rPr>
          <w:rFonts w:ascii="宋体" w:hAnsi="宋体" w:cs="宋体"/>
          <w:color w:val="auto"/>
        </w:rPr>
      </w:pPr>
      <w:r>
        <w:rPr>
          <w:rFonts w:hint="eastAsia" w:ascii="宋体" w:hAnsi="宋体" w:cs="宋体"/>
          <w:color w:val="auto"/>
        </w:rPr>
        <w:t>2、投标人有下列情形之一的，属于以其他方式弄虚作假的行为：</w:t>
      </w:r>
    </w:p>
    <w:p w14:paraId="337618A7">
      <w:pPr>
        <w:pStyle w:val="42"/>
        <w:widowControl w:val="0"/>
        <w:adjustRightInd/>
        <w:snapToGrid/>
        <w:ind w:left="425" w:firstLine="0" w:firstLineChars="0"/>
        <w:jc w:val="both"/>
        <w:rPr>
          <w:rFonts w:ascii="宋体" w:hAnsi="宋体" w:cs="宋体"/>
          <w:color w:val="auto"/>
        </w:rPr>
      </w:pPr>
      <w:r>
        <w:rPr>
          <w:rFonts w:hint="eastAsia" w:ascii="宋体" w:hAnsi="宋体" w:cs="宋体"/>
          <w:color w:val="auto"/>
        </w:rPr>
        <w:t>（1）使用伪造、变造的许可证件；</w:t>
      </w:r>
    </w:p>
    <w:p w14:paraId="606D7A2A">
      <w:pPr>
        <w:pStyle w:val="42"/>
        <w:widowControl w:val="0"/>
        <w:adjustRightInd/>
        <w:snapToGrid/>
        <w:ind w:left="425" w:firstLine="0" w:firstLineChars="0"/>
        <w:jc w:val="both"/>
        <w:rPr>
          <w:rFonts w:ascii="宋体" w:hAnsi="宋体" w:cs="宋体"/>
          <w:color w:val="auto"/>
        </w:rPr>
      </w:pPr>
      <w:r>
        <w:rPr>
          <w:rFonts w:hint="eastAsia" w:ascii="宋体" w:hAnsi="宋体" w:cs="宋体"/>
          <w:color w:val="auto"/>
        </w:rPr>
        <w:t>（2）提供虚假的财务状况或者业绩；</w:t>
      </w:r>
    </w:p>
    <w:p w14:paraId="2E782EEA">
      <w:pPr>
        <w:pStyle w:val="42"/>
        <w:widowControl w:val="0"/>
        <w:adjustRightInd/>
        <w:snapToGrid/>
        <w:ind w:left="425" w:firstLine="0" w:firstLineChars="0"/>
        <w:jc w:val="both"/>
        <w:rPr>
          <w:rFonts w:ascii="宋体" w:hAnsi="宋体" w:cs="宋体"/>
          <w:color w:val="auto"/>
        </w:rPr>
      </w:pPr>
      <w:r>
        <w:rPr>
          <w:rFonts w:hint="eastAsia" w:ascii="宋体" w:hAnsi="宋体" w:cs="宋体"/>
          <w:color w:val="auto"/>
        </w:rPr>
        <w:t>（3）提供虚假的项目负责人或者主要技术人员简历、劳动关系证明；</w:t>
      </w:r>
    </w:p>
    <w:p w14:paraId="329012D2">
      <w:pPr>
        <w:pStyle w:val="42"/>
        <w:widowControl w:val="0"/>
        <w:adjustRightInd/>
        <w:snapToGrid/>
        <w:ind w:left="425" w:firstLine="0" w:firstLineChars="0"/>
        <w:jc w:val="both"/>
        <w:rPr>
          <w:rFonts w:ascii="宋体" w:hAnsi="宋体" w:cs="宋体"/>
          <w:color w:val="auto"/>
        </w:rPr>
      </w:pPr>
      <w:r>
        <w:rPr>
          <w:rFonts w:hint="eastAsia" w:ascii="宋体" w:hAnsi="宋体" w:cs="宋体"/>
          <w:color w:val="auto"/>
        </w:rPr>
        <w:t>（4）提供虚假的信用状况；</w:t>
      </w:r>
    </w:p>
    <w:p w14:paraId="737B8989">
      <w:pPr>
        <w:pStyle w:val="42"/>
        <w:widowControl w:val="0"/>
        <w:adjustRightInd/>
        <w:snapToGrid/>
        <w:ind w:left="425" w:firstLine="0" w:firstLineChars="0"/>
        <w:jc w:val="both"/>
        <w:rPr>
          <w:rFonts w:ascii="宋体" w:hAnsi="宋体" w:cs="宋体"/>
          <w:color w:val="auto"/>
        </w:rPr>
      </w:pPr>
      <w:r>
        <w:rPr>
          <w:rFonts w:hint="eastAsia" w:ascii="宋体" w:hAnsi="宋体" w:cs="宋体"/>
          <w:color w:val="auto"/>
        </w:rPr>
        <w:t>（5）其他弄虚作假的行为。</w:t>
      </w:r>
    </w:p>
    <w:p w14:paraId="1B0F5B96">
      <w:pPr>
        <w:pStyle w:val="5"/>
        <w:widowControl w:val="0"/>
        <w:numPr>
          <w:ilvl w:val="0"/>
          <w:numId w:val="2"/>
        </w:numPr>
        <w:overflowPunct w:val="0"/>
        <w:rPr>
          <w:rFonts w:ascii="宋体" w:hAnsi="宋体" w:cs="宋体"/>
          <w:color w:val="auto"/>
          <w:sz w:val="21"/>
          <w:szCs w:val="21"/>
        </w:rPr>
      </w:pPr>
      <w:bookmarkStart w:id="62" w:name="_Toc8324"/>
      <w:bookmarkStart w:id="63" w:name="_Toc6153"/>
      <w:r>
        <w:rPr>
          <w:rFonts w:hint="eastAsia" w:ascii="宋体" w:hAnsi="宋体" w:cs="宋体"/>
          <w:color w:val="auto"/>
          <w:sz w:val="21"/>
          <w:szCs w:val="21"/>
        </w:rPr>
        <w:t>投标有效期</w:t>
      </w:r>
      <w:bookmarkEnd w:id="62"/>
      <w:bookmarkEnd w:id="63"/>
    </w:p>
    <w:p w14:paraId="616C6BA3">
      <w:pPr>
        <w:pStyle w:val="42"/>
        <w:widowControl w:val="0"/>
        <w:numPr>
          <w:ilvl w:val="0"/>
          <w:numId w:val="3"/>
        </w:numPr>
        <w:adjustRightInd/>
        <w:snapToGrid/>
        <w:ind w:firstLineChars="0"/>
        <w:jc w:val="both"/>
        <w:rPr>
          <w:rFonts w:ascii="宋体" w:hAnsi="宋体" w:cs="宋体"/>
          <w:vanish/>
          <w:color w:val="auto"/>
          <w:szCs w:val="21"/>
        </w:rPr>
      </w:pPr>
    </w:p>
    <w:p w14:paraId="298C7EAE">
      <w:pPr>
        <w:widowControl w:val="0"/>
        <w:numPr>
          <w:ilvl w:val="1"/>
          <w:numId w:val="2"/>
        </w:numPr>
        <w:overflowPunct w:val="0"/>
        <w:rPr>
          <w:rFonts w:ascii="宋体" w:hAnsi="宋体" w:cs="宋体"/>
          <w:color w:val="auto"/>
          <w:szCs w:val="21"/>
        </w:rPr>
      </w:pPr>
      <w:r>
        <w:rPr>
          <w:rFonts w:hint="eastAsia" w:ascii="宋体" w:hAnsi="宋体" w:cs="宋体"/>
          <w:color w:val="auto"/>
          <w:szCs w:val="21"/>
        </w:rPr>
        <w:t>投标文件应根据投标人须知的规定在投标截止日后的90天内保持有效。</w:t>
      </w:r>
    </w:p>
    <w:p w14:paraId="569294F5">
      <w:pPr>
        <w:widowControl w:val="0"/>
        <w:adjustRightInd/>
        <w:snapToGrid/>
        <w:ind w:left="567"/>
        <w:jc w:val="both"/>
        <w:rPr>
          <w:rFonts w:ascii="宋体" w:hAnsi="宋体" w:cs="宋体"/>
          <w:color w:val="auto"/>
        </w:rPr>
      </w:pPr>
    </w:p>
    <w:p w14:paraId="3A72B82B">
      <w:pPr>
        <w:pStyle w:val="5"/>
        <w:widowControl w:val="0"/>
        <w:numPr>
          <w:ilvl w:val="0"/>
          <w:numId w:val="2"/>
        </w:numPr>
        <w:overflowPunct w:val="0"/>
        <w:rPr>
          <w:rFonts w:ascii="宋体" w:hAnsi="宋体" w:cs="宋体"/>
          <w:color w:val="auto"/>
          <w:sz w:val="21"/>
          <w:szCs w:val="21"/>
        </w:rPr>
      </w:pPr>
      <w:bookmarkStart w:id="64" w:name="_Toc12582"/>
      <w:bookmarkStart w:id="65" w:name="_Toc13063"/>
      <w:r>
        <w:rPr>
          <w:rFonts w:hint="eastAsia" w:ascii="宋体" w:hAnsi="宋体" w:cs="宋体"/>
          <w:color w:val="auto"/>
          <w:sz w:val="21"/>
          <w:szCs w:val="21"/>
        </w:rPr>
        <w:t>投标保证金</w:t>
      </w:r>
      <w:bookmarkEnd w:id="64"/>
      <w:bookmarkEnd w:id="65"/>
    </w:p>
    <w:p w14:paraId="3C48A0A2">
      <w:pPr>
        <w:pStyle w:val="42"/>
        <w:widowControl w:val="0"/>
        <w:numPr>
          <w:ilvl w:val="0"/>
          <w:numId w:val="3"/>
        </w:numPr>
        <w:adjustRightInd/>
        <w:snapToGrid/>
        <w:ind w:firstLineChars="0"/>
        <w:jc w:val="both"/>
        <w:rPr>
          <w:rFonts w:ascii="宋体" w:hAnsi="宋体" w:cs="宋体"/>
          <w:vanish/>
          <w:color w:val="auto"/>
          <w:szCs w:val="21"/>
        </w:rPr>
      </w:pPr>
      <w:bookmarkStart w:id="66" w:name="_Ref179619405"/>
    </w:p>
    <w:bookmarkEnd w:id="66"/>
    <w:p w14:paraId="5C50A53C">
      <w:pPr>
        <w:widowControl w:val="0"/>
        <w:numPr>
          <w:ilvl w:val="1"/>
          <w:numId w:val="2"/>
        </w:numPr>
        <w:overflowPunct w:val="0"/>
        <w:rPr>
          <w:rFonts w:ascii="宋体" w:hAnsi="宋体" w:cs="宋体"/>
          <w:color w:val="auto"/>
          <w:szCs w:val="21"/>
        </w:rPr>
      </w:pPr>
      <w:r>
        <w:rPr>
          <w:rFonts w:hint="eastAsia" w:ascii="宋体" w:hAnsi="宋体" w:cs="宋体"/>
          <w:color w:val="auto"/>
          <w:szCs w:val="21"/>
        </w:rPr>
        <w:t>投标人应在投标文件递交截止前提交相应的投标保证金，并作为其投标的一部分。</w:t>
      </w:r>
    </w:p>
    <w:p w14:paraId="46120B9E">
      <w:pPr>
        <w:widowControl w:val="0"/>
        <w:numPr>
          <w:ilvl w:val="1"/>
          <w:numId w:val="2"/>
        </w:numPr>
        <w:overflowPunct w:val="0"/>
        <w:rPr>
          <w:rFonts w:ascii="宋体" w:hAnsi="宋体" w:cs="宋体"/>
          <w:color w:val="auto"/>
          <w:szCs w:val="21"/>
        </w:rPr>
      </w:pPr>
      <w:r>
        <w:rPr>
          <w:rFonts w:hint="eastAsia" w:ascii="宋体" w:hAnsi="宋体" w:cs="宋体"/>
          <w:color w:val="auto"/>
          <w:szCs w:val="21"/>
        </w:rPr>
        <w:t>投标保证金是为了保护采购代理机构和采购人免遭因投标人的行为而蒙受的损失。采购代理机构和采购人在因投标人的行为受到损害时可根据本须知（17.7）的规定没收投标人的投标保证金。</w:t>
      </w:r>
    </w:p>
    <w:p w14:paraId="05C80A66">
      <w:pPr>
        <w:widowControl w:val="0"/>
        <w:numPr>
          <w:ilvl w:val="1"/>
          <w:numId w:val="2"/>
        </w:numPr>
        <w:overflowPunct w:val="0"/>
        <w:rPr>
          <w:rFonts w:ascii="宋体" w:hAnsi="宋体" w:cs="宋体"/>
          <w:color w:val="auto"/>
          <w:szCs w:val="21"/>
        </w:rPr>
      </w:pPr>
      <w:r>
        <w:rPr>
          <w:rFonts w:hint="eastAsia" w:ascii="宋体" w:hAnsi="宋体" w:cs="宋体"/>
          <w:color w:val="auto"/>
          <w:szCs w:val="21"/>
        </w:rPr>
        <w:t>投标保证金采用转账、电汇方式方式提交，应符合以下要求：采用银行转账、电汇方式提交的，保证金汇入《投标资料表》中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14:paraId="0D931194">
      <w:pPr>
        <w:widowControl w:val="0"/>
        <w:numPr>
          <w:ilvl w:val="1"/>
          <w:numId w:val="2"/>
        </w:numPr>
        <w:overflowPunct w:val="0"/>
        <w:rPr>
          <w:rFonts w:ascii="宋体" w:hAnsi="宋体" w:cs="宋体"/>
          <w:color w:val="auto"/>
          <w:szCs w:val="21"/>
        </w:rPr>
      </w:pPr>
      <w:r>
        <w:rPr>
          <w:rFonts w:hint="eastAsia" w:ascii="宋体" w:hAnsi="宋体" w:cs="宋体"/>
          <w:color w:val="auto"/>
          <w:szCs w:val="21"/>
        </w:rPr>
        <w:t>凡没有根据本须知（17.1和17.3）的规定随附有效的投标保证金的投标，将被视为非响应性投标予以拒绝。</w:t>
      </w:r>
    </w:p>
    <w:p w14:paraId="5256F7B7">
      <w:pPr>
        <w:widowControl w:val="0"/>
        <w:numPr>
          <w:ilvl w:val="1"/>
          <w:numId w:val="2"/>
        </w:numPr>
        <w:overflowPunct w:val="0"/>
        <w:rPr>
          <w:rFonts w:ascii="宋体" w:hAnsi="宋体" w:cs="宋体"/>
          <w:color w:val="auto"/>
          <w:szCs w:val="21"/>
        </w:rPr>
      </w:pPr>
      <w:r>
        <w:rPr>
          <w:rFonts w:hint="eastAsia" w:ascii="宋体" w:hAnsi="宋体" w:cs="宋体"/>
          <w:color w:val="auto"/>
          <w:szCs w:val="21"/>
        </w:rPr>
        <w:t>投标保证金有效期应当与投标有效期一致。采购人如果按照采购文件另外规定延长了投标文件有效期，则投标担保的有效期也相应延长。</w:t>
      </w:r>
    </w:p>
    <w:p w14:paraId="0BF19FE7">
      <w:pPr>
        <w:widowControl w:val="0"/>
        <w:numPr>
          <w:ilvl w:val="1"/>
          <w:numId w:val="2"/>
        </w:numPr>
        <w:overflowPunct w:val="0"/>
        <w:rPr>
          <w:rFonts w:ascii="宋体" w:hAnsi="宋体" w:cs="宋体"/>
          <w:color w:val="auto"/>
          <w:szCs w:val="21"/>
        </w:rPr>
      </w:pPr>
      <w:r>
        <w:rPr>
          <w:rFonts w:hint="eastAsia" w:ascii="宋体" w:hAnsi="宋体" w:cs="宋体"/>
          <w:color w:val="auto"/>
          <w:szCs w:val="21"/>
        </w:rPr>
        <w:t>中标人</w:t>
      </w:r>
      <w:r>
        <w:rPr>
          <w:rFonts w:hint="eastAsia" w:ascii="宋体" w:hAnsi="宋体" w:cs="宋体"/>
          <w:color w:val="auto"/>
          <w:szCs w:val="21"/>
          <w:lang w:val="en-US" w:eastAsia="zh-CN"/>
        </w:rPr>
        <w:t>的</w:t>
      </w:r>
      <w:r>
        <w:rPr>
          <w:rFonts w:hint="eastAsia" w:ascii="宋体" w:hAnsi="宋体" w:cs="宋体"/>
          <w:color w:val="auto"/>
          <w:szCs w:val="21"/>
        </w:rPr>
        <w:t>投标保证金在合同签订后自动转为履约保证金。</w:t>
      </w:r>
    </w:p>
    <w:p w14:paraId="2BEE0866">
      <w:pPr>
        <w:widowControl w:val="0"/>
        <w:numPr>
          <w:ilvl w:val="1"/>
          <w:numId w:val="2"/>
        </w:numPr>
        <w:overflowPunct w:val="0"/>
        <w:rPr>
          <w:rFonts w:ascii="宋体" w:hAnsi="宋体" w:cs="宋体"/>
          <w:color w:val="auto"/>
          <w:szCs w:val="21"/>
        </w:rPr>
      </w:pPr>
      <w:r>
        <w:rPr>
          <w:rFonts w:hint="eastAsia" w:ascii="宋体" w:hAnsi="宋体" w:cs="宋体"/>
          <w:color w:val="auto"/>
          <w:szCs w:val="21"/>
        </w:rPr>
        <w:t>下列任何情况发生时，投标保证金将不予退还：</w:t>
      </w:r>
    </w:p>
    <w:p w14:paraId="20309F0D">
      <w:pPr>
        <w:widowControl w:val="0"/>
        <w:adjustRightInd/>
        <w:snapToGrid/>
        <w:ind w:left="540" w:leftChars="257"/>
        <w:jc w:val="both"/>
        <w:rPr>
          <w:rFonts w:ascii="宋体" w:hAnsi="宋体" w:cs="宋体"/>
          <w:color w:val="auto"/>
          <w:szCs w:val="21"/>
        </w:rPr>
      </w:pPr>
      <w:r>
        <w:rPr>
          <w:rFonts w:hint="eastAsia" w:ascii="宋体" w:hAnsi="宋体" w:cs="宋体"/>
          <w:color w:val="auto"/>
          <w:szCs w:val="21"/>
        </w:rPr>
        <w:t>（1）投标人在采购文件中规定的投标有效期内撤回其投标；</w:t>
      </w:r>
    </w:p>
    <w:p w14:paraId="3C184A9D">
      <w:pPr>
        <w:widowControl w:val="0"/>
        <w:adjustRightInd/>
        <w:snapToGrid/>
        <w:ind w:left="540" w:leftChars="257"/>
        <w:jc w:val="both"/>
        <w:rPr>
          <w:rFonts w:ascii="宋体" w:hAnsi="宋体" w:cs="宋体"/>
          <w:color w:val="auto"/>
          <w:szCs w:val="21"/>
        </w:rPr>
      </w:pPr>
      <w:r>
        <w:rPr>
          <w:rFonts w:hint="eastAsia" w:ascii="宋体" w:hAnsi="宋体" w:cs="宋体"/>
          <w:color w:val="auto"/>
          <w:szCs w:val="21"/>
        </w:rPr>
        <w:t>（2）中标人无正当理由不与采购人订立合同，在签订合同时向采购人提出附加条件，或者不按照采购文件要求提交履约保证金的；</w:t>
      </w:r>
    </w:p>
    <w:p w14:paraId="230CC059">
      <w:pPr>
        <w:widowControl w:val="0"/>
        <w:adjustRightInd/>
        <w:snapToGrid/>
        <w:ind w:left="540" w:leftChars="257"/>
        <w:jc w:val="both"/>
        <w:rPr>
          <w:rFonts w:ascii="宋体" w:hAnsi="宋体" w:cs="宋体"/>
          <w:color w:val="auto"/>
          <w:szCs w:val="21"/>
        </w:rPr>
      </w:pPr>
      <w:r>
        <w:rPr>
          <w:rFonts w:hint="eastAsia" w:ascii="宋体" w:hAnsi="宋体" w:cs="宋体"/>
          <w:color w:val="auto"/>
          <w:szCs w:val="21"/>
        </w:rPr>
        <w:t>（3）中标人将本项目转让给他人，或者在投标文件中未说明，且未经采购人同意，将中标项目分包给他人的；</w:t>
      </w:r>
    </w:p>
    <w:p w14:paraId="277E89E6">
      <w:pPr>
        <w:widowControl w:val="0"/>
        <w:adjustRightInd/>
        <w:snapToGrid/>
        <w:ind w:left="540" w:leftChars="257"/>
        <w:jc w:val="both"/>
        <w:rPr>
          <w:rFonts w:ascii="宋体" w:hAnsi="宋体" w:cs="宋体"/>
          <w:color w:val="auto"/>
          <w:szCs w:val="21"/>
        </w:rPr>
      </w:pPr>
      <w:r>
        <w:rPr>
          <w:rFonts w:hint="eastAsia" w:ascii="宋体" w:hAnsi="宋体" w:cs="宋体"/>
          <w:color w:val="auto"/>
          <w:szCs w:val="21"/>
        </w:rPr>
        <w:t>（4）投标人提供虚假投标文件或虚假补充文件的。</w:t>
      </w:r>
    </w:p>
    <w:p w14:paraId="628B1E15">
      <w:pPr>
        <w:widowControl w:val="0"/>
        <w:numPr>
          <w:ilvl w:val="1"/>
          <w:numId w:val="2"/>
        </w:numPr>
        <w:overflowPunct w:val="0"/>
        <w:rPr>
          <w:rFonts w:ascii="宋体" w:hAnsi="宋体" w:cs="宋体"/>
          <w:color w:val="auto"/>
          <w:szCs w:val="21"/>
        </w:rPr>
      </w:pPr>
      <w:r>
        <w:rPr>
          <w:rFonts w:hint="eastAsia" w:ascii="宋体" w:hAnsi="宋体" w:cs="宋体"/>
          <w:color w:val="auto"/>
          <w:szCs w:val="21"/>
        </w:rPr>
        <w:t>在中标通知书发出后，未中标投标人的投标保证金，由采购人自行返还至投标人的原转出账户。</w:t>
      </w:r>
    </w:p>
    <w:p w14:paraId="6FAE9639">
      <w:pPr>
        <w:rPr>
          <w:rFonts w:ascii="宋体" w:hAnsi="宋体" w:cs="宋体"/>
          <w:color w:val="auto"/>
        </w:rPr>
      </w:pPr>
    </w:p>
    <w:p w14:paraId="4F205094">
      <w:pPr>
        <w:pStyle w:val="4"/>
        <w:numPr>
          <w:ilvl w:val="0"/>
          <w:numId w:val="1"/>
        </w:numPr>
        <w:spacing w:before="0" w:after="0" w:line="360" w:lineRule="auto"/>
        <w:jc w:val="center"/>
        <w:rPr>
          <w:rFonts w:ascii="宋体" w:hAnsi="宋体" w:cs="宋体"/>
          <w:color w:val="auto"/>
          <w:highlight w:val="none"/>
        </w:rPr>
      </w:pPr>
      <w:bookmarkStart w:id="67" w:name="_Toc18586"/>
      <w:bookmarkStart w:id="68" w:name="_Toc30352"/>
      <w:r>
        <w:rPr>
          <w:rFonts w:hint="eastAsia" w:ascii="宋体" w:hAnsi="宋体" w:cs="宋体"/>
          <w:color w:val="auto"/>
          <w:highlight w:val="none"/>
        </w:rPr>
        <w:t>投标文件的递交</w:t>
      </w:r>
      <w:bookmarkEnd w:id="67"/>
      <w:bookmarkEnd w:id="68"/>
    </w:p>
    <w:p w14:paraId="72227440">
      <w:pPr>
        <w:pStyle w:val="5"/>
        <w:widowControl w:val="0"/>
        <w:numPr>
          <w:ilvl w:val="0"/>
          <w:numId w:val="2"/>
        </w:numPr>
        <w:overflowPunct w:val="0"/>
        <w:rPr>
          <w:rFonts w:ascii="宋体" w:hAnsi="宋体" w:cs="宋体"/>
          <w:color w:val="auto"/>
          <w:sz w:val="21"/>
          <w:szCs w:val="21"/>
          <w:highlight w:val="none"/>
        </w:rPr>
      </w:pPr>
      <w:bookmarkStart w:id="69" w:name="_Toc24150"/>
      <w:bookmarkStart w:id="70" w:name="_Toc24997"/>
      <w:bookmarkStart w:id="71" w:name="_Toc11817"/>
      <w:bookmarkStart w:id="72" w:name="_Toc303084264"/>
      <w:bookmarkStart w:id="73" w:name="_Toc382049111"/>
      <w:r>
        <w:rPr>
          <w:rFonts w:hint="eastAsia" w:ascii="宋体" w:hAnsi="宋体" w:cs="宋体"/>
          <w:color w:val="auto"/>
          <w:sz w:val="21"/>
          <w:szCs w:val="21"/>
          <w:highlight w:val="none"/>
        </w:rPr>
        <w:t>投标文件的装订，签署，密封和标记</w:t>
      </w:r>
      <w:bookmarkEnd w:id="69"/>
      <w:bookmarkEnd w:id="70"/>
      <w:bookmarkEnd w:id="71"/>
      <w:bookmarkEnd w:id="72"/>
      <w:bookmarkEnd w:id="73"/>
    </w:p>
    <w:p w14:paraId="0354F42B">
      <w:pPr>
        <w:pStyle w:val="42"/>
        <w:widowControl w:val="0"/>
        <w:numPr>
          <w:ilvl w:val="0"/>
          <w:numId w:val="3"/>
        </w:numPr>
        <w:adjustRightInd/>
        <w:snapToGrid/>
        <w:ind w:firstLineChars="0"/>
        <w:jc w:val="both"/>
        <w:rPr>
          <w:rFonts w:ascii="宋体" w:hAnsi="宋体" w:cs="宋体"/>
          <w:vanish/>
          <w:color w:val="auto"/>
          <w:szCs w:val="21"/>
          <w:highlight w:val="none"/>
        </w:rPr>
      </w:pPr>
    </w:p>
    <w:p w14:paraId="06342394">
      <w:pPr>
        <w:widowControl w:val="0"/>
        <w:numPr>
          <w:ilvl w:val="1"/>
          <w:numId w:val="2"/>
        </w:numPr>
        <w:overflowPunct w:val="0"/>
        <w:rPr>
          <w:rFonts w:ascii="宋体" w:hAnsi="宋体" w:cs="宋体"/>
          <w:color w:val="auto"/>
          <w:szCs w:val="21"/>
          <w:highlight w:val="none"/>
        </w:rPr>
      </w:pPr>
      <w:r>
        <w:rPr>
          <w:rFonts w:hint="eastAsia" w:ascii="宋体" w:hAnsi="宋体"/>
          <w:color w:val="auto"/>
          <w:szCs w:val="21"/>
          <w:highlight w:val="none"/>
        </w:rPr>
        <w:t>投标人应按《投标资料表》的份数准备价格文件、商务文件、技术文件、唱标信封和电子文件（</w:t>
      </w:r>
      <w:r>
        <w:rPr>
          <w:rFonts w:hint="eastAsia" w:ascii="宋体" w:hAnsi="宋体"/>
          <w:b/>
          <w:color w:val="auto"/>
          <w:szCs w:val="21"/>
          <w:highlight w:val="none"/>
        </w:rPr>
        <w:t>价格文件、商务文件、技术文件分别单独装订成册</w:t>
      </w:r>
      <w:r>
        <w:rPr>
          <w:rFonts w:hint="eastAsia" w:ascii="宋体" w:hAnsi="宋体"/>
          <w:color w:val="auto"/>
          <w:szCs w:val="21"/>
          <w:highlight w:val="none"/>
        </w:rPr>
        <w:t>），每一份投标文件均需编上页次，装订成册（不允许使用活页夹，否则由此产生的风险由投标人自行承担）。所有投标文件必须封入密封完好的信封或包装，封口加盖公章</w:t>
      </w:r>
      <w:r>
        <w:rPr>
          <w:rFonts w:hint="eastAsia" w:ascii="宋体" w:hAnsi="宋体" w:cs="宋体"/>
          <w:color w:val="auto"/>
          <w:szCs w:val="21"/>
          <w:highlight w:val="none"/>
        </w:rPr>
        <w:t>。</w:t>
      </w:r>
    </w:p>
    <w:p w14:paraId="340D034E">
      <w:pPr>
        <w:widowControl w:val="0"/>
        <w:numPr>
          <w:ilvl w:val="1"/>
          <w:numId w:val="2"/>
        </w:numPr>
        <w:overflowPunct w:val="0"/>
        <w:rPr>
          <w:rFonts w:ascii="宋体" w:hAnsi="宋体" w:cs="宋体"/>
          <w:color w:val="auto"/>
          <w:szCs w:val="21"/>
        </w:rPr>
      </w:pPr>
      <w:r>
        <w:rPr>
          <w:rFonts w:hint="eastAsia" w:ascii="宋体" w:hAnsi="宋体" w:cs="宋体"/>
          <w:color w:val="auto"/>
          <w:szCs w:val="21"/>
          <w:highlight w:val="none"/>
        </w:rPr>
        <w:t>投标文件正本均须用不褪色墨水书写或打印。投标文件的副本可采用投标文件的正本复印件，每套投标文件应当标明“正本”、“副本”的字样。投标文件的</w:t>
      </w:r>
      <w:r>
        <w:rPr>
          <w:rFonts w:hint="eastAsia" w:ascii="宋体" w:hAnsi="宋体" w:cs="宋体"/>
          <w:color w:val="auto"/>
          <w:szCs w:val="21"/>
        </w:rPr>
        <w:t>【正本】及所有【副本】的封面及骑缝均须加盖投标人公章（文件每页盖章等同于盖骑缝章）。若正本与副本不符，以正本为准。</w:t>
      </w:r>
    </w:p>
    <w:p w14:paraId="78C4BDA5">
      <w:pPr>
        <w:widowControl w:val="0"/>
        <w:numPr>
          <w:ilvl w:val="1"/>
          <w:numId w:val="2"/>
        </w:numPr>
        <w:overflowPunct w:val="0"/>
        <w:rPr>
          <w:rFonts w:ascii="宋体" w:hAnsi="宋体" w:cs="宋体"/>
          <w:color w:val="auto"/>
          <w:szCs w:val="21"/>
        </w:rPr>
      </w:pPr>
      <w:r>
        <w:rPr>
          <w:rFonts w:hint="eastAsia" w:ascii="宋体" w:hAnsi="宋体" w:cs="宋体"/>
          <w:color w:val="auto"/>
          <w:szCs w:val="21"/>
        </w:rPr>
        <w:t>联合体投标文件的【正本】及【副本】的封面及骑缝均须加盖所有联合体组成成员的公章。（文件每页盖章等同于盖骑缝章）</w:t>
      </w:r>
    </w:p>
    <w:p w14:paraId="071DC578">
      <w:pPr>
        <w:widowControl w:val="0"/>
        <w:numPr>
          <w:ilvl w:val="1"/>
          <w:numId w:val="2"/>
        </w:numPr>
        <w:overflowPunct w:val="0"/>
        <w:rPr>
          <w:rFonts w:ascii="宋体" w:hAnsi="宋体" w:cs="宋体"/>
          <w:color w:val="auto"/>
          <w:szCs w:val="21"/>
        </w:rPr>
      </w:pPr>
      <w:r>
        <w:rPr>
          <w:rFonts w:hint="eastAsia" w:ascii="宋体" w:hAnsi="宋体" w:cs="宋体"/>
          <w:color w:val="auto"/>
          <w:szCs w:val="21"/>
        </w:rPr>
        <w:t>电子文件内容包括：由投标人自行制作的与正本文件一致的所有文件。电子文件由光盘或U盘储存，并注明投标人名称及项目名称、采购项目编号，随投标文件一同密封提交。</w:t>
      </w:r>
    </w:p>
    <w:p w14:paraId="74CFBE84">
      <w:pPr>
        <w:widowControl w:val="0"/>
        <w:numPr>
          <w:ilvl w:val="1"/>
          <w:numId w:val="2"/>
        </w:numPr>
        <w:overflowPunct w:val="0"/>
        <w:rPr>
          <w:rFonts w:ascii="宋体" w:hAnsi="宋体" w:cs="宋体"/>
          <w:color w:val="auto"/>
          <w:szCs w:val="21"/>
        </w:rPr>
      </w:pPr>
      <w:r>
        <w:rPr>
          <w:rFonts w:hint="eastAsia" w:ascii="宋体" w:hAnsi="宋体" w:cs="宋体"/>
          <w:color w:val="auto"/>
          <w:szCs w:val="21"/>
        </w:rPr>
        <w:t>除投标人对错误处修改外，全套投标文件应无涂改或行间插字和增删。如有修改，修改处须由法定代表人或其正式授权代表在旁边签字及盖章。</w:t>
      </w:r>
    </w:p>
    <w:p w14:paraId="6816CCD9">
      <w:pPr>
        <w:widowControl w:val="0"/>
        <w:numPr>
          <w:ilvl w:val="1"/>
          <w:numId w:val="2"/>
        </w:numPr>
        <w:overflowPunct w:val="0"/>
        <w:rPr>
          <w:rFonts w:ascii="宋体" w:hAnsi="宋体" w:cs="宋体"/>
          <w:color w:val="auto"/>
          <w:szCs w:val="21"/>
        </w:rPr>
      </w:pPr>
      <w:r>
        <w:rPr>
          <w:rFonts w:hint="eastAsia" w:ascii="宋体" w:hAnsi="宋体" w:cs="宋体"/>
          <w:color w:val="auto"/>
          <w:szCs w:val="21"/>
        </w:rPr>
        <w:t>投标人应将投标文件进行非透明的封装，以防止投标文件内容的泄露。采购代理机构将拒绝接收采用透明包装进行密封的投标文件。</w:t>
      </w:r>
    </w:p>
    <w:p w14:paraId="5A3655AB">
      <w:pPr>
        <w:widowControl w:val="0"/>
        <w:numPr>
          <w:ilvl w:val="1"/>
          <w:numId w:val="2"/>
        </w:numPr>
        <w:overflowPunct w:val="0"/>
        <w:rPr>
          <w:rFonts w:ascii="宋体" w:hAnsi="宋体" w:cs="宋体"/>
          <w:color w:val="auto"/>
          <w:szCs w:val="21"/>
        </w:rPr>
      </w:pPr>
      <w:r>
        <w:rPr>
          <w:rFonts w:hint="eastAsia" w:ascii="宋体" w:hAnsi="宋体" w:cs="宋体"/>
          <w:color w:val="auto"/>
          <w:szCs w:val="21"/>
        </w:rPr>
        <w:t>密封破损导致投标文件内容直接或间接泄露的投标文件，采购代理机构将拒绝接收。</w:t>
      </w:r>
    </w:p>
    <w:p w14:paraId="322580B6">
      <w:pPr>
        <w:widowControl w:val="0"/>
        <w:numPr>
          <w:ilvl w:val="1"/>
          <w:numId w:val="2"/>
        </w:numPr>
        <w:overflowPunct w:val="0"/>
        <w:rPr>
          <w:rFonts w:ascii="宋体" w:hAnsi="宋体" w:cs="宋体"/>
          <w:color w:val="auto"/>
          <w:szCs w:val="21"/>
        </w:rPr>
      </w:pPr>
      <w:r>
        <w:rPr>
          <w:rFonts w:hint="eastAsia" w:ascii="宋体" w:hAnsi="宋体" w:cs="宋体"/>
          <w:color w:val="auto"/>
          <w:szCs w:val="21"/>
        </w:rPr>
        <w:t>为方便开标唱标，投标人应将开标一览表和授权委托书单独密封提交，并在信封上标明“唱标信封”字样。唱标信封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唱标信封”份数及签章等要求与投标文件正本相同（1份）。</w:t>
      </w:r>
    </w:p>
    <w:p w14:paraId="300DDDFA">
      <w:pPr>
        <w:widowControl w:val="0"/>
        <w:numPr>
          <w:ilvl w:val="1"/>
          <w:numId w:val="2"/>
        </w:numPr>
        <w:overflowPunct w:val="0"/>
        <w:rPr>
          <w:rFonts w:ascii="宋体" w:hAnsi="宋体" w:cs="宋体"/>
          <w:b/>
          <w:bCs/>
          <w:color w:val="auto"/>
          <w:szCs w:val="21"/>
        </w:rPr>
      </w:pPr>
      <w:r>
        <w:rPr>
          <w:rFonts w:hint="eastAsia" w:ascii="宋体" w:hAnsi="宋体" w:cs="宋体"/>
          <w:b/>
          <w:bCs/>
          <w:color w:val="auto"/>
          <w:szCs w:val="21"/>
        </w:rPr>
        <w:t>未单独提交唱标信封的投标人投标文件不进行唱标，投标文件作无效处理。</w:t>
      </w:r>
    </w:p>
    <w:p w14:paraId="23BF19A0">
      <w:pPr>
        <w:widowControl w:val="0"/>
        <w:numPr>
          <w:ilvl w:val="1"/>
          <w:numId w:val="2"/>
        </w:numPr>
        <w:overflowPunct w:val="0"/>
        <w:rPr>
          <w:rFonts w:ascii="宋体" w:hAnsi="宋体" w:cs="宋体"/>
          <w:color w:val="auto"/>
          <w:szCs w:val="21"/>
        </w:rPr>
      </w:pPr>
      <w:r>
        <w:rPr>
          <w:rFonts w:hint="eastAsia" w:ascii="宋体" w:hAnsi="宋体" w:cs="宋体"/>
          <w:color w:val="auto"/>
          <w:szCs w:val="21"/>
        </w:rPr>
        <w:t xml:space="preserve">所有的信封均应注明： </w:t>
      </w:r>
    </w:p>
    <w:p w14:paraId="04D339B6">
      <w:pPr>
        <w:widowControl w:val="0"/>
        <w:numPr>
          <w:ilvl w:val="0"/>
          <w:numId w:val="5"/>
        </w:numPr>
        <w:adjustRightInd/>
        <w:snapToGrid/>
        <w:ind w:left="567"/>
        <w:jc w:val="both"/>
        <w:rPr>
          <w:rFonts w:ascii="宋体" w:hAnsi="宋体" w:cs="宋体"/>
          <w:color w:val="auto"/>
          <w:szCs w:val="21"/>
        </w:rPr>
      </w:pPr>
      <w:r>
        <w:rPr>
          <w:rFonts w:hint="eastAsia" w:ascii="宋体" w:hAnsi="宋体" w:cs="宋体"/>
          <w:color w:val="auto"/>
          <w:szCs w:val="21"/>
        </w:rPr>
        <w:t xml:space="preserve">收件人： </w:t>
      </w:r>
    </w:p>
    <w:p w14:paraId="7AABFA98">
      <w:pPr>
        <w:widowControl w:val="0"/>
        <w:numPr>
          <w:ilvl w:val="0"/>
          <w:numId w:val="5"/>
        </w:numPr>
        <w:adjustRightInd/>
        <w:snapToGrid/>
        <w:ind w:left="567"/>
        <w:jc w:val="both"/>
        <w:rPr>
          <w:rFonts w:ascii="宋体" w:hAnsi="宋体" w:cs="宋体"/>
          <w:color w:val="auto"/>
          <w:szCs w:val="21"/>
        </w:rPr>
      </w:pPr>
      <w:r>
        <w:rPr>
          <w:rFonts w:hint="eastAsia" w:ascii="宋体" w:hAnsi="宋体" w:cs="宋体"/>
          <w:color w:val="auto"/>
          <w:szCs w:val="21"/>
        </w:rPr>
        <w:t>投标单位名称：</w:t>
      </w:r>
    </w:p>
    <w:p w14:paraId="12D3423F">
      <w:pPr>
        <w:widowControl w:val="0"/>
        <w:numPr>
          <w:ilvl w:val="0"/>
          <w:numId w:val="5"/>
        </w:numPr>
        <w:adjustRightInd/>
        <w:snapToGrid/>
        <w:ind w:left="567"/>
        <w:jc w:val="both"/>
        <w:rPr>
          <w:rFonts w:ascii="宋体" w:hAnsi="宋体" w:cs="宋体"/>
          <w:color w:val="auto"/>
          <w:szCs w:val="21"/>
        </w:rPr>
      </w:pPr>
      <w:r>
        <w:rPr>
          <w:rFonts w:hint="eastAsia" w:ascii="宋体" w:hAnsi="宋体" w:cs="宋体"/>
          <w:color w:val="auto"/>
          <w:szCs w:val="21"/>
        </w:rPr>
        <w:t>项目名称：</w:t>
      </w:r>
    </w:p>
    <w:p w14:paraId="5968428B">
      <w:pPr>
        <w:widowControl w:val="0"/>
        <w:numPr>
          <w:ilvl w:val="0"/>
          <w:numId w:val="5"/>
        </w:numPr>
        <w:adjustRightInd/>
        <w:snapToGrid/>
        <w:ind w:left="567"/>
        <w:jc w:val="both"/>
        <w:rPr>
          <w:rFonts w:ascii="宋体" w:hAnsi="宋体" w:cs="宋体"/>
          <w:color w:val="auto"/>
          <w:szCs w:val="21"/>
        </w:rPr>
      </w:pPr>
      <w:r>
        <w:rPr>
          <w:rFonts w:hint="eastAsia" w:ascii="宋体" w:hAnsi="宋体" w:cs="宋体"/>
          <w:color w:val="auto"/>
          <w:szCs w:val="21"/>
        </w:rPr>
        <w:t>项目采购项目编号：</w:t>
      </w:r>
    </w:p>
    <w:p w14:paraId="7C582602">
      <w:pPr>
        <w:widowControl w:val="0"/>
        <w:numPr>
          <w:ilvl w:val="1"/>
          <w:numId w:val="2"/>
        </w:numPr>
        <w:overflowPunct w:val="0"/>
        <w:rPr>
          <w:rFonts w:ascii="宋体" w:hAnsi="宋体" w:cs="宋体"/>
          <w:color w:val="auto"/>
          <w:szCs w:val="21"/>
        </w:rPr>
      </w:pPr>
      <w:r>
        <w:rPr>
          <w:rFonts w:hint="eastAsia" w:ascii="宋体" w:hAnsi="宋体" w:cs="宋体"/>
          <w:color w:val="auto"/>
          <w:szCs w:val="21"/>
        </w:rPr>
        <w:t>密封信封上的项目编号错误或项目名称出现严重歧义的（包括采购内容不符），采购代理机构将拒绝接收。</w:t>
      </w:r>
    </w:p>
    <w:p w14:paraId="3A037EE6">
      <w:pPr>
        <w:widowControl w:val="0"/>
        <w:numPr>
          <w:ilvl w:val="1"/>
          <w:numId w:val="2"/>
        </w:numPr>
        <w:overflowPunct w:val="0"/>
        <w:rPr>
          <w:rFonts w:ascii="宋体" w:hAnsi="宋体" w:cs="宋体"/>
          <w:color w:val="auto"/>
          <w:szCs w:val="21"/>
        </w:rPr>
      </w:pPr>
      <w:r>
        <w:rPr>
          <w:rFonts w:hint="eastAsia" w:ascii="宋体" w:hAnsi="宋体" w:cs="宋体"/>
          <w:color w:val="auto"/>
          <w:szCs w:val="21"/>
        </w:rPr>
        <w:t>采购代理机构对所有投标文件的误投或提前启封概不负责。</w:t>
      </w:r>
    </w:p>
    <w:p w14:paraId="49F3BEF9">
      <w:pPr>
        <w:widowControl w:val="0"/>
        <w:numPr>
          <w:ilvl w:val="1"/>
          <w:numId w:val="2"/>
        </w:numPr>
        <w:overflowPunct w:val="0"/>
        <w:rPr>
          <w:rFonts w:ascii="宋体" w:hAnsi="宋体" w:cs="宋体"/>
          <w:color w:val="auto"/>
          <w:szCs w:val="21"/>
        </w:rPr>
      </w:pPr>
      <w:r>
        <w:rPr>
          <w:rFonts w:hint="eastAsia" w:ascii="宋体" w:hAnsi="宋体" w:cs="宋体"/>
          <w:color w:val="auto"/>
          <w:szCs w:val="21"/>
        </w:rPr>
        <w:t>投标人同时参加几个包投标时必须按采购文件要求按包号分别制作投标文件，分别密封递交。</w:t>
      </w:r>
    </w:p>
    <w:p w14:paraId="2A8C8C26">
      <w:pPr>
        <w:widowControl w:val="0"/>
        <w:numPr>
          <w:ilvl w:val="1"/>
          <w:numId w:val="2"/>
        </w:numPr>
        <w:overflowPunct w:val="0"/>
        <w:rPr>
          <w:rFonts w:ascii="宋体" w:hAnsi="宋体" w:cs="宋体"/>
          <w:color w:val="auto"/>
          <w:szCs w:val="21"/>
        </w:rPr>
      </w:pPr>
      <w:r>
        <w:rPr>
          <w:rFonts w:hint="eastAsia" w:ascii="宋体" w:hAnsi="宋体" w:cs="宋体"/>
          <w:color w:val="auto"/>
          <w:szCs w:val="21"/>
        </w:rPr>
        <w:t>传真、电传的投标文件将被拒绝。</w:t>
      </w:r>
    </w:p>
    <w:p w14:paraId="11C6017C">
      <w:pPr>
        <w:widowControl w:val="0"/>
        <w:numPr>
          <w:ilvl w:val="1"/>
          <w:numId w:val="2"/>
        </w:numPr>
        <w:overflowPunct w:val="0"/>
        <w:rPr>
          <w:rFonts w:ascii="宋体" w:hAnsi="宋体" w:cs="宋体"/>
          <w:color w:val="auto"/>
          <w:szCs w:val="21"/>
        </w:rPr>
      </w:pPr>
      <w:r>
        <w:rPr>
          <w:rFonts w:hint="eastAsia" w:ascii="宋体" w:hAnsi="宋体" w:cs="宋体"/>
          <w:color w:val="auto"/>
          <w:szCs w:val="21"/>
        </w:rPr>
        <w:t>递交的投标文件中所提供的通讯方式应保持联络畅通，因联系不上而导致的所有后果由投标人自行承担。</w:t>
      </w:r>
    </w:p>
    <w:p w14:paraId="1EE310EC">
      <w:pPr>
        <w:rPr>
          <w:rFonts w:ascii="宋体" w:hAnsi="宋体" w:cs="宋体"/>
          <w:color w:val="auto"/>
        </w:rPr>
      </w:pPr>
    </w:p>
    <w:p w14:paraId="3E43F6BD">
      <w:pPr>
        <w:pStyle w:val="5"/>
        <w:widowControl w:val="0"/>
        <w:numPr>
          <w:ilvl w:val="0"/>
          <w:numId w:val="2"/>
        </w:numPr>
        <w:overflowPunct w:val="0"/>
        <w:rPr>
          <w:rFonts w:ascii="宋体" w:hAnsi="宋体" w:cs="宋体"/>
          <w:color w:val="auto"/>
          <w:sz w:val="21"/>
          <w:szCs w:val="21"/>
        </w:rPr>
      </w:pPr>
      <w:bookmarkStart w:id="74" w:name="_Toc25895"/>
      <w:bookmarkStart w:id="75" w:name="_Toc15574"/>
      <w:r>
        <w:rPr>
          <w:rFonts w:hint="eastAsia" w:ascii="宋体" w:hAnsi="宋体" w:cs="宋体"/>
          <w:color w:val="auto"/>
          <w:sz w:val="21"/>
          <w:szCs w:val="21"/>
        </w:rPr>
        <w:t>迟交的投标文件</w:t>
      </w:r>
      <w:bookmarkEnd w:id="74"/>
      <w:bookmarkEnd w:id="75"/>
    </w:p>
    <w:p w14:paraId="3B7294C5">
      <w:pPr>
        <w:pStyle w:val="42"/>
        <w:widowControl w:val="0"/>
        <w:numPr>
          <w:ilvl w:val="0"/>
          <w:numId w:val="3"/>
        </w:numPr>
        <w:adjustRightInd/>
        <w:snapToGrid/>
        <w:ind w:firstLineChars="0"/>
        <w:jc w:val="both"/>
        <w:rPr>
          <w:rFonts w:ascii="宋体" w:hAnsi="宋体" w:cs="宋体"/>
          <w:vanish/>
          <w:color w:val="auto"/>
          <w:szCs w:val="21"/>
        </w:rPr>
      </w:pPr>
    </w:p>
    <w:p w14:paraId="33BB9419">
      <w:pPr>
        <w:widowControl w:val="0"/>
        <w:numPr>
          <w:ilvl w:val="1"/>
          <w:numId w:val="2"/>
        </w:numPr>
        <w:overflowPunct w:val="0"/>
        <w:rPr>
          <w:rFonts w:ascii="宋体" w:hAnsi="宋体" w:cs="宋体"/>
          <w:color w:val="auto"/>
          <w:szCs w:val="21"/>
        </w:rPr>
      </w:pPr>
      <w:r>
        <w:rPr>
          <w:rFonts w:hint="eastAsia" w:ascii="宋体" w:hAnsi="宋体" w:cs="宋体"/>
          <w:color w:val="auto"/>
          <w:szCs w:val="21"/>
        </w:rPr>
        <w:t>投标人在投标截止时间之后提交的投标文件，采购代理机构将拒绝接收。</w:t>
      </w:r>
    </w:p>
    <w:p w14:paraId="392DFADB">
      <w:pPr>
        <w:widowControl w:val="0"/>
        <w:numPr>
          <w:ilvl w:val="1"/>
          <w:numId w:val="2"/>
        </w:numPr>
        <w:overflowPunct w:val="0"/>
        <w:rPr>
          <w:rFonts w:ascii="宋体" w:hAnsi="宋体" w:cs="宋体"/>
          <w:color w:val="auto"/>
          <w:szCs w:val="21"/>
        </w:rPr>
      </w:pPr>
      <w:r>
        <w:rPr>
          <w:rFonts w:hint="eastAsia" w:ascii="宋体" w:hAnsi="宋体" w:cs="宋体"/>
          <w:color w:val="auto"/>
          <w:szCs w:val="21"/>
        </w:rPr>
        <w:t>有违反其他法律规定情形的，采购代理机构将拒绝接收。</w:t>
      </w:r>
    </w:p>
    <w:p w14:paraId="758D3AB2">
      <w:pPr>
        <w:rPr>
          <w:rFonts w:ascii="宋体" w:hAnsi="宋体" w:cs="宋体"/>
          <w:color w:val="auto"/>
        </w:rPr>
      </w:pPr>
    </w:p>
    <w:p w14:paraId="2D66F719">
      <w:pPr>
        <w:pStyle w:val="5"/>
        <w:widowControl w:val="0"/>
        <w:numPr>
          <w:ilvl w:val="0"/>
          <w:numId w:val="2"/>
        </w:numPr>
        <w:overflowPunct w:val="0"/>
        <w:rPr>
          <w:rFonts w:ascii="宋体" w:hAnsi="宋体" w:cs="宋体"/>
          <w:color w:val="auto"/>
          <w:sz w:val="21"/>
          <w:szCs w:val="21"/>
        </w:rPr>
      </w:pPr>
      <w:bookmarkStart w:id="76" w:name="_Toc9143"/>
      <w:bookmarkStart w:id="77" w:name="_Toc31789"/>
      <w:r>
        <w:rPr>
          <w:rFonts w:hint="eastAsia" w:ascii="宋体" w:hAnsi="宋体" w:cs="宋体"/>
          <w:color w:val="auto"/>
          <w:sz w:val="21"/>
          <w:szCs w:val="21"/>
        </w:rPr>
        <w:t>投标样品（如需提交）</w:t>
      </w:r>
      <w:bookmarkEnd w:id="76"/>
      <w:bookmarkEnd w:id="77"/>
    </w:p>
    <w:p w14:paraId="5259C129">
      <w:pPr>
        <w:pStyle w:val="42"/>
        <w:widowControl w:val="0"/>
        <w:numPr>
          <w:ilvl w:val="0"/>
          <w:numId w:val="3"/>
        </w:numPr>
        <w:adjustRightInd/>
        <w:snapToGrid/>
        <w:ind w:firstLineChars="0"/>
        <w:jc w:val="both"/>
        <w:rPr>
          <w:rFonts w:ascii="宋体" w:hAnsi="宋体" w:cs="宋体"/>
          <w:vanish/>
          <w:color w:val="auto"/>
          <w:szCs w:val="21"/>
        </w:rPr>
      </w:pPr>
    </w:p>
    <w:p w14:paraId="22ADB278">
      <w:pPr>
        <w:widowControl w:val="0"/>
        <w:numPr>
          <w:ilvl w:val="1"/>
          <w:numId w:val="2"/>
        </w:numPr>
        <w:overflowPunct w:val="0"/>
        <w:rPr>
          <w:rFonts w:ascii="宋体" w:hAnsi="宋体" w:cs="宋体"/>
          <w:color w:val="auto"/>
          <w:szCs w:val="21"/>
        </w:rPr>
      </w:pPr>
      <w:r>
        <w:rPr>
          <w:rFonts w:hint="eastAsia" w:ascii="宋体" w:hAnsi="宋体" w:cs="宋体"/>
          <w:color w:val="auto"/>
          <w:szCs w:val="21"/>
        </w:rPr>
        <w:t>如有必要，采购代理机构可以要求投标人提供本服务项目涉及的部分设备或产品样品，投标人在投标时应提交《样品清单》。</w:t>
      </w:r>
    </w:p>
    <w:p w14:paraId="1DE8C2BD">
      <w:pPr>
        <w:widowControl w:val="0"/>
        <w:numPr>
          <w:ilvl w:val="1"/>
          <w:numId w:val="2"/>
        </w:numPr>
        <w:overflowPunct w:val="0"/>
        <w:rPr>
          <w:rFonts w:ascii="宋体" w:hAnsi="宋体" w:cs="宋体"/>
          <w:color w:val="auto"/>
          <w:szCs w:val="21"/>
        </w:rPr>
      </w:pPr>
      <w:r>
        <w:rPr>
          <w:rFonts w:hint="eastAsia" w:ascii="宋体" w:hAnsi="宋体" w:cs="宋体"/>
          <w:color w:val="auto"/>
          <w:szCs w:val="21"/>
        </w:rPr>
        <w:t>为方便评标，投标人在提供样品时，应在所提供的样品表面显著位置标注投标人的名称、包号、样品名称、采购文件规定的服务或货物编号。</w:t>
      </w:r>
    </w:p>
    <w:p w14:paraId="0F98E47A">
      <w:pPr>
        <w:widowControl w:val="0"/>
        <w:numPr>
          <w:ilvl w:val="1"/>
          <w:numId w:val="2"/>
        </w:numPr>
        <w:overflowPunct w:val="0"/>
        <w:rPr>
          <w:rFonts w:ascii="宋体" w:hAnsi="宋体" w:cs="宋体"/>
          <w:color w:val="auto"/>
          <w:szCs w:val="21"/>
        </w:rPr>
      </w:pPr>
      <w:r>
        <w:rPr>
          <w:rFonts w:hint="eastAsia" w:ascii="宋体" w:hAnsi="宋体" w:cs="宋体"/>
          <w:color w:val="auto"/>
          <w:szCs w:val="21"/>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14:paraId="40771279">
      <w:pPr>
        <w:rPr>
          <w:rFonts w:ascii="宋体" w:hAnsi="宋体" w:cs="宋体"/>
          <w:color w:val="auto"/>
        </w:rPr>
      </w:pPr>
    </w:p>
    <w:p w14:paraId="3492949F">
      <w:pPr>
        <w:pStyle w:val="5"/>
        <w:widowControl w:val="0"/>
        <w:numPr>
          <w:ilvl w:val="0"/>
          <w:numId w:val="2"/>
        </w:numPr>
        <w:overflowPunct w:val="0"/>
        <w:rPr>
          <w:rFonts w:ascii="宋体" w:hAnsi="宋体" w:cs="宋体"/>
          <w:color w:val="auto"/>
          <w:sz w:val="21"/>
          <w:szCs w:val="21"/>
        </w:rPr>
      </w:pPr>
      <w:bookmarkStart w:id="78" w:name="_Toc303084265"/>
      <w:bookmarkStart w:id="79" w:name="_Toc382049112"/>
      <w:bookmarkStart w:id="80" w:name="_Toc16322"/>
      <w:bookmarkStart w:id="81" w:name="_Toc1712"/>
      <w:bookmarkStart w:id="82" w:name="_Toc9777"/>
      <w:r>
        <w:rPr>
          <w:rFonts w:hint="eastAsia" w:ascii="宋体" w:hAnsi="宋体" w:cs="宋体"/>
          <w:color w:val="auto"/>
          <w:sz w:val="21"/>
          <w:szCs w:val="21"/>
        </w:rPr>
        <w:t>投标截止期</w:t>
      </w:r>
      <w:bookmarkEnd w:id="78"/>
      <w:bookmarkEnd w:id="79"/>
      <w:bookmarkEnd w:id="80"/>
      <w:bookmarkEnd w:id="81"/>
      <w:bookmarkEnd w:id="82"/>
    </w:p>
    <w:p w14:paraId="2B3861A1">
      <w:pPr>
        <w:pStyle w:val="42"/>
        <w:widowControl w:val="0"/>
        <w:numPr>
          <w:ilvl w:val="0"/>
          <w:numId w:val="3"/>
        </w:numPr>
        <w:adjustRightInd/>
        <w:snapToGrid/>
        <w:ind w:firstLineChars="0"/>
        <w:jc w:val="both"/>
        <w:rPr>
          <w:rFonts w:ascii="宋体" w:hAnsi="宋体" w:cs="宋体"/>
          <w:vanish/>
          <w:color w:val="auto"/>
          <w:szCs w:val="21"/>
        </w:rPr>
      </w:pPr>
    </w:p>
    <w:p w14:paraId="2C9CBC5E">
      <w:pPr>
        <w:widowControl w:val="0"/>
        <w:numPr>
          <w:ilvl w:val="1"/>
          <w:numId w:val="2"/>
        </w:numPr>
        <w:overflowPunct w:val="0"/>
        <w:rPr>
          <w:rFonts w:ascii="宋体" w:hAnsi="宋体" w:cs="宋体"/>
          <w:color w:val="auto"/>
          <w:szCs w:val="21"/>
        </w:rPr>
      </w:pPr>
      <w:r>
        <w:rPr>
          <w:rFonts w:hint="eastAsia" w:ascii="宋体" w:hAnsi="宋体" w:cs="宋体"/>
          <w:color w:val="auto"/>
          <w:szCs w:val="21"/>
        </w:rPr>
        <w:t>投标人应在采购文件规定的截止日期和时间内，将投标文件送达到指定地点。</w:t>
      </w:r>
    </w:p>
    <w:p w14:paraId="6F672FBB">
      <w:pPr>
        <w:widowControl w:val="0"/>
        <w:numPr>
          <w:ilvl w:val="1"/>
          <w:numId w:val="2"/>
        </w:numPr>
        <w:overflowPunct w:val="0"/>
        <w:rPr>
          <w:rFonts w:ascii="宋体" w:hAnsi="宋体" w:cs="宋体"/>
          <w:color w:val="auto"/>
          <w:szCs w:val="21"/>
        </w:rPr>
      </w:pPr>
      <w:r>
        <w:rPr>
          <w:rFonts w:hint="eastAsia" w:ascii="宋体" w:hAnsi="宋体" w:cs="宋体"/>
          <w:color w:val="auto"/>
          <w:szCs w:val="21"/>
        </w:rPr>
        <w:t>采购代理机构可按本须知规定以澄清或修改通知的方式，酌情延长递交投标文件的截止时间。在此情况下，投标人的所有权利和义务以及投标人受制约的截止时间，均以延长后新的投标截止时间为准。</w:t>
      </w:r>
    </w:p>
    <w:p w14:paraId="2CAB4C0C">
      <w:pPr>
        <w:rPr>
          <w:rFonts w:ascii="宋体" w:hAnsi="宋体" w:cs="宋体"/>
          <w:color w:val="auto"/>
        </w:rPr>
      </w:pPr>
    </w:p>
    <w:p w14:paraId="49454D5E">
      <w:pPr>
        <w:pStyle w:val="5"/>
        <w:widowControl w:val="0"/>
        <w:numPr>
          <w:ilvl w:val="0"/>
          <w:numId w:val="2"/>
        </w:numPr>
        <w:overflowPunct w:val="0"/>
        <w:rPr>
          <w:rFonts w:ascii="宋体" w:hAnsi="宋体" w:cs="宋体"/>
          <w:color w:val="auto"/>
          <w:sz w:val="21"/>
          <w:szCs w:val="21"/>
        </w:rPr>
      </w:pPr>
      <w:bookmarkStart w:id="83" w:name="_Toc1461"/>
      <w:bookmarkStart w:id="84" w:name="_Toc31417"/>
      <w:r>
        <w:rPr>
          <w:rFonts w:hint="eastAsia" w:ascii="宋体" w:hAnsi="宋体" w:cs="宋体"/>
          <w:color w:val="auto"/>
          <w:sz w:val="21"/>
          <w:szCs w:val="21"/>
        </w:rPr>
        <w:t>投标文件的补充、修改与撤回</w:t>
      </w:r>
      <w:bookmarkEnd w:id="83"/>
      <w:bookmarkEnd w:id="84"/>
    </w:p>
    <w:p w14:paraId="7259E1A6">
      <w:pPr>
        <w:pStyle w:val="42"/>
        <w:widowControl w:val="0"/>
        <w:numPr>
          <w:ilvl w:val="0"/>
          <w:numId w:val="3"/>
        </w:numPr>
        <w:adjustRightInd/>
        <w:snapToGrid/>
        <w:ind w:firstLineChars="0"/>
        <w:jc w:val="both"/>
        <w:rPr>
          <w:rFonts w:ascii="宋体" w:hAnsi="宋体" w:cs="宋体"/>
          <w:vanish/>
          <w:color w:val="auto"/>
          <w:szCs w:val="21"/>
        </w:rPr>
      </w:pPr>
    </w:p>
    <w:p w14:paraId="3E0CFBB7">
      <w:pPr>
        <w:widowControl w:val="0"/>
        <w:numPr>
          <w:ilvl w:val="1"/>
          <w:numId w:val="2"/>
        </w:numPr>
        <w:overflowPunct w:val="0"/>
        <w:rPr>
          <w:rFonts w:ascii="宋体" w:hAnsi="宋体" w:cs="宋体"/>
          <w:color w:val="auto"/>
          <w:szCs w:val="21"/>
        </w:rPr>
      </w:pPr>
      <w:r>
        <w:rPr>
          <w:rFonts w:hint="eastAsia" w:ascii="宋体" w:hAnsi="宋体" w:cs="宋体"/>
          <w:color w:val="auto"/>
          <w:szCs w:val="21"/>
        </w:rPr>
        <w:t>投标人在提交投标文件截止时间前，可以对所提交的投标文件进行补充、修改或撤回，并以纸质版形式通知采购代理机构。在提交投标文件截止时间之后，投标人不得对其投标文件做出任何的补充和修改。</w:t>
      </w:r>
    </w:p>
    <w:p w14:paraId="7D38FCC8">
      <w:pPr>
        <w:widowControl w:val="0"/>
        <w:numPr>
          <w:ilvl w:val="1"/>
          <w:numId w:val="2"/>
        </w:numPr>
        <w:overflowPunct w:val="0"/>
        <w:rPr>
          <w:rFonts w:ascii="宋体" w:hAnsi="宋体" w:cs="宋体"/>
          <w:color w:val="auto"/>
          <w:szCs w:val="21"/>
        </w:rPr>
      </w:pPr>
      <w:r>
        <w:rPr>
          <w:rFonts w:hint="eastAsia" w:ascii="宋体" w:hAnsi="宋体" w:cs="宋体"/>
          <w:color w:val="auto"/>
          <w:szCs w:val="21"/>
        </w:rPr>
        <w:t>投标人对投标文件的补充、修改的内容应当按采购文件要求的签署、盖章、密封后，作为投标文件的组成部分。并按照采购文件规定密封和标记的要求提交，并在投标文件密封袋上标明“补充、修改”字样。</w:t>
      </w:r>
    </w:p>
    <w:p w14:paraId="7D0880F1">
      <w:pPr>
        <w:widowControl w:val="0"/>
        <w:numPr>
          <w:ilvl w:val="1"/>
          <w:numId w:val="2"/>
        </w:numPr>
        <w:overflowPunct w:val="0"/>
        <w:rPr>
          <w:rFonts w:ascii="宋体" w:hAnsi="宋体" w:cs="宋体"/>
          <w:color w:val="auto"/>
          <w:szCs w:val="21"/>
        </w:rPr>
      </w:pPr>
      <w:r>
        <w:rPr>
          <w:rFonts w:hint="eastAsia" w:ascii="宋体" w:hAnsi="宋体" w:cs="宋体"/>
          <w:color w:val="auto"/>
          <w:szCs w:val="21"/>
        </w:rPr>
        <w:t>投标文件一经递交不予退还。</w:t>
      </w:r>
    </w:p>
    <w:p w14:paraId="27CA20F0">
      <w:pPr>
        <w:widowControl w:val="0"/>
        <w:numPr>
          <w:ilvl w:val="1"/>
          <w:numId w:val="2"/>
        </w:numPr>
        <w:overflowPunct w:val="0"/>
        <w:rPr>
          <w:rFonts w:ascii="宋体" w:hAnsi="宋体" w:cs="宋体"/>
          <w:color w:val="auto"/>
          <w:szCs w:val="21"/>
        </w:rPr>
      </w:pPr>
      <w:r>
        <w:rPr>
          <w:rFonts w:hint="eastAsia" w:ascii="宋体" w:hAnsi="宋体" w:cs="宋体"/>
          <w:color w:val="auto"/>
          <w:szCs w:val="21"/>
        </w:rPr>
        <w:t>在提交投标文件截止时间至投标有效期满之前，投标人不得撤回其投标，否则其投标保证金将不予退还。</w:t>
      </w:r>
    </w:p>
    <w:p w14:paraId="367F41A6">
      <w:pPr>
        <w:pStyle w:val="9"/>
        <w:rPr>
          <w:color w:val="auto"/>
        </w:rPr>
      </w:pPr>
    </w:p>
    <w:p w14:paraId="4EC02A49">
      <w:pPr>
        <w:pStyle w:val="4"/>
        <w:numPr>
          <w:ilvl w:val="0"/>
          <w:numId w:val="1"/>
        </w:numPr>
        <w:spacing w:before="0" w:after="0" w:line="360" w:lineRule="auto"/>
        <w:jc w:val="center"/>
        <w:rPr>
          <w:rFonts w:ascii="宋体" w:hAnsi="宋体" w:cs="宋体"/>
          <w:color w:val="auto"/>
        </w:rPr>
      </w:pPr>
      <w:bookmarkStart w:id="85" w:name="_Toc7410"/>
      <w:bookmarkStart w:id="86" w:name="_Toc3655"/>
      <w:r>
        <w:rPr>
          <w:rFonts w:hint="eastAsia" w:ascii="宋体" w:hAnsi="宋体" w:cs="宋体"/>
          <w:color w:val="auto"/>
        </w:rPr>
        <w:t>开标与评标</w:t>
      </w:r>
      <w:bookmarkEnd w:id="85"/>
      <w:bookmarkEnd w:id="86"/>
    </w:p>
    <w:p w14:paraId="00D90D59">
      <w:pPr>
        <w:pStyle w:val="5"/>
        <w:widowControl w:val="0"/>
        <w:numPr>
          <w:ilvl w:val="0"/>
          <w:numId w:val="2"/>
        </w:numPr>
        <w:overflowPunct w:val="0"/>
        <w:rPr>
          <w:rFonts w:ascii="宋体" w:hAnsi="宋体" w:cs="宋体"/>
          <w:color w:val="auto"/>
          <w:sz w:val="21"/>
          <w:szCs w:val="21"/>
        </w:rPr>
      </w:pPr>
      <w:bookmarkStart w:id="87" w:name="_Toc31671"/>
      <w:bookmarkStart w:id="88" w:name="_Toc8336"/>
      <w:r>
        <w:rPr>
          <w:rFonts w:hint="eastAsia" w:ascii="宋体" w:hAnsi="宋体" w:cs="宋体"/>
          <w:color w:val="auto"/>
          <w:sz w:val="21"/>
          <w:szCs w:val="21"/>
        </w:rPr>
        <w:t>开标</w:t>
      </w:r>
      <w:bookmarkEnd w:id="87"/>
      <w:bookmarkEnd w:id="88"/>
    </w:p>
    <w:p w14:paraId="033EEFA7">
      <w:pPr>
        <w:pStyle w:val="42"/>
        <w:widowControl w:val="0"/>
        <w:numPr>
          <w:ilvl w:val="0"/>
          <w:numId w:val="3"/>
        </w:numPr>
        <w:adjustRightInd/>
        <w:snapToGrid/>
        <w:ind w:firstLineChars="0"/>
        <w:jc w:val="both"/>
        <w:rPr>
          <w:rFonts w:ascii="宋体" w:hAnsi="宋体" w:cs="宋体"/>
          <w:vanish/>
          <w:color w:val="auto"/>
          <w:szCs w:val="21"/>
        </w:rPr>
      </w:pPr>
    </w:p>
    <w:p w14:paraId="44364993">
      <w:pPr>
        <w:widowControl w:val="0"/>
        <w:numPr>
          <w:ilvl w:val="1"/>
          <w:numId w:val="2"/>
        </w:numPr>
        <w:overflowPunct w:val="0"/>
        <w:rPr>
          <w:rFonts w:ascii="宋体" w:hAnsi="宋体" w:cs="宋体"/>
          <w:color w:val="auto"/>
          <w:szCs w:val="21"/>
        </w:rPr>
      </w:pPr>
      <w:r>
        <w:rPr>
          <w:rFonts w:hint="eastAsia" w:ascii="宋体" w:hAnsi="宋体" w:cs="宋体"/>
          <w:color w:val="auto"/>
          <w:szCs w:val="21"/>
        </w:rPr>
        <w:t>采购代理机构按本采购文件所规定的时间和地点公开开标，并邀请所有投标人代表参加。</w:t>
      </w:r>
    </w:p>
    <w:p w14:paraId="5174C002">
      <w:pPr>
        <w:widowControl w:val="0"/>
        <w:numPr>
          <w:ilvl w:val="1"/>
          <w:numId w:val="2"/>
        </w:numPr>
        <w:overflowPunct w:val="0"/>
        <w:rPr>
          <w:rFonts w:ascii="宋体" w:hAnsi="宋体" w:cs="宋体"/>
          <w:color w:val="auto"/>
          <w:szCs w:val="21"/>
        </w:rPr>
      </w:pPr>
      <w:r>
        <w:rPr>
          <w:rFonts w:hint="eastAsia" w:ascii="宋体" w:hAnsi="宋体" w:cs="宋体"/>
          <w:color w:val="auto"/>
          <w:szCs w:val="21"/>
        </w:rPr>
        <w:t>开标程序：</w:t>
      </w:r>
    </w:p>
    <w:p w14:paraId="2C913CBE">
      <w:pPr>
        <w:widowControl w:val="0"/>
        <w:numPr>
          <w:ilvl w:val="1"/>
          <w:numId w:val="2"/>
        </w:numPr>
        <w:overflowPunct w:val="0"/>
        <w:rPr>
          <w:rFonts w:ascii="宋体" w:hAnsi="宋体" w:cs="宋体"/>
          <w:color w:val="auto"/>
          <w:szCs w:val="21"/>
        </w:rPr>
      </w:pPr>
      <w:r>
        <w:rPr>
          <w:rFonts w:hint="eastAsia" w:ascii="宋体" w:hAnsi="宋体" w:cs="宋体"/>
          <w:color w:val="auto"/>
          <w:szCs w:val="21"/>
        </w:rPr>
        <w:t>开标会由采购代理机构主持，投标人的法定代表人或其授权代表携带有效身份证明准时参加开标会并签名报到。</w:t>
      </w:r>
    </w:p>
    <w:p w14:paraId="5640B737">
      <w:pPr>
        <w:widowControl w:val="0"/>
        <w:numPr>
          <w:ilvl w:val="1"/>
          <w:numId w:val="2"/>
        </w:numPr>
        <w:overflowPunct w:val="0"/>
        <w:rPr>
          <w:rFonts w:ascii="宋体" w:hAnsi="宋体" w:cs="宋体"/>
          <w:color w:val="auto"/>
          <w:szCs w:val="21"/>
        </w:rPr>
      </w:pPr>
      <w:r>
        <w:rPr>
          <w:rFonts w:hint="eastAsia" w:ascii="宋体" w:hAnsi="宋体" w:cs="宋体"/>
          <w:color w:val="auto"/>
          <w:szCs w:val="21"/>
        </w:rPr>
        <w:t>开标时，由投标人或者其推选的代表检查投标文件的密封情况；经确认无误后，由采购人或者采购代理机构工作人员当众拆封，宣布投标人名称、投标价格和采购文件规定的需要宣布的其他内容；</w:t>
      </w:r>
    </w:p>
    <w:p w14:paraId="3694D405">
      <w:pPr>
        <w:widowControl w:val="0"/>
        <w:numPr>
          <w:ilvl w:val="1"/>
          <w:numId w:val="2"/>
        </w:numPr>
        <w:overflowPunct w:val="0"/>
        <w:rPr>
          <w:rFonts w:ascii="宋体" w:hAnsi="宋体" w:cs="宋体"/>
          <w:color w:val="auto"/>
          <w:szCs w:val="21"/>
        </w:rPr>
      </w:pPr>
      <w:r>
        <w:rPr>
          <w:rFonts w:hint="eastAsia" w:ascii="宋体" w:hAnsi="宋体" w:cs="宋体"/>
          <w:color w:val="auto"/>
          <w:szCs w:val="21"/>
        </w:rPr>
        <w:t>投标人代表对开标过程和开标记录有异议，以及认为采购人、采购代理机构相关工作人员有需要回避的情形的，应当场提出询问或者回避申请。开标现场未提出异议的视为认同开标结果。开标结束后，投标人对开标过程和开标记录不得再提出异议。</w:t>
      </w:r>
    </w:p>
    <w:p w14:paraId="68F0B343">
      <w:pPr>
        <w:widowControl w:val="0"/>
        <w:numPr>
          <w:ilvl w:val="1"/>
          <w:numId w:val="2"/>
        </w:numPr>
        <w:overflowPunct w:val="0"/>
        <w:rPr>
          <w:rFonts w:ascii="宋体" w:hAnsi="宋体" w:cs="宋体"/>
          <w:color w:val="auto"/>
          <w:szCs w:val="21"/>
        </w:rPr>
      </w:pPr>
      <w:r>
        <w:rPr>
          <w:rFonts w:hint="eastAsia" w:ascii="宋体" w:hAnsi="宋体" w:cs="宋体"/>
          <w:color w:val="auto"/>
          <w:szCs w:val="21"/>
        </w:rPr>
        <w:t>投标人未参加开标的，视同认可开标结果。</w:t>
      </w:r>
    </w:p>
    <w:p w14:paraId="57671A10">
      <w:pPr>
        <w:widowControl w:val="0"/>
        <w:numPr>
          <w:ilvl w:val="1"/>
          <w:numId w:val="2"/>
        </w:numPr>
        <w:overflowPunct w:val="0"/>
        <w:rPr>
          <w:rFonts w:ascii="宋体" w:hAnsi="宋体" w:cs="宋体"/>
          <w:color w:val="auto"/>
          <w:szCs w:val="21"/>
        </w:rPr>
      </w:pPr>
      <w:r>
        <w:rPr>
          <w:rFonts w:hint="eastAsia" w:ascii="宋体" w:hAnsi="宋体" w:cs="宋体"/>
          <w:color w:val="auto"/>
          <w:szCs w:val="21"/>
        </w:rPr>
        <w:t>合格投标人不足3家的，不得开标；</w:t>
      </w:r>
    </w:p>
    <w:p w14:paraId="54575270">
      <w:pPr>
        <w:widowControl w:val="0"/>
        <w:numPr>
          <w:ilvl w:val="1"/>
          <w:numId w:val="2"/>
        </w:numPr>
        <w:overflowPunct w:val="0"/>
        <w:rPr>
          <w:rFonts w:ascii="宋体" w:hAnsi="宋体" w:cs="宋体"/>
          <w:color w:val="auto"/>
          <w:szCs w:val="21"/>
        </w:rPr>
      </w:pPr>
      <w:r>
        <w:rPr>
          <w:rFonts w:hint="eastAsia" w:ascii="宋体" w:hAnsi="宋体" w:cs="宋体"/>
          <w:color w:val="auto"/>
          <w:szCs w:val="21"/>
        </w:rPr>
        <w:t>开标过程应当由采购人或者采购代理机构负责记录，由参加开标的各投标人代表和相关工作人员签字确认。</w:t>
      </w:r>
    </w:p>
    <w:p w14:paraId="3763FB01">
      <w:pPr>
        <w:widowControl w:val="0"/>
        <w:adjustRightInd/>
        <w:snapToGrid/>
        <w:ind w:left="567"/>
        <w:jc w:val="both"/>
        <w:rPr>
          <w:rFonts w:ascii="宋体" w:hAnsi="宋体" w:cs="宋体"/>
          <w:color w:val="auto"/>
        </w:rPr>
      </w:pPr>
    </w:p>
    <w:p w14:paraId="32AFDE3C">
      <w:pPr>
        <w:pStyle w:val="5"/>
        <w:widowControl w:val="0"/>
        <w:numPr>
          <w:ilvl w:val="0"/>
          <w:numId w:val="2"/>
        </w:numPr>
        <w:overflowPunct w:val="0"/>
        <w:rPr>
          <w:rFonts w:ascii="宋体" w:hAnsi="宋体" w:cs="宋体"/>
          <w:color w:val="auto"/>
          <w:sz w:val="21"/>
          <w:szCs w:val="21"/>
        </w:rPr>
      </w:pPr>
      <w:bookmarkStart w:id="89" w:name="_Toc3528"/>
      <w:bookmarkStart w:id="90" w:name="_Toc26024"/>
      <w:r>
        <w:rPr>
          <w:rFonts w:hint="eastAsia" w:ascii="宋体" w:hAnsi="宋体" w:cs="宋体"/>
          <w:color w:val="auto"/>
          <w:sz w:val="21"/>
          <w:szCs w:val="21"/>
        </w:rPr>
        <w:t>评标委员会及评标方法</w:t>
      </w:r>
      <w:bookmarkEnd w:id="89"/>
      <w:bookmarkEnd w:id="90"/>
    </w:p>
    <w:p w14:paraId="422503F9">
      <w:pPr>
        <w:pStyle w:val="42"/>
        <w:widowControl w:val="0"/>
        <w:numPr>
          <w:ilvl w:val="0"/>
          <w:numId w:val="3"/>
        </w:numPr>
        <w:adjustRightInd/>
        <w:snapToGrid/>
        <w:ind w:firstLineChars="0"/>
        <w:jc w:val="both"/>
        <w:rPr>
          <w:rFonts w:ascii="宋体" w:hAnsi="宋体" w:cs="宋体"/>
          <w:vanish/>
          <w:color w:val="auto"/>
          <w:szCs w:val="21"/>
        </w:rPr>
      </w:pPr>
    </w:p>
    <w:p w14:paraId="2585688F">
      <w:pPr>
        <w:widowControl w:val="0"/>
        <w:numPr>
          <w:ilvl w:val="1"/>
          <w:numId w:val="2"/>
        </w:numPr>
        <w:overflowPunct w:val="0"/>
        <w:rPr>
          <w:rFonts w:ascii="宋体" w:hAnsi="宋体" w:cs="宋体"/>
          <w:color w:val="auto"/>
          <w:szCs w:val="21"/>
        </w:rPr>
      </w:pPr>
      <w:r>
        <w:rPr>
          <w:rFonts w:hint="eastAsia" w:ascii="宋体" w:hAnsi="宋体" w:cs="宋体"/>
          <w:color w:val="auto"/>
          <w:szCs w:val="21"/>
        </w:rPr>
        <w:t>依法组成评标委员会，评标委员会由采购人和有关技术、经济等方面的专家组成，成员人数为五人或五人以上单数，其中技术、经济等方面的专家不少于成员总数的三分之二，并负责评标工作。</w:t>
      </w:r>
    </w:p>
    <w:p w14:paraId="38396814">
      <w:pPr>
        <w:widowControl w:val="0"/>
        <w:numPr>
          <w:ilvl w:val="1"/>
          <w:numId w:val="2"/>
        </w:numPr>
        <w:overflowPunct w:val="0"/>
        <w:rPr>
          <w:rFonts w:ascii="宋体" w:hAnsi="宋体" w:cs="宋体"/>
          <w:color w:val="auto"/>
          <w:szCs w:val="21"/>
        </w:rPr>
      </w:pPr>
      <w:r>
        <w:rPr>
          <w:rFonts w:hint="eastAsia" w:ascii="宋体" w:hAnsi="宋体" w:cs="宋体"/>
          <w:color w:val="auto"/>
          <w:szCs w:val="21"/>
        </w:rPr>
        <w:t>评审方法：</w:t>
      </w:r>
      <w:r>
        <w:rPr>
          <w:rFonts w:hint="eastAsia" w:ascii="宋体" w:hAnsi="宋体" w:cs="宋体"/>
          <w:color w:val="auto"/>
          <w:lang w:val="en-US" w:eastAsia="zh-CN"/>
        </w:rPr>
        <w:t>对满足本项目采购文件要求（通过资格性、符合性审查），</w:t>
      </w:r>
      <w:r>
        <w:rPr>
          <w:rFonts w:hint="eastAsia" w:ascii="宋体" w:hAnsi="宋体" w:eastAsia="宋体" w:cs="宋体"/>
          <w:color w:val="auto"/>
          <w:lang w:val="en-US" w:eastAsia="zh-CN"/>
        </w:rPr>
        <w:t>且</w:t>
      </w:r>
      <w:r>
        <w:rPr>
          <w:rFonts w:hint="eastAsia" w:ascii="宋体" w:hAnsi="宋体" w:cs="宋体"/>
          <w:color w:val="auto"/>
          <w:lang w:val="en-US" w:eastAsia="zh-CN"/>
        </w:rPr>
        <w:t>经评标委员会评审综合得分≥60分</w:t>
      </w:r>
      <w:r>
        <w:rPr>
          <w:rFonts w:hint="eastAsia" w:ascii="宋体" w:hAnsi="宋体" w:eastAsia="宋体" w:cs="宋体"/>
          <w:color w:val="auto"/>
          <w:lang w:val="en-US" w:eastAsia="zh-CN"/>
        </w:rPr>
        <w:t>的</w:t>
      </w:r>
      <w:r>
        <w:rPr>
          <w:rFonts w:hint="eastAsia" w:ascii="宋体" w:hAnsi="宋体" w:cs="宋体"/>
          <w:color w:val="auto"/>
          <w:lang w:val="en-US" w:eastAsia="zh-CN"/>
        </w:rPr>
        <w:t>投标单位</w:t>
      </w:r>
      <w:r>
        <w:rPr>
          <w:rFonts w:hint="eastAsia" w:ascii="宋体" w:hAnsi="宋体" w:eastAsia="宋体" w:cs="宋体"/>
          <w:color w:val="auto"/>
          <w:lang w:val="en-US" w:eastAsia="zh-CN"/>
        </w:rPr>
        <w:t>均推荐为</w:t>
      </w:r>
      <w:r>
        <w:rPr>
          <w:rFonts w:hint="eastAsia" w:ascii="宋体" w:hAnsi="宋体" w:cs="宋体"/>
          <w:color w:val="auto"/>
          <w:lang w:val="en-US" w:eastAsia="zh-CN"/>
        </w:rPr>
        <w:t>中标</w:t>
      </w:r>
      <w:r>
        <w:rPr>
          <w:rFonts w:hint="eastAsia" w:ascii="宋体" w:hAnsi="宋体" w:eastAsia="宋体" w:cs="宋体"/>
          <w:color w:val="auto"/>
          <w:lang w:val="en-US" w:eastAsia="zh-CN"/>
        </w:rPr>
        <w:t>候选供应商</w:t>
      </w:r>
      <w:r>
        <w:rPr>
          <w:rFonts w:hint="eastAsia" w:ascii="宋体" w:hAnsi="宋体" w:cs="宋体"/>
          <w:color w:val="auto"/>
          <w:szCs w:val="21"/>
        </w:rPr>
        <w:t>。</w:t>
      </w:r>
    </w:p>
    <w:p w14:paraId="3F8696EE">
      <w:pPr>
        <w:widowControl w:val="0"/>
        <w:numPr>
          <w:ilvl w:val="1"/>
          <w:numId w:val="2"/>
        </w:numPr>
        <w:overflowPunct w:val="0"/>
        <w:rPr>
          <w:rFonts w:ascii="宋体" w:hAnsi="宋体" w:cs="宋体"/>
          <w:color w:val="auto"/>
          <w:szCs w:val="21"/>
        </w:rPr>
      </w:pPr>
      <w:r>
        <w:rPr>
          <w:rFonts w:hint="eastAsia" w:ascii="宋体" w:hAnsi="宋体" w:cs="宋体"/>
          <w:color w:val="auto"/>
          <w:szCs w:val="21"/>
        </w:rPr>
        <w:t>定标原则：在最大限度满足采购文件实质性要求前提下，按照采购文件规定的各项评价因素进行量化打分，以评标总得分最高的投标人作为中标候选人或中标人。</w:t>
      </w:r>
    </w:p>
    <w:p w14:paraId="7A4D71A8">
      <w:pPr>
        <w:widowControl w:val="0"/>
        <w:numPr>
          <w:ilvl w:val="1"/>
          <w:numId w:val="2"/>
        </w:numPr>
        <w:overflowPunct w:val="0"/>
        <w:rPr>
          <w:rFonts w:ascii="宋体" w:hAnsi="宋体" w:cs="宋体"/>
          <w:color w:val="auto"/>
          <w:szCs w:val="21"/>
        </w:rPr>
      </w:pPr>
      <w:r>
        <w:rPr>
          <w:rFonts w:hint="eastAsia" w:ascii="宋体" w:hAnsi="宋体" w:cs="宋体"/>
          <w:color w:val="auto"/>
          <w:szCs w:val="21"/>
        </w:rPr>
        <w:t>评标委员会对投标文件的评审内容，分为商务评议、技术评议和价格评议。评审流程包括符合性检查、澄清问题、比较与评价、推荐中标候选人或确定中标人、编写评标报告等步骤。</w:t>
      </w:r>
    </w:p>
    <w:p w14:paraId="2BED6635">
      <w:pPr>
        <w:widowControl w:val="0"/>
        <w:numPr>
          <w:ilvl w:val="1"/>
          <w:numId w:val="2"/>
        </w:numPr>
        <w:overflowPunct w:val="0"/>
        <w:rPr>
          <w:rFonts w:ascii="宋体" w:hAnsi="宋体" w:cs="宋体"/>
          <w:color w:val="auto"/>
          <w:szCs w:val="21"/>
        </w:rPr>
      </w:pPr>
      <w:r>
        <w:rPr>
          <w:rFonts w:hint="eastAsia" w:ascii="宋体" w:hAnsi="宋体" w:cs="宋体"/>
          <w:color w:val="auto"/>
          <w:szCs w:val="21"/>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14:paraId="307E76F4">
      <w:pPr>
        <w:widowControl w:val="0"/>
        <w:numPr>
          <w:ilvl w:val="1"/>
          <w:numId w:val="2"/>
        </w:numPr>
        <w:overflowPunct w:val="0"/>
        <w:rPr>
          <w:rFonts w:ascii="宋体" w:hAnsi="宋体" w:cs="宋体"/>
          <w:color w:val="auto"/>
          <w:szCs w:val="21"/>
        </w:rPr>
      </w:pPr>
      <w:r>
        <w:rPr>
          <w:rFonts w:hint="eastAsia" w:ascii="宋体" w:hAnsi="宋体" w:cs="宋体"/>
          <w:color w:val="auto"/>
          <w:szCs w:val="21"/>
        </w:rPr>
        <w:t>评标委员会和采购人在评审过程中有权核对投标文件中相关材料的原件，投标人在接到通知后应在评标委员会规定的时间内提交原件核查。</w:t>
      </w:r>
    </w:p>
    <w:p w14:paraId="37DCEFAA">
      <w:pPr>
        <w:rPr>
          <w:rFonts w:ascii="宋体" w:hAnsi="宋体" w:cs="宋体"/>
          <w:color w:val="auto"/>
        </w:rPr>
      </w:pPr>
    </w:p>
    <w:p w14:paraId="66A2AC05">
      <w:pPr>
        <w:pStyle w:val="5"/>
        <w:widowControl w:val="0"/>
        <w:numPr>
          <w:ilvl w:val="0"/>
          <w:numId w:val="2"/>
        </w:numPr>
        <w:overflowPunct w:val="0"/>
        <w:rPr>
          <w:rFonts w:ascii="宋体" w:hAnsi="宋体" w:cs="宋体"/>
          <w:color w:val="auto"/>
          <w:sz w:val="21"/>
          <w:szCs w:val="21"/>
        </w:rPr>
      </w:pPr>
      <w:bookmarkStart w:id="91" w:name="_Toc4198"/>
      <w:bookmarkStart w:id="92" w:name="_Toc25274"/>
      <w:r>
        <w:rPr>
          <w:rFonts w:hint="eastAsia" w:ascii="宋体" w:hAnsi="宋体" w:cs="宋体"/>
          <w:color w:val="auto"/>
          <w:sz w:val="21"/>
          <w:szCs w:val="21"/>
        </w:rPr>
        <w:t>评审原则及评标过程的保密</w:t>
      </w:r>
      <w:bookmarkEnd w:id="91"/>
      <w:bookmarkEnd w:id="92"/>
    </w:p>
    <w:p w14:paraId="20A47277">
      <w:pPr>
        <w:pStyle w:val="42"/>
        <w:widowControl w:val="0"/>
        <w:numPr>
          <w:ilvl w:val="0"/>
          <w:numId w:val="3"/>
        </w:numPr>
        <w:adjustRightInd/>
        <w:snapToGrid/>
        <w:ind w:firstLineChars="0"/>
        <w:jc w:val="both"/>
        <w:rPr>
          <w:rFonts w:ascii="宋体" w:hAnsi="宋体" w:cs="宋体"/>
          <w:vanish/>
          <w:color w:val="auto"/>
          <w:szCs w:val="21"/>
        </w:rPr>
      </w:pPr>
    </w:p>
    <w:p w14:paraId="51804B01">
      <w:pPr>
        <w:widowControl w:val="0"/>
        <w:numPr>
          <w:ilvl w:val="1"/>
          <w:numId w:val="2"/>
        </w:numPr>
        <w:overflowPunct w:val="0"/>
        <w:rPr>
          <w:rFonts w:ascii="宋体" w:hAnsi="宋体" w:cs="宋体"/>
          <w:color w:val="auto"/>
          <w:szCs w:val="21"/>
        </w:rPr>
      </w:pPr>
      <w:r>
        <w:rPr>
          <w:rFonts w:hint="eastAsia" w:ascii="宋体" w:hAnsi="宋体" w:cs="宋体"/>
          <w:color w:val="auto"/>
          <w:szCs w:val="21"/>
        </w:rPr>
        <w:t>评审的基本原则：评标委员会将依据采购文件的规定，遵循“公开、公平、公正、择优、信用”的原则进行评审工作。</w:t>
      </w:r>
    </w:p>
    <w:p w14:paraId="2262A843">
      <w:pPr>
        <w:widowControl w:val="0"/>
        <w:numPr>
          <w:ilvl w:val="1"/>
          <w:numId w:val="2"/>
        </w:numPr>
        <w:overflowPunct w:val="0"/>
        <w:rPr>
          <w:rFonts w:ascii="宋体" w:hAnsi="宋体" w:cs="宋体"/>
          <w:color w:val="auto"/>
          <w:szCs w:val="21"/>
        </w:rPr>
      </w:pPr>
      <w:r>
        <w:rPr>
          <w:rFonts w:hint="eastAsia" w:ascii="宋体" w:hAnsi="宋体" w:cs="宋体"/>
          <w:color w:val="auto"/>
          <w:szCs w:val="21"/>
        </w:rPr>
        <w:t>从公开开标到签订合同，凡与审查、澄清、评审和投标有关的资料以及定标意见相关的事项，均不得向投标人及与评标无关的其他人透露。</w:t>
      </w:r>
    </w:p>
    <w:p w14:paraId="0C5196A3">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任何单位和个人不得非法干预、影响评标的过程和结果。</w:t>
      </w:r>
    </w:p>
    <w:p w14:paraId="3862F452">
      <w:pPr>
        <w:rPr>
          <w:rFonts w:ascii="宋体" w:hAnsi="宋体" w:cs="宋体"/>
          <w:color w:val="auto"/>
          <w:highlight w:val="none"/>
        </w:rPr>
      </w:pPr>
    </w:p>
    <w:p w14:paraId="5BC5D6AC">
      <w:pPr>
        <w:pStyle w:val="5"/>
        <w:widowControl w:val="0"/>
        <w:numPr>
          <w:ilvl w:val="0"/>
          <w:numId w:val="2"/>
        </w:numPr>
        <w:overflowPunct w:val="0"/>
        <w:rPr>
          <w:rFonts w:ascii="宋体" w:hAnsi="宋体" w:cs="宋体"/>
          <w:color w:val="auto"/>
          <w:sz w:val="21"/>
          <w:szCs w:val="21"/>
          <w:highlight w:val="none"/>
        </w:rPr>
      </w:pPr>
      <w:bookmarkStart w:id="93" w:name="_Toc1512"/>
      <w:r>
        <w:rPr>
          <w:rFonts w:hint="eastAsia" w:ascii="宋体" w:hAnsi="宋体" w:cs="宋体"/>
          <w:color w:val="auto"/>
          <w:sz w:val="21"/>
          <w:szCs w:val="21"/>
          <w:highlight w:val="none"/>
        </w:rPr>
        <w:t>评标程序</w:t>
      </w:r>
      <w:bookmarkEnd w:id="93"/>
    </w:p>
    <w:p w14:paraId="2992F839">
      <w:pPr>
        <w:widowControl w:val="0"/>
        <w:numPr>
          <w:ilvl w:val="1"/>
          <w:numId w:val="2"/>
        </w:numPr>
        <w:overflowPunct w:val="0"/>
        <w:rPr>
          <w:rFonts w:ascii="宋体" w:hAnsi="宋体" w:cs="宋体"/>
          <w:b/>
          <w:bCs/>
          <w:color w:val="auto"/>
          <w:szCs w:val="21"/>
          <w:highlight w:val="none"/>
        </w:rPr>
      </w:pPr>
      <w:r>
        <w:rPr>
          <w:rFonts w:hint="eastAsia" w:ascii="宋体" w:hAnsi="宋体" w:cs="宋体"/>
          <w:b/>
          <w:bCs/>
          <w:color w:val="auto"/>
          <w:szCs w:val="21"/>
          <w:highlight w:val="none"/>
        </w:rPr>
        <w:t>资格性、符合性审查</w:t>
      </w:r>
    </w:p>
    <w:p w14:paraId="1A0DD1FC">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公开采购项目开标结束后，评标委员会根据《资格性、符合性审查表》将依法对投标人进行资格性、符合性审查。投标人必须严格按照《资格性、符合性审查表》的评审内容的要求如实提供证明材料并应加盖投标人公章，对缺漏或不符合项将直接导致无效投标。合格投标人不足3家的，不得评标。未通过资格性、符合性审查的投标人不进入</w:t>
      </w:r>
      <w:r>
        <w:rPr>
          <w:rFonts w:hint="eastAsia" w:hAnsi="宋体" w:cs="宋体"/>
          <w:color w:val="auto"/>
          <w:szCs w:val="21"/>
          <w:highlight w:val="none"/>
        </w:rPr>
        <w:t>评标阶段</w:t>
      </w:r>
      <w:r>
        <w:rPr>
          <w:rFonts w:hint="eastAsia" w:ascii="宋体" w:hAnsi="宋体" w:cs="宋体"/>
          <w:color w:val="auto"/>
          <w:szCs w:val="21"/>
          <w:highlight w:val="none"/>
        </w:rPr>
        <w:t>的评审。</w:t>
      </w:r>
    </w:p>
    <w:p w14:paraId="00C89A3D">
      <w:pPr>
        <w:jc w:val="center"/>
        <w:rPr>
          <w:b/>
          <w:bCs/>
          <w:color w:val="auto"/>
          <w:highlight w:val="none"/>
        </w:rPr>
      </w:pPr>
      <w:r>
        <w:rPr>
          <w:b/>
          <w:bCs/>
          <w:color w:val="auto"/>
          <w:highlight w:val="none"/>
        </w:rPr>
        <w:t>《资格性</w:t>
      </w:r>
      <w:r>
        <w:rPr>
          <w:rFonts w:hint="eastAsia"/>
          <w:b/>
          <w:bCs/>
          <w:color w:val="auto"/>
          <w:highlight w:val="none"/>
        </w:rPr>
        <w:t>、符合性</w:t>
      </w:r>
      <w:r>
        <w:rPr>
          <w:b/>
          <w:bCs/>
          <w:color w:val="auto"/>
          <w:highlight w:val="none"/>
        </w:rPr>
        <w:t>审查表》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7832"/>
      </w:tblGrid>
      <w:tr w14:paraId="79AE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tcBorders>
              <w:top w:val="single" w:color="auto" w:sz="4" w:space="0"/>
              <w:left w:val="single" w:color="auto" w:sz="4" w:space="0"/>
              <w:bottom w:val="single" w:color="auto" w:sz="4" w:space="0"/>
              <w:right w:val="single" w:color="auto" w:sz="4" w:space="0"/>
              <w:tl2br w:val="nil"/>
              <w:tr2bl w:val="nil"/>
            </w:tcBorders>
            <w:vAlign w:val="center"/>
          </w:tcPr>
          <w:p w14:paraId="0CC073B9">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4591" w:type="pct"/>
            <w:tcBorders>
              <w:top w:val="single" w:color="auto" w:sz="4" w:space="0"/>
              <w:left w:val="single" w:color="auto" w:sz="4" w:space="0"/>
              <w:bottom w:val="single" w:color="auto" w:sz="4" w:space="0"/>
              <w:right w:val="single" w:color="auto" w:sz="4" w:space="0"/>
              <w:tl2br w:val="nil"/>
              <w:tr2bl w:val="nil"/>
            </w:tcBorders>
            <w:vAlign w:val="center"/>
          </w:tcPr>
          <w:p w14:paraId="45C80C88">
            <w:pPr>
              <w:jc w:val="center"/>
              <w:rPr>
                <w:rFonts w:ascii="宋体" w:hAnsi="宋体" w:cs="宋体"/>
                <w:b/>
                <w:color w:val="auto"/>
                <w:szCs w:val="21"/>
                <w:highlight w:val="none"/>
              </w:rPr>
            </w:pPr>
            <w:r>
              <w:rPr>
                <w:rFonts w:hint="eastAsia" w:ascii="宋体" w:hAnsi="宋体" w:cs="宋体"/>
                <w:b/>
                <w:color w:val="auto"/>
                <w:szCs w:val="21"/>
                <w:highlight w:val="none"/>
              </w:rPr>
              <w:t>评 审 内 容</w:t>
            </w:r>
          </w:p>
        </w:tc>
      </w:tr>
      <w:tr w14:paraId="605E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Merge w:val="restart"/>
            <w:tcBorders>
              <w:top w:val="single" w:color="auto" w:sz="4" w:space="0"/>
              <w:left w:val="single" w:color="auto" w:sz="4" w:space="0"/>
              <w:right w:val="single" w:color="auto" w:sz="4" w:space="0"/>
              <w:tl2br w:val="nil"/>
              <w:tr2bl w:val="nil"/>
            </w:tcBorders>
            <w:vAlign w:val="center"/>
          </w:tcPr>
          <w:p w14:paraId="2DB59E5D">
            <w:pPr>
              <w:numPr>
                <w:ilvl w:val="0"/>
                <w:numId w:val="6"/>
              </w:numPr>
              <w:tabs>
                <w:tab w:val="left" w:pos="176"/>
                <w:tab w:val="left" w:pos="612"/>
              </w:tabs>
              <w:jc w:val="center"/>
              <w:rPr>
                <w:rFonts w:ascii="宋体" w:hAnsi="宋体" w:cs="宋体"/>
                <w:color w:val="auto"/>
                <w:szCs w:val="21"/>
                <w:highlight w:val="none"/>
              </w:rPr>
            </w:pPr>
          </w:p>
        </w:tc>
        <w:tc>
          <w:tcPr>
            <w:tcW w:w="4591" w:type="pct"/>
            <w:tcBorders>
              <w:top w:val="single" w:color="auto" w:sz="4" w:space="0"/>
              <w:left w:val="single" w:color="auto" w:sz="4" w:space="0"/>
              <w:bottom w:val="single" w:color="auto" w:sz="4" w:space="0"/>
              <w:right w:val="single" w:color="auto" w:sz="4" w:space="0"/>
              <w:tl2br w:val="nil"/>
              <w:tr2bl w:val="nil"/>
            </w:tcBorders>
            <w:vAlign w:val="center"/>
          </w:tcPr>
          <w:p w14:paraId="00876D90">
            <w:pPr>
              <w:tabs>
                <w:tab w:val="left" w:pos="612"/>
              </w:tabs>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lang w:eastAsia="zh-CN"/>
              </w:rPr>
              <w:t>投标人是在中华人民共和国境内登记注册的具有独立承担民事责任能力的金融机构或其分支机构（分支机构投标的，须提供其所属金融机构就本项目对该分支机构的投标授权书，如中标，由其所属金融机构签订合同）；同一家金融机构最多只能授权一家分支机构参与投标，如果同一家金融机构及其分支机构均报名或同一家金融机构的多个分支机构报名，则该金融机构及其分支机构的投标将被拒绝</w:t>
            </w:r>
            <w:r>
              <w:rPr>
                <w:rFonts w:hint="eastAsia" w:ascii="宋体" w:hAnsi="宋体"/>
                <w:color w:val="auto"/>
                <w:szCs w:val="21"/>
                <w:highlight w:val="none"/>
                <w:lang w:val="en-US" w:eastAsia="zh-CN"/>
              </w:rPr>
              <w:t>（授权委托书格式自拟，亦可参考商务文件格式附件8独家授权委托书）</w:t>
            </w:r>
            <w:r>
              <w:rPr>
                <w:rFonts w:hint="eastAsia" w:ascii="宋体" w:hAnsi="宋体" w:cs="宋体"/>
                <w:color w:val="auto"/>
                <w:szCs w:val="21"/>
                <w:highlight w:val="none"/>
              </w:rPr>
              <w:t>；</w:t>
            </w:r>
          </w:p>
        </w:tc>
      </w:tr>
      <w:tr w14:paraId="4651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Merge w:val="continue"/>
            <w:tcBorders>
              <w:left w:val="single" w:color="auto" w:sz="4" w:space="0"/>
              <w:right w:val="single" w:color="auto" w:sz="4" w:space="0"/>
              <w:tl2br w:val="nil"/>
              <w:tr2bl w:val="nil"/>
            </w:tcBorders>
            <w:vAlign w:val="center"/>
          </w:tcPr>
          <w:p w14:paraId="377E1CE1">
            <w:pPr>
              <w:tabs>
                <w:tab w:val="left" w:pos="176"/>
                <w:tab w:val="left" w:pos="420"/>
                <w:tab w:val="left" w:pos="612"/>
              </w:tabs>
              <w:jc w:val="center"/>
              <w:rPr>
                <w:rFonts w:ascii="宋体" w:hAnsi="宋体" w:cs="宋体"/>
                <w:color w:val="auto"/>
                <w:szCs w:val="21"/>
              </w:rPr>
            </w:pPr>
          </w:p>
        </w:tc>
        <w:tc>
          <w:tcPr>
            <w:tcW w:w="4591" w:type="pct"/>
            <w:tcBorders>
              <w:top w:val="single" w:color="auto" w:sz="4" w:space="0"/>
              <w:left w:val="single" w:color="auto" w:sz="4" w:space="0"/>
              <w:bottom w:val="single" w:color="auto" w:sz="4" w:space="0"/>
              <w:right w:val="single" w:color="auto" w:sz="4" w:space="0"/>
              <w:tl2br w:val="nil"/>
              <w:tr2bl w:val="nil"/>
            </w:tcBorders>
            <w:vAlign w:val="center"/>
          </w:tcPr>
          <w:p w14:paraId="7DD22126">
            <w:pPr>
              <w:tabs>
                <w:tab w:val="left" w:pos="612"/>
              </w:tabs>
              <w:rPr>
                <w:rFonts w:ascii="宋体" w:hAnsi="宋体" w:cs="宋体"/>
                <w:color w:val="auto"/>
                <w:szCs w:val="21"/>
              </w:rPr>
            </w:pPr>
            <w:r>
              <w:rPr>
                <w:rFonts w:hint="eastAsia" w:ascii="宋体" w:hAnsi="宋体" w:cs="宋体"/>
                <w:color w:val="auto"/>
                <w:szCs w:val="21"/>
              </w:rPr>
              <w:t>（2）</w:t>
            </w:r>
            <w:r>
              <w:rPr>
                <w:rFonts w:hint="eastAsia" w:ascii="宋体" w:hAnsi="宋体"/>
                <w:color w:val="auto"/>
                <w:szCs w:val="21"/>
                <w:highlight w:val="none"/>
                <w:lang w:eastAsia="zh-CN"/>
              </w:rPr>
              <w:t>投标人或其上级法人（分支机构投标时其所属的金融机构法人）为具备非金融企业债务融资工具主承销商业务资格的银行类</w:t>
            </w:r>
            <w:r>
              <w:rPr>
                <w:rFonts w:hint="eastAsia" w:ascii="宋体" w:hAnsi="宋体"/>
                <w:color w:val="auto"/>
                <w:szCs w:val="21"/>
                <w:highlight w:val="none"/>
                <w:lang w:val="en-US" w:eastAsia="zh-CN"/>
              </w:rPr>
              <w:t>主承销商</w:t>
            </w:r>
            <w:r>
              <w:rPr>
                <w:rFonts w:hint="eastAsia" w:ascii="宋体" w:hAnsi="宋体"/>
                <w:color w:val="auto"/>
                <w:szCs w:val="21"/>
                <w:highlight w:val="none"/>
                <w:lang w:eastAsia="zh-CN"/>
              </w:rPr>
              <w:t>机构（以中国银行间市场交易商协会</w:t>
            </w:r>
            <w:r>
              <w:rPr>
                <w:rFonts w:hint="eastAsia" w:ascii="宋体" w:hAnsi="宋体"/>
                <w:color w:val="auto"/>
                <w:szCs w:val="21"/>
                <w:highlight w:val="none"/>
                <w:lang w:val="en-US" w:eastAsia="zh-CN"/>
              </w:rPr>
              <w:t>最新</w:t>
            </w:r>
            <w:r>
              <w:rPr>
                <w:rFonts w:hint="eastAsia" w:ascii="宋体" w:hAnsi="宋体"/>
                <w:color w:val="auto"/>
                <w:szCs w:val="21"/>
                <w:highlight w:val="none"/>
                <w:lang w:eastAsia="zh-CN"/>
              </w:rPr>
              <w:t>公布的“非金融企业债务融资工具承销机构名单—主承销商—</w:t>
            </w:r>
            <w:r>
              <w:rPr>
                <w:rFonts w:hint="eastAsia" w:ascii="宋体" w:hAnsi="宋体"/>
                <w:color w:val="auto"/>
                <w:szCs w:val="21"/>
                <w:highlight w:val="none"/>
                <w:lang w:val="en-US" w:eastAsia="zh-CN"/>
              </w:rPr>
              <w:t>一般主承销商</w:t>
            </w:r>
            <w:r>
              <w:rPr>
                <w:rFonts w:hint="eastAsia" w:ascii="宋体" w:hAnsi="宋体"/>
                <w:color w:val="auto"/>
                <w:szCs w:val="21"/>
                <w:highlight w:val="none"/>
                <w:lang w:eastAsia="zh-CN"/>
              </w:rPr>
              <w:t>—银行类机构”为准）</w:t>
            </w:r>
            <w:r>
              <w:rPr>
                <w:rFonts w:hint="eastAsia" w:ascii="宋体" w:hAnsi="宋体" w:cs="宋体"/>
                <w:color w:val="auto"/>
                <w:szCs w:val="21"/>
              </w:rPr>
              <w:t>；</w:t>
            </w:r>
          </w:p>
        </w:tc>
      </w:tr>
      <w:tr w14:paraId="0EE0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Merge w:val="continue"/>
            <w:tcBorders>
              <w:left w:val="single" w:color="auto" w:sz="4" w:space="0"/>
              <w:right w:val="single" w:color="auto" w:sz="4" w:space="0"/>
              <w:tl2br w:val="nil"/>
              <w:tr2bl w:val="nil"/>
            </w:tcBorders>
            <w:vAlign w:val="center"/>
          </w:tcPr>
          <w:p w14:paraId="232D392B">
            <w:pPr>
              <w:tabs>
                <w:tab w:val="left" w:pos="176"/>
                <w:tab w:val="left" w:pos="420"/>
                <w:tab w:val="left" w:pos="612"/>
              </w:tabs>
              <w:jc w:val="center"/>
              <w:rPr>
                <w:rFonts w:ascii="宋体" w:hAnsi="宋体" w:cs="宋体"/>
                <w:color w:val="auto"/>
                <w:szCs w:val="21"/>
              </w:rPr>
            </w:pPr>
          </w:p>
        </w:tc>
        <w:tc>
          <w:tcPr>
            <w:tcW w:w="4591" w:type="pct"/>
            <w:tcBorders>
              <w:top w:val="single" w:color="auto" w:sz="4" w:space="0"/>
              <w:left w:val="single" w:color="auto" w:sz="4" w:space="0"/>
              <w:bottom w:val="single" w:color="auto" w:sz="4" w:space="0"/>
              <w:right w:val="single" w:color="auto" w:sz="4" w:space="0"/>
              <w:tl2br w:val="nil"/>
              <w:tr2bl w:val="nil"/>
            </w:tcBorders>
            <w:vAlign w:val="center"/>
          </w:tcPr>
          <w:p w14:paraId="1F5925AF">
            <w:pPr>
              <w:tabs>
                <w:tab w:val="left" w:pos="612"/>
              </w:tabs>
              <w:rPr>
                <w:rFonts w:ascii="宋体" w:hAnsi="宋体" w:cs="宋体"/>
                <w:color w:val="auto"/>
                <w:szCs w:val="21"/>
              </w:rPr>
            </w:pPr>
            <w:r>
              <w:rPr>
                <w:rFonts w:hint="eastAsia" w:ascii="宋体" w:hAnsi="宋体" w:cs="宋体"/>
                <w:color w:val="auto"/>
                <w:szCs w:val="21"/>
              </w:rPr>
              <w:t>（3）</w:t>
            </w:r>
            <w:r>
              <w:rPr>
                <w:rFonts w:hint="eastAsia" w:ascii="宋体" w:hAnsi="宋体"/>
                <w:color w:val="auto"/>
                <w:szCs w:val="21"/>
                <w:highlight w:val="none"/>
                <w:lang w:eastAsia="zh-CN"/>
              </w:rPr>
              <w:t>投标人负责人为同一人或者存在控股、管理关系的不同投标人，不得参加同一合同项下的采购活动</w:t>
            </w:r>
            <w:r>
              <w:rPr>
                <w:rFonts w:hint="eastAsia" w:ascii="宋体" w:hAnsi="宋体" w:cs="宋体"/>
                <w:color w:val="auto"/>
                <w:szCs w:val="21"/>
              </w:rPr>
              <w:t>；</w:t>
            </w:r>
          </w:p>
        </w:tc>
      </w:tr>
      <w:tr w14:paraId="2191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Merge w:val="continue"/>
            <w:tcBorders>
              <w:left w:val="single" w:color="auto" w:sz="4" w:space="0"/>
              <w:right w:val="single" w:color="auto" w:sz="4" w:space="0"/>
              <w:tl2br w:val="nil"/>
              <w:tr2bl w:val="nil"/>
            </w:tcBorders>
            <w:vAlign w:val="center"/>
          </w:tcPr>
          <w:p w14:paraId="433F552C">
            <w:pPr>
              <w:tabs>
                <w:tab w:val="left" w:pos="176"/>
                <w:tab w:val="left" w:pos="420"/>
                <w:tab w:val="left" w:pos="612"/>
              </w:tabs>
              <w:jc w:val="center"/>
              <w:rPr>
                <w:rFonts w:ascii="宋体" w:hAnsi="宋体" w:cs="宋体"/>
                <w:color w:val="auto"/>
                <w:szCs w:val="21"/>
              </w:rPr>
            </w:pPr>
          </w:p>
        </w:tc>
        <w:tc>
          <w:tcPr>
            <w:tcW w:w="4591" w:type="pct"/>
            <w:tcBorders>
              <w:top w:val="single" w:color="auto" w:sz="4" w:space="0"/>
              <w:left w:val="single" w:color="auto" w:sz="4" w:space="0"/>
              <w:bottom w:val="single" w:color="auto" w:sz="4" w:space="0"/>
              <w:right w:val="single" w:color="auto" w:sz="4" w:space="0"/>
              <w:tl2br w:val="nil"/>
              <w:tr2bl w:val="nil"/>
            </w:tcBorders>
            <w:vAlign w:val="center"/>
          </w:tcPr>
          <w:p w14:paraId="5B522986">
            <w:pPr>
              <w:tabs>
                <w:tab w:val="left" w:pos="612"/>
              </w:tabs>
              <w:rPr>
                <w:rFonts w:ascii="宋体" w:hAnsi="宋体" w:cs="宋体"/>
                <w:color w:val="auto"/>
                <w:szCs w:val="21"/>
              </w:rPr>
            </w:pPr>
            <w:r>
              <w:rPr>
                <w:rFonts w:hint="eastAsia" w:ascii="宋体" w:hAnsi="宋体" w:cs="宋体"/>
                <w:color w:val="auto"/>
                <w:szCs w:val="21"/>
              </w:rPr>
              <w:t>（4）</w:t>
            </w:r>
            <w:r>
              <w:rPr>
                <w:rFonts w:hint="eastAsia" w:ascii="宋体" w:hAnsi="宋体"/>
                <w:color w:val="auto"/>
                <w:szCs w:val="21"/>
                <w:highlight w:val="none"/>
                <w:lang w:eastAsia="zh-CN"/>
              </w:rPr>
              <w:t>投标人</w:t>
            </w:r>
            <w:r>
              <w:rPr>
                <w:rFonts w:hint="eastAsia" w:ascii="宋体" w:hAnsi="宋体"/>
                <w:color w:val="auto"/>
                <w:szCs w:val="21"/>
                <w:highlight w:val="none"/>
                <w:lang w:val="en-US" w:eastAsia="zh-CN"/>
              </w:rPr>
              <w:t>在2024</w:t>
            </w:r>
            <w:r>
              <w:rPr>
                <w:rFonts w:hint="eastAsia" w:ascii="宋体" w:hAnsi="宋体"/>
                <w:color w:val="auto"/>
                <w:szCs w:val="21"/>
                <w:highlight w:val="none"/>
                <w:lang w:eastAsia="zh-CN"/>
              </w:rPr>
              <w:t>年1月1日至开标日没有因债券承销业务不良记录或对债券存续期的管理、督导被银行间交易商协会处罚以致于不能正常开展债券承销业务。（</w:t>
            </w:r>
            <w:r>
              <w:rPr>
                <w:rFonts w:hint="eastAsia"/>
                <w:color w:val="auto"/>
                <w:highlight w:val="none"/>
                <w:u w:val="none"/>
                <w:lang w:eastAsia="zh-CN"/>
              </w:rPr>
              <w:t>在</w:t>
            </w:r>
            <w:r>
              <w:rPr>
                <w:rFonts w:hint="eastAsia"/>
                <w:color w:val="auto"/>
                <w:highlight w:val="none"/>
                <w:u w:val="none"/>
                <w:lang w:val="en-US" w:eastAsia="zh-CN"/>
              </w:rPr>
              <w:t>商务文件格式附件8</w:t>
            </w:r>
            <w:r>
              <w:rPr>
                <w:rFonts w:hint="eastAsia" w:ascii="宋体" w:hAnsi="宋体"/>
                <w:color w:val="auto"/>
                <w:szCs w:val="21"/>
                <w:highlight w:val="none"/>
                <w:lang w:eastAsia="zh-CN"/>
              </w:rPr>
              <w:t>资格声明函中承诺，如</w:t>
            </w:r>
            <w:r>
              <w:rPr>
                <w:rFonts w:hint="eastAsia" w:ascii="宋体" w:hAnsi="宋体"/>
                <w:color w:val="auto"/>
                <w:szCs w:val="21"/>
                <w:highlight w:val="none"/>
                <w:lang w:val="en-US" w:eastAsia="zh-CN"/>
              </w:rPr>
              <w:t>采购</w:t>
            </w:r>
            <w:r>
              <w:rPr>
                <w:rFonts w:hint="eastAsia" w:ascii="宋体" w:hAnsi="宋体"/>
                <w:color w:val="auto"/>
                <w:szCs w:val="21"/>
                <w:highlight w:val="none"/>
                <w:lang w:eastAsia="zh-CN"/>
              </w:rPr>
              <w:t>人在投标人中标后发现存在上述处罚或未结案的立案调查事项，有权取消其中标资格）</w:t>
            </w:r>
            <w:r>
              <w:rPr>
                <w:rFonts w:hint="eastAsia" w:ascii="宋体" w:hAnsi="宋体" w:cs="宋体"/>
                <w:color w:val="auto"/>
                <w:szCs w:val="21"/>
              </w:rPr>
              <w:t>；</w:t>
            </w:r>
          </w:p>
        </w:tc>
      </w:tr>
      <w:tr w14:paraId="5BC6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Merge w:val="continue"/>
            <w:tcBorders>
              <w:left w:val="single" w:color="auto" w:sz="4" w:space="0"/>
              <w:right w:val="single" w:color="auto" w:sz="4" w:space="0"/>
              <w:tl2br w:val="nil"/>
              <w:tr2bl w:val="nil"/>
            </w:tcBorders>
            <w:vAlign w:val="center"/>
          </w:tcPr>
          <w:p w14:paraId="370278B6">
            <w:pPr>
              <w:numPr>
                <w:ilvl w:val="0"/>
                <w:numId w:val="0"/>
              </w:numPr>
              <w:tabs>
                <w:tab w:val="left" w:pos="176"/>
                <w:tab w:val="left" w:pos="612"/>
              </w:tabs>
              <w:adjustRightInd w:val="0"/>
              <w:snapToGrid w:val="0"/>
              <w:spacing w:line="360" w:lineRule="auto"/>
              <w:jc w:val="center"/>
              <w:rPr>
                <w:rFonts w:ascii="宋体" w:hAnsi="宋体" w:cs="宋体"/>
                <w:color w:val="auto"/>
                <w:szCs w:val="21"/>
              </w:rPr>
            </w:pPr>
          </w:p>
        </w:tc>
        <w:tc>
          <w:tcPr>
            <w:tcW w:w="4591" w:type="pct"/>
            <w:tcBorders>
              <w:top w:val="single" w:color="auto" w:sz="4" w:space="0"/>
              <w:left w:val="single" w:color="auto" w:sz="4" w:space="0"/>
              <w:bottom w:val="single" w:color="auto" w:sz="4" w:space="0"/>
              <w:right w:val="single" w:color="auto" w:sz="4" w:space="0"/>
              <w:tl2br w:val="nil"/>
              <w:tr2bl w:val="nil"/>
            </w:tcBorders>
            <w:vAlign w:val="center"/>
          </w:tcPr>
          <w:p w14:paraId="06124C86">
            <w:pPr>
              <w:textAlignment w:val="center"/>
              <w:rPr>
                <w:rFonts w:ascii="宋体" w:hAnsi="宋体" w:cs="宋体"/>
                <w:color w:val="auto"/>
                <w:szCs w:val="21"/>
                <w:lang w:bidi="ar"/>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rPr>
              <w:t>参加采购活动前三年内，</w:t>
            </w:r>
            <w:r>
              <w:rPr>
                <w:rFonts w:hint="eastAsia" w:ascii="宋体" w:hAnsi="宋体"/>
                <w:szCs w:val="21"/>
                <w:highlight w:val="none"/>
              </w:rPr>
              <w:t>在经营活动中没有重大违法记录（须提供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tc>
      </w:tr>
      <w:tr w14:paraId="1693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Merge w:val="continue"/>
            <w:tcBorders>
              <w:left w:val="single" w:color="auto" w:sz="4" w:space="0"/>
              <w:right w:val="single" w:color="auto" w:sz="4" w:space="0"/>
              <w:tl2br w:val="nil"/>
              <w:tr2bl w:val="nil"/>
            </w:tcBorders>
            <w:vAlign w:val="center"/>
          </w:tcPr>
          <w:p w14:paraId="79AB7D41">
            <w:pPr>
              <w:numPr>
                <w:ilvl w:val="0"/>
                <w:numId w:val="0"/>
              </w:numPr>
              <w:tabs>
                <w:tab w:val="left" w:pos="176"/>
                <w:tab w:val="left" w:pos="612"/>
              </w:tabs>
              <w:adjustRightInd w:val="0"/>
              <w:snapToGrid w:val="0"/>
              <w:spacing w:line="360" w:lineRule="auto"/>
              <w:jc w:val="center"/>
              <w:rPr>
                <w:rFonts w:ascii="宋体" w:hAnsi="宋体" w:cs="宋体"/>
                <w:color w:val="auto"/>
                <w:szCs w:val="21"/>
              </w:rPr>
            </w:pPr>
          </w:p>
        </w:tc>
        <w:tc>
          <w:tcPr>
            <w:tcW w:w="4591" w:type="pct"/>
            <w:tcBorders>
              <w:top w:val="single" w:color="auto" w:sz="4" w:space="0"/>
              <w:left w:val="single" w:color="auto" w:sz="4" w:space="0"/>
              <w:bottom w:val="single" w:color="auto" w:sz="4" w:space="0"/>
              <w:right w:val="single" w:color="auto" w:sz="4" w:space="0"/>
              <w:tl2br w:val="nil"/>
              <w:tr2bl w:val="nil"/>
            </w:tcBorders>
            <w:vAlign w:val="center"/>
          </w:tcPr>
          <w:p w14:paraId="053079B3">
            <w:pPr>
              <w:textAlignment w:val="center"/>
              <w:rPr>
                <w:rFonts w:ascii="宋体" w:hAnsi="宋体" w:cs="宋体"/>
                <w:color w:val="auto"/>
                <w:szCs w:val="21"/>
                <w:lang w:bidi="ar"/>
              </w:rPr>
            </w:pPr>
            <w:r>
              <w:rPr>
                <w:rFonts w:hint="eastAsia" w:ascii="宋体" w:hAnsi="宋体"/>
                <w:szCs w:val="21"/>
                <w:highlight w:val="none"/>
              </w:rPr>
              <w:t>（</w:t>
            </w:r>
            <w:r>
              <w:rPr>
                <w:rFonts w:hint="eastAsia" w:ascii="宋体" w:hAnsi="宋体"/>
                <w:szCs w:val="21"/>
                <w:highlight w:val="none"/>
                <w:lang w:val="en-US" w:eastAsia="zh-CN"/>
              </w:rPr>
              <w:t>6</w:t>
            </w:r>
            <w:r>
              <w:rPr>
                <w:rFonts w:hint="eastAsia" w:ascii="宋体" w:hAnsi="宋体"/>
                <w:szCs w:val="21"/>
                <w:highlight w:val="none"/>
              </w:rPr>
              <w:t>）未被列入“信用中国”网站(www.creditchina.gov.cn )“记录失信被执行人或</w:t>
            </w:r>
            <w:r>
              <w:rPr>
                <w:rFonts w:hint="eastAsia"/>
                <w:highlight w:val="none"/>
              </w:rPr>
              <w:t>重大税收违法失信主体</w:t>
            </w:r>
            <w:r>
              <w:rPr>
                <w:rFonts w:hint="eastAsia" w:ascii="宋体" w:hAnsi="宋体"/>
                <w:szCs w:val="21"/>
                <w:highlight w:val="none"/>
              </w:rPr>
              <w:t>或政府采购严重违法失信行为”记录名单。以代理机构于投标截止日当天在“信用中国”网站查询结果为准，如相关失信记录已失效，投标人需提供相关证明资料。</w:t>
            </w:r>
          </w:p>
        </w:tc>
      </w:tr>
      <w:tr w14:paraId="0C9BD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Merge w:val="continue"/>
            <w:tcBorders>
              <w:left w:val="single" w:color="auto" w:sz="4" w:space="0"/>
              <w:bottom w:val="single" w:color="auto" w:sz="4" w:space="0"/>
              <w:right w:val="single" w:color="auto" w:sz="4" w:space="0"/>
              <w:tl2br w:val="nil"/>
              <w:tr2bl w:val="nil"/>
            </w:tcBorders>
            <w:vAlign w:val="center"/>
          </w:tcPr>
          <w:p w14:paraId="445C8106">
            <w:pPr>
              <w:tabs>
                <w:tab w:val="left" w:pos="176"/>
                <w:tab w:val="left" w:pos="420"/>
                <w:tab w:val="left" w:pos="612"/>
              </w:tabs>
              <w:jc w:val="center"/>
              <w:rPr>
                <w:rFonts w:ascii="宋体" w:hAnsi="宋体" w:cs="宋体"/>
                <w:color w:val="auto"/>
                <w:szCs w:val="21"/>
              </w:rPr>
            </w:pPr>
          </w:p>
        </w:tc>
        <w:tc>
          <w:tcPr>
            <w:tcW w:w="4591" w:type="pct"/>
            <w:tcBorders>
              <w:top w:val="single" w:color="auto" w:sz="4" w:space="0"/>
              <w:left w:val="single" w:color="auto" w:sz="4" w:space="0"/>
              <w:bottom w:val="single" w:color="auto" w:sz="4" w:space="0"/>
              <w:right w:val="single" w:color="auto" w:sz="4" w:space="0"/>
              <w:tl2br w:val="nil"/>
              <w:tr2bl w:val="nil"/>
            </w:tcBorders>
            <w:vAlign w:val="center"/>
          </w:tcPr>
          <w:p w14:paraId="416535F1">
            <w:pPr>
              <w:textAlignment w:val="center"/>
              <w:rPr>
                <w:rFonts w:hint="eastAsia" w:ascii="宋体" w:hAnsi="宋体" w:cs="宋体"/>
                <w:color w:val="auto"/>
                <w:szCs w:val="21"/>
                <w:lang w:bidi="ar"/>
              </w:rPr>
            </w:pPr>
            <w:r>
              <w:rPr>
                <w:rFonts w:hint="eastAsia" w:ascii="宋体" w:hAnsi="宋体"/>
                <w:szCs w:val="21"/>
                <w:highlight w:val="none"/>
              </w:rPr>
              <w:t>（</w:t>
            </w:r>
            <w:r>
              <w:rPr>
                <w:rFonts w:hint="eastAsia" w:ascii="宋体" w:hAnsi="宋体"/>
                <w:szCs w:val="21"/>
                <w:highlight w:val="none"/>
                <w:lang w:val="en-US" w:eastAsia="zh-CN"/>
              </w:rPr>
              <w:t>7</w:t>
            </w:r>
            <w:r>
              <w:rPr>
                <w:rFonts w:hint="eastAsia" w:ascii="宋体" w:hAnsi="宋体"/>
                <w:szCs w:val="21"/>
                <w:highlight w:val="none"/>
              </w:rPr>
              <w:t>）未被列入东实集团及下属企业相关领域黑名单。【以</w:t>
            </w:r>
            <w:r>
              <w:rPr>
                <w:rFonts w:hint="eastAsia" w:hAnsi="宋体" w:cs="宋体"/>
                <w:kern w:val="2"/>
                <w:szCs w:val="21"/>
                <w:highlight w:val="none"/>
                <w:lang w:val="zh-CN"/>
              </w:rPr>
              <w:t>东莞实业投资控股集团有限公司</w:t>
            </w:r>
            <w:r>
              <w:rPr>
                <w:rFonts w:hint="eastAsia" w:ascii="宋体" w:hAnsi="宋体"/>
                <w:szCs w:val="21"/>
                <w:highlight w:val="none"/>
              </w:rPr>
              <w:t>发文（东实通〔2021〕44号）、（东实通〔2021〕98号）、</w:t>
            </w:r>
            <w:r>
              <w:rPr>
                <w:rFonts w:ascii="宋体" w:hAnsi="宋体"/>
                <w:szCs w:val="21"/>
                <w:highlight w:val="none"/>
              </w:rPr>
              <w:t>（东实通〔2022〕75号）</w:t>
            </w:r>
            <w:r>
              <w:rPr>
                <w:rFonts w:hint="eastAsia" w:ascii="宋体" w:hAnsi="宋体"/>
                <w:szCs w:val="21"/>
                <w:highlight w:val="none"/>
              </w:rPr>
              <w:t>、（东实通〔2023〕37号）为准，如有最新发文通知，按最新文件执行。】</w:t>
            </w:r>
          </w:p>
        </w:tc>
      </w:tr>
      <w:tr w14:paraId="7E91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tcBorders>
              <w:top w:val="single" w:color="auto" w:sz="4" w:space="0"/>
              <w:left w:val="single" w:color="auto" w:sz="4" w:space="0"/>
              <w:bottom w:val="single" w:color="auto" w:sz="4" w:space="0"/>
              <w:right w:val="single" w:color="auto" w:sz="4" w:space="0"/>
              <w:tl2br w:val="nil"/>
              <w:tr2bl w:val="nil"/>
            </w:tcBorders>
            <w:vAlign w:val="center"/>
          </w:tcPr>
          <w:p w14:paraId="09BC2AAB">
            <w:pPr>
              <w:numPr>
                <w:ilvl w:val="0"/>
                <w:numId w:val="6"/>
              </w:numPr>
              <w:tabs>
                <w:tab w:val="left" w:pos="176"/>
                <w:tab w:val="left" w:pos="612"/>
              </w:tabs>
              <w:jc w:val="center"/>
              <w:rPr>
                <w:rFonts w:ascii="宋体" w:hAnsi="宋体" w:cs="宋体"/>
                <w:color w:val="auto"/>
                <w:szCs w:val="21"/>
              </w:rPr>
            </w:pPr>
          </w:p>
        </w:tc>
        <w:tc>
          <w:tcPr>
            <w:tcW w:w="4591" w:type="pct"/>
            <w:tcBorders>
              <w:top w:val="single" w:color="auto" w:sz="4" w:space="0"/>
              <w:left w:val="single" w:color="auto" w:sz="4" w:space="0"/>
              <w:bottom w:val="single" w:color="auto" w:sz="4" w:space="0"/>
              <w:right w:val="single" w:color="auto" w:sz="4" w:space="0"/>
              <w:tl2br w:val="nil"/>
              <w:tr2bl w:val="nil"/>
            </w:tcBorders>
            <w:vAlign w:val="center"/>
          </w:tcPr>
          <w:p w14:paraId="3BDB25EF">
            <w:pPr>
              <w:textAlignment w:val="center"/>
              <w:rPr>
                <w:rFonts w:ascii="宋体" w:hAnsi="宋体" w:cs="宋体"/>
                <w:color w:val="auto"/>
                <w:szCs w:val="21"/>
              </w:rPr>
            </w:pPr>
            <w:r>
              <w:rPr>
                <w:rFonts w:hint="eastAsia" w:ascii="宋体" w:hAnsi="宋体" w:cs="宋体"/>
                <w:color w:val="auto"/>
                <w:szCs w:val="21"/>
                <w:lang w:bidi="ar"/>
              </w:rPr>
              <w:t>投标人按照采购文件要求提交投标保证金；</w:t>
            </w:r>
          </w:p>
        </w:tc>
      </w:tr>
      <w:tr w14:paraId="088D6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tcBorders>
              <w:top w:val="single" w:color="auto" w:sz="4" w:space="0"/>
              <w:left w:val="single" w:color="auto" w:sz="4" w:space="0"/>
              <w:bottom w:val="single" w:color="auto" w:sz="4" w:space="0"/>
              <w:right w:val="single" w:color="auto" w:sz="4" w:space="0"/>
              <w:tl2br w:val="nil"/>
              <w:tr2bl w:val="nil"/>
            </w:tcBorders>
            <w:vAlign w:val="center"/>
          </w:tcPr>
          <w:p w14:paraId="462793FE">
            <w:pPr>
              <w:numPr>
                <w:ilvl w:val="0"/>
                <w:numId w:val="6"/>
              </w:numPr>
              <w:tabs>
                <w:tab w:val="left" w:pos="176"/>
                <w:tab w:val="left" w:pos="612"/>
              </w:tabs>
              <w:jc w:val="center"/>
              <w:rPr>
                <w:rFonts w:ascii="宋体" w:hAnsi="宋体" w:cs="宋体"/>
                <w:color w:val="auto"/>
                <w:szCs w:val="21"/>
              </w:rPr>
            </w:pPr>
          </w:p>
        </w:tc>
        <w:tc>
          <w:tcPr>
            <w:tcW w:w="4591" w:type="pct"/>
            <w:tcBorders>
              <w:top w:val="single" w:color="auto" w:sz="4" w:space="0"/>
              <w:left w:val="single" w:color="auto" w:sz="4" w:space="0"/>
              <w:bottom w:val="single" w:color="auto" w:sz="4" w:space="0"/>
              <w:right w:val="single" w:color="auto" w:sz="4" w:space="0"/>
              <w:tl2br w:val="nil"/>
              <w:tr2bl w:val="nil"/>
            </w:tcBorders>
            <w:vAlign w:val="center"/>
          </w:tcPr>
          <w:p w14:paraId="0A9898B8">
            <w:pPr>
              <w:textAlignment w:val="center"/>
              <w:rPr>
                <w:rFonts w:ascii="宋体" w:hAnsi="宋体" w:cs="宋体"/>
                <w:color w:val="auto"/>
                <w:szCs w:val="21"/>
              </w:rPr>
            </w:pPr>
            <w:r>
              <w:rPr>
                <w:rFonts w:hint="eastAsia" w:ascii="宋体" w:hAnsi="宋体" w:cs="宋体"/>
                <w:color w:val="auto"/>
                <w:szCs w:val="21"/>
                <w:lang w:bidi="ar"/>
              </w:rPr>
              <w:t>投标文件按照采购文件要求签署盖章；</w:t>
            </w:r>
          </w:p>
        </w:tc>
      </w:tr>
      <w:tr w14:paraId="23A48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tcBorders>
              <w:top w:val="single" w:color="auto" w:sz="4" w:space="0"/>
              <w:left w:val="single" w:color="auto" w:sz="4" w:space="0"/>
              <w:bottom w:val="single" w:color="auto" w:sz="4" w:space="0"/>
              <w:right w:val="single" w:color="auto" w:sz="4" w:space="0"/>
              <w:tl2br w:val="nil"/>
              <w:tr2bl w:val="nil"/>
            </w:tcBorders>
            <w:vAlign w:val="center"/>
          </w:tcPr>
          <w:p w14:paraId="6A4F7099">
            <w:pPr>
              <w:tabs>
                <w:tab w:val="left" w:pos="176"/>
                <w:tab w:val="left" w:pos="612"/>
              </w:tabs>
              <w:ind w:firstLine="210" w:firstLineChars="100"/>
              <w:jc w:val="both"/>
              <w:rPr>
                <w:rFonts w:hint="eastAsia" w:ascii="宋体" w:hAnsi="宋体" w:eastAsia="宋体" w:cs="宋体"/>
                <w:color w:val="auto"/>
                <w:szCs w:val="21"/>
                <w:lang w:eastAsia="zh-CN"/>
              </w:rPr>
            </w:pPr>
            <w:r>
              <w:rPr>
                <w:rFonts w:hint="eastAsia" w:ascii="宋体" w:hAnsi="宋体" w:cs="宋体"/>
                <w:color w:val="auto"/>
                <w:szCs w:val="21"/>
                <w:lang w:val="en-US" w:eastAsia="zh-CN"/>
              </w:rPr>
              <w:t>4</w:t>
            </w:r>
          </w:p>
        </w:tc>
        <w:tc>
          <w:tcPr>
            <w:tcW w:w="4591" w:type="pct"/>
            <w:tcBorders>
              <w:top w:val="single" w:color="auto" w:sz="4" w:space="0"/>
              <w:left w:val="single" w:color="auto" w:sz="4" w:space="0"/>
              <w:bottom w:val="single" w:color="auto" w:sz="4" w:space="0"/>
              <w:right w:val="single" w:color="auto" w:sz="4" w:space="0"/>
              <w:tl2br w:val="nil"/>
              <w:tr2bl w:val="nil"/>
            </w:tcBorders>
            <w:vAlign w:val="center"/>
          </w:tcPr>
          <w:p w14:paraId="2EAE92A5">
            <w:pPr>
              <w:textAlignment w:val="center"/>
              <w:rPr>
                <w:rFonts w:ascii="宋体" w:hAnsi="宋体" w:cs="宋体"/>
                <w:color w:val="auto"/>
                <w:szCs w:val="21"/>
                <w:lang w:bidi="ar"/>
              </w:rPr>
            </w:pPr>
            <w:r>
              <w:rPr>
                <w:rFonts w:hint="eastAsia" w:ascii="宋体" w:hAnsi="宋体" w:cs="宋体"/>
                <w:color w:val="auto"/>
                <w:szCs w:val="21"/>
                <w:lang w:bidi="ar"/>
              </w:rPr>
              <w:t>投标总价未超出采购预算或最高限价；</w:t>
            </w:r>
          </w:p>
        </w:tc>
      </w:tr>
      <w:tr w14:paraId="0D7B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tcBorders>
              <w:top w:val="single" w:color="auto" w:sz="4" w:space="0"/>
              <w:left w:val="single" w:color="auto" w:sz="4" w:space="0"/>
              <w:bottom w:val="single" w:color="auto" w:sz="4" w:space="0"/>
              <w:right w:val="single" w:color="auto" w:sz="4" w:space="0"/>
              <w:tl2br w:val="nil"/>
              <w:tr2bl w:val="nil"/>
            </w:tcBorders>
            <w:vAlign w:val="center"/>
          </w:tcPr>
          <w:p w14:paraId="477A6EAD">
            <w:pPr>
              <w:tabs>
                <w:tab w:val="left" w:pos="176"/>
                <w:tab w:val="left" w:pos="612"/>
              </w:tabs>
              <w:ind w:firstLine="210" w:firstLineChars="100"/>
              <w:jc w:val="both"/>
              <w:rPr>
                <w:rFonts w:hint="eastAsia" w:ascii="宋体" w:hAnsi="宋体" w:eastAsia="宋体" w:cs="宋体"/>
                <w:color w:val="auto"/>
                <w:szCs w:val="21"/>
                <w:lang w:eastAsia="zh-CN"/>
              </w:rPr>
            </w:pPr>
            <w:r>
              <w:rPr>
                <w:rFonts w:hint="eastAsia" w:ascii="宋体" w:hAnsi="宋体" w:cs="宋体"/>
                <w:color w:val="auto"/>
                <w:szCs w:val="21"/>
                <w:lang w:val="en-US" w:eastAsia="zh-CN"/>
              </w:rPr>
              <w:t>5</w:t>
            </w:r>
          </w:p>
        </w:tc>
        <w:tc>
          <w:tcPr>
            <w:tcW w:w="4591" w:type="pct"/>
            <w:tcBorders>
              <w:top w:val="single" w:color="auto" w:sz="4" w:space="0"/>
              <w:left w:val="single" w:color="auto" w:sz="4" w:space="0"/>
              <w:bottom w:val="single" w:color="auto" w:sz="4" w:space="0"/>
              <w:right w:val="single" w:color="auto" w:sz="4" w:space="0"/>
              <w:tl2br w:val="nil"/>
              <w:tr2bl w:val="nil"/>
            </w:tcBorders>
            <w:vAlign w:val="center"/>
          </w:tcPr>
          <w:p w14:paraId="39B466B0">
            <w:pPr>
              <w:textAlignment w:val="center"/>
              <w:rPr>
                <w:rFonts w:ascii="宋体" w:hAnsi="宋体" w:cs="宋体"/>
                <w:color w:val="auto"/>
                <w:szCs w:val="21"/>
              </w:rPr>
            </w:pPr>
            <w:r>
              <w:rPr>
                <w:rFonts w:hint="eastAsia" w:ascii="宋体" w:hAnsi="宋体" w:cs="宋体"/>
                <w:color w:val="auto"/>
                <w:szCs w:val="21"/>
                <w:lang w:bidi="ar"/>
              </w:rPr>
              <w:t>投标文件未含有采购人不能接受的附加条件；</w:t>
            </w:r>
          </w:p>
        </w:tc>
      </w:tr>
      <w:tr w14:paraId="0CF4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tcBorders>
              <w:top w:val="single" w:color="auto" w:sz="4" w:space="0"/>
              <w:left w:val="single" w:color="auto" w:sz="4" w:space="0"/>
              <w:bottom w:val="single" w:color="auto" w:sz="4" w:space="0"/>
              <w:right w:val="single" w:color="auto" w:sz="4" w:space="0"/>
              <w:tl2br w:val="nil"/>
              <w:tr2bl w:val="nil"/>
            </w:tcBorders>
            <w:vAlign w:val="center"/>
          </w:tcPr>
          <w:p w14:paraId="003279FF">
            <w:pPr>
              <w:tabs>
                <w:tab w:val="left" w:pos="176"/>
                <w:tab w:val="left" w:pos="612"/>
              </w:tabs>
              <w:ind w:firstLine="210" w:firstLineChars="100"/>
              <w:jc w:val="both"/>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4591" w:type="pct"/>
            <w:tcBorders>
              <w:top w:val="single" w:color="auto" w:sz="4" w:space="0"/>
              <w:left w:val="single" w:color="auto" w:sz="4" w:space="0"/>
              <w:bottom w:val="single" w:color="auto" w:sz="4" w:space="0"/>
              <w:right w:val="single" w:color="auto" w:sz="4" w:space="0"/>
              <w:tl2br w:val="nil"/>
              <w:tr2bl w:val="nil"/>
            </w:tcBorders>
            <w:vAlign w:val="center"/>
          </w:tcPr>
          <w:p w14:paraId="3CE123E1">
            <w:pPr>
              <w:textAlignment w:val="center"/>
              <w:rPr>
                <w:rFonts w:ascii="宋体" w:hAnsi="宋体" w:cs="宋体"/>
                <w:color w:val="auto"/>
                <w:szCs w:val="21"/>
                <w:lang w:bidi="ar"/>
              </w:rPr>
            </w:pPr>
            <w:r>
              <w:rPr>
                <w:rFonts w:hint="eastAsia" w:ascii="宋体" w:hAnsi="宋体" w:cs="宋体"/>
                <w:color w:val="auto"/>
                <w:szCs w:val="21"/>
                <w:lang w:bidi="ar"/>
              </w:rPr>
              <w:t>无负偏离标注“★”符号的条款。</w:t>
            </w:r>
          </w:p>
        </w:tc>
      </w:tr>
      <w:tr w14:paraId="2938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tcBorders>
              <w:top w:val="single" w:color="auto" w:sz="4" w:space="0"/>
              <w:left w:val="single" w:color="auto" w:sz="4" w:space="0"/>
              <w:bottom w:val="single" w:color="auto" w:sz="4" w:space="0"/>
              <w:right w:val="single" w:color="auto" w:sz="4" w:space="0"/>
              <w:tl2br w:val="nil"/>
              <w:tr2bl w:val="nil"/>
            </w:tcBorders>
            <w:vAlign w:val="center"/>
          </w:tcPr>
          <w:p w14:paraId="718B98EE">
            <w:pPr>
              <w:tabs>
                <w:tab w:val="left" w:pos="176"/>
                <w:tab w:val="left" w:pos="612"/>
              </w:tabs>
              <w:ind w:firstLine="210" w:firstLineChars="100"/>
              <w:jc w:val="both"/>
              <w:rPr>
                <w:rFonts w:hint="eastAsia" w:ascii="宋体" w:hAnsi="宋体" w:eastAsia="宋体" w:cs="宋体"/>
                <w:color w:val="auto"/>
                <w:szCs w:val="21"/>
                <w:lang w:val="en-US" w:eastAsia="zh-CN"/>
              </w:rPr>
            </w:pPr>
            <w:r>
              <w:rPr>
                <w:rFonts w:hint="eastAsia" w:ascii="宋体" w:hAnsi="宋体" w:cs="宋体"/>
                <w:color w:val="auto"/>
                <w:szCs w:val="21"/>
                <w:lang w:val="en-US" w:eastAsia="zh-CN"/>
              </w:rPr>
              <w:t>7</w:t>
            </w:r>
          </w:p>
        </w:tc>
        <w:tc>
          <w:tcPr>
            <w:tcW w:w="4591" w:type="pct"/>
            <w:tcBorders>
              <w:top w:val="single" w:color="auto" w:sz="4" w:space="0"/>
              <w:left w:val="single" w:color="auto" w:sz="4" w:space="0"/>
              <w:bottom w:val="single" w:color="auto" w:sz="4" w:space="0"/>
              <w:right w:val="single" w:color="auto" w:sz="4" w:space="0"/>
              <w:tl2br w:val="nil"/>
              <w:tr2bl w:val="nil"/>
            </w:tcBorders>
            <w:vAlign w:val="center"/>
          </w:tcPr>
          <w:p w14:paraId="3B86B82C">
            <w:pPr>
              <w:textAlignment w:val="center"/>
              <w:rPr>
                <w:rFonts w:hint="eastAsia" w:ascii="宋体" w:hAnsi="宋体" w:cs="宋体"/>
                <w:color w:val="auto"/>
                <w:szCs w:val="21"/>
              </w:rPr>
            </w:pPr>
            <w:r>
              <w:rPr>
                <w:rFonts w:hint="eastAsia" w:ascii="宋体" w:hAnsi="宋体" w:cs="宋体"/>
                <w:color w:val="auto"/>
                <w:szCs w:val="21"/>
              </w:rPr>
              <w:t>未出现</w:t>
            </w:r>
            <w:r>
              <w:rPr>
                <w:rFonts w:hint="eastAsia" w:ascii="宋体" w:hAnsi="宋体" w:cs="宋体"/>
                <w:color w:val="auto"/>
                <w:szCs w:val="21"/>
                <w:lang w:bidi="ar"/>
              </w:rPr>
              <w:t>法律、法规和</w:t>
            </w:r>
            <w:r>
              <w:rPr>
                <w:rFonts w:hint="eastAsia" w:ascii="宋体" w:hAnsi="宋体" w:cs="宋体"/>
                <w:color w:val="auto"/>
                <w:szCs w:val="21"/>
                <w:lang w:val="en-US" w:eastAsia="zh-CN" w:bidi="ar"/>
              </w:rPr>
              <w:t>采购</w:t>
            </w:r>
            <w:r>
              <w:rPr>
                <w:rFonts w:hint="eastAsia" w:ascii="宋体" w:hAnsi="宋体" w:cs="宋体"/>
                <w:color w:val="auto"/>
                <w:szCs w:val="21"/>
                <w:lang w:bidi="ar"/>
              </w:rPr>
              <w:t>文件规定的其他无效情形。</w:t>
            </w:r>
          </w:p>
        </w:tc>
      </w:tr>
    </w:tbl>
    <w:p w14:paraId="344B1F0C">
      <w:pPr>
        <w:widowControl w:val="0"/>
        <w:overflowPunct w:val="0"/>
        <w:ind w:firstLine="420" w:firstLineChars="200"/>
        <w:rPr>
          <w:rFonts w:ascii="宋体" w:hAnsi="宋体"/>
          <w:color w:val="auto"/>
          <w:szCs w:val="21"/>
        </w:rPr>
      </w:pPr>
      <w:r>
        <w:rPr>
          <w:rFonts w:hint="eastAsia" w:ascii="宋体" w:hAnsi="宋体"/>
          <w:color w:val="auto"/>
          <w:szCs w:val="21"/>
        </w:rPr>
        <w:t>以上资格性、符合性审查中带有不合格分项的投标文件，将作无效标处理。经评标委员会确认的无效投标文件，采购人和采购代理机构将予以拒绝，并且不允许通过修正或撤消其不符合要求的差异，使之成为具有符合性的投标文件。经评标委员会资格性、符合性审查确认具有有效投标文件的投标人不足三家时将重新组织采购</w:t>
      </w:r>
    </w:p>
    <w:p w14:paraId="0EECB10A">
      <w:pPr>
        <w:widowControl w:val="0"/>
        <w:numPr>
          <w:ilvl w:val="1"/>
          <w:numId w:val="2"/>
        </w:numPr>
        <w:overflowPunct w:val="0"/>
        <w:rPr>
          <w:rFonts w:ascii="宋体" w:hAnsi="宋体" w:cs="宋体"/>
          <w:b/>
          <w:bCs/>
          <w:color w:val="auto"/>
          <w:szCs w:val="21"/>
        </w:rPr>
      </w:pPr>
      <w:r>
        <w:rPr>
          <w:rFonts w:hint="eastAsia" w:ascii="宋体" w:hAnsi="宋体" w:cs="宋体"/>
          <w:b/>
          <w:bCs/>
          <w:color w:val="auto"/>
          <w:szCs w:val="21"/>
        </w:rPr>
        <w:t>投标文件报价出现前后不一致的，评标委员会按照下列规定修正：</w:t>
      </w:r>
    </w:p>
    <w:p w14:paraId="07ABA6F5">
      <w:pPr>
        <w:widowControl w:val="0"/>
        <w:numPr>
          <w:ilvl w:val="0"/>
          <w:numId w:val="7"/>
        </w:numPr>
        <w:overflowPunct w:val="0"/>
        <w:rPr>
          <w:rFonts w:ascii="宋体" w:hAnsi="宋体" w:cs="宋体"/>
          <w:color w:val="auto"/>
          <w:szCs w:val="21"/>
        </w:rPr>
      </w:pPr>
      <w:r>
        <w:rPr>
          <w:rFonts w:hint="eastAsia" w:ascii="宋体" w:hAnsi="宋体" w:cs="宋体"/>
          <w:color w:val="auto"/>
          <w:szCs w:val="21"/>
        </w:rPr>
        <w:t>投标文件中开标一览表（报价表）内容与投标文件中相应内容不一致的，以开标一览表（报价表）为准；</w:t>
      </w:r>
    </w:p>
    <w:p w14:paraId="1E054626">
      <w:pPr>
        <w:widowControl w:val="0"/>
        <w:numPr>
          <w:ilvl w:val="0"/>
          <w:numId w:val="7"/>
        </w:numPr>
        <w:overflowPunct w:val="0"/>
        <w:rPr>
          <w:rFonts w:ascii="宋体" w:hAnsi="宋体" w:cs="宋体"/>
          <w:color w:val="auto"/>
          <w:szCs w:val="21"/>
        </w:rPr>
      </w:pPr>
      <w:r>
        <w:rPr>
          <w:rFonts w:hint="eastAsia" w:ascii="宋体" w:hAnsi="宋体" w:cs="宋体"/>
          <w:color w:val="auto"/>
          <w:szCs w:val="21"/>
        </w:rPr>
        <w:t>大写金额和小写金额不一致的，以大写金额为准；</w:t>
      </w:r>
    </w:p>
    <w:p w14:paraId="5ED70E92">
      <w:pPr>
        <w:widowControl w:val="0"/>
        <w:numPr>
          <w:ilvl w:val="0"/>
          <w:numId w:val="7"/>
        </w:numPr>
        <w:overflowPunct w:val="0"/>
        <w:rPr>
          <w:rFonts w:ascii="宋体" w:hAnsi="宋体" w:cs="宋体"/>
          <w:color w:val="auto"/>
          <w:szCs w:val="21"/>
        </w:rPr>
      </w:pPr>
      <w:r>
        <w:rPr>
          <w:rFonts w:hint="eastAsia" w:ascii="宋体" w:hAnsi="宋体" w:cs="宋体"/>
          <w:color w:val="auto"/>
          <w:szCs w:val="21"/>
        </w:rPr>
        <w:t>单价金额小数点或者百分比有明显错位的，以开标一览表的总价为准，并修改单价；</w:t>
      </w:r>
    </w:p>
    <w:p w14:paraId="6B06382D">
      <w:pPr>
        <w:widowControl w:val="0"/>
        <w:numPr>
          <w:ilvl w:val="0"/>
          <w:numId w:val="7"/>
        </w:numPr>
        <w:overflowPunct w:val="0"/>
        <w:rPr>
          <w:rFonts w:ascii="宋体" w:hAnsi="宋体" w:cs="宋体"/>
          <w:color w:val="auto"/>
          <w:szCs w:val="21"/>
        </w:rPr>
      </w:pPr>
      <w:r>
        <w:rPr>
          <w:rFonts w:hint="eastAsia" w:ascii="宋体" w:hAnsi="宋体" w:cs="宋体"/>
          <w:color w:val="auto"/>
          <w:szCs w:val="21"/>
        </w:rPr>
        <w:t>总价金额与按单价汇总金额不一致的，以单价金额计算结果为准。</w:t>
      </w:r>
    </w:p>
    <w:p w14:paraId="102CC127">
      <w:pPr>
        <w:widowControl w:val="0"/>
        <w:numPr>
          <w:ilvl w:val="0"/>
          <w:numId w:val="7"/>
        </w:numPr>
        <w:overflowPunct w:val="0"/>
        <w:rPr>
          <w:rFonts w:ascii="宋体" w:hAnsi="宋体" w:cs="宋体"/>
          <w:color w:val="auto"/>
          <w:szCs w:val="21"/>
        </w:rPr>
      </w:pPr>
      <w:r>
        <w:rPr>
          <w:rFonts w:hint="eastAsia" w:ascii="宋体" w:hAnsi="宋体" w:cs="宋体"/>
          <w:color w:val="auto"/>
          <w:szCs w:val="21"/>
        </w:rPr>
        <w:t>同时出现两种以上不一致的，按照前款规定的顺序修正。修正后的报价按照经投标人确认后产生约束力，投标人不确认的，其投标无效。</w:t>
      </w:r>
    </w:p>
    <w:p w14:paraId="185783A5">
      <w:pPr>
        <w:widowControl w:val="0"/>
        <w:overflowPunct w:val="0"/>
        <w:ind w:left="630" w:hanging="630" w:hangingChars="300"/>
        <w:rPr>
          <w:rFonts w:ascii="宋体" w:hAnsi="宋体" w:cs="宋体"/>
          <w:color w:val="auto"/>
          <w:szCs w:val="21"/>
        </w:rPr>
      </w:pPr>
      <w:r>
        <w:rPr>
          <w:rFonts w:hint="eastAsia" w:ascii="宋体" w:hAnsi="宋体" w:cs="宋体"/>
          <w:color w:val="auto"/>
          <w:szCs w:val="21"/>
        </w:rPr>
        <w:t>26.3  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14:paraId="40EAB5EC">
      <w:pPr>
        <w:widowControl w:val="0"/>
        <w:overflowPunct w:val="0"/>
        <w:ind w:left="630" w:hanging="630" w:hangingChars="300"/>
        <w:rPr>
          <w:rFonts w:ascii="宋体" w:hAnsi="宋体" w:cs="宋体"/>
          <w:color w:val="auto"/>
          <w:szCs w:val="21"/>
        </w:rPr>
      </w:pPr>
      <w:r>
        <w:rPr>
          <w:rFonts w:hint="eastAsia" w:ascii="宋体" w:hAnsi="宋体" w:cs="宋体"/>
          <w:color w:val="auto"/>
          <w:szCs w:val="21"/>
        </w:rPr>
        <w:t>26.4  对于投标文件中不构成实质性偏差的不正规、不一致或不规则，评标委员会可以接受，但这种接受不能损害或影响任何投标人的相对排序。</w:t>
      </w:r>
    </w:p>
    <w:p w14:paraId="69453EF6">
      <w:pPr>
        <w:widowControl w:val="0"/>
        <w:overflowPunct w:val="0"/>
        <w:ind w:left="630" w:hanging="630" w:hangingChars="300"/>
        <w:rPr>
          <w:rFonts w:ascii="宋体" w:hAnsi="宋体" w:cs="宋体"/>
          <w:color w:val="auto"/>
          <w:szCs w:val="21"/>
        </w:rPr>
      </w:pPr>
      <w:r>
        <w:rPr>
          <w:rFonts w:hint="eastAsia" w:ascii="宋体" w:hAnsi="宋体" w:cs="宋体"/>
          <w:color w:val="auto"/>
          <w:szCs w:val="21"/>
        </w:rPr>
        <w:t>26.5  在详细评标之前，评标委员会要审查每份投标文件是否实质上响应了采购文件的要求。实质上响应的投标应该是与采购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14:paraId="1B2F463E">
      <w:pPr>
        <w:pStyle w:val="9"/>
        <w:rPr>
          <w:color w:val="auto"/>
        </w:rPr>
      </w:pPr>
    </w:p>
    <w:p w14:paraId="71BF66F7">
      <w:pPr>
        <w:pStyle w:val="5"/>
        <w:widowControl w:val="0"/>
        <w:numPr>
          <w:ilvl w:val="0"/>
          <w:numId w:val="2"/>
        </w:numPr>
        <w:overflowPunct w:val="0"/>
        <w:rPr>
          <w:rFonts w:ascii="宋体" w:hAnsi="宋体" w:cs="宋体"/>
          <w:color w:val="auto"/>
          <w:sz w:val="21"/>
          <w:szCs w:val="21"/>
        </w:rPr>
      </w:pPr>
      <w:bookmarkStart w:id="94" w:name="_Toc3807"/>
      <w:bookmarkStart w:id="95" w:name="_Toc4799"/>
      <w:r>
        <w:rPr>
          <w:rFonts w:hint="eastAsia" w:ascii="宋体" w:hAnsi="宋体" w:cs="宋体"/>
          <w:color w:val="auto"/>
          <w:sz w:val="21"/>
          <w:szCs w:val="21"/>
        </w:rPr>
        <w:t>商务、技术评审（具体评审项目详见投标资料表）</w:t>
      </w:r>
      <w:bookmarkEnd w:id="94"/>
      <w:bookmarkEnd w:id="95"/>
    </w:p>
    <w:p w14:paraId="0C0FB43A">
      <w:pPr>
        <w:pStyle w:val="42"/>
        <w:widowControl w:val="0"/>
        <w:numPr>
          <w:ilvl w:val="0"/>
          <w:numId w:val="3"/>
        </w:numPr>
        <w:tabs>
          <w:tab w:val="left" w:pos="907"/>
        </w:tabs>
        <w:adjustRightInd/>
        <w:snapToGrid/>
        <w:ind w:firstLineChars="0"/>
        <w:jc w:val="both"/>
        <w:rPr>
          <w:rFonts w:ascii="宋体" w:hAnsi="宋体" w:cs="宋体"/>
          <w:vanish/>
          <w:color w:val="auto"/>
          <w:szCs w:val="21"/>
        </w:rPr>
      </w:pPr>
    </w:p>
    <w:p w14:paraId="38E3149E">
      <w:pPr>
        <w:widowControl w:val="0"/>
        <w:numPr>
          <w:ilvl w:val="1"/>
          <w:numId w:val="2"/>
        </w:numPr>
        <w:overflowPunct w:val="0"/>
        <w:rPr>
          <w:rFonts w:ascii="宋体" w:hAnsi="宋体" w:cs="宋体"/>
          <w:color w:val="auto"/>
          <w:szCs w:val="21"/>
        </w:rPr>
      </w:pPr>
      <w:r>
        <w:rPr>
          <w:rFonts w:hint="eastAsia" w:ascii="宋体" w:hAnsi="宋体" w:cs="宋体"/>
          <w:color w:val="auto"/>
          <w:szCs w:val="21"/>
        </w:rPr>
        <w:t xml:space="preserve">对通过资格性、符合性审查的有效供应商方有资格进入综合评审。采购文件中要求投标人提供的相关资质证书证明材料因国家政策变动导致新旧证书名称不一致，旧证书未取消且新旧证书具有同等效力的，投标人提供新证书与提供在有效期内的旧证书给予同等认可。 </w:t>
      </w:r>
    </w:p>
    <w:p w14:paraId="62DB10CD">
      <w:pPr>
        <w:widowControl w:val="0"/>
        <w:numPr>
          <w:ilvl w:val="1"/>
          <w:numId w:val="2"/>
        </w:numPr>
        <w:overflowPunct w:val="0"/>
        <w:rPr>
          <w:rFonts w:ascii="宋体" w:hAnsi="宋体" w:cs="宋体"/>
          <w:color w:val="auto"/>
          <w:szCs w:val="21"/>
        </w:rPr>
      </w:pPr>
      <w:r>
        <w:rPr>
          <w:rFonts w:hint="eastAsia" w:ascii="宋体" w:hAnsi="宋体" w:cs="宋体"/>
          <w:color w:val="auto"/>
          <w:szCs w:val="21"/>
        </w:rPr>
        <w:t>评标委员会对通过资格性、符合性审查的投标文件进行详细评审。评标委员会对每一投标文件进行详细的商务评审、技术评审。按照评审程序的规定和依据评分标准，各位评委就每个投标人的技术、商务状况及其对采购文件要求的响应情况进行评议和比较，评出其技术评分和商务评分。根据采购文件规定评出得分，将价格得分、商务得分、技术得分相加得出最终评标得分。</w:t>
      </w:r>
    </w:p>
    <w:p w14:paraId="789DFF6E">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rPr>
        <w:t>采用综合评</w:t>
      </w:r>
      <w:r>
        <w:rPr>
          <w:rFonts w:hint="eastAsia" w:ascii="宋体" w:hAnsi="宋体" w:cs="宋体"/>
          <w:color w:val="auto"/>
          <w:szCs w:val="21"/>
          <w:highlight w:val="none"/>
        </w:rPr>
        <w:t>分法的，评标结果按评审后得分由高到低顺序排列。综合得分相同的，按价格评分由高到低顺序排列。综合</w:t>
      </w:r>
      <w:r>
        <w:rPr>
          <w:rFonts w:hint="eastAsia" w:ascii="宋体" w:hAnsi="宋体"/>
          <w:color w:val="auto"/>
          <w:szCs w:val="21"/>
          <w:highlight w:val="none"/>
        </w:rPr>
        <w:t>得分相同且价格评分相同的，按商务评分由高到低顺序排列，得分高的排前，得分低的排后；按上述环节依然存在同分情形而不能确认排名顺序时，由评标委员会进行投票，得票多的排名在先。当第一轮投票结果为投标人得票数相同时，再次进行投票，如此类推，直到能确定排序次序为止</w:t>
      </w:r>
      <w:r>
        <w:rPr>
          <w:rFonts w:hint="eastAsia" w:ascii="宋体" w:hAnsi="宋体" w:cs="宋体"/>
          <w:color w:val="auto"/>
          <w:szCs w:val="21"/>
          <w:highlight w:val="none"/>
        </w:rPr>
        <w:t>。</w:t>
      </w:r>
    </w:p>
    <w:p w14:paraId="4C64E7BD">
      <w:pPr>
        <w:widowControl w:val="0"/>
        <w:tabs>
          <w:tab w:val="left" w:pos="907"/>
        </w:tabs>
        <w:adjustRightInd/>
        <w:snapToGrid/>
        <w:ind w:left="567"/>
        <w:jc w:val="both"/>
        <w:rPr>
          <w:rFonts w:ascii="宋体" w:hAnsi="宋体" w:cs="宋体"/>
          <w:color w:val="auto"/>
          <w:szCs w:val="21"/>
          <w:highlight w:val="none"/>
        </w:rPr>
      </w:pPr>
    </w:p>
    <w:p w14:paraId="6744F3CC">
      <w:pPr>
        <w:pStyle w:val="5"/>
        <w:widowControl w:val="0"/>
        <w:numPr>
          <w:ilvl w:val="0"/>
          <w:numId w:val="2"/>
        </w:numPr>
        <w:overflowPunct w:val="0"/>
        <w:rPr>
          <w:rFonts w:ascii="宋体" w:hAnsi="宋体" w:cs="宋体"/>
          <w:color w:val="auto"/>
          <w:sz w:val="21"/>
          <w:szCs w:val="21"/>
          <w:highlight w:val="none"/>
        </w:rPr>
      </w:pPr>
      <w:bookmarkStart w:id="96" w:name="_Toc316375620"/>
      <w:bookmarkStart w:id="97" w:name="_Toc20328"/>
      <w:bookmarkStart w:id="98" w:name="_Toc5988"/>
      <w:bookmarkStart w:id="99" w:name="_Toc382049120"/>
      <w:bookmarkStart w:id="100" w:name="_Toc21663"/>
      <w:r>
        <w:rPr>
          <w:rFonts w:hint="eastAsia" w:ascii="宋体" w:hAnsi="宋体" w:cs="宋体"/>
          <w:color w:val="auto"/>
          <w:sz w:val="21"/>
          <w:szCs w:val="21"/>
          <w:highlight w:val="none"/>
        </w:rPr>
        <w:t>纪律和保密</w:t>
      </w:r>
      <w:bookmarkEnd w:id="96"/>
      <w:r>
        <w:rPr>
          <w:rFonts w:hint="eastAsia" w:ascii="宋体" w:hAnsi="宋体" w:cs="宋体"/>
          <w:color w:val="auto"/>
          <w:sz w:val="21"/>
          <w:szCs w:val="21"/>
          <w:highlight w:val="none"/>
        </w:rPr>
        <w:t>事项</w:t>
      </w:r>
      <w:bookmarkEnd w:id="97"/>
      <w:bookmarkEnd w:id="98"/>
      <w:bookmarkEnd w:id="99"/>
      <w:bookmarkEnd w:id="100"/>
    </w:p>
    <w:p w14:paraId="07AFFA1C">
      <w:pPr>
        <w:pStyle w:val="42"/>
        <w:widowControl w:val="0"/>
        <w:numPr>
          <w:ilvl w:val="0"/>
          <w:numId w:val="3"/>
        </w:numPr>
        <w:tabs>
          <w:tab w:val="left" w:pos="907"/>
        </w:tabs>
        <w:adjustRightInd/>
        <w:snapToGrid/>
        <w:ind w:firstLineChars="0"/>
        <w:jc w:val="both"/>
        <w:rPr>
          <w:rFonts w:ascii="宋体" w:hAnsi="宋体" w:cs="宋体"/>
          <w:vanish/>
          <w:color w:val="auto"/>
          <w:szCs w:val="21"/>
          <w:highlight w:val="none"/>
        </w:rPr>
      </w:pPr>
    </w:p>
    <w:p w14:paraId="77D79BF0">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14:paraId="5A47E308">
      <w:pPr>
        <w:widowControl w:val="0"/>
        <w:numPr>
          <w:ilvl w:val="1"/>
          <w:numId w:val="2"/>
        </w:numPr>
        <w:overflowPunct w:val="0"/>
        <w:rPr>
          <w:rFonts w:ascii="宋体" w:hAnsi="宋体" w:cs="宋体"/>
          <w:color w:val="auto"/>
          <w:szCs w:val="21"/>
        </w:rPr>
      </w:pPr>
      <w:r>
        <w:rPr>
          <w:rFonts w:hint="eastAsia" w:ascii="宋体" w:hAnsi="宋体" w:cs="宋体"/>
          <w:color w:val="auto"/>
          <w:szCs w:val="21"/>
        </w:rPr>
        <w:t>投标人不得串通作弊，以不正当的手段妨碍、排挤其他投标人，扰乱采购市场，破坏公平竞争原则。否则将按相关法律规定严肃处理。</w:t>
      </w:r>
    </w:p>
    <w:p w14:paraId="268B587E">
      <w:pPr>
        <w:widowControl w:val="0"/>
        <w:numPr>
          <w:ilvl w:val="1"/>
          <w:numId w:val="2"/>
        </w:numPr>
        <w:overflowPunct w:val="0"/>
        <w:rPr>
          <w:rFonts w:ascii="宋体" w:hAnsi="宋体" w:cs="宋体"/>
          <w:color w:val="auto"/>
          <w:szCs w:val="21"/>
        </w:rPr>
      </w:pPr>
      <w:r>
        <w:rPr>
          <w:rFonts w:hint="eastAsia" w:ascii="宋体" w:hAnsi="宋体" w:cs="宋体"/>
          <w:color w:val="auto"/>
          <w:szCs w:val="21"/>
        </w:rPr>
        <w:t>获得本采购文件的投标人，应对文件进行保密，不得用作本次投标以外的任何用途。开标后，投标人应归还采购文件中要求保密的文件和资料。</w:t>
      </w:r>
    </w:p>
    <w:p w14:paraId="035D2D1C">
      <w:pPr>
        <w:rPr>
          <w:rFonts w:ascii="宋体" w:hAnsi="宋体" w:cs="宋体"/>
          <w:color w:val="auto"/>
        </w:rPr>
      </w:pPr>
    </w:p>
    <w:p w14:paraId="5C951A00">
      <w:pPr>
        <w:pStyle w:val="4"/>
        <w:numPr>
          <w:ilvl w:val="0"/>
          <w:numId w:val="1"/>
        </w:numPr>
        <w:spacing w:before="0" w:after="0" w:line="360" w:lineRule="auto"/>
        <w:jc w:val="center"/>
        <w:rPr>
          <w:rFonts w:ascii="宋体" w:hAnsi="宋体" w:cs="宋体"/>
          <w:color w:val="auto"/>
        </w:rPr>
      </w:pPr>
      <w:bookmarkStart w:id="101" w:name="_Toc25286"/>
      <w:bookmarkStart w:id="102" w:name="_Toc1109"/>
      <w:r>
        <w:rPr>
          <w:rFonts w:hint="eastAsia" w:ascii="宋体" w:hAnsi="宋体" w:cs="宋体"/>
          <w:color w:val="auto"/>
        </w:rPr>
        <w:t>授予合同</w:t>
      </w:r>
      <w:bookmarkEnd w:id="101"/>
      <w:bookmarkEnd w:id="102"/>
    </w:p>
    <w:p w14:paraId="32C95B62">
      <w:pPr>
        <w:pStyle w:val="5"/>
        <w:widowControl w:val="0"/>
        <w:numPr>
          <w:ilvl w:val="0"/>
          <w:numId w:val="2"/>
        </w:numPr>
        <w:overflowPunct w:val="0"/>
        <w:rPr>
          <w:rFonts w:ascii="宋体" w:hAnsi="宋体" w:cs="宋体"/>
          <w:color w:val="auto"/>
          <w:sz w:val="21"/>
          <w:szCs w:val="21"/>
        </w:rPr>
      </w:pPr>
      <w:bookmarkStart w:id="103" w:name="_Toc9276"/>
      <w:bookmarkStart w:id="104" w:name="_Toc22623"/>
      <w:bookmarkStart w:id="105" w:name="_Toc508284011"/>
      <w:r>
        <w:rPr>
          <w:rFonts w:hint="eastAsia" w:ascii="宋体" w:hAnsi="宋体" w:cs="宋体"/>
          <w:color w:val="auto"/>
          <w:sz w:val="21"/>
          <w:szCs w:val="21"/>
        </w:rPr>
        <w:t>合同授予标准</w:t>
      </w:r>
      <w:bookmarkEnd w:id="103"/>
      <w:bookmarkEnd w:id="104"/>
      <w:bookmarkEnd w:id="105"/>
    </w:p>
    <w:p w14:paraId="1B178EB3">
      <w:pPr>
        <w:pStyle w:val="42"/>
        <w:widowControl w:val="0"/>
        <w:numPr>
          <w:ilvl w:val="0"/>
          <w:numId w:val="3"/>
        </w:numPr>
        <w:tabs>
          <w:tab w:val="left" w:pos="907"/>
        </w:tabs>
        <w:adjustRightInd/>
        <w:snapToGrid/>
        <w:ind w:firstLineChars="0"/>
        <w:jc w:val="both"/>
        <w:rPr>
          <w:rFonts w:ascii="宋体" w:hAnsi="宋体" w:cs="宋体"/>
          <w:vanish/>
          <w:color w:val="auto"/>
          <w:szCs w:val="21"/>
        </w:rPr>
      </w:pPr>
    </w:p>
    <w:p w14:paraId="389D1CA4">
      <w:pPr>
        <w:widowControl w:val="0"/>
        <w:numPr>
          <w:ilvl w:val="1"/>
          <w:numId w:val="2"/>
        </w:numPr>
        <w:overflowPunct w:val="0"/>
        <w:rPr>
          <w:rFonts w:ascii="宋体" w:hAnsi="宋体" w:cs="宋体"/>
          <w:color w:val="auto"/>
          <w:szCs w:val="21"/>
        </w:rPr>
      </w:pPr>
      <w:r>
        <w:rPr>
          <w:rFonts w:hint="eastAsia" w:ascii="宋体" w:hAnsi="宋体" w:cs="宋体"/>
          <w:color w:val="auto"/>
          <w:szCs w:val="21"/>
        </w:rPr>
        <w:t>根据评标委员会的评审结果，采购人按照评审报告推荐的中标候选人中按顺序依法确定中标人。</w:t>
      </w:r>
    </w:p>
    <w:p w14:paraId="69C118E9">
      <w:pPr>
        <w:rPr>
          <w:rFonts w:ascii="宋体" w:hAnsi="宋体" w:cs="宋体"/>
          <w:color w:val="auto"/>
        </w:rPr>
      </w:pPr>
    </w:p>
    <w:p w14:paraId="511EE530">
      <w:pPr>
        <w:pStyle w:val="5"/>
        <w:widowControl w:val="0"/>
        <w:numPr>
          <w:ilvl w:val="0"/>
          <w:numId w:val="2"/>
        </w:numPr>
        <w:overflowPunct w:val="0"/>
        <w:rPr>
          <w:rFonts w:ascii="宋体" w:hAnsi="宋体" w:cs="宋体"/>
          <w:color w:val="auto"/>
          <w:sz w:val="21"/>
          <w:szCs w:val="21"/>
        </w:rPr>
      </w:pPr>
      <w:bookmarkStart w:id="106" w:name="_Toc508284013"/>
      <w:bookmarkStart w:id="107" w:name="_Toc10545"/>
      <w:bookmarkStart w:id="108" w:name="_Toc15802"/>
      <w:r>
        <w:rPr>
          <w:rFonts w:hint="eastAsia" w:ascii="宋体" w:hAnsi="宋体" w:cs="宋体"/>
          <w:color w:val="auto"/>
          <w:sz w:val="21"/>
          <w:szCs w:val="21"/>
        </w:rPr>
        <w:t>发布中标结果</w:t>
      </w:r>
      <w:bookmarkEnd w:id="106"/>
      <w:bookmarkEnd w:id="107"/>
      <w:bookmarkEnd w:id="108"/>
    </w:p>
    <w:p w14:paraId="7591E981">
      <w:pPr>
        <w:pStyle w:val="42"/>
        <w:widowControl w:val="0"/>
        <w:numPr>
          <w:ilvl w:val="0"/>
          <w:numId w:val="3"/>
        </w:numPr>
        <w:tabs>
          <w:tab w:val="left" w:pos="907"/>
        </w:tabs>
        <w:adjustRightInd/>
        <w:snapToGrid/>
        <w:ind w:firstLineChars="0"/>
        <w:jc w:val="both"/>
        <w:rPr>
          <w:rFonts w:ascii="宋体" w:hAnsi="宋体" w:cs="宋体"/>
          <w:vanish/>
          <w:color w:val="auto"/>
          <w:szCs w:val="21"/>
        </w:rPr>
      </w:pPr>
    </w:p>
    <w:p w14:paraId="38ED912F">
      <w:pPr>
        <w:widowControl w:val="0"/>
        <w:numPr>
          <w:ilvl w:val="1"/>
          <w:numId w:val="2"/>
        </w:numPr>
        <w:overflowPunct w:val="0"/>
        <w:rPr>
          <w:rFonts w:ascii="宋体" w:hAnsi="宋体" w:cs="宋体"/>
          <w:color w:val="auto"/>
          <w:szCs w:val="21"/>
        </w:rPr>
      </w:pPr>
      <w:r>
        <w:rPr>
          <w:rFonts w:hint="eastAsia" w:ascii="宋体" w:hAnsi="宋体" w:cs="宋体"/>
          <w:color w:val="auto"/>
          <w:szCs w:val="21"/>
        </w:rPr>
        <w:t>评标委员会提出评标书面报告和推荐中标意见报采购人确认后，采购代理机构将在指定的信息发布媒体上发布公告。</w:t>
      </w:r>
    </w:p>
    <w:p w14:paraId="19C4BD53">
      <w:pPr>
        <w:widowControl w:val="0"/>
        <w:numPr>
          <w:ilvl w:val="1"/>
          <w:numId w:val="2"/>
        </w:numPr>
        <w:overflowPunct w:val="0"/>
        <w:rPr>
          <w:rFonts w:ascii="宋体" w:hAnsi="宋体" w:cs="宋体"/>
          <w:color w:val="auto"/>
          <w:szCs w:val="21"/>
        </w:rPr>
      </w:pPr>
      <w:r>
        <w:rPr>
          <w:rFonts w:hint="eastAsia" w:ascii="宋体" w:hAnsi="宋体" w:cs="宋体"/>
          <w:color w:val="auto"/>
          <w:szCs w:val="21"/>
        </w:rPr>
        <w:t>中标公告期限为3个日历日。</w:t>
      </w:r>
    </w:p>
    <w:p w14:paraId="4506A443">
      <w:pPr>
        <w:widowControl w:val="0"/>
        <w:numPr>
          <w:ilvl w:val="1"/>
          <w:numId w:val="2"/>
        </w:numPr>
        <w:overflowPunct w:val="0"/>
        <w:rPr>
          <w:rFonts w:ascii="宋体" w:hAnsi="宋体" w:cs="宋体"/>
          <w:color w:val="auto"/>
          <w:szCs w:val="21"/>
        </w:rPr>
      </w:pPr>
      <w:r>
        <w:rPr>
          <w:rFonts w:hint="eastAsia" w:ascii="宋体" w:hAnsi="宋体" w:cs="宋体"/>
          <w:color w:val="auto"/>
          <w:szCs w:val="21"/>
        </w:rPr>
        <w:t>《中标通知书》是合同的一个组成部分，《中标通知书》对采购人和中标人均具有同等法律效力。</w:t>
      </w:r>
    </w:p>
    <w:p w14:paraId="3C2F864A">
      <w:pPr>
        <w:widowControl w:val="0"/>
        <w:tabs>
          <w:tab w:val="left" w:pos="907"/>
        </w:tabs>
        <w:adjustRightInd/>
        <w:snapToGrid/>
        <w:jc w:val="both"/>
        <w:rPr>
          <w:rFonts w:ascii="宋体" w:hAnsi="宋体" w:cs="宋体"/>
          <w:color w:val="auto"/>
          <w:szCs w:val="21"/>
        </w:rPr>
      </w:pPr>
    </w:p>
    <w:p w14:paraId="3B3DC218">
      <w:pPr>
        <w:pStyle w:val="5"/>
        <w:widowControl w:val="0"/>
        <w:numPr>
          <w:ilvl w:val="0"/>
          <w:numId w:val="2"/>
        </w:numPr>
        <w:overflowPunct w:val="0"/>
        <w:rPr>
          <w:rFonts w:ascii="宋体" w:hAnsi="宋体" w:cs="宋体"/>
          <w:color w:val="auto"/>
          <w:sz w:val="21"/>
          <w:szCs w:val="21"/>
        </w:rPr>
      </w:pPr>
      <w:bookmarkStart w:id="109" w:name="_Toc11420"/>
      <w:bookmarkStart w:id="110" w:name="_Toc15757"/>
      <w:r>
        <w:rPr>
          <w:rFonts w:hint="eastAsia" w:ascii="宋体" w:hAnsi="宋体" w:cs="宋体"/>
          <w:color w:val="auto"/>
          <w:sz w:val="21"/>
          <w:szCs w:val="21"/>
        </w:rPr>
        <w:t>资格后审</w:t>
      </w:r>
      <w:bookmarkEnd w:id="109"/>
      <w:bookmarkEnd w:id="110"/>
    </w:p>
    <w:p w14:paraId="3E01D94A">
      <w:pPr>
        <w:pStyle w:val="42"/>
        <w:widowControl w:val="0"/>
        <w:numPr>
          <w:ilvl w:val="0"/>
          <w:numId w:val="3"/>
        </w:numPr>
        <w:tabs>
          <w:tab w:val="left" w:pos="567"/>
          <w:tab w:val="left" w:pos="907"/>
        </w:tabs>
        <w:adjustRightInd/>
        <w:snapToGrid/>
        <w:ind w:firstLineChars="0"/>
        <w:jc w:val="both"/>
        <w:rPr>
          <w:rFonts w:ascii="宋体" w:hAnsi="宋体" w:cs="宋体"/>
          <w:vanish/>
          <w:color w:val="auto"/>
          <w:szCs w:val="21"/>
        </w:rPr>
      </w:pPr>
    </w:p>
    <w:p w14:paraId="5E5A9A73">
      <w:pPr>
        <w:widowControl w:val="0"/>
        <w:numPr>
          <w:ilvl w:val="1"/>
          <w:numId w:val="2"/>
        </w:numPr>
        <w:overflowPunct w:val="0"/>
        <w:rPr>
          <w:rFonts w:ascii="宋体" w:hAnsi="宋体" w:cs="宋体"/>
          <w:color w:val="auto"/>
          <w:szCs w:val="21"/>
        </w:rPr>
      </w:pPr>
      <w:r>
        <w:rPr>
          <w:rFonts w:hint="eastAsia" w:ascii="宋体" w:hAnsi="宋体" w:cs="宋体"/>
          <w:color w:val="auto"/>
          <w:szCs w:val="21"/>
        </w:rPr>
        <w:t>采购人将有权根据本文件中的要求，对评委会推荐的中标候选人进行资格后审。</w:t>
      </w:r>
    </w:p>
    <w:p w14:paraId="33B1558C">
      <w:pPr>
        <w:widowControl w:val="0"/>
        <w:numPr>
          <w:ilvl w:val="1"/>
          <w:numId w:val="2"/>
        </w:numPr>
        <w:overflowPunct w:val="0"/>
        <w:rPr>
          <w:rFonts w:ascii="宋体" w:hAnsi="宋体" w:cs="宋体"/>
          <w:color w:val="auto"/>
          <w:szCs w:val="21"/>
        </w:rPr>
      </w:pPr>
      <w:r>
        <w:rPr>
          <w:rFonts w:hint="eastAsia" w:ascii="宋体" w:hAnsi="宋体" w:cs="宋体"/>
          <w:color w:val="auto"/>
          <w:szCs w:val="21"/>
        </w:rPr>
        <w:t>中标候选人须无条件配合资格后审，否则采购人有权取消其中标资格，且投标保证金可不予退还。</w:t>
      </w:r>
    </w:p>
    <w:p w14:paraId="265F788C">
      <w:pPr>
        <w:widowControl w:val="0"/>
        <w:numPr>
          <w:ilvl w:val="1"/>
          <w:numId w:val="2"/>
        </w:numPr>
        <w:overflowPunct w:val="0"/>
        <w:rPr>
          <w:rFonts w:ascii="宋体" w:hAnsi="宋体" w:cs="宋体"/>
          <w:color w:val="auto"/>
          <w:szCs w:val="21"/>
        </w:rPr>
      </w:pPr>
      <w:r>
        <w:rPr>
          <w:rFonts w:hint="eastAsia" w:ascii="宋体" w:hAnsi="宋体" w:cs="宋体"/>
          <w:color w:val="auto"/>
          <w:szCs w:val="21"/>
        </w:rPr>
        <w:t>资格后审须提供包括但不限于营业执照、税务登记证和在投标文件中提供的资质证明文件、业绩等重要证明文件的原件进行核对，综合考察中标人的履约能力。如采购人要求还须提供业绩证明的其他材料,中标候选人须配合提供。如授权其分支机构进行项目实施或提供售后服务的，亦应提供其与分支机构关系的法律证明材料。</w:t>
      </w:r>
    </w:p>
    <w:p w14:paraId="0B588E87">
      <w:pPr>
        <w:widowControl w:val="0"/>
        <w:numPr>
          <w:ilvl w:val="1"/>
          <w:numId w:val="2"/>
        </w:numPr>
        <w:overflowPunct w:val="0"/>
        <w:rPr>
          <w:rFonts w:ascii="宋体" w:hAnsi="宋体" w:cs="宋体"/>
          <w:color w:val="auto"/>
          <w:szCs w:val="21"/>
        </w:rPr>
      </w:pPr>
      <w:r>
        <w:rPr>
          <w:rFonts w:hint="eastAsia" w:ascii="宋体" w:hAnsi="宋体" w:cs="宋体"/>
          <w:color w:val="auto"/>
          <w:szCs w:val="21"/>
        </w:rPr>
        <w:t>如发现中标候选人以他人名义投标或者以其他方式弄虚作假，骗取中标的，采购人有权取消其中标资格，且投标保证金可不予退还；给采购人造成损失的，应依法承担赔偿责任。</w:t>
      </w:r>
    </w:p>
    <w:p w14:paraId="42273A6D">
      <w:pPr>
        <w:widowControl w:val="0"/>
        <w:numPr>
          <w:ilvl w:val="1"/>
          <w:numId w:val="2"/>
        </w:numPr>
        <w:overflowPunct w:val="0"/>
        <w:rPr>
          <w:rFonts w:ascii="宋体" w:hAnsi="宋体" w:cs="宋体"/>
          <w:color w:val="auto"/>
          <w:szCs w:val="21"/>
        </w:rPr>
      </w:pPr>
      <w:r>
        <w:rPr>
          <w:rFonts w:hint="eastAsia" w:ascii="宋体" w:hAnsi="宋体" w:cs="宋体"/>
          <w:color w:val="auto"/>
          <w:szCs w:val="21"/>
        </w:rPr>
        <w:t>采购人有权审查中标候选人是否具备履行合同的能力，包括但不限于对其规模、人员、场地、生产能力、供货能力等方面的核实或现场考察。如果审查通过，采购人将把合同授予该中标人；如果审查没有通过，采购人有权取消其中标资格，且投标保证金可不予退还，并依次审查下一名中标候选人是否具备履行合同的能力或重新采购。</w:t>
      </w:r>
    </w:p>
    <w:p w14:paraId="7038302E">
      <w:pPr>
        <w:rPr>
          <w:rFonts w:ascii="宋体" w:hAnsi="宋体" w:cs="宋体"/>
          <w:color w:val="auto"/>
        </w:rPr>
      </w:pPr>
    </w:p>
    <w:p w14:paraId="35648BE8">
      <w:pPr>
        <w:pStyle w:val="5"/>
        <w:widowControl w:val="0"/>
        <w:numPr>
          <w:ilvl w:val="0"/>
          <w:numId w:val="2"/>
        </w:numPr>
        <w:overflowPunct w:val="0"/>
        <w:rPr>
          <w:rFonts w:ascii="宋体" w:hAnsi="宋体" w:cs="宋体"/>
          <w:color w:val="auto"/>
          <w:sz w:val="21"/>
          <w:szCs w:val="21"/>
        </w:rPr>
      </w:pPr>
      <w:bookmarkStart w:id="111" w:name="_Toc27302"/>
      <w:bookmarkStart w:id="112" w:name="_Toc26459"/>
      <w:r>
        <w:rPr>
          <w:rFonts w:hint="eastAsia" w:ascii="宋体" w:hAnsi="宋体" w:cs="宋体"/>
          <w:color w:val="auto"/>
          <w:sz w:val="21"/>
          <w:szCs w:val="21"/>
        </w:rPr>
        <w:t>合同的签订与履行</w:t>
      </w:r>
      <w:bookmarkEnd w:id="111"/>
      <w:bookmarkEnd w:id="112"/>
    </w:p>
    <w:p w14:paraId="6B83378A">
      <w:pPr>
        <w:pStyle w:val="42"/>
        <w:widowControl w:val="0"/>
        <w:numPr>
          <w:ilvl w:val="0"/>
          <w:numId w:val="3"/>
        </w:numPr>
        <w:tabs>
          <w:tab w:val="left" w:pos="907"/>
        </w:tabs>
        <w:adjustRightInd/>
        <w:snapToGrid/>
        <w:ind w:firstLineChars="0"/>
        <w:jc w:val="both"/>
        <w:rPr>
          <w:rFonts w:ascii="宋体" w:hAnsi="宋体" w:cs="宋体"/>
          <w:vanish/>
          <w:color w:val="auto"/>
          <w:szCs w:val="21"/>
        </w:rPr>
      </w:pPr>
    </w:p>
    <w:p w14:paraId="670EDF96">
      <w:pPr>
        <w:widowControl w:val="0"/>
        <w:numPr>
          <w:ilvl w:val="1"/>
          <w:numId w:val="2"/>
        </w:numPr>
        <w:overflowPunct w:val="0"/>
        <w:rPr>
          <w:rFonts w:ascii="宋体" w:hAnsi="宋体" w:cs="宋体"/>
          <w:color w:val="auto"/>
          <w:szCs w:val="21"/>
        </w:rPr>
      </w:pPr>
      <w:r>
        <w:rPr>
          <w:rFonts w:hint="eastAsia" w:ascii="宋体" w:hAnsi="宋体" w:cs="宋体"/>
          <w:color w:val="auto"/>
          <w:szCs w:val="21"/>
        </w:rPr>
        <w:t>中标人应当自采购人发出中标通知书之日起30日内，按照采购文件和中标人投标文件的规定，与采购人签订书面合同，否则采购人有权取消其中标资格。所签订的合同不得对采购文件确定的事项和中标人投标文件作实质性修改。在合同签订时，应注意合同中约定的工期开始时间不得早于合同签订时间。</w:t>
      </w:r>
    </w:p>
    <w:p w14:paraId="0F53957B">
      <w:pPr>
        <w:widowControl w:val="0"/>
        <w:numPr>
          <w:ilvl w:val="1"/>
          <w:numId w:val="2"/>
        </w:numPr>
        <w:overflowPunct w:val="0"/>
        <w:rPr>
          <w:rFonts w:ascii="宋体" w:hAnsi="宋体" w:cs="宋体"/>
          <w:color w:val="auto"/>
          <w:szCs w:val="21"/>
        </w:rPr>
      </w:pPr>
      <w:r>
        <w:rPr>
          <w:rFonts w:hint="eastAsia" w:ascii="宋体" w:hAnsi="宋体" w:cs="宋体"/>
          <w:color w:val="auto"/>
          <w:szCs w:val="21"/>
        </w:rPr>
        <w:t>采购人与中标人应当根据合同的约定依法履行合同义务。</w:t>
      </w:r>
    </w:p>
    <w:p w14:paraId="5744F4BC">
      <w:pPr>
        <w:widowControl w:val="0"/>
        <w:numPr>
          <w:ilvl w:val="1"/>
          <w:numId w:val="2"/>
        </w:numPr>
        <w:overflowPunct w:val="0"/>
        <w:rPr>
          <w:rFonts w:ascii="宋体" w:hAnsi="宋体" w:cs="宋体"/>
          <w:color w:val="auto"/>
          <w:szCs w:val="21"/>
        </w:rPr>
      </w:pPr>
      <w:r>
        <w:rPr>
          <w:rFonts w:hint="eastAsia" w:ascii="宋体" w:hAnsi="宋体" w:cs="宋体"/>
          <w:color w:val="auto"/>
          <w:szCs w:val="21"/>
        </w:rPr>
        <w:t>采购合同的履行、违约责任和解决争议的方法等适用《中华人民共和国民法典》。</w:t>
      </w:r>
    </w:p>
    <w:p w14:paraId="0BB296C8">
      <w:pPr>
        <w:widowControl w:val="0"/>
        <w:numPr>
          <w:ilvl w:val="1"/>
          <w:numId w:val="2"/>
        </w:numPr>
        <w:overflowPunct w:val="0"/>
        <w:rPr>
          <w:rFonts w:ascii="宋体" w:hAnsi="宋体" w:cs="宋体"/>
          <w:color w:val="auto"/>
          <w:szCs w:val="21"/>
        </w:rPr>
      </w:pPr>
      <w:r>
        <w:rPr>
          <w:rFonts w:hint="eastAsia" w:ascii="宋体" w:hAnsi="宋体" w:cs="宋体"/>
          <w:color w:val="auto"/>
          <w:szCs w:val="21"/>
        </w:rPr>
        <w:t>中标人在评审结束当天至合同履行结束，若因不可抗力的因素（如国家出台新法律法规等）造成投标人资质的变动，投标人应以纸质版形式通知采购人。若资质变动导致中标人不再具备履行合同资质要求，采购人有权中止合同。</w:t>
      </w:r>
    </w:p>
    <w:p w14:paraId="55E5295C">
      <w:pPr>
        <w:widowControl w:val="0"/>
        <w:tabs>
          <w:tab w:val="left" w:pos="907"/>
        </w:tabs>
        <w:adjustRightInd/>
        <w:snapToGrid/>
        <w:jc w:val="both"/>
        <w:rPr>
          <w:rFonts w:ascii="宋体" w:hAnsi="宋体" w:cs="宋体"/>
          <w:color w:val="auto"/>
        </w:rPr>
      </w:pPr>
    </w:p>
    <w:p w14:paraId="65DBB65F">
      <w:pPr>
        <w:pStyle w:val="5"/>
        <w:widowControl w:val="0"/>
        <w:numPr>
          <w:ilvl w:val="0"/>
          <w:numId w:val="2"/>
        </w:numPr>
        <w:overflowPunct w:val="0"/>
        <w:rPr>
          <w:rFonts w:ascii="宋体" w:hAnsi="宋体" w:cs="宋体"/>
          <w:color w:val="auto"/>
          <w:sz w:val="21"/>
          <w:szCs w:val="21"/>
        </w:rPr>
      </w:pPr>
      <w:bookmarkStart w:id="113" w:name="_Toc303084277"/>
      <w:bookmarkStart w:id="114" w:name="_Toc382049124"/>
      <w:bookmarkStart w:id="115" w:name="_Toc29009"/>
      <w:bookmarkStart w:id="116" w:name="_Toc6617"/>
      <w:bookmarkStart w:id="117" w:name="_Toc910"/>
      <w:r>
        <w:rPr>
          <w:rFonts w:hint="eastAsia" w:ascii="宋体" w:hAnsi="宋体" w:cs="宋体"/>
          <w:color w:val="auto"/>
          <w:sz w:val="21"/>
          <w:szCs w:val="21"/>
        </w:rPr>
        <w:t>履约</w:t>
      </w:r>
      <w:bookmarkEnd w:id="113"/>
      <w:bookmarkEnd w:id="114"/>
      <w:bookmarkEnd w:id="115"/>
      <w:r>
        <w:rPr>
          <w:rFonts w:hint="eastAsia" w:ascii="宋体" w:hAnsi="宋体" w:cs="宋体"/>
          <w:color w:val="auto"/>
          <w:sz w:val="21"/>
          <w:szCs w:val="21"/>
        </w:rPr>
        <w:t>担保</w:t>
      </w:r>
      <w:bookmarkEnd w:id="116"/>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本项目投标保证金在合同签订后自动转为履约保证金</w:t>
      </w:r>
      <w:r>
        <w:rPr>
          <w:rFonts w:hint="eastAsia" w:ascii="宋体" w:hAnsi="宋体" w:cs="宋体"/>
          <w:color w:val="auto"/>
          <w:sz w:val="21"/>
          <w:szCs w:val="21"/>
          <w:lang w:eastAsia="zh-CN"/>
        </w:rPr>
        <w:t>）</w:t>
      </w:r>
      <w:bookmarkEnd w:id="117"/>
    </w:p>
    <w:p w14:paraId="73668E95">
      <w:pPr>
        <w:pStyle w:val="42"/>
        <w:widowControl w:val="0"/>
        <w:numPr>
          <w:ilvl w:val="0"/>
          <w:numId w:val="3"/>
        </w:numPr>
        <w:tabs>
          <w:tab w:val="left" w:pos="907"/>
        </w:tabs>
        <w:adjustRightInd/>
        <w:snapToGrid/>
        <w:ind w:firstLineChars="0"/>
        <w:jc w:val="both"/>
        <w:rPr>
          <w:rFonts w:ascii="宋体" w:hAnsi="宋体" w:cs="宋体"/>
          <w:vanish/>
          <w:color w:val="auto"/>
          <w:szCs w:val="21"/>
        </w:rPr>
      </w:pPr>
    </w:p>
    <w:p w14:paraId="0AB5B5DC">
      <w:pPr>
        <w:widowControl w:val="0"/>
        <w:numPr>
          <w:ilvl w:val="1"/>
          <w:numId w:val="2"/>
        </w:numPr>
        <w:overflowPunct w:val="0"/>
        <w:rPr>
          <w:rFonts w:ascii="宋体" w:hAnsi="宋体" w:cs="宋体"/>
          <w:color w:val="auto"/>
          <w:szCs w:val="21"/>
        </w:rPr>
      </w:pPr>
      <w:r>
        <w:rPr>
          <w:rFonts w:hint="eastAsia" w:ascii="宋体" w:hAnsi="宋体"/>
          <w:szCs w:val="21"/>
          <w:highlight w:val="none"/>
        </w:rPr>
        <w:t>若中标人在合同履行过程中出现</w:t>
      </w:r>
      <w:r>
        <w:rPr>
          <w:rFonts w:hint="eastAsia" w:ascii="宋体" w:hAnsi="宋体"/>
          <w:szCs w:val="21"/>
          <w:highlight w:val="none"/>
          <w:lang w:val="en-US" w:eastAsia="zh-CN"/>
        </w:rPr>
        <w:t>服务</w:t>
      </w:r>
      <w:r>
        <w:rPr>
          <w:rFonts w:hint="eastAsia" w:ascii="宋体" w:hAnsi="宋体"/>
          <w:szCs w:val="21"/>
          <w:highlight w:val="none"/>
        </w:rPr>
        <w:t>质量</w:t>
      </w:r>
      <w:r>
        <w:rPr>
          <w:rFonts w:hint="eastAsia" w:ascii="宋体" w:hAnsi="宋体" w:cs="宋体"/>
          <w:b w:val="0"/>
          <w:bCs w:val="0"/>
          <w:kern w:val="2"/>
          <w:sz w:val="21"/>
          <w:szCs w:val="21"/>
          <w:highlight w:val="none"/>
          <w:lang w:val="en-US" w:eastAsia="zh-CN" w:bidi="ar-SA"/>
        </w:rPr>
        <w:t>不符合要求</w:t>
      </w:r>
      <w:r>
        <w:rPr>
          <w:rFonts w:hint="eastAsia" w:ascii="宋体" w:hAnsi="宋体"/>
          <w:szCs w:val="21"/>
          <w:highlight w:val="none"/>
        </w:rPr>
        <w:t>、</w:t>
      </w:r>
      <w:r>
        <w:rPr>
          <w:rFonts w:hint="eastAsia" w:ascii="宋体" w:hAnsi="宋体"/>
          <w:szCs w:val="21"/>
          <w:highlight w:val="none"/>
          <w:lang w:val="en-US" w:eastAsia="zh-CN"/>
        </w:rPr>
        <w:t>服务期</w:t>
      </w:r>
      <w:r>
        <w:rPr>
          <w:rFonts w:hint="eastAsia" w:ascii="宋体" w:hAnsi="宋体"/>
          <w:szCs w:val="21"/>
          <w:highlight w:val="none"/>
        </w:rPr>
        <w:t>拖延等情况，</w:t>
      </w:r>
      <w:r>
        <w:rPr>
          <w:rFonts w:hint="eastAsia" w:ascii="宋体" w:hAnsi="宋体"/>
          <w:szCs w:val="21"/>
          <w:highlight w:val="none"/>
          <w:lang w:val="en-US" w:eastAsia="zh-CN"/>
        </w:rPr>
        <w:t>或被取消/暂停非金融企业债务融资工具主承销商业务资格导致无法为采购人提供服务，或中标人未在采购人要求的合理期限内提供注册和发行服务等，</w:t>
      </w:r>
      <w:r>
        <w:rPr>
          <w:rFonts w:hint="eastAsia" w:ascii="宋体" w:hAnsi="宋体"/>
          <w:szCs w:val="21"/>
          <w:highlight w:val="none"/>
        </w:rPr>
        <w:t>采购人在核查属实后，有权没收其履约</w:t>
      </w:r>
      <w:r>
        <w:rPr>
          <w:rFonts w:hint="eastAsia" w:ascii="宋体" w:hAnsi="宋体"/>
          <w:szCs w:val="21"/>
          <w:highlight w:val="none"/>
          <w:lang w:val="en-US" w:eastAsia="zh-CN"/>
        </w:rPr>
        <w:t>保证金</w:t>
      </w:r>
      <w:r>
        <w:rPr>
          <w:rFonts w:hint="eastAsia" w:ascii="宋体" w:hAnsi="宋体"/>
          <w:szCs w:val="21"/>
          <w:highlight w:val="none"/>
        </w:rPr>
        <w:t>，若造成损失超过履约担保</w:t>
      </w:r>
      <w:r>
        <w:rPr>
          <w:rFonts w:hint="eastAsia" w:ascii="宋体" w:hAnsi="宋体"/>
          <w:szCs w:val="21"/>
          <w:highlight w:val="none"/>
          <w:lang w:val="en-US" w:eastAsia="zh-CN"/>
        </w:rPr>
        <w:t>金额</w:t>
      </w:r>
      <w:r>
        <w:rPr>
          <w:rFonts w:hint="eastAsia" w:ascii="宋体" w:hAnsi="宋体"/>
          <w:szCs w:val="21"/>
          <w:highlight w:val="none"/>
        </w:rPr>
        <w:t>的，</w:t>
      </w:r>
      <w:r>
        <w:rPr>
          <w:rFonts w:hint="eastAsia" w:ascii="宋体" w:hAnsi="宋体"/>
          <w:szCs w:val="21"/>
          <w:highlight w:val="none"/>
          <w:lang w:val="en-US" w:eastAsia="zh-CN"/>
        </w:rPr>
        <w:t>中标人</w:t>
      </w:r>
      <w:r>
        <w:rPr>
          <w:rFonts w:hint="eastAsia" w:ascii="宋体" w:hAnsi="宋体"/>
          <w:szCs w:val="21"/>
          <w:highlight w:val="none"/>
        </w:rPr>
        <w:t>还应当对超过部分予以赔偿。</w:t>
      </w:r>
    </w:p>
    <w:p w14:paraId="072C476A">
      <w:pPr>
        <w:widowControl w:val="0"/>
        <w:numPr>
          <w:ilvl w:val="1"/>
          <w:numId w:val="2"/>
        </w:numPr>
        <w:overflowPunct w:val="0"/>
        <w:rPr>
          <w:rFonts w:ascii="宋体" w:hAnsi="宋体" w:cs="宋体"/>
          <w:color w:val="auto"/>
          <w:szCs w:val="21"/>
        </w:rPr>
      </w:pPr>
      <w:r>
        <w:rPr>
          <w:rFonts w:hint="eastAsia" w:ascii="宋体" w:hAnsi="宋体" w:cs="宋体"/>
          <w:color w:val="auto"/>
          <w:szCs w:val="21"/>
        </w:rPr>
        <w:t>下列任何情况发生时，采购人有权行使享有的担保权利：</w:t>
      </w:r>
    </w:p>
    <w:p w14:paraId="1CA70045">
      <w:pPr>
        <w:widowControl w:val="0"/>
        <w:numPr>
          <w:ilvl w:val="0"/>
          <w:numId w:val="0"/>
        </w:numPr>
        <w:overflowPunct w:val="0"/>
        <w:ind w:leftChars="0" w:firstLine="420" w:firstLineChars="200"/>
        <w:rPr>
          <w:rFonts w:hint="eastAsia" w:ascii="宋体" w:hAnsi="宋体" w:cs="宋体"/>
          <w:color w:val="auto"/>
          <w:szCs w:val="21"/>
        </w:rPr>
      </w:pPr>
      <w:r>
        <w:rPr>
          <w:rFonts w:hint="eastAsia" w:ascii="宋体" w:hAnsi="宋体" w:cs="宋体"/>
          <w:color w:val="auto"/>
          <w:szCs w:val="21"/>
        </w:rPr>
        <w:t>（1）中标人将本项目转让给他人，或者在投标文件中未说明，且未经采购人同意，将中标项目分包给他人的；</w:t>
      </w:r>
    </w:p>
    <w:p w14:paraId="59BA3BFA">
      <w:pPr>
        <w:widowControl w:val="0"/>
        <w:numPr>
          <w:ilvl w:val="0"/>
          <w:numId w:val="0"/>
        </w:numPr>
        <w:overflowPunct w:val="0"/>
        <w:ind w:leftChars="0" w:firstLine="420" w:firstLineChars="200"/>
        <w:rPr>
          <w:rFonts w:hint="eastAsia" w:ascii="宋体" w:hAnsi="宋体" w:cs="宋体"/>
          <w:color w:val="auto"/>
          <w:szCs w:val="21"/>
        </w:rPr>
      </w:pPr>
      <w:r>
        <w:rPr>
          <w:rFonts w:hint="eastAsia" w:ascii="宋体" w:hAnsi="宋体" w:cs="宋体"/>
          <w:color w:val="auto"/>
          <w:szCs w:val="21"/>
        </w:rPr>
        <w:t>（2）中标人在履行采购合同期间，违反有关法律法规的规定及合同约定的条款，损害了采购人的利益。</w:t>
      </w:r>
    </w:p>
    <w:p w14:paraId="42E5048C">
      <w:pPr>
        <w:widowControl w:val="0"/>
        <w:numPr>
          <w:ilvl w:val="1"/>
          <w:numId w:val="2"/>
        </w:numPr>
        <w:overflowPunct w:val="0"/>
        <w:rPr>
          <w:rFonts w:ascii="宋体" w:hAnsi="宋体" w:cs="宋体"/>
          <w:color w:val="auto"/>
          <w:szCs w:val="21"/>
        </w:rPr>
      </w:pPr>
      <w:r>
        <w:rPr>
          <w:rFonts w:hint="eastAsia" w:ascii="宋体" w:hAnsi="宋体" w:cs="宋体"/>
          <w:color w:val="auto"/>
          <w:szCs w:val="21"/>
        </w:rPr>
        <w:t>在整个项目验收合格后，中标人向采购人提交退回履约担保的申请，采购人</w:t>
      </w:r>
      <w:r>
        <w:rPr>
          <w:rFonts w:hint="eastAsia" w:ascii="宋体" w:hAnsi="宋体" w:cs="宋体"/>
          <w:color w:val="auto"/>
          <w:szCs w:val="21"/>
          <w:lang w:val="en-US" w:eastAsia="zh-CN"/>
        </w:rPr>
        <w:t>将扣罚后剩余的履约保证金</w:t>
      </w:r>
      <w:r>
        <w:rPr>
          <w:rFonts w:hint="eastAsia" w:ascii="宋体" w:hAnsi="宋体" w:cs="宋体"/>
          <w:color w:val="auto"/>
          <w:szCs w:val="21"/>
        </w:rPr>
        <w:t>退还</w:t>
      </w:r>
      <w:r>
        <w:rPr>
          <w:rFonts w:hint="eastAsia" w:ascii="宋体" w:hAnsi="宋体" w:cs="宋体"/>
          <w:color w:val="auto"/>
          <w:szCs w:val="21"/>
          <w:lang w:val="en-US" w:eastAsia="zh-CN"/>
        </w:rPr>
        <w:t>中标人</w:t>
      </w:r>
      <w:r>
        <w:rPr>
          <w:rFonts w:hint="eastAsia" w:ascii="宋体" w:hAnsi="宋体" w:cs="宋体"/>
          <w:color w:val="auto"/>
          <w:szCs w:val="21"/>
        </w:rPr>
        <w:t>。</w:t>
      </w:r>
    </w:p>
    <w:p w14:paraId="1EA6CC5A">
      <w:pPr>
        <w:widowControl w:val="0"/>
        <w:tabs>
          <w:tab w:val="left" w:pos="907"/>
        </w:tabs>
        <w:adjustRightInd/>
        <w:snapToGrid/>
        <w:jc w:val="both"/>
        <w:rPr>
          <w:rFonts w:ascii="宋体" w:hAnsi="宋体" w:cs="宋体"/>
          <w:color w:val="auto"/>
        </w:rPr>
      </w:pPr>
    </w:p>
    <w:p w14:paraId="592AEB20">
      <w:pPr>
        <w:pStyle w:val="5"/>
        <w:widowControl w:val="0"/>
        <w:numPr>
          <w:ilvl w:val="0"/>
          <w:numId w:val="2"/>
        </w:numPr>
        <w:overflowPunct w:val="0"/>
        <w:rPr>
          <w:rFonts w:ascii="宋体" w:hAnsi="宋体" w:cs="宋体"/>
          <w:color w:val="auto"/>
          <w:sz w:val="21"/>
          <w:szCs w:val="21"/>
        </w:rPr>
      </w:pPr>
      <w:bookmarkStart w:id="118" w:name="_Toc18880"/>
      <w:bookmarkStart w:id="119" w:name="_Toc25039"/>
      <w:r>
        <w:rPr>
          <w:rFonts w:hint="eastAsia" w:ascii="宋体" w:hAnsi="宋体" w:cs="宋体"/>
          <w:color w:val="auto"/>
          <w:sz w:val="21"/>
          <w:szCs w:val="21"/>
        </w:rPr>
        <w:t>预付款保函（适用于预付款支付）</w:t>
      </w:r>
      <w:bookmarkEnd w:id="118"/>
      <w:bookmarkEnd w:id="119"/>
    </w:p>
    <w:p w14:paraId="66AA314C">
      <w:pPr>
        <w:pStyle w:val="42"/>
        <w:widowControl w:val="0"/>
        <w:numPr>
          <w:ilvl w:val="0"/>
          <w:numId w:val="3"/>
        </w:numPr>
        <w:tabs>
          <w:tab w:val="left" w:pos="567"/>
          <w:tab w:val="left" w:pos="907"/>
        </w:tabs>
        <w:adjustRightInd/>
        <w:snapToGrid/>
        <w:ind w:firstLineChars="0"/>
        <w:jc w:val="both"/>
        <w:rPr>
          <w:rFonts w:ascii="宋体" w:hAnsi="宋体" w:cs="宋体"/>
          <w:vanish/>
          <w:color w:val="auto"/>
          <w:szCs w:val="21"/>
        </w:rPr>
      </w:pPr>
    </w:p>
    <w:p w14:paraId="1C60035F">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rPr>
        <w:t>在签订合同时，中标人应按本须知规定向</w:t>
      </w:r>
      <w:r>
        <w:rPr>
          <w:rFonts w:hint="eastAsia" w:ascii="宋体" w:hAnsi="宋体" w:cs="宋体"/>
          <w:color w:val="auto"/>
          <w:szCs w:val="21"/>
          <w:highlight w:val="none"/>
        </w:rPr>
        <w:t>采购人提交一份合同预付款等额有效的预付款保函。预付款保函有效期从保函开立之日起至采购人向中标人抵扣完所有预付款之日止。如果中标人提交的预付款保函的有效期先于采购文件要求的预付款保函有效期到达，中标人应在原提交的预付款保函有效期前15日内，无条件办理预付款保函延期手续。否则视为中标人违约，采购人可在预付款保函到期前将未抵扣的预付款转为现金存入采购人账户</w:t>
      </w:r>
    </w:p>
    <w:p w14:paraId="56406A59">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预付款保函应：</w:t>
      </w:r>
    </w:p>
    <w:p w14:paraId="6A7BF73D">
      <w:pPr>
        <w:widowControl w:val="0"/>
        <w:tabs>
          <w:tab w:val="left" w:pos="907"/>
        </w:tabs>
        <w:adjustRightInd/>
        <w:snapToGrid/>
        <w:ind w:left="567"/>
        <w:jc w:val="both"/>
        <w:rPr>
          <w:rFonts w:ascii="宋体" w:hAnsi="宋体" w:cs="宋体"/>
          <w:color w:val="auto"/>
          <w:szCs w:val="21"/>
          <w:highlight w:val="none"/>
        </w:rPr>
      </w:pPr>
      <w:r>
        <w:rPr>
          <w:rFonts w:hint="eastAsia" w:ascii="宋体" w:hAnsi="宋体" w:cs="宋体"/>
          <w:color w:val="auto"/>
          <w:szCs w:val="21"/>
          <w:highlight w:val="none"/>
        </w:rPr>
        <w:t>（1）由东莞市行政区域内的银行支行及以上银行机构开具。</w:t>
      </w:r>
    </w:p>
    <w:p w14:paraId="4545ED9E">
      <w:pPr>
        <w:widowControl w:val="0"/>
        <w:tabs>
          <w:tab w:val="left" w:pos="907"/>
        </w:tabs>
        <w:adjustRightInd/>
        <w:snapToGrid/>
        <w:ind w:left="567"/>
        <w:jc w:val="both"/>
        <w:rPr>
          <w:rFonts w:ascii="宋体" w:hAnsi="宋体" w:cs="宋体"/>
          <w:color w:val="auto"/>
          <w:szCs w:val="21"/>
          <w:highlight w:val="none"/>
        </w:rPr>
      </w:pPr>
      <w:r>
        <w:rPr>
          <w:rFonts w:hint="eastAsia" w:ascii="宋体" w:hAnsi="宋体" w:cs="宋体"/>
          <w:color w:val="auto"/>
          <w:szCs w:val="21"/>
          <w:highlight w:val="none"/>
        </w:rPr>
        <w:t>（2）必须打印，手写、涂改无效</w:t>
      </w:r>
    </w:p>
    <w:p w14:paraId="0AFD6EDB">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若中标人不能按本须知（34.1至34.2）的规定执行，采购人将不予支付预付款。</w:t>
      </w:r>
    </w:p>
    <w:p w14:paraId="7275A996">
      <w:pPr>
        <w:widowControl w:val="0"/>
        <w:numPr>
          <w:ilvl w:val="1"/>
          <w:numId w:val="2"/>
        </w:numPr>
        <w:overflowPunct w:val="0"/>
        <w:rPr>
          <w:rFonts w:ascii="宋体" w:hAnsi="宋体" w:cs="宋体"/>
          <w:color w:val="auto"/>
          <w:szCs w:val="21"/>
        </w:rPr>
      </w:pPr>
      <w:r>
        <w:rPr>
          <w:rFonts w:hint="eastAsia" w:ascii="宋体" w:hAnsi="宋体" w:cs="宋体"/>
          <w:color w:val="auto"/>
          <w:szCs w:val="21"/>
          <w:highlight w:val="none"/>
        </w:rPr>
        <w:t>如果中标人提交的预付款保函的有效期先于采购文件要求的预付款保函有效期到达，中标人应在原提交的预付款保函有效期满前15天内，无条件办理预付款保函延期手续。否则视为中标人违约，采购人可在预付款保函到期前将未抵扣的预付</w:t>
      </w:r>
      <w:r>
        <w:rPr>
          <w:rFonts w:hint="eastAsia" w:ascii="宋体" w:hAnsi="宋体" w:cs="宋体"/>
          <w:color w:val="auto"/>
          <w:szCs w:val="21"/>
        </w:rPr>
        <w:t>款金额转为现金存入采购人账户。</w:t>
      </w:r>
    </w:p>
    <w:p w14:paraId="09D9CCD2">
      <w:pPr>
        <w:rPr>
          <w:rFonts w:ascii="宋体" w:hAnsi="宋体" w:cs="宋体"/>
          <w:color w:val="auto"/>
        </w:rPr>
      </w:pPr>
    </w:p>
    <w:p w14:paraId="6BC0A60B">
      <w:pPr>
        <w:pStyle w:val="4"/>
        <w:numPr>
          <w:ilvl w:val="0"/>
          <w:numId w:val="1"/>
        </w:numPr>
        <w:spacing w:before="0" w:after="0" w:line="360" w:lineRule="auto"/>
        <w:jc w:val="center"/>
        <w:rPr>
          <w:rFonts w:ascii="宋体" w:hAnsi="宋体" w:cs="宋体"/>
          <w:color w:val="auto"/>
        </w:rPr>
      </w:pPr>
      <w:bookmarkStart w:id="120" w:name="_Toc21814"/>
      <w:bookmarkStart w:id="121" w:name="_Toc28523"/>
      <w:r>
        <w:rPr>
          <w:rFonts w:hint="eastAsia" w:ascii="宋体" w:hAnsi="宋体" w:cs="宋体"/>
          <w:color w:val="auto"/>
        </w:rPr>
        <w:t>异议</w:t>
      </w:r>
      <w:bookmarkEnd w:id="120"/>
      <w:bookmarkEnd w:id="121"/>
    </w:p>
    <w:p w14:paraId="0BDB2A97">
      <w:pPr>
        <w:pStyle w:val="5"/>
        <w:widowControl w:val="0"/>
        <w:numPr>
          <w:ilvl w:val="0"/>
          <w:numId w:val="2"/>
        </w:numPr>
        <w:overflowPunct w:val="0"/>
        <w:rPr>
          <w:rFonts w:ascii="宋体" w:hAnsi="宋体" w:cs="宋体"/>
          <w:color w:val="auto"/>
          <w:sz w:val="21"/>
          <w:szCs w:val="21"/>
        </w:rPr>
      </w:pPr>
      <w:bookmarkStart w:id="122" w:name="_Toc19118"/>
      <w:bookmarkStart w:id="123" w:name="_Toc9791"/>
      <w:r>
        <w:rPr>
          <w:rFonts w:hint="eastAsia" w:ascii="宋体" w:hAnsi="宋体" w:cs="宋体"/>
          <w:color w:val="auto"/>
          <w:sz w:val="21"/>
          <w:szCs w:val="21"/>
        </w:rPr>
        <w:t>异议</w:t>
      </w:r>
      <w:bookmarkEnd w:id="122"/>
      <w:bookmarkEnd w:id="123"/>
    </w:p>
    <w:p w14:paraId="6C22483E">
      <w:pPr>
        <w:pStyle w:val="42"/>
        <w:widowControl w:val="0"/>
        <w:numPr>
          <w:ilvl w:val="0"/>
          <w:numId w:val="3"/>
        </w:numPr>
        <w:tabs>
          <w:tab w:val="left" w:pos="907"/>
        </w:tabs>
        <w:adjustRightInd/>
        <w:snapToGrid/>
        <w:ind w:firstLineChars="0"/>
        <w:jc w:val="both"/>
        <w:rPr>
          <w:rFonts w:ascii="宋体" w:hAnsi="宋体" w:cs="宋体"/>
          <w:vanish/>
          <w:color w:val="auto"/>
          <w:szCs w:val="21"/>
        </w:rPr>
      </w:pPr>
    </w:p>
    <w:p w14:paraId="6AA4F2C3">
      <w:pPr>
        <w:widowControl w:val="0"/>
        <w:numPr>
          <w:ilvl w:val="1"/>
          <w:numId w:val="2"/>
        </w:numPr>
        <w:overflowPunct w:val="0"/>
        <w:rPr>
          <w:rFonts w:ascii="宋体" w:hAnsi="宋体" w:cs="宋体"/>
          <w:color w:val="auto"/>
          <w:szCs w:val="21"/>
        </w:rPr>
      </w:pPr>
      <w:r>
        <w:rPr>
          <w:rFonts w:hint="eastAsia" w:ascii="宋体" w:hAnsi="宋体" w:cs="宋体"/>
          <w:color w:val="auto"/>
          <w:szCs w:val="21"/>
          <w:lang w:val="zh-CN"/>
        </w:rPr>
        <w:t>采购文件的异议</w:t>
      </w:r>
      <w:r>
        <w:rPr>
          <w:rFonts w:hint="eastAsia" w:ascii="宋体" w:hAnsi="宋体" w:cs="宋体"/>
          <w:color w:val="auto"/>
          <w:szCs w:val="21"/>
        </w:rPr>
        <w:t xml:space="preserve">  </w:t>
      </w:r>
    </w:p>
    <w:p w14:paraId="104DC497">
      <w:pPr>
        <w:widowControl w:val="0"/>
        <w:tabs>
          <w:tab w:val="left" w:pos="907"/>
        </w:tabs>
        <w:adjustRightInd/>
        <w:snapToGrid/>
        <w:ind w:firstLine="420" w:firstLineChars="200"/>
        <w:jc w:val="both"/>
        <w:rPr>
          <w:rFonts w:ascii="宋体" w:hAnsi="宋体" w:cs="宋体"/>
          <w:color w:val="auto"/>
          <w:szCs w:val="21"/>
        </w:rPr>
      </w:pPr>
      <w:r>
        <w:rPr>
          <w:rFonts w:hint="eastAsia" w:ascii="宋体" w:hAnsi="宋体" w:cs="宋体"/>
          <w:bCs/>
          <w:color w:val="auto"/>
          <w:kern w:val="2"/>
          <w:szCs w:val="21"/>
          <w:lang w:val="zh-CN"/>
        </w:rPr>
        <w:t>投标人或者其他利害关系人对采购文件有异议的，应当在投标截止时间10日前</w:t>
      </w:r>
      <w:r>
        <w:rPr>
          <w:rFonts w:hint="eastAsia" w:ascii="宋体" w:hAnsi="宋体" w:cs="宋体"/>
          <w:color w:val="auto"/>
          <w:kern w:val="2"/>
          <w:szCs w:val="21"/>
          <w:lang w:val="zh-CN"/>
        </w:rPr>
        <w:t>以书面形式向采购代理机构提出，并将材料原件送达采购代理机构，逾期则视为对采购文件所有内容无异议。</w:t>
      </w:r>
      <w:r>
        <w:rPr>
          <w:rFonts w:hint="eastAsia" w:ascii="宋体" w:hAnsi="宋体" w:cs="宋体"/>
          <w:bCs/>
          <w:color w:val="auto"/>
          <w:kern w:val="2"/>
          <w:szCs w:val="21"/>
          <w:lang w:val="zh-CN"/>
        </w:rPr>
        <w:t>异议</w:t>
      </w:r>
      <w:r>
        <w:rPr>
          <w:rFonts w:hint="eastAsia" w:ascii="宋体" w:hAnsi="宋体" w:cs="宋体"/>
          <w:color w:val="auto"/>
          <w:kern w:val="2"/>
          <w:szCs w:val="21"/>
          <w:lang w:val="zh-CN"/>
        </w:rPr>
        <w:t>书面材料必须加盖投标人法人公章，并注明联系人、联系电话、联系地址。</w:t>
      </w:r>
      <w:r>
        <w:rPr>
          <w:rFonts w:hint="eastAsia" w:ascii="宋体" w:hAnsi="宋体" w:cs="宋体"/>
          <w:bCs/>
          <w:color w:val="auto"/>
          <w:kern w:val="2"/>
          <w:szCs w:val="21"/>
          <w:lang w:val="zh-CN"/>
        </w:rPr>
        <w:t>超出</w:t>
      </w:r>
      <w:r>
        <w:rPr>
          <w:rFonts w:hint="eastAsia" w:ascii="宋体" w:hAnsi="宋体" w:cs="宋体"/>
          <w:color w:val="auto"/>
          <w:kern w:val="2"/>
          <w:szCs w:val="21"/>
          <w:lang w:val="zh-CN"/>
        </w:rPr>
        <w:t>提交接收异议截止时间而</w:t>
      </w:r>
      <w:r>
        <w:rPr>
          <w:rFonts w:hint="eastAsia" w:ascii="宋体" w:hAnsi="宋体" w:cs="宋体"/>
          <w:bCs/>
          <w:color w:val="auto"/>
          <w:kern w:val="2"/>
          <w:szCs w:val="21"/>
          <w:lang w:val="zh-CN"/>
        </w:rPr>
        <w:t>提出的任何疑问，</w:t>
      </w:r>
      <w:r>
        <w:rPr>
          <w:rFonts w:hint="eastAsia" w:ascii="宋体" w:hAnsi="宋体" w:cs="宋体"/>
          <w:bCs/>
          <w:color w:val="auto"/>
          <w:kern w:val="2"/>
          <w:szCs w:val="21"/>
        </w:rPr>
        <w:t>采购人或</w:t>
      </w:r>
      <w:r>
        <w:rPr>
          <w:rFonts w:hint="eastAsia" w:ascii="宋体" w:hAnsi="宋体" w:cs="宋体"/>
          <w:bCs/>
          <w:color w:val="auto"/>
          <w:kern w:val="2"/>
          <w:szCs w:val="21"/>
          <w:lang w:val="zh-CN"/>
        </w:rPr>
        <w:t>采购代理机构可不予答复。</w:t>
      </w:r>
    </w:p>
    <w:p w14:paraId="2B9D66F5">
      <w:pPr>
        <w:widowControl w:val="0"/>
        <w:numPr>
          <w:ilvl w:val="1"/>
          <w:numId w:val="2"/>
        </w:numPr>
        <w:overflowPunct w:val="0"/>
        <w:rPr>
          <w:rFonts w:ascii="宋体" w:hAnsi="宋体" w:cs="宋体"/>
          <w:color w:val="auto"/>
          <w:szCs w:val="21"/>
        </w:rPr>
      </w:pPr>
      <w:r>
        <w:rPr>
          <w:rFonts w:hint="eastAsia" w:ascii="宋体" w:hAnsi="宋体" w:cs="宋体"/>
          <w:color w:val="auto"/>
          <w:szCs w:val="21"/>
          <w:lang w:val="zh-CN"/>
        </w:rPr>
        <w:t>评标结果异议</w:t>
      </w:r>
      <w:r>
        <w:rPr>
          <w:rFonts w:hint="eastAsia" w:ascii="宋体" w:hAnsi="宋体" w:cs="宋体"/>
          <w:color w:val="auto"/>
          <w:szCs w:val="21"/>
        </w:rPr>
        <w:t xml:space="preserve">   </w:t>
      </w:r>
    </w:p>
    <w:p w14:paraId="11037F0B">
      <w:pPr>
        <w:widowControl w:val="0"/>
        <w:tabs>
          <w:tab w:val="left" w:pos="907"/>
        </w:tabs>
        <w:adjustRightInd/>
        <w:snapToGrid/>
        <w:ind w:firstLine="420" w:firstLineChars="200"/>
        <w:jc w:val="both"/>
        <w:rPr>
          <w:rFonts w:ascii="宋体" w:hAnsi="宋体" w:cs="宋体"/>
          <w:color w:val="auto"/>
          <w:kern w:val="2"/>
          <w:szCs w:val="21"/>
          <w:lang w:val="zh-CN"/>
        </w:rPr>
      </w:pPr>
      <w:r>
        <w:rPr>
          <w:rFonts w:hint="eastAsia" w:ascii="宋体" w:hAnsi="宋体" w:cs="宋体"/>
          <w:color w:val="auto"/>
          <w:kern w:val="2"/>
          <w:szCs w:val="21"/>
          <w:lang w:val="zh-CN"/>
        </w:rPr>
        <w:t>投标人或者其他利害关系人对评标结果有异议的，应当在中标候选人公示期间向采购代理机构以书面的形式提出，并将完整的异议书面材料原件送达采购代理机构，逾期则视为对评标结果无异议。超出提交异议截止时间而提出的任何疑问，采购代理机构可不予答复。</w:t>
      </w:r>
    </w:p>
    <w:p w14:paraId="5E4F6FD6">
      <w:pPr>
        <w:widowControl w:val="0"/>
        <w:tabs>
          <w:tab w:val="left" w:pos="907"/>
        </w:tabs>
        <w:adjustRightInd/>
        <w:snapToGrid/>
        <w:ind w:firstLine="420" w:firstLineChars="200"/>
        <w:jc w:val="both"/>
        <w:rPr>
          <w:rFonts w:ascii="宋体" w:hAnsi="宋体" w:cs="宋体"/>
          <w:color w:val="auto"/>
          <w:kern w:val="2"/>
          <w:szCs w:val="21"/>
          <w:lang w:val="zh-CN"/>
        </w:rPr>
      </w:pPr>
      <w:r>
        <w:rPr>
          <w:rFonts w:hint="eastAsia" w:ascii="宋体" w:hAnsi="宋体" w:cs="宋体"/>
          <w:color w:val="auto"/>
          <w:kern w:val="2"/>
          <w:szCs w:val="21"/>
          <w:lang w:val="zh-CN"/>
        </w:rPr>
        <w:t>采购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3F64323B">
      <w:pPr>
        <w:widowControl w:val="0"/>
        <w:numPr>
          <w:ilvl w:val="1"/>
          <w:numId w:val="2"/>
        </w:numPr>
        <w:overflowPunct w:val="0"/>
        <w:rPr>
          <w:rFonts w:ascii="宋体" w:hAnsi="宋体" w:cs="宋体"/>
          <w:color w:val="auto"/>
          <w:szCs w:val="21"/>
        </w:rPr>
      </w:pPr>
      <w:r>
        <w:rPr>
          <w:rFonts w:hint="eastAsia" w:ascii="宋体" w:hAnsi="宋体" w:cs="宋体"/>
          <w:color w:val="auto"/>
          <w:szCs w:val="21"/>
        </w:rPr>
        <w:t>以联合体形式参加采购活动的，其异议应当由组成联合体的所有投标人共同提出。</w:t>
      </w:r>
    </w:p>
    <w:p w14:paraId="1EDB294E">
      <w:pPr>
        <w:rPr>
          <w:rFonts w:ascii="宋体" w:hAnsi="宋体" w:cs="宋体"/>
          <w:color w:val="auto"/>
        </w:rPr>
      </w:pPr>
    </w:p>
    <w:p w14:paraId="644F1666">
      <w:pPr>
        <w:pStyle w:val="4"/>
        <w:numPr>
          <w:ilvl w:val="0"/>
          <w:numId w:val="1"/>
        </w:numPr>
        <w:spacing w:before="0" w:after="0" w:line="360" w:lineRule="auto"/>
        <w:jc w:val="center"/>
        <w:rPr>
          <w:rFonts w:ascii="宋体" w:hAnsi="宋体" w:cs="宋体"/>
          <w:color w:val="auto"/>
        </w:rPr>
      </w:pPr>
      <w:bookmarkStart w:id="124" w:name="_Toc29966"/>
      <w:bookmarkStart w:id="125" w:name="_Toc18965"/>
      <w:r>
        <w:rPr>
          <w:rFonts w:hint="eastAsia" w:ascii="宋体" w:hAnsi="宋体" w:cs="宋体"/>
          <w:color w:val="auto"/>
        </w:rPr>
        <w:t>其他</w:t>
      </w:r>
      <w:bookmarkEnd w:id="124"/>
      <w:bookmarkEnd w:id="125"/>
    </w:p>
    <w:p w14:paraId="2205FEF3">
      <w:pPr>
        <w:pStyle w:val="5"/>
        <w:widowControl w:val="0"/>
        <w:numPr>
          <w:ilvl w:val="0"/>
          <w:numId w:val="2"/>
        </w:numPr>
        <w:overflowPunct w:val="0"/>
        <w:rPr>
          <w:rFonts w:ascii="宋体" w:hAnsi="宋体" w:cs="宋体"/>
          <w:color w:val="auto"/>
          <w:sz w:val="21"/>
          <w:szCs w:val="21"/>
        </w:rPr>
      </w:pPr>
      <w:bookmarkStart w:id="126" w:name="_Toc1587"/>
      <w:bookmarkStart w:id="127" w:name="_Toc10272"/>
      <w:r>
        <w:rPr>
          <w:rFonts w:hint="eastAsia" w:ascii="宋体" w:hAnsi="宋体" w:cs="宋体"/>
          <w:color w:val="auto"/>
          <w:sz w:val="21"/>
          <w:szCs w:val="21"/>
        </w:rPr>
        <w:t>采购文件的解释权</w:t>
      </w:r>
      <w:bookmarkEnd w:id="126"/>
      <w:bookmarkEnd w:id="127"/>
    </w:p>
    <w:p w14:paraId="167BAB98">
      <w:pPr>
        <w:pStyle w:val="42"/>
        <w:widowControl w:val="0"/>
        <w:numPr>
          <w:ilvl w:val="0"/>
          <w:numId w:val="3"/>
        </w:numPr>
        <w:tabs>
          <w:tab w:val="left" w:pos="907"/>
        </w:tabs>
        <w:adjustRightInd/>
        <w:snapToGrid/>
        <w:ind w:firstLineChars="0"/>
        <w:jc w:val="both"/>
        <w:rPr>
          <w:rFonts w:ascii="宋体" w:hAnsi="宋体" w:cs="宋体"/>
          <w:vanish/>
          <w:color w:val="auto"/>
          <w:szCs w:val="21"/>
        </w:rPr>
      </w:pPr>
    </w:p>
    <w:p w14:paraId="44E7F5F0">
      <w:pPr>
        <w:widowControl w:val="0"/>
        <w:numPr>
          <w:ilvl w:val="1"/>
          <w:numId w:val="2"/>
        </w:numPr>
        <w:overflowPunct w:val="0"/>
        <w:rPr>
          <w:rFonts w:ascii="宋体" w:hAnsi="宋体" w:cs="宋体"/>
          <w:color w:val="auto"/>
          <w:szCs w:val="21"/>
        </w:rPr>
      </w:pPr>
      <w:r>
        <w:rPr>
          <w:rFonts w:hint="eastAsia" w:ascii="宋体" w:hAnsi="宋体" w:cs="宋体"/>
          <w:color w:val="auto"/>
          <w:szCs w:val="21"/>
        </w:rPr>
        <w:t>本采购文件是根据国家有关法律、法规以及采购管理有关规定和参照国际惯例编制，解释权属本采购代理机构。</w:t>
      </w:r>
    </w:p>
    <w:p w14:paraId="14196275">
      <w:pPr>
        <w:widowControl w:val="0"/>
        <w:numPr>
          <w:ilvl w:val="1"/>
          <w:numId w:val="8"/>
        </w:numPr>
        <w:tabs>
          <w:tab w:val="left" w:pos="907"/>
        </w:tabs>
        <w:adjustRightInd/>
        <w:snapToGrid/>
        <w:spacing w:line="360" w:lineRule="exact"/>
        <w:jc w:val="both"/>
        <w:rPr>
          <w:rFonts w:ascii="宋体" w:hAnsi="宋体"/>
          <w:color w:val="auto"/>
          <w:szCs w:val="21"/>
        </w:rPr>
      </w:pPr>
      <w:r>
        <w:rPr>
          <w:rFonts w:hint="eastAsia" w:ascii="宋体" w:hAnsi="宋体"/>
          <w:color w:val="auto"/>
          <w:szCs w:val="21"/>
        </w:rPr>
        <w:br w:type="page"/>
      </w:r>
    </w:p>
    <w:p w14:paraId="45210FDA">
      <w:pPr>
        <w:pStyle w:val="3"/>
        <w:spacing w:before="0" w:after="0" w:line="240" w:lineRule="auto"/>
        <w:rPr>
          <w:color w:val="auto"/>
          <w:sz w:val="28"/>
          <w:szCs w:val="28"/>
        </w:rPr>
      </w:pPr>
      <w:bookmarkStart w:id="128" w:name="_Toc1092"/>
      <w:r>
        <w:rPr>
          <w:rFonts w:hint="eastAsia"/>
          <w:color w:val="auto"/>
          <w:sz w:val="28"/>
          <w:szCs w:val="28"/>
        </w:rPr>
        <w:t>第五部分  合同条款格式</w:t>
      </w:r>
      <w:bookmarkEnd w:id="128"/>
      <w:bookmarkStart w:id="129" w:name="_Toc15636"/>
    </w:p>
    <w:bookmarkEnd w:id="129"/>
    <w:p w14:paraId="6C6D616D">
      <w:pPr>
        <w:rPr>
          <w:color w:val="auto"/>
          <w:lang w:bidi="zh-CN"/>
        </w:rPr>
      </w:pPr>
      <w:bookmarkStart w:id="130" w:name="_Hlt109815959"/>
      <w:bookmarkEnd w:id="130"/>
    </w:p>
    <w:p w14:paraId="36C827BD">
      <w:pPr>
        <w:spacing w:before="156" w:after="156"/>
        <w:jc w:val="center"/>
        <w:rPr>
          <w:rFonts w:hint="eastAsia" w:ascii="宋体" w:hAnsi="宋体" w:eastAsia="宋体" w:cs="宋体"/>
          <w:b/>
          <w:spacing w:val="20"/>
          <w:sz w:val="44"/>
          <w:szCs w:val="44"/>
        </w:rPr>
      </w:pPr>
      <w:r>
        <w:rPr>
          <w:rFonts w:hint="eastAsia" w:ascii="宋体" w:hAnsi="宋体" w:eastAsia="宋体" w:cs="宋体"/>
          <w:b/>
          <w:spacing w:val="20"/>
          <w:sz w:val="44"/>
          <w:szCs w:val="44"/>
        </w:rPr>
        <w:t>银行间债券市场</w:t>
      </w:r>
    </w:p>
    <w:p w14:paraId="2B2228FA">
      <w:pPr>
        <w:spacing w:before="156" w:after="156"/>
        <w:jc w:val="center"/>
        <w:rPr>
          <w:rFonts w:hint="eastAsia" w:ascii="宋体" w:hAnsi="宋体" w:eastAsia="宋体" w:cs="宋体"/>
          <w:b/>
          <w:spacing w:val="20"/>
          <w:sz w:val="44"/>
          <w:szCs w:val="44"/>
        </w:rPr>
      </w:pPr>
    </w:p>
    <w:p w14:paraId="26571CCA">
      <w:pPr>
        <w:spacing w:before="156" w:after="156"/>
        <w:jc w:val="center"/>
        <w:rPr>
          <w:rFonts w:hint="eastAsia" w:ascii="宋体" w:hAnsi="宋体" w:eastAsia="宋体" w:cs="宋体"/>
          <w:b/>
          <w:spacing w:val="20"/>
          <w:sz w:val="44"/>
          <w:szCs w:val="44"/>
        </w:rPr>
      </w:pPr>
      <w:r>
        <w:rPr>
          <w:rFonts w:hint="eastAsia" w:ascii="宋体" w:hAnsi="宋体" w:eastAsia="宋体" w:cs="宋体"/>
          <w:b/>
          <w:spacing w:val="20"/>
          <w:sz w:val="44"/>
          <w:szCs w:val="44"/>
        </w:rPr>
        <w:t>非金融企业债务融资工具承销协议文本</w:t>
      </w:r>
    </w:p>
    <w:p w14:paraId="64DE2E8C">
      <w:pPr>
        <w:spacing w:line="360" w:lineRule="auto"/>
        <w:jc w:val="center"/>
        <w:rPr>
          <w:rFonts w:hint="eastAsia" w:ascii="宋体" w:hAnsi="宋体" w:eastAsia="宋体" w:cs="宋体"/>
          <w:b/>
          <w:spacing w:val="20"/>
          <w:sz w:val="44"/>
          <w:szCs w:val="44"/>
        </w:rPr>
      </w:pPr>
    </w:p>
    <w:p w14:paraId="33E5AFD3">
      <w:pPr>
        <w:spacing w:line="360" w:lineRule="auto"/>
        <w:jc w:val="center"/>
        <w:rPr>
          <w:rFonts w:hint="eastAsia" w:ascii="宋体" w:hAnsi="宋体" w:eastAsia="宋体" w:cs="宋体"/>
          <w:b/>
          <w:spacing w:val="20"/>
          <w:sz w:val="44"/>
          <w:szCs w:val="44"/>
        </w:rPr>
      </w:pPr>
      <w:r>
        <w:rPr>
          <w:rFonts w:hint="eastAsia" w:ascii="宋体" w:hAnsi="宋体" w:eastAsia="宋体" w:cs="宋体"/>
          <w:b/>
          <w:spacing w:val="20"/>
          <w:sz w:val="44"/>
          <w:szCs w:val="44"/>
        </w:rPr>
        <w:t>（2013版）</w:t>
      </w:r>
    </w:p>
    <w:p w14:paraId="3203BE7D">
      <w:pPr>
        <w:spacing w:before="156" w:after="156" w:line="360" w:lineRule="auto"/>
        <w:rPr>
          <w:rFonts w:hint="eastAsia" w:ascii="宋体" w:hAnsi="宋体" w:eastAsia="宋体" w:cs="宋体"/>
          <w:b/>
          <w:spacing w:val="20"/>
          <w:sz w:val="28"/>
          <w:szCs w:val="28"/>
        </w:rPr>
      </w:pPr>
    </w:p>
    <w:p w14:paraId="4485787C">
      <w:pPr>
        <w:spacing w:before="156" w:after="156" w:line="360" w:lineRule="auto"/>
        <w:rPr>
          <w:rFonts w:hint="eastAsia" w:ascii="宋体" w:hAnsi="宋体" w:eastAsia="宋体" w:cs="宋体"/>
          <w:b/>
          <w:spacing w:val="20"/>
          <w:sz w:val="28"/>
          <w:szCs w:val="28"/>
        </w:rPr>
      </w:pPr>
    </w:p>
    <w:p w14:paraId="710CC343">
      <w:pPr>
        <w:spacing w:before="156" w:after="156" w:line="360" w:lineRule="auto"/>
        <w:rPr>
          <w:rFonts w:hint="eastAsia" w:ascii="宋体" w:hAnsi="宋体" w:eastAsia="宋体" w:cs="宋体"/>
          <w:b/>
          <w:spacing w:val="20"/>
          <w:sz w:val="28"/>
          <w:szCs w:val="28"/>
        </w:rPr>
      </w:pPr>
    </w:p>
    <w:p w14:paraId="3B04B420">
      <w:pPr>
        <w:spacing w:before="156" w:after="156" w:line="360" w:lineRule="auto"/>
        <w:ind w:firstLine="440"/>
        <w:rPr>
          <w:rFonts w:hint="eastAsia" w:ascii="宋体" w:hAnsi="宋体" w:eastAsia="宋体" w:cs="宋体"/>
          <w:b/>
          <w:spacing w:val="20"/>
          <w:sz w:val="28"/>
          <w:szCs w:val="28"/>
        </w:rPr>
      </w:pPr>
    </w:p>
    <w:p w14:paraId="642C12D1">
      <w:pPr>
        <w:spacing w:before="156" w:after="156" w:line="360" w:lineRule="auto"/>
        <w:ind w:firstLine="440"/>
        <w:rPr>
          <w:rFonts w:hint="eastAsia" w:ascii="宋体" w:hAnsi="宋体" w:eastAsia="宋体" w:cs="宋体"/>
          <w:b/>
          <w:spacing w:val="20"/>
          <w:sz w:val="28"/>
          <w:szCs w:val="28"/>
        </w:rPr>
      </w:pPr>
    </w:p>
    <w:p w14:paraId="26CA8D17">
      <w:pPr>
        <w:spacing w:before="156" w:after="156" w:line="360" w:lineRule="auto"/>
        <w:ind w:firstLine="440"/>
        <w:rPr>
          <w:rFonts w:hint="eastAsia" w:ascii="宋体" w:hAnsi="宋体" w:eastAsia="宋体" w:cs="宋体"/>
          <w:b/>
          <w:spacing w:val="20"/>
          <w:sz w:val="28"/>
          <w:szCs w:val="28"/>
        </w:rPr>
      </w:pPr>
    </w:p>
    <w:p w14:paraId="1A431E1E">
      <w:pPr>
        <w:spacing w:before="156" w:after="156" w:line="360" w:lineRule="auto"/>
        <w:ind w:firstLine="440"/>
        <w:rPr>
          <w:rFonts w:hint="eastAsia" w:ascii="宋体" w:hAnsi="宋体" w:eastAsia="宋体" w:cs="宋体"/>
          <w:b/>
          <w:spacing w:val="20"/>
          <w:sz w:val="28"/>
          <w:szCs w:val="28"/>
        </w:rPr>
      </w:pPr>
    </w:p>
    <w:p w14:paraId="50614A44">
      <w:pPr>
        <w:spacing w:before="156" w:after="156" w:line="360" w:lineRule="auto"/>
        <w:ind w:firstLine="440"/>
        <w:rPr>
          <w:rFonts w:hint="eastAsia" w:ascii="宋体" w:hAnsi="宋体" w:eastAsia="宋体" w:cs="宋体"/>
          <w:b/>
          <w:spacing w:val="20"/>
          <w:sz w:val="28"/>
          <w:szCs w:val="28"/>
        </w:rPr>
      </w:pPr>
    </w:p>
    <w:p w14:paraId="1241D7E8">
      <w:pPr>
        <w:spacing w:before="156" w:after="156" w:line="360" w:lineRule="auto"/>
        <w:ind w:firstLine="440"/>
        <w:jc w:val="center"/>
        <w:rPr>
          <w:rFonts w:hint="eastAsia" w:ascii="宋体" w:hAnsi="宋体" w:eastAsia="宋体" w:cs="宋体"/>
          <w:spacing w:val="20"/>
          <w:sz w:val="28"/>
          <w:szCs w:val="28"/>
        </w:rPr>
      </w:pPr>
      <w:r>
        <w:rPr>
          <w:rFonts w:hint="eastAsia" w:ascii="宋体" w:hAnsi="宋体" w:eastAsia="宋体" w:cs="宋体"/>
          <w:spacing w:val="20"/>
          <w:sz w:val="28"/>
          <w:szCs w:val="28"/>
        </w:rPr>
        <w:t>版权所有：中国银行间市场交易商协会 2013</w:t>
      </w:r>
    </w:p>
    <w:p w14:paraId="2A9DC32B">
      <w:pPr>
        <w:spacing w:before="156" w:after="156" w:line="360" w:lineRule="auto"/>
        <w:ind w:firstLine="440"/>
        <w:jc w:val="center"/>
        <w:rPr>
          <w:rFonts w:hint="eastAsia" w:ascii="宋体" w:hAnsi="宋体" w:eastAsia="宋体" w:cs="宋体"/>
          <w:spacing w:val="20"/>
          <w:sz w:val="36"/>
          <w:szCs w:val="36"/>
        </w:rPr>
      </w:pPr>
    </w:p>
    <w:p w14:paraId="775066E6">
      <w:pPr>
        <w:spacing w:before="156" w:after="156" w:line="360" w:lineRule="auto"/>
        <w:ind w:firstLine="440"/>
        <w:jc w:val="center"/>
        <w:rPr>
          <w:rFonts w:hint="eastAsia" w:ascii="宋体" w:hAnsi="宋体" w:eastAsia="宋体" w:cs="宋体"/>
          <w:spacing w:val="20"/>
          <w:sz w:val="36"/>
          <w:szCs w:val="36"/>
        </w:rPr>
      </w:pPr>
      <w:r>
        <w:rPr>
          <w:rFonts w:hint="eastAsia" w:ascii="宋体" w:hAnsi="宋体" w:eastAsia="宋体" w:cs="宋体"/>
          <w:spacing w:val="20"/>
          <w:sz w:val="36"/>
          <w:szCs w:val="36"/>
        </w:rPr>
        <w:t>声  明</w:t>
      </w:r>
    </w:p>
    <w:p w14:paraId="3A013435">
      <w:pPr>
        <w:pStyle w:val="66"/>
        <w:spacing w:line="360" w:lineRule="auto"/>
        <w:ind w:firstLine="601"/>
        <w:jc w:val="both"/>
        <w:rPr>
          <w:rFonts w:hint="eastAsia" w:ascii="宋体" w:hAnsi="宋体" w:eastAsia="宋体" w:cs="宋体"/>
          <w:color w:val="auto"/>
          <w:sz w:val="28"/>
          <w:szCs w:val="28"/>
        </w:rPr>
      </w:pPr>
    </w:p>
    <w:p w14:paraId="05A101EB">
      <w:pPr>
        <w:pStyle w:val="66"/>
        <w:spacing w:line="360" w:lineRule="auto"/>
        <w:ind w:firstLine="601"/>
        <w:jc w:val="both"/>
        <w:rPr>
          <w:rFonts w:hint="eastAsia" w:ascii="宋体" w:hAnsi="宋体" w:eastAsia="宋体" w:cs="宋体"/>
          <w:color w:val="auto"/>
          <w:sz w:val="30"/>
          <w:szCs w:val="30"/>
        </w:rPr>
      </w:pPr>
      <w:r>
        <w:rPr>
          <w:rFonts w:hint="eastAsia" w:ascii="宋体" w:hAnsi="宋体" w:eastAsia="宋体" w:cs="宋体"/>
          <w:color w:val="auto"/>
          <w:sz w:val="30"/>
          <w:szCs w:val="30"/>
        </w:rPr>
        <w:t>《银行间债券市场非金融企业债务融资工具承销协议（2013版）》（简称《承销协议》）的著作权属于中国银行间市场交易商协会。除非为本协议下有关业务或进行教学、研究的目的，未经著作权人事先书面同意，任何人不得复制、复印、翻译或分发《承销协议》的纸质、电子或其他形式版本。</w:t>
      </w:r>
    </w:p>
    <w:p w14:paraId="1C975EC8">
      <w:pPr>
        <w:pStyle w:val="24"/>
        <w:spacing w:before="156" w:after="156" w:line="360" w:lineRule="auto"/>
        <w:ind w:firstLine="600" w:firstLineChars="200"/>
        <w:rPr>
          <w:rFonts w:hint="eastAsia" w:ascii="宋体" w:hAnsi="宋体" w:eastAsia="宋体" w:cs="宋体"/>
          <w:kern w:val="0"/>
          <w:sz w:val="30"/>
          <w:szCs w:val="30"/>
        </w:rPr>
      </w:pPr>
      <w:r>
        <w:rPr>
          <w:rFonts w:hint="eastAsia" w:ascii="宋体" w:hAnsi="宋体" w:eastAsia="宋体" w:cs="宋体"/>
          <w:kern w:val="0"/>
          <w:sz w:val="30"/>
          <w:szCs w:val="30"/>
        </w:rPr>
        <w:t>协议各方可根据《承销协议》的有关约定并经协商一致，对《承销协议》的相关条款进行补充或修改（但不得修改《承销协议》第二十一条），签署相应补充协议。协议各方应及时将承销协议、补充协议（及其修改）报送中国银行间市场交易商协会。</w:t>
      </w:r>
    </w:p>
    <w:p w14:paraId="6DBFA1C6">
      <w:pPr>
        <w:pStyle w:val="66"/>
        <w:spacing w:line="360" w:lineRule="auto"/>
        <w:ind w:firstLine="601"/>
        <w:jc w:val="both"/>
        <w:rPr>
          <w:rFonts w:hint="eastAsia" w:ascii="宋体" w:hAnsi="宋体" w:eastAsia="宋体" w:cs="宋体"/>
          <w:color w:val="auto"/>
          <w:sz w:val="28"/>
          <w:szCs w:val="28"/>
        </w:rPr>
        <w:sectPr>
          <w:footerReference r:id="rId11" w:type="default"/>
          <w:pgSz w:w="11906" w:h="16838"/>
          <w:pgMar w:top="1440" w:right="1797" w:bottom="1440" w:left="1797" w:header="851" w:footer="992" w:gutter="0"/>
          <w:pgNumType w:fmt="decimal"/>
          <w:cols w:space="425" w:num="1"/>
          <w:docGrid w:type="lines" w:linePitch="312" w:charSpace="0"/>
        </w:sectPr>
      </w:pPr>
      <w:r>
        <w:rPr>
          <w:rFonts w:hint="eastAsia" w:ascii="宋体" w:hAnsi="宋体" w:eastAsia="宋体" w:cs="宋体"/>
          <w:color w:val="auto"/>
          <w:sz w:val="28"/>
          <w:szCs w:val="28"/>
        </w:rPr>
        <w:t xml:space="preserve"> </w:t>
      </w:r>
    </w:p>
    <w:p w14:paraId="3E9F79B9">
      <w:pPr>
        <w:spacing w:before="156" w:after="156" w:line="360" w:lineRule="auto"/>
        <w:jc w:val="center"/>
        <w:rPr>
          <w:rFonts w:hint="eastAsia" w:ascii="宋体" w:hAnsi="宋体" w:eastAsia="宋体" w:cs="宋体"/>
          <w:spacing w:val="20"/>
          <w:sz w:val="36"/>
          <w:szCs w:val="36"/>
        </w:rPr>
      </w:pPr>
      <w:r>
        <w:rPr>
          <w:rFonts w:hint="eastAsia" w:ascii="宋体" w:hAnsi="宋体" w:eastAsia="宋体" w:cs="宋体"/>
          <w:spacing w:val="20"/>
          <w:sz w:val="36"/>
          <w:szCs w:val="36"/>
        </w:rPr>
        <w:t>目  录</w:t>
      </w:r>
    </w:p>
    <w:p w14:paraId="19A46AB8">
      <w:pPr>
        <w:spacing w:before="156" w:after="156" w:line="360" w:lineRule="auto"/>
        <w:rPr>
          <w:rFonts w:hint="eastAsia" w:ascii="宋体" w:hAnsi="宋体" w:eastAsia="宋体" w:cs="宋体"/>
          <w:b/>
          <w:spacing w:val="20"/>
          <w:sz w:val="28"/>
          <w:szCs w:val="28"/>
        </w:rPr>
      </w:pPr>
    </w:p>
    <w:p w14:paraId="22093DFF">
      <w:pPr>
        <w:pStyle w:val="20"/>
        <w:tabs>
          <w:tab w:val="left" w:pos="1020"/>
          <w:tab w:val="right" w:leader="dot" w:pos="8302"/>
        </w:tabs>
        <w:rPr>
          <w:rFonts w:hint="eastAsia" w:ascii="宋体" w:hAnsi="宋体" w:eastAsia="宋体" w:cs="宋体"/>
          <w:sz w:val="24"/>
          <w:szCs w:val="24"/>
        </w:rPr>
      </w:pPr>
      <w:r>
        <w:rPr>
          <w:rFonts w:hint="eastAsia" w:ascii="宋体" w:hAnsi="宋体" w:eastAsia="宋体" w:cs="宋体"/>
          <w:spacing w:val="20"/>
          <w:sz w:val="24"/>
          <w:szCs w:val="24"/>
        </w:rPr>
        <w:fldChar w:fldCharType="begin"/>
      </w:r>
      <w:r>
        <w:rPr>
          <w:rFonts w:hint="eastAsia" w:ascii="宋体" w:hAnsi="宋体" w:eastAsia="宋体" w:cs="宋体"/>
          <w:spacing w:val="20"/>
          <w:sz w:val="24"/>
          <w:szCs w:val="24"/>
        </w:rPr>
        <w:instrText xml:space="preserve"> TOC \o "1-3" \h \z </w:instrText>
      </w:r>
      <w:r>
        <w:rPr>
          <w:rFonts w:hint="eastAsia" w:ascii="宋体" w:hAnsi="宋体" w:eastAsia="宋体" w:cs="宋体"/>
          <w:spacing w:val="20"/>
          <w:sz w:val="24"/>
          <w:szCs w:val="24"/>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"_Toc257911870" </w:instrText>
      </w:r>
      <w:r>
        <w:rPr>
          <w:rFonts w:hint="eastAsia" w:ascii="宋体" w:hAnsi="宋体" w:eastAsia="宋体" w:cs="宋体"/>
        </w:rPr>
        <w:fldChar w:fldCharType="separate"/>
      </w:r>
      <w:r>
        <w:rPr>
          <w:rStyle w:val="35"/>
          <w:rFonts w:hint="eastAsia" w:ascii="宋体" w:hAnsi="宋体" w:eastAsia="宋体" w:cs="宋体"/>
          <w:sz w:val="24"/>
          <w:szCs w:val="24"/>
        </w:rPr>
        <w:t>第一条</w:t>
      </w:r>
      <w:r>
        <w:rPr>
          <w:rFonts w:hint="eastAsia" w:ascii="宋体" w:hAnsi="宋体" w:eastAsia="宋体" w:cs="宋体"/>
          <w:sz w:val="24"/>
          <w:szCs w:val="24"/>
        </w:rPr>
        <w:tab/>
      </w:r>
      <w:r>
        <w:rPr>
          <w:rStyle w:val="35"/>
          <w:rFonts w:hint="eastAsia" w:ascii="宋体" w:hAnsi="宋体" w:eastAsia="宋体" w:cs="宋体"/>
          <w:sz w:val="24"/>
          <w:szCs w:val="24"/>
        </w:rPr>
        <w:t>定义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_Toc257911870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6E6C7D6">
      <w:pPr>
        <w:pStyle w:val="20"/>
        <w:tabs>
          <w:tab w:val="left" w:pos="1020"/>
          <w:tab w:val="right" w:leader="dot" w:pos="8302"/>
        </w:tabs>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"_Toc257911871" </w:instrText>
      </w:r>
      <w:r>
        <w:rPr>
          <w:rFonts w:hint="eastAsia" w:ascii="宋体" w:hAnsi="宋体" w:eastAsia="宋体" w:cs="宋体"/>
        </w:rPr>
        <w:fldChar w:fldCharType="separate"/>
      </w:r>
      <w:r>
        <w:rPr>
          <w:rStyle w:val="35"/>
          <w:rFonts w:hint="eastAsia" w:ascii="宋体" w:hAnsi="宋体" w:eastAsia="宋体" w:cs="宋体"/>
          <w:sz w:val="24"/>
          <w:szCs w:val="24"/>
        </w:rPr>
        <w:t>第二条</w:t>
      </w:r>
      <w:r>
        <w:rPr>
          <w:rFonts w:hint="eastAsia" w:ascii="宋体" w:hAnsi="宋体" w:eastAsia="宋体" w:cs="宋体"/>
          <w:sz w:val="24"/>
          <w:szCs w:val="24"/>
        </w:rPr>
        <w:tab/>
      </w:r>
      <w:r>
        <w:rPr>
          <w:rStyle w:val="35"/>
          <w:rFonts w:hint="eastAsia" w:ascii="宋体" w:hAnsi="宋体" w:eastAsia="宋体" w:cs="宋体"/>
          <w:sz w:val="24"/>
          <w:szCs w:val="24"/>
        </w:rPr>
        <w:t>协议的构成与效力等级</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_Toc257911871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A93D6AD">
      <w:pPr>
        <w:pStyle w:val="20"/>
        <w:tabs>
          <w:tab w:val="left" w:pos="1020"/>
          <w:tab w:val="right" w:leader="dot" w:pos="8302"/>
        </w:tabs>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"_Toc257911872" </w:instrText>
      </w:r>
      <w:r>
        <w:rPr>
          <w:rFonts w:hint="eastAsia" w:ascii="宋体" w:hAnsi="宋体" w:eastAsia="宋体" w:cs="宋体"/>
        </w:rPr>
        <w:fldChar w:fldCharType="separate"/>
      </w:r>
      <w:r>
        <w:rPr>
          <w:rStyle w:val="35"/>
          <w:rFonts w:hint="eastAsia" w:ascii="宋体" w:hAnsi="宋体" w:eastAsia="宋体" w:cs="宋体"/>
          <w:sz w:val="24"/>
          <w:szCs w:val="24"/>
        </w:rPr>
        <w:t>第三条</w:t>
      </w:r>
      <w:r>
        <w:rPr>
          <w:rFonts w:hint="eastAsia" w:ascii="宋体" w:hAnsi="宋体" w:eastAsia="宋体" w:cs="宋体"/>
          <w:sz w:val="24"/>
          <w:szCs w:val="24"/>
        </w:rPr>
        <w:tab/>
      </w:r>
      <w:r>
        <w:rPr>
          <w:rStyle w:val="35"/>
          <w:rFonts w:hint="eastAsia" w:ascii="宋体" w:hAnsi="宋体" w:eastAsia="宋体" w:cs="宋体"/>
          <w:sz w:val="24"/>
          <w:szCs w:val="24"/>
        </w:rPr>
        <w:t>对承销方的委任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_Toc257911872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2364782">
      <w:pPr>
        <w:pStyle w:val="20"/>
        <w:tabs>
          <w:tab w:val="left" w:pos="1020"/>
          <w:tab w:val="right" w:leader="dot" w:pos="8302"/>
        </w:tabs>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"_Toc257911873" </w:instrText>
      </w:r>
      <w:r>
        <w:rPr>
          <w:rFonts w:hint="eastAsia" w:ascii="宋体" w:hAnsi="宋体" w:eastAsia="宋体" w:cs="宋体"/>
        </w:rPr>
        <w:fldChar w:fldCharType="separate"/>
      </w:r>
      <w:r>
        <w:rPr>
          <w:rStyle w:val="35"/>
          <w:rFonts w:hint="eastAsia" w:ascii="宋体" w:hAnsi="宋体" w:eastAsia="宋体" w:cs="宋体"/>
          <w:sz w:val="24"/>
          <w:szCs w:val="24"/>
        </w:rPr>
        <w:t>第四条</w:t>
      </w:r>
      <w:r>
        <w:rPr>
          <w:rFonts w:hint="eastAsia" w:ascii="宋体" w:hAnsi="宋体" w:eastAsia="宋体" w:cs="宋体"/>
          <w:sz w:val="24"/>
          <w:szCs w:val="24"/>
        </w:rPr>
        <w:tab/>
      </w:r>
      <w:r>
        <w:rPr>
          <w:rStyle w:val="35"/>
          <w:rFonts w:hint="eastAsia" w:ascii="宋体" w:hAnsi="宋体" w:eastAsia="宋体" w:cs="宋体"/>
          <w:sz w:val="24"/>
          <w:szCs w:val="24"/>
        </w:rPr>
        <w:t>债务融资工具的发行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_Toc257911873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AE89A91">
      <w:pPr>
        <w:pStyle w:val="20"/>
        <w:tabs>
          <w:tab w:val="left" w:pos="1020"/>
          <w:tab w:val="right" w:leader="dot" w:pos="8302"/>
        </w:tabs>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"_Toc257911874" </w:instrText>
      </w:r>
      <w:r>
        <w:rPr>
          <w:rFonts w:hint="eastAsia" w:ascii="宋体" w:hAnsi="宋体" w:eastAsia="宋体" w:cs="宋体"/>
        </w:rPr>
        <w:fldChar w:fldCharType="separate"/>
      </w:r>
      <w:r>
        <w:rPr>
          <w:rStyle w:val="35"/>
          <w:rFonts w:hint="eastAsia" w:ascii="宋体" w:hAnsi="宋体" w:eastAsia="宋体" w:cs="宋体"/>
          <w:sz w:val="24"/>
          <w:szCs w:val="24"/>
        </w:rPr>
        <w:t>第五条</w:t>
      </w:r>
      <w:r>
        <w:rPr>
          <w:rFonts w:hint="eastAsia" w:ascii="宋体" w:hAnsi="宋体" w:eastAsia="宋体" w:cs="宋体"/>
          <w:sz w:val="24"/>
          <w:szCs w:val="24"/>
        </w:rPr>
        <w:tab/>
      </w:r>
      <w:r>
        <w:rPr>
          <w:rStyle w:val="35"/>
          <w:rFonts w:hint="eastAsia" w:ascii="宋体" w:hAnsi="宋体" w:eastAsia="宋体" w:cs="宋体"/>
          <w:sz w:val="24"/>
          <w:szCs w:val="24"/>
        </w:rPr>
        <w:t>债务融资工具的承销</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_Toc257911874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49E2738">
      <w:pPr>
        <w:pStyle w:val="20"/>
        <w:tabs>
          <w:tab w:val="left" w:pos="1020"/>
          <w:tab w:val="right" w:leader="dot" w:pos="8302"/>
        </w:tabs>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"_Toc257911875" </w:instrText>
      </w:r>
      <w:r>
        <w:rPr>
          <w:rFonts w:hint="eastAsia" w:ascii="宋体" w:hAnsi="宋体" w:eastAsia="宋体" w:cs="宋体"/>
        </w:rPr>
        <w:fldChar w:fldCharType="separate"/>
      </w:r>
      <w:r>
        <w:rPr>
          <w:rStyle w:val="35"/>
          <w:rFonts w:hint="eastAsia" w:ascii="宋体" w:hAnsi="宋体" w:eastAsia="宋体" w:cs="宋体"/>
          <w:sz w:val="24"/>
          <w:szCs w:val="24"/>
        </w:rPr>
        <w:t>第六条</w:t>
      </w:r>
      <w:r>
        <w:rPr>
          <w:rFonts w:hint="eastAsia" w:ascii="宋体" w:hAnsi="宋体" w:eastAsia="宋体" w:cs="宋体"/>
          <w:sz w:val="24"/>
          <w:szCs w:val="24"/>
        </w:rPr>
        <w:tab/>
      </w:r>
      <w:r>
        <w:rPr>
          <w:rStyle w:val="35"/>
          <w:rFonts w:hint="eastAsia" w:ascii="宋体" w:hAnsi="宋体" w:eastAsia="宋体" w:cs="宋体"/>
          <w:sz w:val="24"/>
          <w:szCs w:val="24"/>
        </w:rPr>
        <w:t>募集资金划付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_Toc257911875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AD1E659">
      <w:pPr>
        <w:pStyle w:val="20"/>
        <w:tabs>
          <w:tab w:val="left" w:pos="1020"/>
          <w:tab w:val="right" w:leader="dot" w:pos="8302"/>
        </w:tabs>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"_Toc257911876" </w:instrText>
      </w:r>
      <w:r>
        <w:rPr>
          <w:rFonts w:hint="eastAsia" w:ascii="宋体" w:hAnsi="宋体" w:eastAsia="宋体" w:cs="宋体"/>
        </w:rPr>
        <w:fldChar w:fldCharType="separate"/>
      </w:r>
      <w:r>
        <w:rPr>
          <w:rStyle w:val="35"/>
          <w:rFonts w:hint="eastAsia" w:ascii="宋体" w:hAnsi="宋体" w:eastAsia="宋体" w:cs="宋体"/>
          <w:sz w:val="24"/>
          <w:szCs w:val="24"/>
        </w:rPr>
        <w:t>第七条</w:t>
      </w:r>
      <w:r>
        <w:rPr>
          <w:rFonts w:hint="eastAsia" w:ascii="宋体" w:hAnsi="宋体" w:eastAsia="宋体" w:cs="宋体"/>
          <w:sz w:val="24"/>
          <w:szCs w:val="24"/>
        </w:rPr>
        <w:tab/>
      </w:r>
      <w:r>
        <w:rPr>
          <w:rStyle w:val="35"/>
          <w:rFonts w:hint="eastAsia" w:ascii="宋体" w:hAnsi="宋体" w:eastAsia="宋体" w:cs="宋体"/>
          <w:sz w:val="24"/>
          <w:szCs w:val="24"/>
        </w:rPr>
        <w:t>费用及支付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_Toc257911876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F32EB8B">
      <w:pPr>
        <w:pStyle w:val="20"/>
        <w:tabs>
          <w:tab w:val="left" w:pos="1020"/>
          <w:tab w:val="right" w:leader="dot" w:pos="8302"/>
        </w:tabs>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"_Toc257911877" </w:instrText>
      </w:r>
      <w:r>
        <w:rPr>
          <w:rFonts w:hint="eastAsia" w:ascii="宋体" w:hAnsi="宋体" w:eastAsia="宋体" w:cs="宋体"/>
        </w:rPr>
        <w:fldChar w:fldCharType="separate"/>
      </w:r>
      <w:r>
        <w:rPr>
          <w:rStyle w:val="35"/>
          <w:rFonts w:hint="eastAsia" w:ascii="宋体" w:hAnsi="宋体" w:eastAsia="宋体" w:cs="宋体"/>
          <w:sz w:val="24"/>
          <w:szCs w:val="24"/>
        </w:rPr>
        <w:t>第八条</w:t>
      </w:r>
      <w:r>
        <w:rPr>
          <w:rFonts w:hint="eastAsia" w:ascii="宋体" w:hAnsi="宋体" w:eastAsia="宋体" w:cs="宋体"/>
          <w:sz w:val="24"/>
          <w:szCs w:val="24"/>
        </w:rPr>
        <w:tab/>
      </w:r>
      <w:r>
        <w:rPr>
          <w:rStyle w:val="35"/>
          <w:rFonts w:hint="eastAsia" w:ascii="宋体" w:hAnsi="宋体" w:eastAsia="宋体" w:cs="宋体"/>
          <w:sz w:val="24"/>
          <w:szCs w:val="24"/>
        </w:rPr>
        <w:t>信息披露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_Toc257911877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C36857C">
      <w:pPr>
        <w:pStyle w:val="20"/>
        <w:tabs>
          <w:tab w:val="left" w:pos="1020"/>
          <w:tab w:val="right" w:leader="dot" w:pos="8302"/>
        </w:tabs>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"_Toc257911878" </w:instrText>
      </w:r>
      <w:r>
        <w:rPr>
          <w:rFonts w:hint="eastAsia" w:ascii="宋体" w:hAnsi="宋体" w:eastAsia="宋体" w:cs="宋体"/>
        </w:rPr>
        <w:fldChar w:fldCharType="separate"/>
      </w:r>
      <w:r>
        <w:rPr>
          <w:rStyle w:val="35"/>
          <w:rFonts w:hint="eastAsia" w:ascii="宋体" w:hAnsi="宋体" w:eastAsia="宋体" w:cs="宋体"/>
          <w:sz w:val="24"/>
          <w:szCs w:val="24"/>
        </w:rPr>
        <w:t>第九条</w:t>
      </w:r>
      <w:r>
        <w:rPr>
          <w:rFonts w:hint="eastAsia" w:ascii="宋体" w:hAnsi="宋体" w:eastAsia="宋体" w:cs="宋体"/>
          <w:sz w:val="24"/>
          <w:szCs w:val="24"/>
        </w:rPr>
        <w:tab/>
      </w:r>
      <w:r>
        <w:rPr>
          <w:rStyle w:val="35"/>
          <w:rFonts w:hint="eastAsia" w:ascii="宋体" w:hAnsi="宋体" w:eastAsia="宋体" w:cs="宋体"/>
          <w:sz w:val="24"/>
          <w:szCs w:val="24"/>
        </w:rPr>
        <w:t>付息和本金兑付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_Toc257911878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C87C2FA">
      <w:pPr>
        <w:pStyle w:val="20"/>
        <w:tabs>
          <w:tab w:val="left" w:pos="1020"/>
          <w:tab w:val="right" w:leader="dot" w:pos="8302"/>
        </w:tabs>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"_Toc257911879" </w:instrText>
      </w:r>
      <w:r>
        <w:rPr>
          <w:rFonts w:hint="eastAsia" w:ascii="宋体" w:hAnsi="宋体" w:eastAsia="宋体" w:cs="宋体"/>
        </w:rPr>
        <w:fldChar w:fldCharType="separate"/>
      </w:r>
      <w:r>
        <w:rPr>
          <w:rStyle w:val="35"/>
          <w:rFonts w:hint="eastAsia" w:ascii="宋体" w:hAnsi="宋体" w:eastAsia="宋体" w:cs="宋体"/>
          <w:sz w:val="24"/>
          <w:szCs w:val="24"/>
        </w:rPr>
        <w:t>第十条</w:t>
      </w:r>
      <w:r>
        <w:rPr>
          <w:rFonts w:hint="eastAsia" w:ascii="宋体" w:hAnsi="宋体" w:eastAsia="宋体" w:cs="宋体"/>
          <w:sz w:val="24"/>
          <w:szCs w:val="24"/>
        </w:rPr>
        <w:tab/>
      </w:r>
      <w:r>
        <w:rPr>
          <w:rStyle w:val="35"/>
          <w:rFonts w:hint="eastAsia" w:ascii="宋体" w:hAnsi="宋体" w:eastAsia="宋体" w:cs="宋体"/>
          <w:sz w:val="24"/>
          <w:szCs w:val="24"/>
        </w:rPr>
        <w:t>债务融资工具的后续管理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_Toc257911879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21E6BF5">
      <w:pPr>
        <w:pStyle w:val="20"/>
        <w:tabs>
          <w:tab w:val="left" w:pos="1020"/>
          <w:tab w:val="right" w:leader="dot" w:pos="8302"/>
        </w:tabs>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"_Toc257911880" </w:instrText>
      </w:r>
      <w:r>
        <w:rPr>
          <w:rFonts w:hint="eastAsia" w:ascii="宋体" w:hAnsi="宋体" w:eastAsia="宋体" w:cs="宋体"/>
        </w:rPr>
        <w:fldChar w:fldCharType="separate"/>
      </w:r>
      <w:r>
        <w:rPr>
          <w:rStyle w:val="35"/>
          <w:rFonts w:hint="eastAsia" w:ascii="宋体" w:hAnsi="宋体" w:eastAsia="宋体" w:cs="宋体"/>
          <w:sz w:val="24"/>
          <w:szCs w:val="24"/>
        </w:rPr>
        <w:t>第十一条</w:t>
      </w:r>
      <w:r>
        <w:rPr>
          <w:rFonts w:hint="eastAsia" w:ascii="宋体" w:hAnsi="宋体" w:eastAsia="宋体" w:cs="宋体"/>
          <w:sz w:val="24"/>
          <w:szCs w:val="24"/>
        </w:rPr>
        <w:tab/>
      </w:r>
      <w:r>
        <w:rPr>
          <w:rFonts w:hint="eastAsia" w:ascii="宋体" w:hAnsi="宋体" w:eastAsia="宋体" w:cs="宋体"/>
          <w:sz w:val="24"/>
          <w:szCs w:val="24"/>
        </w:rPr>
        <w:t xml:space="preserve"> </w:t>
      </w:r>
      <w:r>
        <w:rPr>
          <w:rStyle w:val="35"/>
          <w:rFonts w:hint="eastAsia" w:ascii="宋体" w:hAnsi="宋体" w:eastAsia="宋体" w:cs="宋体"/>
          <w:sz w:val="24"/>
          <w:szCs w:val="24"/>
        </w:rPr>
        <w:t>声明、保证和承诺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_Toc257911880 \h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2E65BCF">
      <w:pPr>
        <w:pStyle w:val="20"/>
        <w:tabs>
          <w:tab w:val="left" w:pos="1020"/>
          <w:tab w:val="right" w:leader="dot" w:pos="8302"/>
        </w:tabs>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"_Toc257911881" </w:instrText>
      </w:r>
      <w:r>
        <w:rPr>
          <w:rFonts w:hint="eastAsia" w:ascii="宋体" w:hAnsi="宋体" w:eastAsia="宋体" w:cs="宋体"/>
        </w:rPr>
        <w:fldChar w:fldCharType="separate"/>
      </w:r>
      <w:r>
        <w:rPr>
          <w:rStyle w:val="35"/>
          <w:rFonts w:hint="eastAsia" w:ascii="宋体" w:hAnsi="宋体" w:eastAsia="宋体" w:cs="宋体"/>
          <w:sz w:val="24"/>
          <w:szCs w:val="24"/>
        </w:rPr>
        <w:t>第十二条  先决条件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_Toc257911881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AC00618">
      <w:pPr>
        <w:pStyle w:val="20"/>
        <w:tabs>
          <w:tab w:val="left" w:pos="1020"/>
          <w:tab w:val="right" w:leader="dot" w:pos="8302"/>
        </w:tabs>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"_Toc257911882" </w:instrText>
      </w:r>
      <w:r>
        <w:rPr>
          <w:rFonts w:hint="eastAsia" w:ascii="宋体" w:hAnsi="宋体" w:eastAsia="宋体" w:cs="宋体"/>
        </w:rPr>
        <w:fldChar w:fldCharType="separate"/>
      </w:r>
      <w:r>
        <w:rPr>
          <w:rStyle w:val="35"/>
          <w:rFonts w:hint="eastAsia" w:ascii="宋体" w:hAnsi="宋体" w:eastAsia="宋体" w:cs="宋体"/>
          <w:sz w:val="24"/>
          <w:szCs w:val="24"/>
        </w:rPr>
        <w:t>第十三条  重大不利事件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_Toc257911882 \h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668DA3B">
      <w:pPr>
        <w:pStyle w:val="20"/>
        <w:tabs>
          <w:tab w:val="left" w:pos="1020"/>
          <w:tab w:val="right" w:leader="dot" w:pos="8302"/>
        </w:tabs>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"_Toc257911883" </w:instrText>
      </w:r>
      <w:r>
        <w:rPr>
          <w:rFonts w:hint="eastAsia" w:ascii="宋体" w:hAnsi="宋体" w:eastAsia="宋体" w:cs="宋体"/>
        </w:rPr>
        <w:fldChar w:fldCharType="separate"/>
      </w:r>
      <w:r>
        <w:rPr>
          <w:rStyle w:val="35"/>
          <w:rFonts w:hint="eastAsia" w:ascii="宋体" w:hAnsi="宋体" w:eastAsia="宋体" w:cs="宋体"/>
          <w:sz w:val="24"/>
          <w:szCs w:val="24"/>
        </w:rPr>
        <w:t>第十四条  违约事件及违约责任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_Toc257911883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DDFBD4C">
      <w:pPr>
        <w:pStyle w:val="20"/>
        <w:tabs>
          <w:tab w:val="left" w:pos="1020"/>
          <w:tab w:val="right" w:leader="dot" w:pos="8302"/>
        </w:tabs>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"_Toc257911884" </w:instrText>
      </w:r>
      <w:r>
        <w:rPr>
          <w:rFonts w:hint="eastAsia" w:ascii="宋体" w:hAnsi="宋体" w:eastAsia="宋体" w:cs="宋体"/>
        </w:rPr>
        <w:fldChar w:fldCharType="separate"/>
      </w:r>
      <w:r>
        <w:rPr>
          <w:rStyle w:val="35"/>
          <w:rFonts w:hint="eastAsia" w:ascii="宋体" w:hAnsi="宋体" w:eastAsia="宋体" w:cs="宋体"/>
          <w:sz w:val="24"/>
          <w:szCs w:val="24"/>
        </w:rPr>
        <w:t>第十五条  不可抗力</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_Toc257911884 \h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AAA5D91">
      <w:pPr>
        <w:pStyle w:val="20"/>
        <w:tabs>
          <w:tab w:val="left" w:pos="1020"/>
          <w:tab w:val="right" w:leader="dot" w:pos="8302"/>
        </w:tabs>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"_Toc257911885" </w:instrText>
      </w:r>
      <w:r>
        <w:rPr>
          <w:rFonts w:hint="eastAsia" w:ascii="宋体" w:hAnsi="宋体" w:eastAsia="宋体" w:cs="宋体"/>
        </w:rPr>
        <w:fldChar w:fldCharType="separate"/>
      </w:r>
      <w:r>
        <w:rPr>
          <w:rStyle w:val="35"/>
          <w:rFonts w:hint="eastAsia" w:ascii="宋体" w:hAnsi="宋体" w:eastAsia="宋体" w:cs="宋体"/>
          <w:sz w:val="24"/>
          <w:szCs w:val="24"/>
        </w:rPr>
        <w:t>第十六条  保密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_Toc257911885 \h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0A53321">
      <w:pPr>
        <w:pStyle w:val="20"/>
        <w:tabs>
          <w:tab w:val="left" w:pos="1020"/>
          <w:tab w:val="right" w:leader="dot" w:pos="8302"/>
        </w:tabs>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"_Toc257911886" </w:instrText>
      </w:r>
      <w:r>
        <w:rPr>
          <w:rFonts w:hint="eastAsia" w:ascii="宋体" w:hAnsi="宋体" w:eastAsia="宋体" w:cs="宋体"/>
        </w:rPr>
        <w:fldChar w:fldCharType="separate"/>
      </w:r>
      <w:r>
        <w:rPr>
          <w:rStyle w:val="35"/>
          <w:rFonts w:hint="eastAsia" w:ascii="宋体" w:hAnsi="宋体" w:eastAsia="宋体" w:cs="宋体"/>
          <w:sz w:val="24"/>
          <w:szCs w:val="24"/>
        </w:rPr>
        <w:t>第十七条  转让</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_Toc257911886 \h </w:instrText>
      </w:r>
      <w:r>
        <w:rPr>
          <w:rFonts w:hint="eastAsia" w:ascii="宋体" w:hAnsi="宋体" w:eastAsia="宋体" w:cs="宋体"/>
          <w:sz w:val="24"/>
          <w:szCs w:val="24"/>
        </w:rPr>
        <w:fldChar w:fldCharType="separate"/>
      </w:r>
      <w:r>
        <w:rPr>
          <w:rFonts w:hint="eastAsia" w:ascii="宋体" w:hAnsi="宋体" w:eastAsia="宋体" w:cs="宋体"/>
          <w:sz w:val="24"/>
          <w:szCs w:val="24"/>
        </w:rPr>
        <w:t>60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63263DB">
      <w:pPr>
        <w:pStyle w:val="20"/>
        <w:tabs>
          <w:tab w:val="left" w:pos="1020"/>
          <w:tab w:val="right" w:leader="dot" w:pos="8302"/>
        </w:tabs>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"_Toc257911887" </w:instrText>
      </w:r>
      <w:r>
        <w:rPr>
          <w:rFonts w:hint="eastAsia" w:ascii="宋体" w:hAnsi="宋体" w:eastAsia="宋体" w:cs="宋体"/>
        </w:rPr>
        <w:fldChar w:fldCharType="separate"/>
      </w:r>
      <w:r>
        <w:rPr>
          <w:rStyle w:val="35"/>
          <w:rFonts w:hint="eastAsia" w:ascii="宋体" w:hAnsi="宋体" w:eastAsia="宋体" w:cs="宋体"/>
          <w:sz w:val="24"/>
          <w:szCs w:val="24"/>
        </w:rPr>
        <w:t>第十八条  不放弃权利</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_Toc257911887 \h </w:instrText>
      </w:r>
      <w:r>
        <w:rPr>
          <w:rFonts w:hint="eastAsia" w:ascii="宋体" w:hAnsi="宋体" w:eastAsia="宋体" w:cs="宋体"/>
          <w:sz w:val="24"/>
          <w:szCs w:val="24"/>
        </w:rPr>
        <w:fldChar w:fldCharType="separate"/>
      </w:r>
      <w:r>
        <w:rPr>
          <w:rFonts w:hint="eastAsia" w:ascii="宋体" w:hAnsi="宋体" w:eastAsia="宋体" w:cs="宋体"/>
          <w:sz w:val="24"/>
          <w:szCs w:val="24"/>
        </w:rPr>
        <w:t>60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1E8D542">
      <w:pPr>
        <w:pStyle w:val="20"/>
        <w:tabs>
          <w:tab w:val="left" w:pos="1020"/>
          <w:tab w:val="right" w:leader="dot" w:pos="8302"/>
        </w:tabs>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"_Toc257911888" </w:instrText>
      </w:r>
      <w:r>
        <w:rPr>
          <w:rFonts w:hint="eastAsia" w:ascii="宋体" w:hAnsi="宋体" w:eastAsia="宋体" w:cs="宋体"/>
        </w:rPr>
        <w:fldChar w:fldCharType="separate"/>
      </w:r>
      <w:r>
        <w:rPr>
          <w:rStyle w:val="35"/>
          <w:rFonts w:hint="eastAsia" w:ascii="宋体" w:hAnsi="宋体" w:eastAsia="宋体" w:cs="宋体"/>
          <w:sz w:val="24"/>
          <w:szCs w:val="24"/>
        </w:rPr>
        <w:t>第十九条  通知方式及其生效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_Toc257911888 \h </w:instrText>
      </w:r>
      <w:r>
        <w:rPr>
          <w:rFonts w:hint="eastAsia" w:ascii="宋体" w:hAnsi="宋体" w:eastAsia="宋体" w:cs="宋体"/>
          <w:sz w:val="24"/>
          <w:szCs w:val="24"/>
        </w:rPr>
        <w:fldChar w:fldCharType="separate"/>
      </w:r>
      <w:r>
        <w:rPr>
          <w:rFonts w:hint="eastAsia" w:ascii="宋体" w:hAnsi="宋体" w:eastAsia="宋体" w:cs="宋体"/>
          <w:sz w:val="24"/>
          <w:szCs w:val="24"/>
        </w:rPr>
        <w:t>60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38A44A7">
      <w:pPr>
        <w:pStyle w:val="20"/>
        <w:tabs>
          <w:tab w:val="left" w:pos="1020"/>
          <w:tab w:val="right" w:leader="dot" w:pos="8302"/>
        </w:tabs>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"_Toc257911889" </w:instrText>
      </w:r>
      <w:r>
        <w:rPr>
          <w:rFonts w:hint="eastAsia" w:ascii="宋体" w:hAnsi="宋体" w:eastAsia="宋体" w:cs="宋体"/>
        </w:rPr>
        <w:fldChar w:fldCharType="separate"/>
      </w:r>
      <w:r>
        <w:rPr>
          <w:rStyle w:val="35"/>
          <w:rFonts w:hint="eastAsia" w:ascii="宋体" w:hAnsi="宋体" w:eastAsia="宋体" w:cs="宋体"/>
          <w:sz w:val="24"/>
          <w:szCs w:val="24"/>
        </w:rPr>
        <w:t>第二十条  协议的签署和生效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_Toc257911889 \h </w:instrText>
      </w:r>
      <w:r>
        <w:rPr>
          <w:rFonts w:hint="eastAsia" w:ascii="宋体" w:hAnsi="宋体" w:eastAsia="宋体" w:cs="宋体"/>
          <w:sz w:val="24"/>
          <w:szCs w:val="24"/>
        </w:rPr>
        <w:fldChar w:fldCharType="separate"/>
      </w:r>
      <w:r>
        <w:rPr>
          <w:rFonts w:hint="eastAsia" w:ascii="宋体" w:hAnsi="宋体" w:eastAsia="宋体" w:cs="宋体"/>
          <w:sz w:val="24"/>
          <w:szCs w:val="24"/>
        </w:rPr>
        <w:t>62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46C609A">
      <w:pPr>
        <w:pStyle w:val="20"/>
        <w:tabs>
          <w:tab w:val="left" w:pos="1020"/>
          <w:tab w:val="right" w:leader="dot" w:pos="8302"/>
        </w:tabs>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"_Toc257911890" </w:instrText>
      </w:r>
      <w:r>
        <w:rPr>
          <w:rFonts w:hint="eastAsia" w:ascii="宋体" w:hAnsi="宋体" w:eastAsia="宋体" w:cs="宋体"/>
        </w:rPr>
        <w:fldChar w:fldCharType="separate"/>
      </w:r>
      <w:r>
        <w:rPr>
          <w:rStyle w:val="35"/>
          <w:rFonts w:hint="eastAsia" w:ascii="宋体" w:hAnsi="宋体" w:eastAsia="宋体" w:cs="宋体"/>
          <w:sz w:val="24"/>
          <w:szCs w:val="24"/>
        </w:rPr>
        <w:t>第二十一条  协议的修改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_Toc257911890 \h </w:instrText>
      </w:r>
      <w:r>
        <w:rPr>
          <w:rFonts w:hint="eastAsia" w:ascii="宋体" w:hAnsi="宋体" w:eastAsia="宋体" w:cs="宋体"/>
          <w:sz w:val="24"/>
          <w:szCs w:val="24"/>
        </w:rPr>
        <w:fldChar w:fldCharType="separate"/>
      </w:r>
      <w:r>
        <w:rPr>
          <w:rFonts w:hint="eastAsia" w:ascii="宋体" w:hAnsi="宋体" w:eastAsia="宋体" w:cs="宋体"/>
          <w:sz w:val="24"/>
          <w:szCs w:val="24"/>
        </w:rPr>
        <w:t>63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73CFE79">
      <w:pPr>
        <w:pStyle w:val="20"/>
        <w:tabs>
          <w:tab w:val="left" w:pos="1020"/>
          <w:tab w:val="right" w:leader="dot" w:pos="8302"/>
        </w:tabs>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"_Toc257911891" </w:instrText>
      </w:r>
      <w:r>
        <w:rPr>
          <w:rFonts w:hint="eastAsia" w:ascii="宋体" w:hAnsi="宋体" w:eastAsia="宋体" w:cs="宋体"/>
        </w:rPr>
        <w:fldChar w:fldCharType="separate"/>
      </w:r>
      <w:r>
        <w:rPr>
          <w:rStyle w:val="35"/>
          <w:rFonts w:hint="eastAsia" w:ascii="宋体" w:hAnsi="宋体" w:eastAsia="宋体" w:cs="宋体"/>
          <w:sz w:val="24"/>
          <w:szCs w:val="24"/>
        </w:rPr>
        <w:t>第二十二条  协议的解除和终止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_Toc257911891 \h </w:instrText>
      </w:r>
      <w:r>
        <w:rPr>
          <w:rFonts w:hint="eastAsia" w:ascii="宋体" w:hAnsi="宋体" w:eastAsia="宋体" w:cs="宋体"/>
          <w:sz w:val="24"/>
          <w:szCs w:val="24"/>
        </w:rPr>
        <w:fldChar w:fldCharType="separate"/>
      </w:r>
      <w:r>
        <w:rPr>
          <w:rFonts w:hint="eastAsia" w:ascii="宋体" w:hAnsi="宋体" w:eastAsia="宋体" w:cs="宋体"/>
          <w:sz w:val="24"/>
          <w:szCs w:val="24"/>
        </w:rPr>
        <w:t>63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1A5A300">
      <w:pPr>
        <w:pStyle w:val="20"/>
        <w:tabs>
          <w:tab w:val="left" w:pos="1020"/>
          <w:tab w:val="right" w:leader="dot" w:pos="8302"/>
        </w:tabs>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"_Toc257911892" </w:instrText>
      </w:r>
      <w:r>
        <w:rPr>
          <w:rFonts w:hint="eastAsia" w:ascii="宋体" w:hAnsi="宋体" w:eastAsia="宋体" w:cs="宋体"/>
        </w:rPr>
        <w:fldChar w:fldCharType="separate"/>
      </w:r>
      <w:r>
        <w:rPr>
          <w:rStyle w:val="35"/>
          <w:rFonts w:hint="eastAsia" w:ascii="宋体" w:hAnsi="宋体" w:eastAsia="宋体" w:cs="宋体"/>
          <w:sz w:val="24"/>
          <w:szCs w:val="24"/>
        </w:rPr>
        <w:t>第二十三条  法律适用及争议的解决</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_Toc257911892 \h </w:instrText>
      </w:r>
      <w:r>
        <w:rPr>
          <w:rFonts w:hint="eastAsia" w:ascii="宋体" w:hAnsi="宋体" w:eastAsia="宋体" w:cs="宋体"/>
          <w:sz w:val="24"/>
          <w:szCs w:val="24"/>
        </w:rPr>
        <w:fldChar w:fldCharType="separate"/>
      </w:r>
      <w:r>
        <w:rPr>
          <w:rFonts w:hint="eastAsia" w:ascii="宋体" w:hAnsi="宋体" w:eastAsia="宋体" w:cs="宋体"/>
          <w:sz w:val="24"/>
          <w:szCs w:val="24"/>
        </w:rPr>
        <w:t>64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30251F3">
      <w:pPr>
        <w:pStyle w:val="20"/>
        <w:tabs>
          <w:tab w:val="left" w:pos="1020"/>
          <w:tab w:val="right" w:leader="dot" w:pos="8302"/>
        </w:tabs>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"_Toc257911893" </w:instrText>
      </w:r>
      <w:r>
        <w:rPr>
          <w:rFonts w:hint="eastAsia" w:ascii="宋体" w:hAnsi="宋体" w:eastAsia="宋体" w:cs="宋体"/>
        </w:rPr>
        <w:fldChar w:fldCharType="separate"/>
      </w:r>
      <w:r>
        <w:rPr>
          <w:rStyle w:val="35"/>
          <w:rFonts w:hint="eastAsia" w:ascii="宋体" w:hAnsi="宋体" w:eastAsia="宋体" w:cs="宋体"/>
          <w:sz w:val="24"/>
          <w:szCs w:val="24"/>
        </w:rPr>
        <w:t>第二十四条  附则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_Toc257911893 \h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CE3ADB5">
      <w:pPr>
        <w:spacing w:before="156" w:after="156" w:line="360" w:lineRule="auto"/>
        <w:rPr>
          <w:rFonts w:hint="eastAsia" w:ascii="宋体" w:hAnsi="宋体" w:eastAsia="宋体" w:cs="宋体"/>
          <w:spacing w:val="20"/>
          <w:sz w:val="24"/>
          <w:szCs w:val="24"/>
        </w:rPr>
      </w:pPr>
      <w:r>
        <w:rPr>
          <w:rFonts w:hint="eastAsia" w:ascii="宋体" w:hAnsi="宋体" w:eastAsia="宋体" w:cs="宋体"/>
          <w:spacing w:val="20"/>
          <w:sz w:val="24"/>
          <w:szCs w:val="24"/>
        </w:rPr>
        <w:fldChar w:fldCharType="end"/>
      </w:r>
    </w:p>
    <w:p w14:paraId="6F5467C6">
      <w:pPr>
        <w:spacing w:before="156" w:after="156" w:line="360" w:lineRule="auto"/>
        <w:rPr>
          <w:rFonts w:hint="eastAsia" w:ascii="宋体" w:hAnsi="宋体" w:eastAsia="宋体" w:cs="宋体"/>
          <w:spacing w:val="20"/>
          <w:sz w:val="24"/>
          <w:szCs w:val="24"/>
        </w:rPr>
      </w:pPr>
    </w:p>
    <w:p w14:paraId="2BCB7030">
      <w:pPr>
        <w:spacing w:before="156" w:after="156" w:line="360" w:lineRule="auto"/>
        <w:rPr>
          <w:rFonts w:hint="eastAsia" w:ascii="宋体" w:hAnsi="宋体" w:eastAsia="宋体" w:cs="宋体"/>
          <w:spacing w:val="20"/>
          <w:sz w:val="24"/>
          <w:szCs w:val="24"/>
        </w:rPr>
      </w:pPr>
    </w:p>
    <w:p w14:paraId="69DEA04E">
      <w:pPr>
        <w:spacing w:before="156" w:after="156" w:line="360" w:lineRule="auto"/>
        <w:rPr>
          <w:rFonts w:hint="eastAsia" w:ascii="宋体" w:hAnsi="宋体" w:eastAsia="宋体" w:cs="宋体"/>
          <w:spacing w:val="20"/>
          <w:sz w:val="24"/>
          <w:szCs w:val="24"/>
        </w:rPr>
      </w:pPr>
    </w:p>
    <w:p w14:paraId="7170C999">
      <w:pPr>
        <w:spacing w:before="156" w:after="156" w:line="360" w:lineRule="auto"/>
        <w:rPr>
          <w:rFonts w:hint="eastAsia" w:ascii="宋体" w:hAnsi="宋体" w:eastAsia="宋体" w:cs="宋体"/>
          <w:spacing w:val="20"/>
          <w:sz w:val="24"/>
          <w:szCs w:val="24"/>
        </w:rPr>
      </w:pPr>
    </w:p>
    <w:p w14:paraId="3301F803">
      <w:pPr>
        <w:spacing w:before="156" w:after="156" w:line="360" w:lineRule="auto"/>
        <w:rPr>
          <w:rFonts w:hint="eastAsia" w:ascii="宋体" w:hAnsi="宋体" w:eastAsia="宋体" w:cs="宋体"/>
          <w:spacing w:val="20"/>
          <w:sz w:val="24"/>
          <w:szCs w:val="24"/>
        </w:rPr>
      </w:pPr>
    </w:p>
    <w:p w14:paraId="39523768">
      <w:pPr>
        <w:spacing w:before="156" w:after="156" w:line="360" w:lineRule="auto"/>
        <w:rPr>
          <w:rFonts w:hint="eastAsia" w:ascii="宋体" w:hAnsi="宋体" w:eastAsia="宋体" w:cs="宋体"/>
          <w:b/>
          <w:spacing w:val="20"/>
          <w:sz w:val="24"/>
          <w:szCs w:val="24"/>
        </w:rPr>
      </w:pPr>
    </w:p>
    <w:p w14:paraId="513F393C">
      <w:pPr>
        <w:pStyle w:val="24"/>
        <w:spacing w:before="156" w:after="156" w:line="360" w:lineRule="auto"/>
        <w:ind w:firstLine="0"/>
        <w:jc w:val="center"/>
        <w:rPr>
          <w:rFonts w:hint="eastAsia" w:ascii="宋体" w:hAnsi="宋体" w:eastAsia="宋体" w:cs="宋体"/>
          <w:b/>
          <w:sz w:val="30"/>
          <w:szCs w:val="30"/>
        </w:rPr>
      </w:pPr>
      <w:r>
        <w:rPr>
          <w:rFonts w:hint="eastAsia" w:ascii="宋体" w:hAnsi="宋体" w:eastAsia="宋体" w:cs="宋体"/>
          <w:sz w:val="32"/>
          <w:szCs w:val="32"/>
        </w:rPr>
        <w:t>银行间债券市场非金融企业债务融资工具承销协议</w:t>
      </w:r>
    </w:p>
    <w:p w14:paraId="176EC631">
      <w:pPr>
        <w:pStyle w:val="24"/>
        <w:spacing w:before="156" w:after="156" w:line="360" w:lineRule="auto"/>
        <w:ind w:firstLine="480"/>
        <w:rPr>
          <w:rFonts w:hint="eastAsia" w:ascii="宋体" w:hAnsi="宋体" w:eastAsia="宋体" w:cs="宋体"/>
          <w:sz w:val="30"/>
          <w:szCs w:val="30"/>
        </w:rPr>
      </w:pPr>
      <w:r>
        <w:rPr>
          <w:rFonts w:hint="eastAsia" w:ascii="宋体" w:hAnsi="宋体" w:eastAsia="宋体" w:cs="宋体"/>
          <w:sz w:val="30"/>
          <w:szCs w:val="30"/>
        </w:rPr>
        <w:t>为规范非金融企业债务融资工具承销行为，明确发行方和主承销方的权利义务，维护各方合法权益，根据《中华人民共和国</w:t>
      </w:r>
      <w:r>
        <w:rPr>
          <w:rFonts w:hint="eastAsia" w:ascii="宋体" w:hAnsi="宋体" w:cs="宋体"/>
          <w:sz w:val="30"/>
          <w:szCs w:val="30"/>
          <w:lang w:val="en-US" w:eastAsia="zh-CN"/>
        </w:rPr>
        <w:t>民法典</w:t>
      </w:r>
      <w:r>
        <w:rPr>
          <w:rFonts w:hint="eastAsia" w:ascii="宋体" w:hAnsi="宋体" w:eastAsia="宋体" w:cs="宋体"/>
          <w:sz w:val="30"/>
          <w:szCs w:val="30"/>
        </w:rPr>
        <w:t>》、《银行间债券市场非金融企业债务融资工具管理办法》等相关法律及交易商协会相关自律规范文件，以下各方在平等、自愿的基础上签署本协议：</w:t>
      </w:r>
    </w:p>
    <w:p w14:paraId="0BE788C4">
      <w:pPr>
        <w:pStyle w:val="24"/>
        <w:spacing w:before="156" w:after="156" w:line="360" w:lineRule="auto"/>
        <w:ind w:firstLine="480"/>
        <w:rPr>
          <w:rFonts w:hint="eastAsia" w:ascii="宋体" w:hAnsi="宋体" w:eastAsia="宋体" w:cs="宋体"/>
          <w:sz w:val="30"/>
          <w:szCs w:val="30"/>
        </w:rPr>
      </w:pPr>
      <w:r>
        <w:rPr>
          <w:rFonts w:hint="eastAsia" w:ascii="宋体" w:hAnsi="宋体" w:eastAsia="宋体" w:cs="宋体"/>
          <w:sz w:val="30"/>
          <w:szCs w:val="30"/>
        </w:rPr>
        <w:t>甲方/发行方：__________</w:t>
      </w:r>
    </w:p>
    <w:p w14:paraId="104F8152">
      <w:pPr>
        <w:pStyle w:val="24"/>
        <w:spacing w:before="156" w:after="156" w:line="360" w:lineRule="auto"/>
        <w:ind w:firstLine="480"/>
        <w:rPr>
          <w:rFonts w:hint="eastAsia" w:ascii="宋体" w:hAnsi="宋体" w:eastAsia="宋体" w:cs="宋体"/>
          <w:sz w:val="30"/>
          <w:szCs w:val="30"/>
        </w:rPr>
      </w:pPr>
      <w:r>
        <w:rPr>
          <w:rFonts w:hint="eastAsia" w:ascii="宋体" w:hAnsi="宋体" w:eastAsia="宋体" w:cs="宋体"/>
          <w:sz w:val="30"/>
          <w:szCs w:val="30"/>
        </w:rPr>
        <w:t>乙方/主承销方：__________</w:t>
      </w:r>
    </w:p>
    <w:p w14:paraId="542F7C2B">
      <w:pPr>
        <w:pStyle w:val="24"/>
        <w:spacing w:before="156" w:after="156" w:line="360" w:lineRule="auto"/>
        <w:ind w:firstLine="480"/>
        <w:rPr>
          <w:rFonts w:hint="eastAsia" w:ascii="宋体" w:hAnsi="宋体" w:eastAsia="宋体" w:cs="宋体"/>
          <w:sz w:val="30"/>
          <w:szCs w:val="30"/>
        </w:rPr>
      </w:pPr>
      <w:r>
        <w:rPr>
          <w:rFonts w:hint="eastAsia" w:ascii="宋体" w:hAnsi="宋体" w:eastAsia="宋体" w:cs="宋体"/>
          <w:sz w:val="30"/>
          <w:szCs w:val="30"/>
        </w:rPr>
        <w:t>丙方/主承销方（若有）：__________</w:t>
      </w:r>
    </w:p>
    <w:p w14:paraId="2CB84DD1">
      <w:pPr>
        <w:numPr>
          <w:ilvl w:val="0"/>
          <w:numId w:val="9"/>
        </w:numPr>
        <w:spacing w:line="360" w:lineRule="auto"/>
        <w:outlineLvl w:val="9"/>
        <w:rPr>
          <w:rFonts w:hint="eastAsia" w:ascii="宋体" w:hAnsi="宋体" w:eastAsia="宋体" w:cs="宋体"/>
          <w:b/>
          <w:bCs/>
          <w:sz w:val="30"/>
          <w:szCs w:val="30"/>
        </w:rPr>
      </w:pPr>
      <w:bookmarkStart w:id="131" w:name="_Toc257911870"/>
      <w:r>
        <w:rPr>
          <w:rFonts w:hint="eastAsia" w:ascii="宋体" w:hAnsi="宋体" w:eastAsia="宋体" w:cs="宋体"/>
          <w:b/>
          <w:bCs/>
          <w:sz w:val="30"/>
          <w:szCs w:val="30"/>
        </w:rPr>
        <w:t>定义</w:t>
      </w:r>
      <w:bookmarkEnd w:id="131"/>
    </w:p>
    <w:p w14:paraId="5601585B">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sz w:val="30"/>
          <w:szCs w:val="30"/>
        </w:rPr>
        <w:t>在本协议中，除非文中另有规定，下列词语具有以下含义：</w:t>
      </w:r>
    </w:p>
    <w:p w14:paraId="6EFEEAB9">
      <w:pPr>
        <w:spacing w:before="156" w:after="156" w:line="360" w:lineRule="auto"/>
        <w:rPr>
          <w:rFonts w:hint="eastAsia" w:ascii="宋体" w:hAnsi="宋体" w:eastAsia="宋体" w:cs="宋体"/>
          <w:sz w:val="30"/>
          <w:szCs w:val="30"/>
        </w:rPr>
      </w:pPr>
      <w:r>
        <w:rPr>
          <w:rFonts w:hint="eastAsia" w:ascii="宋体" w:hAnsi="宋体" w:eastAsia="宋体" w:cs="宋体"/>
          <w:b/>
          <w:sz w:val="30"/>
          <w:szCs w:val="30"/>
        </w:rPr>
        <w:t>1.1债务融资工具</w:t>
      </w:r>
      <w:r>
        <w:rPr>
          <w:rFonts w:hint="eastAsia" w:ascii="宋体" w:hAnsi="宋体" w:eastAsia="宋体" w:cs="宋体"/>
          <w:sz w:val="30"/>
          <w:szCs w:val="30"/>
        </w:rPr>
        <w:t>：指按《银行间债券市场非金融企业债务融资工具管理办法》的规定，具有法人资格的非金融企业在银行间债券市场发行的，约定在一定期限内还本付息的有价证券。</w:t>
      </w:r>
    </w:p>
    <w:p w14:paraId="1608B49D">
      <w:pPr>
        <w:spacing w:before="156" w:after="156" w:line="360" w:lineRule="auto"/>
        <w:rPr>
          <w:rFonts w:hint="eastAsia" w:ascii="宋体" w:hAnsi="宋体" w:eastAsia="宋体" w:cs="宋体"/>
          <w:sz w:val="30"/>
          <w:szCs w:val="30"/>
        </w:rPr>
      </w:pPr>
      <w:r>
        <w:rPr>
          <w:rFonts w:hint="eastAsia" w:ascii="宋体" w:hAnsi="宋体" w:eastAsia="宋体" w:cs="宋体"/>
          <w:b/>
          <w:sz w:val="30"/>
          <w:szCs w:val="30"/>
        </w:rPr>
        <w:t>1.2发行方</w:t>
      </w:r>
      <w:r>
        <w:rPr>
          <w:rFonts w:hint="eastAsia" w:ascii="宋体" w:hAnsi="宋体" w:eastAsia="宋体" w:cs="宋体"/>
          <w:sz w:val="30"/>
          <w:szCs w:val="30"/>
        </w:rPr>
        <w:t>：指本协议项下债务融资工具的发行人/联合发行人。</w:t>
      </w:r>
    </w:p>
    <w:p w14:paraId="4CE8D583">
      <w:pPr>
        <w:spacing w:before="156" w:after="156" w:line="360" w:lineRule="auto"/>
        <w:rPr>
          <w:rFonts w:hint="eastAsia" w:ascii="宋体" w:hAnsi="宋体" w:eastAsia="宋体" w:cs="宋体"/>
          <w:sz w:val="30"/>
          <w:szCs w:val="30"/>
        </w:rPr>
      </w:pPr>
      <w:r>
        <w:rPr>
          <w:rFonts w:hint="eastAsia" w:ascii="宋体" w:hAnsi="宋体" w:eastAsia="宋体" w:cs="宋体"/>
          <w:b/>
          <w:sz w:val="30"/>
          <w:szCs w:val="30"/>
        </w:rPr>
        <w:t>1.3主承销商：</w:t>
      </w:r>
      <w:r>
        <w:rPr>
          <w:rFonts w:hint="eastAsia" w:ascii="宋体" w:hAnsi="宋体" w:eastAsia="宋体" w:cs="宋体"/>
          <w:sz w:val="30"/>
          <w:szCs w:val="30"/>
        </w:rPr>
        <w:t>指具备债务融资工具主承销资质，并已在本协议中被发行人委任的承销机构。</w:t>
      </w:r>
    </w:p>
    <w:p w14:paraId="31B5D728">
      <w:pPr>
        <w:spacing w:before="156" w:after="156" w:line="360" w:lineRule="auto"/>
        <w:rPr>
          <w:rFonts w:hint="eastAsia" w:ascii="宋体" w:hAnsi="宋体" w:eastAsia="宋体" w:cs="宋体"/>
          <w:sz w:val="30"/>
          <w:szCs w:val="30"/>
        </w:rPr>
      </w:pPr>
      <w:r>
        <w:rPr>
          <w:rFonts w:hint="eastAsia" w:ascii="宋体" w:hAnsi="宋体" w:eastAsia="宋体" w:cs="宋体"/>
          <w:b/>
          <w:sz w:val="30"/>
          <w:szCs w:val="30"/>
        </w:rPr>
        <w:t>1.4主承销方</w:t>
      </w:r>
      <w:r>
        <w:rPr>
          <w:rFonts w:hint="eastAsia" w:ascii="宋体" w:hAnsi="宋体" w:eastAsia="宋体" w:cs="宋体"/>
          <w:sz w:val="30"/>
          <w:szCs w:val="30"/>
        </w:rPr>
        <w:t>：指与发行方签署本协议并接受发行方委任负责承销本协议项下债务融资工具的主承销商和联席主承销商（若有）/副主承销商（若有）。</w:t>
      </w:r>
    </w:p>
    <w:p w14:paraId="54FA1EFA">
      <w:pPr>
        <w:pStyle w:val="24"/>
        <w:spacing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1.5簿记管理人：</w:t>
      </w:r>
      <w:r>
        <w:rPr>
          <w:rFonts w:hint="eastAsia" w:ascii="宋体" w:hAnsi="宋体" w:eastAsia="宋体" w:cs="宋体"/>
          <w:sz w:val="30"/>
          <w:szCs w:val="30"/>
        </w:rPr>
        <w:t>指根据本协议受发行人委托负责簿记建档具体运作的主承销商。</w:t>
      </w:r>
    </w:p>
    <w:p w14:paraId="427FA27E">
      <w:pPr>
        <w:spacing w:before="156" w:after="156" w:line="360" w:lineRule="auto"/>
        <w:rPr>
          <w:rFonts w:hint="eastAsia" w:ascii="宋体" w:hAnsi="宋体" w:eastAsia="宋体" w:cs="宋体"/>
          <w:sz w:val="30"/>
          <w:szCs w:val="30"/>
        </w:rPr>
      </w:pPr>
      <w:r>
        <w:rPr>
          <w:rFonts w:hint="eastAsia" w:ascii="宋体" w:hAnsi="宋体" w:eastAsia="宋体" w:cs="宋体"/>
          <w:b/>
          <w:sz w:val="30"/>
          <w:szCs w:val="30"/>
        </w:rPr>
        <w:t>1.6承销团</w:t>
      </w:r>
      <w:r>
        <w:rPr>
          <w:rFonts w:hint="eastAsia" w:ascii="宋体" w:hAnsi="宋体" w:eastAsia="宋体" w:cs="宋体"/>
          <w:sz w:val="30"/>
          <w:szCs w:val="30"/>
        </w:rPr>
        <w:t>：指主承销方为发行本协议项下某期债务融资工具而与其他承销商组成的债务融资工具承销团队。</w:t>
      </w:r>
    </w:p>
    <w:p w14:paraId="4CE75B5A">
      <w:pPr>
        <w:spacing w:before="156" w:after="156" w:line="360" w:lineRule="auto"/>
        <w:rPr>
          <w:rFonts w:hint="eastAsia" w:ascii="宋体" w:hAnsi="宋体" w:eastAsia="宋体" w:cs="宋体"/>
          <w:sz w:val="30"/>
          <w:szCs w:val="30"/>
        </w:rPr>
      </w:pPr>
      <w:r>
        <w:rPr>
          <w:rFonts w:hint="eastAsia" w:ascii="宋体" w:hAnsi="宋体" w:eastAsia="宋体" w:cs="宋体"/>
          <w:b/>
          <w:sz w:val="30"/>
          <w:szCs w:val="30"/>
        </w:rPr>
        <w:t>1.7承销团协议</w:t>
      </w:r>
      <w:r>
        <w:rPr>
          <w:rFonts w:hint="eastAsia" w:ascii="宋体" w:hAnsi="宋体" w:eastAsia="宋体" w:cs="宋体"/>
          <w:sz w:val="30"/>
          <w:szCs w:val="30"/>
        </w:rPr>
        <w:t>：指主承销方为与其他承销商共同承销本协议项下某期债务融资工具而签署的用于明确各方在承销活动中的相关权利、义务、责任和工作安排等内容的书面协议。</w:t>
      </w:r>
    </w:p>
    <w:p w14:paraId="4BA0645D">
      <w:pPr>
        <w:spacing w:before="156" w:after="156" w:line="360" w:lineRule="auto"/>
        <w:rPr>
          <w:rFonts w:hint="eastAsia" w:ascii="宋体" w:hAnsi="宋体" w:eastAsia="宋体" w:cs="宋体"/>
          <w:sz w:val="30"/>
          <w:szCs w:val="30"/>
        </w:rPr>
      </w:pPr>
      <w:r>
        <w:rPr>
          <w:rFonts w:hint="eastAsia" w:ascii="宋体" w:hAnsi="宋体" w:eastAsia="宋体" w:cs="宋体"/>
          <w:b/>
          <w:sz w:val="30"/>
          <w:szCs w:val="30"/>
        </w:rPr>
        <w:t>1.8交易商协会</w:t>
      </w:r>
      <w:r>
        <w:rPr>
          <w:rFonts w:hint="eastAsia" w:ascii="宋体" w:hAnsi="宋体" w:eastAsia="宋体" w:cs="宋体"/>
          <w:sz w:val="30"/>
          <w:szCs w:val="30"/>
        </w:rPr>
        <w:t>：指中国银行间市场交易商协会。</w:t>
      </w:r>
    </w:p>
    <w:p w14:paraId="4C8FEC12">
      <w:pPr>
        <w:spacing w:before="156" w:after="156" w:line="360" w:lineRule="auto"/>
        <w:rPr>
          <w:rFonts w:hint="eastAsia" w:ascii="宋体" w:hAnsi="宋体" w:eastAsia="宋体" w:cs="宋体"/>
          <w:sz w:val="30"/>
          <w:szCs w:val="30"/>
        </w:rPr>
      </w:pPr>
      <w:r>
        <w:rPr>
          <w:rFonts w:hint="eastAsia" w:ascii="宋体" w:hAnsi="宋体" w:eastAsia="宋体" w:cs="宋体"/>
          <w:b/>
          <w:sz w:val="30"/>
          <w:szCs w:val="30"/>
        </w:rPr>
        <w:t>1.9注册金额</w:t>
      </w:r>
      <w:r>
        <w:rPr>
          <w:rFonts w:hint="eastAsia" w:ascii="宋体" w:hAnsi="宋体" w:eastAsia="宋体" w:cs="宋体"/>
          <w:sz w:val="30"/>
          <w:szCs w:val="30"/>
        </w:rPr>
        <w:t>：指本协议项下的，经交易商协会注册的债务融资工具金额，该金额在交易商协会《接受注册通知书》中确定。</w:t>
      </w:r>
    </w:p>
    <w:p w14:paraId="5E718BB7">
      <w:pPr>
        <w:spacing w:before="156" w:after="156" w:line="360" w:lineRule="auto"/>
        <w:rPr>
          <w:rFonts w:hint="eastAsia" w:ascii="宋体" w:hAnsi="宋体" w:eastAsia="宋体" w:cs="宋体"/>
          <w:sz w:val="30"/>
          <w:szCs w:val="30"/>
        </w:rPr>
      </w:pPr>
      <w:r>
        <w:rPr>
          <w:rFonts w:hint="eastAsia" w:ascii="宋体" w:hAnsi="宋体" w:eastAsia="宋体" w:cs="宋体"/>
          <w:b/>
          <w:sz w:val="30"/>
          <w:szCs w:val="30"/>
        </w:rPr>
        <w:t>1.10注册有效期</w:t>
      </w:r>
      <w:r>
        <w:rPr>
          <w:rFonts w:hint="eastAsia" w:ascii="宋体" w:hAnsi="宋体" w:eastAsia="宋体" w:cs="宋体"/>
          <w:sz w:val="30"/>
          <w:szCs w:val="30"/>
        </w:rPr>
        <w:t>：指交易商协会《接受注册通知书》中核定的债务融资工具注册金额有效期。</w:t>
      </w:r>
    </w:p>
    <w:p w14:paraId="1B78ED6D">
      <w:pPr>
        <w:spacing w:before="156" w:after="156" w:line="360" w:lineRule="auto"/>
        <w:rPr>
          <w:rFonts w:hint="eastAsia" w:ascii="宋体" w:hAnsi="宋体" w:eastAsia="宋体" w:cs="宋体"/>
          <w:sz w:val="30"/>
          <w:szCs w:val="30"/>
        </w:rPr>
      </w:pPr>
      <w:r>
        <w:rPr>
          <w:rFonts w:hint="eastAsia" w:ascii="宋体" w:hAnsi="宋体" w:eastAsia="宋体" w:cs="宋体"/>
          <w:b/>
          <w:sz w:val="30"/>
          <w:szCs w:val="30"/>
        </w:rPr>
        <w:t>1.11发行方案：</w:t>
      </w:r>
      <w:r>
        <w:rPr>
          <w:rFonts w:hint="eastAsia" w:ascii="宋体" w:hAnsi="宋体" w:eastAsia="宋体" w:cs="宋体"/>
          <w:sz w:val="30"/>
          <w:szCs w:val="30"/>
        </w:rPr>
        <w:t>指采用簿记建档方式发行债务融资工具时，发行人及主承销商依据《银行间债券市场非金融企业债务融资工具管理办法》及交易商协会相关自律规范文件而制定，对簿记建档各项操作做出具体安排，并作为发行文件组成部分向市场公开披露的说明文件。</w:t>
      </w:r>
    </w:p>
    <w:p w14:paraId="4B29BCEA">
      <w:pPr>
        <w:spacing w:before="156" w:after="156" w:line="360" w:lineRule="auto"/>
        <w:rPr>
          <w:rFonts w:hint="eastAsia" w:ascii="宋体" w:hAnsi="宋体" w:eastAsia="宋体" w:cs="宋体"/>
          <w:sz w:val="30"/>
          <w:szCs w:val="30"/>
        </w:rPr>
      </w:pPr>
      <w:r>
        <w:rPr>
          <w:rFonts w:hint="eastAsia" w:ascii="宋体" w:hAnsi="宋体" w:eastAsia="宋体" w:cs="宋体"/>
          <w:b/>
          <w:sz w:val="30"/>
          <w:szCs w:val="30"/>
        </w:rPr>
        <w:t>1.12发行公告：</w:t>
      </w:r>
      <w:r>
        <w:rPr>
          <w:rFonts w:hint="eastAsia" w:ascii="宋体" w:hAnsi="宋体" w:eastAsia="宋体" w:cs="宋体"/>
          <w:sz w:val="30"/>
          <w:szCs w:val="30"/>
        </w:rPr>
        <w:t>指发行方根据《银行间债券市场非金融企业债务融资工具管理办法》及交易商协会相关自律规范文件，为发行本协议项下某期债务融资工具而制作的债务融资工具发行公告。</w:t>
      </w:r>
    </w:p>
    <w:p w14:paraId="372FBA34">
      <w:pPr>
        <w:spacing w:before="156" w:after="156" w:line="360" w:lineRule="auto"/>
        <w:rPr>
          <w:rFonts w:hint="eastAsia" w:ascii="宋体" w:hAnsi="宋体" w:eastAsia="宋体" w:cs="宋体"/>
          <w:sz w:val="30"/>
          <w:szCs w:val="30"/>
        </w:rPr>
      </w:pPr>
      <w:r>
        <w:rPr>
          <w:rFonts w:hint="eastAsia" w:ascii="宋体" w:hAnsi="宋体" w:eastAsia="宋体" w:cs="宋体"/>
          <w:b/>
          <w:sz w:val="30"/>
          <w:szCs w:val="30"/>
        </w:rPr>
        <w:t>1.13募集说明书</w:t>
      </w:r>
      <w:r>
        <w:rPr>
          <w:rFonts w:hint="eastAsia" w:ascii="宋体" w:hAnsi="宋体" w:eastAsia="宋体" w:cs="宋体"/>
          <w:sz w:val="30"/>
          <w:szCs w:val="30"/>
        </w:rPr>
        <w:t>：指发行方根据《银行间债券市场非金融企业债务融资工具管理办法》及交易商协会相关自律规范文件，为本协议项下某期债务融资工具的发行而制作，并在发行文件中披露的说明文件。</w:t>
      </w:r>
    </w:p>
    <w:p w14:paraId="67572298">
      <w:pPr>
        <w:spacing w:before="156" w:after="156" w:line="360" w:lineRule="auto"/>
        <w:rPr>
          <w:rFonts w:hint="eastAsia" w:ascii="宋体" w:hAnsi="宋体" w:eastAsia="宋体" w:cs="宋体"/>
          <w:sz w:val="30"/>
          <w:szCs w:val="30"/>
        </w:rPr>
      </w:pPr>
      <w:r>
        <w:rPr>
          <w:rFonts w:hint="eastAsia" w:ascii="宋体" w:hAnsi="宋体" w:eastAsia="宋体" w:cs="宋体"/>
          <w:b/>
          <w:sz w:val="30"/>
          <w:szCs w:val="30"/>
        </w:rPr>
        <w:t>1.14簿记建档：</w:t>
      </w:r>
      <w:r>
        <w:rPr>
          <w:rFonts w:hint="eastAsia" w:ascii="宋体" w:hAnsi="宋体" w:eastAsia="宋体" w:cs="宋体"/>
          <w:sz w:val="30"/>
          <w:szCs w:val="30"/>
        </w:rPr>
        <w:t>指发行人和主承销方协商确定利率/价格区间后，承销团成员/投资人发出申购定单，由簿记管理人记录承销团成员/投资人认购债务融资工具利率/价格及数量意愿，</w:t>
      </w:r>
      <w:r>
        <w:rPr>
          <w:rFonts w:hint="eastAsia" w:ascii="宋体" w:hAnsi="宋体" w:eastAsia="宋体" w:cs="宋体"/>
          <w:sz w:val="30"/>
        </w:rPr>
        <w:t>按约定的定价和配售方式确定最终发行利率/价格并进行配售的行为</w:t>
      </w:r>
      <w:r>
        <w:rPr>
          <w:rFonts w:hint="eastAsia" w:ascii="宋体" w:hAnsi="宋体" w:eastAsia="宋体" w:cs="宋体"/>
          <w:sz w:val="30"/>
          <w:szCs w:val="30"/>
        </w:rPr>
        <w:t>。</w:t>
      </w:r>
    </w:p>
    <w:p w14:paraId="3220EFB9">
      <w:pPr>
        <w:spacing w:before="156" w:after="156" w:line="360" w:lineRule="auto"/>
        <w:rPr>
          <w:rFonts w:hint="eastAsia" w:ascii="宋体" w:hAnsi="宋体" w:eastAsia="宋体" w:cs="宋体"/>
          <w:sz w:val="30"/>
          <w:szCs w:val="30"/>
        </w:rPr>
      </w:pPr>
      <w:r>
        <w:rPr>
          <w:rFonts w:hint="eastAsia" w:ascii="宋体" w:hAnsi="宋体" w:eastAsia="宋体" w:cs="宋体"/>
          <w:b/>
          <w:sz w:val="30"/>
          <w:szCs w:val="30"/>
        </w:rPr>
        <w:t>1.15余额包销：</w:t>
      </w:r>
      <w:r>
        <w:rPr>
          <w:rFonts w:hint="eastAsia" w:ascii="宋体" w:hAnsi="宋体" w:eastAsia="宋体" w:cs="宋体"/>
          <w:sz w:val="30"/>
          <w:szCs w:val="30"/>
        </w:rPr>
        <w:t>指主承销方在募集说明书载明的缴款日，按发行利率/价格将本方包销额度比例内未售出的债务融资工具全部自行购入的承销方式。</w:t>
      </w:r>
    </w:p>
    <w:p w14:paraId="7A983021">
      <w:pPr>
        <w:spacing w:before="156" w:after="156" w:line="360" w:lineRule="auto"/>
        <w:rPr>
          <w:rFonts w:hint="eastAsia" w:ascii="宋体" w:hAnsi="宋体" w:eastAsia="宋体" w:cs="宋体"/>
          <w:sz w:val="30"/>
          <w:szCs w:val="30"/>
        </w:rPr>
      </w:pPr>
      <w:r>
        <w:rPr>
          <w:rFonts w:hint="eastAsia" w:ascii="宋体" w:hAnsi="宋体" w:eastAsia="宋体" w:cs="宋体"/>
          <w:b/>
          <w:sz w:val="30"/>
          <w:szCs w:val="30"/>
        </w:rPr>
        <w:t>1.16工作日：</w:t>
      </w:r>
      <w:r>
        <w:rPr>
          <w:rFonts w:hint="eastAsia" w:ascii="宋体" w:hAnsi="宋体" w:eastAsia="宋体" w:cs="宋体"/>
          <w:sz w:val="30"/>
          <w:szCs w:val="30"/>
        </w:rPr>
        <w:t>指北京市的商业银行对公营业日。</w:t>
      </w:r>
    </w:p>
    <w:p w14:paraId="7921CB8D">
      <w:pPr>
        <w:spacing w:before="156" w:after="156" w:line="360" w:lineRule="auto"/>
        <w:rPr>
          <w:rFonts w:hint="eastAsia" w:ascii="宋体" w:hAnsi="宋体" w:eastAsia="宋体" w:cs="宋体"/>
          <w:sz w:val="30"/>
          <w:szCs w:val="30"/>
        </w:rPr>
      </w:pPr>
      <w:r>
        <w:rPr>
          <w:rFonts w:hint="eastAsia" w:ascii="宋体" w:hAnsi="宋体" w:eastAsia="宋体" w:cs="宋体"/>
          <w:b/>
          <w:sz w:val="30"/>
          <w:szCs w:val="30"/>
        </w:rPr>
        <w:t>1.17公告日：</w:t>
      </w:r>
      <w:r>
        <w:rPr>
          <w:rFonts w:hint="eastAsia" w:ascii="宋体" w:hAnsi="宋体" w:eastAsia="宋体" w:cs="宋体"/>
          <w:sz w:val="30"/>
          <w:szCs w:val="30"/>
        </w:rPr>
        <w:t>指刊登发行方案、发行公告、募集说明书等文件之日。</w:t>
      </w:r>
    </w:p>
    <w:p w14:paraId="15895DF9">
      <w:pPr>
        <w:spacing w:before="156" w:after="156" w:line="360" w:lineRule="auto"/>
        <w:rPr>
          <w:rFonts w:hint="eastAsia" w:ascii="宋体" w:hAnsi="宋体" w:eastAsia="宋体" w:cs="宋体"/>
          <w:sz w:val="30"/>
          <w:szCs w:val="30"/>
        </w:rPr>
      </w:pPr>
      <w:r>
        <w:rPr>
          <w:rFonts w:hint="eastAsia" w:ascii="宋体" w:hAnsi="宋体" w:eastAsia="宋体" w:cs="宋体"/>
          <w:b/>
          <w:sz w:val="30"/>
          <w:szCs w:val="30"/>
        </w:rPr>
        <w:t>1.18 发行日：</w:t>
      </w:r>
      <w:r>
        <w:rPr>
          <w:rFonts w:hint="eastAsia" w:ascii="宋体" w:hAnsi="宋体" w:eastAsia="宋体" w:cs="宋体"/>
          <w:sz w:val="30"/>
          <w:szCs w:val="30"/>
        </w:rPr>
        <w:t>指募集说明书确定的发行日。</w:t>
      </w:r>
    </w:p>
    <w:p w14:paraId="06842BA9">
      <w:pPr>
        <w:spacing w:before="156" w:after="156" w:line="360" w:lineRule="auto"/>
        <w:rPr>
          <w:rFonts w:hint="eastAsia" w:ascii="宋体" w:hAnsi="宋体" w:eastAsia="宋体" w:cs="宋体"/>
          <w:sz w:val="30"/>
          <w:szCs w:val="30"/>
        </w:rPr>
      </w:pPr>
      <w:r>
        <w:rPr>
          <w:rFonts w:hint="eastAsia" w:ascii="宋体" w:hAnsi="宋体" w:eastAsia="宋体" w:cs="宋体"/>
          <w:b/>
          <w:sz w:val="30"/>
          <w:szCs w:val="30"/>
        </w:rPr>
        <w:t>1.19缴款日：</w:t>
      </w:r>
      <w:r>
        <w:rPr>
          <w:rFonts w:hint="eastAsia" w:ascii="宋体" w:hAnsi="宋体" w:eastAsia="宋体" w:cs="宋体"/>
          <w:sz w:val="30"/>
          <w:szCs w:val="30"/>
        </w:rPr>
        <w:t>指募集说明书确定的缴款日。</w:t>
      </w:r>
    </w:p>
    <w:p w14:paraId="08AF2EA1">
      <w:pPr>
        <w:spacing w:before="156" w:after="156" w:line="360" w:lineRule="auto"/>
        <w:rPr>
          <w:rFonts w:hint="eastAsia" w:ascii="宋体" w:hAnsi="宋体" w:eastAsia="宋体" w:cs="宋体"/>
          <w:sz w:val="30"/>
          <w:szCs w:val="30"/>
        </w:rPr>
      </w:pPr>
      <w:r>
        <w:rPr>
          <w:rFonts w:hint="eastAsia" w:ascii="宋体" w:hAnsi="宋体" w:eastAsia="宋体" w:cs="宋体"/>
          <w:b/>
          <w:sz w:val="30"/>
          <w:szCs w:val="30"/>
        </w:rPr>
        <w:t>1.20中国法律/法律：</w:t>
      </w:r>
      <w:r>
        <w:rPr>
          <w:rFonts w:hint="eastAsia" w:ascii="宋体" w:hAnsi="宋体" w:eastAsia="宋体" w:cs="宋体"/>
          <w:sz w:val="30"/>
          <w:szCs w:val="30"/>
        </w:rPr>
        <w:t>在中华人民共和国（为本协议之目的，在此不包括香港特别行政区、澳门特别行政区及台湾地区）境内有效实施的法律、法规、规章，以及具有立法、司法、行政管理权限或职能的机构依法发布的具有普遍约束力的规范性文件。</w:t>
      </w:r>
    </w:p>
    <w:p w14:paraId="0BF19D85">
      <w:pPr>
        <w:numPr>
          <w:ilvl w:val="0"/>
          <w:numId w:val="9"/>
        </w:numPr>
        <w:spacing w:line="360" w:lineRule="auto"/>
        <w:outlineLvl w:val="9"/>
        <w:rPr>
          <w:rFonts w:hint="eastAsia" w:ascii="宋体" w:hAnsi="宋体" w:eastAsia="宋体" w:cs="宋体"/>
          <w:b/>
          <w:bCs/>
          <w:sz w:val="30"/>
          <w:szCs w:val="30"/>
        </w:rPr>
      </w:pPr>
      <w:bookmarkStart w:id="132" w:name="_Toc257911871"/>
      <w:r>
        <w:rPr>
          <w:rFonts w:hint="eastAsia" w:ascii="宋体" w:hAnsi="宋体" w:eastAsia="宋体" w:cs="宋体"/>
          <w:b/>
          <w:bCs/>
          <w:sz w:val="30"/>
          <w:szCs w:val="30"/>
        </w:rPr>
        <w:t>协议的构成与效力等级</w:t>
      </w:r>
      <w:bookmarkEnd w:id="132"/>
    </w:p>
    <w:p w14:paraId="56530A86">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 xml:space="preserve">2.1 </w:t>
      </w:r>
      <w:r>
        <w:rPr>
          <w:rFonts w:hint="eastAsia" w:ascii="宋体" w:hAnsi="宋体" w:eastAsia="宋体" w:cs="宋体"/>
          <w:sz w:val="30"/>
          <w:szCs w:val="30"/>
        </w:rPr>
        <w:t>本协议由以下部分构成：</w:t>
      </w:r>
    </w:p>
    <w:p w14:paraId="257D7E43">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2.1.1</w:t>
      </w:r>
      <w:r>
        <w:rPr>
          <w:rFonts w:hint="eastAsia" w:ascii="宋体" w:hAnsi="宋体" w:eastAsia="宋体" w:cs="宋体"/>
          <w:sz w:val="30"/>
          <w:szCs w:val="30"/>
        </w:rPr>
        <w:t>《银行间债券市场非金融企业债务融资工具承销协议（2013版）》（简称“承销协议”）；</w:t>
      </w:r>
    </w:p>
    <w:p w14:paraId="3B628B48">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2.1.2</w:t>
      </w:r>
      <w:r>
        <w:rPr>
          <w:rFonts w:hint="eastAsia" w:ascii="宋体" w:hAnsi="宋体" w:eastAsia="宋体" w:cs="宋体"/>
          <w:sz w:val="30"/>
          <w:szCs w:val="30"/>
        </w:rPr>
        <w:t>《银行间债券市场非金融企业债务融资工具承销协议补充协议（2013版）》（简称“补充协议”，若有）；</w:t>
      </w:r>
    </w:p>
    <w:p w14:paraId="5B4EB923">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2.2</w:t>
      </w:r>
      <w:r>
        <w:rPr>
          <w:rFonts w:hint="eastAsia" w:ascii="宋体" w:hAnsi="宋体" w:eastAsia="宋体" w:cs="宋体"/>
          <w:sz w:val="30"/>
          <w:szCs w:val="30"/>
        </w:rPr>
        <w:t>上述文件构成协议各方之间单一和完整的协议。（简称“本协议”）。</w:t>
      </w:r>
    </w:p>
    <w:p w14:paraId="10BD7B0C">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2.3</w:t>
      </w:r>
      <w:r>
        <w:rPr>
          <w:rFonts w:hint="eastAsia" w:ascii="宋体" w:hAnsi="宋体" w:eastAsia="宋体" w:cs="宋体"/>
          <w:sz w:val="30"/>
          <w:szCs w:val="30"/>
        </w:rPr>
        <w:t xml:space="preserve"> 补充协议（若有）与承销协议不一致的，补充协议有优先效力。</w:t>
      </w:r>
    </w:p>
    <w:p w14:paraId="3B9EA524">
      <w:pPr>
        <w:numPr>
          <w:ilvl w:val="0"/>
          <w:numId w:val="9"/>
        </w:numPr>
        <w:spacing w:line="360" w:lineRule="auto"/>
        <w:outlineLvl w:val="9"/>
        <w:rPr>
          <w:rFonts w:hint="eastAsia" w:ascii="宋体" w:hAnsi="宋体" w:eastAsia="宋体" w:cs="宋体"/>
          <w:b/>
          <w:bCs/>
          <w:sz w:val="30"/>
          <w:szCs w:val="30"/>
        </w:rPr>
      </w:pPr>
      <w:bookmarkStart w:id="133" w:name="_Toc257911872"/>
      <w:r>
        <w:rPr>
          <w:rFonts w:hint="eastAsia" w:ascii="宋体" w:hAnsi="宋体" w:eastAsia="宋体" w:cs="宋体"/>
          <w:b/>
          <w:bCs/>
          <w:sz w:val="30"/>
          <w:szCs w:val="30"/>
        </w:rPr>
        <w:t>对承销方的委任</w:t>
      </w:r>
      <w:bookmarkEnd w:id="133"/>
    </w:p>
    <w:p w14:paraId="4974CC54">
      <w:pPr>
        <w:pStyle w:val="24"/>
        <w:spacing w:before="156" w:after="156" w:line="312" w:lineRule="auto"/>
        <w:ind w:firstLine="0"/>
        <w:rPr>
          <w:rFonts w:hint="eastAsia" w:ascii="宋体" w:hAnsi="宋体" w:eastAsia="宋体" w:cs="宋体"/>
          <w:sz w:val="30"/>
          <w:szCs w:val="30"/>
        </w:rPr>
      </w:pPr>
      <w:r>
        <w:rPr>
          <w:rFonts w:hint="eastAsia" w:ascii="宋体" w:hAnsi="宋体" w:eastAsia="宋体" w:cs="宋体"/>
          <w:b/>
          <w:sz w:val="30"/>
          <w:szCs w:val="30"/>
        </w:rPr>
        <w:t xml:space="preserve">3.1 </w:t>
      </w:r>
      <w:r>
        <w:rPr>
          <w:rFonts w:hint="eastAsia" w:ascii="宋体" w:hAnsi="宋体" w:eastAsia="宋体" w:cs="宋体"/>
          <w:sz w:val="30"/>
          <w:szCs w:val="30"/>
        </w:rPr>
        <w:t>发行方委任乙方作为本协议项下债务融资工具发行的_______[请选择填写:主承销商、联席主承销商]。</w:t>
      </w:r>
    </w:p>
    <w:p w14:paraId="5B7C70BA">
      <w:pPr>
        <w:pStyle w:val="24"/>
        <w:spacing w:before="156" w:after="156" w:line="312" w:lineRule="auto"/>
        <w:ind w:firstLine="600" w:firstLineChars="200"/>
        <w:rPr>
          <w:rFonts w:hint="eastAsia" w:ascii="宋体" w:hAnsi="宋体" w:eastAsia="宋体" w:cs="宋体"/>
          <w:sz w:val="30"/>
          <w:szCs w:val="30"/>
        </w:rPr>
      </w:pPr>
      <w:r>
        <w:rPr>
          <w:rFonts w:hint="eastAsia" w:ascii="宋体" w:hAnsi="宋体" w:eastAsia="宋体" w:cs="宋体"/>
          <w:sz w:val="30"/>
          <w:szCs w:val="30"/>
        </w:rPr>
        <w:t>发行方委任丙方（若有）作为本协议项下债务融资工具发行的_________[请选择填写:联席主承销商、副主承销商]。</w:t>
      </w:r>
    </w:p>
    <w:p w14:paraId="2C87AD47">
      <w:pPr>
        <w:pStyle w:val="24"/>
        <w:spacing w:before="156" w:after="156" w:line="312" w:lineRule="auto"/>
        <w:ind w:firstLine="588" w:firstLineChars="196"/>
        <w:rPr>
          <w:rFonts w:hint="eastAsia" w:ascii="宋体" w:hAnsi="宋体" w:eastAsia="宋体" w:cs="宋体"/>
          <w:sz w:val="30"/>
          <w:szCs w:val="30"/>
        </w:rPr>
      </w:pPr>
      <w:r>
        <w:rPr>
          <w:rFonts w:hint="eastAsia" w:ascii="宋体" w:hAnsi="宋体" w:eastAsia="宋体" w:cs="宋体"/>
          <w:sz w:val="30"/>
          <w:szCs w:val="30"/>
        </w:rPr>
        <w:t>主承销方同意接受发行方委任，按照本协议的约定协助发行方进行债务融资工具的注册/备案、销售及后续管理等工作。</w:t>
      </w:r>
    </w:p>
    <w:p w14:paraId="243449B1">
      <w:pPr>
        <w:pStyle w:val="24"/>
        <w:spacing w:before="156" w:after="156" w:line="312" w:lineRule="auto"/>
        <w:ind w:firstLine="0"/>
        <w:rPr>
          <w:rFonts w:hint="eastAsia" w:ascii="宋体" w:hAnsi="宋体" w:eastAsia="宋体" w:cs="宋体"/>
          <w:sz w:val="30"/>
          <w:szCs w:val="30"/>
        </w:rPr>
      </w:pPr>
      <w:r>
        <w:rPr>
          <w:rFonts w:hint="eastAsia" w:ascii="宋体" w:hAnsi="宋体" w:eastAsia="宋体" w:cs="宋体"/>
          <w:b/>
          <w:sz w:val="30"/>
          <w:szCs w:val="30"/>
        </w:rPr>
        <w:t>3.2</w:t>
      </w:r>
      <w:r>
        <w:rPr>
          <w:rFonts w:hint="eastAsia" w:ascii="宋体" w:hAnsi="宋体" w:eastAsia="宋体" w:cs="宋体"/>
          <w:sz w:val="30"/>
          <w:szCs w:val="30"/>
        </w:rPr>
        <w:t>发行方委任____方作为本协议项下债务融资工具发行的簿记管理人，并（若为多家簿记管理人）委托________牵头负责簿记建档工作。</w:t>
      </w:r>
    </w:p>
    <w:p w14:paraId="4F9A2266">
      <w:pPr>
        <w:pStyle w:val="24"/>
        <w:spacing w:before="156" w:after="156" w:line="312" w:lineRule="auto"/>
        <w:ind w:firstLine="588" w:firstLineChars="196"/>
        <w:rPr>
          <w:rFonts w:hint="eastAsia" w:ascii="宋体" w:hAnsi="宋体" w:eastAsia="宋体" w:cs="宋体"/>
          <w:sz w:val="30"/>
          <w:szCs w:val="30"/>
        </w:rPr>
      </w:pPr>
      <w:r>
        <w:rPr>
          <w:rFonts w:hint="eastAsia" w:ascii="宋体" w:hAnsi="宋体" w:eastAsia="宋体" w:cs="宋体"/>
          <w:sz w:val="30"/>
          <w:szCs w:val="30"/>
        </w:rPr>
        <w:t>____方同意接受发行方委任，负责本协议项下债务融资工具的簿记建档工作，并（若为多家簿记管理人）同意由______方牵头负责簿记建档工作。</w:t>
      </w:r>
    </w:p>
    <w:p w14:paraId="315EBF42">
      <w:pPr>
        <w:pStyle w:val="24"/>
        <w:spacing w:before="156" w:after="156" w:line="312" w:lineRule="auto"/>
        <w:ind w:firstLine="0"/>
        <w:rPr>
          <w:rFonts w:hint="eastAsia" w:ascii="宋体" w:hAnsi="宋体" w:eastAsia="宋体" w:cs="宋体"/>
          <w:sz w:val="30"/>
          <w:szCs w:val="30"/>
        </w:rPr>
      </w:pPr>
      <w:r>
        <w:rPr>
          <w:rFonts w:hint="eastAsia" w:ascii="宋体" w:hAnsi="宋体" w:eastAsia="宋体" w:cs="宋体"/>
          <w:b/>
          <w:sz w:val="30"/>
          <w:szCs w:val="30"/>
        </w:rPr>
        <w:t>3.3</w:t>
      </w:r>
      <w:r>
        <w:rPr>
          <w:rFonts w:hint="eastAsia" w:ascii="宋体" w:hAnsi="宋体" w:eastAsia="宋体" w:cs="宋体"/>
          <w:sz w:val="30"/>
          <w:szCs w:val="30"/>
        </w:rPr>
        <w:t>簿记建档的配售结果及最终发行利率由主承销方根据《发行方案》的约定确定。</w:t>
      </w:r>
    </w:p>
    <w:p w14:paraId="0E0C1EB0">
      <w:pPr>
        <w:numPr>
          <w:ilvl w:val="0"/>
          <w:numId w:val="9"/>
        </w:numPr>
        <w:spacing w:line="360" w:lineRule="auto"/>
        <w:outlineLvl w:val="9"/>
        <w:rPr>
          <w:rFonts w:hint="eastAsia" w:ascii="宋体" w:hAnsi="宋体" w:eastAsia="宋体" w:cs="宋体"/>
          <w:b/>
          <w:bCs/>
          <w:sz w:val="30"/>
          <w:szCs w:val="30"/>
        </w:rPr>
      </w:pPr>
      <w:bookmarkStart w:id="134" w:name="_Toc237232401"/>
      <w:bookmarkEnd w:id="134"/>
      <w:bookmarkStart w:id="135" w:name="_Toc237232400"/>
      <w:bookmarkEnd w:id="135"/>
      <w:bookmarkStart w:id="136" w:name="_Toc257911873"/>
      <w:r>
        <w:rPr>
          <w:rFonts w:hint="eastAsia" w:ascii="宋体" w:hAnsi="宋体" w:eastAsia="宋体" w:cs="宋体"/>
          <w:b/>
          <w:bCs/>
          <w:sz w:val="30"/>
          <w:szCs w:val="30"/>
        </w:rPr>
        <w:t>债务融资工具的发行</w:t>
      </w:r>
      <w:bookmarkEnd w:id="136"/>
    </w:p>
    <w:p w14:paraId="4C464D3D">
      <w:pPr>
        <w:pStyle w:val="24"/>
        <w:spacing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4.1</w:t>
      </w:r>
      <w:r>
        <w:rPr>
          <w:rFonts w:hint="eastAsia" w:ascii="宋体" w:hAnsi="宋体" w:eastAsia="宋体" w:cs="宋体"/>
          <w:sz w:val="30"/>
          <w:szCs w:val="30"/>
        </w:rPr>
        <w:t>发行方按照本协议的约定向交易商协会申请注册总额不超过人民币/美元/其他请填写</w:t>
      </w:r>
      <w:r>
        <w:rPr>
          <w:rFonts w:hint="eastAsia" w:ascii="宋体" w:hAnsi="宋体" w:eastAsia="宋体" w:cs="宋体"/>
          <w:sz w:val="30"/>
          <w:szCs w:val="30"/>
        </w:rPr>
        <w:softHyphen/>
      </w:r>
      <w:r>
        <w:rPr>
          <w:rFonts w:hint="eastAsia" w:ascii="宋体" w:hAnsi="宋体" w:eastAsia="宋体" w:cs="宋体"/>
          <w:sz w:val="30"/>
          <w:szCs w:val="30"/>
        </w:rPr>
        <w:softHyphen/>
      </w:r>
      <w:r>
        <w:rPr>
          <w:rFonts w:hint="eastAsia" w:ascii="宋体" w:hAnsi="宋体" w:eastAsia="宋体" w:cs="宋体"/>
          <w:sz w:val="30"/>
          <w:szCs w:val="30"/>
        </w:rPr>
        <w:t>________[           ]亿元的债务融资工具，并在交易商协会《接受注册通知书》确定的注册金额限额内按照交易商协会相关自律规范文件发行债务融资工具。</w:t>
      </w:r>
    </w:p>
    <w:p w14:paraId="1F37C372">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4.2</w:t>
      </w:r>
      <w:r>
        <w:rPr>
          <w:rFonts w:hint="eastAsia" w:ascii="宋体" w:hAnsi="宋体" w:eastAsia="宋体" w:cs="宋体"/>
          <w:sz w:val="30"/>
          <w:szCs w:val="30"/>
        </w:rPr>
        <w:t>发行方有权根据法律及交易商协会相关自律规范文件自主决定向交易商协会申请注册的债务融资工具金额。</w:t>
      </w:r>
    </w:p>
    <w:p w14:paraId="613ADE21">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4.3</w:t>
      </w:r>
      <w:r>
        <w:rPr>
          <w:rFonts w:hint="eastAsia" w:ascii="宋体" w:hAnsi="宋体" w:eastAsia="宋体" w:cs="宋体"/>
          <w:sz w:val="30"/>
          <w:szCs w:val="30"/>
        </w:rPr>
        <w:t>发行方有权在交易商协会《接受注册通知书》确定的注册金额限额内与主承销方协商确定债务融资工具发行期数以及每期发行的期限、金额、利率/价格区间等发行条款。</w:t>
      </w:r>
    </w:p>
    <w:p w14:paraId="436DD2A9">
      <w:pPr>
        <w:pStyle w:val="24"/>
        <w:spacing w:before="156" w:after="156" w:line="360" w:lineRule="auto"/>
        <w:ind w:firstLine="0"/>
        <w:rPr>
          <w:rFonts w:hint="eastAsia" w:ascii="宋体" w:hAnsi="宋体" w:eastAsia="宋体" w:cs="宋体"/>
          <w:b/>
          <w:sz w:val="30"/>
          <w:szCs w:val="30"/>
        </w:rPr>
      </w:pPr>
      <w:r>
        <w:rPr>
          <w:rFonts w:hint="eastAsia" w:ascii="宋体" w:hAnsi="宋体" w:eastAsia="宋体" w:cs="宋体"/>
          <w:b/>
          <w:sz w:val="30"/>
          <w:szCs w:val="30"/>
        </w:rPr>
        <w:t>4.4</w:t>
      </w:r>
      <w:r>
        <w:rPr>
          <w:rFonts w:hint="eastAsia" w:ascii="宋体" w:hAnsi="宋体" w:eastAsia="宋体" w:cs="宋体"/>
          <w:sz w:val="30"/>
          <w:szCs w:val="30"/>
        </w:rPr>
        <w:t>本协议生效后，发行方有权决定是否向交易商协会提交债务融资工具注册申请，以及在取得交易商协会的发行注册通知后是否实际发行债务融资工具。</w:t>
      </w:r>
    </w:p>
    <w:p w14:paraId="1821C5E4">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4.5</w:t>
      </w:r>
      <w:r>
        <w:rPr>
          <w:rFonts w:hint="eastAsia" w:ascii="宋体" w:hAnsi="宋体" w:eastAsia="宋体" w:cs="宋体"/>
          <w:sz w:val="30"/>
          <w:szCs w:val="30"/>
        </w:rPr>
        <w:t>发行方有权要求主承销方及时通报因其承担本协议项下义务而先于发行方知道的与债务融资工具发行相关的信息。</w:t>
      </w:r>
    </w:p>
    <w:p w14:paraId="0CE61152">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4.6</w:t>
      </w:r>
      <w:r>
        <w:rPr>
          <w:rFonts w:hint="eastAsia" w:ascii="宋体" w:hAnsi="宋体" w:eastAsia="宋体" w:cs="宋体"/>
          <w:sz w:val="30"/>
          <w:szCs w:val="30"/>
        </w:rPr>
        <w:t>发行方有义务按本协议规定按时、足额支付承销费及其他费用。</w:t>
      </w:r>
    </w:p>
    <w:p w14:paraId="690ED0CA">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4.7</w:t>
      </w:r>
      <w:r>
        <w:rPr>
          <w:rFonts w:hint="eastAsia" w:ascii="宋体" w:hAnsi="宋体" w:eastAsia="宋体" w:cs="宋体"/>
          <w:sz w:val="30"/>
          <w:szCs w:val="30"/>
        </w:rPr>
        <w:t>发行方应配合主承销方为债务融资工具发行进行的尽职调查工作。</w:t>
      </w:r>
    </w:p>
    <w:p w14:paraId="3C655AC7">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4.8</w:t>
      </w:r>
      <w:r>
        <w:rPr>
          <w:rFonts w:hint="eastAsia" w:ascii="宋体" w:hAnsi="宋体" w:eastAsia="宋体" w:cs="宋体"/>
          <w:sz w:val="30"/>
          <w:szCs w:val="30"/>
        </w:rPr>
        <w:t>发行方应及时向主承销方提交与本协议相关的各类材料，包括但不限于监管部门、交易商协会等相关机构对本次发行及交易流通相关发行文件及其修改或补充的批准、许可或注册/备案通知、暂停债务融资工具发行或暂停使用发行文件的通知、公司经营、财务、法律状况及评级的文件、资料、数据，并保证其提供的上述文件、资料、数据是真实、准确和完整的。</w:t>
      </w:r>
    </w:p>
    <w:p w14:paraId="5AEE2C6B">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4.9</w:t>
      </w:r>
      <w:r>
        <w:rPr>
          <w:rFonts w:hint="eastAsia" w:ascii="宋体" w:hAnsi="宋体" w:eastAsia="宋体" w:cs="宋体"/>
          <w:sz w:val="30"/>
          <w:szCs w:val="30"/>
        </w:rPr>
        <w:t>发行人应与主承销方书面签署《利率/价格区间确认函》，最终发行利率/价格根据第三条第3.3款确定。</w:t>
      </w:r>
    </w:p>
    <w:p w14:paraId="798B3E78">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4.10</w:t>
      </w:r>
      <w:r>
        <w:rPr>
          <w:rFonts w:hint="eastAsia" w:ascii="宋体" w:hAnsi="宋体" w:eastAsia="宋体" w:cs="宋体"/>
          <w:sz w:val="30"/>
          <w:szCs w:val="30"/>
        </w:rPr>
        <w:t>发行方应当按照登记托管机构（□中央国债登记结算有限责任公司，□银行间市场清算所股份有限公司），以及中国外汇交易中心暨全国银行间同业拆借中心等机构的有关规定，办理债务融资工具托管、流通、兑付和信息披露等事项。</w:t>
      </w:r>
    </w:p>
    <w:p w14:paraId="2CD47BAE">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4.11</w:t>
      </w:r>
      <w:r>
        <w:rPr>
          <w:rFonts w:hint="eastAsia" w:ascii="宋体" w:hAnsi="宋体" w:eastAsia="宋体" w:cs="宋体"/>
          <w:sz w:val="30"/>
          <w:szCs w:val="30"/>
        </w:rPr>
        <w:t>债务融资工具交易流通首日前(包括交易流通首日)的任何时候，如果发行方了解到任何将使其在本协议中作出的声明、保证或承诺存在错误或者变得不真实、不准确或不完整的情况，应立即通知主承销方，并根据法律及交易商协会相关自律规范文件，按主承销方的合理要求，采取必要措施予以补救或予以公布。</w:t>
      </w:r>
    </w:p>
    <w:p w14:paraId="722E4FCB">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4.12</w:t>
      </w:r>
      <w:r>
        <w:rPr>
          <w:rFonts w:hint="eastAsia" w:ascii="宋体" w:hAnsi="宋体" w:eastAsia="宋体" w:cs="宋体"/>
          <w:sz w:val="30"/>
          <w:szCs w:val="30"/>
        </w:rPr>
        <w:t>发行方应在公告日前与相关登记托管机构签订相关协议，就委托登记托管机构办理债务融资工具发行登记、托管、转托管、债权管理、代理本息兑付业务过程中双方的权利义务以及收费等事宜进行约定。</w:t>
      </w:r>
    </w:p>
    <w:p w14:paraId="1B064776">
      <w:pPr>
        <w:numPr>
          <w:ilvl w:val="0"/>
          <w:numId w:val="9"/>
        </w:numPr>
        <w:spacing w:line="360" w:lineRule="auto"/>
        <w:outlineLvl w:val="9"/>
        <w:rPr>
          <w:rFonts w:hint="eastAsia" w:ascii="宋体" w:hAnsi="宋体" w:eastAsia="宋体" w:cs="宋体"/>
          <w:b/>
          <w:bCs/>
          <w:sz w:val="30"/>
          <w:szCs w:val="30"/>
        </w:rPr>
      </w:pPr>
      <w:bookmarkStart w:id="137" w:name="_Toc257911874"/>
      <w:r>
        <w:rPr>
          <w:rFonts w:hint="eastAsia" w:ascii="宋体" w:hAnsi="宋体" w:eastAsia="宋体" w:cs="宋体"/>
          <w:b/>
          <w:bCs/>
          <w:sz w:val="30"/>
          <w:szCs w:val="30"/>
        </w:rPr>
        <w:t>债务融资工具的承销</w:t>
      </w:r>
      <w:bookmarkEnd w:id="137"/>
    </w:p>
    <w:p w14:paraId="30C45D20">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5.1</w:t>
      </w:r>
      <w:r>
        <w:rPr>
          <w:rFonts w:hint="eastAsia" w:ascii="宋体" w:hAnsi="宋体" w:eastAsia="宋体" w:cs="宋体"/>
          <w:sz w:val="30"/>
          <w:szCs w:val="30"/>
        </w:rPr>
        <w:t>本协议项下债务融资工具为发行方在交易商协会注册的、由主承销方承销的____ ____________________（短期融资券/中期票据/中小企业集合票据/超短期融资券/定向工具/资产支持票据/其他请填写________________）。</w:t>
      </w:r>
    </w:p>
    <w:p w14:paraId="440101D2">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5.2</w:t>
      </w:r>
      <w:r>
        <w:rPr>
          <w:rFonts w:hint="eastAsia" w:ascii="宋体" w:hAnsi="宋体" w:eastAsia="宋体" w:cs="宋体"/>
          <w:sz w:val="30"/>
          <w:szCs w:val="30"/>
        </w:rPr>
        <w:t>除补充协议另有约定外，本协议项下债务融资工具承销采取余额包销的方式进行。</w:t>
      </w:r>
    </w:p>
    <w:p w14:paraId="12587823">
      <w:pPr>
        <w:pStyle w:val="24"/>
        <w:spacing w:before="156" w:after="156"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在丙方存在时，乙方、丙方包销的额度比例为______。主承销方之间不对对方的包销额度承担连带责任，每一主承销方对其承销义务的违约不构成其他主承销方的违约。</w:t>
      </w:r>
    </w:p>
    <w:p w14:paraId="2BD0D764">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5.3</w:t>
      </w:r>
      <w:r>
        <w:rPr>
          <w:rFonts w:hint="eastAsia" w:ascii="宋体" w:hAnsi="宋体" w:eastAsia="宋体" w:cs="宋体"/>
          <w:sz w:val="30"/>
          <w:szCs w:val="30"/>
        </w:rPr>
        <w:t>主承销方应根据有关要求对本协议项下债务融资工具发行进行尽职调查，并有权要求发行方提供发行所需的各类材料，包括但不限于公司经营、财务、法律状况及评级的文件、资料和数据。</w:t>
      </w:r>
    </w:p>
    <w:p w14:paraId="54FB8F04">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5.4</w:t>
      </w:r>
      <w:r>
        <w:rPr>
          <w:rFonts w:hint="eastAsia" w:ascii="宋体" w:hAnsi="宋体" w:eastAsia="宋体" w:cs="宋体"/>
          <w:sz w:val="30"/>
          <w:szCs w:val="30"/>
        </w:rPr>
        <w:t>主承销方应当按本协议规定按时、足额向发行方划付债务融资工具募集资金。</w:t>
      </w:r>
    </w:p>
    <w:p w14:paraId="16AB7740">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5.5</w:t>
      </w:r>
      <w:r>
        <w:rPr>
          <w:rFonts w:hint="eastAsia" w:ascii="宋体" w:hAnsi="宋体" w:eastAsia="宋体" w:cs="宋体"/>
          <w:sz w:val="30"/>
          <w:szCs w:val="30"/>
        </w:rPr>
        <w:t>主承销方有义务组织经验丰富的专业人员从事本协议项下债务融资工具发行和承销工作。</w:t>
      </w:r>
    </w:p>
    <w:p w14:paraId="4D11E044">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5.6</w:t>
      </w:r>
      <w:r>
        <w:rPr>
          <w:rFonts w:hint="eastAsia" w:ascii="宋体" w:hAnsi="宋体" w:eastAsia="宋体" w:cs="宋体"/>
          <w:sz w:val="30"/>
          <w:szCs w:val="30"/>
        </w:rPr>
        <w:t>主承销方有义务在发行方提出要求时向发行方提供债务融资工具发行建议或方案。</w:t>
      </w:r>
    </w:p>
    <w:p w14:paraId="24D90188">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5.7</w:t>
      </w:r>
      <w:r>
        <w:rPr>
          <w:rFonts w:hint="eastAsia" w:ascii="宋体" w:hAnsi="宋体" w:eastAsia="宋体" w:cs="宋体"/>
          <w:sz w:val="30"/>
          <w:szCs w:val="30"/>
        </w:rPr>
        <w:t>主承销方有义务对发行方所出具的与债务融资工具发行工作有关的文件提供咨询建议，但就会计、法律、评级等事项发行方仍应依赖相关中介机构的专业意见并独立做出决策和判断。</w:t>
      </w:r>
    </w:p>
    <w:p w14:paraId="3B2E8596">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5.8</w:t>
      </w:r>
      <w:r>
        <w:rPr>
          <w:rFonts w:hint="eastAsia" w:ascii="宋体" w:hAnsi="宋体" w:eastAsia="宋体" w:cs="宋体"/>
          <w:sz w:val="30"/>
          <w:szCs w:val="30"/>
        </w:rPr>
        <w:t>主承销方负责组织承销团，开展本协议项下债务融资工具的承销工作。</w:t>
      </w:r>
    </w:p>
    <w:p w14:paraId="399E7E86">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5.9</w:t>
      </w:r>
      <w:r>
        <w:rPr>
          <w:rFonts w:hint="eastAsia" w:ascii="宋体" w:hAnsi="宋体" w:eastAsia="宋体" w:cs="宋体"/>
          <w:sz w:val="30"/>
          <w:szCs w:val="30"/>
        </w:rPr>
        <w:t>主承销方负责承销团成员的组织协调工作，并协助发行方共同协调会计、法律、评级等中介机构的工作。</w:t>
      </w:r>
    </w:p>
    <w:p w14:paraId="066B90EF">
      <w:pPr>
        <w:numPr>
          <w:ilvl w:val="0"/>
          <w:numId w:val="9"/>
        </w:numPr>
        <w:spacing w:line="360" w:lineRule="auto"/>
        <w:outlineLvl w:val="9"/>
        <w:rPr>
          <w:rFonts w:hint="eastAsia" w:ascii="宋体" w:hAnsi="宋体" w:eastAsia="宋体" w:cs="宋体"/>
          <w:b/>
          <w:bCs/>
          <w:sz w:val="30"/>
          <w:szCs w:val="30"/>
        </w:rPr>
      </w:pPr>
      <w:bookmarkStart w:id="138" w:name="_Toc257911875"/>
      <w:r>
        <w:rPr>
          <w:rFonts w:hint="eastAsia" w:ascii="宋体" w:hAnsi="宋体" w:eastAsia="宋体" w:cs="宋体"/>
          <w:b/>
          <w:bCs/>
          <w:sz w:val="30"/>
          <w:szCs w:val="30"/>
        </w:rPr>
        <w:t>募集资金划付</w:t>
      </w:r>
      <w:bookmarkEnd w:id="138"/>
    </w:p>
    <w:p w14:paraId="494B2FD5">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6.1</w:t>
      </w:r>
      <w:r>
        <w:rPr>
          <w:rFonts w:hint="eastAsia" w:ascii="宋体" w:hAnsi="宋体" w:eastAsia="宋体" w:cs="宋体"/>
          <w:sz w:val="30"/>
          <w:szCs w:val="30"/>
        </w:rPr>
        <w:t>除非补充协议另有约定，募集资金采用以下第___种方式划付：</w:t>
      </w:r>
    </w:p>
    <w:p w14:paraId="621B6358">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6.1.1</w:t>
      </w:r>
      <w:r>
        <w:rPr>
          <w:rFonts w:hint="eastAsia" w:ascii="宋体" w:hAnsi="宋体" w:eastAsia="宋体" w:cs="宋体"/>
          <w:sz w:val="30"/>
          <w:szCs w:val="30"/>
        </w:rPr>
        <w:t>在缴款日，簿记管理人将债务融资工具的募集资金扣除承销费后的余额全部划入发行方指定账户；</w:t>
      </w:r>
    </w:p>
    <w:p w14:paraId="63842E50">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6.1.2</w:t>
      </w:r>
      <w:r>
        <w:rPr>
          <w:rFonts w:hint="eastAsia" w:ascii="宋体" w:hAnsi="宋体" w:eastAsia="宋体" w:cs="宋体"/>
          <w:sz w:val="30"/>
          <w:szCs w:val="30"/>
        </w:rPr>
        <w:t>在缴款日，簿记管理人将债务融资工具的募集资金全部划入发行方指定账户。</w:t>
      </w:r>
    </w:p>
    <w:p w14:paraId="38DE2AE3">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6.2</w:t>
      </w:r>
      <w:r>
        <w:rPr>
          <w:rFonts w:hint="eastAsia" w:ascii="宋体" w:hAnsi="宋体" w:eastAsia="宋体" w:cs="宋体"/>
          <w:sz w:val="30"/>
          <w:szCs w:val="30"/>
        </w:rPr>
        <w:t>若发生承销团其他成员缴款违约或认购不足而导致主承销方承担余额包销责任，未担任簿记管理人的主承销方应不迟于缴款日当日______时将对应的募集款项划至簿记管理人指定账户。</w:t>
      </w:r>
    </w:p>
    <w:p w14:paraId="18897DAA">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6.3</w:t>
      </w:r>
      <w:r>
        <w:rPr>
          <w:rFonts w:hint="eastAsia" w:ascii="宋体" w:hAnsi="宋体" w:eastAsia="宋体" w:cs="宋体"/>
          <w:sz w:val="30"/>
          <w:szCs w:val="30"/>
        </w:rPr>
        <w:t xml:space="preserve"> 发行方和主承销方特此确认，在簿记管理人按照本第六条的约定足额向发行方划付了募集资金且发行方实际已收到了该等募集资金，主承销方在本条下的承销义务和责任即告终止，但其在本协议项下的其他义务和责任并不因此而终止。</w:t>
      </w:r>
    </w:p>
    <w:p w14:paraId="374C39D2">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6.4</w:t>
      </w:r>
      <w:r>
        <w:rPr>
          <w:rFonts w:hint="eastAsia" w:ascii="宋体" w:hAnsi="宋体" w:eastAsia="宋体" w:cs="宋体"/>
          <w:sz w:val="30"/>
          <w:szCs w:val="30"/>
        </w:rPr>
        <w:t>簿记管理人向发行方履行划款义务，以第十二条先决条件在缴款前持续得到满足为前提。</w:t>
      </w:r>
    </w:p>
    <w:p w14:paraId="45775599">
      <w:pPr>
        <w:numPr>
          <w:ilvl w:val="0"/>
          <w:numId w:val="9"/>
        </w:numPr>
        <w:spacing w:line="360" w:lineRule="auto"/>
        <w:outlineLvl w:val="9"/>
        <w:rPr>
          <w:rFonts w:hint="eastAsia" w:ascii="宋体" w:hAnsi="宋体" w:eastAsia="宋体" w:cs="宋体"/>
          <w:b/>
          <w:bCs/>
          <w:sz w:val="30"/>
          <w:szCs w:val="30"/>
        </w:rPr>
      </w:pPr>
      <w:bookmarkStart w:id="139" w:name="_Toc237232410"/>
      <w:bookmarkEnd w:id="139"/>
      <w:bookmarkStart w:id="140" w:name="_Toc237232426"/>
      <w:bookmarkEnd w:id="140"/>
      <w:bookmarkStart w:id="141" w:name="_Toc237232442"/>
      <w:bookmarkEnd w:id="141"/>
      <w:bookmarkStart w:id="142" w:name="_Toc237232432"/>
      <w:bookmarkEnd w:id="142"/>
      <w:bookmarkStart w:id="143" w:name="_Toc237232413"/>
      <w:bookmarkEnd w:id="143"/>
      <w:bookmarkStart w:id="144" w:name="_Toc237232438"/>
      <w:bookmarkEnd w:id="144"/>
      <w:bookmarkStart w:id="145" w:name="_Toc237232437"/>
      <w:bookmarkEnd w:id="145"/>
      <w:bookmarkStart w:id="146" w:name="_Toc237232418"/>
      <w:bookmarkEnd w:id="146"/>
      <w:bookmarkStart w:id="147" w:name="_Toc237232443"/>
      <w:bookmarkEnd w:id="147"/>
      <w:bookmarkStart w:id="148" w:name="_Toc237232408"/>
      <w:bookmarkEnd w:id="148"/>
      <w:bookmarkStart w:id="149" w:name="_Toc237232444"/>
      <w:bookmarkEnd w:id="149"/>
      <w:bookmarkStart w:id="150" w:name="_Toc237232419"/>
      <w:bookmarkEnd w:id="150"/>
      <w:bookmarkStart w:id="151" w:name="_Toc237232435"/>
      <w:bookmarkEnd w:id="151"/>
      <w:bookmarkStart w:id="152" w:name="_Toc237232411"/>
      <w:bookmarkEnd w:id="152"/>
      <w:bookmarkStart w:id="153" w:name="_Toc237232436"/>
      <w:bookmarkEnd w:id="153"/>
      <w:bookmarkStart w:id="154" w:name="_Toc237232412"/>
      <w:bookmarkEnd w:id="154"/>
      <w:bookmarkStart w:id="155" w:name="_Toc237232407"/>
      <w:bookmarkEnd w:id="155"/>
      <w:bookmarkStart w:id="156" w:name="_Toc237232428"/>
      <w:bookmarkEnd w:id="156"/>
      <w:bookmarkStart w:id="157" w:name="_Toc237232441"/>
      <w:bookmarkEnd w:id="157"/>
      <w:bookmarkStart w:id="158" w:name="_Toc237232424"/>
      <w:bookmarkEnd w:id="158"/>
      <w:bookmarkStart w:id="159" w:name="_Toc237232423"/>
      <w:bookmarkEnd w:id="159"/>
      <w:bookmarkStart w:id="160" w:name="_Toc237232430"/>
      <w:bookmarkEnd w:id="160"/>
      <w:bookmarkStart w:id="161" w:name="_Toc237232421"/>
      <w:bookmarkEnd w:id="161"/>
      <w:bookmarkStart w:id="162" w:name="_Toc237232427"/>
      <w:bookmarkEnd w:id="162"/>
      <w:bookmarkStart w:id="163" w:name="_Toc237232409"/>
      <w:bookmarkEnd w:id="163"/>
      <w:bookmarkStart w:id="164" w:name="_Toc237232440"/>
      <w:bookmarkEnd w:id="164"/>
      <w:bookmarkStart w:id="165" w:name="_Toc237232417"/>
      <w:bookmarkEnd w:id="165"/>
      <w:bookmarkStart w:id="166" w:name="_Toc237232439"/>
      <w:bookmarkEnd w:id="166"/>
      <w:bookmarkStart w:id="167" w:name="_Toc237232433"/>
      <w:bookmarkEnd w:id="167"/>
      <w:bookmarkStart w:id="168" w:name="_Toc237232420"/>
      <w:bookmarkEnd w:id="168"/>
      <w:bookmarkStart w:id="169" w:name="_Toc237232429"/>
      <w:bookmarkEnd w:id="169"/>
      <w:bookmarkStart w:id="170" w:name="_Toc237232416"/>
      <w:bookmarkEnd w:id="170"/>
      <w:bookmarkStart w:id="171" w:name="_Toc237232425"/>
      <w:bookmarkEnd w:id="171"/>
      <w:bookmarkStart w:id="172" w:name="_Toc237232434"/>
      <w:bookmarkEnd w:id="172"/>
      <w:bookmarkStart w:id="173" w:name="_Toc237232414"/>
      <w:bookmarkEnd w:id="173"/>
      <w:bookmarkStart w:id="174" w:name="_Toc237232422"/>
      <w:bookmarkEnd w:id="174"/>
      <w:bookmarkStart w:id="175" w:name="_Toc237232415"/>
      <w:bookmarkEnd w:id="175"/>
      <w:bookmarkStart w:id="176" w:name="_Toc237232431"/>
      <w:bookmarkEnd w:id="176"/>
      <w:bookmarkStart w:id="177" w:name="_Toc257911876"/>
      <w:r>
        <w:rPr>
          <w:rFonts w:hint="eastAsia" w:ascii="宋体" w:hAnsi="宋体" w:eastAsia="宋体" w:cs="宋体"/>
          <w:b/>
          <w:bCs/>
          <w:sz w:val="30"/>
          <w:szCs w:val="30"/>
        </w:rPr>
        <w:t>费用及支付</w:t>
      </w:r>
      <w:bookmarkEnd w:id="177"/>
    </w:p>
    <w:p w14:paraId="7FF22493">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7.1</w:t>
      </w:r>
      <w:r>
        <w:rPr>
          <w:rFonts w:hint="eastAsia" w:ascii="宋体" w:hAnsi="宋体" w:eastAsia="宋体" w:cs="宋体"/>
          <w:sz w:val="30"/>
          <w:szCs w:val="30"/>
        </w:rPr>
        <w:t>基于主承销方就本协议项下某期债务融资工具发行为发行方提供的承销服务，发行成功后，发行方按本协议规定的金额和支付方式向主承销方支付承销费。承销费计算方式如下：</w:t>
      </w:r>
    </w:p>
    <w:p w14:paraId="0C7C9AD5">
      <w:pPr>
        <w:pStyle w:val="24"/>
        <w:spacing w:before="156" w:after="156" w:line="360" w:lineRule="auto"/>
        <w:ind w:firstLine="480"/>
        <w:rPr>
          <w:rFonts w:hint="eastAsia" w:ascii="宋体" w:hAnsi="宋体" w:eastAsia="宋体" w:cs="宋体"/>
          <w:sz w:val="30"/>
          <w:szCs w:val="30"/>
        </w:rPr>
      </w:pPr>
      <w:r>
        <w:rPr>
          <w:rFonts w:hint="eastAsia" w:ascii="宋体" w:hAnsi="宋体" w:eastAsia="宋体" w:cs="宋体"/>
          <w:sz w:val="30"/>
          <w:szCs w:val="30"/>
        </w:rPr>
        <w:t>承销费＝当期债务融资工具发行面值总额×发行年限×年承销费率</w:t>
      </w:r>
    </w:p>
    <w:p w14:paraId="75E77BD2">
      <w:pPr>
        <w:pStyle w:val="24"/>
        <w:spacing w:before="156" w:after="156" w:line="360" w:lineRule="auto"/>
        <w:ind w:firstLine="480"/>
        <w:rPr>
          <w:rFonts w:hint="eastAsia" w:ascii="宋体" w:hAnsi="宋体" w:eastAsia="宋体" w:cs="宋体"/>
          <w:sz w:val="30"/>
          <w:szCs w:val="30"/>
        </w:rPr>
      </w:pPr>
      <w:r>
        <w:rPr>
          <w:rFonts w:hint="eastAsia" w:ascii="宋体" w:hAnsi="宋体" w:eastAsia="宋体" w:cs="宋体"/>
          <w:sz w:val="30"/>
          <w:szCs w:val="30"/>
        </w:rPr>
        <w:t>本协议项下债务融资工具年承销费率为（请勾选）：</w:t>
      </w:r>
    </w:p>
    <w:p w14:paraId="1C83CE3C">
      <w:pPr>
        <w:pStyle w:val="24"/>
        <w:spacing w:before="156" w:after="156" w:line="360" w:lineRule="auto"/>
        <w:ind w:firstLine="480"/>
        <w:rPr>
          <w:rFonts w:hint="eastAsia" w:ascii="宋体" w:hAnsi="宋体" w:eastAsia="宋体" w:cs="宋体"/>
          <w:sz w:val="30"/>
          <w:szCs w:val="30"/>
        </w:rPr>
      </w:pPr>
      <w:r>
        <w:rPr>
          <w:rFonts w:hint="eastAsia" w:ascii="宋体" w:hAnsi="宋体" w:eastAsia="宋体" w:cs="宋体"/>
          <w:sz w:val="30"/>
          <w:szCs w:val="30"/>
        </w:rPr>
        <w:t>□短期融资券：_____%；</w:t>
      </w:r>
    </w:p>
    <w:p w14:paraId="5C8D2103">
      <w:pPr>
        <w:pStyle w:val="24"/>
        <w:spacing w:before="156" w:after="156" w:line="360" w:lineRule="auto"/>
        <w:ind w:firstLine="480"/>
        <w:rPr>
          <w:rFonts w:hint="eastAsia" w:ascii="宋体" w:hAnsi="宋体" w:eastAsia="宋体" w:cs="宋体"/>
          <w:sz w:val="30"/>
          <w:szCs w:val="30"/>
        </w:rPr>
      </w:pPr>
      <w:r>
        <w:rPr>
          <w:rFonts w:hint="eastAsia" w:ascii="宋体" w:hAnsi="宋体" w:eastAsia="宋体" w:cs="宋体"/>
          <w:sz w:val="30"/>
          <w:szCs w:val="30"/>
        </w:rPr>
        <w:t>□中期票据：_______%；</w:t>
      </w:r>
    </w:p>
    <w:p w14:paraId="3142EC9E">
      <w:pPr>
        <w:pStyle w:val="24"/>
        <w:spacing w:before="156" w:after="156" w:line="360" w:lineRule="auto"/>
        <w:ind w:firstLine="480"/>
        <w:rPr>
          <w:rFonts w:hint="eastAsia" w:ascii="宋体" w:hAnsi="宋体" w:eastAsia="宋体" w:cs="宋体"/>
          <w:sz w:val="30"/>
          <w:szCs w:val="30"/>
        </w:rPr>
      </w:pPr>
      <w:r>
        <w:rPr>
          <w:rFonts w:hint="eastAsia" w:ascii="宋体" w:hAnsi="宋体" w:eastAsia="宋体" w:cs="宋体"/>
          <w:sz w:val="30"/>
          <w:szCs w:val="30"/>
        </w:rPr>
        <w:t>□中小企业集合票据：_____%；</w:t>
      </w:r>
    </w:p>
    <w:p w14:paraId="35E1FC34">
      <w:pPr>
        <w:pStyle w:val="24"/>
        <w:spacing w:before="156" w:after="156" w:line="360" w:lineRule="auto"/>
        <w:ind w:firstLine="480"/>
        <w:rPr>
          <w:rFonts w:hint="eastAsia" w:ascii="宋体" w:hAnsi="宋体" w:eastAsia="宋体" w:cs="宋体"/>
          <w:sz w:val="30"/>
          <w:szCs w:val="30"/>
        </w:rPr>
      </w:pPr>
      <w:r>
        <w:rPr>
          <w:rFonts w:hint="eastAsia" w:ascii="宋体" w:hAnsi="宋体" w:eastAsia="宋体" w:cs="宋体"/>
          <w:sz w:val="30"/>
          <w:szCs w:val="30"/>
        </w:rPr>
        <w:t>□超短期融资券：_____%；</w:t>
      </w:r>
    </w:p>
    <w:p w14:paraId="3C8F2752">
      <w:pPr>
        <w:pStyle w:val="24"/>
        <w:spacing w:before="156" w:after="156" w:line="360" w:lineRule="auto"/>
        <w:ind w:firstLine="480"/>
        <w:rPr>
          <w:rFonts w:hint="eastAsia" w:ascii="宋体" w:hAnsi="宋体" w:eastAsia="宋体" w:cs="宋体"/>
          <w:sz w:val="30"/>
          <w:szCs w:val="30"/>
        </w:rPr>
      </w:pPr>
      <w:r>
        <w:rPr>
          <w:rFonts w:hint="eastAsia" w:ascii="宋体" w:hAnsi="宋体" w:eastAsia="宋体" w:cs="宋体"/>
          <w:sz w:val="30"/>
          <w:szCs w:val="30"/>
        </w:rPr>
        <w:t>□定向工具：_____%；</w:t>
      </w:r>
    </w:p>
    <w:p w14:paraId="3F2A3B3A">
      <w:pPr>
        <w:pStyle w:val="24"/>
        <w:spacing w:before="156" w:after="156" w:line="360" w:lineRule="auto"/>
        <w:ind w:firstLine="480"/>
        <w:rPr>
          <w:rFonts w:hint="eastAsia" w:ascii="宋体" w:hAnsi="宋体" w:eastAsia="宋体" w:cs="宋体"/>
          <w:sz w:val="30"/>
          <w:szCs w:val="30"/>
        </w:rPr>
      </w:pPr>
      <w:r>
        <w:rPr>
          <w:rFonts w:hint="eastAsia" w:ascii="宋体" w:hAnsi="宋体" w:eastAsia="宋体" w:cs="宋体"/>
          <w:sz w:val="30"/>
          <w:szCs w:val="30"/>
        </w:rPr>
        <w:t>□资产支持票据：_____%；</w:t>
      </w:r>
    </w:p>
    <w:p w14:paraId="3BF2DA6C">
      <w:pPr>
        <w:pStyle w:val="24"/>
        <w:spacing w:before="156" w:after="156" w:line="360" w:lineRule="auto"/>
        <w:ind w:firstLine="480"/>
        <w:rPr>
          <w:rFonts w:hint="eastAsia" w:ascii="宋体" w:hAnsi="宋体" w:eastAsia="宋体" w:cs="宋体"/>
          <w:sz w:val="30"/>
          <w:szCs w:val="30"/>
        </w:rPr>
      </w:pPr>
      <w:r>
        <w:rPr>
          <w:rFonts w:hint="eastAsia" w:ascii="宋体" w:hAnsi="宋体" w:eastAsia="宋体" w:cs="宋体"/>
          <w:sz w:val="30"/>
          <w:szCs w:val="30"/>
        </w:rPr>
        <w:t>□其他请填写______________，_____%。</w:t>
      </w:r>
    </w:p>
    <w:p w14:paraId="3C121FC7">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 xml:space="preserve">7.2 </w:t>
      </w:r>
      <w:r>
        <w:rPr>
          <w:rFonts w:hint="eastAsia" w:ascii="宋体" w:hAnsi="宋体" w:eastAsia="宋体" w:cs="宋体"/>
          <w:sz w:val="30"/>
          <w:szCs w:val="30"/>
        </w:rPr>
        <w:t>承销费包括支付给主承销方的所有承销费用，分为主承销费和销售佣金，销售佣金的分配方式和比例由主承销方与其他承销团成员另行约定。</w:t>
      </w:r>
    </w:p>
    <w:p w14:paraId="6A3CFD61">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7.3</w:t>
      </w:r>
      <w:r>
        <w:rPr>
          <w:rFonts w:hint="eastAsia" w:ascii="宋体" w:hAnsi="宋体" w:eastAsia="宋体" w:cs="宋体"/>
          <w:sz w:val="30"/>
          <w:szCs w:val="30"/>
        </w:rPr>
        <w:t>除非补充协议另有约定，上述承销费通过以下第_______种方式支付：</w:t>
      </w:r>
    </w:p>
    <w:p w14:paraId="696ECD5A">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7.3.1</w:t>
      </w:r>
      <w:r>
        <w:rPr>
          <w:rFonts w:hint="eastAsia" w:ascii="宋体" w:hAnsi="宋体" w:eastAsia="宋体" w:cs="宋体"/>
          <w:sz w:val="30"/>
          <w:szCs w:val="30"/>
        </w:rPr>
        <w:t>一次性支付：</w:t>
      </w:r>
    </w:p>
    <w:p w14:paraId="5EC8EDC9">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7.3.1.1</w:t>
      </w:r>
      <w:r>
        <w:rPr>
          <w:rFonts w:hint="eastAsia" w:ascii="宋体" w:hAnsi="宋体" w:eastAsia="宋体" w:cs="宋体"/>
          <w:sz w:val="30"/>
          <w:szCs w:val="30"/>
        </w:rPr>
        <w:t>由簿记管理人在缴款日从募集资金中一次性扣收；</w:t>
      </w:r>
    </w:p>
    <w:p w14:paraId="6CEBC37C">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7.3.1.2</w:t>
      </w:r>
      <w:r>
        <w:rPr>
          <w:rFonts w:hint="eastAsia" w:ascii="宋体" w:hAnsi="宋体" w:eastAsia="宋体" w:cs="宋体"/>
          <w:sz w:val="30"/>
          <w:szCs w:val="30"/>
        </w:rPr>
        <w:t>由发行方在缴款日后___个工作日内另行向簿记管理人一次性支付。</w:t>
      </w:r>
    </w:p>
    <w:p w14:paraId="2A3DD807">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7.3.2</w:t>
      </w:r>
      <w:r>
        <w:rPr>
          <w:rFonts w:hint="eastAsia" w:ascii="宋体" w:hAnsi="宋体" w:eastAsia="宋体" w:cs="宋体"/>
          <w:sz w:val="30"/>
          <w:szCs w:val="30"/>
        </w:rPr>
        <w:t>按年支付：</w:t>
      </w:r>
    </w:p>
    <w:p w14:paraId="5DE00348">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7.3.2.1</w:t>
      </w:r>
      <w:r>
        <w:rPr>
          <w:rFonts w:hint="eastAsia" w:ascii="宋体" w:hAnsi="宋体" w:eastAsia="宋体" w:cs="宋体"/>
          <w:sz w:val="30"/>
          <w:szCs w:val="30"/>
        </w:rPr>
        <w:t>由簿记管理人在缴款日从募集资金中扣收首年承销费（含销售佣金），剩余承销费按年平均由发行方在当期债务融资工具存续期间的缴款日在当年的对应日（到期还本付息日除外）后____个工作日内支付，其中首年承销费为承销费总额的___%；</w:t>
      </w:r>
    </w:p>
    <w:p w14:paraId="66BC7ACB">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7.3.2.2</w:t>
      </w:r>
      <w:r>
        <w:rPr>
          <w:rFonts w:hint="eastAsia" w:ascii="宋体" w:hAnsi="宋体" w:eastAsia="宋体" w:cs="宋体"/>
          <w:sz w:val="30"/>
          <w:szCs w:val="30"/>
        </w:rPr>
        <w:t>由发行方在缴款日后__个工作日内向簿记管理人支付首年承销费，剩余承销费按年平均由发行方在当期债务融资工具存续期间的缴款日在当年的对应日（到期还本付息日除外）后____个工作日内支付，其中首年承销费为承销费总额的___%；</w:t>
      </w:r>
    </w:p>
    <w:p w14:paraId="5479F7A5">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7.3.3</w:t>
      </w:r>
      <w:r>
        <w:rPr>
          <w:rFonts w:hint="eastAsia" w:ascii="宋体" w:hAnsi="宋体" w:eastAsia="宋体" w:cs="宋体"/>
          <w:sz w:val="30"/>
          <w:szCs w:val="30"/>
        </w:rPr>
        <w:t>除非补充协议另有约定，在丙方存在时，主承销费在乙方、丙方之间的分配比例与本协议第五条第5.2款约定的包销额度分配比例相同，由簿记管理人向发行方足额收取应收承销费。簿记管理人在收到应收承销费后___个工作日内向未担任簿记管理人的主承销方足额支付当期应收承销费。</w:t>
      </w:r>
    </w:p>
    <w:p w14:paraId="22F7FF6C">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7.4</w:t>
      </w:r>
      <w:r>
        <w:rPr>
          <w:rFonts w:hint="eastAsia" w:ascii="宋体" w:hAnsi="宋体" w:eastAsia="宋体" w:cs="宋体"/>
          <w:sz w:val="30"/>
          <w:szCs w:val="30"/>
        </w:rPr>
        <w:t xml:space="preserve"> 债务融资工具发行所需之会计、法律、评级及与债务融资工具有关的托管、兑付等中介机构费用及其他因债务融资工具发行产生的任何费用由发行方承担，并由发行方直接支付给相应机构。</w:t>
      </w:r>
    </w:p>
    <w:p w14:paraId="2C5D37D0">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7.5</w:t>
      </w:r>
      <w:r>
        <w:rPr>
          <w:rFonts w:hint="eastAsia" w:ascii="宋体" w:hAnsi="宋体" w:eastAsia="宋体" w:cs="宋体"/>
          <w:sz w:val="30"/>
          <w:szCs w:val="30"/>
        </w:rPr>
        <w:t xml:space="preserve"> 在本协议项下债务融资工具获得交易商协会注册后的有效期内，如果发行方放弃发行本次注册债务融资工具全部额度或在两年注册有效期内没有发行，发行方仅需向主承销方支付发行顾问费。除非补充协议另有约定，发行顾问费金额为债务融资工具注册额度的____%，并在其放弃全部额度之日起五个工作日内或注册有效期结束后五个工作日内向主承销方支付。在丙方存在时，除非补充协议另有约定，上述发行顾问费在乙方、丙方之间的分配比例与本协议第五条第5.2款约定的包销额度分配比例相同。</w:t>
      </w:r>
    </w:p>
    <w:p w14:paraId="7078FCA1">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7.6</w:t>
      </w:r>
      <w:r>
        <w:rPr>
          <w:rFonts w:hint="eastAsia" w:ascii="宋体" w:hAnsi="宋体" w:eastAsia="宋体" w:cs="宋体"/>
          <w:sz w:val="30"/>
          <w:szCs w:val="30"/>
        </w:rPr>
        <w:t>本协议各方指定账户如下：</w:t>
      </w:r>
    </w:p>
    <w:p w14:paraId="22F53CF7">
      <w:pPr>
        <w:spacing w:before="156" w:after="156" w:line="360" w:lineRule="auto"/>
        <w:ind w:firstLine="480"/>
        <w:rPr>
          <w:rFonts w:hint="eastAsia" w:ascii="宋体" w:hAnsi="宋体" w:eastAsia="宋体" w:cs="宋体"/>
          <w:b/>
          <w:bCs/>
          <w:sz w:val="30"/>
          <w:szCs w:val="30"/>
        </w:rPr>
      </w:pPr>
      <w:r>
        <w:rPr>
          <w:rFonts w:hint="eastAsia" w:ascii="宋体" w:hAnsi="宋体" w:eastAsia="宋体" w:cs="宋体"/>
          <w:b/>
          <w:bCs/>
          <w:sz w:val="30"/>
          <w:szCs w:val="30"/>
        </w:rPr>
        <w:t>甲方</w:t>
      </w:r>
    </w:p>
    <w:p w14:paraId="53848FA9">
      <w:pPr>
        <w:spacing w:before="156" w:after="156" w:line="360" w:lineRule="auto"/>
        <w:ind w:firstLine="480"/>
        <w:rPr>
          <w:rFonts w:hint="eastAsia" w:ascii="宋体" w:hAnsi="宋体" w:eastAsia="宋体" w:cs="宋体"/>
          <w:sz w:val="30"/>
          <w:szCs w:val="30"/>
        </w:rPr>
      </w:pPr>
      <w:r>
        <w:rPr>
          <w:rFonts w:hint="eastAsia" w:ascii="宋体" w:hAnsi="宋体" w:eastAsia="宋体" w:cs="宋体"/>
          <w:sz w:val="30"/>
          <w:szCs w:val="30"/>
        </w:rPr>
        <w:t xml:space="preserve">户名： </w:t>
      </w:r>
    </w:p>
    <w:p w14:paraId="2819E30E">
      <w:pPr>
        <w:spacing w:before="156" w:after="156" w:line="360" w:lineRule="auto"/>
        <w:ind w:firstLine="480"/>
        <w:rPr>
          <w:rFonts w:hint="eastAsia" w:ascii="宋体" w:hAnsi="宋体" w:eastAsia="宋体" w:cs="宋体"/>
          <w:sz w:val="30"/>
          <w:szCs w:val="30"/>
        </w:rPr>
      </w:pPr>
      <w:r>
        <w:rPr>
          <w:rFonts w:hint="eastAsia" w:ascii="宋体" w:hAnsi="宋体" w:eastAsia="宋体" w:cs="宋体"/>
          <w:sz w:val="30"/>
          <w:szCs w:val="30"/>
        </w:rPr>
        <w:t xml:space="preserve">开户行： </w:t>
      </w:r>
    </w:p>
    <w:p w14:paraId="0F0F0841">
      <w:pPr>
        <w:spacing w:before="156" w:after="156" w:line="360" w:lineRule="auto"/>
        <w:ind w:firstLine="480"/>
        <w:rPr>
          <w:rFonts w:hint="eastAsia" w:ascii="宋体" w:hAnsi="宋体" w:eastAsia="宋体" w:cs="宋体"/>
          <w:sz w:val="30"/>
          <w:szCs w:val="30"/>
        </w:rPr>
      </w:pPr>
      <w:r>
        <w:rPr>
          <w:rFonts w:hint="eastAsia" w:ascii="宋体" w:hAnsi="宋体" w:eastAsia="宋体" w:cs="宋体"/>
          <w:sz w:val="30"/>
          <w:szCs w:val="30"/>
        </w:rPr>
        <w:t>账号：</w:t>
      </w:r>
    </w:p>
    <w:p w14:paraId="02015BD8">
      <w:pPr>
        <w:spacing w:before="156" w:after="156" w:line="360" w:lineRule="auto"/>
        <w:ind w:firstLine="480"/>
        <w:rPr>
          <w:rFonts w:hint="eastAsia" w:ascii="宋体" w:hAnsi="宋体" w:eastAsia="宋体" w:cs="宋体"/>
          <w:sz w:val="30"/>
          <w:szCs w:val="30"/>
        </w:rPr>
      </w:pPr>
      <w:r>
        <w:rPr>
          <w:rFonts w:hint="eastAsia" w:ascii="宋体" w:hAnsi="宋体" w:eastAsia="宋体" w:cs="宋体"/>
          <w:sz w:val="30"/>
          <w:szCs w:val="30"/>
        </w:rPr>
        <w:t>中国人民银行支付系统号：</w:t>
      </w:r>
    </w:p>
    <w:p w14:paraId="6A83A5FD">
      <w:pPr>
        <w:spacing w:before="156" w:after="156" w:line="360" w:lineRule="auto"/>
        <w:ind w:firstLine="480"/>
        <w:rPr>
          <w:rFonts w:hint="eastAsia" w:ascii="宋体" w:hAnsi="宋体" w:eastAsia="宋体" w:cs="宋体"/>
          <w:b/>
          <w:bCs/>
          <w:sz w:val="30"/>
          <w:szCs w:val="30"/>
        </w:rPr>
      </w:pPr>
      <w:r>
        <w:rPr>
          <w:rFonts w:hint="eastAsia" w:ascii="宋体" w:hAnsi="宋体" w:eastAsia="宋体" w:cs="宋体"/>
          <w:b/>
          <w:bCs/>
          <w:sz w:val="30"/>
          <w:szCs w:val="30"/>
        </w:rPr>
        <w:t>乙方</w:t>
      </w:r>
    </w:p>
    <w:p w14:paraId="1EF9D0CE">
      <w:pPr>
        <w:spacing w:before="156" w:after="156" w:line="360" w:lineRule="auto"/>
        <w:ind w:firstLine="480"/>
        <w:rPr>
          <w:rFonts w:hint="eastAsia" w:ascii="宋体" w:hAnsi="宋体" w:eastAsia="宋体" w:cs="宋体"/>
          <w:sz w:val="30"/>
          <w:szCs w:val="30"/>
        </w:rPr>
      </w:pPr>
      <w:r>
        <w:rPr>
          <w:rFonts w:hint="eastAsia" w:ascii="宋体" w:hAnsi="宋体" w:eastAsia="宋体" w:cs="宋体"/>
          <w:sz w:val="30"/>
          <w:szCs w:val="30"/>
        </w:rPr>
        <w:t xml:space="preserve">户名： </w:t>
      </w:r>
    </w:p>
    <w:p w14:paraId="4BB6D7C2">
      <w:pPr>
        <w:spacing w:before="156" w:after="156" w:line="360" w:lineRule="auto"/>
        <w:ind w:firstLine="480"/>
        <w:rPr>
          <w:rFonts w:hint="eastAsia" w:ascii="宋体" w:hAnsi="宋体" w:eastAsia="宋体" w:cs="宋体"/>
          <w:sz w:val="30"/>
          <w:szCs w:val="30"/>
        </w:rPr>
      </w:pPr>
      <w:r>
        <w:rPr>
          <w:rFonts w:hint="eastAsia" w:ascii="宋体" w:hAnsi="宋体" w:eastAsia="宋体" w:cs="宋体"/>
          <w:sz w:val="30"/>
          <w:szCs w:val="30"/>
        </w:rPr>
        <w:t>开户行：</w:t>
      </w:r>
    </w:p>
    <w:p w14:paraId="0CAE92D4">
      <w:pPr>
        <w:spacing w:before="156" w:after="156" w:line="360" w:lineRule="auto"/>
        <w:ind w:firstLine="480"/>
        <w:rPr>
          <w:rFonts w:hint="eastAsia" w:ascii="宋体" w:hAnsi="宋体" w:eastAsia="宋体" w:cs="宋体"/>
          <w:sz w:val="30"/>
          <w:szCs w:val="30"/>
        </w:rPr>
      </w:pPr>
      <w:r>
        <w:rPr>
          <w:rFonts w:hint="eastAsia" w:ascii="宋体" w:hAnsi="宋体" w:eastAsia="宋体" w:cs="宋体"/>
          <w:sz w:val="30"/>
          <w:szCs w:val="30"/>
        </w:rPr>
        <w:t>账号：</w:t>
      </w:r>
    </w:p>
    <w:p w14:paraId="534512D8">
      <w:pPr>
        <w:spacing w:before="156" w:after="156" w:line="360" w:lineRule="auto"/>
        <w:ind w:firstLine="480"/>
        <w:rPr>
          <w:rFonts w:hint="eastAsia" w:ascii="宋体" w:hAnsi="宋体" w:eastAsia="宋体" w:cs="宋体"/>
          <w:sz w:val="30"/>
          <w:szCs w:val="30"/>
        </w:rPr>
      </w:pPr>
      <w:r>
        <w:rPr>
          <w:rFonts w:hint="eastAsia" w:ascii="宋体" w:hAnsi="宋体" w:eastAsia="宋体" w:cs="宋体"/>
          <w:sz w:val="30"/>
          <w:szCs w:val="30"/>
        </w:rPr>
        <w:t>中国人民银行支付系统号：</w:t>
      </w:r>
    </w:p>
    <w:p w14:paraId="49AD9662">
      <w:pPr>
        <w:spacing w:before="156" w:after="156" w:line="360" w:lineRule="auto"/>
        <w:ind w:firstLine="480"/>
        <w:rPr>
          <w:rFonts w:hint="eastAsia" w:ascii="宋体" w:hAnsi="宋体" w:eastAsia="宋体" w:cs="宋体"/>
          <w:b/>
          <w:bCs/>
          <w:sz w:val="30"/>
          <w:szCs w:val="30"/>
        </w:rPr>
      </w:pPr>
      <w:r>
        <w:rPr>
          <w:rFonts w:hint="eastAsia" w:ascii="宋体" w:hAnsi="宋体" w:eastAsia="宋体" w:cs="宋体"/>
          <w:b/>
          <w:bCs/>
          <w:sz w:val="30"/>
          <w:szCs w:val="30"/>
        </w:rPr>
        <w:t>丙方（若有）</w:t>
      </w:r>
    </w:p>
    <w:p w14:paraId="75F2D361">
      <w:pPr>
        <w:spacing w:before="156" w:after="156" w:line="360" w:lineRule="auto"/>
        <w:ind w:firstLine="480"/>
        <w:rPr>
          <w:rFonts w:hint="eastAsia" w:ascii="宋体" w:hAnsi="宋体" w:eastAsia="宋体" w:cs="宋体"/>
          <w:sz w:val="30"/>
          <w:szCs w:val="30"/>
        </w:rPr>
      </w:pPr>
      <w:r>
        <w:rPr>
          <w:rFonts w:hint="eastAsia" w:ascii="宋体" w:hAnsi="宋体" w:eastAsia="宋体" w:cs="宋体"/>
          <w:sz w:val="30"/>
          <w:szCs w:val="30"/>
        </w:rPr>
        <w:t xml:space="preserve">户名： </w:t>
      </w:r>
    </w:p>
    <w:p w14:paraId="70F0DF28">
      <w:pPr>
        <w:spacing w:before="156" w:after="156" w:line="360" w:lineRule="auto"/>
        <w:ind w:firstLine="480"/>
        <w:rPr>
          <w:rFonts w:hint="eastAsia" w:ascii="宋体" w:hAnsi="宋体" w:eastAsia="宋体" w:cs="宋体"/>
          <w:sz w:val="30"/>
          <w:szCs w:val="30"/>
        </w:rPr>
      </w:pPr>
      <w:r>
        <w:rPr>
          <w:rFonts w:hint="eastAsia" w:ascii="宋体" w:hAnsi="宋体" w:eastAsia="宋体" w:cs="宋体"/>
          <w:sz w:val="30"/>
          <w:szCs w:val="30"/>
        </w:rPr>
        <w:t>开户行：</w:t>
      </w:r>
    </w:p>
    <w:p w14:paraId="3A1DBC90">
      <w:pPr>
        <w:spacing w:before="156" w:after="156" w:line="360" w:lineRule="auto"/>
        <w:ind w:firstLine="480"/>
        <w:rPr>
          <w:rFonts w:hint="eastAsia" w:ascii="宋体" w:hAnsi="宋体" w:eastAsia="宋体" w:cs="宋体"/>
          <w:sz w:val="30"/>
          <w:szCs w:val="30"/>
        </w:rPr>
      </w:pPr>
      <w:r>
        <w:rPr>
          <w:rFonts w:hint="eastAsia" w:ascii="宋体" w:hAnsi="宋体" w:eastAsia="宋体" w:cs="宋体"/>
          <w:sz w:val="30"/>
          <w:szCs w:val="30"/>
        </w:rPr>
        <w:t>账号：</w:t>
      </w:r>
    </w:p>
    <w:p w14:paraId="1CDD147D">
      <w:pPr>
        <w:spacing w:before="156" w:after="156" w:line="360" w:lineRule="auto"/>
        <w:ind w:firstLine="480"/>
        <w:rPr>
          <w:rFonts w:hint="eastAsia" w:ascii="宋体" w:hAnsi="宋体" w:eastAsia="宋体" w:cs="宋体"/>
          <w:sz w:val="30"/>
          <w:szCs w:val="30"/>
        </w:rPr>
      </w:pPr>
      <w:r>
        <w:rPr>
          <w:rFonts w:hint="eastAsia" w:ascii="宋体" w:hAnsi="宋体" w:eastAsia="宋体" w:cs="宋体"/>
          <w:sz w:val="30"/>
          <w:szCs w:val="30"/>
        </w:rPr>
        <w:t>中国人民银行支付系统号：</w:t>
      </w:r>
    </w:p>
    <w:p w14:paraId="3920C5EB">
      <w:pPr>
        <w:numPr>
          <w:ilvl w:val="0"/>
          <w:numId w:val="9"/>
        </w:numPr>
        <w:spacing w:line="360" w:lineRule="auto"/>
        <w:outlineLvl w:val="9"/>
        <w:rPr>
          <w:rFonts w:hint="eastAsia" w:ascii="宋体" w:hAnsi="宋体" w:eastAsia="宋体" w:cs="宋体"/>
          <w:b/>
          <w:bCs/>
          <w:sz w:val="30"/>
          <w:szCs w:val="30"/>
        </w:rPr>
      </w:pPr>
      <w:bookmarkStart w:id="178" w:name="_Toc257911877"/>
      <w:r>
        <w:rPr>
          <w:rFonts w:hint="eastAsia" w:ascii="宋体" w:hAnsi="宋体" w:eastAsia="宋体" w:cs="宋体"/>
          <w:b/>
          <w:bCs/>
          <w:sz w:val="30"/>
          <w:szCs w:val="30"/>
        </w:rPr>
        <w:t>信息披露</w:t>
      </w:r>
      <w:bookmarkEnd w:id="178"/>
    </w:p>
    <w:p w14:paraId="27FCC685">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8.1</w:t>
      </w:r>
      <w:r>
        <w:rPr>
          <w:rFonts w:hint="eastAsia" w:ascii="宋体" w:hAnsi="宋体" w:eastAsia="宋体" w:cs="宋体"/>
          <w:sz w:val="30"/>
          <w:szCs w:val="30"/>
        </w:rPr>
        <w:t>发行方应根据《银行间债券市场非金融企业债务融资工具管理办法》等法律及交易商协会相关自律规范文件按时进行公开信息披露。当主承销方协助其制作有关信息披露文件时，发行方应保证其提供给主承销方的有关文件、资料、数据是真实、准确和完整的。</w:t>
      </w:r>
    </w:p>
    <w:p w14:paraId="1B2B1674">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8.2</w:t>
      </w:r>
      <w:r>
        <w:rPr>
          <w:rFonts w:hint="eastAsia" w:ascii="宋体" w:hAnsi="宋体" w:eastAsia="宋体" w:cs="宋体"/>
          <w:sz w:val="30"/>
          <w:szCs w:val="30"/>
        </w:rPr>
        <w:t>主承销方有义务协助发行方披露发行文件，并督促发行方履行持续信息披露义务。如因发行方原因导致未按规定及时披露信息，由发行方承担相应责任。</w:t>
      </w:r>
    </w:p>
    <w:p w14:paraId="2D0D5C1B">
      <w:pPr>
        <w:numPr>
          <w:ilvl w:val="0"/>
          <w:numId w:val="9"/>
        </w:numPr>
        <w:spacing w:line="360" w:lineRule="auto"/>
        <w:outlineLvl w:val="9"/>
        <w:rPr>
          <w:rFonts w:hint="eastAsia" w:ascii="宋体" w:hAnsi="宋体" w:eastAsia="宋体" w:cs="宋体"/>
          <w:b/>
          <w:bCs/>
          <w:sz w:val="30"/>
          <w:szCs w:val="30"/>
        </w:rPr>
      </w:pPr>
      <w:bookmarkStart w:id="179" w:name="_Toc257911878"/>
      <w:r>
        <w:rPr>
          <w:rFonts w:hint="eastAsia" w:ascii="宋体" w:hAnsi="宋体" w:eastAsia="宋体" w:cs="宋体"/>
          <w:b/>
          <w:bCs/>
          <w:sz w:val="30"/>
          <w:szCs w:val="30"/>
        </w:rPr>
        <w:t>付息和本金兑付</w:t>
      </w:r>
      <w:bookmarkEnd w:id="179"/>
    </w:p>
    <w:p w14:paraId="4B58E8CE">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9.1</w:t>
      </w:r>
      <w:r>
        <w:rPr>
          <w:rFonts w:hint="eastAsia" w:ascii="宋体" w:hAnsi="宋体" w:eastAsia="宋体" w:cs="宋体"/>
          <w:sz w:val="30"/>
          <w:szCs w:val="30"/>
        </w:rPr>
        <w:t xml:space="preserve"> 债务融资工具在有关交易市场交易流通之后，债务融资工具的本金和利息的支付将通过相关登记托管机构进行。</w:t>
      </w:r>
    </w:p>
    <w:p w14:paraId="199693D5">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9.2</w:t>
      </w:r>
      <w:r>
        <w:rPr>
          <w:rFonts w:hint="eastAsia" w:ascii="宋体" w:hAnsi="宋体" w:eastAsia="宋体" w:cs="宋体"/>
          <w:sz w:val="30"/>
          <w:szCs w:val="30"/>
        </w:rPr>
        <w:t xml:space="preserve"> 发行方应根据其与登记托管机构签订的有关协议以及相关交易场所的有关规定将有关的本金或利息款项及时足额划至相关登记托管机构指定的账户。</w:t>
      </w:r>
    </w:p>
    <w:p w14:paraId="675F35CB">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9.3</w:t>
      </w:r>
      <w:r>
        <w:rPr>
          <w:rFonts w:hint="eastAsia" w:ascii="宋体" w:hAnsi="宋体" w:eastAsia="宋体" w:cs="宋体"/>
          <w:sz w:val="30"/>
          <w:szCs w:val="30"/>
        </w:rPr>
        <w:t>主承销方有义务告知发行方按时、足额划拨债务融资工具利息和本金并履行其他义务，主承销方无义务垫支任何还本付息款项。</w:t>
      </w:r>
    </w:p>
    <w:p w14:paraId="5E8B8DC4">
      <w:pPr>
        <w:numPr>
          <w:ilvl w:val="0"/>
          <w:numId w:val="9"/>
        </w:numPr>
        <w:spacing w:line="360" w:lineRule="auto"/>
        <w:outlineLvl w:val="9"/>
        <w:rPr>
          <w:rFonts w:hint="eastAsia" w:ascii="宋体" w:hAnsi="宋体" w:eastAsia="宋体" w:cs="宋体"/>
          <w:b/>
          <w:bCs/>
          <w:sz w:val="30"/>
          <w:szCs w:val="30"/>
        </w:rPr>
      </w:pPr>
      <w:bookmarkStart w:id="180" w:name="_Toc257911879"/>
      <w:r>
        <w:rPr>
          <w:rFonts w:hint="eastAsia" w:ascii="宋体" w:hAnsi="宋体" w:eastAsia="宋体" w:cs="宋体"/>
          <w:b/>
          <w:bCs/>
          <w:sz w:val="30"/>
          <w:szCs w:val="30"/>
        </w:rPr>
        <w:t>债务融资工具的后续管理</w:t>
      </w:r>
      <w:bookmarkEnd w:id="180"/>
    </w:p>
    <w:p w14:paraId="7B9AEBCE">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10.1</w:t>
      </w:r>
      <w:r>
        <w:rPr>
          <w:rFonts w:hint="eastAsia" w:ascii="宋体" w:hAnsi="宋体" w:eastAsia="宋体" w:cs="宋体"/>
          <w:sz w:val="30"/>
          <w:szCs w:val="30"/>
        </w:rPr>
        <w:t>债务融资工具存续期间，主承销方应按法律及交易商协会相关自律规范文件规定，持续对发行方开展跟踪、监测、调查等后续管理工作，以及时准确地掌握发行方风险状况及偿债能力，持续督导发行方履行信息披露、还本付息等义务。发行方应积极配合主承销方的后续管理工作。</w:t>
      </w:r>
    </w:p>
    <w:p w14:paraId="0A265847">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10.2</w:t>
      </w:r>
      <w:r>
        <w:rPr>
          <w:rFonts w:hint="eastAsia" w:ascii="宋体" w:hAnsi="宋体" w:eastAsia="宋体" w:cs="宋体"/>
          <w:sz w:val="30"/>
          <w:szCs w:val="30"/>
        </w:rPr>
        <w:t>除非补充协议另有约定，簿记管理人负责牵头开展后续管理工作。</w:t>
      </w:r>
    </w:p>
    <w:p w14:paraId="4E6B19DF">
      <w:pPr>
        <w:spacing w:line="360" w:lineRule="auto"/>
        <w:outlineLvl w:val="9"/>
        <w:rPr>
          <w:rFonts w:hint="eastAsia" w:ascii="宋体" w:hAnsi="宋体" w:eastAsia="宋体" w:cs="宋体"/>
          <w:b/>
          <w:bCs/>
          <w:sz w:val="30"/>
          <w:szCs w:val="30"/>
        </w:rPr>
      </w:pPr>
      <w:r>
        <w:rPr>
          <w:rFonts w:hint="eastAsia" w:ascii="宋体" w:hAnsi="宋体" w:eastAsia="宋体" w:cs="宋体"/>
          <w:b/>
          <w:bCs/>
          <w:sz w:val="30"/>
          <w:szCs w:val="30"/>
        </w:rPr>
        <w:t xml:space="preserve">  </w:t>
      </w:r>
      <w:bookmarkStart w:id="181" w:name="_Toc257911880"/>
      <w:r>
        <w:rPr>
          <w:rFonts w:hint="eastAsia" w:ascii="宋体" w:hAnsi="宋体" w:eastAsia="宋体" w:cs="宋体"/>
          <w:b/>
          <w:bCs/>
          <w:sz w:val="30"/>
          <w:szCs w:val="30"/>
        </w:rPr>
        <w:t>第十</w:t>
      </w:r>
      <w:r>
        <w:rPr>
          <w:rFonts w:hint="eastAsia" w:ascii="宋体" w:hAnsi="宋体" w:cs="宋体"/>
          <w:b/>
          <w:bCs/>
          <w:sz w:val="30"/>
          <w:szCs w:val="30"/>
          <w:lang w:val="en-US" w:eastAsia="zh-CN"/>
        </w:rPr>
        <w:t>一</w:t>
      </w:r>
      <w:r>
        <w:rPr>
          <w:rFonts w:hint="eastAsia" w:ascii="宋体" w:hAnsi="宋体" w:eastAsia="宋体" w:cs="宋体"/>
          <w:b/>
          <w:bCs/>
          <w:sz w:val="30"/>
          <w:szCs w:val="30"/>
        </w:rPr>
        <w:t>条  声明、保证和承诺</w:t>
      </w:r>
      <w:bookmarkEnd w:id="181"/>
    </w:p>
    <w:p w14:paraId="6B533572">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11.1</w:t>
      </w:r>
      <w:r>
        <w:rPr>
          <w:rFonts w:hint="eastAsia" w:ascii="宋体" w:hAnsi="宋体" w:eastAsia="宋体" w:cs="宋体"/>
          <w:sz w:val="30"/>
          <w:szCs w:val="30"/>
        </w:rPr>
        <w:t>各方是根据中国法律设立、有效存续并正常经营的企业法人。</w:t>
      </w:r>
    </w:p>
    <w:p w14:paraId="72812422">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11.2</w:t>
      </w:r>
      <w:r>
        <w:rPr>
          <w:rFonts w:hint="eastAsia" w:ascii="宋体" w:hAnsi="宋体" w:eastAsia="宋体" w:cs="宋体"/>
          <w:sz w:val="30"/>
          <w:szCs w:val="30"/>
        </w:rPr>
        <w:t xml:space="preserve"> 各方保证遵照《银行间债券市场非金融企业债务融资工具管理办法》等法律及交易商协会相关自律规范文件开展注册发行工作。</w:t>
      </w:r>
    </w:p>
    <w:p w14:paraId="123354B6">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11.3</w:t>
      </w:r>
      <w:r>
        <w:rPr>
          <w:rFonts w:hint="eastAsia" w:ascii="宋体" w:hAnsi="宋体" w:eastAsia="宋体" w:cs="宋体"/>
          <w:sz w:val="30"/>
          <w:szCs w:val="30"/>
        </w:rPr>
        <w:t>各方已按其应适用的法律及交易商协会相关自律规范文件办理一切必要的手续，并取得一切必要的登记及批准，且在该等法律及交易商协会相关自律规范文件项下拥有必要的权利，以便签署本协议和履行其在本协议项下的各项义务。</w:t>
      </w:r>
    </w:p>
    <w:p w14:paraId="69048560">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11.4</w:t>
      </w:r>
      <w:r>
        <w:rPr>
          <w:rFonts w:hint="eastAsia" w:ascii="宋体" w:hAnsi="宋体" w:eastAsia="宋体" w:cs="宋体"/>
          <w:sz w:val="30"/>
          <w:szCs w:val="30"/>
        </w:rPr>
        <w:t>各方已采取一切必要的内部行为，使其获得授权签订并履行本协议，其在本协议上签字的代表已获正当授权签署本协议，并使各方受本协议约束。</w:t>
      </w:r>
    </w:p>
    <w:p w14:paraId="550A9968">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11.5</w:t>
      </w:r>
      <w:r>
        <w:rPr>
          <w:rFonts w:hint="eastAsia" w:ascii="宋体" w:hAnsi="宋体" w:eastAsia="宋体" w:cs="宋体"/>
          <w:sz w:val="30"/>
          <w:szCs w:val="30"/>
        </w:rPr>
        <w:t>各方签署本协议和履行其在本协议项下的义务，不会违反任何法律及交易商协会相关自律规范文件、该方的公司章程或内部规章、约束该方的任何合同或文件。</w:t>
      </w:r>
    </w:p>
    <w:p w14:paraId="55A86879">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11.6</w:t>
      </w:r>
      <w:r>
        <w:rPr>
          <w:rFonts w:hint="eastAsia" w:ascii="宋体" w:hAnsi="宋体" w:eastAsia="宋体" w:cs="宋体"/>
          <w:sz w:val="30"/>
          <w:szCs w:val="30"/>
        </w:rPr>
        <w:t>各方没有正在进行的或潜在的可能严重影响其签署或履行本协议能力的诉讼、仲裁、政府调查、其他法律或行政程序。</w:t>
      </w:r>
    </w:p>
    <w:p w14:paraId="14C5BEA1">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11.7</w:t>
      </w:r>
      <w:r>
        <w:rPr>
          <w:rFonts w:hint="eastAsia" w:ascii="宋体" w:hAnsi="宋体" w:eastAsia="宋体" w:cs="宋体"/>
          <w:sz w:val="30"/>
          <w:szCs w:val="30"/>
        </w:rPr>
        <w:t>主承销方保证不从事违反《银行间债券市场非金融企业债务融资工具承销人员行为守则》等交易商协会相关自律规范文件的行为，包括但不限于就利率区间、利率水平、发行规模、注册时间等不确定事项向发行方做出承诺；发行方保证不要求主承销方从事此类行为。</w:t>
      </w:r>
    </w:p>
    <w:p w14:paraId="42850B11">
      <w:pPr>
        <w:pStyle w:val="24"/>
        <w:spacing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11.8</w:t>
      </w:r>
      <w:r>
        <w:rPr>
          <w:rFonts w:hint="eastAsia" w:ascii="宋体" w:hAnsi="宋体" w:eastAsia="宋体" w:cs="宋体"/>
          <w:sz w:val="30"/>
          <w:szCs w:val="30"/>
        </w:rPr>
        <w:t>本协议各方在此向其他签署方承诺，其将不会因其与其他签署方或其他第三方之间的任何债权债务关系而影响本协议的执行。</w:t>
      </w:r>
    </w:p>
    <w:p w14:paraId="71946372">
      <w:pPr>
        <w:spacing w:line="360" w:lineRule="auto"/>
        <w:outlineLvl w:val="9"/>
        <w:rPr>
          <w:rFonts w:hint="eastAsia" w:ascii="宋体" w:hAnsi="宋体" w:eastAsia="宋体" w:cs="宋体"/>
          <w:b/>
          <w:bCs/>
          <w:sz w:val="30"/>
          <w:szCs w:val="30"/>
        </w:rPr>
      </w:pPr>
      <w:bookmarkStart w:id="182" w:name="_Toc257911881"/>
      <w:r>
        <w:rPr>
          <w:rFonts w:hint="eastAsia" w:ascii="宋体" w:hAnsi="宋体" w:eastAsia="宋体" w:cs="宋体"/>
          <w:b/>
          <w:bCs/>
          <w:sz w:val="30"/>
          <w:szCs w:val="30"/>
        </w:rPr>
        <w:t>第十二条  先决条件</w:t>
      </w:r>
      <w:bookmarkEnd w:id="182"/>
    </w:p>
    <w:p w14:paraId="1CED2F9D">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12.1</w:t>
      </w:r>
      <w:r>
        <w:rPr>
          <w:rFonts w:hint="eastAsia" w:ascii="宋体" w:hAnsi="宋体" w:eastAsia="宋体" w:cs="宋体"/>
          <w:sz w:val="30"/>
          <w:szCs w:val="30"/>
        </w:rPr>
        <w:t>主承销方所承担的每期债务融资工具销售义务，以下列各项条件已于发行日前得到全部满足为先决条件：</w:t>
      </w:r>
    </w:p>
    <w:p w14:paraId="375A8F9B">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12.1.1</w:t>
      </w:r>
      <w:r>
        <w:rPr>
          <w:rFonts w:hint="eastAsia" w:ascii="宋体" w:hAnsi="宋体" w:eastAsia="宋体" w:cs="宋体"/>
          <w:sz w:val="30"/>
          <w:szCs w:val="30"/>
        </w:rPr>
        <w:t>本协议项下债务融资工具的发行符合《银行间债券市场非金融企业债务融资工具管理办法》及交易商协会相关自律规范文件规定，已经依法获得监管部门、交易商协会等相关机构的批准、许可或注册/备案；</w:t>
      </w:r>
    </w:p>
    <w:p w14:paraId="24060BEB">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12.1.2</w:t>
      </w:r>
      <w:r>
        <w:rPr>
          <w:rFonts w:hint="eastAsia" w:ascii="宋体" w:hAnsi="宋体" w:eastAsia="宋体" w:cs="宋体"/>
          <w:sz w:val="30"/>
          <w:szCs w:val="30"/>
        </w:rPr>
        <w:t>发行方已根据《银行间债券市场非金融企业债务融资工具信息披露规则》等法律和交易商协会相关自律规范文件，及时、准确、完整地公开披露了与本协议项下债务融资工具有关的各类信息；</w:t>
      </w:r>
    </w:p>
    <w:p w14:paraId="7030EC6E">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12.1.3</w:t>
      </w:r>
      <w:r>
        <w:rPr>
          <w:rFonts w:hint="eastAsia" w:ascii="宋体" w:hAnsi="宋体" w:eastAsia="宋体" w:cs="宋体"/>
          <w:sz w:val="30"/>
          <w:szCs w:val="30"/>
        </w:rPr>
        <w:t>发行方和主承销方已经就债务融资工具的发行规模、期限、利率/价格区间等达成一致，并书面签署《利率/价格区间确认函》。</w:t>
      </w:r>
    </w:p>
    <w:p w14:paraId="06D22781">
      <w:pPr>
        <w:pStyle w:val="24"/>
        <w:spacing w:before="156" w:after="156"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在发行人和主承销方签署《利率区间确认函》之后和簿记建档开始之前，若出现有确切证据表明簿记区间与市场存在严重偏差等情况，且发行人与主承销方根据交易商协会有关自律规范文件规定协商一致并决定延迟发行或调整利率区间的，则以发行人和主承销方再次就债务融资工具的发行规模、期限、利率/价格区间等达成一致，并书面签署《利率/价格区间确认函》为准。</w:t>
      </w:r>
    </w:p>
    <w:p w14:paraId="0E2EE218">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12.1.4</w:t>
      </w:r>
      <w:r>
        <w:rPr>
          <w:rFonts w:hint="eastAsia" w:ascii="宋体" w:hAnsi="宋体" w:eastAsia="宋体" w:cs="宋体"/>
          <w:sz w:val="30"/>
          <w:szCs w:val="30"/>
        </w:rPr>
        <w:t>发行方未违反其在本协议和发行文件中的任何实质性义务及任何声明、保证和承诺，未发生本协议第十三、十四、十五条规定的重大不利事件、违约事件、不可抗力等情况；</w:t>
      </w:r>
    </w:p>
    <w:p w14:paraId="3D8E4937">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12.1.5</w:t>
      </w:r>
      <w:r>
        <w:rPr>
          <w:rFonts w:hint="eastAsia" w:ascii="宋体" w:hAnsi="宋体" w:eastAsia="宋体" w:cs="宋体"/>
          <w:sz w:val="30"/>
          <w:szCs w:val="30"/>
        </w:rPr>
        <w:t>发行方与相关登记托管机构签订了相关登记、托管及兑付协议。</w:t>
      </w:r>
    </w:p>
    <w:p w14:paraId="0E61F234">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12.1.6</w:t>
      </w:r>
      <w:r>
        <w:rPr>
          <w:rFonts w:hint="eastAsia" w:ascii="宋体" w:hAnsi="宋体" w:eastAsia="宋体" w:cs="宋体"/>
          <w:sz w:val="30"/>
          <w:szCs w:val="30"/>
        </w:rPr>
        <w:t>发行方所聘请的会计师事务所、律师事务所、信用评级机构等中介机构出具的专业意见持续合法有效且未发生任何重大不利变化；</w:t>
      </w:r>
    </w:p>
    <w:p w14:paraId="1B4F5FB5">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12.1.7</w:t>
      </w:r>
      <w:r>
        <w:rPr>
          <w:rFonts w:hint="eastAsia" w:ascii="宋体" w:hAnsi="宋体" w:eastAsia="宋体" w:cs="宋体"/>
          <w:sz w:val="30"/>
          <w:szCs w:val="30"/>
        </w:rPr>
        <w:t>信用增进协议或相关文件（若有）持续合法有效且信用增进方案未发生任何重大不利变化。</w:t>
      </w:r>
    </w:p>
    <w:p w14:paraId="1B62BBED">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12.1.8</w:t>
      </w:r>
      <w:r>
        <w:rPr>
          <w:rFonts w:hint="eastAsia" w:ascii="宋体" w:hAnsi="宋体" w:eastAsia="宋体" w:cs="宋体"/>
          <w:sz w:val="30"/>
          <w:szCs w:val="30"/>
        </w:rPr>
        <w:t>各方在《补充协议》中约定的其他条件（若有）。</w:t>
      </w:r>
    </w:p>
    <w:p w14:paraId="4A1A3BBA">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12.2</w:t>
      </w:r>
      <w:r>
        <w:rPr>
          <w:rFonts w:hint="eastAsia" w:ascii="宋体" w:hAnsi="宋体" w:eastAsia="宋体" w:cs="宋体"/>
          <w:sz w:val="30"/>
          <w:szCs w:val="30"/>
        </w:rPr>
        <w:t>在上述先决条件全部满足之前，主承销方已经作出的任何决定和采取的任何行动不应被视为其承担本协议项下债务融资工具销售义务。</w:t>
      </w:r>
    </w:p>
    <w:p w14:paraId="6D3C7B5C">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12.3</w:t>
      </w:r>
      <w:r>
        <w:rPr>
          <w:rFonts w:hint="eastAsia" w:ascii="宋体" w:hAnsi="宋体" w:eastAsia="宋体" w:cs="宋体"/>
          <w:sz w:val="30"/>
          <w:szCs w:val="30"/>
        </w:rPr>
        <w:t>主承销方有权放弃上述一项或多项先决条件对当期债务融资工具的适用；多方担任主承销方的，上述放弃先决条件的行为应经主承销方各方协商一致。</w:t>
      </w:r>
    </w:p>
    <w:p w14:paraId="08C302D1">
      <w:pPr>
        <w:spacing w:line="360" w:lineRule="auto"/>
        <w:outlineLvl w:val="9"/>
        <w:rPr>
          <w:rFonts w:hint="eastAsia" w:ascii="宋体" w:hAnsi="宋体" w:eastAsia="宋体" w:cs="宋体"/>
          <w:b/>
          <w:bCs/>
          <w:sz w:val="30"/>
          <w:szCs w:val="30"/>
        </w:rPr>
      </w:pPr>
      <w:bookmarkStart w:id="183" w:name="_Toc248229657"/>
      <w:bookmarkEnd w:id="183"/>
      <w:bookmarkStart w:id="184" w:name="_Toc248229661"/>
      <w:bookmarkEnd w:id="184"/>
      <w:bookmarkStart w:id="185" w:name="_Toc248229691"/>
      <w:bookmarkEnd w:id="185"/>
      <w:bookmarkStart w:id="186" w:name="_Toc248229700"/>
      <w:bookmarkEnd w:id="186"/>
      <w:bookmarkStart w:id="187" w:name="_Toc248229692"/>
      <w:bookmarkEnd w:id="187"/>
      <w:bookmarkStart w:id="188" w:name="_Toc248229665"/>
      <w:bookmarkEnd w:id="188"/>
      <w:bookmarkStart w:id="189" w:name="_Toc248229699"/>
      <w:bookmarkEnd w:id="189"/>
      <w:bookmarkStart w:id="190" w:name="_Toc248229660"/>
      <w:bookmarkEnd w:id="190"/>
      <w:bookmarkStart w:id="191" w:name="_Toc248229695"/>
      <w:bookmarkEnd w:id="191"/>
      <w:bookmarkStart w:id="192" w:name="_Toc248229656"/>
      <w:bookmarkEnd w:id="192"/>
      <w:bookmarkStart w:id="193" w:name="_Toc248229697"/>
      <w:bookmarkEnd w:id="193"/>
      <w:bookmarkStart w:id="194" w:name="_Toc248229702"/>
      <w:bookmarkEnd w:id="194"/>
      <w:bookmarkStart w:id="195" w:name="_Toc248229663"/>
      <w:bookmarkEnd w:id="195"/>
      <w:bookmarkStart w:id="196" w:name="_Toc248229668"/>
      <w:bookmarkEnd w:id="196"/>
      <w:bookmarkStart w:id="197" w:name="_Toc248229693"/>
      <w:bookmarkEnd w:id="197"/>
      <w:bookmarkStart w:id="198" w:name="_Toc248229690"/>
      <w:bookmarkEnd w:id="198"/>
      <w:bookmarkStart w:id="199" w:name="_Toc248229664"/>
      <w:bookmarkEnd w:id="199"/>
      <w:bookmarkStart w:id="200" w:name="_Toc248229667"/>
      <w:bookmarkEnd w:id="200"/>
      <w:bookmarkStart w:id="201" w:name="_Toc248229666"/>
      <w:bookmarkEnd w:id="201"/>
      <w:bookmarkStart w:id="202" w:name="_Toc248229658"/>
      <w:bookmarkEnd w:id="202"/>
      <w:bookmarkStart w:id="203" w:name="_Toc248229659"/>
      <w:bookmarkEnd w:id="203"/>
      <w:bookmarkStart w:id="204" w:name="_Toc248229662"/>
      <w:bookmarkEnd w:id="204"/>
      <w:bookmarkStart w:id="205" w:name="_Toc248229698"/>
      <w:bookmarkEnd w:id="205"/>
      <w:bookmarkStart w:id="206" w:name="_Toc248229694"/>
      <w:bookmarkEnd w:id="206"/>
      <w:bookmarkStart w:id="207" w:name="_Toc248229696"/>
      <w:bookmarkEnd w:id="207"/>
      <w:bookmarkStart w:id="208" w:name="_Toc248229701"/>
      <w:bookmarkEnd w:id="208"/>
      <w:bookmarkStart w:id="209" w:name="_Toc237232447"/>
      <w:bookmarkEnd w:id="209"/>
      <w:bookmarkStart w:id="210" w:name="_Toc257911882"/>
      <w:r>
        <w:rPr>
          <w:rFonts w:hint="eastAsia" w:ascii="宋体" w:hAnsi="宋体" w:eastAsia="宋体" w:cs="宋体"/>
          <w:b/>
          <w:bCs/>
          <w:sz w:val="30"/>
          <w:szCs w:val="30"/>
        </w:rPr>
        <w:t>第十三条  重大不利事件</w:t>
      </w:r>
      <w:bookmarkEnd w:id="210"/>
    </w:p>
    <w:p w14:paraId="19696D7F">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13.1</w:t>
      </w:r>
      <w:r>
        <w:rPr>
          <w:rFonts w:hint="eastAsia" w:ascii="宋体" w:hAnsi="宋体" w:eastAsia="宋体" w:cs="宋体"/>
          <w:sz w:val="30"/>
          <w:szCs w:val="30"/>
        </w:rPr>
        <w:t>如果在簿记建档开始前出现可能对当期债务融资工具发行产生重大影响的政策调整，发行方和主承销方经协商一致后可以暂缓债务融资工具发行或调整簿记利率区间。</w:t>
      </w:r>
    </w:p>
    <w:p w14:paraId="22A11AE0">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13.2</w:t>
      </w:r>
      <w:r>
        <w:rPr>
          <w:rFonts w:hint="eastAsia" w:ascii="宋体" w:hAnsi="宋体" w:eastAsia="宋体" w:cs="宋体"/>
          <w:sz w:val="30"/>
          <w:szCs w:val="30"/>
        </w:rPr>
        <w:t>如果主承销方发生下列情况，且足以对顺利承销债务融资工具造成实质性不利影响的，应立即通知发行方。发行方有权暂停或停止发行事宜，并按法律及交易商协会相关自律规范文件、债务融资工具发行文件的约定采取措施：</w:t>
      </w:r>
    </w:p>
    <w:p w14:paraId="55C640B3">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13.2.1</w:t>
      </w:r>
      <w:r>
        <w:rPr>
          <w:rFonts w:hint="eastAsia" w:ascii="宋体" w:hAnsi="宋体" w:eastAsia="宋体" w:cs="宋体"/>
          <w:sz w:val="30"/>
          <w:szCs w:val="30"/>
        </w:rPr>
        <w:t>主承销方的经营状况发生重大变化；</w:t>
      </w:r>
    </w:p>
    <w:p w14:paraId="62CFF750">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13.2.2</w:t>
      </w:r>
      <w:r>
        <w:rPr>
          <w:rFonts w:hint="eastAsia" w:ascii="宋体" w:hAnsi="宋体" w:eastAsia="宋体" w:cs="宋体"/>
          <w:sz w:val="30"/>
          <w:szCs w:val="30"/>
        </w:rPr>
        <w:t>主承销方的承销资质发生变化；</w:t>
      </w:r>
    </w:p>
    <w:p w14:paraId="69ACA232">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13.2.3</w:t>
      </w:r>
      <w:r>
        <w:rPr>
          <w:rFonts w:hint="eastAsia" w:ascii="宋体" w:hAnsi="宋体" w:eastAsia="宋体" w:cs="宋体"/>
          <w:sz w:val="30"/>
          <w:szCs w:val="30"/>
        </w:rPr>
        <w:t>主承销方发生未能清偿到期债务的违约情况；</w:t>
      </w:r>
    </w:p>
    <w:p w14:paraId="35E4F911">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13.2.4</w:t>
      </w:r>
      <w:r>
        <w:rPr>
          <w:rFonts w:hint="eastAsia" w:ascii="宋体" w:hAnsi="宋体" w:eastAsia="宋体" w:cs="宋体"/>
          <w:sz w:val="30"/>
          <w:szCs w:val="30"/>
        </w:rPr>
        <w:t>主承销方做出减资、合并、分立、解散及申请破产的决定；</w:t>
      </w:r>
    </w:p>
    <w:p w14:paraId="40B443E6">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13.2.5</w:t>
      </w:r>
      <w:r>
        <w:rPr>
          <w:rFonts w:hint="eastAsia" w:ascii="宋体" w:hAnsi="宋体" w:eastAsia="宋体" w:cs="宋体"/>
          <w:sz w:val="30"/>
          <w:szCs w:val="30"/>
        </w:rPr>
        <w:t>主承销方涉及重大诉讼、仲裁事项或受到重大行政处罚；</w:t>
      </w:r>
    </w:p>
    <w:p w14:paraId="542B8CC3">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13.2.6</w:t>
      </w:r>
      <w:r>
        <w:rPr>
          <w:rFonts w:hint="eastAsia" w:ascii="宋体" w:hAnsi="宋体" w:eastAsia="宋体" w:cs="宋体"/>
          <w:sz w:val="30"/>
          <w:szCs w:val="30"/>
        </w:rPr>
        <w:t>主承销方董事、监事、高级管理人员涉及重大民事或刑事诉讼，或已就重大经济事件接受有关部门调查；</w:t>
      </w:r>
    </w:p>
    <w:p w14:paraId="3DAE5228">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13.2.7</w:t>
      </w:r>
      <w:r>
        <w:rPr>
          <w:rFonts w:hint="eastAsia" w:ascii="宋体" w:hAnsi="宋体" w:eastAsia="宋体" w:cs="宋体"/>
          <w:sz w:val="30"/>
          <w:szCs w:val="30"/>
        </w:rPr>
        <w:t>其他足以对主承销方顺利承销债务融资工具造成重大不利影响的情形。</w:t>
      </w:r>
    </w:p>
    <w:p w14:paraId="02C3B889">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13.3</w:t>
      </w:r>
      <w:r>
        <w:rPr>
          <w:rFonts w:hint="eastAsia" w:ascii="宋体" w:hAnsi="宋体" w:eastAsia="宋体" w:cs="宋体"/>
          <w:sz w:val="30"/>
          <w:szCs w:val="30"/>
        </w:rPr>
        <w:t>如果发行方发生下列情况，足以对发行或偿还债务融资工具造成实质性不利影响的，应立即通知主承销方。主承销方有权暂缓或停止发行事宜，并按法律及交易商协会相关自律规范文件、债务融资工具发行相关文件的约定采取措施：</w:t>
      </w:r>
    </w:p>
    <w:p w14:paraId="2B3AE006">
      <w:pPr>
        <w:widowControl/>
        <w:tabs>
          <w:tab w:val="left" w:pos="1620"/>
        </w:tabs>
        <w:wordWrap w:val="0"/>
        <w:spacing w:before="100" w:beforeAutospacing="1" w:after="100" w:afterAutospacing="1" w:line="560" w:lineRule="atLeast"/>
        <w:jc w:val="left"/>
        <w:rPr>
          <w:rFonts w:hint="eastAsia" w:ascii="宋体" w:hAnsi="宋体" w:eastAsia="宋体" w:cs="宋体"/>
          <w:kern w:val="0"/>
          <w:sz w:val="24"/>
          <w:szCs w:val="24"/>
        </w:rPr>
      </w:pPr>
      <w:r>
        <w:rPr>
          <w:rFonts w:hint="eastAsia" w:ascii="宋体" w:hAnsi="宋体" w:eastAsia="宋体" w:cs="宋体"/>
          <w:b/>
          <w:kern w:val="0"/>
          <w:sz w:val="30"/>
          <w:szCs w:val="30"/>
        </w:rPr>
        <w:t>13.3.1</w:t>
      </w:r>
      <w:r>
        <w:rPr>
          <w:rFonts w:hint="eastAsia" w:ascii="宋体" w:hAnsi="宋体" w:eastAsia="宋体" w:cs="宋体"/>
          <w:kern w:val="0"/>
          <w:sz w:val="30"/>
          <w:szCs w:val="30"/>
        </w:rPr>
        <w:t>发行人名称、经营方针和经营范围发生重大变化；</w:t>
      </w:r>
    </w:p>
    <w:p w14:paraId="5439AFE6">
      <w:pPr>
        <w:widowControl/>
        <w:tabs>
          <w:tab w:val="left" w:pos="1620"/>
        </w:tabs>
        <w:wordWrap w:val="0"/>
        <w:spacing w:before="100" w:beforeAutospacing="1" w:after="100" w:afterAutospacing="1" w:line="560" w:lineRule="atLeast"/>
        <w:jc w:val="left"/>
        <w:rPr>
          <w:rFonts w:hint="eastAsia" w:ascii="宋体" w:hAnsi="宋体" w:eastAsia="宋体" w:cs="宋体"/>
          <w:kern w:val="0"/>
          <w:sz w:val="24"/>
          <w:szCs w:val="24"/>
        </w:rPr>
      </w:pPr>
      <w:r>
        <w:rPr>
          <w:rFonts w:hint="eastAsia" w:ascii="宋体" w:hAnsi="宋体" w:eastAsia="宋体" w:cs="宋体"/>
          <w:b/>
          <w:kern w:val="0"/>
          <w:sz w:val="30"/>
          <w:szCs w:val="30"/>
        </w:rPr>
        <w:t>13.3.2</w:t>
      </w:r>
      <w:r>
        <w:rPr>
          <w:rFonts w:hint="eastAsia" w:ascii="宋体" w:hAnsi="宋体" w:eastAsia="宋体" w:cs="宋体"/>
          <w:kern w:val="0"/>
          <w:sz w:val="30"/>
          <w:szCs w:val="30"/>
        </w:rPr>
        <w:t>发行人生产经营的外部条件发生重大变化；</w:t>
      </w:r>
    </w:p>
    <w:p w14:paraId="1E1F99F2">
      <w:pPr>
        <w:widowControl/>
        <w:tabs>
          <w:tab w:val="left" w:pos="1620"/>
        </w:tabs>
        <w:wordWrap w:val="0"/>
        <w:spacing w:before="100" w:beforeAutospacing="1" w:after="100" w:afterAutospacing="1" w:line="560" w:lineRule="atLeast"/>
        <w:jc w:val="left"/>
        <w:rPr>
          <w:rFonts w:hint="eastAsia" w:ascii="宋体" w:hAnsi="宋体" w:eastAsia="宋体" w:cs="宋体"/>
          <w:kern w:val="0"/>
          <w:sz w:val="24"/>
          <w:szCs w:val="24"/>
        </w:rPr>
      </w:pPr>
      <w:r>
        <w:rPr>
          <w:rFonts w:hint="eastAsia" w:ascii="宋体" w:hAnsi="宋体" w:eastAsia="宋体" w:cs="宋体"/>
          <w:b/>
          <w:kern w:val="0"/>
          <w:sz w:val="30"/>
          <w:szCs w:val="30"/>
        </w:rPr>
        <w:t>13.3.3</w:t>
      </w:r>
      <w:r>
        <w:rPr>
          <w:rFonts w:hint="eastAsia" w:ascii="宋体" w:hAnsi="宋体" w:eastAsia="宋体" w:cs="宋体"/>
          <w:kern w:val="0"/>
          <w:sz w:val="30"/>
          <w:szCs w:val="30"/>
        </w:rPr>
        <w:t>发行人涉及可能对其资产、负债、权益和经营成果产生重要影响的重大合同；</w:t>
      </w:r>
    </w:p>
    <w:p w14:paraId="632CBCFB">
      <w:pPr>
        <w:widowControl/>
        <w:tabs>
          <w:tab w:val="left" w:pos="1620"/>
        </w:tabs>
        <w:wordWrap w:val="0"/>
        <w:spacing w:before="100" w:beforeAutospacing="1" w:after="100" w:afterAutospacing="1" w:line="560" w:lineRule="atLeast"/>
        <w:jc w:val="left"/>
        <w:rPr>
          <w:rFonts w:hint="eastAsia" w:ascii="宋体" w:hAnsi="宋体" w:eastAsia="宋体" w:cs="宋体"/>
          <w:kern w:val="0"/>
          <w:sz w:val="24"/>
          <w:szCs w:val="24"/>
        </w:rPr>
      </w:pPr>
      <w:r>
        <w:rPr>
          <w:rFonts w:hint="eastAsia" w:ascii="宋体" w:hAnsi="宋体" w:eastAsia="宋体" w:cs="宋体"/>
          <w:b/>
          <w:kern w:val="0"/>
          <w:sz w:val="30"/>
          <w:szCs w:val="30"/>
        </w:rPr>
        <w:t>13.3.4</w:t>
      </w:r>
      <w:r>
        <w:rPr>
          <w:rFonts w:hint="eastAsia" w:ascii="宋体" w:hAnsi="宋体" w:eastAsia="宋体" w:cs="宋体"/>
          <w:kern w:val="0"/>
          <w:sz w:val="30"/>
          <w:szCs w:val="30"/>
        </w:rPr>
        <w:t>发行人发生可能影响其偿债能力的资产抵押、质押、出售、转让、划转或报废；</w:t>
      </w:r>
    </w:p>
    <w:p w14:paraId="6D016260">
      <w:pPr>
        <w:widowControl/>
        <w:tabs>
          <w:tab w:val="left" w:pos="1620"/>
        </w:tabs>
        <w:wordWrap w:val="0"/>
        <w:spacing w:before="100" w:beforeAutospacing="1" w:after="100" w:afterAutospacing="1" w:line="560" w:lineRule="atLeast"/>
        <w:jc w:val="left"/>
        <w:rPr>
          <w:rFonts w:hint="eastAsia" w:ascii="宋体" w:hAnsi="宋体" w:eastAsia="宋体" w:cs="宋体"/>
          <w:kern w:val="0"/>
          <w:sz w:val="24"/>
          <w:szCs w:val="24"/>
        </w:rPr>
      </w:pPr>
      <w:r>
        <w:rPr>
          <w:rFonts w:hint="eastAsia" w:ascii="宋体" w:hAnsi="宋体" w:eastAsia="宋体" w:cs="宋体"/>
          <w:b/>
          <w:kern w:val="0"/>
          <w:sz w:val="30"/>
          <w:szCs w:val="30"/>
        </w:rPr>
        <w:t>13.3.5</w:t>
      </w:r>
      <w:r>
        <w:rPr>
          <w:rFonts w:hint="eastAsia" w:ascii="宋体" w:hAnsi="宋体" w:eastAsia="宋体" w:cs="宋体"/>
          <w:kern w:val="0"/>
          <w:sz w:val="30"/>
          <w:szCs w:val="30"/>
        </w:rPr>
        <w:t>发行人发生未能清偿到期重大债务的违约情况；</w:t>
      </w:r>
    </w:p>
    <w:p w14:paraId="6D0CDE92">
      <w:pPr>
        <w:widowControl/>
        <w:tabs>
          <w:tab w:val="left" w:pos="1620"/>
        </w:tabs>
        <w:wordWrap w:val="0"/>
        <w:spacing w:before="100" w:beforeAutospacing="1" w:after="100" w:afterAutospacing="1" w:line="560" w:lineRule="atLeast"/>
        <w:jc w:val="left"/>
        <w:rPr>
          <w:rFonts w:hint="eastAsia" w:ascii="宋体" w:hAnsi="宋体" w:eastAsia="宋体" w:cs="宋体"/>
          <w:kern w:val="0"/>
          <w:sz w:val="24"/>
          <w:szCs w:val="24"/>
        </w:rPr>
      </w:pPr>
      <w:r>
        <w:rPr>
          <w:rFonts w:hint="eastAsia" w:ascii="宋体" w:hAnsi="宋体" w:eastAsia="宋体" w:cs="宋体"/>
          <w:b/>
          <w:kern w:val="0"/>
          <w:sz w:val="30"/>
          <w:szCs w:val="30"/>
        </w:rPr>
        <w:t>13.3.6</w:t>
      </w:r>
      <w:r>
        <w:rPr>
          <w:rFonts w:hint="eastAsia" w:ascii="宋体" w:hAnsi="宋体" w:eastAsia="宋体" w:cs="宋体"/>
          <w:kern w:val="0"/>
          <w:sz w:val="30"/>
          <w:szCs w:val="30"/>
        </w:rPr>
        <w:t>发行人发生大额赔偿责任或因赔偿责任影响正常生产经营且难以消除的；</w:t>
      </w:r>
    </w:p>
    <w:p w14:paraId="775069AC">
      <w:pPr>
        <w:widowControl/>
        <w:tabs>
          <w:tab w:val="left" w:pos="1620"/>
        </w:tabs>
        <w:wordWrap w:val="0"/>
        <w:spacing w:before="100" w:beforeAutospacing="1" w:after="100" w:afterAutospacing="1" w:line="560" w:lineRule="atLeast"/>
        <w:jc w:val="left"/>
        <w:rPr>
          <w:rFonts w:hint="eastAsia" w:ascii="宋体" w:hAnsi="宋体" w:eastAsia="宋体" w:cs="宋体"/>
          <w:kern w:val="0"/>
          <w:sz w:val="24"/>
          <w:szCs w:val="24"/>
        </w:rPr>
      </w:pPr>
      <w:r>
        <w:rPr>
          <w:rFonts w:hint="eastAsia" w:ascii="宋体" w:hAnsi="宋体" w:eastAsia="宋体" w:cs="宋体"/>
          <w:b/>
          <w:kern w:val="0"/>
          <w:sz w:val="30"/>
          <w:szCs w:val="30"/>
        </w:rPr>
        <w:t>13.3.7</w:t>
      </w:r>
      <w:r>
        <w:rPr>
          <w:rFonts w:hint="eastAsia" w:ascii="宋体" w:hAnsi="宋体" w:eastAsia="宋体" w:cs="宋体"/>
          <w:kern w:val="0"/>
          <w:sz w:val="30"/>
          <w:szCs w:val="30"/>
        </w:rPr>
        <w:t>发行人发生超过净资产10%以上的重大亏损或重大损失；</w:t>
      </w:r>
    </w:p>
    <w:p w14:paraId="10937342">
      <w:pPr>
        <w:widowControl/>
        <w:tabs>
          <w:tab w:val="left" w:pos="1620"/>
        </w:tabs>
        <w:wordWrap w:val="0"/>
        <w:spacing w:before="100" w:beforeAutospacing="1" w:after="100" w:afterAutospacing="1" w:line="560" w:lineRule="atLeast"/>
        <w:jc w:val="left"/>
        <w:rPr>
          <w:rFonts w:hint="eastAsia" w:ascii="宋体" w:hAnsi="宋体" w:eastAsia="宋体" w:cs="宋体"/>
          <w:kern w:val="0"/>
          <w:sz w:val="24"/>
          <w:szCs w:val="24"/>
        </w:rPr>
      </w:pPr>
      <w:r>
        <w:rPr>
          <w:rFonts w:hint="eastAsia" w:ascii="宋体" w:hAnsi="宋体" w:eastAsia="宋体" w:cs="宋体"/>
          <w:b/>
          <w:kern w:val="0"/>
          <w:sz w:val="30"/>
          <w:szCs w:val="30"/>
        </w:rPr>
        <w:t>13.3.8</w:t>
      </w:r>
      <w:r>
        <w:rPr>
          <w:rFonts w:hint="eastAsia" w:ascii="宋体" w:hAnsi="宋体" w:eastAsia="宋体" w:cs="宋体"/>
          <w:kern w:val="0"/>
          <w:sz w:val="30"/>
          <w:szCs w:val="30"/>
        </w:rPr>
        <w:t>发行人一次免除他人债务超过一定金额，可能影响其偿债能力的；</w:t>
      </w:r>
    </w:p>
    <w:p w14:paraId="5A7EAB4B">
      <w:pPr>
        <w:widowControl/>
        <w:tabs>
          <w:tab w:val="left" w:pos="1620"/>
        </w:tabs>
        <w:wordWrap w:val="0"/>
        <w:spacing w:before="100" w:beforeAutospacing="1" w:after="100" w:afterAutospacing="1" w:line="560" w:lineRule="atLeast"/>
        <w:jc w:val="left"/>
        <w:rPr>
          <w:rFonts w:hint="eastAsia" w:ascii="宋体" w:hAnsi="宋体" w:eastAsia="宋体" w:cs="宋体"/>
          <w:kern w:val="0"/>
          <w:sz w:val="24"/>
          <w:szCs w:val="24"/>
        </w:rPr>
      </w:pPr>
      <w:r>
        <w:rPr>
          <w:rFonts w:hint="eastAsia" w:ascii="宋体" w:hAnsi="宋体" w:eastAsia="宋体" w:cs="宋体"/>
          <w:b/>
          <w:kern w:val="0"/>
          <w:sz w:val="30"/>
          <w:szCs w:val="30"/>
        </w:rPr>
        <w:t>13.3.9</w:t>
      </w:r>
      <w:r>
        <w:rPr>
          <w:rFonts w:hint="eastAsia" w:ascii="宋体" w:hAnsi="宋体" w:eastAsia="宋体" w:cs="宋体"/>
          <w:kern w:val="0"/>
          <w:sz w:val="30"/>
          <w:szCs w:val="30"/>
        </w:rPr>
        <w:t>发行人三分之一以上董事、三分之二以上监事、董事长或者总经理发生变动；董事长或者总经理无法履行职责；</w:t>
      </w:r>
    </w:p>
    <w:p w14:paraId="2D48909D">
      <w:pPr>
        <w:widowControl/>
        <w:tabs>
          <w:tab w:val="left" w:pos="1620"/>
        </w:tabs>
        <w:wordWrap w:val="0"/>
        <w:spacing w:before="100" w:beforeAutospacing="1" w:after="100" w:afterAutospacing="1" w:line="560" w:lineRule="atLeast"/>
        <w:jc w:val="left"/>
        <w:rPr>
          <w:rFonts w:hint="eastAsia" w:ascii="宋体" w:hAnsi="宋体" w:eastAsia="宋体" w:cs="宋体"/>
          <w:kern w:val="0"/>
          <w:sz w:val="24"/>
          <w:szCs w:val="24"/>
        </w:rPr>
      </w:pPr>
      <w:r>
        <w:rPr>
          <w:rFonts w:hint="eastAsia" w:ascii="宋体" w:hAnsi="宋体" w:eastAsia="宋体" w:cs="宋体"/>
          <w:b/>
          <w:kern w:val="0"/>
          <w:sz w:val="30"/>
          <w:szCs w:val="30"/>
        </w:rPr>
        <w:t>13.3.10</w:t>
      </w:r>
      <w:r>
        <w:rPr>
          <w:rFonts w:hint="eastAsia" w:ascii="宋体" w:hAnsi="宋体" w:eastAsia="宋体" w:cs="宋体"/>
          <w:kern w:val="0"/>
          <w:sz w:val="30"/>
          <w:szCs w:val="30"/>
        </w:rPr>
        <w:t>发行人做出减资、合并、分立、解散及申请破产的决定，或者依法进入破产程序、被责令关闭；</w:t>
      </w:r>
    </w:p>
    <w:p w14:paraId="2E634890">
      <w:pPr>
        <w:widowControl/>
        <w:tabs>
          <w:tab w:val="left" w:pos="1620"/>
        </w:tabs>
        <w:wordWrap w:val="0"/>
        <w:spacing w:before="100" w:beforeAutospacing="1" w:after="100" w:afterAutospacing="1" w:line="560" w:lineRule="atLeast"/>
        <w:jc w:val="left"/>
        <w:rPr>
          <w:rFonts w:hint="eastAsia" w:ascii="宋体" w:hAnsi="宋体" w:eastAsia="宋体" w:cs="宋体"/>
          <w:kern w:val="0"/>
          <w:sz w:val="24"/>
          <w:szCs w:val="24"/>
        </w:rPr>
      </w:pPr>
      <w:r>
        <w:rPr>
          <w:rFonts w:hint="eastAsia" w:ascii="宋体" w:hAnsi="宋体" w:eastAsia="宋体" w:cs="宋体"/>
          <w:b/>
          <w:kern w:val="0"/>
          <w:sz w:val="30"/>
          <w:szCs w:val="30"/>
        </w:rPr>
        <w:t>13.3.11</w:t>
      </w:r>
      <w:r>
        <w:rPr>
          <w:rFonts w:hint="eastAsia" w:ascii="宋体" w:hAnsi="宋体" w:eastAsia="宋体" w:cs="宋体"/>
          <w:kern w:val="0"/>
          <w:sz w:val="30"/>
          <w:szCs w:val="30"/>
        </w:rPr>
        <w:t>发行人涉及需要说明的市场传闻；</w:t>
      </w:r>
    </w:p>
    <w:p w14:paraId="32AEFB1F">
      <w:pPr>
        <w:widowControl/>
        <w:tabs>
          <w:tab w:val="left" w:pos="1620"/>
        </w:tabs>
        <w:wordWrap w:val="0"/>
        <w:spacing w:before="100" w:beforeAutospacing="1" w:after="100" w:afterAutospacing="1" w:line="560" w:lineRule="atLeast"/>
        <w:jc w:val="left"/>
        <w:rPr>
          <w:rFonts w:hint="eastAsia" w:ascii="宋体" w:hAnsi="宋体" w:eastAsia="宋体" w:cs="宋体"/>
          <w:kern w:val="0"/>
          <w:sz w:val="24"/>
          <w:szCs w:val="24"/>
        </w:rPr>
      </w:pPr>
      <w:r>
        <w:rPr>
          <w:rFonts w:hint="eastAsia" w:ascii="宋体" w:hAnsi="宋体" w:eastAsia="宋体" w:cs="宋体"/>
          <w:b/>
          <w:kern w:val="0"/>
          <w:sz w:val="30"/>
          <w:szCs w:val="30"/>
        </w:rPr>
        <w:t>13.3.12</w:t>
      </w:r>
      <w:r>
        <w:rPr>
          <w:rFonts w:hint="eastAsia" w:ascii="宋体" w:hAnsi="宋体" w:eastAsia="宋体" w:cs="宋体"/>
          <w:kern w:val="0"/>
          <w:sz w:val="30"/>
          <w:szCs w:val="30"/>
        </w:rPr>
        <w:t>发行人涉及重大诉讼、仲裁事项；</w:t>
      </w:r>
      <w:r>
        <w:rPr>
          <w:rFonts w:hint="eastAsia" w:ascii="宋体" w:hAnsi="宋体" w:eastAsia="宋体" w:cs="宋体"/>
          <w:b/>
          <w:bCs/>
          <w:kern w:val="0"/>
          <w:sz w:val="30"/>
          <w:szCs w:val="30"/>
        </w:rPr>
        <w:t xml:space="preserve"> </w:t>
      </w:r>
    </w:p>
    <w:p w14:paraId="749D847F">
      <w:pPr>
        <w:widowControl/>
        <w:tabs>
          <w:tab w:val="left" w:pos="1620"/>
        </w:tabs>
        <w:wordWrap w:val="0"/>
        <w:spacing w:before="100" w:beforeAutospacing="1" w:after="100" w:afterAutospacing="1" w:line="560" w:lineRule="atLeast"/>
        <w:jc w:val="left"/>
        <w:rPr>
          <w:rFonts w:hint="eastAsia" w:ascii="宋体" w:hAnsi="宋体" w:eastAsia="宋体" w:cs="宋体"/>
          <w:kern w:val="0"/>
          <w:sz w:val="24"/>
          <w:szCs w:val="24"/>
        </w:rPr>
      </w:pPr>
      <w:r>
        <w:rPr>
          <w:rFonts w:hint="eastAsia" w:ascii="宋体" w:hAnsi="宋体" w:eastAsia="宋体" w:cs="宋体"/>
          <w:b/>
          <w:kern w:val="0"/>
          <w:sz w:val="30"/>
          <w:szCs w:val="30"/>
        </w:rPr>
        <w:t>13.3.13</w:t>
      </w:r>
      <w:r>
        <w:rPr>
          <w:rFonts w:hint="eastAsia" w:ascii="宋体" w:hAnsi="宋体" w:eastAsia="宋体" w:cs="宋体"/>
          <w:kern w:val="0"/>
          <w:sz w:val="30"/>
          <w:szCs w:val="30"/>
        </w:rPr>
        <w:t>发行人涉嫌违法违规被有权机关调查，或者受到刑事处罚、重大行政处罚；发行人董事、监事、高级管理人员涉嫌违法违纪被有权机关调查或者采取强制措施；</w:t>
      </w:r>
    </w:p>
    <w:p w14:paraId="4E49AC05">
      <w:pPr>
        <w:widowControl/>
        <w:tabs>
          <w:tab w:val="left" w:pos="1620"/>
        </w:tabs>
        <w:wordWrap w:val="0"/>
        <w:spacing w:before="100" w:beforeAutospacing="1" w:after="100" w:afterAutospacing="1" w:line="560" w:lineRule="atLeast"/>
        <w:jc w:val="left"/>
        <w:rPr>
          <w:rFonts w:hint="eastAsia" w:ascii="宋体" w:hAnsi="宋体" w:eastAsia="宋体" w:cs="宋体"/>
          <w:kern w:val="0"/>
          <w:sz w:val="24"/>
          <w:szCs w:val="24"/>
        </w:rPr>
      </w:pPr>
      <w:r>
        <w:rPr>
          <w:rFonts w:hint="eastAsia" w:ascii="宋体" w:hAnsi="宋体" w:eastAsia="宋体" w:cs="宋体"/>
          <w:b/>
          <w:kern w:val="0"/>
          <w:sz w:val="30"/>
          <w:szCs w:val="30"/>
        </w:rPr>
        <w:t>13.3.14</w:t>
      </w:r>
      <w:r>
        <w:rPr>
          <w:rFonts w:hint="eastAsia" w:ascii="宋体" w:hAnsi="宋体" w:eastAsia="宋体" w:cs="宋体"/>
          <w:kern w:val="0"/>
          <w:sz w:val="30"/>
          <w:szCs w:val="30"/>
        </w:rPr>
        <w:t>发行人发生可能影响其偿债能力的资产被查封、扣押或冻结的情况；发行人主要或者全部业务陷入停顿，可能影响其偿债能力的；</w:t>
      </w:r>
    </w:p>
    <w:p w14:paraId="2B6746A8">
      <w:pPr>
        <w:widowControl/>
        <w:tabs>
          <w:tab w:val="left" w:pos="1620"/>
        </w:tabs>
        <w:wordWrap w:val="0"/>
        <w:spacing w:before="100" w:beforeAutospacing="1" w:after="100" w:afterAutospacing="1" w:line="560" w:lineRule="atLeast"/>
        <w:jc w:val="left"/>
        <w:rPr>
          <w:rFonts w:hint="eastAsia" w:ascii="宋体" w:hAnsi="宋体" w:eastAsia="宋体" w:cs="宋体"/>
          <w:kern w:val="0"/>
          <w:sz w:val="24"/>
          <w:szCs w:val="24"/>
        </w:rPr>
      </w:pPr>
      <w:r>
        <w:rPr>
          <w:rFonts w:hint="eastAsia" w:ascii="宋体" w:hAnsi="宋体" w:eastAsia="宋体" w:cs="宋体"/>
          <w:b/>
          <w:kern w:val="0"/>
          <w:sz w:val="30"/>
          <w:szCs w:val="30"/>
        </w:rPr>
        <w:t>13.3.15</w:t>
      </w:r>
      <w:r>
        <w:rPr>
          <w:rFonts w:hint="eastAsia" w:ascii="宋体" w:hAnsi="宋体" w:eastAsia="宋体" w:cs="宋体"/>
          <w:kern w:val="0"/>
          <w:sz w:val="30"/>
          <w:szCs w:val="30"/>
        </w:rPr>
        <w:t>发行人对外提供重大担保。</w:t>
      </w:r>
    </w:p>
    <w:p w14:paraId="53EF41DB">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13.3.16</w:t>
      </w:r>
      <w:r>
        <w:rPr>
          <w:rFonts w:hint="eastAsia" w:ascii="宋体" w:hAnsi="宋体" w:eastAsia="宋体" w:cs="宋体"/>
          <w:sz w:val="30"/>
          <w:szCs w:val="30"/>
        </w:rPr>
        <w:t>其他对投资者做出投资决策有重大影响的事项。</w:t>
      </w:r>
    </w:p>
    <w:p w14:paraId="3520B02B">
      <w:pPr>
        <w:spacing w:line="360" w:lineRule="auto"/>
        <w:outlineLvl w:val="9"/>
        <w:rPr>
          <w:rFonts w:hint="eastAsia" w:ascii="宋体" w:hAnsi="宋体" w:eastAsia="宋体" w:cs="宋体"/>
          <w:b/>
          <w:bCs/>
          <w:sz w:val="30"/>
          <w:szCs w:val="30"/>
        </w:rPr>
      </w:pPr>
      <w:bookmarkStart w:id="211" w:name="_Toc257911883"/>
      <w:r>
        <w:rPr>
          <w:rFonts w:hint="eastAsia" w:ascii="宋体" w:hAnsi="宋体" w:eastAsia="宋体" w:cs="宋体"/>
          <w:b/>
          <w:bCs/>
          <w:sz w:val="30"/>
          <w:szCs w:val="30"/>
        </w:rPr>
        <w:t>第十四条  违约事件及违约责任</w:t>
      </w:r>
      <w:bookmarkEnd w:id="211"/>
    </w:p>
    <w:p w14:paraId="237226E4">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14.1</w:t>
      </w:r>
      <w:r>
        <w:rPr>
          <w:rFonts w:hint="eastAsia" w:ascii="宋体" w:hAnsi="宋体" w:eastAsia="宋体" w:cs="宋体"/>
          <w:sz w:val="30"/>
          <w:szCs w:val="30"/>
        </w:rPr>
        <w:t>发行方的违约事件及违约责任：</w:t>
      </w:r>
    </w:p>
    <w:p w14:paraId="6A08EE2C">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14.1.1</w:t>
      </w:r>
      <w:r>
        <w:rPr>
          <w:rFonts w:hint="eastAsia" w:ascii="宋体" w:hAnsi="宋体" w:eastAsia="宋体" w:cs="宋体"/>
          <w:sz w:val="30"/>
          <w:szCs w:val="30"/>
        </w:rPr>
        <w:t>如果发行方未能根据本协议约定向主承销方支付应付款项，发行方应就应付未付款项向主承销方支付违约金；违约金自违约之日起，按应付未付款金额的日万分之五计算，直至实际付清之日止。</w:t>
      </w:r>
    </w:p>
    <w:p w14:paraId="5748F914">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14.1.2</w:t>
      </w:r>
      <w:r>
        <w:rPr>
          <w:rFonts w:hint="eastAsia" w:ascii="宋体" w:hAnsi="宋体" w:eastAsia="宋体" w:cs="宋体"/>
          <w:sz w:val="30"/>
          <w:szCs w:val="30"/>
        </w:rPr>
        <w:t>如果发行方违反《银行间债券市场非金融企业债务融资工具管理办法》等法律及交易商协会相关自律规范文件的规定，包括但不限于信息披露义务，应赔偿由此给主承销方造成的实际损失。</w:t>
      </w:r>
    </w:p>
    <w:p w14:paraId="2285D812">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14.1.3</w:t>
      </w:r>
      <w:r>
        <w:rPr>
          <w:rFonts w:hint="eastAsia" w:ascii="宋体" w:hAnsi="宋体" w:eastAsia="宋体" w:cs="宋体"/>
          <w:sz w:val="30"/>
          <w:szCs w:val="30"/>
        </w:rPr>
        <w:t>如果发行方违反其在本协议中的声明、保证和承诺，或没有履行上述第14.1.1款、第14.1.2款所涉及义务以外的其他义务而导致主承销方遭受损失，发行方应赔偿主承销方的实际损失。</w:t>
      </w:r>
    </w:p>
    <w:p w14:paraId="4E836BC7">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14.1.4</w:t>
      </w:r>
      <w:r>
        <w:rPr>
          <w:rFonts w:hint="eastAsia" w:ascii="宋体" w:hAnsi="宋体" w:eastAsia="宋体" w:cs="宋体"/>
          <w:sz w:val="30"/>
          <w:szCs w:val="30"/>
        </w:rPr>
        <w:t>如果发行方发生上述第14.1.1款、第14.1.2款或第14.1.3款违约事件，主承销方有权暂缓履行或解除其在本协议项下尚未完成发行的债务融资工具的部分或全部承销义务。</w:t>
      </w:r>
    </w:p>
    <w:p w14:paraId="06E2C914">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14.2</w:t>
      </w:r>
      <w:r>
        <w:rPr>
          <w:rFonts w:hint="eastAsia" w:ascii="宋体" w:hAnsi="宋体" w:eastAsia="宋体" w:cs="宋体"/>
          <w:sz w:val="30"/>
          <w:szCs w:val="30"/>
        </w:rPr>
        <w:t>主承销方的违约事件及违约责任：</w:t>
      </w:r>
    </w:p>
    <w:p w14:paraId="15C337BD">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14.2.1</w:t>
      </w:r>
      <w:r>
        <w:rPr>
          <w:rFonts w:hint="eastAsia" w:ascii="宋体" w:hAnsi="宋体" w:eastAsia="宋体" w:cs="宋体"/>
          <w:sz w:val="30"/>
          <w:szCs w:val="30"/>
        </w:rPr>
        <w:t>如果主承销方未能根据本协议约定向发行方支付募集资金，主承销方应就应付未付款项向发行方支付滞纳金；滞纳金自违约之日起，按应付未付款金额的日万分之五计算，直至实际付款之日止。</w:t>
      </w:r>
    </w:p>
    <w:p w14:paraId="27DC0F19">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14.2.2</w:t>
      </w:r>
      <w:r>
        <w:rPr>
          <w:rFonts w:hint="eastAsia" w:ascii="宋体" w:hAnsi="宋体" w:eastAsia="宋体" w:cs="宋体"/>
          <w:sz w:val="30"/>
          <w:szCs w:val="30"/>
        </w:rPr>
        <w:t>如果主承销方违反《银行间债券市场非金融企业债务融资工具管理办法》等法律及交易商协会相关自律规范文件的规定，主承销方应赔偿由此给发行方造成的实际损失。</w:t>
      </w:r>
    </w:p>
    <w:p w14:paraId="24420878">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14.2.3</w:t>
      </w:r>
      <w:r>
        <w:rPr>
          <w:rFonts w:hint="eastAsia" w:ascii="宋体" w:hAnsi="宋体" w:eastAsia="宋体" w:cs="宋体"/>
          <w:sz w:val="30"/>
          <w:szCs w:val="30"/>
        </w:rPr>
        <w:t>如果主承销方违反其在本协议中的声明、保证和承诺，或没有履行上述第14.2.1、14.2.2之外的其他义务而导致发行方由此遭受损失，则主承销方应赔偿发行方的实际损失。</w:t>
      </w:r>
    </w:p>
    <w:p w14:paraId="0435C7AB">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14.2.4</w:t>
      </w:r>
      <w:r>
        <w:rPr>
          <w:rFonts w:hint="eastAsia" w:ascii="宋体" w:hAnsi="宋体" w:eastAsia="宋体" w:cs="宋体"/>
          <w:sz w:val="30"/>
          <w:szCs w:val="30"/>
        </w:rPr>
        <w:t>如果主承销方发生上述第14.2.1款、第14.2.2款或第14.2.3款约定的违约事件，发行方有权解除本协议项下尚未完成发行的债务融资工具对主承销方的委任。</w:t>
      </w:r>
    </w:p>
    <w:p w14:paraId="629B3EA8">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14.2.5</w:t>
      </w:r>
      <w:r>
        <w:rPr>
          <w:rFonts w:hint="eastAsia" w:ascii="宋体" w:hAnsi="宋体" w:eastAsia="宋体" w:cs="宋体"/>
          <w:sz w:val="30"/>
          <w:szCs w:val="30"/>
        </w:rPr>
        <w:t>每一主承销方在本协议下的义务各自独立，任一主承销方对于因其他主承销方的违约行为、采取的行动或提出的意见而造成的任何实际损失，均不承担任何连带责任。</w:t>
      </w:r>
    </w:p>
    <w:p w14:paraId="0BBD304C">
      <w:pPr>
        <w:spacing w:line="360" w:lineRule="auto"/>
        <w:outlineLvl w:val="9"/>
        <w:rPr>
          <w:rFonts w:hint="eastAsia" w:ascii="宋体" w:hAnsi="宋体" w:eastAsia="宋体" w:cs="宋体"/>
          <w:b/>
          <w:bCs/>
          <w:sz w:val="30"/>
          <w:szCs w:val="30"/>
        </w:rPr>
      </w:pPr>
      <w:bookmarkStart w:id="212" w:name="_Toc257911884"/>
      <w:r>
        <w:rPr>
          <w:rFonts w:hint="eastAsia" w:ascii="宋体" w:hAnsi="宋体" w:eastAsia="宋体" w:cs="宋体"/>
          <w:b/>
          <w:bCs/>
          <w:sz w:val="30"/>
          <w:szCs w:val="30"/>
        </w:rPr>
        <w:t>第十五条  不可抗力</w:t>
      </w:r>
      <w:bookmarkEnd w:id="212"/>
    </w:p>
    <w:p w14:paraId="6B4D32F7">
      <w:pPr>
        <w:pStyle w:val="24"/>
        <w:spacing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15.1</w:t>
      </w:r>
      <w:r>
        <w:rPr>
          <w:rFonts w:hint="eastAsia" w:ascii="宋体" w:hAnsi="宋体" w:eastAsia="宋体" w:cs="宋体"/>
          <w:sz w:val="30"/>
          <w:szCs w:val="30"/>
        </w:rPr>
        <w:t xml:space="preserve"> 本协议所称的不可抗力是指各方不能预见、不能避免并不能克服的、且对一方或各方履行本协议造成实质性不利影响的客观事件，包括但不限于自然灾害、战争、中国法律发生重大变化等事件。</w:t>
      </w:r>
    </w:p>
    <w:p w14:paraId="3EE31F62">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15.2</w:t>
      </w:r>
      <w:r>
        <w:rPr>
          <w:rFonts w:hint="eastAsia" w:ascii="宋体" w:hAnsi="宋体" w:eastAsia="宋体" w:cs="宋体"/>
          <w:sz w:val="30"/>
          <w:szCs w:val="30"/>
        </w:rPr>
        <w:t xml:space="preserve"> 上述不可抗力情形的发生并不当然的构成本协议项下的免责事由。当事人迟延履行本协议项下约定的义务后发生不可抗力的，不能免除责任。</w:t>
      </w:r>
    </w:p>
    <w:p w14:paraId="2B8A4204">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15.3</w:t>
      </w:r>
      <w:r>
        <w:rPr>
          <w:rFonts w:hint="eastAsia" w:ascii="宋体" w:hAnsi="宋体" w:eastAsia="宋体" w:cs="宋体"/>
          <w:sz w:val="30"/>
          <w:szCs w:val="30"/>
        </w:rPr>
        <w:t>宣称发生不可抗力事件的一方应迅速书面通知本协议其他各方，并在其后的15天内提供证明不可抗力事件发生及持续的充分证据。</w:t>
      </w:r>
    </w:p>
    <w:p w14:paraId="6CC9D8EC">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15.4</w:t>
      </w:r>
      <w:r>
        <w:rPr>
          <w:rFonts w:hint="eastAsia" w:ascii="宋体" w:hAnsi="宋体" w:eastAsia="宋体" w:cs="宋体"/>
          <w:sz w:val="30"/>
          <w:szCs w:val="30"/>
        </w:rPr>
        <w:t>受不可抗力事件影响的一方可以暂缓履行其在本协议项下的义务，直至该等影响消除之日，但应及时采取措施努力防止该影响造成的损失继续扩大，否则应就扩大的损失对其他各方承担相应的赔偿责任。</w:t>
      </w:r>
    </w:p>
    <w:p w14:paraId="497DA426">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15.5</w:t>
      </w:r>
      <w:r>
        <w:rPr>
          <w:rFonts w:hint="eastAsia" w:ascii="宋体" w:hAnsi="宋体" w:eastAsia="宋体" w:cs="宋体"/>
          <w:sz w:val="30"/>
          <w:szCs w:val="30"/>
        </w:rPr>
        <w:t>如果不可抗力事件影响持续超过60天，且双方尚未通过协商就解决办法达成一致，则任何一方有权向其他方发送书面通知（“终止通知”）以终止本协议对受不可抗力影响的当期债务融资工具发行的适用。</w:t>
      </w:r>
    </w:p>
    <w:p w14:paraId="4F91384A">
      <w:pPr>
        <w:spacing w:line="360" w:lineRule="auto"/>
        <w:outlineLvl w:val="9"/>
        <w:rPr>
          <w:rFonts w:hint="eastAsia" w:ascii="宋体" w:hAnsi="宋体" w:eastAsia="宋体" w:cs="宋体"/>
          <w:b/>
          <w:bCs/>
          <w:sz w:val="30"/>
          <w:szCs w:val="30"/>
        </w:rPr>
      </w:pPr>
      <w:bookmarkStart w:id="213" w:name="_Toc257911885"/>
      <w:r>
        <w:rPr>
          <w:rFonts w:hint="eastAsia" w:ascii="宋体" w:hAnsi="宋体" w:eastAsia="宋体" w:cs="宋体"/>
          <w:b/>
          <w:bCs/>
          <w:sz w:val="30"/>
          <w:szCs w:val="30"/>
        </w:rPr>
        <w:t>第十六条  保密</w:t>
      </w:r>
      <w:bookmarkEnd w:id="213"/>
    </w:p>
    <w:p w14:paraId="27E12196">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16.1</w:t>
      </w:r>
      <w:r>
        <w:rPr>
          <w:rFonts w:hint="eastAsia" w:ascii="宋体" w:hAnsi="宋体" w:eastAsia="宋体" w:cs="宋体"/>
          <w:sz w:val="30"/>
          <w:szCs w:val="30"/>
        </w:rPr>
        <w:t>任何一方因发行承销工作获得其他方有关业务、财务状况及其他非公开信息的资料（包括书面资料和非书面资料，以下简称“保密资料”），除相关协议另有约定外，接受上述保密资料的一方应当对该资料予以保密，除对履行其工作职责而需知道上述保密资料的本方雇员外，不向任何人或机构透露上述保密资料。</w:t>
      </w:r>
    </w:p>
    <w:p w14:paraId="73E4AEAF">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16.2</w:t>
      </w:r>
      <w:r>
        <w:rPr>
          <w:rFonts w:hint="eastAsia" w:ascii="宋体" w:hAnsi="宋体" w:eastAsia="宋体" w:cs="宋体"/>
          <w:sz w:val="30"/>
          <w:szCs w:val="30"/>
        </w:rPr>
        <w:t>上述第16.1款的规定不适用于下述保密资料：</w:t>
      </w:r>
    </w:p>
    <w:p w14:paraId="460AFB5B">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16.2.1</w:t>
      </w:r>
      <w:r>
        <w:rPr>
          <w:rFonts w:hint="eastAsia" w:ascii="宋体" w:hAnsi="宋体" w:eastAsia="宋体" w:cs="宋体"/>
          <w:sz w:val="30"/>
          <w:szCs w:val="30"/>
        </w:rPr>
        <w:t>有书面记录能够证明发行承销工作之前已为接受方所知的资料。</w:t>
      </w:r>
    </w:p>
    <w:p w14:paraId="0588E91B">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16.2.2</w:t>
      </w:r>
      <w:r>
        <w:rPr>
          <w:rFonts w:hint="eastAsia" w:ascii="宋体" w:hAnsi="宋体" w:eastAsia="宋体" w:cs="宋体"/>
          <w:sz w:val="30"/>
          <w:szCs w:val="30"/>
        </w:rPr>
        <w:t>非因接受方违反本协议而已公开的资料。</w:t>
      </w:r>
    </w:p>
    <w:p w14:paraId="2A370C43">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16.2.3</w:t>
      </w:r>
      <w:r>
        <w:rPr>
          <w:rFonts w:hint="eastAsia" w:ascii="宋体" w:hAnsi="宋体" w:eastAsia="宋体" w:cs="宋体"/>
          <w:sz w:val="30"/>
          <w:szCs w:val="30"/>
        </w:rPr>
        <w:t>接受方从对保密资料不承担任何保密义务的第三方获得的资料。</w:t>
      </w:r>
    </w:p>
    <w:p w14:paraId="684EED82">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16.3</w:t>
      </w:r>
      <w:r>
        <w:rPr>
          <w:rFonts w:hint="eastAsia" w:ascii="宋体" w:hAnsi="宋体" w:eastAsia="宋体" w:cs="宋体"/>
          <w:sz w:val="30"/>
          <w:szCs w:val="30"/>
        </w:rPr>
        <w:t>每一方均应确保其本身及其与债务融资工具发行有关的关联方的董事、监事、高级管理人员和其他与债务融资工具发行有关的雇员同样遵守本条所述的保密义务。</w:t>
      </w:r>
    </w:p>
    <w:p w14:paraId="4A41A2EB">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16.4</w:t>
      </w:r>
      <w:r>
        <w:rPr>
          <w:rFonts w:hint="eastAsia" w:ascii="宋体" w:hAnsi="宋体" w:eastAsia="宋体" w:cs="宋体"/>
          <w:sz w:val="30"/>
          <w:szCs w:val="30"/>
        </w:rPr>
        <w:t>接受方有权为债务融资工具发行的目的把保密资料披露给其关联方、承销团成员、中介机构及各方的雇员和顾问；但在这种情况下，只应向有合理业务需要的人或机构披露该等资料，并要求上述各方遵守本保密条款。</w:t>
      </w:r>
    </w:p>
    <w:p w14:paraId="5C117405">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16.5</w:t>
      </w:r>
      <w:r>
        <w:rPr>
          <w:rFonts w:hint="eastAsia" w:ascii="宋体" w:hAnsi="宋体" w:eastAsia="宋体" w:cs="宋体"/>
          <w:sz w:val="30"/>
          <w:szCs w:val="30"/>
        </w:rPr>
        <w:t>一方有权根据法律和交易商协会相关自律规范文件及有权机构的要求把资料披露给相关政府部门或有关机构。但是，在不违反法律、法规、交易商协会相关自律规范文件的前提下，被要求做出上述披露的一方应在上述披露前把该要求通知其他方。</w:t>
      </w:r>
    </w:p>
    <w:p w14:paraId="2DECF2F1">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16.6</w:t>
      </w:r>
      <w:r>
        <w:rPr>
          <w:rFonts w:hint="eastAsia" w:ascii="宋体" w:hAnsi="宋体" w:eastAsia="宋体" w:cs="宋体"/>
          <w:sz w:val="30"/>
          <w:szCs w:val="30"/>
        </w:rPr>
        <w:t>本条的任何规定不应妨碍一方按其诚信判断做出按照法律及交易商协会相关自律规范文件的公布或披露。</w:t>
      </w:r>
    </w:p>
    <w:p w14:paraId="10736191">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16.7</w:t>
      </w:r>
      <w:r>
        <w:rPr>
          <w:rFonts w:hint="eastAsia" w:ascii="宋体" w:hAnsi="宋体" w:eastAsia="宋体" w:cs="宋体"/>
          <w:sz w:val="30"/>
          <w:szCs w:val="30"/>
        </w:rPr>
        <w:t>本条规定不适用于在本协议各方事先给予书面同意之情形下所做出的披露。</w:t>
      </w:r>
    </w:p>
    <w:p w14:paraId="11A7EC28">
      <w:pPr>
        <w:spacing w:line="360" w:lineRule="auto"/>
        <w:outlineLvl w:val="9"/>
        <w:rPr>
          <w:rFonts w:hint="eastAsia" w:ascii="宋体" w:hAnsi="宋体" w:eastAsia="宋体" w:cs="宋体"/>
          <w:b/>
          <w:bCs/>
          <w:sz w:val="30"/>
          <w:szCs w:val="30"/>
        </w:rPr>
      </w:pPr>
      <w:bookmarkStart w:id="214" w:name="_Toc257911886"/>
      <w:r>
        <w:rPr>
          <w:rFonts w:hint="eastAsia" w:ascii="宋体" w:hAnsi="宋体" w:eastAsia="宋体" w:cs="宋体"/>
          <w:b/>
          <w:bCs/>
          <w:sz w:val="30"/>
          <w:szCs w:val="30"/>
        </w:rPr>
        <w:t>第十七条  转让</w:t>
      </w:r>
      <w:bookmarkEnd w:id="214"/>
    </w:p>
    <w:p w14:paraId="6D291265">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17.1</w:t>
      </w:r>
      <w:r>
        <w:rPr>
          <w:rFonts w:hint="eastAsia" w:ascii="宋体" w:hAnsi="宋体" w:eastAsia="宋体" w:cs="宋体"/>
          <w:sz w:val="30"/>
          <w:szCs w:val="30"/>
        </w:rPr>
        <w:t>未经各方事先书面同意，本协议任何一方不得转让其在本协议中的任何权利或义务。</w:t>
      </w:r>
    </w:p>
    <w:p w14:paraId="5D520510">
      <w:pPr>
        <w:spacing w:line="360" w:lineRule="auto"/>
        <w:outlineLvl w:val="9"/>
        <w:rPr>
          <w:rFonts w:hint="eastAsia" w:ascii="宋体" w:hAnsi="宋体" w:eastAsia="宋体" w:cs="宋体"/>
          <w:b/>
          <w:bCs/>
          <w:sz w:val="30"/>
          <w:szCs w:val="30"/>
        </w:rPr>
      </w:pPr>
      <w:bookmarkStart w:id="215" w:name="_Toc257911887"/>
      <w:r>
        <w:rPr>
          <w:rFonts w:hint="eastAsia" w:ascii="宋体" w:hAnsi="宋体" w:eastAsia="宋体" w:cs="宋体"/>
          <w:b/>
          <w:bCs/>
          <w:sz w:val="30"/>
          <w:szCs w:val="30"/>
        </w:rPr>
        <w:t>第十八条  不放弃权利</w:t>
      </w:r>
      <w:bookmarkEnd w:id="215"/>
    </w:p>
    <w:p w14:paraId="5E5AA541">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18.1</w:t>
      </w:r>
      <w:r>
        <w:rPr>
          <w:rFonts w:hint="eastAsia" w:ascii="宋体" w:hAnsi="宋体" w:eastAsia="宋体" w:cs="宋体"/>
          <w:sz w:val="30"/>
          <w:szCs w:val="30"/>
        </w:rPr>
        <w:t>未行使、延迟行使或部分行使本协议下的任何权利，不应被视为放弃权利。</w:t>
      </w:r>
    </w:p>
    <w:p w14:paraId="0EF32E33">
      <w:pPr>
        <w:spacing w:line="360" w:lineRule="auto"/>
        <w:outlineLvl w:val="9"/>
        <w:rPr>
          <w:rFonts w:hint="eastAsia" w:ascii="宋体" w:hAnsi="宋体" w:eastAsia="宋体" w:cs="宋体"/>
          <w:b/>
          <w:bCs/>
          <w:sz w:val="30"/>
          <w:szCs w:val="30"/>
        </w:rPr>
      </w:pPr>
      <w:bookmarkStart w:id="216" w:name="_Toc224440250"/>
      <w:bookmarkEnd w:id="216"/>
      <w:bookmarkStart w:id="217" w:name="_Toc224440360"/>
      <w:bookmarkEnd w:id="217"/>
      <w:bookmarkStart w:id="218" w:name="_Toc224440248"/>
      <w:bookmarkEnd w:id="218"/>
      <w:bookmarkStart w:id="219" w:name="_Toc224440362"/>
      <w:bookmarkEnd w:id="219"/>
      <w:bookmarkStart w:id="220" w:name="_Toc224440249"/>
      <w:bookmarkEnd w:id="220"/>
      <w:bookmarkStart w:id="221" w:name="_Toc224440361"/>
      <w:bookmarkEnd w:id="221"/>
      <w:bookmarkStart w:id="222" w:name="_Toc149736772"/>
      <w:bookmarkStart w:id="223" w:name="_Toc257911888"/>
      <w:r>
        <w:rPr>
          <w:rFonts w:hint="eastAsia" w:ascii="宋体" w:hAnsi="宋体" w:eastAsia="宋体" w:cs="宋体"/>
          <w:b/>
          <w:bCs/>
          <w:sz w:val="30"/>
          <w:szCs w:val="30"/>
        </w:rPr>
        <w:t>第十九条  通知方式</w:t>
      </w:r>
      <w:bookmarkEnd w:id="222"/>
      <w:r>
        <w:rPr>
          <w:rFonts w:hint="eastAsia" w:ascii="宋体" w:hAnsi="宋体" w:eastAsia="宋体" w:cs="宋体"/>
          <w:b/>
          <w:bCs/>
          <w:sz w:val="30"/>
          <w:szCs w:val="30"/>
        </w:rPr>
        <w:t>及其生效</w:t>
      </w:r>
      <w:bookmarkEnd w:id="223"/>
    </w:p>
    <w:p w14:paraId="628711FF">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19.1</w:t>
      </w:r>
      <w:r>
        <w:rPr>
          <w:rFonts w:hint="eastAsia" w:ascii="宋体" w:hAnsi="宋体" w:eastAsia="宋体" w:cs="宋体"/>
          <w:sz w:val="30"/>
          <w:szCs w:val="30"/>
        </w:rPr>
        <w:t>除非本协议另有规定，任何一方向本协议其他方发出本协议规定的任何通知应以书面形式做出，以中文书写，并以专人递送或速递服务、挂号邮寄、传真、电子信息系统等形式发往本协议列明的有关地址。</w:t>
      </w:r>
    </w:p>
    <w:p w14:paraId="5A1DCD27">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19.1.1</w:t>
      </w:r>
      <w:r>
        <w:rPr>
          <w:rFonts w:hint="eastAsia" w:ascii="宋体" w:hAnsi="宋体" w:eastAsia="宋体" w:cs="宋体"/>
          <w:sz w:val="30"/>
          <w:szCs w:val="30"/>
        </w:rPr>
        <w:t>采用专人递送或速递服务的，于送达回执的签收日生效；但是收件方、收件方的代理人或对收件方行使破产管理人权限的人士拒绝在送达回执上签收的，发件方可采用公证送达的方式，或可根据协议各方在补充协议中约定的公告送达或留置送达方式做出有效通知，且经公证送达、公告送达或留置送达而生效的通知应被视为在一切方面具有与根据原送达方式而生效的通知相同的效力。</w:t>
      </w:r>
    </w:p>
    <w:p w14:paraId="3DA395CE">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19.1.2</w:t>
      </w:r>
      <w:r>
        <w:rPr>
          <w:rFonts w:hint="eastAsia" w:ascii="宋体" w:hAnsi="宋体" w:eastAsia="宋体" w:cs="宋体"/>
          <w:sz w:val="30"/>
          <w:szCs w:val="30"/>
        </w:rPr>
        <w:t>采用挂号邮寄方式发送的，于签收日生效。</w:t>
      </w:r>
    </w:p>
    <w:p w14:paraId="10D941DD">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19.1.3</w:t>
      </w:r>
      <w:r>
        <w:rPr>
          <w:rFonts w:hint="eastAsia" w:ascii="宋体" w:hAnsi="宋体" w:eastAsia="宋体" w:cs="宋体"/>
          <w:sz w:val="30"/>
          <w:szCs w:val="30"/>
        </w:rPr>
        <w:t>采用传真发送的，于收件方确认收到字迹清楚的传真当日生效。</w:t>
      </w:r>
    </w:p>
    <w:p w14:paraId="1187BA07">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19.1.4</w:t>
      </w:r>
      <w:r>
        <w:rPr>
          <w:rFonts w:hint="eastAsia" w:ascii="宋体" w:hAnsi="宋体" w:eastAsia="宋体" w:cs="宋体"/>
          <w:sz w:val="30"/>
          <w:szCs w:val="30"/>
        </w:rPr>
        <w:t>采用电子信息系统发送的，于通知进入收件方指定的接受电子信息的系统之日生效。</w:t>
      </w:r>
    </w:p>
    <w:p w14:paraId="522BAB11">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19.1.5</w:t>
      </w:r>
      <w:r>
        <w:rPr>
          <w:rFonts w:hint="eastAsia" w:ascii="宋体" w:hAnsi="宋体" w:eastAsia="宋体" w:cs="宋体"/>
          <w:sz w:val="30"/>
          <w:szCs w:val="30"/>
        </w:rPr>
        <w:t>采用其他方式的，于协议各方另行约定的时间生效。</w:t>
      </w:r>
    </w:p>
    <w:p w14:paraId="34C66325">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19.2</w:t>
      </w:r>
      <w:r>
        <w:rPr>
          <w:rFonts w:hint="eastAsia" w:ascii="宋体" w:hAnsi="宋体" w:eastAsia="宋体" w:cs="宋体"/>
          <w:sz w:val="30"/>
          <w:szCs w:val="30"/>
        </w:rPr>
        <w:t>若以上日期并非工作日，或通知是在某个工作日的营业时间结束后送达、收到或进入相关系统的，则该通知应被视为在该日之后的下一个工作日生效。</w:t>
      </w:r>
    </w:p>
    <w:p w14:paraId="4D17A9BA">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19.3</w:t>
      </w:r>
      <w:r>
        <w:rPr>
          <w:rFonts w:hint="eastAsia" w:ascii="宋体" w:hAnsi="宋体" w:eastAsia="宋体" w:cs="宋体"/>
          <w:sz w:val="30"/>
          <w:szCs w:val="30"/>
        </w:rPr>
        <w:t>若任何一方的上述通讯地址或联系方式发生变更，该方应立即按本协议约定的方法通知对方。变更后的通讯地址或联系方式自对方收到变更通知时生效。</w:t>
      </w:r>
    </w:p>
    <w:p w14:paraId="7A8FDE5B">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19.4</w:t>
      </w:r>
      <w:r>
        <w:rPr>
          <w:rFonts w:hint="eastAsia" w:ascii="宋体" w:hAnsi="宋体" w:eastAsia="宋体" w:cs="宋体"/>
          <w:sz w:val="30"/>
          <w:szCs w:val="30"/>
        </w:rPr>
        <w:t xml:space="preserve"> 本协议各方的联系方式如下：</w:t>
      </w:r>
    </w:p>
    <w:p w14:paraId="73BD4278">
      <w:pPr>
        <w:spacing w:before="156" w:after="156" w:line="360" w:lineRule="auto"/>
        <w:ind w:firstLine="602" w:firstLineChars="200"/>
        <w:rPr>
          <w:rFonts w:hint="eastAsia" w:ascii="宋体" w:hAnsi="宋体" w:eastAsia="宋体" w:cs="宋体"/>
          <w:sz w:val="30"/>
          <w:szCs w:val="30"/>
        </w:rPr>
      </w:pPr>
      <w:r>
        <w:rPr>
          <w:rFonts w:hint="eastAsia" w:ascii="宋体" w:hAnsi="宋体" w:eastAsia="宋体" w:cs="宋体"/>
          <w:b/>
          <w:sz w:val="30"/>
          <w:szCs w:val="30"/>
        </w:rPr>
        <w:t>甲方</w:t>
      </w:r>
    </w:p>
    <w:p w14:paraId="0CD0A413">
      <w:pPr>
        <w:spacing w:before="156" w:after="156" w:line="360" w:lineRule="auto"/>
        <w:ind w:firstLine="1125" w:firstLineChars="375"/>
        <w:rPr>
          <w:rFonts w:hint="eastAsia" w:ascii="宋体" w:hAnsi="宋体" w:eastAsia="宋体" w:cs="宋体"/>
          <w:sz w:val="30"/>
          <w:szCs w:val="30"/>
        </w:rPr>
      </w:pPr>
      <w:r>
        <w:rPr>
          <w:rFonts w:hint="eastAsia" w:ascii="宋体" w:hAnsi="宋体" w:eastAsia="宋体" w:cs="宋体"/>
          <w:sz w:val="30"/>
          <w:szCs w:val="30"/>
        </w:rPr>
        <w:t xml:space="preserve">邮寄地址： </w:t>
      </w:r>
    </w:p>
    <w:p w14:paraId="324EB2A9">
      <w:pPr>
        <w:spacing w:before="156" w:after="156" w:line="360" w:lineRule="auto"/>
        <w:ind w:firstLine="1125" w:firstLineChars="375"/>
        <w:rPr>
          <w:rFonts w:hint="eastAsia" w:ascii="宋体" w:hAnsi="宋体" w:eastAsia="宋体" w:cs="宋体"/>
          <w:sz w:val="30"/>
          <w:szCs w:val="30"/>
        </w:rPr>
      </w:pPr>
      <w:r>
        <w:rPr>
          <w:rFonts w:hint="eastAsia" w:ascii="宋体" w:hAnsi="宋体" w:eastAsia="宋体" w:cs="宋体"/>
          <w:sz w:val="30"/>
          <w:szCs w:val="30"/>
        </w:rPr>
        <w:t xml:space="preserve">联系人： </w:t>
      </w:r>
    </w:p>
    <w:p w14:paraId="72043992">
      <w:pPr>
        <w:spacing w:before="156" w:after="156" w:line="360" w:lineRule="auto"/>
        <w:ind w:firstLine="1125" w:firstLineChars="375"/>
        <w:rPr>
          <w:rFonts w:hint="eastAsia" w:ascii="宋体" w:hAnsi="宋体" w:eastAsia="宋体" w:cs="宋体"/>
          <w:sz w:val="30"/>
          <w:szCs w:val="30"/>
        </w:rPr>
      </w:pPr>
      <w:r>
        <w:rPr>
          <w:rFonts w:hint="eastAsia" w:ascii="宋体" w:hAnsi="宋体" w:eastAsia="宋体" w:cs="宋体"/>
          <w:sz w:val="30"/>
          <w:szCs w:val="30"/>
        </w:rPr>
        <w:t>电话：</w:t>
      </w:r>
    </w:p>
    <w:p w14:paraId="251FB277">
      <w:pPr>
        <w:spacing w:before="156" w:after="156" w:line="360" w:lineRule="auto"/>
        <w:ind w:firstLine="1125" w:firstLineChars="375"/>
        <w:rPr>
          <w:rFonts w:hint="eastAsia" w:ascii="宋体" w:hAnsi="宋体" w:eastAsia="宋体" w:cs="宋体"/>
          <w:sz w:val="30"/>
          <w:szCs w:val="30"/>
        </w:rPr>
      </w:pPr>
      <w:r>
        <w:rPr>
          <w:rFonts w:hint="eastAsia" w:ascii="宋体" w:hAnsi="宋体" w:eastAsia="宋体" w:cs="宋体"/>
          <w:sz w:val="30"/>
          <w:szCs w:val="30"/>
        </w:rPr>
        <w:t>传真：</w:t>
      </w:r>
    </w:p>
    <w:p w14:paraId="23CB141E">
      <w:pPr>
        <w:spacing w:before="156" w:after="156" w:line="360" w:lineRule="auto"/>
        <w:ind w:firstLine="1125" w:firstLineChars="375"/>
        <w:rPr>
          <w:rFonts w:hint="eastAsia" w:ascii="宋体" w:hAnsi="宋体" w:eastAsia="宋体" w:cs="宋体"/>
          <w:sz w:val="30"/>
          <w:szCs w:val="30"/>
        </w:rPr>
      </w:pPr>
      <w:r>
        <w:rPr>
          <w:rFonts w:hint="eastAsia" w:ascii="宋体" w:hAnsi="宋体" w:eastAsia="宋体" w:cs="宋体"/>
          <w:sz w:val="30"/>
          <w:szCs w:val="30"/>
        </w:rPr>
        <w:t>邮编：</w:t>
      </w:r>
    </w:p>
    <w:p w14:paraId="2EF319DC">
      <w:pPr>
        <w:spacing w:before="156" w:after="156" w:line="360" w:lineRule="auto"/>
        <w:ind w:firstLine="1125" w:firstLineChars="375"/>
        <w:rPr>
          <w:rFonts w:hint="eastAsia" w:ascii="宋体" w:hAnsi="宋体" w:eastAsia="宋体" w:cs="宋体"/>
          <w:sz w:val="30"/>
          <w:szCs w:val="30"/>
        </w:rPr>
      </w:pPr>
      <w:r>
        <w:rPr>
          <w:rFonts w:hint="eastAsia" w:ascii="宋体" w:hAnsi="宋体" w:eastAsia="宋体" w:cs="宋体"/>
          <w:sz w:val="30"/>
          <w:szCs w:val="30"/>
        </w:rPr>
        <w:t>电子邮箱：</w:t>
      </w:r>
    </w:p>
    <w:p w14:paraId="32FFDB90">
      <w:pPr>
        <w:spacing w:before="156" w:after="156" w:line="360" w:lineRule="auto"/>
        <w:ind w:firstLine="602" w:firstLineChars="200"/>
        <w:rPr>
          <w:rFonts w:hint="eastAsia" w:ascii="宋体" w:hAnsi="宋体" w:eastAsia="宋体" w:cs="宋体"/>
          <w:sz w:val="30"/>
          <w:szCs w:val="30"/>
        </w:rPr>
      </w:pPr>
      <w:r>
        <w:rPr>
          <w:rFonts w:hint="eastAsia" w:ascii="宋体" w:hAnsi="宋体" w:eastAsia="宋体" w:cs="宋体"/>
          <w:b/>
          <w:sz w:val="30"/>
          <w:szCs w:val="30"/>
        </w:rPr>
        <w:t>乙方</w:t>
      </w:r>
    </w:p>
    <w:p w14:paraId="34F2BDC7">
      <w:pPr>
        <w:spacing w:before="156" w:after="156" w:line="360" w:lineRule="auto"/>
        <w:ind w:firstLine="1125" w:firstLineChars="375"/>
        <w:rPr>
          <w:rFonts w:hint="eastAsia" w:ascii="宋体" w:hAnsi="宋体" w:eastAsia="宋体" w:cs="宋体"/>
          <w:sz w:val="30"/>
          <w:szCs w:val="30"/>
        </w:rPr>
      </w:pPr>
      <w:r>
        <w:rPr>
          <w:rFonts w:hint="eastAsia" w:ascii="宋体" w:hAnsi="宋体" w:eastAsia="宋体" w:cs="宋体"/>
          <w:sz w:val="30"/>
          <w:szCs w:val="30"/>
        </w:rPr>
        <w:t xml:space="preserve">邮寄地址： </w:t>
      </w:r>
    </w:p>
    <w:p w14:paraId="13A0D3F6">
      <w:pPr>
        <w:spacing w:before="156" w:after="156" w:line="360" w:lineRule="auto"/>
        <w:ind w:firstLine="1125" w:firstLineChars="375"/>
        <w:rPr>
          <w:rFonts w:hint="eastAsia" w:ascii="宋体" w:hAnsi="宋体" w:eastAsia="宋体" w:cs="宋体"/>
          <w:sz w:val="30"/>
          <w:szCs w:val="30"/>
        </w:rPr>
      </w:pPr>
      <w:r>
        <w:rPr>
          <w:rFonts w:hint="eastAsia" w:ascii="宋体" w:hAnsi="宋体" w:eastAsia="宋体" w:cs="宋体"/>
          <w:sz w:val="30"/>
          <w:szCs w:val="30"/>
        </w:rPr>
        <w:t xml:space="preserve">联系人： </w:t>
      </w:r>
    </w:p>
    <w:p w14:paraId="54D88699">
      <w:pPr>
        <w:spacing w:before="156" w:after="156" w:line="360" w:lineRule="auto"/>
        <w:ind w:firstLine="1125" w:firstLineChars="375"/>
        <w:rPr>
          <w:rFonts w:hint="eastAsia" w:ascii="宋体" w:hAnsi="宋体" w:eastAsia="宋体" w:cs="宋体"/>
          <w:sz w:val="30"/>
          <w:szCs w:val="30"/>
        </w:rPr>
      </w:pPr>
      <w:r>
        <w:rPr>
          <w:rFonts w:hint="eastAsia" w:ascii="宋体" w:hAnsi="宋体" w:eastAsia="宋体" w:cs="宋体"/>
          <w:sz w:val="30"/>
          <w:szCs w:val="30"/>
        </w:rPr>
        <w:t>电话：</w:t>
      </w:r>
    </w:p>
    <w:p w14:paraId="197A4BA8">
      <w:pPr>
        <w:spacing w:before="156" w:after="156" w:line="360" w:lineRule="auto"/>
        <w:ind w:firstLine="1125" w:firstLineChars="375"/>
        <w:rPr>
          <w:rFonts w:hint="eastAsia" w:ascii="宋体" w:hAnsi="宋体" w:eastAsia="宋体" w:cs="宋体"/>
          <w:sz w:val="30"/>
          <w:szCs w:val="30"/>
        </w:rPr>
      </w:pPr>
      <w:r>
        <w:rPr>
          <w:rFonts w:hint="eastAsia" w:ascii="宋体" w:hAnsi="宋体" w:eastAsia="宋体" w:cs="宋体"/>
          <w:sz w:val="30"/>
          <w:szCs w:val="30"/>
        </w:rPr>
        <w:t>传真：</w:t>
      </w:r>
    </w:p>
    <w:p w14:paraId="6FC5FBA5">
      <w:pPr>
        <w:spacing w:before="156" w:after="156" w:line="360" w:lineRule="auto"/>
        <w:ind w:firstLine="1125" w:firstLineChars="375"/>
        <w:rPr>
          <w:rFonts w:hint="eastAsia" w:ascii="宋体" w:hAnsi="宋体" w:eastAsia="宋体" w:cs="宋体"/>
          <w:sz w:val="30"/>
          <w:szCs w:val="30"/>
        </w:rPr>
      </w:pPr>
      <w:r>
        <w:rPr>
          <w:rFonts w:hint="eastAsia" w:ascii="宋体" w:hAnsi="宋体" w:eastAsia="宋体" w:cs="宋体"/>
          <w:sz w:val="30"/>
          <w:szCs w:val="30"/>
        </w:rPr>
        <w:t>邮编：</w:t>
      </w:r>
    </w:p>
    <w:p w14:paraId="1F63271B">
      <w:pPr>
        <w:spacing w:before="156" w:after="156" w:line="360" w:lineRule="auto"/>
        <w:ind w:firstLine="1125" w:firstLineChars="375"/>
        <w:rPr>
          <w:rFonts w:hint="eastAsia" w:ascii="宋体" w:hAnsi="宋体" w:eastAsia="宋体" w:cs="宋体"/>
          <w:sz w:val="30"/>
          <w:szCs w:val="30"/>
        </w:rPr>
      </w:pPr>
      <w:r>
        <w:rPr>
          <w:rFonts w:hint="eastAsia" w:ascii="宋体" w:hAnsi="宋体" w:eastAsia="宋体" w:cs="宋体"/>
          <w:sz w:val="30"/>
          <w:szCs w:val="30"/>
        </w:rPr>
        <w:t>电子邮箱：</w:t>
      </w:r>
    </w:p>
    <w:p w14:paraId="62A0E65A">
      <w:pPr>
        <w:spacing w:before="156" w:after="156" w:line="360" w:lineRule="auto"/>
        <w:ind w:firstLine="602" w:firstLineChars="200"/>
        <w:rPr>
          <w:rFonts w:hint="eastAsia" w:ascii="宋体" w:hAnsi="宋体" w:eastAsia="宋体" w:cs="宋体"/>
          <w:sz w:val="30"/>
          <w:szCs w:val="30"/>
        </w:rPr>
      </w:pPr>
      <w:r>
        <w:rPr>
          <w:rFonts w:hint="eastAsia" w:ascii="宋体" w:hAnsi="宋体" w:eastAsia="宋体" w:cs="宋体"/>
          <w:b/>
          <w:sz w:val="30"/>
          <w:szCs w:val="30"/>
        </w:rPr>
        <w:t>丙方</w:t>
      </w:r>
      <w:r>
        <w:rPr>
          <w:rFonts w:hint="eastAsia" w:ascii="宋体" w:hAnsi="宋体" w:eastAsia="宋体" w:cs="宋体"/>
          <w:sz w:val="30"/>
          <w:szCs w:val="30"/>
        </w:rPr>
        <w:t>（若有）</w:t>
      </w:r>
    </w:p>
    <w:p w14:paraId="6FDE654D">
      <w:pPr>
        <w:spacing w:before="156" w:after="156" w:line="360" w:lineRule="auto"/>
        <w:ind w:firstLine="1125" w:firstLineChars="375"/>
        <w:rPr>
          <w:rFonts w:hint="eastAsia" w:ascii="宋体" w:hAnsi="宋体" w:eastAsia="宋体" w:cs="宋体"/>
          <w:sz w:val="30"/>
          <w:szCs w:val="30"/>
        </w:rPr>
      </w:pPr>
      <w:r>
        <w:rPr>
          <w:rFonts w:hint="eastAsia" w:ascii="宋体" w:hAnsi="宋体" w:eastAsia="宋体" w:cs="宋体"/>
          <w:sz w:val="30"/>
          <w:szCs w:val="30"/>
        </w:rPr>
        <w:t xml:space="preserve">邮寄地址： </w:t>
      </w:r>
    </w:p>
    <w:p w14:paraId="7715FCBC">
      <w:pPr>
        <w:spacing w:before="156" w:after="156" w:line="360" w:lineRule="auto"/>
        <w:ind w:firstLine="1125" w:firstLineChars="375"/>
        <w:rPr>
          <w:rFonts w:hint="eastAsia" w:ascii="宋体" w:hAnsi="宋体" w:eastAsia="宋体" w:cs="宋体"/>
          <w:sz w:val="30"/>
          <w:szCs w:val="30"/>
        </w:rPr>
      </w:pPr>
      <w:r>
        <w:rPr>
          <w:rFonts w:hint="eastAsia" w:ascii="宋体" w:hAnsi="宋体" w:eastAsia="宋体" w:cs="宋体"/>
          <w:sz w:val="30"/>
          <w:szCs w:val="30"/>
        </w:rPr>
        <w:t xml:space="preserve">联系人： </w:t>
      </w:r>
    </w:p>
    <w:p w14:paraId="312699C1">
      <w:pPr>
        <w:spacing w:before="156" w:after="156" w:line="360" w:lineRule="auto"/>
        <w:ind w:firstLine="1125" w:firstLineChars="375"/>
        <w:rPr>
          <w:rFonts w:hint="eastAsia" w:ascii="宋体" w:hAnsi="宋体" w:eastAsia="宋体" w:cs="宋体"/>
          <w:sz w:val="30"/>
          <w:szCs w:val="30"/>
        </w:rPr>
      </w:pPr>
      <w:r>
        <w:rPr>
          <w:rFonts w:hint="eastAsia" w:ascii="宋体" w:hAnsi="宋体" w:eastAsia="宋体" w:cs="宋体"/>
          <w:sz w:val="30"/>
          <w:szCs w:val="30"/>
        </w:rPr>
        <w:t>电话：</w:t>
      </w:r>
    </w:p>
    <w:p w14:paraId="159B183A">
      <w:pPr>
        <w:spacing w:before="156" w:after="156" w:line="360" w:lineRule="auto"/>
        <w:ind w:firstLine="1125" w:firstLineChars="375"/>
        <w:rPr>
          <w:rFonts w:hint="eastAsia" w:ascii="宋体" w:hAnsi="宋体" w:eastAsia="宋体" w:cs="宋体"/>
          <w:sz w:val="30"/>
          <w:szCs w:val="30"/>
        </w:rPr>
      </w:pPr>
      <w:r>
        <w:rPr>
          <w:rFonts w:hint="eastAsia" w:ascii="宋体" w:hAnsi="宋体" w:eastAsia="宋体" w:cs="宋体"/>
          <w:sz w:val="30"/>
          <w:szCs w:val="30"/>
        </w:rPr>
        <w:t>传真：</w:t>
      </w:r>
    </w:p>
    <w:p w14:paraId="6DE67551">
      <w:pPr>
        <w:spacing w:before="156" w:after="156" w:line="360" w:lineRule="auto"/>
        <w:ind w:firstLine="1125" w:firstLineChars="375"/>
        <w:rPr>
          <w:rFonts w:hint="eastAsia" w:ascii="宋体" w:hAnsi="宋体" w:eastAsia="宋体" w:cs="宋体"/>
          <w:sz w:val="30"/>
          <w:szCs w:val="30"/>
        </w:rPr>
      </w:pPr>
      <w:r>
        <w:rPr>
          <w:rFonts w:hint="eastAsia" w:ascii="宋体" w:hAnsi="宋体" w:eastAsia="宋体" w:cs="宋体"/>
          <w:sz w:val="30"/>
          <w:szCs w:val="30"/>
        </w:rPr>
        <w:t>邮编：</w:t>
      </w:r>
    </w:p>
    <w:p w14:paraId="007DD591">
      <w:pPr>
        <w:spacing w:before="156" w:after="156" w:line="360" w:lineRule="auto"/>
        <w:ind w:firstLine="1125" w:firstLineChars="375"/>
        <w:rPr>
          <w:rFonts w:hint="eastAsia" w:ascii="宋体" w:hAnsi="宋体" w:eastAsia="宋体" w:cs="宋体"/>
          <w:sz w:val="30"/>
          <w:szCs w:val="30"/>
        </w:rPr>
      </w:pPr>
      <w:r>
        <w:rPr>
          <w:rFonts w:hint="eastAsia" w:ascii="宋体" w:hAnsi="宋体" w:eastAsia="宋体" w:cs="宋体"/>
          <w:sz w:val="30"/>
          <w:szCs w:val="30"/>
        </w:rPr>
        <w:t>电子邮箱：</w:t>
      </w:r>
    </w:p>
    <w:p w14:paraId="2868219F">
      <w:pPr>
        <w:spacing w:line="360" w:lineRule="auto"/>
        <w:outlineLvl w:val="9"/>
        <w:rPr>
          <w:rFonts w:hint="eastAsia" w:ascii="宋体" w:hAnsi="宋体" w:eastAsia="宋体" w:cs="宋体"/>
          <w:b/>
          <w:bCs/>
          <w:sz w:val="30"/>
          <w:szCs w:val="30"/>
        </w:rPr>
      </w:pPr>
      <w:bookmarkStart w:id="224" w:name="_Toc257911889"/>
      <w:r>
        <w:rPr>
          <w:rFonts w:hint="eastAsia" w:ascii="宋体" w:hAnsi="宋体" w:eastAsia="宋体" w:cs="宋体"/>
          <w:b/>
          <w:bCs/>
          <w:sz w:val="30"/>
          <w:szCs w:val="30"/>
        </w:rPr>
        <w:t>第二十条  协议的签署和生效</w:t>
      </w:r>
      <w:bookmarkEnd w:id="224"/>
    </w:p>
    <w:p w14:paraId="60852391">
      <w:pPr>
        <w:pStyle w:val="24"/>
        <w:spacing w:before="156" w:after="156" w:line="312" w:lineRule="auto"/>
        <w:ind w:firstLine="0"/>
        <w:rPr>
          <w:rFonts w:hint="eastAsia" w:ascii="宋体" w:hAnsi="宋体" w:eastAsia="宋体" w:cs="宋体"/>
          <w:sz w:val="30"/>
          <w:szCs w:val="30"/>
        </w:rPr>
      </w:pPr>
      <w:r>
        <w:rPr>
          <w:rFonts w:hint="eastAsia" w:ascii="宋体" w:hAnsi="宋体" w:eastAsia="宋体" w:cs="宋体"/>
          <w:b/>
          <w:sz w:val="30"/>
          <w:szCs w:val="30"/>
        </w:rPr>
        <w:t>20.1</w:t>
      </w:r>
      <w:r>
        <w:rPr>
          <w:rFonts w:hint="eastAsia" w:ascii="宋体" w:hAnsi="宋体" w:eastAsia="宋体" w:cs="宋体"/>
          <w:sz w:val="30"/>
          <w:szCs w:val="30"/>
        </w:rPr>
        <w:t>本协议经各方法定代表人或授权签字人签字并加盖公章或者合同专用章后生效。协议各方之间可根据需要签署补充协议。此前各方就本协议项下债务融资工具发行达成的任何承诺、谅解、安排或约定与本协议不一致的，以本协议为准。</w:t>
      </w:r>
    </w:p>
    <w:p w14:paraId="68561F5A">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20.2</w:t>
      </w:r>
      <w:r>
        <w:rPr>
          <w:rFonts w:hint="eastAsia" w:ascii="宋体" w:hAnsi="宋体" w:eastAsia="宋体" w:cs="宋体"/>
          <w:sz w:val="30"/>
          <w:szCs w:val="30"/>
        </w:rPr>
        <w:t>协议各方在签署《承销协议》和《补充协议》之后应自觉遵守本协议。</w:t>
      </w:r>
    </w:p>
    <w:p w14:paraId="3EFA3EAD">
      <w:pPr>
        <w:pStyle w:val="24"/>
        <w:spacing w:before="156" w:after="156" w:line="312" w:lineRule="auto"/>
        <w:ind w:firstLine="0"/>
        <w:rPr>
          <w:rFonts w:hint="eastAsia" w:ascii="宋体" w:hAnsi="宋体" w:eastAsia="宋体" w:cs="宋体"/>
          <w:sz w:val="30"/>
          <w:szCs w:val="30"/>
        </w:rPr>
      </w:pPr>
      <w:r>
        <w:rPr>
          <w:rFonts w:hint="eastAsia" w:ascii="宋体" w:hAnsi="宋体" w:eastAsia="宋体" w:cs="宋体"/>
          <w:b/>
          <w:sz w:val="30"/>
          <w:szCs w:val="30"/>
        </w:rPr>
        <w:t>20.3</w:t>
      </w:r>
      <w:r>
        <w:rPr>
          <w:rFonts w:hint="eastAsia" w:ascii="宋体" w:hAnsi="宋体" w:eastAsia="宋体" w:cs="宋体"/>
          <w:sz w:val="30"/>
          <w:szCs w:val="30"/>
        </w:rPr>
        <w:t>主承销方应根据法律及交易商协会相关自律规范文件的要求及时将承销协议和补充协议（及其修改）送中国银行间市场交易商协会备案。</w:t>
      </w:r>
    </w:p>
    <w:p w14:paraId="397250B0">
      <w:pPr>
        <w:spacing w:line="360" w:lineRule="auto"/>
        <w:outlineLvl w:val="9"/>
        <w:rPr>
          <w:rFonts w:hint="eastAsia" w:ascii="宋体" w:hAnsi="宋体" w:eastAsia="宋体" w:cs="宋体"/>
          <w:b/>
          <w:bCs/>
          <w:sz w:val="30"/>
          <w:szCs w:val="30"/>
        </w:rPr>
      </w:pPr>
      <w:bookmarkStart w:id="225" w:name="_Toc257911890"/>
      <w:r>
        <w:rPr>
          <w:rFonts w:hint="eastAsia" w:ascii="宋体" w:hAnsi="宋体" w:eastAsia="宋体" w:cs="宋体"/>
          <w:b/>
          <w:bCs/>
          <w:sz w:val="30"/>
          <w:szCs w:val="30"/>
        </w:rPr>
        <w:t>第二十一条  协议的修改</w:t>
      </w:r>
      <w:bookmarkEnd w:id="225"/>
    </w:p>
    <w:p w14:paraId="485612F3">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 xml:space="preserve">21.1 </w:t>
      </w:r>
      <w:r>
        <w:rPr>
          <w:rFonts w:hint="eastAsia" w:ascii="宋体" w:hAnsi="宋体" w:eastAsia="宋体" w:cs="宋体"/>
          <w:sz w:val="30"/>
          <w:szCs w:val="30"/>
        </w:rPr>
        <w:t>在不违反中国法律的前提下，协议各方可在补充协议中对承销协议有关条款进行特别约定或对承销协议未尽事宜进行补充约定，但不得修改或排除承销协议的下述内容：</w:t>
      </w:r>
    </w:p>
    <w:p w14:paraId="4C6D1925">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21.1.1</w:t>
      </w:r>
      <w:r>
        <w:rPr>
          <w:rFonts w:hint="eastAsia" w:ascii="宋体" w:hAnsi="宋体" w:eastAsia="宋体" w:cs="宋体"/>
          <w:sz w:val="30"/>
          <w:szCs w:val="30"/>
        </w:rPr>
        <w:t>第一条第1.19款对“中国法律/法律”的定义；</w:t>
      </w:r>
    </w:p>
    <w:p w14:paraId="7FEE49A6">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21.1.2</w:t>
      </w:r>
      <w:r>
        <w:rPr>
          <w:rFonts w:hint="eastAsia" w:ascii="宋体" w:hAnsi="宋体" w:eastAsia="宋体" w:cs="宋体"/>
          <w:sz w:val="30"/>
          <w:szCs w:val="30"/>
        </w:rPr>
        <w:t>第二条“协议的构成与效力等级”；</w:t>
      </w:r>
    </w:p>
    <w:p w14:paraId="72A56D48">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21.1.3</w:t>
      </w:r>
      <w:r>
        <w:rPr>
          <w:rFonts w:hint="eastAsia" w:ascii="宋体" w:hAnsi="宋体" w:eastAsia="宋体" w:cs="宋体"/>
          <w:sz w:val="30"/>
          <w:szCs w:val="30"/>
        </w:rPr>
        <w:t>第十一条“声明、保证和承诺”；</w:t>
      </w:r>
    </w:p>
    <w:p w14:paraId="36E6D74A">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 xml:space="preserve">21.1.4 </w:t>
      </w:r>
      <w:r>
        <w:rPr>
          <w:rFonts w:hint="eastAsia" w:ascii="宋体" w:hAnsi="宋体" w:eastAsia="宋体" w:cs="宋体"/>
          <w:sz w:val="30"/>
          <w:szCs w:val="30"/>
        </w:rPr>
        <w:t>第二十条“协议的签署和生效”；</w:t>
      </w:r>
    </w:p>
    <w:p w14:paraId="2186873B">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21.1.5</w:t>
      </w:r>
      <w:r>
        <w:rPr>
          <w:rFonts w:hint="eastAsia" w:ascii="宋体" w:hAnsi="宋体" w:eastAsia="宋体" w:cs="宋体"/>
          <w:sz w:val="30"/>
          <w:szCs w:val="30"/>
        </w:rPr>
        <w:t>本第二十一条；以及</w:t>
      </w:r>
    </w:p>
    <w:p w14:paraId="3ABDFA39">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21.1.6</w:t>
      </w:r>
      <w:r>
        <w:rPr>
          <w:rFonts w:hint="eastAsia" w:ascii="宋体" w:hAnsi="宋体" w:eastAsia="宋体" w:cs="宋体"/>
          <w:sz w:val="30"/>
          <w:szCs w:val="30"/>
        </w:rPr>
        <w:t>第二十三条第23.1款、第23.4款和第23.5款。</w:t>
      </w:r>
    </w:p>
    <w:p w14:paraId="4A91BBBA">
      <w:pPr>
        <w:spacing w:line="360" w:lineRule="auto"/>
        <w:outlineLvl w:val="9"/>
        <w:rPr>
          <w:rFonts w:hint="eastAsia" w:ascii="宋体" w:hAnsi="宋体" w:eastAsia="宋体" w:cs="宋体"/>
          <w:b/>
          <w:bCs/>
          <w:sz w:val="30"/>
          <w:szCs w:val="30"/>
        </w:rPr>
      </w:pPr>
      <w:bookmarkStart w:id="226" w:name="_Toc257911891"/>
      <w:r>
        <w:rPr>
          <w:rFonts w:hint="eastAsia" w:ascii="宋体" w:hAnsi="宋体" w:eastAsia="宋体" w:cs="宋体"/>
          <w:b/>
          <w:bCs/>
          <w:sz w:val="30"/>
          <w:szCs w:val="30"/>
        </w:rPr>
        <w:t>第二十二条  协议的解除和终止</w:t>
      </w:r>
      <w:bookmarkEnd w:id="226"/>
    </w:p>
    <w:p w14:paraId="6C059AE1">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22.1</w:t>
      </w:r>
      <w:r>
        <w:rPr>
          <w:rFonts w:hint="eastAsia" w:ascii="宋体" w:hAnsi="宋体" w:eastAsia="宋体" w:cs="宋体"/>
          <w:sz w:val="30"/>
          <w:szCs w:val="30"/>
        </w:rPr>
        <w:t>除非本协议另有约定，本协议生效后，任何一方不得单方解除本协议。</w:t>
      </w:r>
    </w:p>
    <w:p w14:paraId="0731D5C2">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22.2</w:t>
      </w:r>
      <w:r>
        <w:rPr>
          <w:rFonts w:hint="eastAsia" w:ascii="宋体" w:hAnsi="宋体" w:eastAsia="宋体" w:cs="宋体"/>
          <w:sz w:val="30"/>
          <w:szCs w:val="30"/>
        </w:rPr>
        <w:t>如果发行方发生本协议第十三条、第十四条和第十五条中所列重大不利事件、违约事件、不可抗力等致使本协议目的不能实现。主承销方有权向发行方发出书面通知解除本协议。</w:t>
      </w:r>
    </w:p>
    <w:p w14:paraId="44990340">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22.3</w:t>
      </w:r>
      <w:r>
        <w:rPr>
          <w:rFonts w:hint="eastAsia" w:ascii="宋体" w:hAnsi="宋体" w:eastAsia="宋体" w:cs="宋体"/>
          <w:sz w:val="30"/>
          <w:szCs w:val="30"/>
        </w:rPr>
        <w:t>如果主承销方发生本协议第十三条、第十四条和第十五条中所列重大不利事件、违约事件、不可抗力等致使本协议目的不能实现，发行方有权向主承销方发出书面通知解除本协议。</w:t>
      </w:r>
    </w:p>
    <w:p w14:paraId="59B9EF00">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22.4</w:t>
      </w:r>
      <w:r>
        <w:rPr>
          <w:rFonts w:hint="eastAsia" w:ascii="宋体" w:hAnsi="宋体" w:eastAsia="宋体" w:cs="宋体"/>
          <w:sz w:val="30"/>
          <w:szCs w:val="30"/>
        </w:rPr>
        <w:t>本协议因解除而终止时，协议各方在本协议项下的全部或部分权利、义务即行终止，但这种终止不影响任何已形成的权利和义务，也不影响各方因本协议中作出的声明、保证和承诺而应承担的责任，包括但不限于对已发行债务融资工具的后续管理义务及相关费用支付义务。</w:t>
      </w:r>
    </w:p>
    <w:p w14:paraId="19FC8888">
      <w:pPr>
        <w:pStyle w:val="24"/>
        <w:spacing w:before="156" w:after="156" w:line="360" w:lineRule="auto"/>
        <w:ind w:firstLine="0"/>
        <w:rPr>
          <w:rFonts w:hint="eastAsia" w:ascii="宋体" w:hAnsi="宋体" w:eastAsia="宋体" w:cs="宋体"/>
          <w:b/>
          <w:sz w:val="30"/>
          <w:szCs w:val="30"/>
        </w:rPr>
      </w:pPr>
      <w:r>
        <w:rPr>
          <w:rFonts w:hint="eastAsia" w:ascii="宋体" w:hAnsi="宋体" w:eastAsia="宋体" w:cs="宋体"/>
          <w:b/>
          <w:sz w:val="30"/>
          <w:szCs w:val="30"/>
        </w:rPr>
        <w:t>22.5</w:t>
      </w:r>
      <w:r>
        <w:rPr>
          <w:rFonts w:hint="eastAsia" w:ascii="宋体" w:hAnsi="宋体" w:eastAsia="宋体" w:cs="宋体"/>
          <w:sz w:val="30"/>
          <w:szCs w:val="30"/>
        </w:rPr>
        <w:t>除非本协议另有约定，本协议于本协议项下各期债务融资工具全部兑付完成之日终止。</w:t>
      </w:r>
    </w:p>
    <w:p w14:paraId="15CBE7DB">
      <w:pPr>
        <w:spacing w:line="360" w:lineRule="auto"/>
        <w:outlineLvl w:val="9"/>
        <w:rPr>
          <w:rFonts w:hint="eastAsia" w:ascii="宋体" w:hAnsi="宋体" w:eastAsia="宋体" w:cs="宋体"/>
          <w:b/>
          <w:bCs/>
          <w:sz w:val="30"/>
          <w:szCs w:val="30"/>
        </w:rPr>
      </w:pPr>
      <w:bookmarkStart w:id="227" w:name="_Toc224440253"/>
      <w:bookmarkEnd w:id="227"/>
      <w:bookmarkStart w:id="228" w:name="_Toc224440254"/>
      <w:bookmarkEnd w:id="228"/>
      <w:bookmarkStart w:id="229" w:name="_Toc224440358"/>
      <w:bookmarkEnd w:id="229"/>
      <w:bookmarkStart w:id="230" w:name="_Toc224440357"/>
      <w:bookmarkEnd w:id="230"/>
      <w:bookmarkStart w:id="231" w:name="_Toc224440367"/>
      <w:bookmarkEnd w:id="231"/>
      <w:bookmarkStart w:id="232" w:name="_Toc224440244"/>
      <w:bookmarkEnd w:id="232"/>
      <w:bookmarkStart w:id="233" w:name="_Toc224440356"/>
      <w:bookmarkEnd w:id="233"/>
      <w:bookmarkStart w:id="234" w:name="_Toc224440255"/>
      <w:bookmarkEnd w:id="234"/>
      <w:bookmarkStart w:id="235" w:name="_Toc224440243"/>
      <w:bookmarkEnd w:id="235"/>
      <w:bookmarkStart w:id="236" w:name="_Toc224440256"/>
      <w:bookmarkEnd w:id="236"/>
      <w:bookmarkStart w:id="237" w:name="_Toc224440245"/>
      <w:bookmarkEnd w:id="237"/>
      <w:bookmarkStart w:id="238" w:name="_Toc224440365"/>
      <w:bookmarkEnd w:id="238"/>
      <w:bookmarkStart w:id="239" w:name="_Toc224440355"/>
      <w:bookmarkEnd w:id="239"/>
      <w:bookmarkStart w:id="240" w:name="_Toc224440368"/>
      <w:bookmarkEnd w:id="240"/>
      <w:bookmarkStart w:id="241" w:name="_Toc224440366"/>
      <w:bookmarkEnd w:id="241"/>
      <w:bookmarkStart w:id="242" w:name="_Toc224440364"/>
      <w:bookmarkEnd w:id="242"/>
      <w:bookmarkStart w:id="243" w:name="_Toc224440246"/>
      <w:bookmarkEnd w:id="243"/>
      <w:bookmarkStart w:id="244" w:name="_Toc224440252"/>
      <w:bookmarkEnd w:id="244"/>
      <w:bookmarkStart w:id="245" w:name="_Toc257911892"/>
      <w:r>
        <w:rPr>
          <w:rFonts w:hint="eastAsia" w:ascii="宋体" w:hAnsi="宋体" w:eastAsia="宋体" w:cs="宋体"/>
          <w:b/>
          <w:bCs/>
          <w:sz w:val="30"/>
          <w:szCs w:val="30"/>
        </w:rPr>
        <w:t>第二十三条  法律适用及争议的解决</w:t>
      </w:r>
      <w:bookmarkEnd w:id="245"/>
    </w:p>
    <w:p w14:paraId="4E0CEFD8">
      <w:pPr>
        <w:pStyle w:val="24"/>
        <w:spacing w:before="156"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23.1</w:t>
      </w:r>
      <w:r>
        <w:rPr>
          <w:rFonts w:hint="eastAsia" w:ascii="宋体" w:hAnsi="宋体" w:eastAsia="宋体" w:cs="宋体"/>
          <w:sz w:val="30"/>
          <w:szCs w:val="30"/>
        </w:rPr>
        <w:t>本协议适用中国法律，并根据中国法律解释。</w:t>
      </w:r>
    </w:p>
    <w:p w14:paraId="711C6EED">
      <w:pPr>
        <w:pStyle w:val="24"/>
        <w:spacing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23.2</w:t>
      </w:r>
      <w:r>
        <w:rPr>
          <w:rFonts w:hint="eastAsia" w:ascii="宋体" w:hAnsi="宋体" w:eastAsia="宋体" w:cs="宋体"/>
          <w:sz w:val="30"/>
          <w:szCs w:val="30"/>
        </w:rPr>
        <w:t xml:space="preserve"> 协议各方可通过协商方式解决双方之间在本协议下或与本协议相关的任何争议、索赔或纠纷。</w:t>
      </w:r>
    </w:p>
    <w:p w14:paraId="1347F2F0">
      <w:pPr>
        <w:pStyle w:val="24"/>
        <w:spacing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23.3</w:t>
      </w:r>
      <w:r>
        <w:rPr>
          <w:rFonts w:hint="eastAsia" w:ascii="宋体" w:hAnsi="宋体" w:eastAsia="宋体" w:cs="宋体"/>
          <w:sz w:val="30"/>
          <w:szCs w:val="30"/>
        </w:rPr>
        <w:t>若协议各方不进行协商或协商未果，协议各方同意应将争议、纠纷或索赔提交中国国际经济贸易仲裁委员会按照届时有效的《中国国际经济贸易仲裁委员会仲裁规则》在北京以仲裁方式解决，仲裁庭由三名仲裁员组成，仲裁裁决是终局的，对协议各方具有约束力。</w:t>
      </w:r>
    </w:p>
    <w:p w14:paraId="134267A4">
      <w:pPr>
        <w:pStyle w:val="24"/>
        <w:spacing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23.4</w:t>
      </w:r>
      <w:r>
        <w:rPr>
          <w:rFonts w:hint="eastAsia" w:ascii="宋体" w:hAnsi="宋体" w:eastAsia="宋体" w:cs="宋体"/>
          <w:sz w:val="30"/>
          <w:szCs w:val="30"/>
        </w:rPr>
        <w:t>若协议各方另行约定其他仲裁机构解决争端，该其他仲裁机构应是在中华人民共和国（为本协议之目的，不包括香港特别行政区、澳门特别行政区及台湾地区）境内合法登记或设立的仲裁机构，仲裁地点应位于中华人民共和国（为本协议之目的，不包括香港特别行政区、澳门特别行政区及台湾地区）境内。</w:t>
      </w:r>
    </w:p>
    <w:p w14:paraId="0E5CE24C">
      <w:pPr>
        <w:pStyle w:val="24"/>
        <w:spacing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23.5</w:t>
      </w:r>
      <w:r>
        <w:rPr>
          <w:rFonts w:hint="eastAsia" w:ascii="宋体" w:hAnsi="宋体" w:eastAsia="宋体" w:cs="宋体"/>
          <w:sz w:val="30"/>
          <w:szCs w:val="30"/>
        </w:rPr>
        <w:t>若协议各方另行约定不采用仲裁而采用诉讼方式解决争端，则任何一方只能向人民法院提起诉讼。</w:t>
      </w:r>
    </w:p>
    <w:p w14:paraId="34AC53AC">
      <w:pPr>
        <w:pStyle w:val="24"/>
        <w:spacing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 xml:space="preserve">23.6 </w:t>
      </w:r>
      <w:r>
        <w:rPr>
          <w:rFonts w:hint="eastAsia" w:ascii="宋体" w:hAnsi="宋体" w:eastAsia="宋体" w:cs="宋体"/>
          <w:sz w:val="30"/>
          <w:szCs w:val="30"/>
        </w:rPr>
        <w:t>针对本协议任何争议条款所进行的仲裁或诉讼不影响本协议其他条款的效力和继续履行。</w:t>
      </w:r>
    </w:p>
    <w:p w14:paraId="45307E25">
      <w:pPr>
        <w:pStyle w:val="2"/>
        <w:spacing w:line="360" w:lineRule="auto"/>
        <w:rPr>
          <w:rFonts w:hint="eastAsia" w:ascii="宋体" w:hAnsi="宋体" w:eastAsia="宋体" w:cs="宋体"/>
          <w:sz w:val="30"/>
          <w:szCs w:val="30"/>
        </w:rPr>
      </w:pPr>
      <w:bookmarkStart w:id="246" w:name="_Toc257911893"/>
      <w:bookmarkStart w:id="247" w:name="_Toc24595"/>
      <w:bookmarkStart w:id="248" w:name="_Toc11262"/>
      <w:r>
        <w:rPr>
          <w:rFonts w:hint="eastAsia" w:ascii="宋体" w:hAnsi="宋体" w:eastAsia="宋体" w:cs="宋体"/>
          <w:sz w:val="30"/>
          <w:szCs w:val="30"/>
        </w:rPr>
        <w:t>第二十四条  附则</w:t>
      </w:r>
      <w:bookmarkEnd w:id="246"/>
      <w:bookmarkEnd w:id="247"/>
      <w:bookmarkEnd w:id="248"/>
    </w:p>
    <w:p w14:paraId="557CEFF9">
      <w:pPr>
        <w:pStyle w:val="24"/>
        <w:spacing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24.1</w:t>
      </w:r>
      <w:r>
        <w:rPr>
          <w:rFonts w:hint="eastAsia" w:ascii="宋体" w:hAnsi="宋体" w:eastAsia="宋体" w:cs="宋体"/>
          <w:sz w:val="30"/>
          <w:szCs w:val="30"/>
        </w:rPr>
        <w:t xml:space="preserve"> 在本协议中，除非上下文另有规定：</w:t>
      </w:r>
    </w:p>
    <w:p w14:paraId="7019C4E1">
      <w:pPr>
        <w:pStyle w:val="24"/>
        <w:spacing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24.1.1</w:t>
      </w:r>
      <w:r>
        <w:rPr>
          <w:rFonts w:hint="eastAsia" w:ascii="宋体" w:hAnsi="宋体" w:eastAsia="宋体" w:cs="宋体"/>
          <w:sz w:val="30"/>
          <w:szCs w:val="30"/>
        </w:rPr>
        <w:t xml:space="preserve"> 凡提及本协议应包括对本协议的修订或补充的文件；</w:t>
      </w:r>
    </w:p>
    <w:p w14:paraId="0B8C6D9E">
      <w:pPr>
        <w:pStyle w:val="24"/>
        <w:spacing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24.1.2</w:t>
      </w:r>
      <w:r>
        <w:rPr>
          <w:rFonts w:hint="eastAsia" w:ascii="宋体" w:hAnsi="宋体" w:eastAsia="宋体" w:cs="宋体"/>
          <w:sz w:val="30"/>
          <w:szCs w:val="30"/>
        </w:rPr>
        <w:t xml:space="preserve"> 凡提及条、款和附件是指本协议的条、款和附件；</w:t>
      </w:r>
    </w:p>
    <w:p w14:paraId="6BD9E87A">
      <w:pPr>
        <w:pStyle w:val="24"/>
        <w:spacing w:after="156" w:line="360" w:lineRule="auto"/>
        <w:ind w:firstLine="0"/>
        <w:rPr>
          <w:rFonts w:hint="eastAsia" w:ascii="宋体" w:hAnsi="宋体" w:eastAsia="宋体" w:cs="宋体"/>
          <w:sz w:val="30"/>
          <w:szCs w:val="30"/>
        </w:rPr>
      </w:pPr>
      <w:r>
        <w:rPr>
          <w:rFonts w:hint="eastAsia" w:ascii="宋体" w:hAnsi="宋体" w:eastAsia="宋体" w:cs="宋体"/>
          <w:b/>
          <w:sz w:val="30"/>
          <w:szCs w:val="30"/>
        </w:rPr>
        <w:t>24.1.3</w:t>
      </w:r>
      <w:r>
        <w:rPr>
          <w:rFonts w:hint="eastAsia" w:ascii="宋体" w:hAnsi="宋体" w:eastAsia="宋体" w:cs="宋体"/>
          <w:sz w:val="30"/>
          <w:szCs w:val="30"/>
        </w:rPr>
        <w:t xml:space="preserve"> 本协议名称、目录以及本协议所列标题仅出于便于参考之目的，并不影响本协议的结构且不应被用来解释本协议的任何内容。</w:t>
      </w:r>
    </w:p>
    <w:p w14:paraId="23084071">
      <w:pPr>
        <w:spacing w:before="156" w:after="156" w:line="360" w:lineRule="auto"/>
        <w:rPr>
          <w:rFonts w:hint="eastAsia" w:ascii="宋体" w:hAnsi="宋体" w:eastAsia="宋体" w:cs="宋体"/>
          <w:sz w:val="30"/>
          <w:szCs w:val="30"/>
        </w:rPr>
      </w:pPr>
      <w:r>
        <w:rPr>
          <w:rFonts w:hint="eastAsia" w:ascii="宋体" w:hAnsi="宋体" w:eastAsia="宋体" w:cs="宋体"/>
          <w:b/>
          <w:sz w:val="30"/>
          <w:szCs w:val="30"/>
        </w:rPr>
        <w:t>24.2</w:t>
      </w:r>
      <w:r>
        <w:rPr>
          <w:rFonts w:hint="eastAsia" w:ascii="宋体" w:hAnsi="宋体" w:eastAsia="宋体" w:cs="宋体"/>
          <w:sz w:val="30"/>
          <w:szCs w:val="30"/>
        </w:rPr>
        <w:t xml:space="preserve"> 本协议正本一式____份，一份由交易商协会备案，其余各份由签署方分别留存。每份正本具有相同的法律效力。</w:t>
      </w:r>
    </w:p>
    <w:p w14:paraId="0F4A0842">
      <w:pPr>
        <w:spacing w:before="156" w:after="156" w:line="360" w:lineRule="auto"/>
        <w:rPr>
          <w:rFonts w:hint="eastAsia" w:ascii="宋体" w:hAnsi="宋体" w:eastAsia="宋体" w:cs="宋体"/>
          <w:b/>
          <w:sz w:val="30"/>
          <w:szCs w:val="30"/>
        </w:rPr>
      </w:pPr>
      <w:r>
        <w:rPr>
          <w:rFonts w:hint="eastAsia" w:ascii="宋体" w:hAnsi="宋体" w:eastAsia="宋体" w:cs="宋体"/>
          <w:sz w:val="30"/>
          <w:szCs w:val="30"/>
        </w:rPr>
        <w:br w:type="page"/>
      </w:r>
      <w:r>
        <w:rPr>
          <w:rFonts w:hint="eastAsia" w:ascii="宋体" w:hAnsi="宋体" w:eastAsia="宋体" w:cs="宋体"/>
          <w:b/>
          <w:sz w:val="30"/>
          <w:szCs w:val="30"/>
        </w:rPr>
        <w:t>（</w:t>
      </w:r>
      <w:r>
        <w:rPr>
          <w:rFonts w:hint="eastAsia" w:ascii="宋体" w:hAnsi="宋体" w:eastAsia="宋体" w:cs="宋体"/>
          <w:sz w:val="30"/>
          <w:szCs w:val="30"/>
        </w:rPr>
        <w:t>本页为_____公司非金融企业债务融资工具承销协议之签署页</w:t>
      </w:r>
      <w:r>
        <w:rPr>
          <w:rFonts w:hint="eastAsia" w:ascii="宋体" w:hAnsi="宋体" w:eastAsia="宋体" w:cs="宋体"/>
          <w:b/>
          <w:sz w:val="30"/>
          <w:szCs w:val="30"/>
        </w:rPr>
        <w:t>）</w:t>
      </w:r>
    </w:p>
    <w:p w14:paraId="04F4918E">
      <w:pPr>
        <w:spacing w:before="156" w:after="156" w:line="360" w:lineRule="auto"/>
        <w:ind w:firstLine="411"/>
        <w:rPr>
          <w:rFonts w:hint="eastAsia" w:ascii="宋体" w:hAnsi="宋体" w:eastAsia="宋体" w:cs="宋体"/>
          <w:sz w:val="30"/>
          <w:szCs w:val="30"/>
        </w:rPr>
      </w:pPr>
    </w:p>
    <w:p w14:paraId="1330B0A9">
      <w:pPr>
        <w:spacing w:before="156" w:after="156" w:line="360" w:lineRule="auto"/>
        <w:ind w:firstLine="411"/>
        <w:rPr>
          <w:rFonts w:hint="eastAsia" w:ascii="宋体" w:hAnsi="宋体" w:eastAsia="宋体" w:cs="宋体"/>
          <w:sz w:val="30"/>
          <w:szCs w:val="30"/>
        </w:rPr>
      </w:pPr>
      <w:r>
        <w:rPr>
          <w:rFonts w:hint="eastAsia" w:ascii="宋体" w:hAnsi="宋体" w:eastAsia="宋体" w:cs="宋体"/>
          <w:sz w:val="30"/>
          <w:szCs w:val="30"/>
        </w:rPr>
        <w:t>甲方/发行方：</w:t>
      </w:r>
      <w:r>
        <w:rPr>
          <w:rFonts w:hint="eastAsia" w:ascii="宋体" w:hAnsi="宋体" w:eastAsia="宋体" w:cs="宋体"/>
          <w:b/>
          <w:sz w:val="30"/>
          <w:szCs w:val="30"/>
        </w:rPr>
        <w:t xml:space="preserve">          </w:t>
      </w:r>
      <w:r>
        <w:rPr>
          <w:rFonts w:hint="eastAsia" w:ascii="宋体" w:hAnsi="宋体" w:eastAsia="宋体" w:cs="宋体"/>
          <w:sz w:val="30"/>
          <w:szCs w:val="30"/>
        </w:rPr>
        <w:t>（公章）</w:t>
      </w:r>
    </w:p>
    <w:p w14:paraId="5712B20F">
      <w:pPr>
        <w:spacing w:before="156" w:after="156" w:line="360" w:lineRule="auto"/>
        <w:ind w:firstLine="411"/>
        <w:rPr>
          <w:rFonts w:hint="eastAsia" w:ascii="宋体" w:hAnsi="宋体" w:eastAsia="宋体" w:cs="宋体"/>
          <w:sz w:val="30"/>
          <w:szCs w:val="30"/>
        </w:rPr>
      </w:pPr>
      <w:r>
        <w:rPr>
          <w:rFonts w:hint="eastAsia" w:ascii="宋体" w:hAnsi="宋体" w:eastAsia="宋体" w:cs="宋体"/>
          <w:sz w:val="30"/>
          <w:szCs w:val="30"/>
        </w:rPr>
        <w:t>法定代表人或授权代表人 （签字）</w:t>
      </w:r>
    </w:p>
    <w:p w14:paraId="6A7DB953">
      <w:pPr>
        <w:spacing w:before="156" w:after="156" w:line="360" w:lineRule="auto"/>
        <w:ind w:firstLine="510" w:firstLineChars="170"/>
        <w:rPr>
          <w:rFonts w:hint="eastAsia" w:ascii="宋体" w:hAnsi="宋体" w:eastAsia="宋体" w:cs="宋体"/>
          <w:sz w:val="30"/>
          <w:szCs w:val="30"/>
        </w:rPr>
      </w:pPr>
      <w:r>
        <w:rPr>
          <w:rFonts w:hint="eastAsia" w:ascii="宋体" w:hAnsi="宋体" w:eastAsia="宋体" w:cs="宋体"/>
          <w:sz w:val="30"/>
          <w:szCs w:val="30"/>
        </w:rPr>
        <w:t>签署时间：年    月     日</w:t>
      </w:r>
    </w:p>
    <w:p w14:paraId="77B53451">
      <w:pPr>
        <w:spacing w:before="156" w:after="156" w:line="360" w:lineRule="auto"/>
        <w:ind w:firstLine="411"/>
        <w:rPr>
          <w:rFonts w:hint="eastAsia" w:ascii="宋体" w:hAnsi="宋体" w:eastAsia="宋体" w:cs="宋体"/>
          <w:sz w:val="30"/>
          <w:szCs w:val="30"/>
        </w:rPr>
      </w:pPr>
      <w:r>
        <w:rPr>
          <w:rFonts w:hint="eastAsia" w:ascii="宋体" w:hAnsi="宋体" w:eastAsia="宋体" w:cs="宋体"/>
          <w:sz w:val="30"/>
          <w:szCs w:val="30"/>
        </w:rPr>
        <w:br w:type="page"/>
      </w:r>
      <w:r>
        <w:rPr>
          <w:rFonts w:hint="eastAsia" w:ascii="宋体" w:hAnsi="宋体" w:eastAsia="宋体" w:cs="宋体"/>
          <w:b/>
          <w:sz w:val="30"/>
          <w:szCs w:val="30"/>
        </w:rPr>
        <w:t>（</w:t>
      </w:r>
      <w:r>
        <w:rPr>
          <w:rFonts w:hint="eastAsia" w:ascii="宋体" w:hAnsi="宋体" w:eastAsia="宋体" w:cs="宋体"/>
          <w:sz w:val="30"/>
          <w:szCs w:val="30"/>
        </w:rPr>
        <w:t>本页为_____公司非金融企业债务融资工具承销协议之签署页</w:t>
      </w:r>
      <w:r>
        <w:rPr>
          <w:rFonts w:hint="eastAsia" w:ascii="宋体" w:hAnsi="宋体" w:eastAsia="宋体" w:cs="宋体"/>
          <w:b/>
          <w:sz w:val="30"/>
          <w:szCs w:val="30"/>
        </w:rPr>
        <w:t>）</w:t>
      </w:r>
    </w:p>
    <w:p w14:paraId="529B9D7D">
      <w:pPr>
        <w:spacing w:before="156" w:after="156" w:line="360" w:lineRule="auto"/>
        <w:ind w:firstLine="411"/>
        <w:rPr>
          <w:rFonts w:hint="eastAsia" w:ascii="宋体" w:hAnsi="宋体" w:eastAsia="宋体" w:cs="宋体"/>
          <w:sz w:val="30"/>
          <w:szCs w:val="30"/>
        </w:rPr>
      </w:pPr>
      <w:r>
        <w:rPr>
          <w:rFonts w:hint="eastAsia" w:ascii="宋体" w:hAnsi="宋体" w:eastAsia="宋体" w:cs="宋体"/>
          <w:sz w:val="30"/>
          <w:szCs w:val="30"/>
        </w:rPr>
        <w:t>乙方/主承销方:           （公章）</w:t>
      </w:r>
    </w:p>
    <w:p w14:paraId="6E80CC19">
      <w:pPr>
        <w:spacing w:before="156" w:after="156" w:line="360" w:lineRule="auto"/>
        <w:ind w:firstLine="411"/>
        <w:rPr>
          <w:rFonts w:hint="eastAsia" w:ascii="宋体" w:hAnsi="宋体" w:eastAsia="宋体" w:cs="宋体"/>
          <w:sz w:val="30"/>
          <w:szCs w:val="30"/>
        </w:rPr>
      </w:pPr>
      <w:r>
        <w:rPr>
          <w:rFonts w:hint="eastAsia" w:ascii="宋体" w:hAnsi="宋体" w:eastAsia="宋体" w:cs="宋体"/>
          <w:sz w:val="30"/>
          <w:szCs w:val="30"/>
        </w:rPr>
        <w:t>法定代表人或授权代表人 （签字）</w:t>
      </w:r>
    </w:p>
    <w:p w14:paraId="60DB0E7F">
      <w:pPr>
        <w:spacing w:before="156" w:after="156" w:line="360" w:lineRule="auto"/>
        <w:ind w:firstLine="450" w:firstLineChars="150"/>
        <w:rPr>
          <w:rFonts w:hint="eastAsia" w:ascii="宋体" w:hAnsi="宋体" w:eastAsia="宋体" w:cs="宋体"/>
          <w:sz w:val="30"/>
          <w:szCs w:val="30"/>
        </w:rPr>
      </w:pPr>
      <w:r>
        <w:rPr>
          <w:rFonts w:hint="eastAsia" w:ascii="宋体" w:hAnsi="宋体" w:eastAsia="宋体" w:cs="宋体"/>
          <w:sz w:val="30"/>
          <w:szCs w:val="30"/>
        </w:rPr>
        <w:t>签署时间：年    月     日</w:t>
      </w:r>
    </w:p>
    <w:p w14:paraId="5DD959D5">
      <w:pPr>
        <w:spacing w:before="156" w:after="156" w:line="360" w:lineRule="auto"/>
        <w:ind w:firstLine="411"/>
        <w:rPr>
          <w:rFonts w:hint="eastAsia" w:ascii="宋体" w:hAnsi="宋体" w:eastAsia="宋体" w:cs="宋体"/>
          <w:sz w:val="30"/>
          <w:szCs w:val="30"/>
        </w:rPr>
      </w:pPr>
      <w:r>
        <w:rPr>
          <w:rFonts w:hint="eastAsia" w:ascii="宋体" w:hAnsi="宋体" w:eastAsia="宋体" w:cs="宋体"/>
          <w:sz w:val="30"/>
          <w:szCs w:val="30"/>
        </w:rPr>
        <w:br w:type="page"/>
      </w:r>
      <w:r>
        <w:rPr>
          <w:rFonts w:hint="eastAsia" w:ascii="宋体" w:hAnsi="宋体" w:eastAsia="宋体" w:cs="宋体"/>
          <w:b/>
          <w:sz w:val="30"/>
          <w:szCs w:val="30"/>
        </w:rPr>
        <w:t>（</w:t>
      </w:r>
      <w:r>
        <w:rPr>
          <w:rFonts w:hint="eastAsia" w:ascii="宋体" w:hAnsi="宋体" w:eastAsia="宋体" w:cs="宋体"/>
          <w:sz w:val="30"/>
          <w:szCs w:val="30"/>
        </w:rPr>
        <w:t>本页为_____公司非金融企业债务融资工具承销协议之签署页</w:t>
      </w:r>
      <w:r>
        <w:rPr>
          <w:rFonts w:hint="eastAsia" w:ascii="宋体" w:hAnsi="宋体" w:eastAsia="宋体" w:cs="宋体"/>
          <w:b/>
          <w:sz w:val="30"/>
          <w:szCs w:val="30"/>
        </w:rPr>
        <w:t>）</w:t>
      </w:r>
    </w:p>
    <w:p w14:paraId="45FE3331">
      <w:pPr>
        <w:spacing w:before="156" w:after="156" w:line="360" w:lineRule="auto"/>
        <w:ind w:firstLine="411"/>
        <w:rPr>
          <w:rFonts w:hint="eastAsia" w:ascii="宋体" w:hAnsi="宋体" w:eastAsia="宋体" w:cs="宋体"/>
          <w:sz w:val="30"/>
          <w:szCs w:val="30"/>
        </w:rPr>
      </w:pPr>
      <w:r>
        <w:rPr>
          <w:rFonts w:hint="eastAsia" w:ascii="宋体" w:hAnsi="宋体" w:eastAsia="宋体" w:cs="宋体"/>
          <w:sz w:val="30"/>
          <w:szCs w:val="30"/>
        </w:rPr>
        <w:t>丙方/主承销方（若有）:    （公章）</w:t>
      </w:r>
    </w:p>
    <w:p w14:paraId="06FD61AF">
      <w:pPr>
        <w:spacing w:before="156" w:after="156" w:line="360" w:lineRule="auto"/>
        <w:ind w:firstLine="411"/>
        <w:rPr>
          <w:rFonts w:hint="eastAsia" w:ascii="宋体" w:hAnsi="宋体" w:eastAsia="宋体" w:cs="宋体"/>
          <w:sz w:val="30"/>
          <w:szCs w:val="30"/>
        </w:rPr>
      </w:pPr>
      <w:r>
        <w:rPr>
          <w:rFonts w:hint="eastAsia" w:ascii="宋体" w:hAnsi="宋体" w:eastAsia="宋体" w:cs="宋体"/>
          <w:sz w:val="30"/>
          <w:szCs w:val="30"/>
        </w:rPr>
        <w:t>法定代表人或授权代表人  （签字）</w:t>
      </w:r>
    </w:p>
    <w:p w14:paraId="4BB48B5D">
      <w:pPr>
        <w:spacing w:before="156" w:after="156" w:line="360" w:lineRule="auto"/>
        <w:ind w:firstLine="450" w:firstLineChars="150"/>
        <w:rPr>
          <w:rFonts w:hint="eastAsia" w:ascii="宋体" w:hAnsi="宋体" w:eastAsia="宋体" w:cs="宋体"/>
          <w:sz w:val="30"/>
          <w:szCs w:val="30"/>
        </w:rPr>
      </w:pPr>
      <w:r>
        <w:rPr>
          <w:rFonts w:hint="eastAsia" w:ascii="宋体" w:hAnsi="宋体" w:eastAsia="宋体" w:cs="宋体"/>
          <w:sz w:val="30"/>
          <w:szCs w:val="30"/>
        </w:rPr>
        <w:t>签署时间： 年    月     日</w:t>
      </w:r>
    </w:p>
    <w:p w14:paraId="35A149AF">
      <w:pPr>
        <w:spacing w:before="156" w:after="156" w:line="360" w:lineRule="auto"/>
        <w:ind w:firstLine="411"/>
        <w:rPr>
          <w:rFonts w:hint="eastAsia" w:ascii="宋体" w:hAnsi="宋体" w:eastAsia="宋体" w:cs="宋体"/>
          <w:sz w:val="30"/>
          <w:szCs w:val="30"/>
        </w:rPr>
      </w:pPr>
    </w:p>
    <w:p w14:paraId="77078EFE">
      <w:pPr>
        <w:spacing w:before="156" w:after="156" w:line="360" w:lineRule="auto"/>
        <w:ind w:firstLine="411"/>
        <w:rPr>
          <w:rFonts w:hint="eastAsia" w:ascii="宋体" w:hAnsi="宋体" w:eastAsia="宋体" w:cs="宋体"/>
          <w:sz w:val="30"/>
          <w:szCs w:val="30"/>
        </w:rPr>
      </w:pPr>
    </w:p>
    <w:p w14:paraId="4141F556">
      <w:pPr>
        <w:spacing w:before="156" w:after="156" w:line="360" w:lineRule="auto"/>
        <w:ind w:firstLine="411"/>
        <w:rPr>
          <w:rFonts w:hint="eastAsia" w:ascii="宋体" w:hAnsi="宋体" w:eastAsia="宋体" w:cs="宋体"/>
          <w:sz w:val="30"/>
          <w:szCs w:val="30"/>
        </w:rPr>
      </w:pPr>
    </w:p>
    <w:p w14:paraId="4FAFB2F5">
      <w:pPr>
        <w:spacing w:before="156" w:after="156" w:line="360" w:lineRule="auto"/>
        <w:ind w:firstLine="411"/>
        <w:rPr>
          <w:rFonts w:hint="eastAsia" w:ascii="宋体" w:hAnsi="宋体" w:eastAsia="宋体" w:cs="宋体"/>
          <w:sz w:val="30"/>
          <w:szCs w:val="30"/>
        </w:rPr>
      </w:pPr>
    </w:p>
    <w:p w14:paraId="6DB8E41C">
      <w:pPr>
        <w:spacing w:before="156" w:after="156" w:line="360" w:lineRule="auto"/>
        <w:ind w:firstLine="411"/>
        <w:rPr>
          <w:rFonts w:hint="eastAsia" w:ascii="宋体" w:hAnsi="宋体" w:eastAsia="宋体" w:cs="宋体"/>
          <w:sz w:val="30"/>
          <w:szCs w:val="30"/>
        </w:rPr>
      </w:pPr>
    </w:p>
    <w:p w14:paraId="02604141">
      <w:pPr>
        <w:spacing w:before="156" w:after="156" w:line="360" w:lineRule="auto"/>
        <w:ind w:firstLine="411"/>
        <w:rPr>
          <w:rFonts w:hint="eastAsia" w:ascii="宋体" w:hAnsi="宋体" w:eastAsia="宋体" w:cs="宋体"/>
          <w:sz w:val="30"/>
          <w:szCs w:val="30"/>
        </w:rPr>
      </w:pPr>
    </w:p>
    <w:p w14:paraId="584629B9">
      <w:pPr>
        <w:spacing w:before="156" w:after="156" w:line="360" w:lineRule="auto"/>
        <w:rPr>
          <w:rFonts w:hint="eastAsia" w:ascii="宋体" w:hAnsi="宋体" w:eastAsia="宋体" w:cs="宋体"/>
          <w:sz w:val="30"/>
          <w:szCs w:val="30"/>
        </w:rPr>
      </w:pPr>
    </w:p>
    <w:p w14:paraId="5F7487FE">
      <w:pPr>
        <w:spacing w:before="156" w:after="156" w:line="360" w:lineRule="auto"/>
        <w:rPr>
          <w:rFonts w:hint="eastAsia" w:ascii="宋体" w:hAnsi="宋体" w:eastAsia="宋体" w:cs="宋体"/>
          <w:sz w:val="30"/>
          <w:szCs w:val="30"/>
        </w:rPr>
      </w:pPr>
    </w:p>
    <w:p w14:paraId="1C96D031">
      <w:pPr>
        <w:spacing w:before="156" w:after="156" w:line="360" w:lineRule="auto"/>
        <w:rPr>
          <w:rFonts w:hint="eastAsia" w:ascii="宋体" w:hAnsi="宋体" w:eastAsia="宋体" w:cs="宋体"/>
          <w:sz w:val="30"/>
          <w:szCs w:val="30"/>
        </w:rPr>
      </w:pPr>
    </w:p>
    <w:p w14:paraId="6993C23A">
      <w:pPr>
        <w:spacing w:before="156" w:after="156" w:line="360" w:lineRule="auto"/>
        <w:rPr>
          <w:rFonts w:hint="eastAsia" w:ascii="宋体" w:hAnsi="宋体" w:eastAsia="宋体" w:cs="宋体"/>
          <w:sz w:val="30"/>
          <w:szCs w:val="30"/>
        </w:rPr>
      </w:pPr>
    </w:p>
    <w:p w14:paraId="7E194BEC">
      <w:pPr>
        <w:spacing w:before="156" w:after="156" w:line="360" w:lineRule="auto"/>
        <w:rPr>
          <w:rFonts w:hint="eastAsia" w:ascii="宋体" w:hAnsi="宋体" w:eastAsia="宋体" w:cs="宋体"/>
          <w:sz w:val="30"/>
          <w:szCs w:val="30"/>
        </w:rPr>
        <w:sectPr>
          <w:footerReference r:id="rId12" w:type="default"/>
          <w:pgSz w:w="11906" w:h="16838"/>
          <w:pgMar w:top="1440" w:right="1797" w:bottom="1440" w:left="1797" w:header="851" w:footer="992" w:gutter="0"/>
          <w:pgNumType w:fmt="decimal"/>
          <w:cols w:space="425" w:num="1"/>
          <w:docGrid w:type="lines" w:linePitch="312" w:charSpace="0"/>
        </w:sectPr>
      </w:pPr>
    </w:p>
    <w:p w14:paraId="31A61A19">
      <w:pPr>
        <w:pStyle w:val="24"/>
        <w:spacing w:before="156" w:after="156" w:line="360" w:lineRule="auto"/>
        <w:ind w:firstLine="0"/>
        <w:jc w:val="center"/>
        <w:rPr>
          <w:rFonts w:hint="eastAsia" w:ascii="宋体" w:hAnsi="宋体" w:eastAsia="宋体" w:cs="宋体"/>
          <w:sz w:val="32"/>
          <w:szCs w:val="32"/>
        </w:rPr>
      </w:pPr>
      <w:r>
        <w:rPr>
          <w:rFonts w:hint="eastAsia" w:ascii="宋体" w:hAnsi="宋体" w:eastAsia="宋体" w:cs="宋体"/>
          <w:sz w:val="32"/>
          <w:szCs w:val="32"/>
        </w:rPr>
        <w:t>银行间债券市场非金融企业债务融资工具承销协议</w:t>
      </w:r>
    </w:p>
    <w:p w14:paraId="1A3662F5">
      <w:pPr>
        <w:pStyle w:val="24"/>
        <w:spacing w:before="156" w:after="156" w:line="360" w:lineRule="auto"/>
        <w:ind w:firstLine="0"/>
        <w:jc w:val="center"/>
        <w:rPr>
          <w:rFonts w:hint="eastAsia" w:ascii="宋体" w:hAnsi="宋体" w:eastAsia="宋体" w:cs="宋体"/>
          <w:sz w:val="32"/>
          <w:szCs w:val="32"/>
        </w:rPr>
      </w:pPr>
      <w:r>
        <w:rPr>
          <w:rFonts w:hint="eastAsia" w:ascii="宋体" w:hAnsi="宋体" w:eastAsia="宋体" w:cs="宋体"/>
          <w:sz w:val="32"/>
          <w:szCs w:val="32"/>
        </w:rPr>
        <w:t>补充协议</w:t>
      </w:r>
    </w:p>
    <w:p w14:paraId="7298DC05">
      <w:pPr>
        <w:spacing w:before="156" w:after="156" w:line="360" w:lineRule="auto"/>
        <w:ind w:firstLine="411"/>
        <w:rPr>
          <w:rFonts w:hint="eastAsia" w:ascii="宋体" w:hAnsi="宋体" w:eastAsia="宋体" w:cs="宋体"/>
          <w:sz w:val="30"/>
          <w:szCs w:val="30"/>
        </w:rPr>
      </w:pPr>
    </w:p>
    <w:p w14:paraId="07DD9C56">
      <w:pPr>
        <w:spacing w:before="156" w:after="156" w:line="360" w:lineRule="auto"/>
        <w:ind w:firstLine="561" w:firstLineChars="187"/>
        <w:rPr>
          <w:rFonts w:hint="eastAsia" w:ascii="宋体" w:hAnsi="宋体" w:eastAsia="宋体" w:cs="宋体"/>
          <w:sz w:val="30"/>
          <w:szCs w:val="30"/>
        </w:rPr>
      </w:pPr>
      <w:r>
        <w:rPr>
          <w:rFonts w:hint="eastAsia" w:ascii="宋体" w:hAnsi="宋体" w:eastAsia="宋体" w:cs="宋体"/>
          <w:sz w:val="30"/>
          <w:szCs w:val="30"/>
        </w:rPr>
        <w:t>本补充协议由：</w:t>
      </w:r>
    </w:p>
    <w:p w14:paraId="2AFDE815">
      <w:pPr>
        <w:spacing w:before="156" w:after="156" w:line="360" w:lineRule="auto"/>
        <w:ind w:firstLine="561" w:firstLineChars="187"/>
        <w:rPr>
          <w:rFonts w:hint="eastAsia" w:ascii="宋体" w:hAnsi="宋体" w:eastAsia="宋体" w:cs="宋体"/>
          <w:sz w:val="30"/>
          <w:szCs w:val="30"/>
        </w:rPr>
      </w:pPr>
      <w:r>
        <w:rPr>
          <w:rFonts w:hint="eastAsia" w:ascii="宋体" w:hAnsi="宋体" w:eastAsia="宋体" w:cs="宋体"/>
          <w:sz w:val="30"/>
          <w:szCs w:val="30"/>
        </w:rPr>
        <w:t>甲方______________________________，作为“发行方”；</w:t>
      </w:r>
    </w:p>
    <w:p w14:paraId="62BAD0BF">
      <w:pPr>
        <w:spacing w:before="156" w:after="156" w:line="360" w:lineRule="auto"/>
        <w:ind w:firstLine="561" w:firstLineChars="187"/>
        <w:rPr>
          <w:rFonts w:hint="eastAsia" w:ascii="宋体" w:hAnsi="宋体" w:eastAsia="宋体" w:cs="宋体"/>
          <w:sz w:val="30"/>
          <w:szCs w:val="30"/>
        </w:rPr>
      </w:pPr>
      <w:r>
        <w:rPr>
          <w:rFonts w:hint="eastAsia" w:ascii="宋体" w:hAnsi="宋体" w:eastAsia="宋体" w:cs="宋体"/>
          <w:sz w:val="30"/>
          <w:szCs w:val="30"/>
        </w:rPr>
        <w:t>乙方______________________________，作为________；</w:t>
      </w:r>
    </w:p>
    <w:p w14:paraId="07B8F570">
      <w:pPr>
        <w:spacing w:before="156" w:after="156" w:line="360" w:lineRule="auto"/>
        <w:ind w:firstLine="561" w:firstLineChars="187"/>
        <w:rPr>
          <w:rFonts w:hint="eastAsia" w:ascii="宋体" w:hAnsi="宋体" w:eastAsia="宋体" w:cs="宋体"/>
          <w:sz w:val="30"/>
          <w:szCs w:val="30"/>
        </w:rPr>
      </w:pPr>
      <w:r>
        <w:rPr>
          <w:rFonts w:hint="eastAsia" w:ascii="宋体" w:hAnsi="宋体" w:eastAsia="宋体" w:cs="宋体"/>
          <w:sz w:val="30"/>
          <w:szCs w:val="30"/>
        </w:rPr>
        <w:t>丙方（若有）______________________，作为________；</w:t>
      </w:r>
    </w:p>
    <w:p w14:paraId="12DA0095">
      <w:pPr>
        <w:spacing w:before="156" w:after="156" w:line="360" w:lineRule="auto"/>
        <w:ind w:firstLine="561" w:firstLineChars="187"/>
        <w:rPr>
          <w:rFonts w:hint="eastAsia" w:ascii="宋体" w:hAnsi="宋体" w:eastAsia="宋体" w:cs="宋体"/>
          <w:sz w:val="30"/>
          <w:szCs w:val="30"/>
        </w:rPr>
      </w:pPr>
      <w:r>
        <w:rPr>
          <w:rFonts w:hint="eastAsia" w:ascii="宋体" w:hAnsi="宋体" w:eastAsia="宋体" w:cs="宋体"/>
          <w:sz w:val="30"/>
          <w:szCs w:val="30"/>
        </w:rPr>
        <w:t>于________年________月__________日签署并生效。</w:t>
      </w:r>
    </w:p>
    <w:p w14:paraId="79F00749">
      <w:pPr>
        <w:spacing w:before="156" w:after="156" w:line="360" w:lineRule="auto"/>
        <w:ind w:firstLine="411"/>
        <w:rPr>
          <w:rFonts w:hint="eastAsia" w:ascii="宋体" w:hAnsi="宋体" w:eastAsia="宋体" w:cs="宋体"/>
          <w:sz w:val="30"/>
          <w:szCs w:val="30"/>
        </w:rPr>
      </w:pPr>
    </w:p>
    <w:p w14:paraId="2D1D4D98">
      <w:pPr>
        <w:spacing w:before="156" w:after="156"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鉴于上述各方均已于_______年________月__________日签署《银行间债券市场非金融企业债务融资工具承销协议》（简称《承销协议》），为进一步明确各方权利义务，各方在承销协议基础上签署本补充协议，对下列事项做出补充或具体约定。</w:t>
      </w:r>
    </w:p>
    <w:p w14:paraId="1037FCA8">
      <w:pPr>
        <w:spacing w:before="156" w:after="156" w:line="360" w:lineRule="auto"/>
        <w:ind w:firstLine="411"/>
        <w:rPr>
          <w:rFonts w:hint="eastAsia" w:ascii="宋体" w:hAnsi="宋体" w:eastAsia="宋体" w:cs="宋体"/>
          <w:sz w:val="30"/>
          <w:szCs w:val="30"/>
        </w:rPr>
      </w:pPr>
      <w:r>
        <w:rPr>
          <w:rFonts w:hint="eastAsia" w:ascii="宋体" w:hAnsi="宋体" w:eastAsia="宋体" w:cs="宋体"/>
          <w:sz w:val="30"/>
          <w:szCs w:val="30"/>
        </w:rPr>
        <w:t>本补充协议中的一项定义的含义与《承销协议》中的相同定义的含义相同，但本补充协议对该定义的含义另有约定的除外。</w:t>
      </w:r>
    </w:p>
    <w:p w14:paraId="0EAAF52A">
      <w:pPr>
        <w:spacing w:before="156" w:after="156" w:line="360" w:lineRule="auto"/>
        <w:ind w:firstLine="411"/>
        <w:rPr>
          <w:rFonts w:hint="eastAsia" w:ascii="宋体" w:hAnsi="宋体" w:eastAsia="宋体" w:cs="宋体"/>
          <w:sz w:val="30"/>
          <w:szCs w:val="30"/>
        </w:rPr>
      </w:pPr>
      <w:r>
        <w:rPr>
          <w:rFonts w:hint="eastAsia" w:ascii="宋体" w:hAnsi="宋体" w:eastAsia="宋体" w:cs="宋体"/>
          <w:sz w:val="30"/>
          <w:szCs w:val="30"/>
        </w:rPr>
        <w:t>一、《承销协议》第    条第         款修改为：</w:t>
      </w:r>
    </w:p>
    <w:p w14:paraId="275FF5F0">
      <w:pPr>
        <w:spacing w:before="156" w:after="156" w:line="360" w:lineRule="auto"/>
        <w:ind w:firstLine="411"/>
        <w:rPr>
          <w:rFonts w:hint="eastAsia" w:ascii="宋体" w:hAnsi="宋体" w:eastAsia="宋体" w:cs="宋体"/>
          <w:sz w:val="30"/>
          <w:szCs w:val="30"/>
        </w:rPr>
      </w:pPr>
    </w:p>
    <w:p w14:paraId="78B5CCFE">
      <w:pPr>
        <w:spacing w:before="156" w:after="156" w:line="360" w:lineRule="auto"/>
        <w:ind w:firstLine="411"/>
        <w:rPr>
          <w:rFonts w:hint="eastAsia" w:ascii="宋体" w:hAnsi="宋体" w:eastAsia="宋体" w:cs="宋体"/>
          <w:sz w:val="30"/>
          <w:szCs w:val="30"/>
        </w:rPr>
      </w:pPr>
      <w:r>
        <w:rPr>
          <w:rFonts w:hint="eastAsia" w:ascii="宋体" w:hAnsi="宋体" w:eastAsia="宋体" w:cs="宋体"/>
          <w:sz w:val="30"/>
          <w:szCs w:val="30"/>
        </w:rPr>
        <w:t>二、其他补充约定：</w:t>
      </w:r>
    </w:p>
    <w:p w14:paraId="72D160A9">
      <w:pPr>
        <w:pStyle w:val="24"/>
        <w:spacing w:before="156" w:after="156" w:line="360" w:lineRule="auto"/>
        <w:ind w:firstLine="480"/>
        <w:rPr>
          <w:rFonts w:hint="eastAsia" w:ascii="宋体" w:hAnsi="宋体" w:eastAsia="宋体" w:cs="宋体"/>
          <w:b/>
          <w:sz w:val="30"/>
          <w:szCs w:val="30"/>
        </w:rPr>
      </w:pPr>
      <w:r>
        <w:rPr>
          <w:rFonts w:hint="eastAsia" w:ascii="宋体" w:hAnsi="宋体" w:eastAsia="宋体" w:cs="宋体"/>
          <w:sz w:val="30"/>
          <w:szCs w:val="30"/>
        </w:rPr>
        <w:t>___________________________。</w:t>
      </w:r>
      <w:r>
        <w:rPr>
          <w:rFonts w:hint="eastAsia" w:ascii="宋体" w:hAnsi="宋体" w:eastAsia="宋体" w:cs="宋体"/>
          <w:sz w:val="30"/>
          <w:szCs w:val="30"/>
        </w:rPr>
        <w:br w:type="page"/>
      </w:r>
      <w:r>
        <w:rPr>
          <w:rFonts w:hint="eastAsia" w:ascii="宋体" w:hAnsi="宋体" w:eastAsia="宋体" w:cs="宋体"/>
          <w:sz w:val="30"/>
          <w:szCs w:val="30"/>
        </w:rPr>
        <w:t>（本页为_____公司非金融企业债务融资工具承销协议补充协议之签署页）</w:t>
      </w:r>
    </w:p>
    <w:p w14:paraId="61E525B3">
      <w:pPr>
        <w:spacing w:before="156" w:after="156" w:line="360" w:lineRule="auto"/>
        <w:ind w:firstLine="411"/>
        <w:rPr>
          <w:rFonts w:hint="eastAsia" w:ascii="宋体" w:hAnsi="宋体" w:eastAsia="宋体" w:cs="宋体"/>
          <w:sz w:val="30"/>
          <w:szCs w:val="30"/>
        </w:rPr>
      </w:pPr>
    </w:p>
    <w:p w14:paraId="66D311CB">
      <w:pPr>
        <w:spacing w:before="156" w:after="156" w:line="360" w:lineRule="auto"/>
        <w:ind w:firstLine="411"/>
        <w:rPr>
          <w:rFonts w:hint="eastAsia" w:ascii="宋体" w:hAnsi="宋体" w:eastAsia="宋体" w:cs="宋体"/>
          <w:sz w:val="30"/>
          <w:szCs w:val="30"/>
        </w:rPr>
      </w:pPr>
      <w:r>
        <w:rPr>
          <w:rFonts w:hint="eastAsia" w:ascii="宋体" w:hAnsi="宋体" w:eastAsia="宋体" w:cs="宋体"/>
          <w:sz w:val="30"/>
          <w:szCs w:val="30"/>
        </w:rPr>
        <w:t>甲方/发行方：</w:t>
      </w:r>
      <w:r>
        <w:rPr>
          <w:rFonts w:hint="eastAsia" w:ascii="宋体" w:hAnsi="宋体" w:eastAsia="宋体" w:cs="宋体"/>
          <w:b/>
          <w:sz w:val="30"/>
          <w:szCs w:val="30"/>
        </w:rPr>
        <w:t xml:space="preserve">          </w:t>
      </w:r>
      <w:r>
        <w:rPr>
          <w:rFonts w:hint="eastAsia" w:ascii="宋体" w:hAnsi="宋体" w:eastAsia="宋体" w:cs="宋体"/>
          <w:sz w:val="30"/>
          <w:szCs w:val="30"/>
        </w:rPr>
        <w:t>（公章）</w:t>
      </w:r>
    </w:p>
    <w:p w14:paraId="0D8E62F6">
      <w:pPr>
        <w:spacing w:before="156" w:after="156" w:line="360" w:lineRule="auto"/>
        <w:ind w:firstLine="411"/>
        <w:rPr>
          <w:rFonts w:hint="eastAsia" w:ascii="宋体" w:hAnsi="宋体" w:eastAsia="宋体" w:cs="宋体"/>
          <w:sz w:val="30"/>
          <w:szCs w:val="30"/>
        </w:rPr>
      </w:pPr>
    </w:p>
    <w:p w14:paraId="2FCB3620">
      <w:pPr>
        <w:spacing w:before="156" w:after="156" w:line="360" w:lineRule="auto"/>
        <w:ind w:firstLine="411"/>
        <w:rPr>
          <w:rFonts w:hint="eastAsia" w:ascii="宋体" w:hAnsi="宋体" w:eastAsia="宋体" w:cs="宋体"/>
          <w:sz w:val="30"/>
          <w:szCs w:val="30"/>
        </w:rPr>
      </w:pPr>
    </w:p>
    <w:p w14:paraId="34979846">
      <w:pPr>
        <w:spacing w:before="156" w:after="156" w:line="360" w:lineRule="auto"/>
        <w:ind w:firstLine="411"/>
        <w:rPr>
          <w:rFonts w:hint="eastAsia" w:ascii="宋体" w:hAnsi="宋体" w:eastAsia="宋体" w:cs="宋体"/>
          <w:sz w:val="30"/>
          <w:szCs w:val="30"/>
        </w:rPr>
      </w:pPr>
    </w:p>
    <w:p w14:paraId="77A2BE6E">
      <w:pPr>
        <w:spacing w:before="156" w:after="156" w:line="360" w:lineRule="auto"/>
        <w:ind w:firstLine="411"/>
        <w:rPr>
          <w:rFonts w:hint="eastAsia" w:ascii="宋体" w:hAnsi="宋体" w:eastAsia="宋体" w:cs="宋体"/>
          <w:sz w:val="30"/>
          <w:szCs w:val="30"/>
        </w:rPr>
      </w:pPr>
    </w:p>
    <w:p w14:paraId="32221DB0">
      <w:pPr>
        <w:spacing w:before="156" w:after="156" w:line="360" w:lineRule="auto"/>
        <w:ind w:firstLine="411"/>
        <w:rPr>
          <w:rFonts w:hint="eastAsia" w:ascii="宋体" w:hAnsi="宋体" w:eastAsia="宋体" w:cs="宋体"/>
          <w:sz w:val="30"/>
          <w:szCs w:val="30"/>
        </w:rPr>
      </w:pPr>
      <w:r>
        <w:rPr>
          <w:rFonts w:hint="eastAsia" w:ascii="宋体" w:hAnsi="宋体" w:eastAsia="宋体" w:cs="宋体"/>
          <w:sz w:val="30"/>
          <w:szCs w:val="30"/>
        </w:rPr>
        <w:t>法定代表人或授权代表人 （签字）</w:t>
      </w:r>
    </w:p>
    <w:p w14:paraId="0DD74DC2">
      <w:pPr>
        <w:spacing w:before="156" w:after="156" w:line="360" w:lineRule="auto"/>
        <w:ind w:firstLine="1560" w:firstLineChars="520"/>
        <w:rPr>
          <w:rFonts w:hint="eastAsia" w:ascii="宋体" w:hAnsi="宋体" w:eastAsia="宋体" w:cs="宋体"/>
          <w:sz w:val="30"/>
          <w:szCs w:val="30"/>
        </w:rPr>
      </w:pPr>
      <w:r>
        <w:rPr>
          <w:rFonts w:hint="eastAsia" w:ascii="宋体" w:hAnsi="宋体" w:eastAsia="宋体" w:cs="宋体"/>
          <w:sz w:val="30"/>
          <w:szCs w:val="30"/>
        </w:rPr>
        <w:t>年    月     日</w:t>
      </w:r>
    </w:p>
    <w:p w14:paraId="7CB6FA4C">
      <w:pPr>
        <w:pStyle w:val="24"/>
        <w:spacing w:before="156" w:after="156" w:line="360" w:lineRule="auto"/>
        <w:ind w:firstLine="480"/>
        <w:rPr>
          <w:rFonts w:hint="eastAsia" w:ascii="宋体" w:hAnsi="宋体" w:eastAsia="宋体" w:cs="宋体"/>
          <w:b/>
          <w:sz w:val="30"/>
          <w:szCs w:val="30"/>
        </w:rPr>
      </w:pPr>
      <w:r>
        <w:rPr>
          <w:rFonts w:hint="eastAsia" w:ascii="宋体" w:hAnsi="宋体" w:eastAsia="宋体" w:cs="宋体"/>
          <w:sz w:val="30"/>
          <w:szCs w:val="30"/>
        </w:rPr>
        <w:br w:type="page"/>
      </w:r>
      <w:r>
        <w:rPr>
          <w:rFonts w:hint="eastAsia" w:ascii="宋体" w:hAnsi="宋体" w:eastAsia="宋体" w:cs="宋体"/>
          <w:sz w:val="30"/>
          <w:szCs w:val="30"/>
        </w:rPr>
        <w:t>（本页为_____公司非金融企业债务融资工具承销协议补充协议之签署页）</w:t>
      </w:r>
    </w:p>
    <w:p w14:paraId="7B73E020">
      <w:pPr>
        <w:spacing w:before="156" w:after="156" w:line="360" w:lineRule="auto"/>
        <w:ind w:firstLine="411"/>
        <w:rPr>
          <w:rFonts w:hint="eastAsia" w:ascii="宋体" w:hAnsi="宋体" w:eastAsia="宋体" w:cs="宋体"/>
          <w:sz w:val="30"/>
          <w:szCs w:val="30"/>
        </w:rPr>
      </w:pPr>
      <w:r>
        <w:rPr>
          <w:rFonts w:hint="eastAsia" w:ascii="宋体" w:hAnsi="宋体" w:eastAsia="宋体" w:cs="宋体"/>
          <w:sz w:val="30"/>
          <w:szCs w:val="30"/>
        </w:rPr>
        <w:t>乙方/承销方:           （公章）</w:t>
      </w:r>
    </w:p>
    <w:p w14:paraId="63308E7C">
      <w:pPr>
        <w:spacing w:before="156" w:after="156" w:line="360" w:lineRule="auto"/>
        <w:ind w:firstLine="411"/>
        <w:rPr>
          <w:rFonts w:hint="eastAsia" w:ascii="宋体" w:hAnsi="宋体" w:eastAsia="宋体" w:cs="宋体"/>
          <w:sz w:val="30"/>
          <w:szCs w:val="30"/>
        </w:rPr>
      </w:pPr>
    </w:p>
    <w:p w14:paraId="3DE8965C">
      <w:pPr>
        <w:spacing w:before="156" w:after="156" w:line="360" w:lineRule="auto"/>
        <w:ind w:firstLine="411"/>
        <w:rPr>
          <w:rFonts w:hint="eastAsia" w:ascii="宋体" w:hAnsi="宋体" w:eastAsia="宋体" w:cs="宋体"/>
          <w:sz w:val="30"/>
          <w:szCs w:val="30"/>
        </w:rPr>
      </w:pPr>
    </w:p>
    <w:p w14:paraId="3DE55476">
      <w:pPr>
        <w:spacing w:before="156" w:after="156" w:line="360" w:lineRule="auto"/>
        <w:ind w:firstLine="411"/>
        <w:rPr>
          <w:rFonts w:hint="eastAsia" w:ascii="宋体" w:hAnsi="宋体" w:eastAsia="宋体" w:cs="宋体"/>
          <w:sz w:val="30"/>
          <w:szCs w:val="30"/>
        </w:rPr>
      </w:pPr>
    </w:p>
    <w:p w14:paraId="7CBEB13F">
      <w:pPr>
        <w:spacing w:before="156" w:after="156" w:line="360" w:lineRule="auto"/>
        <w:ind w:firstLine="411"/>
        <w:rPr>
          <w:rFonts w:hint="eastAsia" w:ascii="宋体" w:hAnsi="宋体" w:eastAsia="宋体" w:cs="宋体"/>
          <w:sz w:val="30"/>
          <w:szCs w:val="30"/>
        </w:rPr>
      </w:pPr>
    </w:p>
    <w:p w14:paraId="16DCB640">
      <w:pPr>
        <w:spacing w:before="156" w:after="156" w:line="360" w:lineRule="auto"/>
        <w:ind w:firstLine="411"/>
        <w:rPr>
          <w:rFonts w:hint="eastAsia" w:ascii="宋体" w:hAnsi="宋体" w:eastAsia="宋体" w:cs="宋体"/>
          <w:sz w:val="30"/>
          <w:szCs w:val="30"/>
        </w:rPr>
      </w:pPr>
      <w:r>
        <w:rPr>
          <w:rFonts w:hint="eastAsia" w:ascii="宋体" w:hAnsi="宋体" w:eastAsia="宋体" w:cs="宋体"/>
          <w:sz w:val="30"/>
          <w:szCs w:val="30"/>
        </w:rPr>
        <w:t>法定代表人或授权代表人 （签字）</w:t>
      </w:r>
    </w:p>
    <w:p w14:paraId="3B13F686">
      <w:pPr>
        <w:spacing w:before="156" w:after="156" w:line="360" w:lineRule="auto"/>
        <w:ind w:firstLine="1410" w:firstLineChars="470"/>
        <w:rPr>
          <w:rFonts w:hint="eastAsia" w:ascii="宋体" w:hAnsi="宋体" w:eastAsia="宋体" w:cs="宋体"/>
          <w:sz w:val="30"/>
          <w:szCs w:val="30"/>
        </w:rPr>
      </w:pPr>
      <w:r>
        <w:rPr>
          <w:rFonts w:hint="eastAsia" w:ascii="宋体" w:hAnsi="宋体" w:eastAsia="宋体" w:cs="宋体"/>
          <w:sz w:val="30"/>
          <w:szCs w:val="30"/>
        </w:rPr>
        <w:t>年    月     日</w:t>
      </w:r>
    </w:p>
    <w:p w14:paraId="26637E30">
      <w:pPr>
        <w:widowControl/>
        <w:rPr>
          <w:rFonts w:hint="eastAsia" w:ascii="宋体" w:hAnsi="宋体" w:eastAsia="宋体" w:cs="宋体"/>
          <w:sz w:val="30"/>
          <w:szCs w:val="30"/>
        </w:rPr>
      </w:pPr>
      <w:r>
        <w:rPr>
          <w:rFonts w:hint="eastAsia" w:ascii="宋体" w:hAnsi="宋体" w:eastAsia="宋体" w:cs="宋体"/>
          <w:sz w:val="30"/>
          <w:szCs w:val="30"/>
        </w:rPr>
        <w:br w:type="page"/>
      </w:r>
      <w:r>
        <w:rPr>
          <w:rFonts w:hint="eastAsia" w:ascii="宋体" w:hAnsi="宋体" w:eastAsia="宋体" w:cs="宋体"/>
          <w:sz w:val="30"/>
          <w:szCs w:val="30"/>
        </w:rPr>
        <w:t>（本页为_____公司非金融企业债务融资工具承销协议补充协议之签署页）</w:t>
      </w:r>
    </w:p>
    <w:p w14:paraId="300CDC32">
      <w:pPr>
        <w:spacing w:before="156" w:after="156" w:line="360" w:lineRule="auto"/>
        <w:ind w:firstLine="411"/>
        <w:rPr>
          <w:rFonts w:hint="eastAsia" w:ascii="宋体" w:hAnsi="宋体" w:eastAsia="宋体" w:cs="宋体"/>
          <w:sz w:val="30"/>
          <w:szCs w:val="30"/>
        </w:rPr>
      </w:pPr>
      <w:r>
        <w:rPr>
          <w:rFonts w:hint="eastAsia" w:ascii="宋体" w:hAnsi="宋体" w:eastAsia="宋体" w:cs="宋体"/>
          <w:sz w:val="30"/>
          <w:szCs w:val="30"/>
        </w:rPr>
        <w:t>丙方/承销方（若有）:    （公章）</w:t>
      </w:r>
    </w:p>
    <w:p w14:paraId="086702EA">
      <w:pPr>
        <w:spacing w:before="156" w:after="156" w:line="360" w:lineRule="auto"/>
        <w:ind w:firstLine="411"/>
        <w:rPr>
          <w:rFonts w:hint="eastAsia" w:ascii="宋体" w:hAnsi="宋体" w:eastAsia="宋体" w:cs="宋体"/>
          <w:sz w:val="30"/>
          <w:szCs w:val="30"/>
        </w:rPr>
      </w:pPr>
    </w:p>
    <w:p w14:paraId="431DD39C">
      <w:pPr>
        <w:spacing w:before="156" w:after="156" w:line="360" w:lineRule="auto"/>
        <w:ind w:firstLine="411"/>
        <w:rPr>
          <w:rFonts w:hint="eastAsia" w:ascii="宋体" w:hAnsi="宋体" w:eastAsia="宋体" w:cs="宋体"/>
          <w:sz w:val="30"/>
          <w:szCs w:val="30"/>
        </w:rPr>
      </w:pPr>
    </w:p>
    <w:p w14:paraId="07E86B8E">
      <w:pPr>
        <w:spacing w:before="156" w:after="156" w:line="360" w:lineRule="auto"/>
        <w:ind w:firstLine="411"/>
        <w:rPr>
          <w:rFonts w:hint="eastAsia" w:ascii="宋体" w:hAnsi="宋体" w:eastAsia="宋体" w:cs="宋体"/>
          <w:sz w:val="30"/>
          <w:szCs w:val="30"/>
        </w:rPr>
      </w:pPr>
    </w:p>
    <w:p w14:paraId="51AC5D3B">
      <w:pPr>
        <w:spacing w:before="156" w:after="156" w:line="360" w:lineRule="auto"/>
        <w:ind w:firstLine="411"/>
        <w:rPr>
          <w:rFonts w:hint="eastAsia" w:ascii="宋体" w:hAnsi="宋体" w:eastAsia="宋体" w:cs="宋体"/>
          <w:sz w:val="30"/>
          <w:szCs w:val="30"/>
        </w:rPr>
      </w:pPr>
    </w:p>
    <w:p w14:paraId="1D090EE4">
      <w:pPr>
        <w:spacing w:before="156" w:after="156" w:line="360" w:lineRule="auto"/>
        <w:ind w:firstLine="411"/>
        <w:rPr>
          <w:rFonts w:hint="eastAsia" w:ascii="宋体" w:hAnsi="宋体" w:eastAsia="宋体" w:cs="宋体"/>
          <w:sz w:val="30"/>
          <w:szCs w:val="30"/>
        </w:rPr>
      </w:pPr>
      <w:r>
        <w:rPr>
          <w:rFonts w:hint="eastAsia" w:ascii="宋体" w:hAnsi="宋体" w:eastAsia="宋体" w:cs="宋体"/>
          <w:sz w:val="30"/>
          <w:szCs w:val="30"/>
        </w:rPr>
        <w:t>法定代表人或授权代表人  （签字）</w:t>
      </w:r>
    </w:p>
    <w:p w14:paraId="7AED25A9">
      <w:pPr>
        <w:spacing w:before="156" w:after="156" w:line="360" w:lineRule="auto"/>
        <w:ind w:firstLine="1410" w:firstLineChars="470"/>
        <w:rPr>
          <w:rFonts w:hint="eastAsia" w:ascii="宋体" w:hAnsi="宋体" w:eastAsia="宋体" w:cs="宋体"/>
          <w:sz w:val="30"/>
          <w:szCs w:val="30"/>
        </w:rPr>
      </w:pPr>
      <w:r>
        <w:rPr>
          <w:rFonts w:hint="eastAsia" w:ascii="宋体" w:hAnsi="宋体" w:eastAsia="宋体" w:cs="宋体"/>
          <w:sz w:val="30"/>
          <w:szCs w:val="30"/>
        </w:rPr>
        <w:t>年    月     日</w:t>
      </w:r>
    </w:p>
    <w:p w14:paraId="2370A77C">
      <w:pPr>
        <w:pStyle w:val="24"/>
        <w:spacing w:before="156" w:after="156" w:line="360" w:lineRule="auto"/>
        <w:ind w:firstLine="0"/>
        <w:jc w:val="center"/>
        <w:rPr>
          <w:rFonts w:hint="eastAsia" w:ascii="宋体" w:hAnsi="宋体" w:eastAsia="宋体" w:cs="宋体"/>
          <w:sz w:val="30"/>
          <w:szCs w:val="30"/>
        </w:rPr>
      </w:pPr>
    </w:p>
    <w:p w14:paraId="4787B927">
      <w:pPr>
        <w:spacing w:before="156" w:after="156" w:line="360" w:lineRule="auto"/>
        <w:rPr>
          <w:rFonts w:hint="eastAsia" w:ascii="宋体" w:hAnsi="宋体" w:eastAsia="宋体" w:cs="宋体"/>
          <w:b/>
          <w:spacing w:val="20"/>
          <w:sz w:val="32"/>
          <w:szCs w:val="32"/>
        </w:rPr>
      </w:pPr>
    </w:p>
    <w:p w14:paraId="32CB4764">
      <w:pPr>
        <w:spacing w:line="560" w:lineRule="exact"/>
        <w:rPr>
          <w:rFonts w:hint="eastAsia" w:ascii="宋体" w:hAnsi="宋体" w:eastAsia="宋体" w:cs="宋体"/>
          <w:sz w:val="30"/>
          <w:szCs w:val="30"/>
        </w:rPr>
      </w:pPr>
    </w:p>
    <w:p w14:paraId="2ADF1444">
      <w:pPr>
        <w:spacing w:line="560" w:lineRule="exact"/>
        <w:rPr>
          <w:rFonts w:hint="eastAsia" w:ascii="宋体" w:hAnsi="宋体" w:eastAsia="宋体" w:cs="宋体"/>
          <w:sz w:val="30"/>
          <w:szCs w:val="30"/>
        </w:rPr>
      </w:pPr>
    </w:p>
    <w:p w14:paraId="458AB807">
      <w:pPr>
        <w:spacing w:line="560" w:lineRule="exact"/>
        <w:rPr>
          <w:rFonts w:hint="eastAsia" w:ascii="宋体" w:hAnsi="宋体" w:eastAsia="宋体" w:cs="宋体"/>
          <w:sz w:val="30"/>
          <w:szCs w:val="30"/>
        </w:rPr>
      </w:pPr>
    </w:p>
    <w:p w14:paraId="0AD9EB54">
      <w:pPr>
        <w:spacing w:line="560" w:lineRule="exact"/>
        <w:rPr>
          <w:rFonts w:hint="eastAsia" w:ascii="宋体" w:hAnsi="宋体" w:eastAsia="宋体" w:cs="宋体"/>
          <w:sz w:val="30"/>
          <w:szCs w:val="30"/>
        </w:rPr>
      </w:pPr>
    </w:p>
    <w:p w14:paraId="5C0A4EFF">
      <w:pPr>
        <w:spacing w:line="560" w:lineRule="exact"/>
        <w:rPr>
          <w:rFonts w:hint="eastAsia" w:ascii="宋体" w:hAnsi="宋体" w:eastAsia="宋体" w:cs="宋体"/>
          <w:sz w:val="30"/>
          <w:szCs w:val="30"/>
        </w:rPr>
      </w:pPr>
    </w:p>
    <w:p w14:paraId="7094B600">
      <w:pPr>
        <w:spacing w:line="560" w:lineRule="exact"/>
        <w:rPr>
          <w:rFonts w:hint="eastAsia" w:ascii="宋体" w:hAnsi="宋体" w:eastAsia="宋体" w:cs="宋体"/>
          <w:sz w:val="30"/>
          <w:szCs w:val="30"/>
        </w:rPr>
      </w:pPr>
    </w:p>
    <w:p w14:paraId="1F665256">
      <w:pPr>
        <w:spacing w:line="560" w:lineRule="exact"/>
        <w:rPr>
          <w:rFonts w:hint="eastAsia" w:ascii="宋体" w:hAnsi="宋体" w:eastAsia="宋体" w:cs="宋体"/>
          <w:sz w:val="30"/>
          <w:szCs w:val="30"/>
        </w:rPr>
      </w:pPr>
    </w:p>
    <w:p w14:paraId="0046A154">
      <w:pPr>
        <w:spacing w:line="560" w:lineRule="exact"/>
        <w:rPr>
          <w:rFonts w:hint="eastAsia" w:ascii="宋体" w:hAnsi="宋体" w:eastAsia="宋体" w:cs="宋体"/>
          <w:sz w:val="30"/>
          <w:szCs w:val="30"/>
        </w:rPr>
      </w:pPr>
    </w:p>
    <w:p w14:paraId="46E4ABEA">
      <w:pPr>
        <w:spacing w:line="560" w:lineRule="exact"/>
        <w:rPr>
          <w:rFonts w:hint="eastAsia" w:ascii="宋体" w:hAnsi="宋体" w:eastAsia="宋体" w:cs="宋体"/>
          <w:sz w:val="30"/>
          <w:szCs w:val="30"/>
        </w:rPr>
      </w:pPr>
    </w:p>
    <w:p w14:paraId="55334703">
      <w:pPr>
        <w:spacing w:before="156" w:after="156" w:line="360" w:lineRule="auto"/>
        <w:rPr>
          <w:rFonts w:hint="eastAsia" w:ascii="宋体" w:hAnsi="宋体" w:eastAsia="宋体" w:cs="宋体"/>
          <w:b/>
          <w:spacing w:val="20"/>
          <w:sz w:val="28"/>
          <w:szCs w:val="28"/>
        </w:rPr>
      </w:pPr>
    </w:p>
    <w:p w14:paraId="6D7A909D">
      <w:pPr>
        <w:widowControl/>
        <w:jc w:val="left"/>
        <w:rPr>
          <w:rFonts w:hint="eastAsia" w:ascii="宋体" w:hAnsi="宋体"/>
          <w:color w:val="auto"/>
          <w:sz w:val="22"/>
          <w:szCs w:val="22"/>
          <w:highlight w:val="none"/>
        </w:rPr>
      </w:pPr>
      <w:r>
        <w:rPr>
          <w:rFonts w:hint="eastAsia" w:ascii="宋体" w:hAnsi="宋体" w:eastAsia="宋体" w:cs="宋体"/>
          <w:b/>
          <w:spacing w:val="20"/>
          <w:sz w:val="44"/>
          <w:szCs w:val="44"/>
        </w:rPr>
        <w:br w:type="page"/>
      </w:r>
    </w:p>
    <w:p w14:paraId="64866DC4">
      <w:pPr>
        <w:shd w:val="clear" w:color="auto" w:fill="auto"/>
        <w:rPr>
          <w:b/>
          <w:bCs/>
          <w:color w:val="auto"/>
          <w:sz w:val="24"/>
          <w:highlight w:val="none"/>
        </w:rPr>
      </w:pPr>
    </w:p>
    <w:p w14:paraId="20AC0996">
      <w:pPr>
        <w:spacing w:line="360" w:lineRule="auto"/>
        <w:rPr>
          <w:rFonts w:hint="eastAsia" w:hAnsi="宋体"/>
          <w:b/>
          <w:bCs/>
          <w:color w:val="auto"/>
          <w:sz w:val="21"/>
          <w:szCs w:val="21"/>
          <w:highlight w:val="none"/>
        </w:rPr>
      </w:pPr>
      <w:r>
        <w:rPr>
          <w:rFonts w:hint="eastAsia"/>
          <w:b/>
          <w:bCs/>
          <w:color w:val="auto"/>
          <w:sz w:val="21"/>
          <w:szCs w:val="21"/>
          <w:highlight w:val="none"/>
        </w:rPr>
        <w:t>附件</w:t>
      </w:r>
      <w:r>
        <w:rPr>
          <w:rFonts w:hint="eastAsia"/>
          <w:b/>
          <w:bCs/>
          <w:color w:val="auto"/>
          <w:sz w:val="21"/>
          <w:szCs w:val="21"/>
          <w:highlight w:val="none"/>
          <w:lang w:val="en-US" w:eastAsia="zh-CN"/>
        </w:rPr>
        <w:t>1</w:t>
      </w:r>
      <w:r>
        <w:rPr>
          <w:rFonts w:hint="eastAsia"/>
          <w:b/>
          <w:bCs/>
          <w:color w:val="auto"/>
          <w:sz w:val="21"/>
          <w:szCs w:val="21"/>
          <w:highlight w:val="none"/>
        </w:rPr>
        <w:t>阳光合作协议</w:t>
      </w:r>
    </w:p>
    <w:p w14:paraId="300C5AC1">
      <w:pPr>
        <w:jc w:val="center"/>
        <w:rPr>
          <w:rFonts w:ascii="黑体" w:hAnsi="黑体" w:eastAsia="黑体"/>
          <w:b/>
          <w:color w:val="auto"/>
          <w:sz w:val="32"/>
          <w:szCs w:val="32"/>
          <w:highlight w:val="none"/>
        </w:rPr>
      </w:pPr>
      <w:r>
        <w:rPr>
          <w:rFonts w:hint="eastAsia" w:ascii="黑体" w:hAnsi="黑体" w:eastAsia="黑体"/>
          <w:b/>
          <w:color w:val="auto"/>
          <w:sz w:val="32"/>
          <w:szCs w:val="32"/>
          <w:highlight w:val="none"/>
        </w:rPr>
        <w:t>阳光合作协议</w:t>
      </w:r>
    </w:p>
    <w:p w14:paraId="55ADFCBB">
      <w:pPr>
        <w:spacing w:before="180" w:beforeLines="50" w:after="180" w:afterLines="50" w:line="480" w:lineRule="exact"/>
        <w:ind w:firstLine="420" w:firstLineChars="200"/>
        <w:contextualSpacing/>
        <w:rPr>
          <w:rFonts w:ascii="宋体" w:hAnsi="宋体"/>
          <w:color w:val="auto"/>
          <w:highlight w:val="none"/>
        </w:rPr>
      </w:pPr>
      <w:r>
        <w:rPr>
          <w:rFonts w:hint="eastAsia" w:ascii="宋体" w:hAnsi="宋体"/>
          <w:color w:val="auto"/>
          <w:highlight w:val="none"/>
        </w:rPr>
        <w:t>甲方（采购方全称）：</w:t>
      </w:r>
    </w:p>
    <w:p w14:paraId="32861AAA">
      <w:pPr>
        <w:spacing w:before="180" w:beforeLines="50" w:after="180" w:afterLines="50" w:line="480" w:lineRule="exact"/>
        <w:ind w:firstLine="420" w:firstLineChars="200"/>
        <w:contextualSpacing/>
        <w:rPr>
          <w:rFonts w:ascii="宋体" w:hAnsi="宋体"/>
          <w:color w:val="auto"/>
          <w:highlight w:val="none"/>
        </w:rPr>
      </w:pPr>
      <w:r>
        <w:rPr>
          <w:rFonts w:hint="eastAsia" w:ascii="宋体" w:hAnsi="宋体"/>
          <w:color w:val="auto"/>
          <w:highlight w:val="none"/>
        </w:rPr>
        <w:t>乙方（供应方全称）：</w:t>
      </w:r>
    </w:p>
    <w:p w14:paraId="38C8ED7A">
      <w:pPr>
        <w:spacing w:before="180" w:beforeLines="50" w:after="180" w:afterLines="50"/>
        <w:ind w:firstLine="420" w:firstLineChars="200"/>
        <w:contextualSpacing/>
        <w:rPr>
          <w:rFonts w:hint="eastAsia" w:ascii="宋体" w:hAnsi="宋体"/>
          <w:color w:val="auto"/>
          <w:highlight w:val="none"/>
        </w:rPr>
      </w:pPr>
    </w:p>
    <w:p w14:paraId="1CDFF22D">
      <w:pPr>
        <w:spacing w:before="180" w:beforeLines="50" w:after="180" w:afterLines="50"/>
        <w:ind w:firstLine="420" w:firstLineChars="200"/>
        <w:contextualSpacing/>
        <w:rPr>
          <w:rFonts w:ascii="宋体"/>
          <w:color w:val="auto"/>
          <w:highlight w:val="none"/>
        </w:rPr>
      </w:pPr>
      <w:r>
        <w:rPr>
          <w:rFonts w:hint="eastAsia" w:ascii="宋体" w:hAnsi="宋体"/>
          <w:color w:val="auto"/>
          <w:highlight w:val="none"/>
        </w:rPr>
        <w:t>甲乙双方于202</w:t>
      </w:r>
      <w:r>
        <w:rPr>
          <w:rFonts w:hint="eastAsia" w:ascii="宋体" w:hAnsi="宋体"/>
          <w:color w:val="auto"/>
          <w:highlight w:val="none"/>
          <w:lang w:val="en-US" w:eastAsia="zh-CN"/>
        </w:rPr>
        <w:t>4</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日签署了</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项目合同（以下简称原合同），为加强双方阳光合作，保证职员职业安全，甲乙双方经协商签订本协议并作为双方共同遵守的阳光合作行为准则。</w:t>
      </w:r>
    </w:p>
    <w:p w14:paraId="02BCAEF2">
      <w:pPr>
        <w:spacing w:before="180" w:beforeLines="50" w:after="180" w:afterLines="50"/>
        <w:ind w:left="420" w:leftChars="200"/>
        <w:contextualSpacing/>
        <w:rPr>
          <w:rFonts w:ascii="宋体" w:hAnsi="宋体"/>
          <w:b/>
          <w:color w:val="auto"/>
          <w:highlight w:val="none"/>
        </w:rPr>
      </w:pPr>
      <w:r>
        <w:rPr>
          <w:rFonts w:hint="eastAsia" w:ascii="宋体" w:hAnsi="宋体"/>
          <w:b/>
          <w:color w:val="auto"/>
          <w:highlight w:val="none"/>
        </w:rPr>
        <w:t>一、甲方责任</w:t>
      </w:r>
    </w:p>
    <w:p w14:paraId="243B5CD3">
      <w:pPr>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1.甲方有责任向乙方介绍本单位有关采购管理通用原则和本协议的规定。</w:t>
      </w:r>
    </w:p>
    <w:p w14:paraId="73C5D111">
      <w:pPr>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2.甲方有责任对本单位相关人员进行阳光合作教育。</w:t>
      </w:r>
    </w:p>
    <w:p w14:paraId="20B0E58B">
      <w:pPr>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31668BDA">
      <w:pPr>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4.甲方人员如违反阳光合作管理制度及本协议规定，甲方视情节轻重、影响大小给予行政及经济处罚。</w:t>
      </w:r>
    </w:p>
    <w:p w14:paraId="3726E372">
      <w:pPr>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5．对于乙方举报甲方人员违反阳光合作规定的情况，甲方应及时进行调查，根据调查情况进行处理，并将调查结果向乙方反馈。</w:t>
      </w:r>
    </w:p>
    <w:p w14:paraId="0C690AC7">
      <w:pPr>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6.接受举报的一方应为举报方保密，不得对举报方进行报复，对举报属实和严格遵守《阳光合作协议》的合作方，在同等条件下给予后续合作的优先权。</w:t>
      </w:r>
    </w:p>
    <w:p w14:paraId="42936FBF">
      <w:pPr>
        <w:spacing w:before="180" w:beforeLines="50" w:after="180" w:afterLines="50"/>
        <w:ind w:left="420" w:leftChars="200"/>
        <w:contextualSpacing/>
        <w:rPr>
          <w:rFonts w:ascii="宋体" w:hAnsi="宋体"/>
          <w:b/>
          <w:color w:val="auto"/>
          <w:highlight w:val="none"/>
        </w:rPr>
      </w:pPr>
      <w:r>
        <w:rPr>
          <w:rFonts w:hint="eastAsia" w:ascii="宋体" w:hAnsi="宋体"/>
          <w:b/>
          <w:color w:val="auto"/>
          <w:highlight w:val="none"/>
        </w:rPr>
        <w:t>二、乙方责任</w:t>
      </w:r>
    </w:p>
    <w:p w14:paraId="0773AC6E">
      <w:pPr>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1.乙方应保证乙方人员了解甲方有关采购管理通用原则和及本协议的规定，并遵照执行。</w:t>
      </w:r>
    </w:p>
    <w:p w14:paraId="7359285C">
      <w:pPr>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2.乙方不得以任何形式给予甲方人员回扣、赠送实物、现金、有价证券、礼券等有价物品或提供旅游等其他可能影响职务行为公正履行的活动（以下统称“财物”）。</w:t>
      </w:r>
    </w:p>
    <w:p w14:paraId="57DF6115">
      <w:pPr>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3.乙方有责任接受甲方对乙方在合作期间阳光合作管理执行情况的监督，并对甲方相关调查工作主动配合。</w:t>
      </w:r>
    </w:p>
    <w:p w14:paraId="621F53E0">
      <w:pPr>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4.乙方有义务就甲方人员任何形式的索取或收受财物行为及时向甲方（直接联系人为东莞实业投资控股集团有限公司法律合规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2B2CC569">
      <w:pPr>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 xml:space="preserve">5．甲方接受乙方实名或匿名举报，保证为举报者的信息保密，常设举报部门及电话： </w:t>
      </w:r>
    </w:p>
    <w:p w14:paraId="2FFAFE37">
      <w:pPr>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举报受理部门：东莞实业投资控股集团有限公司法律合规部</w:t>
      </w:r>
    </w:p>
    <w:p w14:paraId="1B8507B3">
      <w:pPr>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东实集团举报邮箱：dgsyxf@163.com</w:t>
      </w:r>
    </w:p>
    <w:p w14:paraId="48B6011A">
      <w:pPr>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东实集团举报电话：0769-28820703（周一至周五9:00-12:00和14:00-18:00）</w:t>
      </w:r>
    </w:p>
    <w:p w14:paraId="563C0FB9">
      <w:pPr>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邮寄地址：东莞市东城区八一路1号机关二号大院9号楼，东莞实业投资控股集团有限公司法律合规部收，邮编523000。</w:t>
      </w:r>
    </w:p>
    <w:p w14:paraId="26C8AEF7">
      <w:pPr>
        <w:spacing w:before="180" w:beforeLines="50" w:after="180" w:afterLines="50"/>
        <w:ind w:left="420" w:leftChars="200"/>
        <w:contextualSpacing/>
        <w:rPr>
          <w:rFonts w:ascii="宋体" w:hAnsi="宋体"/>
          <w:b/>
          <w:color w:val="auto"/>
          <w:highlight w:val="none"/>
        </w:rPr>
      </w:pPr>
      <w:r>
        <w:rPr>
          <w:rFonts w:hint="eastAsia" w:ascii="宋体" w:hAnsi="宋体"/>
          <w:b/>
          <w:color w:val="auto"/>
          <w:highlight w:val="none"/>
        </w:rPr>
        <w:t>三、其他</w:t>
      </w:r>
    </w:p>
    <w:p w14:paraId="23C316E5">
      <w:pPr>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1.本协议是原合同的补充协议，与原合同有同等法律效力。</w:t>
      </w:r>
    </w:p>
    <w:p w14:paraId="1425AF65">
      <w:pPr>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2.</w:t>
      </w:r>
      <w:r>
        <w:rPr>
          <w:rFonts w:ascii="宋体" w:hAnsi="宋体"/>
          <w:color w:val="auto"/>
          <w:highlight w:val="none"/>
        </w:rPr>
        <w:t>本</w:t>
      </w:r>
      <w:r>
        <w:rPr>
          <w:rFonts w:hint="eastAsia" w:ascii="宋体" w:hAnsi="宋体"/>
          <w:color w:val="auto"/>
          <w:highlight w:val="none"/>
        </w:rPr>
        <w:t>协议</w:t>
      </w:r>
      <w:r>
        <w:rPr>
          <w:rFonts w:ascii="宋体" w:hAnsi="宋体"/>
          <w:color w:val="auto"/>
          <w:highlight w:val="none"/>
        </w:rPr>
        <w:t>一式</w:t>
      </w:r>
      <w:r>
        <w:rPr>
          <w:rFonts w:hint="eastAsia" w:ascii="宋体" w:hAnsi="宋体"/>
          <w:color w:val="auto"/>
          <w:highlight w:val="none"/>
          <w:lang w:val="en-US" w:eastAsia="zh-CN"/>
        </w:rPr>
        <w:t>两</w:t>
      </w:r>
      <w:r>
        <w:rPr>
          <w:rFonts w:ascii="宋体" w:hAnsi="宋体"/>
          <w:color w:val="auto"/>
          <w:highlight w:val="none"/>
        </w:rPr>
        <w:t>份，甲方执</w:t>
      </w:r>
      <w:r>
        <w:rPr>
          <w:rFonts w:hint="eastAsia" w:ascii="宋体" w:hAnsi="宋体"/>
          <w:color w:val="auto"/>
          <w:highlight w:val="none"/>
          <w:lang w:val="en-US" w:eastAsia="zh-CN"/>
        </w:rPr>
        <w:t>一</w:t>
      </w:r>
      <w:r>
        <w:rPr>
          <w:rFonts w:ascii="宋体" w:hAnsi="宋体"/>
          <w:color w:val="auto"/>
          <w:highlight w:val="none"/>
        </w:rPr>
        <w:t>份，乙方执</w:t>
      </w:r>
      <w:r>
        <w:rPr>
          <w:rFonts w:hint="eastAsia" w:ascii="宋体" w:hAnsi="宋体"/>
          <w:color w:val="auto"/>
          <w:highlight w:val="none"/>
          <w:lang w:val="en-US" w:eastAsia="zh-CN"/>
        </w:rPr>
        <w:t>一</w:t>
      </w:r>
      <w:r>
        <w:rPr>
          <w:rFonts w:ascii="宋体" w:hAnsi="宋体"/>
          <w:color w:val="auto"/>
          <w:highlight w:val="none"/>
        </w:rPr>
        <w:t>份</w:t>
      </w:r>
      <w:r>
        <w:rPr>
          <w:rFonts w:hint="eastAsia" w:ascii="宋体" w:hAnsi="宋体"/>
          <w:color w:val="auto"/>
          <w:highlight w:val="none"/>
        </w:rPr>
        <w:t>,具有同等法律效力。</w:t>
      </w:r>
    </w:p>
    <w:p w14:paraId="63CB35E7">
      <w:pPr>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3.本协议经双方签署后生效。</w:t>
      </w:r>
    </w:p>
    <w:p w14:paraId="4EF11CE6">
      <w:pPr>
        <w:spacing w:before="180" w:beforeLines="50" w:after="180" w:afterLines="50"/>
        <w:ind w:firstLine="420" w:firstLineChars="200"/>
        <w:contextualSpacing/>
        <w:rPr>
          <w:rFonts w:ascii="宋体" w:hAnsi="宋体"/>
          <w:color w:val="auto"/>
          <w:highlight w:val="none"/>
        </w:rPr>
      </w:pPr>
    </w:p>
    <w:p w14:paraId="0F2F8EB8">
      <w:pPr>
        <w:spacing w:before="180" w:beforeLines="50" w:after="180" w:afterLines="50"/>
        <w:ind w:firstLine="420" w:firstLineChars="200"/>
        <w:contextualSpacing/>
        <w:rPr>
          <w:rFonts w:ascii="宋体"/>
          <w:color w:val="auto"/>
          <w:highlight w:val="none"/>
        </w:rPr>
      </w:pPr>
      <w:r>
        <w:rPr>
          <w:rFonts w:hint="eastAsia" w:ascii="宋体" w:hAnsi="宋体"/>
          <w:color w:val="auto"/>
          <w:highlight w:val="none"/>
        </w:rPr>
        <w:t>甲方（盖章）：                       乙方（盖章）：</w:t>
      </w:r>
      <w:r>
        <w:rPr>
          <w:rFonts w:ascii="宋体"/>
          <w:color w:val="auto"/>
          <w:highlight w:val="none"/>
        </w:rPr>
        <w:t xml:space="preserve"> </w:t>
      </w:r>
    </w:p>
    <w:p w14:paraId="1399FA6A">
      <w:pPr>
        <w:spacing w:before="180" w:beforeLines="50" w:after="180" w:afterLines="50"/>
        <w:ind w:firstLine="420" w:firstLineChars="200"/>
        <w:contextualSpacing/>
        <w:rPr>
          <w:rFonts w:ascii="宋体" w:hAnsi="宋体"/>
          <w:color w:val="auto"/>
          <w:highlight w:val="none"/>
        </w:rPr>
      </w:pPr>
    </w:p>
    <w:p w14:paraId="2AF5026E">
      <w:pPr>
        <w:spacing w:before="180" w:beforeLines="50" w:after="180" w:afterLines="50"/>
        <w:ind w:firstLine="420" w:firstLineChars="200"/>
        <w:contextualSpacing/>
        <w:rPr>
          <w:rFonts w:ascii="宋体"/>
          <w:color w:val="auto"/>
          <w:highlight w:val="none"/>
        </w:rPr>
      </w:pPr>
      <w:r>
        <w:rPr>
          <w:rFonts w:hint="eastAsia" w:ascii="宋体" w:hAnsi="宋体"/>
          <w:color w:val="auto"/>
          <w:highlight w:val="none"/>
        </w:rPr>
        <w:t>法定代表人（授权代表）：</w:t>
      </w:r>
      <w:r>
        <w:rPr>
          <w:rFonts w:hint="eastAsia" w:ascii="宋体"/>
          <w:color w:val="auto"/>
          <w:highlight w:val="none"/>
        </w:rPr>
        <w:tab/>
      </w:r>
      <w:r>
        <w:rPr>
          <w:rFonts w:hint="eastAsia" w:ascii="宋体"/>
          <w:color w:val="auto"/>
          <w:highlight w:val="none"/>
        </w:rPr>
        <w:tab/>
      </w:r>
      <w:r>
        <w:rPr>
          <w:rFonts w:hint="eastAsia" w:ascii="宋体" w:hAnsi="宋体"/>
          <w:color w:val="auto"/>
          <w:highlight w:val="none"/>
        </w:rPr>
        <w:t>法定代表人（授权代表）：</w:t>
      </w:r>
    </w:p>
    <w:p w14:paraId="0F73B848">
      <w:pPr>
        <w:spacing w:before="180" w:beforeLines="50" w:after="180" w:afterLines="50"/>
        <w:ind w:firstLine="420" w:firstLineChars="200"/>
        <w:contextualSpacing/>
        <w:rPr>
          <w:rFonts w:ascii="宋体" w:hAnsi="宋体"/>
          <w:color w:val="auto"/>
          <w:highlight w:val="none"/>
        </w:rPr>
      </w:pPr>
    </w:p>
    <w:p w14:paraId="615F14C4">
      <w:pPr>
        <w:pStyle w:val="29"/>
        <w:ind w:firstLine="422"/>
        <w:rPr>
          <w:rFonts w:ascii="宋体" w:hAnsi="宋体" w:cs="宋体"/>
          <w:b w:val="0"/>
          <w:bCs w:val="0"/>
          <w:caps/>
          <w:color w:val="auto"/>
          <w:spacing w:val="80"/>
          <w:sz w:val="21"/>
          <w:szCs w:val="21"/>
          <w:highlight w:val="none"/>
        </w:rPr>
      </w:pPr>
      <w:r>
        <w:rPr>
          <w:rFonts w:hint="eastAsia" w:ascii="宋体" w:hAnsi="宋体" w:cs="宋体"/>
          <w:b w:val="0"/>
          <w:bCs w:val="0"/>
          <w:color w:val="auto"/>
          <w:sz w:val="21"/>
          <w:szCs w:val="21"/>
          <w:highlight w:val="none"/>
        </w:rPr>
        <w:t>签约日期：202</w:t>
      </w:r>
      <w:r>
        <w:rPr>
          <w:rFonts w:hint="eastAsia" w:ascii="宋体" w:hAnsi="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rPr>
        <w:t xml:space="preserve">年  月  日   </w:t>
      </w:r>
      <w:r>
        <w:rPr>
          <w:rFonts w:hint="eastAsia" w:ascii="宋体" w:hAnsi="宋体" w:cs="宋体"/>
          <w:b w:val="0"/>
          <w:bCs w:val="0"/>
          <w:color w:val="auto"/>
          <w:sz w:val="21"/>
          <w:szCs w:val="21"/>
          <w:highlight w:val="none"/>
        </w:rPr>
        <w:tab/>
      </w:r>
      <w:r>
        <w:rPr>
          <w:rFonts w:hint="eastAsia" w:ascii="宋体" w:hAnsi="宋体" w:cs="宋体"/>
          <w:b w:val="0"/>
          <w:bCs w:val="0"/>
          <w:color w:val="auto"/>
          <w:sz w:val="21"/>
          <w:szCs w:val="21"/>
          <w:highlight w:val="none"/>
        </w:rPr>
        <w:t xml:space="preserve">       签约日期：202</w:t>
      </w:r>
      <w:r>
        <w:rPr>
          <w:rFonts w:hint="eastAsia" w:ascii="宋体" w:hAnsi="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rPr>
        <w:t>年  月  日</w:t>
      </w:r>
    </w:p>
    <w:p w14:paraId="1F1D8135">
      <w:pPr>
        <w:shd w:val="clear" w:color="auto" w:fill="auto"/>
        <w:rPr>
          <w:rFonts w:hint="eastAsia" w:ascii="宋体" w:hAnsi="宋体" w:cs="宋体"/>
          <w:color w:val="auto"/>
          <w:szCs w:val="21"/>
          <w:highlight w:val="none"/>
        </w:rPr>
      </w:pPr>
    </w:p>
    <w:p w14:paraId="09793C5B">
      <w:pPr>
        <w:shd w:val="clear" w:color="auto" w:fill="auto"/>
        <w:spacing w:line="360" w:lineRule="auto"/>
        <w:rPr>
          <w:rFonts w:hint="eastAsia" w:ascii="宋体" w:hAnsi="宋体" w:cs="宋体"/>
          <w:b/>
          <w:color w:val="auto"/>
          <w:szCs w:val="21"/>
          <w:highlight w:val="none"/>
        </w:rPr>
      </w:pPr>
    </w:p>
    <w:p w14:paraId="0F2B8F44">
      <w:pPr>
        <w:rPr>
          <w:rFonts w:ascii="宋体" w:hAnsi="宋体" w:cs="Times New Roman"/>
          <w:color w:val="auto"/>
          <w:kern w:val="2"/>
          <w:sz w:val="28"/>
          <w:szCs w:val="28"/>
        </w:rPr>
      </w:pPr>
      <w:r>
        <w:rPr>
          <w:rFonts w:hint="eastAsia" w:ascii="宋体" w:hAnsi="宋体" w:cs="宋体"/>
          <w:b/>
          <w:color w:val="auto"/>
          <w:szCs w:val="21"/>
          <w:highlight w:val="none"/>
        </w:rPr>
        <w:br w:type="page"/>
      </w:r>
    </w:p>
    <w:p w14:paraId="23BFCDE9">
      <w:pPr>
        <w:pStyle w:val="3"/>
        <w:spacing w:before="0" w:after="0" w:line="240" w:lineRule="auto"/>
        <w:rPr>
          <w:color w:val="auto"/>
          <w:sz w:val="28"/>
          <w:szCs w:val="28"/>
        </w:rPr>
      </w:pPr>
      <w:bookmarkStart w:id="249" w:name="_Toc27602"/>
      <w:r>
        <w:rPr>
          <w:rFonts w:hint="eastAsia"/>
          <w:color w:val="auto"/>
          <w:sz w:val="28"/>
          <w:szCs w:val="28"/>
        </w:rPr>
        <w:t>第六部分附件－投标文件格式</w:t>
      </w:r>
      <w:bookmarkEnd w:id="249"/>
    </w:p>
    <w:p w14:paraId="1BE853D0">
      <w:pPr>
        <w:rPr>
          <w:color w:val="auto"/>
        </w:rPr>
      </w:pPr>
    </w:p>
    <w:p w14:paraId="447A2F29">
      <w:pPr>
        <w:pStyle w:val="5"/>
        <w:widowControl w:val="0"/>
        <w:overflowPunct w:val="0"/>
        <w:spacing w:line="240" w:lineRule="auto"/>
        <w:rPr>
          <w:rFonts w:ascii="宋体" w:hAnsi="宋体"/>
          <w:color w:val="auto"/>
          <w:sz w:val="21"/>
          <w:szCs w:val="21"/>
        </w:rPr>
      </w:pPr>
      <w:bookmarkStart w:id="250" w:name="_Toc1276"/>
      <w:r>
        <w:rPr>
          <w:rFonts w:hint="eastAsia" w:ascii="宋体" w:hAnsi="宋体"/>
          <w:color w:val="auto"/>
          <w:sz w:val="21"/>
          <w:szCs w:val="21"/>
        </w:rPr>
        <w:t>投标文件目录</w:t>
      </w:r>
      <w:bookmarkEnd w:id="250"/>
    </w:p>
    <w:p w14:paraId="43B2F36B">
      <w:pPr>
        <w:jc w:val="center"/>
        <w:rPr>
          <w:rFonts w:ascii="黑体" w:eastAsia="黑体"/>
          <w:color w:val="auto"/>
          <w:sz w:val="32"/>
          <w:szCs w:val="32"/>
        </w:rPr>
      </w:pPr>
    </w:p>
    <w:p w14:paraId="42926AFD">
      <w:pPr>
        <w:jc w:val="center"/>
        <w:rPr>
          <w:rFonts w:ascii="黑体" w:eastAsia="黑体"/>
          <w:color w:val="auto"/>
          <w:sz w:val="32"/>
          <w:szCs w:val="32"/>
        </w:rPr>
      </w:pPr>
      <w:r>
        <w:rPr>
          <w:rFonts w:hint="eastAsia" w:ascii="黑体" w:eastAsia="黑体"/>
          <w:color w:val="auto"/>
          <w:sz w:val="32"/>
          <w:szCs w:val="32"/>
        </w:rPr>
        <w:t>目录</w:t>
      </w:r>
    </w:p>
    <w:p w14:paraId="615542C0">
      <w:pPr>
        <w:adjustRightInd/>
        <w:snapToGrid/>
        <w:spacing w:line="276" w:lineRule="auto"/>
        <w:rPr>
          <w:rFonts w:ascii="宋体" w:hAnsi="宋体"/>
          <w:color w:val="auto"/>
          <w:szCs w:val="21"/>
        </w:rPr>
      </w:pPr>
      <w:r>
        <w:rPr>
          <w:rFonts w:hint="eastAsia" w:ascii="宋体" w:hAnsi="宋体"/>
          <w:color w:val="auto"/>
          <w:szCs w:val="21"/>
        </w:rPr>
        <w:t>格式自理。</w:t>
      </w:r>
    </w:p>
    <w:p w14:paraId="513950B8">
      <w:pPr>
        <w:adjustRightInd/>
        <w:snapToGrid/>
        <w:spacing w:line="276" w:lineRule="auto"/>
        <w:rPr>
          <w:rFonts w:ascii="宋体" w:hAnsi="宋体"/>
          <w:color w:val="auto"/>
          <w:szCs w:val="21"/>
        </w:rPr>
      </w:pPr>
    </w:p>
    <w:p w14:paraId="2FC1B58A">
      <w:pPr>
        <w:adjustRightInd/>
        <w:snapToGrid/>
        <w:spacing w:line="276" w:lineRule="auto"/>
        <w:rPr>
          <w:rFonts w:ascii="宋体" w:hAnsi="宋体"/>
          <w:color w:val="auto"/>
          <w:szCs w:val="21"/>
        </w:rPr>
      </w:pPr>
    </w:p>
    <w:p w14:paraId="639189F9">
      <w:pPr>
        <w:adjustRightInd/>
        <w:snapToGrid/>
        <w:spacing w:line="276" w:lineRule="auto"/>
        <w:rPr>
          <w:rFonts w:ascii="宋体" w:hAnsi="宋体"/>
          <w:color w:val="auto"/>
          <w:szCs w:val="21"/>
        </w:rPr>
      </w:pPr>
      <w:r>
        <w:rPr>
          <w:rFonts w:hint="eastAsia" w:ascii="宋体" w:hAnsi="宋体"/>
          <w:color w:val="auto"/>
          <w:szCs w:val="21"/>
        </w:rPr>
        <w:t>注：</w:t>
      </w:r>
    </w:p>
    <w:p w14:paraId="60710F2C">
      <w:pPr>
        <w:adjustRightInd/>
        <w:snapToGrid/>
        <w:spacing w:line="276" w:lineRule="auto"/>
        <w:rPr>
          <w:rFonts w:ascii="宋体" w:hAnsi="宋体"/>
          <w:color w:val="auto"/>
          <w:szCs w:val="21"/>
        </w:rPr>
      </w:pPr>
      <w:r>
        <w:rPr>
          <w:rFonts w:hint="eastAsia" w:ascii="宋体" w:hAnsi="宋体"/>
          <w:color w:val="auto"/>
          <w:szCs w:val="21"/>
        </w:rPr>
        <w:t>1、投标人制作的投标文件应当具备目录。</w:t>
      </w:r>
      <w:r>
        <w:rPr>
          <w:rFonts w:ascii="宋体" w:hAnsi="宋体"/>
          <w:color w:val="auto"/>
          <w:szCs w:val="21"/>
        </w:rPr>
        <w:br w:type="page"/>
      </w:r>
    </w:p>
    <w:p w14:paraId="4740A186">
      <w:pPr>
        <w:pStyle w:val="5"/>
        <w:widowControl w:val="0"/>
        <w:overflowPunct w:val="0"/>
        <w:spacing w:line="240" w:lineRule="auto"/>
        <w:rPr>
          <w:rFonts w:ascii="宋体" w:hAnsi="宋体"/>
          <w:color w:val="auto"/>
          <w:sz w:val="21"/>
          <w:szCs w:val="21"/>
        </w:rPr>
      </w:pPr>
      <w:bookmarkStart w:id="251" w:name="_Toc30334"/>
      <w:r>
        <w:rPr>
          <w:rFonts w:hint="eastAsia" w:ascii="宋体" w:hAnsi="宋体"/>
          <w:color w:val="auto"/>
          <w:sz w:val="21"/>
          <w:szCs w:val="21"/>
        </w:rPr>
        <w:t>附件1.评分标准索引表</w:t>
      </w:r>
      <w:bookmarkEnd w:id="251"/>
    </w:p>
    <w:p w14:paraId="15264A67">
      <w:pPr>
        <w:adjustRightInd/>
        <w:snapToGrid/>
        <w:spacing w:line="276" w:lineRule="auto"/>
        <w:rPr>
          <w:rFonts w:ascii="宋体" w:hAnsi="宋体"/>
          <w:color w:val="auto"/>
          <w:szCs w:val="21"/>
        </w:rPr>
      </w:pPr>
    </w:p>
    <w:p w14:paraId="3E806C55">
      <w:pPr>
        <w:jc w:val="center"/>
        <w:rPr>
          <w:rFonts w:ascii="黑体" w:eastAsia="黑体"/>
          <w:color w:val="auto"/>
          <w:sz w:val="32"/>
          <w:szCs w:val="32"/>
        </w:rPr>
      </w:pPr>
      <w:r>
        <w:rPr>
          <w:rFonts w:hint="eastAsia" w:ascii="黑体" w:eastAsia="黑体"/>
          <w:color w:val="auto"/>
          <w:sz w:val="32"/>
          <w:szCs w:val="32"/>
        </w:rPr>
        <w:t>评分标准索引表</w:t>
      </w:r>
    </w:p>
    <w:tbl>
      <w:tblPr>
        <w:tblStyle w:val="3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44F4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04" w:type="dxa"/>
            <w:vAlign w:val="center"/>
          </w:tcPr>
          <w:p w14:paraId="0E4F2357">
            <w:pPr>
              <w:jc w:val="center"/>
              <w:rPr>
                <w:rFonts w:ascii="宋体" w:hAnsi="宋体" w:cs="宋体"/>
                <w:color w:val="auto"/>
              </w:rPr>
            </w:pPr>
            <w:r>
              <w:rPr>
                <w:rFonts w:hint="eastAsia" w:ascii="宋体" w:hAnsi="宋体" w:cs="宋体"/>
                <w:color w:val="auto"/>
              </w:rPr>
              <w:t>序号</w:t>
            </w:r>
          </w:p>
        </w:tc>
        <w:tc>
          <w:tcPr>
            <w:tcW w:w="1704" w:type="dxa"/>
            <w:vAlign w:val="center"/>
          </w:tcPr>
          <w:p w14:paraId="3C74E0DA">
            <w:pPr>
              <w:jc w:val="center"/>
              <w:rPr>
                <w:rFonts w:ascii="宋体" w:hAnsi="宋体" w:cs="宋体"/>
                <w:color w:val="auto"/>
                <w:highlight w:val="none"/>
              </w:rPr>
            </w:pPr>
            <w:r>
              <w:rPr>
                <w:rFonts w:hint="eastAsia" w:ascii="宋体" w:hAnsi="宋体" w:cs="宋体"/>
                <w:color w:val="auto"/>
                <w:highlight w:val="none"/>
              </w:rPr>
              <w:t>评审项目</w:t>
            </w:r>
          </w:p>
        </w:tc>
        <w:tc>
          <w:tcPr>
            <w:tcW w:w="1704" w:type="dxa"/>
            <w:vAlign w:val="center"/>
          </w:tcPr>
          <w:p w14:paraId="3DC688DA">
            <w:pPr>
              <w:jc w:val="center"/>
              <w:rPr>
                <w:rFonts w:ascii="宋体" w:hAnsi="宋体" w:cs="宋体"/>
                <w:color w:val="auto"/>
                <w:highlight w:val="none"/>
              </w:rPr>
            </w:pPr>
            <w:r>
              <w:rPr>
                <w:rFonts w:hint="eastAsia" w:ascii="宋体" w:hAnsi="宋体" w:cs="宋体"/>
                <w:color w:val="auto"/>
                <w:highlight w:val="none"/>
              </w:rPr>
              <w:t>评审细则</w:t>
            </w:r>
          </w:p>
        </w:tc>
        <w:tc>
          <w:tcPr>
            <w:tcW w:w="1705" w:type="dxa"/>
            <w:vAlign w:val="center"/>
          </w:tcPr>
          <w:p w14:paraId="272A22D5">
            <w:pPr>
              <w:jc w:val="center"/>
              <w:rPr>
                <w:rFonts w:ascii="宋体" w:hAnsi="宋体" w:cs="宋体"/>
                <w:color w:val="auto"/>
                <w:highlight w:val="none"/>
              </w:rPr>
            </w:pPr>
            <w:r>
              <w:rPr>
                <w:rFonts w:hint="eastAsia" w:ascii="宋体" w:hAnsi="宋体" w:cs="宋体"/>
                <w:color w:val="auto"/>
                <w:highlight w:val="none"/>
              </w:rPr>
              <w:t>分值</w:t>
            </w:r>
          </w:p>
        </w:tc>
        <w:tc>
          <w:tcPr>
            <w:tcW w:w="1705" w:type="dxa"/>
            <w:vAlign w:val="center"/>
          </w:tcPr>
          <w:p w14:paraId="5A137F18">
            <w:pPr>
              <w:jc w:val="center"/>
              <w:rPr>
                <w:rFonts w:ascii="宋体" w:hAnsi="宋体" w:cs="宋体"/>
                <w:color w:val="auto"/>
              </w:rPr>
            </w:pPr>
            <w:r>
              <w:rPr>
                <w:rFonts w:hint="eastAsia" w:ascii="宋体" w:hAnsi="宋体" w:cs="宋体"/>
                <w:color w:val="auto"/>
              </w:rPr>
              <w:t>页码范围</w:t>
            </w:r>
          </w:p>
        </w:tc>
      </w:tr>
      <w:tr w14:paraId="70B5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2640B81C">
            <w:pPr>
              <w:rPr>
                <w:rFonts w:ascii="宋体" w:hAnsi="宋体" w:cs="宋体"/>
                <w:color w:val="auto"/>
              </w:rPr>
            </w:pPr>
            <w:r>
              <w:rPr>
                <w:rFonts w:hint="eastAsia" w:ascii="宋体" w:hAnsi="宋体" w:cs="宋体"/>
                <w:color w:val="auto"/>
              </w:rPr>
              <w:t>商务评审</w:t>
            </w:r>
          </w:p>
        </w:tc>
      </w:tr>
      <w:tr w14:paraId="215F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7399D266">
            <w:pPr>
              <w:jc w:val="center"/>
              <w:rPr>
                <w:rFonts w:ascii="宋体" w:hAnsi="宋体" w:cs="宋体"/>
                <w:color w:val="auto"/>
              </w:rPr>
            </w:pPr>
          </w:p>
        </w:tc>
        <w:tc>
          <w:tcPr>
            <w:tcW w:w="1704" w:type="dxa"/>
            <w:vAlign w:val="center"/>
          </w:tcPr>
          <w:p w14:paraId="61ED475E">
            <w:pPr>
              <w:jc w:val="center"/>
              <w:rPr>
                <w:rFonts w:ascii="宋体" w:hAnsi="宋体" w:cs="宋体"/>
                <w:color w:val="auto"/>
              </w:rPr>
            </w:pPr>
          </w:p>
        </w:tc>
        <w:tc>
          <w:tcPr>
            <w:tcW w:w="1704" w:type="dxa"/>
            <w:vAlign w:val="center"/>
          </w:tcPr>
          <w:p w14:paraId="585029E4">
            <w:pPr>
              <w:jc w:val="center"/>
              <w:rPr>
                <w:rFonts w:ascii="宋体" w:hAnsi="宋体" w:cs="宋体"/>
                <w:color w:val="auto"/>
              </w:rPr>
            </w:pPr>
          </w:p>
        </w:tc>
        <w:tc>
          <w:tcPr>
            <w:tcW w:w="1705" w:type="dxa"/>
            <w:vAlign w:val="center"/>
          </w:tcPr>
          <w:p w14:paraId="6CA30DA7">
            <w:pPr>
              <w:jc w:val="center"/>
              <w:rPr>
                <w:rFonts w:ascii="宋体" w:hAnsi="宋体" w:cs="宋体"/>
                <w:color w:val="auto"/>
              </w:rPr>
            </w:pPr>
          </w:p>
        </w:tc>
        <w:tc>
          <w:tcPr>
            <w:tcW w:w="1705" w:type="dxa"/>
            <w:vAlign w:val="center"/>
          </w:tcPr>
          <w:p w14:paraId="415E5D31">
            <w:pPr>
              <w:jc w:val="center"/>
              <w:rPr>
                <w:rFonts w:ascii="宋体" w:hAnsi="宋体" w:cs="宋体"/>
                <w:color w:val="auto"/>
              </w:rPr>
            </w:pPr>
          </w:p>
        </w:tc>
      </w:tr>
      <w:tr w14:paraId="3C03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787A9AD1">
            <w:pPr>
              <w:jc w:val="center"/>
              <w:rPr>
                <w:rFonts w:ascii="宋体" w:hAnsi="宋体" w:cs="宋体"/>
                <w:color w:val="auto"/>
              </w:rPr>
            </w:pPr>
          </w:p>
        </w:tc>
        <w:tc>
          <w:tcPr>
            <w:tcW w:w="1704" w:type="dxa"/>
            <w:vAlign w:val="center"/>
          </w:tcPr>
          <w:p w14:paraId="21E0A0B1">
            <w:pPr>
              <w:jc w:val="center"/>
              <w:rPr>
                <w:rFonts w:ascii="宋体" w:hAnsi="宋体" w:cs="宋体"/>
                <w:color w:val="auto"/>
              </w:rPr>
            </w:pPr>
          </w:p>
        </w:tc>
        <w:tc>
          <w:tcPr>
            <w:tcW w:w="1704" w:type="dxa"/>
            <w:vAlign w:val="center"/>
          </w:tcPr>
          <w:p w14:paraId="16E436B9">
            <w:pPr>
              <w:jc w:val="center"/>
              <w:rPr>
                <w:rFonts w:ascii="宋体" w:hAnsi="宋体" w:cs="宋体"/>
                <w:color w:val="auto"/>
              </w:rPr>
            </w:pPr>
          </w:p>
        </w:tc>
        <w:tc>
          <w:tcPr>
            <w:tcW w:w="1705" w:type="dxa"/>
            <w:vAlign w:val="center"/>
          </w:tcPr>
          <w:p w14:paraId="0D8C6928">
            <w:pPr>
              <w:jc w:val="center"/>
              <w:rPr>
                <w:rFonts w:ascii="宋体" w:hAnsi="宋体" w:cs="宋体"/>
                <w:color w:val="auto"/>
              </w:rPr>
            </w:pPr>
          </w:p>
        </w:tc>
        <w:tc>
          <w:tcPr>
            <w:tcW w:w="1705" w:type="dxa"/>
            <w:vAlign w:val="center"/>
          </w:tcPr>
          <w:p w14:paraId="19C9286C">
            <w:pPr>
              <w:jc w:val="center"/>
              <w:rPr>
                <w:rFonts w:ascii="宋体" w:hAnsi="宋体" w:cs="宋体"/>
                <w:color w:val="auto"/>
              </w:rPr>
            </w:pPr>
          </w:p>
        </w:tc>
      </w:tr>
      <w:tr w14:paraId="326E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64B823C4">
            <w:pPr>
              <w:jc w:val="center"/>
              <w:rPr>
                <w:rFonts w:ascii="宋体" w:hAnsi="宋体" w:cs="宋体"/>
                <w:color w:val="auto"/>
              </w:rPr>
            </w:pPr>
          </w:p>
        </w:tc>
        <w:tc>
          <w:tcPr>
            <w:tcW w:w="1704" w:type="dxa"/>
            <w:vAlign w:val="center"/>
          </w:tcPr>
          <w:p w14:paraId="60576E7B">
            <w:pPr>
              <w:jc w:val="center"/>
              <w:rPr>
                <w:rFonts w:ascii="宋体" w:hAnsi="宋体" w:cs="宋体"/>
                <w:color w:val="auto"/>
              </w:rPr>
            </w:pPr>
          </w:p>
        </w:tc>
        <w:tc>
          <w:tcPr>
            <w:tcW w:w="1704" w:type="dxa"/>
            <w:vAlign w:val="center"/>
          </w:tcPr>
          <w:p w14:paraId="35C55055">
            <w:pPr>
              <w:jc w:val="center"/>
              <w:rPr>
                <w:rFonts w:ascii="宋体" w:hAnsi="宋体" w:cs="宋体"/>
                <w:color w:val="auto"/>
              </w:rPr>
            </w:pPr>
          </w:p>
        </w:tc>
        <w:tc>
          <w:tcPr>
            <w:tcW w:w="1705" w:type="dxa"/>
            <w:vAlign w:val="center"/>
          </w:tcPr>
          <w:p w14:paraId="6B2A7D52">
            <w:pPr>
              <w:jc w:val="center"/>
              <w:rPr>
                <w:rFonts w:ascii="宋体" w:hAnsi="宋体" w:cs="宋体"/>
                <w:color w:val="auto"/>
              </w:rPr>
            </w:pPr>
          </w:p>
        </w:tc>
        <w:tc>
          <w:tcPr>
            <w:tcW w:w="1705" w:type="dxa"/>
            <w:vAlign w:val="center"/>
          </w:tcPr>
          <w:p w14:paraId="3DAAE262">
            <w:pPr>
              <w:jc w:val="center"/>
              <w:rPr>
                <w:rFonts w:ascii="宋体" w:hAnsi="宋体" w:cs="宋体"/>
                <w:color w:val="auto"/>
              </w:rPr>
            </w:pPr>
          </w:p>
        </w:tc>
      </w:tr>
      <w:tr w14:paraId="5B12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69B0DF90">
            <w:pPr>
              <w:rPr>
                <w:rFonts w:ascii="宋体" w:hAnsi="宋体" w:cs="宋体"/>
                <w:color w:val="auto"/>
              </w:rPr>
            </w:pPr>
            <w:r>
              <w:rPr>
                <w:rFonts w:hint="eastAsia" w:ascii="宋体" w:hAnsi="宋体" w:cs="宋体"/>
                <w:color w:val="auto"/>
              </w:rPr>
              <w:t>技术评审</w:t>
            </w:r>
          </w:p>
        </w:tc>
      </w:tr>
      <w:tr w14:paraId="4CB0A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7B7F0425">
            <w:pPr>
              <w:jc w:val="center"/>
              <w:rPr>
                <w:rFonts w:ascii="宋体" w:hAnsi="宋体" w:cs="宋体"/>
                <w:color w:val="auto"/>
              </w:rPr>
            </w:pPr>
          </w:p>
        </w:tc>
        <w:tc>
          <w:tcPr>
            <w:tcW w:w="1704" w:type="dxa"/>
            <w:vAlign w:val="center"/>
          </w:tcPr>
          <w:p w14:paraId="541CE67A">
            <w:pPr>
              <w:jc w:val="center"/>
              <w:rPr>
                <w:rFonts w:ascii="宋体" w:hAnsi="宋体" w:cs="宋体"/>
                <w:color w:val="auto"/>
              </w:rPr>
            </w:pPr>
          </w:p>
        </w:tc>
        <w:tc>
          <w:tcPr>
            <w:tcW w:w="1704" w:type="dxa"/>
            <w:vAlign w:val="center"/>
          </w:tcPr>
          <w:p w14:paraId="53A0E3A4">
            <w:pPr>
              <w:jc w:val="center"/>
              <w:rPr>
                <w:rFonts w:ascii="宋体" w:hAnsi="宋体" w:cs="宋体"/>
                <w:color w:val="auto"/>
              </w:rPr>
            </w:pPr>
          </w:p>
        </w:tc>
        <w:tc>
          <w:tcPr>
            <w:tcW w:w="1705" w:type="dxa"/>
            <w:vAlign w:val="center"/>
          </w:tcPr>
          <w:p w14:paraId="058CD6B9">
            <w:pPr>
              <w:jc w:val="center"/>
              <w:rPr>
                <w:rFonts w:ascii="宋体" w:hAnsi="宋体" w:cs="宋体"/>
                <w:color w:val="auto"/>
              </w:rPr>
            </w:pPr>
          </w:p>
        </w:tc>
        <w:tc>
          <w:tcPr>
            <w:tcW w:w="1705" w:type="dxa"/>
            <w:vAlign w:val="center"/>
          </w:tcPr>
          <w:p w14:paraId="51A7E5D2">
            <w:pPr>
              <w:jc w:val="center"/>
              <w:rPr>
                <w:rFonts w:ascii="宋体" w:hAnsi="宋体" w:cs="宋体"/>
                <w:color w:val="auto"/>
              </w:rPr>
            </w:pPr>
          </w:p>
        </w:tc>
      </w:tr>
      <w:tr w14:paraId="4EE3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2A36DABD">
            <w:pPr>
              <w:jc w:val="center"/>
              <w:rPr>
                <w:rFonts w:ascii="宋体" w:hAnsi="宋体" w:cs="宋体"/>
                <w:color w:val="auto"/>
              </w:rPr>
            </w:pPr>
          </w:p>
        </w:tc>
        <w:tc>
          <w:tcPr>
            <w:tcW w:w="1704" w:type="dxa"/>
            <w:vAlign w:val="center"/>
          </w:tcPr>
          <w:p w14:paraId="4EFE2DE5">
            <w:pPr>
              <w:jc w:val="center"/>
              <w:rPr>
                <w:rFonts w:ascii="宋体" w:hAnsi="宋体" w:cs="宋体"/>
                <w:color w:val="auto"/>
              </w:rPr>
            </w:pPr>
          </w:p>
        </w:tc>
        <w:tc>
          <w:tcPr>
            <w:tcW w:w="1704" w:type="dxa"/>
            <w:vAlign w:val="center"/>
          </w:tcPr>
          <w:p w14:paraId="02A007C8">
            <w:pPr>
              <w:jc w:val="center"/>
              <w:rPr>
                <w:rFonts w:ascii="宋体" w:hAnsi="宋体" w:cs="宋体"/>
                <w:color w:val="auto"/>
              </w:rPr>
            </w:pPr>
          </w:p>
        </w:tc>
        <w:tc>
          <w:tcPr>
            <w:tcW w:w="1705" w:type="dxa"/>
            <w:vAlign w:val="center"/>
          </w:tcPr>
          <w:p w14:paraId="592855F1">
            <w:pPr>
              <w:jc w:val="center"/>
              <w:rPr>
                <w:rFonts w:ascii="宋体" w:hAnsi="宋体" w:cs="宋体"/>
                <w:color w:val="auto"/>
              </w:rPr>
            </w:pPr>
          </w:p>
        </w:tc>
        <w:tc>
          <w:tcPr>
            <w:tcW w:w="1705" w:type="dxa"/>
            <w:vAlign w:val="center"/>
          </w:tcPr>
          <w:p w14:paraId="0A435C9D">
            <w:pPr>
              <w:jc w:val="center"/>
              <w:rPr>
                <w:rFonts w:ascii="宋体" w:hAnsi="宋体" w:cs="宋体"/>
                <w:color w:val="auto"/>
              </w:rPr>
            </w:pPr>
          </w:p>
        </w:tc>
      </w:tr>
      <w:tr w14:paraId="07DF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10BF90ED">
            <w:pPr>
              <w:jc w:val="center"/>
              <w:rPr>
                <w:rFonts w:ascii="宋体" w:hAnsi="宋体" w:cs="宋体"/>
                <w:color w:val="auto"/>
              </w:rPr>
            </w:pPr>
          </w:p>
        </w:tc>
        <w:tc>
          <w:tcPr>
            <w:tcW w:w="1704" w:type="dxa"/>
            <w:vAlign w:val="center"/>
          </w:tcPr>
          <w:p w14:paraId="4B140AF9">
            <w:pPr>
              <w:jc w:val="center"/>
              <w:rPr>
                <w:rFonts w:ascii="宋体" w:hAnsi="宋体" w:cs="宋体"/>
                <w:color w:val="auto"/>
              </w:rPr>
            </w:pPr>
          </w:p>
        </w:tc>
        <w:tc>
          <w:tcPr>
            <w:tcW w:w="1704" w:type="dxa"/>
            <w:vAlign w:val="center"/>
          </w:tcPr>
          <w:p w14:paraId="3360C320">
            <w:pPr>
              <w:jc w:val="center"/>
              <w:rPr>
                <w:rFonts w:ascii="宋体" w:hAnsi="宋体" w:cs="宋体"/>
                <w:color w:val="auto"/>
              </w:rPr>
            </w:pPr>
          </w:p>
        </w:tc>
        <w:tc>
          <w:tcPr>
            <w:tcW w:w="1705" w:type="dxa"/>
            <w:vAlign w:val="center"/>
          </w:tcPr>
          <w:p w14:paraId="48ACFE06">
            <w:pPr>
              <w:jc w:val="center"/>
              <w:rPr>
                <w:rFonts w:ascii="宋体" w:hAnsi="宋体" w:cs="宋体"/>
                <w:color w:val="auto"/>
              </w:rPr>
            </w:pPr>
          </w:p>
        </w:tc>
        <w:tc>
          <w:tcPr>
            <w:tcW w:w="1705" w:type="dxa"/>
            <w:vAlign w:val="center"/>
          </w:tcPr>
          <w:p w14:paraId="783B4E04">
            <w:pPr>
              <w:jc w:val="center"/>
              <w:rPr>
                <w:rFonts w:ascii="宋体" w:hAnsi="宋体" w:cs="宋体"/>
                <w:color w:val="auto"/>
              </w:rPr>
            </w:pPr>
          </w:p>
        </w:tc>
      </w:tr>
    </w:tbl>
    <w:p w14:paraId="4877052F">
      <w:pPr>
        <w:rPr>
          <w:rFonts w:ascii="宋体" w:hAnsi="宋体"/>
          <w:color w:val="auto"/>
          <w:szCs w:val="21"/>
        </w:rPr>
      </w:pPr>
    </w:p>
    <w:p w14:paraId="15D40617">
      <w:pPr>
        <w:rPr>
          <w:rFonts w:ascii="宋体" w:hAnsi="宋体"/>
          <w:color w:val="auto"/>
          <w:szCs w:val="21"/>
        </w:rPr>
      </w:pPr>
      <w:r>
        <w:rPr>
          <w:rFonts w:hint="eastAsia" w:ascii="宋体" w:hAnsi="宋体"/>
          <w:color w:val="auto"/>
          <w:szCs w:val="21"/>
        </w:rPr>
        <w:t>注：</w:t>
      </w:r>
    </w:p>
    <w:p w14:paraId="5EC2C291">
      <w:pPr>
        <w:numPr>
          <w:ilvl w:val="0"/>
          <w:numId w:val="10"/>
        </w:numPr>
        <w:rPr>
          <w:rFonts w:ascii="宋体" w:hAnsi="宋体"/>
          <w:color w:val="auto"/>
          <w:szCs w:val="21"/>
        </w:rPr>
      </w:pPr>
      <w:r>
        <w:rPr>
          <w:rFonts w:hint="eastAsia" w:ascii="宋体" w:hAnsi="宋体"/>
          <w:color w:val="auto"/>
          <w:szCs w:val="21"/>
        </w:rPr>
        <w:t>该表格为参考格式，投标人可按实际情况自行制订评分标准索引表。</w:t>
      </w:r>
    </w:p>
    <w:p w14:paraId="7215C9DF">
      <w:pPr>
        <w:pStyle w:val="9"/>
        <w:spacing w:before="0"/>
        <w:ind w:left="0"/>
        <w:rPr>
          <w:color w:val="auto"/>
        </w:rPr>
      </w:pPr>
    </w:p>
    <w:p w14:paraId="3023065D">
      <w:pPr>
        <w:adjustRightInd/>
        <w:snapToGrid/>
        <w:spacing w:line="276" w:lineRule="auto"/>
        <w:rPr>
          <w:rFonts w:ascii="宋体" w:hAnsi="宋体"/>
          <w:color w:val="auto"/>
          <w:szCs w:val="21"/>
        </w:rPr>
      </w:pPr>
    </w:p>
    <w:p w14:paraId="7480A4C2">
      <w:pPr>
        <w:adjustRightInd/>
        <w:snapToGrid/>
        <w:spacing w:line="276" w:lineRule="auto"/>
        <w:rPr>
          <w:rFonts w:ascii="宋体" w:hAnsi="宋体"/>
          <w:color w:val="auto"/>
          <w:szCs w:val="21"/>
        </w:rPr>
      </w:pPr>
    </w:p>
    <w:p w14:paraId="3BC4B441">
      <w:pPr>
        <w:adjustRightInd/>
        <w:snapToGrid/>
        <w:spacing w:line="276" w:lineRule="auto"/>
        <w:rPr>
          <w:rFonts w:ascii="宋体" w:hAnsi="宋体"/>
          <w:color w:val="auto"/>
          <w:szCs w:val="21"/>
        </w:rPr>
      </w:pPr>
    </w:p>
    <w:p w14:paraId="40DF47D7">
      <w:pPr>
        <w:adjustRightInd/>
        <w:snapToGrid/>
        <w:spacing w:line="276" w:lineRule="auto"/>
        <w:rPr>
          <w:rFonts w:ascii="宋体" w:hAnsi="宋体"/>
          <w:color w:val="auto"/>
          <w:szCs w:val="21"/>
        </w:rPr>
      </w:pPr>
    </w:p>
    <w:p w14:paraId="61507BEE">
      <w:pPr>
        <w:adjustRightInd/>
        <w:snapToGrid/>
        <w:spacing w:line="276" w:lineRule="auto"/>
        <w:rPr>
          <w:rFonts w:ascii="宋体" w:hAnsi="宋体"/>
          <w:color w:val="auto"/>
          <w:szCs w:val="21"/>
        </w:rPr>
      </w:pPr>
    </w:p>
    <w:p w14:paraId="3D7A9E3E">
      <w:pPr>
        <w:adjustRightInd/>
        <w:snapToGrid/>
        <w:spacing w:line="276" w:lineRule="auto"/>
        <w:rPr>
          <w:rFonts w:ascii="宋体" w:hAnsi="宋体"/>
          <w:color w:val="auto"/>
          <w:szCs w:val="21"/>
        </w:rPr>
      </w:pPr>
      <w:r>
        <w:rPr>
          <w:rFonts w:ascii="宋体" w:hAnsi="宋体"/>
          <w:color w:val="auto"/>
          <w:szCs w:val="21"/>
        </w:rPr>
        <w:br w:type="page"/>
      </w:r>
    </w:p>
    <w:p w14:paraId="57EBD4ED">
      <w:pPr>
        <w:jc w:val="center"/>
        <w:rPr>
          <w:rFonts w:ascii="黑体" w:eastAsia="黑体"/>
          <w:color w:val="auto"/>
          <w:sz w:val="52"/>
          <w:szCs w:val="52"/>
        </w:rPr>
      </w:pPr>
      <w:bookmarkStart w:id="252" w:name="_Toc18450"/>
      <w:bookmarkStart w:id="253" w:name="_Toc30918"/>
      <w:bookmarkStart w:id="254" w:name="_Toc28154"/>
      <w:bookmarkStart w:id="255" w:name="_Toc20335"/>
      <w:bookmarkStart w:id="256" w:name="_Toc21746"/>
    </w:p>
    <w:p w14:paraId="097A088D">
      <w:pPr>
        <w:pStyle w:val="3"/>
        <w:spacing w:before="0" w:after="0" w:line="360" w:lineRule="auto"/>
        <w:jc w:val="center"/>
        <w:rPr>
          <w:color w:val="auto"/>
          <w:sz w:val="72"/>
          <w:szCs w:val="72"/>
        </w:rPr>
      </w:pPr>
      <w:bookmarkStart w:id="257" w:name="_Toc22053"/>
      <w:r>
        <w:rPr>
          <w:rFonts w:hint="eastAsia"/>
          <w:color w:val="auto"/>
          <w:sz w:val="72"/>
          <w:szCs w:val="72"/>
        </w:rPr>
        <w:t>价格文件</w:t>
      </w:r>
      <w:bookmarkEnd w:id="252"/>
      <w:bookmarkEnd w:id="253"/>
      <w:bookmarkEnd w:id="257"/>
      <w:bookmarkStart w:id="258" w:name="_Hlt10519799"/>
      <w:bookmarkEnd w:id="258"/>
      <w:bookmarkStart w:id="259" w:name="_Hlt10456397"/>
      <w:bookmarkEnd w:id="259"/>
    </w:p>
    <w:p w14:paraId="5B01CD92">
      <w:pPr>
        <w:jc w:val="center"/>
        <w:rPr>
          <w:rFonts w:ascii="黑体" w:eastAsia="黑体"/>
          <w:color w:val="auto"/>
          <w:sz w:val="72"/>
          <w:szCs w:val="72"/>
        </w:rPr>
      </w:pPr>
      <w:r>
        <w:rPr>
          <w:rFonts w:hint="eastAsia" w:ascii="黑体" w:eastAsia="黑体"/>
          <w:color w:val="auto"/>
          <w:sz w:val="72"/>
          <w:szCs w:val="72"/>
        </w:rPr>
        <w:t>（单独装订成册）</w:t>
      </w:r>
      <w:bookmarkEnd w:id="254"/>
      <w:bookmarkEnd w:id="255"/>
      <w:bookmarkEnd w:id="256"/>
    </w:p>
    <w:p w14:paraId="69DA7540">
      <w:pPr>
        <w:rPr>
          <w:color w:val="auto"/>
        </w:rPr>
      </w:pPr>
    </w:p>
    <w:p w14:paraId="7D61BC70">
      <w:pPr>
        <w:pStyle w:val="9"/>
        <w:rPr>
          <w:color w:val="auto"/>
        </w:rPr>
      </w:pPr>
    </w:p>
    <w:p w14:paraId="132918C1">
      <w:pPr>
        <w:pStyle w:val="10"/>
        <w:keepNext w:val="0"/>
        <w:keepLines w:val="0"/>
        <w:pageBreakBefore w:val="0"/>
        <w:widowControl/>
        <w:kinsoku/>
        <w:wordWrap/>
        <w:overflowPunct/>
        <w:topLinePunct w:val="0"/>
        <w:autoSpaceDE/>
        <w:autoSpaceDN/>
        <w:bidi w:val="0"/>
        <w:adjustRightInd w:val="0"/>
        <w:snapToGrid w:val="0"/>
        <w:spacing w:before="0" w:after="0" w:afterAutospacing="0" w:line="360" w:lineRule="auto"/>
        <w:ind w:left="0" w:firstLine="240"/>
        <w:textAlignment w:val="auto"/>
        <w:rPr>
          <w:color w:val="auto"/>
        </w:rPr>
      </w:pPr>
    </w:p>
    <w:p w14:paraId="68456EC5">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ascii="宋体" w:hAnsi="宋体" w:cs="宋体"/>
          <w:b/>
          <w:bCs/>
          <w:color w:val="auto"/>
          <w:spacing w:val="-6"/>
          <w:sz w:val="32"/>
          <w:szCs w:val="32"/>
        </w:rPr>
      </w:pPr>
      <w:r>
        <w:rPr>
          <w:rFonts w:hint="eastAsia" w:ascii="宋体" w:hAnsi="宋体" w:cs="宋体"/>
          <w:b/>
          <w:bCs/>
          <w:color w:val="auto"/>
          <w:spacing w:val="53"/>
          <w:kern w:val="0"/>
          <w:sz w:val="32"/>
          <w:szCs w:val="32"/>
          <w:fitText w:val="1600" w:id="1947737316"/>
        </w:rPr>
        <w:t>项目名</w:t>
      </w:r>
      <w:r>
        <w:rPr>
          <w:rFonts w:hint="eastAsia" w:ascii="宋体" w:hAnsi="宋体" w:cs="宋体"/>
          <w:b/>
          <w:bCs/>
          <w:color w:val="auto"/>
          <w:spacing w:val="1"/>
          <w:kern w:val="0"/>
          <w:sz w:val="32"/>
          <w:szCs w:val="32"/>
          <w:fitText w:val="1600" w:id="1947737316"/>
        </w:rPr>
        <w:t>称</w:t>
      </w:r>
      <w:r>
        <w:rPr>
          <w:rFonts w:hint="eastAsia" w:ascii="宋体" w:hAnsi="宋体" w:cs="宋体"/>
          <w:b/>
          <w:bCs/>
          <w:color w:val="auto"/>
          <w:spacing w:val="-6"/>
          <w:sz w:val="32"/>
          <w:szCs w:val="32"/>
        </w:rPr>
        <w:t>：</w:t>
      </w:r>
      <w:r>
        <w:rPr>
          <w:rFonts w:hint="eastAsia" w:ascii="宋体" w:hAnsi="宋体" w:cs="宋体"/>
          <w:b/>
          <w:bCs/>
          <w:color w:val="auto"/>
          <w:spacing w:val="-6"/>
          <w:sz w:val="32"/>
          <w:szCs w:val="32"/>
          <w:highlight w:val="none"/>
        </w:rPr>
        <w:t>东莞实业投资控股集团有限公司注册发行超短期融资券主承销商采购项目</w:t>
      </w:r>
    </w:p>
    <w:p w14:paraId="124741FB">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ascii="宋体" w:hAnsi="宋体" w:cs="宋体"/>
          <w:b/>
          <w:bCs/>
          <w:color w:val="auto"/>
          <w:sz w:val="32"/>
          <w:szCs w:val="32"/>
          <w:highlight w:val="none"/>
        </w:rPr>
      </w:pPr>
      <w:r>
        <w:rPr>
          <w:rFonts w:hint="eastAsia" w:ascii="宋体" w:hAnsi="宋体" w:cs="宋体"/>
          <w:b/>
          <w:bCs/>
          <w:color w:val="auto"/>
          <w:spacing w:val="53"/>
          <w:kern w:val="0"/>
          <w:sz w:val="32"/>
          <w:szCs w:val="32"/>
          <w:highlight w:val="none"/>
          <w:fitText w:val="1600" w:id="70211570"/>
        </w:rPr>
        <w:t>项目编</w:t>
      </w:r>
      <w:r>
        <w:rPr>
          <w:rFonts w:hint="eastAsia" w:ascii="宋体" w:hAnsi="宋体" w:cs="宋体"/>
          <w:b/>
          <w:bCs/>
          <w:color w:val="auto"/>
          <w:spacing w:val="1"/>
          <w:kern w:val="0"/>
          <w:sz w:val="32"/>
          <w:szCs w:val="32"/>
          <w:highlight w:val="none"/>
          <w:fitText w:val="1600" w:id="70211570"/>
        </w:rPr>
        <w:t>号</w:t>
      </w:r>
      <w:r>
        <w:rPr>
          <w:rFonts w:hint="eastAsia" w:ascii="宋体" w:hAnsi="宋体" w:cs="宋体"/>
          <w:b/>
          <w:bCs/>
          <w:color w:val="auto"/>
          <w:sz w:val="32"/>
          <w:szCs w:val="32"/>
          <w:highlight w:val="none"/>
        </w:rPr>
        <w:t>：</w:t>
      </w:r>
      <w:r>
        <w:rPr>
          <w:rFonts w:hint="eastAsia" w:ascii="宋体" w:hAnsi="宋体" w:cs="宋体"/>
          <w:b/>
          <w:color w:val="auto"/>
          <w:sz w:val="32"/>
          <w:szCs w:val="32"/>
          <w:highlight w:val="none"/>
        </w:rPr>
        <w:t>DGSY-CW-03-12-014(2024)</w:t>
      </w:r>
    </w:p>
    <w:p w14:paraId="2253F2CD">
      <w:pPr>
        <w:pStyle w:val="27"/>
        <w:keepNext w:val="0"/>
        <w:keepLines w:val="0"/>
        <w:pageBreakBefore w:val="0"/>
        <w:widowControl/>
        <w:kinsoku/>
        <w:wordWrap/>
        <w:overflowPunct/>
        <w:topLinePunct w:val="0"/>
        <w:autoSpaceDE/>
        <w:autoSpaceDN/>
        <w:bidi w:val="0"/>
        <w:adjustRightInd w:val="0"/>
        <w:snapToGrid w:val="0"/>
        <w:spacing w:afterAutospacing="0" w:line="360" w:lineRule="auto"/>
        <w:ind w:left="0"/>
        <w:jc w:val="left"/>
        <w:textAlignment w:val="auto"/>
        <w:rPr>
          <w:rFonts w:ascii="宋体" w:hAnsi="宋体" w:cs="宋体"/>
          <w:b/>
          <w:color w:val="auto"/>
          <w:spacing w:val="1280"/>
          <w:kern w:val="0"/>
          <w:sz w:val="32"/>
          <w:szCs w:val="32"/>
          <w:highlight w:val="none"/>
        </w:rPr>
      </w:pPr>
      <w:r>
        <w:rPr>
          <w:rFonts w:hint="eastAsia" w:ascii="宋体" w:hAnsi="宋体" w:cs="宋体"/>
          <w:b/>
          <w:color w:val="auto"/>
          <w:spacing w:val="106"/>
          <w:kern w:val="0"/>
          <w:sz w:val="32"/>
          <w:szCs w:val="32"/>
          <w:highlight w:val="none"/>
          <w:lang w:bidi="ar"/>
        </w:rPr>
        <w:t>包组号（如有）：</w:t>
      </w:r>
    </w:p>
    <w:p w14:paraId="1A845649">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ascii="宋体" w:hAnsi="宋体" w:cs="宋体"/>
          <w:b/>
          <w:color w:val="auto"/>
          <w:sz w:val="32"/>
          <w:szCs w:val="32"/>
          <w:highlight w:val="none"/>
        </w:rPr>
      </w:pPr>
      <w:r>
        <w:rPr>
          <w:rFonts w:hint="eastAsia" w:ascii="宋体" w:hAnsi="宋体" w:cs="宋体"/>
          <w:b/>
          <w:color w:val="auto"/>
          <w:spacing w:val="0"/>
          <w:kern w:val="0"/>
          <w:sz w:val="32"/>
          <w:szCs w:val="32"/>
          <w:highlight w:val="none"/>
          <w:fitText w:val="1600" w:id="1458731915"/>
        </w:rPr>
        <w:t>投标人名称</w:t>
      </w:r>
      <w:r>
        <w:rPr>
          <w:rFonts w:hint="eastAsia" w:ascii="宋体" w:hAnsi="宋体" w:cs="宋体"/>
          <w:b/>
          <w:color w:val="auto"/>
          <w:sz w:val="32"/>
          <w:szCs w:val="32"/>
          <w:highlight w:val="none"/>
        </w:rPr>
        <w:t>：</w:t>
      </w:r>
    </w:p>
    <w:p w14:paraId="7E077120">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ascii="宋体" w:hAnsi="宋体" w:cs="宋体"/>
          <w:b/>
          <w:color w:val="auto"/>
          <w:sz w:val="32"/>
          <w:szCs w:val="32"/>
          <w:highlight w:val="none"/>
        </w:rPr>
      </w:pPr>
      <w:r>
        <w:rPr>
          <w:rFonts w:hint="eastAsia" w:ascii="宋体" w:hAnsi="宋体" w:cs="宋体"/>
          <w:b/>
          <w:color w:val="auto"/>
          <w:spacing w:val="32"/>
          <w:kern w:val="0"/>
          <w:sz w:val="32"/>
          <w:szCs w:val="32"/>
          <w:highlight w:val="none"/>
          <w:fitText w:val="1600" w:id="437591866"/>
        </w:rPr>
        <w:t xml:space="preserve">日    </w:t>
      </w:r>
      <w:r>
        <w:rPr>
          <w:rFonts w:hint="eastAsia" w:ascii="宋体" w:hAnsi="宋体" w:cs="宋体"/>
          <w:b/>
          <w:color w:val="auto"/>
          <w:spacing w:val="0"/>
          <w:kern w:val="0"/>
          <w:sz w:val="32"/>
          <w:szCs w:val="32"/>
          <w:highlight w:val="none"/>
          <w:fitText w:val="1600" w:id="437591866"/>
        </w:rPr>
        <w:t>期</w:t>
      </w:r>
      <w:r>
        <w:rPr>
          <w:rFonts w:hint="eastAsia" w:ascii="宋体" w:hAnsi="宋体" w:cs="宋体"/>
          <w:b/>
          <w:color w:val="auto"/>
          <w:sz w:val="32"/>
          <w:szCs w:val="32"/>
          <w:highlight w:val="none"/>
        </w:rPr>
        <w:t>：</w:t>
      </w:r>
    </w:p>
    <w:p w14:paraId="09DB8473">
      <w:pPr>
        <w:rPr>
          <w:color w:val="auto"/>
        </w:rPr>
      </w:pPr>
    </w:p>
    <w:p w14:paraId="397AC67F">
      <w:pPr>
        <w:pStyle w:val="9"/>
        <w:rPr>
          <w:color w:val="auto"/>
        </w:rPr>
      </w:pPr>
    </w:p>
    <w:p w14:paraId="6543BC70">
      <w:pPr>
        <w:pStyle w:val="10"/>
        <w:ind w:firstLine="240"/>
        <w:rPr>
          <w:color w:val="auto"/>
        </w:rPr>
      </w:pPr>
    </w:p>
    <w:p w14:paraId="3DCBDDAF">
      <w:pPr>
        <w:pStyle w:val="23"/>
        <w:rPr>
          <w:color w:val="auto"/>
        </w:rPr>
      </w:pPr>
    </w:p>
    <w:p w14:paraId="5B706946">
      <w:pPr>
        <w:rPr>
          <w:color w:val="auto"/>
        </w:rPr>
      </w:pPr>
    </w:p>
    <w:p w14:paraId="2F12DEEE">
      <w:pPr>
        <w:pStyle w:val="9"/>
        <w:rPr>
          <w:color w:val="auto"/>
        </w:rPr>
      </w:pPr>
    </w:p>
    <w:p w14:paraId="4F4B2AA6">
      <w:pPr>
        <w:pStyle w:val="10"/>
        <w:ind w:firstLine="240"/>
        <w:rPr>
          <w:color w:val="auto"/>
        </w:rPr>
      </w:pPr>
    </w:p>
    <w:p w14:paraId="3279B289">
      <w:pPr>
        <w:pStyle w:val="23"/>
        <w:rPr>
          <w:color w:val="auto"/>
        </w:rPr>
      </w:pPr>
    </w:p>
    <w:p w14:paraId="6608737C">
      <w:pPr>
        <w:pStyle w:val="23"/>
        <w:ind w:left="0"/>
        <w:rPr>
          <w:color w:val="auto"/>
        </w:rPr>
      </w:pPr>
    </w:p>
    <w:p w14:paraId="688B6C8B">
      <w:pPr>
        <w:rPr>
          <w:rFonts w:ascii="宋体" w:hAnsi="宋体"/>
          <w:color w:val="auto"/>
          <w:szCs w:val="21"/>
        </w:rPr>
      </w:pPr>
      <w:r>
        <w:rPr>
          <w:rFonts w:hint="eastAsia" w:ascii="宋体" w:hAnsi="宋体"/>
          <w:color w:val="auto"/>
          <w:szCs w:val="21"/>
        </w:rPr>
        <w:br w:type="page"/>
      </w:r>
    </w:p>
    <w:p w14:paraId="7339255E">
      <w:pPr>
        <w:pStyle w:val="5"/>
        <w:widowControl w:val="0"/>
        <w:overflowPunct w:val="0"/>
        <w:spacing w:line="240" w:lineRule="auto"/>
        <w:rPr>
          <w:rFonts w:ascii="宋体" w:hAnsi="宋体"/>
          <w:color w:val="auto"/>
          <w:sz w:val="21"/>
          <w:szCs w:val="21"/>
        </w:rPr>
      </w:pPr>
      <w:bookmarkStart w:id="260" w:name="_Toc6426"/>
      <w:r>
        <w:rPr>
          <w:rFonts w:hint="eastAsia" w:ascii="宋体" w:hAnsi="宋体"/>
          <w:color w:val="auto"/>
          <w:sz w:val="21"/>
          <w:szCs w:val="21"/>
        </w:rPr>
        <w:t>附件2.开标一览表格式</w:t>
      </w:r>
      <w:bookmarkEnd w:id="260"/>
    </w:p>
    <w:p w14:paraId="532944BB">
      <w:pPr>
        <w:jc w:val="center"/>
        <w:rPr>
          <w:rFonts w:ascii="黑体" w:eastAsia="黑体"/>
          <w:color w:val="auto"/>
          <w:sz w:val="32"/>
          <w:szCs w:val="32"/>
        </w:rPr>
      </w:pPr>
      <w:r>
        <w:rPr>
          <w:rFonts w:hint="eastAsia" w:ascii="黑体" w:eastAsia="黑体"/>
          <w:color w:val="auto"/>
          <w:sz w:val="32"/>
          <w:szCs w:val="32"/>
        </w:rPr>
        <w:t>开标一览表</w:t>
      </w:r>
    </w:p>
    <w:p w14:paraId="70047286">
      <w:pPr>
        <w:rPr>
          <w:color w:val="auto"/>
        </w:rPr>
      </w:pPr>
    </w:p>
    <w:p w14:paraId="39D3E895">
      <w:pPr>
        <w:rPr>
          <w:rFonts w:ascii="宋体" w:hAnsi="宋体"/>
          <w:color w:val="auto"/>
          <w:szCs w:val="21"/>
        </w:rPr>
      </w:pPr>
      <w:r>
        <w:rPr>
          <w:rFonts w:hint="eastAsia" w:ascii="宋体" w:hAnsi="宋体"/>
          <w:color w:val="auto"/>
          <w:szCs w:val="21"/>
        </w:rPr>
        <w:t>投标人名称：</w:t>
      </w:r>
    </w:p>
    <w:p w14:paraId="4C17C682">
      <w:pPr>
        <w:rPr>
          <w:color w:val="auto"/>
        </w:rPr>
      </w:pPr>
      <w:r>
        <w:rPr>
          <w:rFonts w:hint="eastAsia" w:ascii="宋体" w:hAnsi="宋体"/>
          <w:color w:val="auto"/>
          <w:szCs w:val="21"/>
        </w:rPr>
        <w:t>采购项目编号：</w:t>
      </w:r>
    </w:p>
    <w:tbl>
      <w:tblPr>
        <w:tblStyle w:val="30"/>
        <w:tblW w:w="466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69"/>
        <w:gridCol w:w="2140"/>
        <w:gridCol w:w="3644"/>
      </w:tblGrid>
      <w:tr w14:paraId="4AFE3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1363" w:type="pct"/>
            <w:noWrap w:val="0"/>
            <w:vAlign w:val="center"/>
          </w:tcPr>
          <w:p w14:paraId="3A52F86D">
            <w:pPr>
              <w:shd w:val="clear" w:color="auto" w:fill="auto"/>
              <w:overflowPunct w:val="0"/>
              <w:adjustRightInd w:val="0"/>
              <w:spacing w:line="460" w:lineRule="exact"/>
              <w:jc w:val="center"/>
              <w:rPr>
                <w:rFonts w:ascii="宋体" w:hAnsi="宋体"/>
                <w:b/>
                <w:color w:val="auto"/>
                <w:sz w:val="24"/>
                <w:highlight w:val="none"/>
              </w:rPr>
            </w:pPr>
            <w:r>
              <w:rPr>
                <w:rFonts w:hint="eastAsia" w:ascii="宋体" w:hAnsi="宋体"/>
                <w:b/>
                <w:color w:val="auto"/>
                <w:sz w:val="24"/>
                <w:highlight w:val="none"/>
              </w:rPr>
              <w:t>项目名称</w:t>
            </w:r>
          </w:p>
        </w:tc>
        <w:tc>
          <w:tcPr>
            <w:tcW w:w="1345" w:type="pct"/>
            <w:noWrap w:val="0"/>
            <w:vAlign w:val="center"/>
          </w:tcPr>
          <w:p w14:paraId="5DD50244">
            <w:pPr>
              <w:shd w:val="clear" w:color="auto" w:fill="auto"/>
              <w:overflowPunct w:val="0"/>
              <w:adjustRightInd w:val="0"/>
              <w:spacing w:line="46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承销费率报价</w:t>
            </w:r>
          </w:p>
        </w:tc>
        <w:tc>
          <w:tcPr>
            <w:tcW w:w="2290" w:type="pct"/>
            <w:noWrap w:val="0"/>
            <w:vAlign w:val="center"/>
          </w:tcPr>
          <w:p w14:paraId="19117BC0">
            <w:pPr>
              <w:shd w:val="clear" w:color="auto" w:fill="auto"/>
              <w:overflowPunct w:val="0"/>
              <w:adjustRightInd w:val="0"/>
              <w:spacing w:line="460" w:lineRule="exact"/>
              <w:jc w:val="center"/>
              <w:rPr>
                <w:rFonts w:hint="eastAsia" w:ascii="宋体" w:hAnsi="宋体"/>
                <w:b/>
                <w:color w:val="auto"/>
                <w:sz w:val="24"/>
                <w:highlight w:val="none"/>
              </w:rPr>
            </w:pPr>
            <w:r>
              <w:rPr>
                <w:rFonts w:hint="eastAsia" w:ascii="宋体" w:hAnsi="宋体"/>
                <w:b/>
                <w:color w:val="auto"/>
                <w:sz w:val="24"/>
                <w:highlight w:val="none"/>
              </w:rPr>
              <w:t>服务期</w:t>
            </w:r>
          </w:p>
        </w:tc>
      </w:tr>
      <w:tr w14:paraId="0DF8A6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7" w:hRule="atLeast"/>
          <w:jc w:val="center"/>
        </w:trPr>
        <w:tc>
          <w:tcPr>
            <w:tcW w:w="1363" w:type="pct"/>
            <w:noWrap w:val="0"/>
            <w:vAlign w:val="center"/>
          </w:tcPr>
          <w:p w14:paraId="46605D32">
            <w:pPr>
              <w:shd w:val="clear" w:color="auto" w:fill="auto"/>
              <w:overflowPunct w:val="0"/>
              <w:adjustRightInd w:val="0"/>
              <w:spacing w:line="460" w:lineRule="exact"/>
              <w:jc w:val="center"/>
              <w:rPr>
                <w:rFonts w:ascii="宋体" w:hAnsi="宋体"/>
                <w:color w:val="auto"/>
                <w:sz w:val="24"/>
                <w:highlight w:val="none"/>
              </w:rPr>
            </w:pPr>
          </w:p>
        </w:tc>
        <w:tc>
          <w:tcPr>
            <w:tcW w:w="1345" w:type="pct"/>
            <w:noWrap w:val="0"/>
            <w:vAlign w:val="center"/>
          </w:tcPr>
          <w:p w14:paraId="517AF832">
            <w:pPr>
              <w:shd w:val="clear" w:color="auto" w:fill="auto"/>
              <w:overflowPunct w:val="0"/>
              <w:adjustRightInd w:val="0"/>
              <w:spacing w:line="460" w:lineRule="exact"/>
              <w:jc w:val="center"/>
              <w:rPr>
                <w:rFonts w:hint="default" w:ascii="宋体" w:hAnsi="宋体" w:eastAsia="宋体"/>
                <w:color w:val="auto"/>
                <w:sz w:val="24"/>
                <w:highlight w:val="none"/>
                <w:u w:val="none"/>
                <w:lang w:val="en-US" w:eastAsia="zh-CN"/>
              </w:rPr>
            </w:pP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lang w:val="en-US" w:eastAsia="zh-CN"/>
              </w:rPr>
              <w:t>%/年</w:t>
            </w:r>
          </w:p>
        </w:tc>
        <w:tc>
          <w:tcPr>
            <w:tcW w:w="2290" w:type="pct"/>
            <w:noWrap w:val="0"/>
            <w:vAlign w:val="center"/>
          </w:tcPr>
          <w:p w14:paraId="289CDD56">
            <w:pPr>
              <w:shd w:val="clear" w:color="auto" w:fill="auto"/>
              <w:overflowPunct w:val="0"/>
              <w:adjustRightInd w:val="0"/>
              <w:spacing w:line="460" w:lineRule="exact"/>
              <w:jc w:val="center"/>
              <w:rPr>
                <w:rFonts w:ascii="宋体" w:hAnsi="宋体"/>
                <w:color w:val="auto"/>
                <w:sz w:val="24"/>
                <w:highlight w:val="none"/>
              </w:rPr>
            </w:pPr>
            <w:r>
              <w:rPr>
                <w:rFonts w:hint="eastAsia" w:ascii="宋体" w:hAnsi="宋体" w:eastAsia="宋体" w:cs="宋体"/>
                <w:color w:val="auto"/>
                <w:kern w:val="28"/>
                <w:szCs w:val="21"/>
                <w:lang w:eastAsia="zh-CN"/>
              </w:rPr>
              <w:t>本项目服务期自签订服务合同之日起至本项目工作全部完成止</w:t>
            </w:r>
          </w:p>
        </w:tc>
      </w:tr>
    </w:tbl>
    <w:p w14:paraId="66D80D3B">
      <w:pPr>
        <w:rPr>
          <w:rFonts w:hint="eastAsia"/>
          <w:color w:val="auto"/>
        </w:rPr>
      </w:pPr>
    </w:p>
    <w:p w14:paraId="1C07E62F">
      <w:pPr>
        <w:shd w:val="clear" w:color="auto" w:fill="auto"/>
        <w:overflowPunct w:val="0"/>
        <w:adjustRightInd w:val="0"/>
        <w:spacing w:line="4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备注：</w:t>
      </w:r>
      <w:r>
        <w:rPr>
          <w:rFonts w:hint="eastAsia" w:ascii="宋体" w:hAnsi="宋体" w:cs="宋体"/>
          <w:color w:val="auto"/>
          <w:sz w:val="22"/>
          <w:szCs w:val="22"/>
          <w:highlight w:val="none"/>
          <w:lang w:val="en-US" w:eastAsia="zh-CN"/>
        </w:rPr>
        <w:t>报价小数点后最多保留3位，费率不能为0，否则视为无效报价。</w:t>
      </w:r>
    </w:p>
    <w:p w14:paraId="7E38AAB0">
      <w:pPr>
        <w:rPr>
          <w:rFonts w:ascii="宋体" w:hAnsi="宋体"/>
          <w:color w:val="auto"/>
          <w:szCs w:val="21"/>
        </w:rPr>
      </w:pPr>
    </w:p>
    <w:p w14:paraId="4CAE59F1">
      <w:pPr>
        <w:ind w:firstLine="359" w:firstLineChars="171"/>
        <w:rPr>
          <w:rFonts w:ascii="宋体" w:hAnsi="宋体"/>
          <w:color w:val="auto"/>
          <w:szCs w:val="21"/>
        </w:rPr>
      </w:pPr>
    </w:p>
    <w:p w14:paraId="39E3C9A8">
      <w:pPr>
        <w:ind w:firstLine="359" w:firstLineChars="171"/>
        <w:rPr>
          <w:rFonts w:ascii="宋体" w:hAnsi="宋体"/>
          <w:color w:val="auto"/>
          <w:szCs w:val="21"/>
        </w:rPr>
      </w:pPr>
      <w:r>
        <w:rPr>
          <w:rFonts w:hint="eastAsia" w:ascii="宋体" w:hAnsi="宋体"/>
          <w:color w:val="auto"/>
          <w:szCs w:val="21"/>
        </w:rPr>
        <w:t>投标人代表签字：</w:t>
      </w:r>
    </w:p>
    <w:p w14:paraId="0FA51C70">
      <w:pPr>
        <w:ind w:firstLine="359" w:firstLineChars="171"/>
        <w:rPr>
          <w:rFonts w:ascii="宋体" w:hAnsi="宋体"/>
          <w:color w:val="auto"/>
          <w:szCs w:val="21"/>
        </w:rPr>
      </w:pPr>
      <w:r>
        <w:rPr>
          <w:rFonts w:hint="eastAsia" w:ascii="宋体" w:hAnsi="宋体"/>
          <w:color w:val="auto"/>
          <w:szCs w:val="21"/>
        </w:rPr>
        <w:t>投标人盖章：</w:t>
      </w:r>
    </w:p>
    <w:p w14:paraId="63F5EAA7">
      <w:pPr>
        <w:ind w:firstLine="359" w:firstLineChars="171"/>
        <w:rPr>
          <w:rFonts w:ascii="宋体" w:hAnsi="宋体"/>
          <w:color w:val="auto"/>
          <w:szCs w:val="21"/>
        </w:rPr>
      </w:pPr>
      <w:r>
        <w:rPr>
          <w:rFonts w:hint="eastAsia" w:ascii="宋体" w:hAnsi="宋体"/>
          <w:color w:val="auto"/>
          <w:szCs w:val="21"/>
        </w:rPr>
        <w:t>日期：</w:t>
      </w:r>
    </w:p>
    <w:p w14:paraId="314283E7">
      <w:pPr>
        <w:ind w:firstLine="359" w:firstLineChars="171"/>
        <w:rPr>
          <w:rFonts w:ascii="宋体" w:hAnsi="宋体"/>
          <w:color w:val="auto"/>
          <w:szCs w:val="21"/>
        </w:rPr>
      </w:pPr>
    </w:p>
    <w:p w14:paraId="67F24589">
      <w:pPr>
        <w:ind w:left="391" w:hanging="390" w:hangingChars="186"/>
        <w:rPr>
          <w:rFonts w:ascii="宋体" w:hAnsi="宋体"/>
          <w:color w:val="auto"/>
          <w:szCs w:val="21"/>
        </w:rPr>
      </w:pPr>
      <w:r>
        <w:rPr>
          <w:rFonts w:hint="eastAsia" w:ascii="宋体" w:hAnsi="宋体"/>
          <w:color w:val="auto"/>
          <w:szCs w:val="21"/>
        </w:rPr>
        <w:t xml:space="preserve">    </w:t>
      </w:r>
    </w:p>
    <w:p w14:paraId="16F9D2B6">
      <w:pPr>
        <w:rPr>
          <w:color w:val="auto"/>
          <w:sz w:val="52"/>
          <w:szCs w:val="52"/>
        </w:rPr>
      </w:pPr>
      <w:r>
        <w:rPr>
          <w:rFonts w:hint="eastAsia" w:ascii="宋体" w:hAnsi="宋体"/>
          <w:color w:val="auto"/>
          <w:szCs w:val="21"/>
        </w:rPr>
        <w:br w:type="page"/>
      </w:r>
    </w:p>
    <w:p w14:paraId="3F5A2FC3">
      <w:pPr>
        <w:pStyle w:val="3"/>
        <w:spacing w:before="0" w:after="0" w:line="360" w:lineRule="auto"/>
        <w:jc w:val="center"/>
        <w:rPr>
          <w:color w:val="auto"/>
          <w:sz w:val="72"/>
          <w:szCs w:val="72"/>
        </w:rPr>
      </w:pPr>
      <w:bookmarkStart w:id="261" w:name="_Toc28462"/>
      <w:r>
        <w:rPr>
          <w:rFonts w:hint="eastAsia"/>
          <w:color w:val="auto"/>
          <w:sz w:val="72"/>
          <w:szCs w:val="72"/>
        </w:rPr>
        <w:t>商务文件</w:t>
      </w:r>
      <w:bookmarkEnd w:id="261"/>
    </w:p>
    <w:p w14:paraId="7A6FF73C">
      <w:pPr>
        <w:jc w:val="center"/>
        <w:rPr>
          <w:rFonts w:ascii="黑体" w:eastAsia="黑体"/>
          <w:color w:val="auto"/>
          <w:sz w:val="72"/>
          <w:szCs w:val="72"/>
        </w:rPr>
      </w:pPr>
      <w:r>
        <w:rPr>
          <w:rFonts w:hint="eastAsia" w:ascii="黑体" w:eastAsia="黑体"/>
          <w:color w:val="auto"/>
          <w:sz w:val="72"/>
          <w:szCs w:val="72"/>
        </w:rPr>
        <w:t>（单独装订成册）</w:t>
      </w:r>
    </w:p>
    <w:p w14:paraId="0B2508B4">
      <w:pPr>
        <w:rPr>
          <w:color w:val="auto"/>
        </w:rPr>
      </w:pPr>
    </w:p>
    <w:p w14:paraId="1D4FC74C">
      <w:pPr>
        <w:pStyle w:val="9"/>
        <w:rPr>
          <w:color w:val="auto"/>
        </w:rPr>
      </w:pPr>
    </w:p>
    <w:p w14:paraId="24820DBA">
      <w:pPr>
        <w:pStyle w:val="10"/>
        <w:ind w:firstLine="240"/>
        <w:rPr>
          <w:color w:val="auto"/>
        </w:rPr>
      </w:pPr>
    </w:p>
    <w:p w14:paraId="39BB80D5">
      <w:pPr>
        <w:rPr>
          <w:rFonts w:ascii="宋体" w:hAnsi="宋体" w:cs="宋体"/>
          <w:b/>
          <w:bCs/>
          <w:color w:val="auto"/>
          <w:spacing w:val="-6"/>
          <w:sz w:val="32"/>
          <w:szCs w:val="32"/>
          <w:highlight w:val="none"/>
        </w:rPr>
      </w:pPr>
      <w:r>
        <w:rPr>
          <w:rFonts w:hint="eastAsia" w:ascii="宋体" w:hAnsi="宋体" w:cs="宋体"/>
          <w:b/>
          <w:bCs/>
          <w:color w:val="auto"/>
          <w:spacing w:val="53"/>
          <w:kern w:val="0"/>
          <w:sz w:val="32"/>
          <w:szCs w:val="32"/>
          <w:highlight w:val="none"/>
          <w:fitText w:val="1600" w:id="292250509"/>
        </w:rPr>
        <w:t>项目名</w:t>
      </w:r>
      <w:r>
        <w:rPr>
          <w:rFonts w:hint="eastAsia" w:ascii="宋体" w:hAnsi="宋体" w:cs="宋体"/>
          <w:b/>
          <w:bCs/>
          <w:color w:val="auto"/>
          <w:spacing w:val="1"/>
          <w:kern w:val="0"/>
          <w:sz w:val="32"/>
          <w:szCs w:val="32"/>
          <w:highlight w:val="none"/>
          <w:fitText w:val="1600" w:id="292250509"/>
        </w:rPr>
        <w:t>称</w:t>
      </w:r>
      <w:r>
        <w:rPr>
          <w:rFonts w:hint="eastAsia" w:ascii="宋体" w:hAnsi="宋体" w:cs="宋体"/>
          <w:b/>
          <w:bCs/>
          <w:color w:val="auto"/>
          <w:spacing w:val="-6"/>
          <w:sz w:val="32"/>
          <w:szCs w:val="32"/>
          <w:highlight w:val="none"/>
        </w:rPr>
        <w:t>：东莞实业投资控股集团有限公司注册发行超短期融资券主承销商采购项目</w:t>
      </w:r>
    </w:p>
    <w:p w14:paraId="3D9F5C42">
      <w:pPr>
        <w:rPr>
          <w:rFonts w:ascii="宋体" w:hAnsi="宋体" w:cs="宋体"/>
          <w:b/>
          <w:bCs/>
          <w:color w:val="auto"/>
          <w:sz w:val="32"/>
          <w:szCs w:val="32"/>
          <w:highlight w:val="none"/>
        </w:rPr>
      </w:pPr>
      <w:r>
        <w:rPr>
          <w:rFonts w:hint="eastAsia" w:ascii="宋体" w:hAnsi="宋体" w:cs="宋体"/>
          <w:b/>
          <w:bCs/>
          <w:color w:val="auto"/>
          <w:spacing w:val="53"/>
          <w:kern w:val="0"/>
          <w:sz w:val="32"/>
          <w:szCs w:val="32"/>
          <w:highlight w:val="none"/>
          <w:fitText w:val="1600" w:id="1231831253"/>
        </w:rPr>
        <w:t>项目编</w:t>
      </w:r>
      <w:r>
        <w:rPr>
          <w:rFonts w:hint="eastAsia" w:ascii="宋体" w:hAnsi="宋体" w:cs="宋体"/>
          <w:b/>
          <w:bCs/>
          <w:color w:val="auto"/>
          <w:spacing w:val="1"/>
          <w:kern w:val="0"/>
          <w:sz w:val="32"/>
          <w:szCs w:val="32"/>
          <w:highlight w:val="none"/>
          <w:fitText w:val="1600" w:id="1231831253"/>
        </w:rPr>
        <w:t>号</w:t>
      </w:r>
      <w:r>
        <w:rPr>
          <w:rFonts w:hint="eastAsia" w:ascii="宋体" w:hAnsi="宋体" w:cs="宋体"/>
          <w:b/>
          <w:bCs/>
          <w:color w:val="auto"/>
          <w:sz w:val="32"/>
          <w:szCs w:val="32"/>
          <w:highlight w:val="none"/>
        </w:rPr>
        <w:t>：</w:t>
      </w:r>
      <w:r>
        <w:rPr>
          <w:rFonts w:hint="eastAsia" w:ascii="宋体" w:hAnsi="宋体" w:cs="宋体"/>
          <w:b/>
          <w:color w:val="auto"/>
          <w:sz w:val="32"/>
          <w:szCs w:val="32"/>
          <w:highlight w:val="none"/>
        </w:rPr>
        <w:t>DGSY-CW-03-12-014(2024)</w:t>
      </w:r>
    </w:p>
    <w:p w14:paraId="1F579E06">
      <w:pPr>
        <w:pStyle w:val="9"/>
        <w:ind w:left="0"/>
        <w:rPr>
          <w:rFonts w:hint="eastAsia" w:eastAsia="宋体"/>
          <w:b/>
          <w:color w:val="auto"/>
          <w:spacing w:val="1280"/>
          <w:sz w:val="32"/>
          <w:szCs w:val="32"/>
          <w:highlight w:val="none"/>
          <w:lang w:val="en-US" w:eastAsia="zh-CN"/>
        </w:rPr>
      </w:pPr>
      <w:r>
        <w:rPr>
          <w:b/>
          <w:color w:val="auto"/>
          <w:spacing w:val="106"/>
          <w:sz w:val="32"/>
          <w:szCs w:val="32"/>
          <w:highlight w:val="none"/>
          <w:lang w:val="en-US" w:bidi="ar-SA"/>
        </w:rPr>
        <w:t>包组号（如有）：</w:t>
      </w:r>
      <w:r>
        <w:rPr>
          <w:rFonts w:hint="eastAsia"/>
          <w:b/>
          <w:color w:val="auto"/>
          <w:spacing w:val="106"/>
          <w:sz w:val="32"/>
          <w:szCs w:val="32"/>
          <w:highlight w:val="none"/>
          <w:lang w:val="en-US" w:eastAsia="zh-CN" w:bidi="ar-SA"/>
        </w:rPr>
        <w:t>A</w:t>
      </w:r>
    </w:p>
    <w:p w14:paraId="3E461536">
      <w:pPr>
        <w:rPr>
          <w:rFonts w:ascii="宋体" w:hAnsi="宋体" w:cs="宋体"/>
          <w:b/>
          <w:color w:val="auto"/>
          <w:sz w:val="32"/>
          <w:szCs w:val="32"/>
          <w:highlight w:val="none"/>
        </w:rPr>
      </w:pPr>
      <w:r>
        <w:rPr>
          <w:rFonts w:hint="eastAsia" w:ascii="宋体" w:hAnsi="宋体" w:cs="宋体"/>
          <w:b/>
          <w:color w:val="auto"/>
          <w:spacing w:val="0"/>
          <w:kern w:val="0"/>
          <w:sz w:val="32"/>
          <w:szCs w:val="32"/>
          <w:highlight w:val="none"/>
          <w:fitText w:val="1600" w:id="1764384445"/>
        </w:rPr>
        <w:t>投标人名称</w:t>
      </w:r>
      <w:r>
        <w:rPr>
          <w:rFonts w:hint="eastAsia" w:ascii="宋体" w:hAnsi="宋体" w:cs="宋体"/>
          <w:b/>
          <w:color w:val="auto"/>
          <w:sz w:val="32"/>
          <w:szCs w:val="32"/>
          <w:highlight w:val="none"/>
        </w:rPr>
        <w:t>：</w:t>
      </w:r>
    </w:p>
    <w:p w14:paraId="303589C6">
      <w:pPr>
        <w:rPr>
          <w:rFonts w:ascii="宋体" w:hAnsi="宋体" w:cs="宋体"/>
          <w:b/>
          <w:color w:val="auto"/>
          <w:sz w:val="32"/>
          <w:szCs w:val="32"/>
          <w:highlight w:val="none"/>
        </w:rPr>
      </w:pPr>
      <w:r>
        <w:rPr>
          <w:rFonts w:hint="eastAsia" w:ascii="宋体" w:hAnsi="宋体" w:cs="宋体"/>
          <w:b/>
          <w:color w:val="auto"/>
          <w:spacing w:val="32"/>
          <w:kern w:val="0"/>
          <w:sz w:val="32"/>
          <w:szCs w:val="32"/>
          <w:highlight w:val="none"/>
          <w:fitText w:val="1600" w:id="2061173831"/>
        </w:rPr>
        <w:t xml:space="preserve">日    </w:t>
      </w:r>
      <w:r>
        <w:rPr>
          <w:rFonts w:hint="eastAsia" w:ascii="宋体" w:hAnsi="宋体" w:cs="宋体"/>
          <w:b/>
          <w:color w:val="auto"/>
          <w:spacing w:val="0"/>
          <w:kern w:val="0"/>
          <w:sz w:val="32"/>
          <w:szCs w:val="32"/>
          <w:highlight w:val="none"/>
          <w:fitText w:val="1600" w:id="2061173831"/>
        </w:rPr>
        <w:t>期</w:t>
      </w:r>
      <w:r>
        <w:rPr>
          <w:rFonts w:hint="eastAsia" w:ascii="宋体" w:hAnsi="宋体" w:cs="宋体"/>
          <w:b/>
          <w:color w:val="auto"/>
          <w:sz w:val="32"/>
          <w:szCs w:val="32"/>
          <w:highlight w:val="none"/>
        </w:rPr>
        <w:t>：</w:t>
      </w:r>
    </w:p>
    <w:p w14:paraId="6AF76B35">
      <w:pPr>
        <w:pStyle w:val="9"/>
        <w:rPr>
          <w:b/>
          <w:color w:val="auto"/>
          <w:sz w:val="32"/>
          <w:szCs w:val="32"/>
          <w:highlight w:val="none"/>
        </w:rPr>
      </w:pPr>
    </w:p>
    <w:p w14:paraId="2DE13F2E">
      <w:pPr>
        <w:pStyle w:val="10"/>
        <w:ind w:firstLine="321"/>
        <w:rPr>
          <w:b/>
          <w:color w:val="auto"/>
          <w:sz w:val="32"/>
          <w:szCs w:val="32"/>
        </w:rPr>
      </w:pPr>
    </w:p>
    <w:p w14:paraId="76A19940">
      <w:pPr>
        <w:pStyle w:val="23"/>
        <w:rPr>
          <w:rFonts w:ascii="宋体" w:hAnsi="宋体" w:cs="宋体"/>
          <w:b/>
          <w:color w:val="auto"/>
          <w:sz w:val="32"/>
          <w:szCs w:val="32"/>
        </w:rPr>
      </w:pPr>
    </w:p>
    <w:p w14:paraId="05B8B5E1">
      <w:pPr>
        <w:rPr>
          <w:rFonts w:ascii="宋体" w:hAnsi="宋体" w:cs="宋体"/>
          <w:b/>
          <w:color w:val="auto"/>
          <w:sz w:val="32"/>
          <w:szCs w:val="32"/>
        </w:rPr>
      </w:pPr>
    </w:p>
    <w:p w14:paraId="2548963D">
      <w:pPr>
        <w:pStyle w:val="9"/>
        <w:rPr>
          <w:b/>
          <w:color w:val="auto"/>
          <w:sz w:val="32"/>
          <w:szCs w:val="32"/>
        </w:rPr>
      </w:pPr>
    </w:p>
    <w:p w14:paraId="63E648E5">
      <w:pPr>
        <w:rPr>
          <w:color w:val="auto"/>
        </w:rPr>
      </w:pPr>
    </w:p>
    <w:p w14:paraId="637B28BF">
      <w:pPr>
        <w:rPr>
          <w:rFonts w:ascii="宋体" w:hAnsi="宋体"/>
          <w:color w:val="auto"/>
          <w:szCs w:val="21"/>
        </w:rPr>
      </w:pPr>
      <w:r>
        <w:rPr>
          <w:rFonts w:hint="eastAsia" w:ascii="宋体" w:hAnsi="宋体"/>
          <w:color w:val="auto"/>
          <w:szCs w:val="21"/>
        </w:rPr>
        <w:br w:type="page"/>
      </w:r>
    </w:p>
    <w:p w14:paraId="54B7835E">
      <w:pPr>
        <w:pStyle w:val="5"/>
        <w:widowControl w:val="0"/>
        <w:overflowPunct w:val="0"/>
        <w:spacing w:line="240" w:lineRule="auto"/>
        <w:rPr>
          <w:color w:val="auto"/>
        </w:rPr>
      </w:pPr>
      <w:bookmarkStart w:id="262" w:name="_Toc519"/>
      <w:r>
        <w:rPr>
          <w:rFonts w:hint="eastAsia" w:ascii="宋体" w:hAnsi="宋体"/>
          <w:color w:val="auto"/>
          <w:sz w:val="21"/>
          <w:szCs w:val="21"/>
        </w:rPr>
        <w:t>附件</w:t>
      </w:r>
      <w:r>
        <w:rPr>
          <w:rFonts w:hint="eastAsia" w:ascii="宋体" w:hAnsi="宋体"/>
          <w:color w:val="auto"/>
          <w:sz w:val="21"/>
          <w:szCs w:val="21"/>
          <w:lang w:val="en-US" w:eastAsia="zh-CN"/>
        </w:rPr>
        <w:t>3</w:t>
      </w:r>
      <w:r>
        <w:rPr>
          <w:rFonts w:hint="eastAsia" w:ascii="宋体" w:hAnsi="宋体"/>
          <w:color w:val="auto"/>
          <w:sz w:val="21"/>
          <w:szCs w:val="21"/>
        </w:rPr>
        <w:t>.投标书格式</w:t>
      </w:r>
      <w:bookmarkEnd w:id="262"/>
    </w:p>
    <w:p w14:paraId="5BBFB311">
      <w:pPr>
        <w:jc w:val="center"/>
        <w:rPr>
          <w:rFonts w:ascii="宋体" w:hAnsi="宋体"/>
          <w:color w:val="auto"/>
          <w:szCs w:val="21"/>
        </w:rPr>
      </w:pPr>
      <w:r>
        <w:rPr>
          <w:rFonts w:hint="eastAsia" w:ascii="黑体" w:eastAsia="黑体"/>
          <w:color w:val="auto"/>
          <w:sz w:val="32"/>
          <w:szCs w:val="32"/>
        </w:rPr>
        <w:t>投标书</w:t>
      </w:r>
    </w:p>
    <w:p w14:paraId="329E6930">
      <w:pPr>
        <w:rPr>
          <w:rFonts w:ascii="宋体" w:hAnsi="宋体"/>
          <w:color w:val="auto"/>
          <w:szCs w:val="21"/>
        </w:rPr>
      </w:pPr>
      <w:r>
        <w:rPr>
          <w:rFonts w:hint="eastAsia" w:ascii="宋体" w:hAnsi="宋体"/>
          <w:color w:val="auto"/>
          <w:szCs w:val="21"/>
        </w:rPr>
        <w:t>致：</w:t>
      </w:r>
      <w:r>
        <w:rPr>
          <w:rFonts w:hint="eastAsia" w:ascii="宋体" w:hAnsi="宋体"/>
          <w:color w:val="auto"/>
          <w:szCs w:val="21"/>
          <w:lang w:eastAsia="zh-CN"/>
        </w:rPr>
        <w:t>广东政通招标有限公司</w:t>
      </w:r>
      <w:r>
        <w:rPr>
          <w:rFonts w:hint="eastAsia" w:ascii="宋体" w:hAnsi="宋体"/>
          <w:color w:val="auto"/>
          <w:szCs w:val="21"/>
        </w:rPr>
        <w:t>：</w:t>
      </w:r>
    </w:p>
    <w:p w14:paraId="167DEA01">
      <w:pPr>
        <w:rPr>
          <w:rFonts w:ascii="宋体" w:hAnsi="宋体"/>
          <w:color w:val="auto"/>
          <w:szCs w:val="21"/>
        </w:rPr>
      </w:pPr>
    </w:p>
    <w:p w14:paraId="032CF6CB">
      <w:pPr>
        <w:ind w:firstLine="420" w:firstLineChars="200"/>
        <w:rPr>
          <w:rFonts w:ascii="宋体" w:hAnsi="宋体"/>
          <w:color w:val="auto"/>
          <w:szCs w:val="21"/>
        </w:rPr>
      </w:pPr>
      <w:r>
        <w:rPr>
          <w:rFonts w:hint="eastAsia" w:ascii="宋体" w:hAnsi="宋体"/>
          <w:color w:val="auto"/>
          <w:szCs w:val="21"/>
        </w:rPr>
        <w:t>根据贵方为</w:t>
      </w:r>
      <w:r>
        <w:rPr>
          <w:rFonts w:hint="eastAsia" w:ascii="宋体" w:hAnsi="宋体"/>
          <w:color w:val="auto"/>
          <w:szCs w:val="21"/>
          <w:u w:val="single"/>
        </w:rPr>
        <w:t>（项目名称）（采购项目编号）</w:t>
      </w:r>
      <w:r>
        <w:rPr>
          <w:rFonts w:hint="eastAsia" w:ascii="宋体" w:hAnsi="宋体"/>
          <w:color w:val="auto"/>
          <w:szCs w:val="21"/>
        </w:rPr>
        <w:t>项目采购公告/采购邀请，签字代表</w:t>
      </w:r>
      <w:r>
        <w:rPr>
          <w:rFonts w:hint="eastAsia" w:ascii="宋体" w:hAnsi="宋体"/>
          <w:color w:val="auto"/>
          <w:szCs w:val="21"/>
          <w:u w:val="single"/>
        </w:rPr>
        <w:t>（姓名、职务）</w:t>
      </w:r>
      <w:r>
        <w:rPr>
          <w:rFonts w:hint="eastAsia" w:ascii="宋体" w:hAnsi="宋体"/>
          <w:color w:val="auto"/>
          <w:szCs w:val="21"/>
        </w:rPr>
        <w:t>经正式授权并代表投标人</w:t>
      </w:r>
      <w:r>
        <w:rPr>
          <w:rFonts w:hint="eastAsia" w:ascii="宋体" w:hAnsi="宋体"/>
          <w:color w:val="auto"/>
          <w:szCs w:val="21"/>
          <w:u w:val="single"/>
        </w:rPr>
        <w:t>（投标人名称、地址）</w:t>
      </w:r>
      <w:r>
        <w:rPr>
          <w:rFonts w:hint="eastAsia" w:ascii="宋体" w:hAnsi="宋体"/>
          <w:color w:val="auto"/>
          <w:szCs w:val="21"/>
        </w:rPr>
        <w:t>提交投标文件及“唱标信封”：</w:t>
      </w:r>
    </w:p>
    <w:p w14:paraId="2D0E8B6F">
      <w:pPr>
        <w:ind w:firstLine="420" w:firstLineChars="200"/>
        <w:rPr>
          <w:rFonts w:ascii="宋体" w:hAnsi="宋体"/>
          <w:color w:val="auto"/>
          <w:szCs w:val="21"/>
        </w:rPr>
      </w:pPr>
      <w:r>
        <w:rPr>
          <w:rFonts w:hint="eastAsia" w:ascii="宋体" w:hAnsi="宋体"/>
          <w:color w:val="auto"/>
          <w:szCs w:val="21"/>
        </w:rPr>
        <w:t xml:space="preserve">在此，签字代表宣布同意如下： </w:t>
      </w:r>
    </w:p>
    <w:p w14:paraId="7C70BB5F">
      <w:pPr>
        <w:widowControl w:val="0"/>
        <w:numPr>
          <w:ilvl w:val="0"/>
          <w:numId w:val="11"/>
        </w:numPr>
        <w:adjustRightInd/>
        <w:snapToGrid/>
        <w:jc w:val="both"/>
        <w:rPr>
          <w:rFonts w:ascii="宋体" w:hAnsi="宋体"/>
          <w:color w:val="auto"/>
          <w:szCs w:val="21"/>
        </w:rPr>
      </w:pPr>
      <w:r>
        <w:rPr>
          <w:rFonts w:hint="eastAsia" w:ascii="宋体" w:hAnsi="宋体"/>
          <w:color w:val="auto"/>
          <w:szCs w:val="21"/>
        </w:rPr>
        <w:t xml:space="preserve">我方将按采购文件的规定履行合同责任和义务。 </w:t>
      </w:r>
    </w:p>
    <w:p w14:paraId="6B7C41DA">
      <w:pPr>
        <w:widowControl w:val="0"/>
        <w:numPr>
          <w:ilvl w:val="0"/>
          <w:numId w:val="11"/>
        </w:numPr>
        <w:adjustRightInd/>
        <w:snapToGrid/>
        <w:jc w:val="both"/>
        <w:rPr>
          <w:rFonts w:ascii="宋体" w:hAnsi="宋体"/>
          <w:color w:val="auto"/>
          <w:szCs w:val="21"/>
        </w:rPr>
      </w:pPr>
      <w:r>
        <w:rPr>
          <w:rFonts w:hint="eastAsia" w:ascii="宋体" w:hAnsi="宋体"/>
          <w:b/>
          <w:color w:val="auto"/>
          <w:szCs w:val="21"/>
        </w:rPr>
        <w:t>我方已完整阅读了本项目采购文件的所有内容（包括澄清，以及所有已提供的参考资料和有关附件），并完全理解上述文件所表达的意思，该项目递交投标文件时间截止后，我方承诺不再对上述文件内容进行异议。</w:t>
      </w:r>
    </w:p>
    <w:p w14:paraId="1067755B">
      <w:pPr>
        <w:widowControl w:val="0"/>
        <w:numPr>
          <w:ilvl w:val="0"/>
          <w:numId w:val="11"/>
        </w:numPr>
        <w:adjustRightInd/>
        <w:snapToGrid/>
        <w:jc w:val="both"/>
        <w:rPr>
          <w:rFonts w:ascii="宋体" w:hAnsi="宋体"/>
          <w:color w:val="auto"/>
          <w:szCs w:val="21"/>
        </w:rPr>
      </w:pPr>
      <w:r>
        <w:rPr>
          <w:rFonts w:hint="eastAsia" w:ascii="宋体" w:hAnsi="宋体"/>
          <w:color w:val="auto"/>
          <w:szCs w:val="21"/>
        </w:rPr>
        <w:t>本投标有效期为自开标日起</w:t>
      </w:r>
      <w:r>
        <w:rPr>
          <w:rFonts w:hint="eastAsia" w:ascii="宋体" w:hAnsi="宋体"/>
          <w:color w:val="auto"/>
          <w:szCs w:val="21"/>
          <w:u w:val="single"/>
        </w:rPr>
        <w:t>90</w:t>
      </w:r>
      <w:r>
        <w:rPr>
          <w:rFonts w:hint="eastAsia" w:ascii="宋体" w:hAnsi="宋体"/>
          <w:color w:val="auto"/>
          <w:szCs w:val="21"/>
        </w:rPr>
        <w:t xml:space="preserve">个日历日。 </w:t>
      </w:r>
    </w:p>
    <w:p w14:paraId="42B62415">
      <w:pPr>
        <w:widowControl w:val="0"/>
        <w:numPr>
          <w:ilvl w:val="0"/>
          <w:numId w:val="11"/>
        </w:numPr>
        <w:adjustRightInd/>
        <w:snapToGrid/>
        <w:jc w:val="both"/>
        <w:rPr>
          <w:rFonts w:ascii="宋体" w:hAnsi="宋体"/>
          <w:color w:val="auto"/>
          <w:szCs w:val="21"/>
        </w:rPr>
      </w:pPr>
      <w:r>
        <w:rPr>
          <w:rFonts w:hint="eastAsia" w:ascii="宋体" w:hAnsi="宋体"/>
          <w:color w:val="auto"/>
          <w:szCs w:val="21"/>
        </w:rPr>
        <w:t>我方保证遵守投标人须知中关于没收投标保证金的规定。</w:t>
      </w:r>
    </w:p>
    <w:p w14:paraId="7CC50272">
      <w:pPr>
        <w:widowControl w:val="0"/>
        <w:numPr>
          <w:ilvl w:val="0"/>
          <w:numId w:val="11"/>
        </w:numPr>
        <w:adjustRightInd/>
        <w:snapToGrid/>
        <w:jc w:val="both"/>
        <w:rPr>
          <w:rFonts w:ascii="宋体" w:hAnsi="宋体"/>
          <w:color w:val="auto"/>
          <w:szCs w:val="21"/>
        </w:rPr>
      </w:pPr>
      <w:r>
        <w:rPr>
          <w:rFonts w:hint="eastAsia" w:ascii="宋体" w:hAnsi="宋体"/>
          <w:color w:val="auto"/>
          <w:szCs w:val="21"/>
        </w:rPr>
        <w:t xml:space="preserve">我方承诺，与买方聘请的为此项目提供咨询服务的公司及任何附属机构均无关联，我方不是买方的附属机构。 </w:t>
      </w:r>
    </w:p>
    <w:p w14:paraId="26A487E1">
      <w:pPr>
        <w:widowControl w:val="0"/>
        <w:numPr>
          <w:ilvl w:val="0"/>
          <w:numId w:val="11"/>
        </w:numPr>
        <w:adjustRightInd/>
        <w:snapToGrid/>
        <w:jc w:val="both"/>
        <w:rPr>
          <w:rFonts w:ascii="宋体" w:hAnsi="宋体"/>
          <w:color w:val="auto"/>
          <w:szCs w:val="21"/>
        </w:rPr>
      </w:pPr>
      <w:r>
        <w:rPr>
          <w:rFonts w:hint="eastAsia" w:ascii="宋体" w:hAnsi="宋体"/>
          <w:color w:val="auto"/>
          <w:szCs w:val="21"/>
        </w:rPr>
        <w:t>我方承诺，我方具备投标人邀请中所要求的资格条件，已清楚采购文件所有要求及有关规定；并承诺参加本次采购活动中，如有违法、违规、弄虚作假行为，所造成的损失、不良后果及法律责任，一律由我方承担；</w:t>
      </w:r>
    </w:p>
    <w:p w14:paraId="61AAB7CF">
      <w:pPr>
        <w:widowControl w:val="0"/>
        <w:numPr>
          <w:ilvl w:val="0"/>
          <w:numId w:val="11"/>
        </w:numPr>
        <w:adjustRightInd/>
        <w:snapToGrid/>
        <w:jc w:val="both"/>
        <w:rPr>
          <w:rFonts w:ascii="宋体" w:hAnsi="宋体"/>
          <w:color w:val="auto"/>
          <w:szCs w:val="21"/>
        </w:rPr>
      </w:pPr>
      <w:r>
        <w:rPr>
          <w:rFonts w:hint="eastAsia" w:ascii="宋体" w:hAnsi="宋体"/>
          <w:color w:val="auto"/>
          <w:szCs w:val="21"/>
        </w:rPr>
        <w:t>我方同意提供按照贵方可能要求的与其投标有关的一切数据或资料。</w:t>
      </w:r>
    </w:p>
    <w:p w14:paraId="7A68CAE5">
      <w:pPr>
        <w:widowControl w:val="0"/>
        <w:numPr>
          <w:ilvl w:val="0"/>
          <w:numId w:val="11"/>
        </w:numPr>
        <w:adjustRightInd/>
        <w:snapToGrid/>
        <w:jc w:val="both"/>
        <w:rPr>
          <w:rFonts w:ascii="宋体" w:hAnsi="宋体"/>
          <w:color w:val="auto"/>
          <w:szCs w:val="21"/>
        </w:rPr>
      </w:pPr>
      <w:r>
        <w:rPr>
          <w:rFonts w:hint="eastAsia" w:ascii="宋体" w:hAnsi="宋体"/>
          <w:color w:val="auto"/>
          <w:szCs w:val="21"/>
        </w:rPr>
        <w:t>与本投标有关的一切正式信函请寄：</w:t>
      </w:r>
    </w:p>
    <w:p w14:paraId="150E2DC4">
      <w:pPr>
        <w:rPr>
          <w:rFonts w:ascii="宋体" w:hAnsi="宋体"/>
          <w:color w:val="auto"/>
          <w:szCs w:val="21"/>
        </w:rPr>
      </w:pPr>
      <w:r>
        <w:rPr>
          <w:rFonts w:hint="eastAsia" w:ascii="宋体" w:hAnsi="宋体"/>
          <w:color w:val="auto"/>
          <w:szCs w:val="21"/>
        </w:rPr>
        <w:t>地址：　　　　　　　　　　　　　　　　　　　 电子邮箱：</w:t>
      </w:r>
    </w:p>
    <w:p w14:paraId="26CB7C04">
      <w:pPr>
        <w:rPr>
          <w:rFonts w:ascii="宋体" w:hAnsi="宋体"/>
          <w:color w:val="auto"/>
          <w:szCs w:val="21"/>
        </w:rPr>
      </w:pPr>
      <w:r>
        <w:rPr>
          <w:rFonts w:hint="eastAsia" w:ascii="宋体" w:hAnsi="宋体"/>
          <w:color w:val="auto"/>
          <w:szCs w:val="21"/>
        </w:rPr>
        <w:t>电话/移动电话：　　　　　　　　　　　　　　　</w:t>
      </w:r>
    </w:p>
    <w:p w14:paraId="2544BD74">
      <w:pPr>
        <w:rPr>
          <w:rFonts w:ascii="宋体" w:hAnsi="宋体"/>
          <w:color w:val="auto"/>
          <w:szCs w:val="21"/>
        </w:rPr>
      </w:pPr>
      <w:r>
        <w:rPr>
          <w:rFonts w:hint="eastAsia" w:ascii="宋体" w:hAnsi="宋体"/>
          <w:color w:val="auto"/>
          <w:szCs w:val="21"/>
        </w:rPr>
        <w:t xml:space="preserve">投标人法定代表人（或其授权代表）签字： </w:t>
      </w:r>
    </w:p>
    <w:p w14:paraId="183024F9">
      <w:pPr>
        <w:rPr>
          <w:rFonts w:ascii="宋体" w:hAnsi="宋体"/>
          <w:color w:val="auto"/>
          <w:szCs w:val="21"/>
        </w:rPr>
      </w:pPr>
      <w:r>
        <w:rPr>
          <w:rFonts w:hint="eastAsia" w:ascii="宋体" w:hAnsi="宋体"/>
          <w:color w:val="auto"/>
          <w:szCs w:val="21"/>
        </w:rPr>
        <w:t xml:space="preserve">投标人名称（全称）： </w:t>
      </w:r>
    </w:p>
    <w:p w14:paraId="7A64C62C">
      <w:pPr>
        <w:rPr>
          <w:rFonts w:ascii="宋体" w:hAnsi="宋体"/>
          <w:color w:val="auto"/>
          <w:szCs w:val="21"/>
        </w:rPr>
      </w:pPr>
      <w:r>
        <w:rPr>
          <w:rFonts w:hint="eastAsia" w:ascii="宋体" w:hAnsi="宋体"/>
          <w:color w:val="auto"/>
          <w:szCs w:val="21"/>
        </w:rPr>
        <w:t xml:space="preserve">投标人盖章： </w:t>
      </w:r>
    </w:p>
    <w:p w14:paraId="5BAFB6DA">
      <w:pPr>
        <w:rPr>
          <w:color w:val="auto"/>
        </w:rPr>
      </w:pPr>
      <w:r>
        <w:rPr>
          <w:rFonts w:hint="eastAsia" w:ascii="宋体" w:hAnsi="宋体"/>
          <w:color w:val="auto"/>
          <w:szCs w:val="21"/>
        </w:rPr>
        <w:t>日期：</w:t>
      </w:r>
      <w:r>
        <w:rPr>
          <w:color w:val="auto"/>
        </w:rPr>
        <w:br w:type="page"/>
      </w:r>
    </w:p>
    <w:p w14:paraId="73766D5D">
      <w:pPr>
        <w:pStyle w:val="5"/>
        <w:widowControl w:val="0"/>
        <w:overflowPunct w:val="0"/>
        <w:spacing w:line="240" w:lineRule="auto"/>
        <w:rPr>
          <w:rFonts w:ascii="宋体" w:hAnsi="宋体"/>
          <w:color w:val="auto"/>
          <w:sz w:val="21"/>
          <w:szCs w:val="21"/>
        </w:rPr>
      </w:pPr>
      <w:bookmarkStart w:id="263" w:name="_Toc29805"/>
      <w:r>
        <w:rPr>
          <w:rFonts w:hint="eastAsia" w:ascii="宋体" w:hAnsi="宋体"/>
          <w:color w:val="auto"/>
          <w:sz w:val="21"/>
          <w:szCs w:val="21"/>
        </w:rPr>
        <w:t>附件</w:t>
      </w:r>
      <w:r>
        <w:rPr>
          <w:rFonts w:hint="eastAsia" w:ascii="宋体" w:hAnsi="宋体"/>
          <w:color w:val="auto"/>
          <w:sz w:val="21"/>
          <w:szCs w:val="21"/>
          <w:lang w:val="en-US" w:eastAsia="zh-CN"/>
        </w:rPr>
        <w:t>4</w:t>
      </w:r>
      <w:r>
        <w:rPr>
          <w:rFonts w:hint="eastAsia" w:ascii="宋体" w:hAnsi="宋体"/>
          <w:color w:val="auto"/>
          <w:sz w:val="21"/>
          <w:szCs w:val="21"/>
        </w:rPr>
        <w:t>. 法定代表人证明书格式</w:t>
      </w:r>
      <w:bookmarkEnd w:id="263"/>
    </w:p>
    <w:p w14:paraId="49195D2B">
      <w:pPr>
        <w:rPr>
          <w:color w:val="auto"/>
        </w:rPr>
      </w:pPr>
    </w:p>
    <w:p w14:paraId="30821D23">
      <w:pPr>
        <w:jc w:val="center"/>
        <w:rPr>
          <w:rFonts w:ascii="黑体" w:eastAsia="黑体"/>
          <w:color w:val="auto"/>
          <w:sz w:val="28"/>
          <w:szCs w:val="28"/>
        </w:rPr>
      </w:pPr>
      <w:r>
        <w:rPr>
          <w:rFonts w:hint="eastAsia" w:ascii="黑体" w:eastAsia="黑体"/>
          <w:color w:val="auto"/>
          <w:sz w:val="28"/>
          <w:szCs w:val="28"/>
        </w:rPr>
        <w:t>法定代表人证明书</w:t>
      </w:r>
    </w:p>
    <w:p w14:paraId="004FAD58">
      <w:pPr>
        <w:pStyle w:val="45"/>
        <w:spacing w:line="420" w:lineRule="atLeast"/>
        <w:ind w:firstLine="0" w:firstLineChars="0"/>
        <w:rPr>
          <w:rFonts w:hint="eastAsia" w:ascii="宋体" w:eastAsia="宋体"/>
          <w:color w:val="auto"/>
          <w:sz w:val="21"/>
          <w:szCs w:val="21"/>
          <w:lang w:eastAsia="zh-CN"/>
        </w:rPr>
      </w:pPr>
      <w:r>
        <w:rPr>
          <w:rFonts w:hint="eastAsia" w:ascii="宋体" w:eastAsia="宋体"/>
          <w:color w:val="auto"/>
          <w:sz w:val="21"/>
          <w:szCs w:val="21"/>
        </w:rPr>
        <w:t>致：</w:t>
      </w:r>
      <w:r>
        <w:rPr>
          <w:rFonts w:hint="eastAsia" w:ascii="宋体" w:eastAsia="宋体"/>
          <w:color w:val="auto"/>
          <w:sz w:val="21"/>
          <w:szCs w:val="21"/>
          <w:lang w:eastAsia="zh-CN"/>
        </w:rPr>
        <w:t>广东政通招标有限公司</w:t>
      </w:r>
    </w:p>
    <w:p w14:paraId="70EDBC9F">
      <w:pPr>
        <w:pStyle w:val="45"/>
        <w:spacing w:line="420" w:lineRule="atLeast"/>
        <w:ind w:firstLine="433"/>
        <w:rPr>
          <w:rFonts w:ascii="宋体" w:eastAsia="宋体"/>
          <w:color w:val="auto"/>
          <w:sz w:val="21"/>
          <w:szCs w:val="21"/>
        </w:rPr>
      </w:pPr>
    </w:p>
    <w:p w14:paraId="7139FC7B">
      <w:pPr>
        <w:pStyle w:val="45"/>
        <w:spacing w:line="420" w:lineRule="atLeast"/>
        <w:ind w:firstLine="433"/>
        <w:rPr>
          <w:rFonts w:ascii="宋体" w:eastAsia="宋体"/>
          <w:color w:val="auto"/>
          <w:sz w:val="21"/>
          <w:szCs w:val="21"/>
          <w:u w:val="single"/>
        </w:rPr>
      </w:pPr>
      <w:r>
        <w:rPr>
          <w:rFonts w:hint="eastAsia" w:ascii="宋体" w:eastAsia="宋体"/>
          <w:color w:val="auto"/>
          <w:sz w:val="21"/>
          <w:szCs w:val="21"/>
        </w:rPr>
        <w:t>投标人名称:</w:t>
      </w:r>
    </w:p>
    <w:p w14:paraId="104CD8A6">
      <w:pPr>
        <w:pStyle w:val="45"/>
        <w:spacing w:line="420" w:lineRule="atLeast"/>
        <w:ind w:firstLine="433"/>
        <w:rPr>
          <w:rFonts w:ascii="宋体" w:eastAsia="宋体"/>
          <w:color w:val="auto"/>
          <w:sz w:val="21"/>
          <w:szCs w:val="21"/>
          <w:u w:val="single"/>
        </w:rPr>
      </w:pPr>
      <w:r>
        <w:rPr>
          <w:rFonts w:hint="eastAsia" w:ascii="宋体" w:eastAsia="宋体"/>
          <w:color w:val="auto"/>
          <w:sz w:val="21"/>
          <w:szCs w:val="21"/>
        </w:rPr>
        <w:t>单 位 性质：</w:t>
      </w:r>
    </w:p>
    <w:p w14:paraId="7C0944F7">
      <w:pPr>
        <w:pStyle w:val="45"/>
        <w:spacing w:line="420" w:lineRule="atLeast"/>
        <w:ind w:firstLine="433"/>
        <w:rPr>
          <w:rFonts w:ascii="宋体" w:eastAsia="宋体"/>
          <w:color w:val="auto"/>
          <w:sz w:val="21"/>
          <w:szCs w:val="21"/>
          <w:u w:val="single"/>
        </w:rPr>
      </w:pPr>
      <w:r>
        <w:rPr>
          <w:rFonts w:hint="eastAsia" w:ascii="宋体" w:eastAsia="宋体"/>
          <w:color w:val="auto"/>
          <w:sz w:val="21"/>
          <w:szCs w:val="21"/>
        </w:rPr>
        <w:t>地      址：</w:t>
      </w:r>
    </w:p>
    <w:p w14:paraId="1798FA25">
      <w:pPr>
        <w:pStyle w:val="45"/>
        <w:spacing w:line="420" w:lineRule="atLeast"/>
        <w:ind w:firstLine="433"/>
        <w:rPr>
          <w:rFonts w:ascii="宋体" w:eastAsia="宋体"/>
          <w:color w:val="auto"/>
          <w:sz w:val="21"/>
          <w:szCs w:val="21"/>
        </w:rPr>
      </w:pPr>
      <w:r>
        <w:rPr>
          <w:rFonts w:hint="eastAsia" w:ascii="宋体" w:eastAsia="宋体"/>
          <w:color w:val="auto"/>
          <w:sz w:val="21"/>
          <w:szCs w:val="21"/>
        </w:rPr>
        <w:t>成 立 时间：年月日</w:t>
      </w:r>
    </w:p>
    <w:p w14:paraId="341EFCBE">
      <w:pPr>
        <w:pStyle w:val="45"/>
        <w:spacing w:line="420" w:lineRule="atLeast"/>
        <w:ind w:firstLine="433"/>
        <w:rPr>
          <w:rFonts w:ascii="宋体" w:eastAsia="宋体"/>
          <w:color w:val="auto"/>
          <w:sz w:val="21"/>
          <w:szCs w:val="21"/>
        </w:rPr>
      </w:pPr>
      <w:r>
        <w:rPr>
          <w:rFonts w:hint="eastAsia" w:ascii="宋体" w:eastAsia="宋体"/>
          <w:color w:val="auto"/>
          <w:sz w:val="21"/>
          <w:szCs w:val="21"/>
        </w:rPr>
        <w:t>经 营 期限：</w:t>
      </w:r>
    </w:p>
    <w:p w14:paraId="378EA8DB">
      <w:pPr>
        <w:pStyle w:val="45"/>
        <w:spacing w:line="420" w:lineRule="atLeast"/>
        <w:ind w:firstLine="433"/>
        <w:rPr>
          <w:rFonts w:ascii="宋体" w:eastAsia="宋体"/>
          <w:color w:val="auto"/>
          <w:sz w:val="21"/>
          <w:szCs w:val="21"/>
        </w:rPr>
      </w:pPr>
      <w:r>
        <w:rPr>
          <w:rFonts w:hint="eastAsia" w:ascii="宋体" w:eastAsia="宋体"/>
          <w:color w:val="auto"/>
          <w:sz w:val="21"/>
          <w:szCs w:val="21"/>
        </w:rPr>
        <w:t>姓名：性别：年龄：职务：</w:t>
      </w:r>
    </w:p>
    <w:p w14:paraId="08B22464">
      <w:pPr>
        <w:pStyle w:val="45"/>
        <w:spacing w:line="420" w:lineRule="atLeast"/>
        <w:ind w:firstLine="433"/>
        <w:rPr>
          <w:rFonts w:ascii="宋体" w:eastAsia="宋体"/>
          <w:color w:val="auto"/>
          <w:sz w:val="21"/>
          <w:szCs w:val="21"/>
        </w:rPr>
      </w:pPr>
      <w:r>
        <w:rPr>
          <w:rFonts w:hint="eastAsia" w:ascii="宋体" w:eastAsia="宋体"/>
          <w:color w:val="auto"/>
          <w:sz w:val="21"/>
          <w:szCs w:val="21"/>
        </w:rPr>
        <w:t>系（投标人名称）的法定代表人。</w:t>
      </w:r>
    </w:p>
    <w:p w14:paraId="0FCD9C66">
      <w:pPr>
        <w:spacing w:line="420" w:lineRule="atLeast"/>
        <w:ind w:firstLine="420" w:firstLineChars="200"/>
        <w:rPr>
          <w:rFonts w:ascii="宋体" w:hAnsi="宋体"/>
          <w:color w:val="auto"/>
          <w:szCs w:val="21"/>
        </w:rPr>
      </w:pPr>
      <w:r>
        <w:rPr>
          <w:rFonts w:hint="eastAsia" w:ascii="宋体" w:hAnsi="宋体"/>
          <w:color w:val="auto"/>
          <w:szCs w:val="21"/>
        </w:rPr>
        <w:t>特此证明。</w:t>
      </w:r>
    </w:p>
    <w:p w14:paraId="3C793F02">
      <w:pPr>
        <w:pStyle w:val="45"/>
        <w:spacing w:line="500" w:lineRule="atLeast"/>
        <w:ind w:firstLine="3517" w:firstLineChars="1675"/>
        <w:rPr>
          <w:rFonts w:ascii="宋体" w:eastAsia="宋体"/>
          <w:color w:val="auto"/>
          <w:sz w:val="21"/>
          <w:szCs w:val="21"/>
        </w:rPr>
      </w:pPr>
    </w:p>
    <w:p w14:paraId="7B9A03C4">
      <w:pPr>
        <w:pStyle w:val="45"/>
        <w:spacing w:line="500" w:lineRule="atLeast"/>
        <w:ind w:firstLine="3517" w:firstLineChars="1675"/>
        <w:rPr>
          <w:rFonts w:ascii="宋体" w:eastAsia="宋体"/>
          <w:color w:val="auto"/>
          <w:sz w:val="21"/>
          <w:szCs w:val="21"/>
        </w:rPr>
      </w:pPr>
      <w:r>
        <w:rPr>
          <w:rFonts w:hint="eastAsia" w:ascii="宋体" w:eastAsia="宋体"/>
          <w:color w:val="auto"/>
          <w:sz w:val="21"/>
          <w:szCs w:val="21"/>
        </w:rPr>
        <w:t>投标人名称（加盖公章）：</w:t>
      </w:r>
    </w:p>
    <w:p w14:paraId="474FE082">
      <w:pPr>
        <w:pStyle w:val="45"/>
        <w:spacing w:line="500" w:lineRule="atLeast"/>
        <w:ind w:firstLine="3517" w:firstLineChars="1675"/>
        <w:rPr>
          <w:rFonts w:ascii="宋体" w:eastAsia="宋体"/>
          <w:color w:val="auto"/>
          <w:sz w:val="21"/>
          <w:szCs w:val="21"/>
        </w:rPr>
      </w:pPr>
      <w:r>
        <w:rPr>
          <w:rFonts w:hint="eastAsia" w:ascii="宋体" w:eastAsia="宋体"/>
          <w:color w:val="auto"/>
          <w:sz w:val="21"/>
          <w:szCs w:val="21"/>
        </w:rPr>
        <w:t>法定代表人（签名或盖私章）：</w:t>
      </w:r>
    </w:p>
    <w:p w14:paraId="2D9EC736">
      <w:pPr>
        <w:pStyle w:val="45"/>
        <w:spacing w:line="500" w:lineRule="atLeast"/>
        <w:ind w:firstLine="3517" w:firstLineChars="1675"/>
        <w:rPr>
          <w:rFonts w:ascii="宋体" w:eastAsia="宋体"/>
          <w:color w:val="auto"/>
          <w:sz w:val="21"/>
          <w:szCs w:val="21"/>
        </w:rPr>
      </w:pPr>
      <w:r>
        <w:rPr>
          <w:rFonts w:hint="eastAsia" w:ascii="宋体" w:eastAsia="宋体"/>
          <w:color w:val="auto"/>
          <w:sz w:val="21"/>
          <w:szCs w:val="21"/>
        </w:rPr>
        <w:t>法定代表人联系方式：</w:t>
      </w:r>
    </w:p>
    <w:p w14:paraId="19066B1C">
      <w:pPr>
        <w:pStyle w:val="45"/>
        <w:spacing w:line="500" w:lineRule="atLeast"/>
        <w:ind w:firstLine="3517" w:firstLineChars="1675"/>
        <w:rPr>
          <w:rFonts w:ascii="宋体" w:eastAsia="宋体"/>
          <w:color w:val="auto"/>
          <w:sz w:val="21"/>
          <w:szCs w:val="21"/>
          <w:u w:val="single"/>
        </w:rPr>
      </w:pPr>
      <w:r>
        <w:rPr>
          <w:rFonts w:hint="eastAsia" w:ascii="宋体" w:eastAsia="宋体"/>
          <w:color w:val="auto"/>
          <w:sz w:val="21"/>
          <w:szCs w:val="21"/>
        </w:rPr>
        <w:t>身份证号码：</w:t>
      </w:r>
    </w:p>
    <w:p w14:paraId="63131670">
      <w:pPr>
        <w:pStyle w:val="45"/>
        <w:spacing w:line="500" w:lineRule="atLeast"/>
        <w:ind w:firstLine="3507" w:firstLineChars="1670"/>
        <w:rPr>
          <w:rFonts w:ascii="宋体" w:eastAsia="宋体"/>
          <w:color w:val="auto"/>
          <w:sz w:val="21"/>
          <w:szCs w:val="21"/>
        </w:rPr>
      </w:pPr>
      <w:r>
        <w:rPr>
          <w:rFonts w:hint="eastAsia" w:ascii="宋体" w:eastAsia="宋体"/>
          <w:color w:val="auto"/>
          <w:sz w:val="21"/>
          <w:szCs w:val="21"/>
        </w:rPr>
        <w:t>日     期：  年  月  日</w:t>
      </w:r>
    </w:p>
    <w:p w14:paraId="46D7FB5D">
      <w:pPr>
        <w:ind w:firstLine="420" w:firstLineChars="200"/>
        <w:rPr>
          <w:rFonts w:ascii="宋体" w:hAnsi="宋体"/>
          <w:color w:val="auto"/>
          <w:szCs w:val="21"/>
        </w:rPr>
      </w:pPr>
    </w:p>
    <w:p w14:paraId="341FCFFA">
      <w:pPr>
        <w:ind w:firstLine="420" w:firstLineChars="200"/>
        <w:rPr>
          <w:rFonts w:ascii="宋体" w:hAnsi="宋体"/>
          <w:color w:val="auto"/>
          <w:szCs w:val="21"/>
        </w:rPr>
      </w:pPr>
      <w:r>
        <w:rPr>
          <w:rFonts w:hint="eastAsia" w:ascii="宋体" w:hAnsi="宋体"/>
          <w:color w:val="auto"/>
          <w:szCs w:val="21"/>
        </w:rPr>
        <w:t>注：法定代表人身份证明书需附法人代表身份证复印件。</w:t>
      </w:r>
    </w:p>
    <w:tbl>
      <w:tblPr>
        <w:tblStyle w:val="30"/>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14:paraId="05E6CBD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14:paraId="089D756D">
            <w:pPr>
              <w:pStyle w:val="45"/>
              <w:spacing w:line="460" w:lineRule="exact"/>
              <w:ind w:firstLine="0" w:firstLineChars="0"/>
              <w:jc w:val="center"/>
              <w:rPr>
                <w:rFonts w:ascii="宋体" w:eastAsia="宋体"/>
                <w:color w:val="auto"/>
                <w:sz w:val="22"/>
              </w:rPr>
            </w:pPr>
            <w:r>
              <w:rPr>
                <w:rFonts w:hint="eastAsia" w:ascii="宋体" w:eastAsia="宋体"/>
                <w:color w:val="auto"/>
                <w:sz w:val="22"/>
              </w:rPr>
              <w:t>正面</w:t>
            </w:r>
          </w:p>
        </w:tc>
        <w:tc>
          <w:tcPr>
            <w:tcW w:w="4182" w:type="dxa"/>
            <w:vAlign w:val="center"/>
          </w:tcPr>
          <w:p w14:paraId="2DEB9542">
            <w:pPr>
              <w:pStyle w:val="45"/>
              <w:spacing w:line="460" w:lineRule="exact"/>
              <w:ind w:firstLine="0" w:firstLineChars="0"/>
              <w:jc w:val="center"/>
              <w:rPr>
                <w:rFonts w:ascii="宋体" w:eastAsia="宋体"/>
                <w:color w:val="auto"/>
                <w:sz w:val="22"/>
              </w:rPr>
            </w:pPr>
            <w:r>
              <w:rPr>
                <w:rFonts w:hint="eastAsia" w:ascii="宋体" w:eastAsia="宋体"/>
                <w:color w:val="auto"/>
                <w:sz w:val="22"/>
              </w:rPr>
              <w:t>背面</w:t>
            </w:r>
          </w:p>
        </w:tc>
      </w:tr>
    </w:tbl>
    <w:p w14:paraId="22965AE2">
      <w:pPr>
        <w:rPr>
          <w:color w:val="auto"/>
        </w:rPr>
      </w:pPr>
    </w:p>
    <w:p w14:paraId="554286E7">
      <w:pPr>
        <w:adjustRightInd/>
        <w:snapToGrid/>
        <w:spacing w:line="276" w:lineRule="auto"/>
        <w:rPr>
          <w:rFonts w:ascii="楷体_GB2312" w:eastAsia="楷体_GB2312" w:hAnsiTheme="majorHAnsi" w:cstheme="majorBidi"/>
          <w:b/>
          <w:bCs/>
          <w:color w:val="auto"/>
          <w:sz w:val="24"/>
          <w:szCs w:val="28"/>
        </w:rPr>
      </w:pPr>
      <w:r>
        <w:rPr>
          <w:rFonts w:ascii="楷体_GB2312" w:eastAsia="楷体_GB2312"/>
          <w:color w:val="auto"/>
          <w:sz w:val="24"/>
        </w:rPr>
        <w:br w:type="page"/>
      </w:r>
    </w:p>
    <w:p w14:paraId="3BFF941C">
      <w:pPr>
        <w:pStyle w:val="5"/>
        <w:widowControl w:val="0"/>
        <w:overflowPunct w:val="0"/>
        <w:spacing w:line="240" w:lineRule="auto"/>
        <w:rPr>
          <w:color w:val="auto"/>
        </w:rPr>
      </w:pPr>
      <w:bookmarkStart w:id="264" w:name="_Toc7640"/>
      <w:r>
        <w:rPr>
          <w:rFonts w:hint="eastAsia" w:ascii="宋体" w:hAnsi="宋体"/>
          <w:color w:val="auto"/>
          <w:sz w:val="21"/>
          <w:szCs w:val="21"/>
        </w:rPr>
        <w:t>附件</w:t>
      </w:r>
      <w:r>
        <w:rPr>
          <w:rFonts w:hint="eastAsia" w:ascii="宋体" w:hAnsi="宋体"/>
          <w:color w:val="auto"/>
          <w:sz w:val="21"/>
          <w:szCs w:val="21"/>
          <w:lang w:val="en-US" w:eastAsia="zh-CN"/>
        </w:rPr>
        <w:t>5</w:t>
      </w:r>
      <w:r>
        <w:rPr>
          <w:rFonts w:hint="eastAsia" w:ascii="宋体" w:hAnsi="宋体"/>
          <w:color w:val="auto"/>
          <w:sz w:val="21"/>
          <w:szCs w:val="21"/>
        </w:rPr>
        <w:t>.法定代表人授权书格式</w:t>
      </w:r>
      <w:bookmarkEnd w:id="264"/>
    </w:p>
    <w:p w14:paraId="097828C2">
      <w:pPr>
        <w:rPr>
          <w:color w:val="auto"/>
        </w:rPr>
      </w:pPr>
    </w:p>
    <w:p w14:paraId="7762E163">
      <w:pPr>
        <w:jc w:val="center"/>
        <w:rPr>
          <w:rFonts w:ascii="黑体" w:eastAsia="黑体"/>
          <w:color w:val="auto"/>
          <w:sz w:val="28"/>
          <w:szCs w:val="28"/>
        </w:rPr>
      </w:pPr>
      <w:r>
        <w:rPr>
          <w:rFonts w:hint="eastAsia" w:ascii="黑体" w:eastAsia="黑体"/>
          <w:color w:val="auto"/>
          <w:sz w:val="28"/>
          <w:szCs w:val="28"/>
        </w:rPr>
        <w:t>法定代表人授权书</w:t>
      </w:r>
    </w:p>
    <w:p w14:paraId="28EC4325">
      <w:pPr>
        <w:pStyle w:val="45"/>
        <w:spacing w:line="420" w:lineRule="atLeast"/>
        <w:ind w:firstLine="0" w:firstLineChars="0"/>
        <w:rPr>
          <w:rFonts w:hint="eastAsia" w:ascii="宋体" w:eastAsia="宋体"/>
          <w:color w:val="auto"/>
          <w:sz w:val="21"/>
          <w:szCs w:val="21"/>
          <w:lang w:eastAsia="zh-CN"/>
        </w:rPr>
      </w:pPr>
      <w:r>
        <w:rPr>
          <w:rFonts w:hint="eastAsia" w:ascii="宋体" w:eastAsia="宋体"/>
          <w:color w:val="auto"/>
          <w:sz w:val="21"/>
          <w:szCs w:val="21"/>
        </w:rPr>
        <w:t>致：</w:t>
      </w:r>
      <w:r>
        <w:rPr>
          <w:rFonts w:hint="eastAsia" w:ascii="宋体" w:eastAsia="宋体"/>
          <w:color w:val="auto"/>
          <w:sz w:val="21"/>
          <w:szCs w:val="21"/>
          <w:lang w:eastAsia="zh-CN"/>
        </w:rPr>
        <w:t>广东政通招标有限公司</w:t>
      </w:r>
    </w:p>
    <w:p w14:paraId="7934ABC6">
      <w:pPr>
        <w:pStyle w:val="45"/>
        <w:spacing w:line="420" w:lineRule="atLeast"/>
        <w:ind w:firstLine="433"/>
        <w:rPr>
          <w:rFonts w:ascii="宋体" w:eastAsia="宋体"/>
          <w:color w:val="auto"/>
          <w:sz w:val="21"/>
          <w:szCs w:val="21"/>
        </w:rPr>
      </w:pPr>
    </w:p>
    <w:p w14:paraId="42FF221F">
      <w:pPr>
        <w:ind w:firstLine="420" w:firstLineChars="200"/>
        <w:rPr>
          <w:rFonts w:ascii="宋体" w:hAnsi="宋体" w:cs="Times New Roman"/>
          <w:color w:val="auto"/>
          <w:szCs w:val="21"/>
        </w:rPr>
      </w:pPr>
      <w:r>
        <w:rPr>
          <w:rFonts w:hint="eastAsia" w:ascii="宋体" w:hAnsi="宋体" w:cs="Times New Roman"/>
          <w:color w:val="auto"/>
          <w:szCs w:val="21"/>
        </w:rPr>
        <w:t>本授权书声明：注册于</w:t>
      </w:r>
      <w:r>
        <w:rPr>
          <w:rFonts w:hint="eastAsia" w:ascii="宋体" w:hAnsi="宋体" w:cs="Times New Roman"/>
          <w:color w:val="auto"/>
          <w:szCs w:val="21"/>
          <w:u w:val="single"/>
        </w:rPr>
        <w:t>（国家或地区的名称）</w:t>
      </w:r>
      <w:r>
        <w:rPr>
          <w:rFonts w:hint="eastAsia" w:ascii="宋体" w:hAnsi="宋体" w:cs="Times New Roman"/>
          <w:color w:val="auto"/>
          <w:szCs w:val="21"/>
        </w:rPr>
        <w:t>的</w:t>
      </w:r>
      <w:r>
        <w:rPr>
          <w:rFonts w:hint="eastAsia" w:ascii="宋体" w:hAnsi="宋体" w:cs="Times New Roman"/>
          <w:color w:val="auto"/>
          <w:szCs w:val="21"/>
          <w:u w:val="single"/>
        </w:rPr>
        <w:t>（单位名称）</w:t>
      </w:r>
      <w:r>
        <w:rPr>
          <w:rFonts w:hint="eastAsia" w:ascii="宋体" w:hAnsi="宋体" w:cs="Times New Roman"/>
          <w:color w:val="auto"/>
          <w:szCs w:val="21"/>
        </w:rPr>
        <w:t>的在下面签字的</w:t>
      </w:r>
      <w:r>
        <w:rPr>
          <w:rFonts w:hint="eastAsia" w:ascii="宋体" w:hAnsi="宋体" w:cs="Times New Roman"/>
          <w:color w:val="auto"/>
          <w:szCs w:val="21"/>
          <w:u w:val="single"/>
        </w:rPr>
        <w:t>（法定代表人姓名、职务）</w:t>
      </w:r>
      <w:r>
        <w:rPr>
          <w:rFonts w:hint="eastAsia" w:ascii="宋体" w:hAnsi="宋体" w:cs="Times New Roman"/>
          <w:color w:val="auto"/>
          <w:szCs w:val="21"/>
        </w:rPr>
        <w:t>代表本单位授权</w:t>
      </w:r>
      <w:r>
        <w:rPr>
          <w:rFonts w:hint="eastAsia" w:ascii="宋体" w:hAnsi="宋体" w:cs="Times New Roman"/>
          <w:color w:val="auto"/>
          <w:szCs w:val="21"/>
          <w:u w:val="single"/>
        </w:rPr>
        <w:t>（单位名称）</w:t>
      </w:r>
      <w:r>
        <w:rPr>
          <w:rFonts w:hint="eastAsia" w:ascii="宋体" w:hAnsi="宋体" w:cs="Times New Roman"/>
          <w:color w:val="auto"/>
          <w:szCs w:val="21"/>
        </w:rPr>
        <w:t>的在下面签字的</w:t>
      </w:r>
      <w:r>
        <w:rPr>
          <w:rFonts w:hint="eastAsia" w:ascii="宋体" w:hAnsi="宋体" w:cs="Times New Roman"/>
          <w:color w:val="auto"/>
          <w:szCs w:val="21"/>
          <w:u w:val="single"/>
        </w:rPr>
        <w:t>（被授权人的姓名、职务）</w:t>
      </w:r>
      <w:r>
        <w:rPr>
          <w:rFonts w:hint="eastAsia" w:ascii="宋体" w:hAnsi="宋体" w:cs="Times New Roman"/>
          <w:color w:val="auto"/>
          <w:szCs w:val="21"/>
        </w:rPr>
        <w:t>为本单位的合法代理人，就</w:t>
      </w:r>
      <w:r>
        <w:rPr>
          <w:rFonts w:hint="eastAsia" w:ascii="宋体" w:hAnsi="宋体" w:cs="Times New Roman"/>
          <w:color w:val="auto"/>
          <w:szCs w:val="21"/>
          <w:u w:val="single"/>
        </w:rPr>
        <w:t>（项目名称）</w:t>
      </w:r>
      <w:r>
        <w:rPr>
          <w:rFonts w:hint="eastAsia" w:ascii="宋体" w:hAnsi="宋体" w:cs="Times New Roman"/>
          <w:color w:val="auto"/>
          <w:szCs w:val="21"/>
        </w:rPr>
        <w:t>投标及参加项目谈判，以本单位名义处理一切与之有关的事务。</w:t>
      </w:r>
    </w:p>
    <w:p w14:paraId="607AA598">
      <w:pPr>
        <w:ind w:firstLine="315" w:firstLineChars="150"/>
        <w:rPr>
          <w:rFonts w:ascii="宋体" w:hAnsi="宋体" w:cs="Times New Roman"/>
          <w:color w:val="auto"/>
          <w:szCs w:val="21"/>
        </w:rPr>
      </w:pPr>
      <w:r>
        <w:rPr>
          <w:rFonts w:hint="eastAsia" w:ascii="宋体" w:hAnsi="宋体" w:cs="Times New Roman"/>
          <w:color w:val="auto"/>
          <w:szCs w:val="21"/>
        </w:rPr>
        <w:t>本授权书于</w:t>
      </w:r>
      <w:r>
        <w:rPr>
          <w:rFonts w:hint="eastAsia" w:ascii="宋体" w:hAnsi="宋体" w:cs="Times New Roman"/>
          <w:color w:val="auto"/>
          <w:szCs w:val="21"/>
          <w:u w:val="single"/>
        </w:rPr>
        <w:t>　　</w:t>
      </w:r>
      <w:r>
        <w:rPr>
          <w:rFonts w:hint="eastAsia" w:ascii="宋体" w:hAnsi="宋体" w:cs="Times New Roman"/>
          <w:color w:val="auto"/>
          <w:szCs w:val="21"/>
        </w:rPr>
        <w:t>年</w:t>
      </w:r>
      <w:r>
        <w:rPr>
          <w:rFonts w:hint="eastAsia" w:ascii="宋体" w:hAnsi="宋体" w:cs="Times New Roman"/>
          <w:color w:val="auto"/>
          <w:szCs w:val="21"/>
          <w:u w:val="single"/>
        </w:rPr>
        <w:t>　　</w:t>
      </w:r>
      <w:r>
        <w:rPr>
          <w:rFonts w:hint="eastAsia" w:ascii="宋体" w:hAnsi="宋体" w:cs="Times New Roman"/>
          <w:color w:val="auto"/>
          <w:szCs w:val="21"/>
        </w:rPr>
        <w:t>月</w:t>
      </w:r>
      <w:r>
        <w:rPr>
          <w:rFonts w:hint="eastAsia" w:ascii="宋体" w:hAnsi="宋体" w:cs="Times New Roman"/>
          <w:color w:val="auto"/>
          <w:szCs w:val="21"/>
          <w:u w:val="single"/>
        </w:rPr>
        <w:t>　　</w:t>
      </w:r>
      <w:r>
        <w:rPr>
          <w:rFonts w:hint="eastAsia" w:ascii="宋体" w:hAnsi="宋体" w:cs="Times New Roman"/>
          <w:color w:val="auto"/>
          <w:szCs w:val="21"/>
        </w:rPr>
        <w:t>日签字生效，特此声明。</w:t>
      </w:r>
    </w:p>
    <w:p w14:paraId="1AED6FDF">
      <w:pPr>
        <w:pStyle w:val="45"/>
        <w:spacing w:line="500" w:lineRule="atLeast"/>
        <w:ind w:firstLine="3517" w:firstLineChars="1675"/>
        <w:rPr>
          <w:rFonts w:ascii="宋体" w:eastAsia="宋体"/>
          <w:color w:val="auto"/>
          <w:sz w:val="21"/>
          <w:szCs w:val="21"/>
        </w:rPr>
      </w:pPr>
    </w:p>
    <w:p w14:paraId="3531A54F">
      <w:pPr>
        <w:pStyle w:val="45"/>
        <w:spacing w:line="500" w:lineRule="atLeast"/>
        <w:ind w:firstLine="3517" w:firstLineChars="1675"/>
        <w:rPr>
          <w:rFonts w:ascii="宋体" w:eastAsia="宋体"/>
          <w:color w:val="auto"/>
          <w:sz w:val="21"/>
          <w:szCs w:val="21"/>
        </w:rPr>
      </w:pPr>
      <w:r>
        <w:rPr>
          <w:rFonts w:hint="eastAsia" w:ascii="宋体" w:eastAsia="宋体"/>
          <w:color w:val="auto"/>
          <w:sz w:val="21"/>
          <w:szCs w:val="21"/>
        </w:rPr>
        <w:t>投标人名称（加盖公章）：</w:t>
      </w:r>
    </w:p>
    <w:p w14:paraId="2B6B7622">
      <w:pPr>
        <w:pStyle w:val="45"/>
        <w:spacing w:line="500" w:lineRule="atLeast"/>
        <w:ind w:firstLine="3517" w:firstLineChars="1675"/>
        <w:rPr>
          <w:rFonts w:ascii="宋体" w:eastAsia="宋体"/>
          <w:color w:val="auto"/>
          <w:sz w:val="21"/>
          <w:szCs w:val="21"/>
          <w:u w:val="single"/>
        </w:rPr>
      </w:pPr>
      <w:r>
        <w:rPr>
          <w:rFonts w:hint="eastAsia" w:ascii="宋体" w:eastAsia="宋体"/>
          <w:color w:val="auto"/>
          <w:sz w:val="21"/>
          <w:szCs w:val="21"/>
        </w:rPr>
        <w:t>法定代表人签字（签名或盖私章）：</w:t>
      </w:r>
    </w:p>
    <w:p w14:paraId="4F740D7B">
      <w:pPr>
        <w:pStyle w:val="45"/>
        <w:spacing w:line="500" w:lineRule="atLeast"/>
        <w:ind w:firstLine="3517" w:firstLineChars="1675"/>
        <w:rPr>
          <w:rFonts w:ascii="宋体" w:eastAsia="宋体"/>
          <w:color w:val="auto"/>
          <w:sz w:val="21"/>
          <w:szCs w:val="21"/>
        </w:rPr>
      </w:pPr>
      <w:r>
        <w:rPr>
          <w:rFonts w:hint="eastAsia" w:ascii="宋体" w:eastAsia="宋体"/>
          <w:color w:val="auto"/>
          <w:sz w:val="21"/>
          <w:szCs w:val="21"/>
        </w:rPr>
        <w:t>被授权人签字：</w:t>
      </w:r>
    </w:p>
    <w:p w14:paraId="35FB9A33">
      <w:pPr>
        <w:pStyle w:val="45"/>
        <w:spacing w:line="500" w:lineRule="atLeast"/>
        <w:ind w:firstLine="3517" w:firstLineChars="1675"/>
        <w:rPr>
          <w:rFonts w:ascii="宋体" w:eastAsia="宋体"/>
          <w:color w:val="auto"/>
          <w:sz w:val="21"/>
          <w:szCs w:val="21"/>
          <w:u w:val="single"/>
        </w:rPr>
      </w:pPr>
      <w:r>
        <w:rPr>
          <w:rFonts w:hint="eastAsia" w:ascii="宋体" w:eastAsia="宋体"/>
          <w:color w:val="auto"/>
          <w:sz w:val="21"/>
          <w:szCs w:val="21"/>
        </w:rPr>
        <w:t>职务：</w:t>
      </w:r>
    </w:p>
    <w:p w14:paraId="6EC01C94">
      <w:pPr>
        <w:pStyle w:val="45"/>
        <w:spacing w:line="500" w:lineRule="atLeast"/>
        <w:ind w:firstLine="3517" w:firstLineChars="1675"/>
        <w:rPr>
          <w:rFonts w:ascii="宋体" w:eastAsia="宋体"/>
          <w:color w:val="auto"/>
          <w:sz w:val="21"/>
          <w:szCs w:val="21"/>
        </w:rPr>
      </w:pPr>
      <w:r>
        <w:rPr>
          <w:rFonts w:hint="eastAsia" w:ascii="宋体" w:eastAsia="宋体"/>
          <w:color w:val="auto"/>
          <w:sz w:val="21"/>
          <w:szCs w:val="21"/>
        </w:rPr>
        <w:t xml:space="preserve">移动电话： </w:t>
      </w:r>
    </w:p>
    <w:p w14:paraId="6AE7DC98">
      <w:pPr>
        <w:pStyle w:val="45"/>
        <w:spacing w:line="500" w:lineRule="atLeast"/>
        <w:ind w:firstLine="3517" w:firstLineChars="1675"/>
        <w:rPr>
          <w:rFonts w:ascii="宋体" w:eastAsia="宋体"/>
          <w:color w:val="auto"/>
          <w:sz w:val="21"/>
          <w:szCs w:val="21"/>
        </w:rPr>
      </w:pPr>
      <w:r>
        <w:rPr>
          <w:rFonts w:hint="eastAsia" w:ascii="宋体" w:eastAsia="宋体"/>
          <w:color w:val="auto"/>
          <w:sz w:val="21"/>
          <w:szCs w:val="21"/>
        </w:rPr>
        <w:t>详细通讯地址：</w:t>
      </w:r>
    </w:p>
    <w:p w14:paraId="0779CF56">
      <w:pPr>
        <w:pStyle w:val="45"/>
        <w:spacing w:line="500" w:lineRule="atLeast"/>
        <w:ind w:firstLine="3517" w:firstLineChars="1675"/>
        <w:rPr>
          <w:rFonts w:ascii="宋体" w:eastAsia="宋体"/>
          <w:color w:val="auto"/>
          <w:sz w:val="21"/>
          <w:szCs w:val="21"/>
        </w:rPr>
      </w:pPr>
      <w:r>
        <w:rPr>
          <w:rFonts w:hint="eastAsia" w:ascii="宋体" w:eastAsia="宋体"/>
          <w:color w:val="auto"/>
          <w:sz w:val="21"/>
          <w:szCs w:val="21"/>
        </w:rPr>
        <w:t xml:space="preserve">邮箱：                          </w:t>
      </w:r>
    </w:p>
    <w:p w14:paraId="491CFE31">
      <w:pPr>
        <w:pStyle w:val="45"/>
        <w:spacing w:line="500" w:lineRule="atLeast"/>
        <w:ind w:firstLine="3507" w:firstLineChars="1670"/>
        <w:rPr>
          <w:rFonts w:ascii="宋体" w:eastAsia="宋体"/>
          <w:color w:val="auto"/>
          <w:sz w:val="21"/>
          <w:szCs w:val="21"/>
        </w:rPr>
      </w:pPr>
      <w:r>
        <w:rPr>
          <w:rFonts w:hint="eastAsia" w:ascii="宋体" w:eastAsia="宋体"/>
          <w:color w:val="auto"/>
          <w:sz w:val="21"/>
          <w:szCs w:val="21"/>
        </w:rPr>
        <w:t>日     期：  年  月  日</w:t>
      </w:r>
    </w:p>
    <w:p w14:paraId="5BA37C0E">
      <w:pPr>
        <w:pStyle w:val="45"/>
        <w:spacing w:line="460" w:lineRule="exact"/>
        <w:ind w:firstLine="433"/>
        <w:rPr>
          <w:rFonts w:ascii="宋体" w:eastAsia="宋体"/>
          <w:color w:val="auto"/>
          <w:sz w:val="21"/>
          <w:szCs w:val="21"/>
        </w:rPr>
      </w:pPr>
    </w:p>
    <w:p w14:paraId="725C1AA0">
      <w:pPr>
        <w:ind w:firstLine="420" w:firstLineChars="200"/>
        <w:rPr>
          <w:color w:val="auto"/>
        </w:rPr>
      </w:pPr>
      <w:r>
        <w:rPr>
          <w:rFonts w:hint="eastAsia" w:ascii="宋体" w:hAnsi="宋体"/>
          <w:color w:val="auto"/>
          <w:szCs w:val="21"/>
        </w:rPr>
        <w:t>须附：被授权人身份证复印件。</w:t>
      </w:r>
    </w:p>
    <w:tbl>
      <w:tblPr>
        <w:tblStyle w:val="30"/>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14:paraId="4E3F6BD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14:paraId="3FA66C00">
            <w:pPr>
              <w:pStyle w:val="45"/>
              <w:spacing w:line="460" w:lineRule="exact"/>
              <w:ind w:firstLine="0" w:firstLineChars="0"/>
              <w:jc w:val="center"/>
              <w:rPr>
                <w:rFonts w:ascii="宋体" w:eastAsia="宋体"/>
                <w:color w:val="auto"/>
                <w:sz w:val="22"/>
              </w:rPr>
            </w:pPr>
            <w:r>
              <w:rPr>
                <w:rFonts w:hint="eastAsia" w:ascii="宋体" w:eastAsia="宋体"/>
                <w:color w:val="auto"/>
                <w:sz w:val="22"/>
              </w:rPr>
              <w:t>正面</w:t>
            </w:r>
          </w:p>
        </w:tc>
        <w:tc>
          <w:tcPr>
            <w:tcW w:w="4232" w:type="dxa"/>
            <w:vAlign w:val="center"/>
          </w:tcPr>
          <w:p w14:paraId="13380EDC">
            <w:pPr>
              <w:pStyle w:val="45"/>
              <w:spacing w:line="460" w:lineRule="exact"/>
              <w:ind w:firstLine="0" w:firstLineChars="0"/>
              <w:jc w:val="center"/>
              <w:rPr>
                <w:rFonts w:ascii="宋体" w:eastAsia="宋体"/>
                <w:color w:val="auto"/>
                <w:sz w:val="22"/>
              </w:rPr>
            </w:pPr>
            <w:r>
              <w:rPr>
                <w:rFonts w:hint="eastAsia" w:ascii="宋体" w:eastAsia="宋体"/>
                <w:color w:val="auto"/>
                <w:sz w:val="22"/>
              </w:rPr>
              <w:t>背面</w:t>
            </w:r>
          </w:p>
        </w:tc>
      </w:tr>
    </w:tbl>
    <w:p w14:paraId="4B4C6072">
      <w:pPr>
        <w:adjustRightInd/>
        <w:snapToGrid/>
        <w:spacing w:line="276" w:lineRule="auto"/>
        <w:rPr>
          <w:color w:val="auto"/>
        </w:rPr>
      </w:pPr>
      <w:bookmarkStart w:id="265" w:name="_Toc22486"/>
      <w:r>
        <w:rPr>
          <w:rFonts w:hint="eastAsia" w:ascii="宋体" w:hAnsi="宋体"/>
          <w:color w:val="auto"/>
          <w:szCs w:val="21"/>
        </w:rPr>
        <w:br w:type="page"/>
      </w:r>
    </w:p>
    <w:p w14:paraId="373EEC9D">
      <w:pPr>
        <w:pStyle w:val="5"/>
        <w:widowControl w:val="0"/>
        <w:overflowPunct w:val="0"/>
        <w:spacing w:line="240" w:lineRule="auto"/>
        <w:rPr>
          <w:rFonts w:ascii="宋体" w:hAnsi="宋体"/>
          <w:color w:val="auto"/>
          <w:sz w:val="21"/>
          <w:szCs w:val="21"/>
        </w:rPr>
      </w:pPr>
      <w:bookmarkStart w:id="266" w:name="_Toc23412"/>
      <w:r>
        <w:rPr>
          <w:rFonts w:hint="eastAsia" w:ascii="宋体" w:hAnsi="宋体"/>
          <w:color w:val="auto"/>
          <w:sz w:val="21"/>
          <w:szCs w:val="21"/>
        </w:rPr>
        <w:t>附件</w:t>
      </w:r>
      <w:r>
        <w:rPr>
          <w:rFonts w:hint="eastAsia" w:ascii="宋体" w:hAnsi="宋体"/>
          <w:color w:val="auto"/>
          <w:sz w:val="21"/>
          <w:szCs w:val="21"/>
          <w:lang w:val="en-US" w:eastAsia="zh-CN"/>
        </w:rPr>
        <w:t>6</w:t>
      </w:r>
      <w:r>
        <w:rPr>
          <w:rFonts w:hint="eastAsia" w:ascii="宋体" w:hAnsi="宋体"/>
          <w:color w:val="auto"/>
          <w:sz w:val="21"/>
          <w:szCs w:val="21"/>
        </w:rPr>
        <w:t>.资格申明</w:t>
      </w:r>
      <w:bookmarkEnd w:id="266"/>
    </w:p>
    <w:p w14:paraId="1179334D">
      <w:pPr>
        <w:jc w:val="center"/>
        <w:rPr>
          <w:rFonts w:ascii="黑体" w:eastAsia="黑体"/>
          <w:color w:val="auto"/>
          <w:sz w:val="28"/>
          <w:szCs w:val="28"/>
        </w:rPr>
      </w:pPr>
      <w:r>
        <w:rPr>
          <w:rFonts w:hint="eastAsia" w:ascii="黑体" w:eastAsia="黑体"/>
          <w:color w:val="auto"/>
          <w:sz w:val="28"/>
          <w:szCs w:val="28"/>
        </w:rPr>
        <w:t>资格申明</w:t>
      </w:r>
    </w:p>
    <w:p w14:paraId="791FCC07">
      <w:pPr>
        <w:pStyle w:val="45"/>
        <w:spacing w:line="420" w:lineRule="atLeast"/>
        <w:ind w:firstLine="0" w:firstLineChars="0"/>
        <w:rPr>
          <w:rFonts w:ascii="宋体" w:eastAsia="宋体"/>
          <w:color w:val="auto"/>
          <w:sz w:val="21"/>
          <w:szCs w:val="21"/>
          <w:highlight w:val="none"/>
        </w:rPr>
      </w:pPr>
      <w:r>
        <w:rPr>
          <w:rFonts w:hint="eastAsia" w:ascii="宋体" w:eastAsia="宋体"/>
          <w:color w:val="auto"/>
          <w:sz w:val="21"/>
          <w:szCs w:val="21"/>
          <w:highlight w:val="none"/>
          <w:u w:val="single"/>
        </w:rPr>
        <w:t xml:space="preserve">  xxx   </w:t>
      </w:r>
      <w:r>
        <w:rPr>
          <w:rFonts w:hint="eastAsia" w:ascii="宋体" w:eastAsia="宋体"/>
          <w:color w:val="auto"/>
          <w:sz w:val="21"/>
          <w:szCs w:val="21"/>
          <w:highlight w:val="none"/>
        </w:rPr>
        <w:t>公司：</w:t>
      </w:r>
    </w:p>
    <w:p w14:paraId="50F1280B">
      <w:pPr>
        <w:ind w:firstLine="420" w:firstLineChars="200"/>
        <w:rPr>
          <w:rFonts w:ascii="宋体" w:hAnsi="宋体"/>
          <w:color w:val="auto"/>
          <w:szCs w:val="21"/>
          <w:highlight w:val="none"/>
        </w:rPr>
      </w:pPr>
    </w:p>
    <w:p w14:paraId="49E7171D">
      <w:pPr>
        <w:ind w:firstLine="420" w:firstLineChars="200"/>
        <w:rPr>
          <w:rFonts w:ascii="宋体" w:hAnsi="宋体"/>
          <w:color w:val="auto"/>
          <w:szCs w:val="21"/>
          <w:highlight w:val="none"/>
        </w:rPr>
      </w:pPr>
      <w:r>
        <w:rPr>
          <w:rFonts w:hint="eastAsia" w:ascii="宋体" w:hAnsi="宋体"/>
          <w:color w:val="auto"/>
          <w:szCs w:val="21"/>
          <w:highlight w:val="none"/>
        </w:rPr>
        <w:t>我方</w:t>
      </w:r>
      <w:r>
        <w:rPr>
          <w:rFonts w:ascii="宋体" w:hAnsi="宋体"/>
          <w:color w:val="auto"/>
          <w:szCs w:val="21"/>
          <w:highlight w:val="none"/>
        </w:rPr>
        <w:t>愿响应</w:t>
      </w:r>
      <w:r>
        <w:rPr>
          <w:rFonts w:hint="eastAsia" w:ascii="宋体" w:hAnsi="宋体"/>
          <w:color w:val="auto"/>
          <w:szCs w:val="21"/>
          <w:highlight w:val="none"/>
        </w:rPr>
        <w:t>贵</w:t>
      </w:r>
      <w:r>
        <w:rPr>
          <w:rFonts w:ascii="宋体" w:hAnsi="宋体"/>
          <w:color w:val="auto"/>
          <w:szCs w:val="21"/>
          <w:highlight w:val="none"/>
        </w:rPr>
        <w:t>方</w:t>
      </w:r>
      <w:r>
        <w:rPr>
          <w:rFonts w:hint="eastAsia" w:ascii="宋体" w:hAnsi="宋体"/>
          <w:color w:val="auto"/>
          <w:szCs w:val="21"/>
          <w:highlight w:val="none"/>
        </w:rPr>
        <w:t>关于（项目名称：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采购项目编号：</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的</w:t>
      </w:r>
      <w:r>
        <w:rPr>
          <w:rFonts w:ascii="宋体" w:hAnsi="宋体"/>
          <w:color w:val="auto"/>
          <w:szCs w:val="21"/>
          <w:highlight w:val="none"/>
        </w:rPr>
        <w:t>投标邀请，参与投标，提供用户需求书中规定的</w:t>
      </w:r>
      <w:r>
        <w:rPr>
          <w:rFonts w:hint="eastAsia" w:ascii="宋体" w:hAnsi="宋体"/>
          <w:color w:val="auto"/>
          <w:szCs w:val="21"/>
          <w:highlight w:val="none"/>
        </w:rPr>
        <w:t>货物及相关服务</w:t>
      </w:r>
      <w:r>
        <w:rPr>
          <w:rFonts w:ascii="宋体" w:hAnsi="宋体"/>
          <w:color w:val="auto"/>
          <w:szCs w:val="21"/>
          <w:highlight w:val="none"/>
        </w:rPr>
        <w:t>，并按</w:t>
      </w:r>
      <w:r>
        <w:rPr>
          <w:rFonts w:hint="eastAsia" w:ascii="宋体" w:hAnsi="宋体"/>
          <w:color w:val="auto"/>
          <w:szCs w:val="21"/>
          <w:highlight w:val="none"/>
        </w:rPr>
        <w:t>采购</w:t>
      </w:r>
      <w:r>
        <w:rPr>
          <w:rFonts w:ascii="宋体" w:hAnsi="宋体"/>
          <w:color w:val="auto"/>
          <w:szCs w:val="21"/>
          <w:highlight w:val="none"/>
        </w:rPr>
        <w:t>文件要求提交所附资格文件且声明和保证如下：</w:t>
      </w:r>
    </w:p>
    <w:p w14:paraId="12BA77FD">
      <w:pPr>
        <w:ind w:firstLine="420" w:firstLineChars="200"/>
        <w:rPr>
          <w:rFonts w:ascii="宋体" w:hAnsi="宋体"/>
          <w:color w:val="auto"/>
          <w:szCs w:val="21"/>
          <w:highlight w:val="none"/>
        </w:rPr>
      </w:pPr>
      <w:r>
        <w:rPr>
          <w:rFonts w:hint="eastAsia" w:ascii="宋体" w:hAnsi="宋体"/>
          <w:color w:val="auto"/>
          <w:szCs w:val="21"/>
          <w:highlight w:val="none"/>
        </w:rPr>
        <w:t>一、我方具备投标人邀请中所要求得资格条件，已清楚采购文件所有要求及有关规定；并承诺参加本次采购活动中，如有违法、违规、弄虚作假行为，所造成的损失、不良后果及法律责任，一律由我方承担；</w:t>
      </w:r>
    </w:p>
    <w:p w14:paraId="26AC9AC7">
      <w:pPr>
        <w:ind w:firstLine="420" w:firstLineChars="200"/>
        <w:rPr>
          <w:rFonts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我方依法注册，在法律上、财务上和运作上完全独立于</w:t>
      </w:r>
      <w:r>
        <w:rPr>
          <w:rFonts w:hint="eastAsia" w:ascii="宋体" w:hAnsi="宋体"/>
          <w:color w:val="auto"/>
          <w:szCs w:val="21"/>
          <w:highlight w:val="none"/>
          <w:u w:val="single"/>
        </w:rPr>
        <w:t xml:space="preserve">  xxxx   </w:t>
      </w:r>
      <w:r>
        <w:rPr>
          <w:rFonts w:hint="eastAsia" w:ascii="宋体" w:hAnsi="宋体"/>
          <w:color w:val="auto"/>
          <w:szCs w:val="21"/>
          <w:highlight w:val="none"/>
        </w:rPr>
        <w:t>公司</w:t>
      </w:r>
      <w:r>
        <w:rPr>
          <w:rFonts w:ascii="宋体" w:hAnsi="宋体"/>
          <w:color w:val="auto"/>
          <w:szCs w:val="21"/>
          <w:highlight w:val="none"/>
        </w:rPr>
        <w:t>（</w:t>
      </w:r>
      <w:r>
        <w:rPr>
          <w:rFonts w:hint="eastAsia" w:ascii="宋体" w:hAnsi="宋体"/>
          <w:color w:val="auto"/>
          <w:szCs w:val="21"/>
          <w:highlight w:val="none"/>
        </w:rPr>
        <w:t>采购人</w:t>
      </w:r>
      <w:r>
        <w:rPr>
          <w:rFonts w:ascii="宋体" w:hAnsi="宋体"/>
          <w:color w:val="auto"/>
          <w:szCs w:val="21"/>
          <w:highlight w:val="none"/>
        </w:rPr>
        <w:t>）及</w:t>
      </w:r>
      <w:r>
        <w:rPr>
          <w:rFonts w:hint="eastAsia" w:ascii="宋体" w:hAnsi="宋体"/>
          <w:color w:val="auto"/>
          <w:szCs w:val="21"/>
          <w:highlight w:val="none"/>
          <w:u w:val="single"/>
        </w:rPr>
        <w:t xml:space="preserve">    xxx   </w:t>
      </w:r>
      <w:r>
        <w:rPr>
          <w:rFonts w:hint="eastAsia" w:ascii="宋体" w:hAnsi="宋体"/>
          <w:color w:val="auto"/>
          <w:szCs w:val="21"/>
          <w:highlight w:val="none"/>
        </w:rPr>
        <w:t>公司</w:t>
      </w:r>
      <w:r>
        <w:rPr>
          <w:rFonts w:ascii="宋体" w:hAnsi="宋体"/>
          <w:color w:val="auto"/>
          <w:szCs w:val="21"/>
          <w:highlight w:val="none"/>
        </w:rPr>
        <w:t>（采购代理机构）</w:t>
      </w:r>
      <w:r>
        <w:rPr>
          <w:rFonts w:hint="eastAsia" w:ascii="宋体" w:hAnsi="宋体"/>
          <w:color w:val="auto"/>
          <w:szCs w:val="21"/>
          <w:highlight w:val="none"/>
        </w:rPr>
        <w:t>。</w:t>
      </w:r>
    </w:p>
    <w:p w14:paraId="46D03B53">
      <w:pPr>
        <w:pStyle w:val="45"/>
        <w:spacing w:line="500" w:lineRule="atLeast"/>
        <w:ind w:firstLine="3517" w:firstLineChars="1675"/>
        <w:rPr>
          <w:rFonts w:ascii="宋体" w:eastAsia="宋体"/>
          <w:color w:val="auto"/>
          <w:sz w:val="21"/>
          <w:szCs w:val="21"/>
          <w:highlight w:val="none"/>
        </w:rPr>
      </w:pPr>
    </w:p>
    <w:p w14:paraId="28818C42">
      <w:pPr>
        <w:pStyle w:val="45"/>
        <w:spacing w:line="500" w:lineRule="atLeast"/>
        <w:ind w:firstLine="3517" w:firstLineChars="1675"/>
        <w:rPr>
          <w:rFonts w:ascii="宋体" w:eastAsia="宋体"/>
          <w:color w:val="auto"/>
          <w:sz w:val="21"/>
          <w:szCs w:val="21"/>
          <w:highlight w:val="none"/>
        </w:rPr>
      </w:pPr>
    </w:p>
    <w:p w14:paraId="3A2AAB94">
      <w:pPr>
        <w:pStyle w:val="45"/>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投标人名称（加盖公章）：</w:t>
      </w:r>
    </w:p>
    <w:p w14:paraId="3F2B030A">
      <w:pPr>
        <w:pStyle w:val="45"/>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法定代表人或其授权代表（签名或盖私章）：</w:t>
      </w:r>
    </w:p>
    <w:p w14:paraId="08BCC54B">
      <w:pPr>
        <w:pStyle w:val="45"/>
        <w:spacing w:line="500" w:lineRule="atLeast"/>
        <w:ind w:firstLine="433"/>
        <w:rPr>
          <w:rFonts w:ascii="宋体" w:eastAsia="宋体"/>
          <w:color w:val="auto"/>
          <w:sz w:val="21"/>
          <w:szCs w:val="21"/>
        </w:rPr>
      </w:pPr>
      <w:r>
        <w:rPr>
          <w:rFonts w:hint="eastAsia" w:ascii="宋体" w:eastAsia="宋体"/>
          <w:color w:val="auto"/>
          <w:sz w:val="21"/>
          <w:szCs w:val="21"/>
        </w:rPr>
        <w:t>日     期：年月日</w:t>
      </w:r>
    </w:p>
    <w:p w14:paraId="6380D480">
      <w:pPr>
        <w:pStyle w:val="45"/>
        <w:spacing w:line="500" w:lineRule="atLeast"/>
        <w:ind w:firstLine="433"/>
        <w:rPr>
          <w:rFonts w:ascii="宋体" w:eastAsia="宋体"/>
          <w:color w:val="auto"/>
          <w:sz w:val="21"/>
          <w:szCs w:val="21"/>
        </w:rPr>
      </w:pPr>
      <w:r>
        <w:rPr>
          <w:rFonts w:hint="eastAsia" w:ascii="宋体" w:eastAsia="宋体"/>
          <w:color w:val="auto"/>
          <w:sz w:val="21"/>
          <w:szCs w:val="21"/>
        </w:rPr>
        <w:br w:type="page"/>
      </w:r>
    </w:p>
    <w:p w14:paraId="26733A3D">
      <w:pPr>
        <w:pStyle w:val="5"/>
        <w:widowControl w:val="0"/>
        <w:overflowPunct w:val="0"/>
        <w:spacing w:line="240" w:lineRule="auto"/>
        <w:rPr>
          <w:rFonts w:ascii="宋体" w:hAnsi="宋体"/>
          <w:color w:val="auto"/>
          <w:sz w:val="21"/>
          <w:szCs w:val="21"/>
        </w:rPr>
      </w:pPr>
      <w:bookmarkStart w:id="267" w:name="_Toc501"/>
      <w:r>
        <w:rPr>
          <w:rFonts w:hint="eastAsia" w:ascii="宋体" w:hAnsi="宋体"/>
          <w:color w:val="auto"/>
          <w:sz w:val="21"/>
          <w:szCs w:val="21"/>
        </w:rPr>
        <w:t>附件</w:t>
      </w:r>
      <w:r>
        <w:rPr>
          <w:rFonts w:hint="eastAsia" w:ascii="宋体" w:hAnsi="宋体"/>
          <w:color w:val="auto"/>
          <w:sz w:val="21"/>
          <w:szCs w:val="21"/>
          <w:lang w:val="en-US" w:eastAsia="zh-CN"/>
        </w:rPr>
        <w:t>7</w:t>
      </w:r>
      <w:r>
        <w:rPr>
          <w:rFonts w:hint="eastAsia" w:ascii="宋体" w:hAnsi="宋体"/>
          <w:color w:val="auto"/>
          <w:sz w:val="21"/>
          <w:szCs w:val="21"/>
        </w:rPr>
        <w:t>.营业执照</w:t>
      </w:r>
      <w:bookmarkEnd w:id="267"/>
    </w:p>
    <w:p w14:paraId="71631F1B">
      <w:pPr>
        <w:jc w:val="center"/>
        <w:rPr>
          <w:rFonts w:ascii="黑体" w:eastAsia="黑体"/>
          <w:color w:val="auto"/>
          <w:sz w:val="28"/>
          <w:szCs w:val="28"/>
        </w:rPr>
      </w:pPr>
      <w:bookmarkStart w:id="268" w:name="_Toc4926"/>
      <w:bookmarkStart w:id="269" w:name="_Toc1511"/>
      <w:bookmarkStart w:id="270" w:name="_Toc17470"/>
      <w:bookmarkStart w:id="271" w:name="_Toc5919"/>
      <w:bookmarkStart w:id="272" w:name="_Toc24210"/>
      <w:r>
        <w:rPr>
          <w:rFonts w:hint="eastAsia" w:ascii="黑体" w:eastAsia="黑体"/>
          <w:color w:val="auto"/>
          <w:sz w:val="28"/>
          <w:szCs w:val="28"/>
        </w:rPr>
        <w:t>营业执照</w:t>
      </w:r>
      <w:bookmarkEnd w:id="268"/>
      <w:bookmarkEnd w:id="269"/>
      <w:bookmarkEnd w:id="270"/>
      <w:bookmarkEnd w:id="271"/>
      <w:bookmarkEnd w:id="272"/>
    </w:p>
    <w:p w14:paraId="48135C6F">
      <w:pPr>
        <w:jc w:val="center"/>
        <w:rPr>
          <w:rFonts w:ascii="黑体" w:eastAsia="黑体"/>
          <w:color w:val="auto"/>
          <w:sz w:val="28"/>
          <w:szCs w:val="28"/>
        </w:rPr>
      </w:pPr>
      <w:r>
        <w:rPr>
          <w:rFonts w:hint="eastAsia" w:ascii="黑体" w:eastAsia="黑体"/>
          <w:color w:val="auto"/>
          <w:sz w:val="28"/>
          <w:szCs w:val="28"/>
        </w:rPr>
        <w:br w:type="page"/>
      </w:r>
    </w:p>
    <w:p w14:paraId="3FA67A6E">
      <w:pPr>
        <w:pStyle w:val="5"/>
        <w:widowControl w:val="0"/>
        <w:overflowPunct w:val="0"/>
        <w:spacing w:line="240" w:lineRule="auto"/>
        <w:rPr>
          <w:rFonts w:ascii="宋体" w:hAnsi="宋体"/>
          <w:color w:val="auto"/>
          <w:sz w:val="21"/>
          <w:szCs w:val="21"/>
        </w:rPr>
      </w:pPr>
      <w:bookmarkStart w:id="273" w:name="_Toc2468"/>
      <w:r>
        <w:rPr>
          <w:rFonts w:hint="eastAsia" w:ascii="宋体" w:hAnsi="宋体"/>
          <w:color w:val="auto"/>
          <w:sz w:val="21"/>
          <w:szCs w:val="21"/>
        </w:rPr>
        <w:t>附件</w:t>
      </w:r>
      <w:r>
        <w:rPr>
          <w:rFonts w:hint="eastAsia" w:ascii="宋体" w:hAnsi="宋体"/>
          <w:color w:val="auto"/>
          <w:sz w:val="21"/>
          <w:szCs w:val="21"/>
          <w:lang w:val="en-US" w:eastAsia="zh-CN"/>
        </w:rPr>
        <w:t>8</w:t>
      </w:r>
      <w:r>
        <w:rPr>
          <w:rFonts w:hint="eastAsia" w:ascii="宋体" w:hAnsi="宋体"/>
          <w:color w:val="auto"/>
          <w:sz w:val="21"/>
          <w:szCs w:val="21"/>
        </w:rPr>
        <w:t>.相关资质证明文件</w:t>
      </w:r>
      <w:bookmarkEnd w:id="273"/>
    </w:p>
    <w:p w14:paraId="4A8B0709">
      <w:pPr>
        <w:rPr>
          <w:color w:val="auto"/>
          <w:highlight w:val="none"/>
        </w:rPr>
      </w:pPr>
    </w:p>
    <w:p w14:paraId="603B3261">
      <w:pPr>
        <w:jc w:val="center"/>
        <w:rPr>
          <w:rFonts w:ascii="黑体" w:eastAsia="黑体"/>
          <w:color w:val="auto"/>
          <w:sz w:val="28"/>
          <w:szCs w:val="28"/>
          <w:highlight w:val="none"/>
        </w:rPr>
      </w:pPr>
      <w:bookmarkStart w:id="274" w:name="_Toc9592"/>
      <w:bookmarkStart w:id="275" w:name="_Toc16698"/>
      <w:bookmarkStart w:id="276" w:name="_Toc16233"/>
      <w:bookmarkStart w:id="277" w:name="_Toc13458"/>
      <w:bookmarkStart w:id="278" w:name="_Toc30307"/>
      <w:r>
        <w:rPr>
          <w:rFonts w:hint="eastAsia" w:ascii="黑体" w:eastAsia="黑体"/>
          <w:color w:val="auto"/>
          <w:sz w:val="28"/>
          <w:szCs w:val="28"/>
          <w:highlight w:val="none"/>
        </w:rPr>
        <w:t>相关资质证明文件</w:t>
      </w:r>
      <w:bookmarkEnd w:id="265"/>
      <w:bookmarkEnd w:id="274"/>
      <w:bookmarkEnd w:id="275"/>
      <w:bookmarkEnd w:id="276"/>
      <w:bookmarkEnd w:id="277"/>
      <w:bookmarkEnd w:id="278"/>
    </w:p>
    <w:p w14:paraId="0D7C0637">
      <w:pPr>
        <w:numPr>
          <w:ilvl w:val="0"/>
          <w:numId w:val="12"/>
        </w:numP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符合投标邀请书“投标人资格要求”其他要求对应的证明文件；</w:t>
      </w:r>
    </w:p>
    <w:p w14:paraId="646C4CFB">
      <w:pPr>
        <w:numPr>
          <w:ilvl w:val="0"/>
          <w:numId w:val="12"/>
        </w:numP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投标人认为必要的文件。</w:t>
      </w:r>
    </w:p>
    <w:p w14:paraId="495D7AC8">
      <w:pPr>
        <w:numPr>
          <w:ilvl w:val="0"/>
          <w:numId w:val="0"/>
        </w:numPr>
        <w:tabs>
          <w:tab w:val="left" w:pos="1680"/>
        </w:tabs>
        <w:jc w:val="both"/>
        <w:rPr>
          <w:rFonts w:hint="eastAsia"/>
          <w:color w:val="auto"/>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三</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独家授权委托书</w:t>
      </w:r>
    </w:p>
    <w:p w14:paraId="1097585A">
      <w:pPr>
        <w:spacing w:line="460" w:lineRule="exact"/>
        <w:ind w:firstLine="420" w:firstLineChars="20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独家授权委托书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如有</w:t>
      </w:r>
      <w:r>
        <w:rPr>
          <w:rFonts w:hint="eastAsia" w:ascii="宋体" w:hAnsi="宋体" w:eastAsia="宋体" w:cs="宋体"/>
          <w:color w:val="auto"/>
          <w:sz w:val="21"/>
          <w:szCs w:val="21"/>
          <w:lang w:eastAsia="zh-CN"/>
        </w:rPr>
        <w:t>）</w:t>
      </w:r>
    </w:p>
    <w:p w14:paraId="3A20DAB8">
      <w:pPr>
        <w:spacing w:line="360" w:lineRule="auto"/>
        <w:jc w:val="center"/>
        <w:rPr>
          <w:rFonts w:ascii="宋体" w:hAnsi="宋体"/>
          <w:b/>
          <w:color w:val="auto"/>
          <w:sz w:val="21"/>
          <w:szCs w:val="21"/>
        </w:rPr>
      </w:pPr>
    </w:p>
    <w:p w14:paraId="53299CF7">
      <w:pPr>
        <w:spacing w:line="460" w:lineRule="exact"/>
        <w:rPr>
          <w:rFonts w:hint="eastAsia" w:ascii="宋体" w:hAnsi="宋体" w:cs="宋体"/>
          <w:color w:val="auto"/>
          <w:sz w:val="21"/>
          <w:szCs w:val="21"/>
        </w:rPr>
      </w:pPr>
      <w:r>
        <w:rPr>
          <w:rFonts w:hint="eastAsia" w:ascii="宋体" w:eastAsia="宋体" w:cs="宋体"/>
          <w:color w:val="auto"/>
          <w:sz w:val="21"/>
          <w:szCs w:val="21"/>
        </w:rPr>
        <w:t>致</w:t>
      </w:r>
      <w:r>
        <w:rPr>
          <w:rFonts w:hint="eastAsia" w:ascii="宋体" w:eastAsia="宋体" w:cs="宋体"/>
          <w:color w:val="auto"/>
          <w:sz w:val="21"/>
          <w:szCs w:val="21"/>
          <w:lang w:val="en-US" w:eastAsia="zh-CN"/>
        </w:rPr>
        <w:t>东莞实业投资控股集团有限公司</w:t>
      </w:r>
      <w:r>
        <w:rPr>
          <w:rFonts w:hint="eastAsia" w:ascii="宋体" w:hAnsi="宋体" w:cs="宋体"/>
          <w:color w:val="auto"/>
          <w:sz w:val="21"/>
          <w:szCs w:val="21"/>
        </w:rPr>
        <w:t xml:space="preserve">： </w:t>
      </w:r>
    </w:p>
    <w:p w14:paraId="59E2770F">
      <w:pPr>
        <w:spacing w:line="4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本授权书声明：</w:t>
      </w:r>
      <w:r>
        <w:rPr>
          <w:rFonts w:hint="eastAsia" w:ascii="宋体" w:hAnsi="宋体" w:eastAsia="宋体" w:cs="宋体"/>
          <w:color w:val="auto"/>
          <w:sz w:val="21"/>
          <w:szCs w:val="21"/>
          <w:u w:val="single"/>
        </w:rPr>
        <w:t>（公司名称，以下称“授权人”）</w:t>
      </w:r>
      <w:r>
        <w:rPr>
          <w:rFonts w:hint="eastAsia" w:ascii="宋体" w:hAnsi="宋体" w:eastAsia="宋体" w:cs="宋体"/>
          <w:color w:val="auto"/>
          <w:sz w:val="21"/>
          <w:szCs w:val="21"/>
        </w:rPr>
        <w:t>的法定代表人</w:t>
      </w:r>
      <w:r>
        <w:rPr>
          <w:rFonts w:hint="eastAsia" w:ascii="宋体" w:hAnsi="宋体" w:eastAsia="宋体" w:cs="宋体"/>
          <w:color w:val="auto"/>
          <w:sz w:val="21"/>
          <w:szCs w:val="21"/>
          <w:u w:val="single"/>
        </w:rPr>
        <w:t>（法定代表人名称）</w:t>
      </w:r>
      <w:r>
        <w:rPr>
          <w:rFonts w:hint="eastAsia" w:ascii="宋体" w:hAnsi="宋体" w:eastAsia="宋体" w:cs="宋体"/>
          <w:color w:val="auto"/>
          <w:sz w:val="21"/>
          <w:szCs w:val="21"/>
        </w:rPr>
        <w:t>代表本公司授权</w:t>
      </w:r>
      <w:r>
        <w:rPr>
          <w:rFonts w:hint="eastAsia" w:ascii="宋体" w:hAnsi="宋体" w:eastAsia="宋体" w:cs="宋体"/>
          <w:color w:val="auto"/>
          <w:sz w:val="21"/>
          <w:szCs w:val="21"/>
          <w:u w:val="single"/>
        </w:rPr>
        <w:t>（分公司名称，以下称“被授权人”）</w:t>
      </w:r>
      <w:r>
        <w:rPr>
          <w:rFonts w:hint="eastAsia" w:ascii="宋体" w:hAnsi="宋体" w:eastAsia="宋体" w:cs="宋体"/>
          <w:color w:val="auto"/>
          <w:sz w:val="21"/>
          <w:szCs w:val="21"/>
        </w:rPr>
        <w:t>为本公司的唯一合法投标人，参加项目投标，并以本公司名义处理一切与之有关的事宜。</w:t>
      </w:r>
    </w:p>
    <w:p w14:paraId="5CEE6BE4">
      <w:pPr>
        <w:spacing w:line="460" w:lineRule="exact"/>
        <w:ind w:firstLine="420" w:firstLineChars="200"/>
        <w:rPr>
          <w:rFonts w:hint="eastAsia" w:ascii="宋体" w:hAnsi="宋体" w:eastAsia="宋体" w:cs="宋体"/>
          <w:color w:val="auto"/>
          <w:sz w:val="21"/>
          <w:szCs w:val="21"/>
        </w:rPr>
      </w:pPr>
    </w:p>
    <w:p w14:paraId="31373197">
      <w:pPr>
        <w:spacing w:line="4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本授权书于 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月 日签字生效，特此声明。</w:t>
      </w:r>
    </w:p>
    <w:p w14:paraId="30DDCDAE">
      <w:pPr>
        <w:spacing w:line="460" w:lineRule="exact"/>
        <w:rPr>
          <w:rFonts w:hint="eastAsia" w:ascii="宋体" w:hAnsi="宋体" w:eastAsia="宋体" w:cs="宋体"/>
          <w:color w:val="auto"/>
          <w:sz w:val="21"/>
          <w:szCs w:val="21"/>
        </w:rPr>
      </w:pPr>
    </w:p>
    <w:p w14:paraId="1E30A336">
      <w:pPr>
        <w:spacing w:line="460" w:lineRule="exact"/>
        <w:rPr>
          <w:rFonts w:hint="eastAsia" w:ascii="宋体" w:hAnsi="宋体" w:eastAsia="宋体" w:cs="宋体"/>
          <w:color w:val="auto"/>
          <w:sz w:val="21"/>
          <w:szCs w:val="21"/>
        </w:rPr>
      </w:pPr>
      <w:r>
        <w:rPr>
          <w:rFonts w:hint="eastAsia" w:ascii="宋体" w:hAnsi="宋体" w:eastAsia="宋体" w:cs="宋体"/>
          <w:color w:val="auto"/>
          <w:sz w:val="21"/>
          <w:szCs w:val="21"/>
        </w:rPr>
        <w:t>授权人：________________（公章）</w:t>
      </w:r>
    </w:p>
    <w:p w14:paraId="1C86F775">
      <w:pPr>
        <w:spacing w:line="460" w:lineRule="exact"/>
        <w:rPr>
          <w:rFonts w:hint="eastAsia" w:ascii="宋体" w:hAnsi="宋体" w:eastAsia="宋体" w:cs="宋体"/>
          <w:color w:val="auto"/>
          <w:sz w:val="21"/>
          <w:szCs w:val="21"/>
        </w:rPr>
      </w:pPr>
      <w:r>
        <w:rPr>
          <w:rFonts w:hint="eastAsia" w:ascii="宋体" w:hAnsi="宋体" w:eastAsia="宋体" w:cs="宋体"/>
          <w:color w:val="auto"/>
          <w:sz w:val="21"/>
          <w:szCs w:val="21"/>
        </w:rPr>
        <w:t>法定代表人：（签字）</w:t>
      </w:r>
    </w:p>
    <w:p w14:paraId="0B2227F1">
      <w:pPr>
        <w:spacing w:line="460" w:lineRule="exact"/>
        <w:rPr>
          <w:rFonts w:hint="eastAsia" w:ascii="宋体" w:hAnsi="宋体" w:eastAsia="宋体" w:cs="宋体"/>
          <w:color w:val="auto"/>
          <w:sz w:val="21"/>
          <w:szCs w:val="21"/>
        </w:rPr>
      </w:pPr>
      <w:r>
        <w:rPr>
          <w:rFonts w:hint="eastAsia" w:ascii="宋体" w:hAnsi="宋体" w:eastAsia="宋体" w:cs="宋体"/>
          <w:color w:val="auto"/>
          <w:sz w:val="21"/>
          <w:szCs w:val="21"/>
        </w:rPr>
        <w:t>地址：</w:t>
      </w:r>
    </w:p>
    <w:p w14:paraId="6234E506">
      <w:pPr>
        <w:spacing w:line="460" w:lineRule="exact"/>
        <w:rPr>
          <w:rFonts w:hint="eastAsia" w:ascii="宋体" w:hAnsi="宋体" w:eastAsia="宋体" w:cs="宋体"/>
          <w:color w:val="auto"/>
          <w:sz w:val="21"/>
          <w:szCs w:val="21"/>
        </w:rPr>
      </w:pPr>
      <w:r>
        <w:rPr>
          <w:rFonts w:hint="eastAsia" w:ascii="宋体" w:hAnsi="宋体" w:eastAsia="宋体" w:cs="宋体"/>
          <w:color w:val="auto"/>
          <w:sz w:val="21"/>
          <w:szCs w:val="21"/>
        </w:rPr>
        <w:t>日期：      年    月    日</w:t>
      </w:r>
    </w:p>
    <w:p w14:paraId="5C6AA006">
      <w:pPr>
        <w:spacing w:line="460" w:lineRule="exact"/>
        <w:rPr>
          <w:rFonts w:hint="eastAsia" w:ascii="宋体" w:hAnsi="宋体" w:eastAsia="宋体" w:cs="宋体"/>
          <w:color w:val="auto"/>
          <w:sz w:val="21"/>
          <w:szCs w:val="21"/>
        </w:rPr>
      </w:pPr>
    </w:p>
    <w:p w14:paraId="0E348521">
      <w:pPr>
        <w:spacing w:line="460" w:lineRule="exact"/>
        <w:rPr>
          <w:rFonts w:hint="eastAsia" w:ascii="宋体" w:hAnsi="宋体" w:eastAsia="宋体" w:cs="宋体"/>
          <w:color w:val="auto"/>
          <w:sz w:val="21"/>
          <w:szCs w:val="21"/>
        </w:rPr>
      </w:pPr>
      <w:r>
        <w:rPr>
          <w:rFonts w:hint="eastAsia" w:ascii="宋体" w:hAnsi="宋体" w:eastAsia="宋体" w:cs="宋体"/>
          <w:color w:val="auto"/>
          <w:sz w:val="21"/>
          <w:szCs w:val="21"/>
        </w:rPr>
        <w:t>被授权人：________________（公章）</w:t>
      </w:r>
    </w:p>
    <w:p w14:paraId="3FAE4995">
      <w:pPr>
        <w:spacing w:line="460" w:lineRule="exact"/>
        <w:rPr>
          <w:rFonts w:hint="eastAsia" w:ascii="宋体" w:hAnsi="宋体" w:eastAsia="宋体" w:cs="宋体"/>
          <w:color w:val="auto"/>
          <w:sz w:val="21"/>
          <w:szCs w:val="21"/>
        </w:rPr>
      </w:pPr>
      <w:r>
        <w:rPr>
          <w:rFonts w:hint="eastAsia" w:ascii="宋体" w:hAnsi="宋体" w:eastAsia="宋体" w:cs="宋体"/>
          <w:color w:val="auto"/>
          <w:sz w:val="21"/>
          <w:szCs w:val="21"/>
        </w:rPr>
        <w:t>法定负责人：（签字）</w:t>
      </w:r>
    </w:p>
    <w:p w14:paraId="06B4C4EF">
      <w:pPr>
        <w:spacing w:line="460" w:lineRule="exact"/>
        <w:rPr>
          <w:rFonts w:hint="eastAsia" w:ascii="宋体" w:hAnsi="宋体" w:eastAsia="宋体" w:cs="宋体"/>
          <w:color w:val="auto"/>
          <w:sz w:val="21"/>
          <w:szCs w:val="21"/>
        </w:rPr>
      </w:pPr>
      <w:r>
        <w:rPr>
          <w:rFonts w:hint="eastAsia" w:ascii="宋体" w:hAnsi="宋体" w:eastAsia="宋体" w:cs="宋体"/>
          <w:color w:val="auto"/>
          <w:sz w:val="21"/>
          <w:szCs w:val="21"/>
        </w:rPr>
        <w:t>地址：</w:t>
      </w:r>
    </w:p>
    <w:p w14:paraId="7030E09D">
      <w:pPr>
        <w:spacing w:line="460" w:lineRule="exact"/>
        <w:rPr>
          <w:rFonts w:hint="eastAsia" w:ascii="宋体" w:hAnsi="宋体" w:eastAsia="宋体" w:cs="宋体"/>
          <w:color w:val="auto"/>
          <w:sz w:val="21"/>
          <w:szCs w:val="21"/>
        </w:rPr>
      </w:pPr>
      <w:r>
        <w:rPr>
          <w:rFonts w:hint="eastAsia" w:ascii="宋体" w:hAnsi="宋体" w:eastAsia="宋体" w:cs="宋体"/>
          <w:color w:val="auto"/>
          <w:sz w:val="21"/>
          <w:szCs w:val="21"/>
        </w:rPr>
        <w:t>日期：       年    月    日</w:t>
      </w:r>
    </w:p>
    <w:p w14:paraId="15ECABDE">
      <w:pPr>
        <w:spacing w:line="460" w:lineRule="exact"/>
        <w:rPr>
          <w:rFonts w:hint="eastAsia" w:ascii="宋体" w:hAnsi="宋体" w:eastAsia="宋体" w:cs="宋体"/>
          <w:color w:val="auto"/>
          <w:sz w:val="21"/>
          <w:szCs w:val="21"/>
        </w:rPr>
      </w:pPr>
      <w:r>
        <w:rPr>
          <w:rFonts w:hint="eastAsia" w:ascii="宋体" w:hAnsi="宋体" w:eastAsia="宋体" w:cs="宋体"/>
          <w:color w:val="auto"/>
          <w:sz w:val="21"/>
          <w:szCs w:val="21"/>
        </w:rPr>
        <w:t>（若为分支机构投标，独家授权委托书附于投标函之前）</w:t>
      </w:r>
    </w:p>
    <w:p w14:paraId="711FC418">
      <w:pPr>
        <w:numPr>
          <w:ilvl w:val="0"/>
          <w:numId w:val="0"/>
        </w:numPr>
        <w:tabs>
          <w:tab w:val="left" w:pos="1680"/>
        </w:tabs>
        <w:jc w:val="both"/>
        <w:rPr>
          <w:rFonts w:hint="eastAsia" w:ascii="宋体" w:hAnsi="宋体" w:eastAsia="宋体" w:cs="宋体"/>
          <w:b/>
          <w:bCs/>
          <w:color w:val="auto"/>
          <w:szCs w:val="21"/>
          <w:highlight w:val="none"/>
          <w:lang w:eastAsia="zh-CN"/>
        </w:rPr>
      </w:pPr>
    </w:p>
    <w:p w14:paraId="0714FEA6">
      <w:pPr>
        <w:numPr>
          <w:ilvl w:val="0"/>
          <w:numId w:val="0"/>
        </w:numPr>
        <w:tabs>
          <w:tab w:val="left" w:pos="1680"/>
        </w:tabs>
        <w:jc w:val="both"/>
        <w:rPr>
          <w:rFonts w:ascii="宋体" w:hAnsi="宋体" w:cs="宋体"/>
          <w:b/>
          <w:bCs/>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四</w:t>
      </w:r>
      <w:r>
        <w:rPr>
          <w:rFonts w:hint="eastAsia" w:ascii="宋体" w:hAnsi="宋体" w:eastAsia="宋体" w:cs="宋体"/>
          <w:b/>
          <w:bCs/>
          <w:color w:val="auto"/>
          <w:szCs w:val="21"/>
          <w:highlight w:val="none"/>
          <w:lang w:eastAsia="zh-CN"/>
        </w:rPr>
        <w:t>）</w:t>
      </w:r>
      <w:r>
        <w:rPr>
          <w:rFonts w:hint="eastAsia" w:ascii="宋体" w:hAnsi="宋体" w:eastAsia="宋体" w:cs="宋体"/>
          <w:b w:val="0"/>
          <w:bCs w:val="0"/>
          <w:color w:val="auto"/>
          <w:szCs w:val="21"/>
          <w:highlight w:val="none"/>
          <w:lang w:eastAsia="zh-CN"/>
        </w:rPr>
        <w:t>投标人或其上级法人（分支机构投标时其所属的金融机构法人）为具备非金融企业债务融资工具主承销商业务资格的</w:t>
      </w:r>
      <w:r>
        <w:rPr>
          <w:rFonts w:hint="eastAsia" w:ascii="宋体" w:hAnsi="宋体" w:eastAsia="宋体" w:cs="宋体"/>
          <w:b/>
          <w:bCs/>
          <w:color w:val="auto"/>
          <w:szCs w:val="21"/>
          <w:highlight w:val="none"/>
          <w:lang w:eastAsia="zh-CN"/>
        </w:rPr>
        <w:t>银行类主承销商机构</w:t>
      </w:r>
      <w:r>
        <w:rPr>
          <w:rFonts w:hint="eastAsia" w:ascii="宋体" w:hAnsi="宋体" w:eastAsia="宋体" w:cs="宋体"/>
          <w:b w:val="0"/>
          <w:bCs w:val="0"/>
          <w:color w:val="auto"/>
          <w:szCs w:val="21"/>
          <w:highlight w:val="none"/>
          <w:lang w:eastAsia="zh-CN"/>
        </w:rPr>
        <w:t>（以中国银行间市场交易商协会最新公布的“非金融企业债务融资工具承销机构名单—主承销商—一般主承销商—银行类机构”为准）。</w:t>
      </w:r>
      <w:r>
        <w:rPr>
          <w:rFonts w:hint="eastAsia" w:ascii="宋体" w:hAnsi="宋体" w:eastAsia="宋体" w:cs="宋体"/>
          <w:b/>
          <w:bCs/>
          <w:color w:val="auto"/>
          <w:szCs w:val="21"/>
          <w:highlight w:val="none"/>
          <w:lang w:val="en-US" w:eastAsia="zh-CN"/>
        </w:rPr>
        <w:t>提供上述证明资料</w:t>
      </w:r>
      <w:r>
        <w:rPr>
          <w:rFonts w:hint="eastAsia" w:ascii="宋体" w:hAnsi="宋体" w:cs="宋体"/>
          <w:b/>
          <w:bCs/>
          <w:color w:val="auto"/>
          <w:szCs w:val="21"/>
          <w:highlight w:val="none"/>
          <w:lang w:val="en-US" w:eastAsia="zh-CN"/>
        </w:rPr>
        <w:t>。</w:t>
      </w:r>
    </w:p>
    <w:p w14:paraId="2A201A35">
      <w:pPr>
        <w:numPr>
          <w:ilvl w:val="0"/>
          <w:numId w:val="0"/>
        </w:numPr>
        <w:tabs>
          <w:tab w:val="left" w:pos="1680"/>
        </w:tabs>
        <w:jc w:val="both"/>
        <w:rPr>
          <w:rFonts w:hint="eastAsia" w:ascii="宋体" w:hAnsi="宋体" w:eastAsia="宋体" w:cs="宋体"/>
          <w:b/>
          <w:bCs/>
          <w:color w:val="auto"/>
          <w:szCs w:val="21"/>
          <w:highlight w:val="none"/>
          <w:lang w:val="en-US" w:eastAsia="zh-CN"/>
        </w:rPr>
      </w:pPr>
    </w:p>
    <w:p w14:paraId="26565A16">
      <w:pPr>
        <w:numPr>
          <w:ilvl w:val="0"/>
          <w:numId w:val="0"/>
        </w:numPr>
        <w:tabs>
          <w:tab w:val="left" w:pos="1680"/>
        </w:tabs>
        <w:jc w:val="both"/>
        <w:rPr>
          <w:rFonts w:hint="eastAsia" w:ascii="宋体" w:hAnsi="宋体" w:eastAsia="宋体" w:cs="宋体"/>
          <w:b/>
          <w:bCs/>
          <w:color w:val="auto"/>
          <w:szCs w:val="21"/>
          <w:highlight w:val="none"/>
          <w:lang w:val="en-US" w:eastAsia="zh-CN"/>
        </w:rPr>
      </w:pPr>
    </w:p>
    <w:p w14:paraId="7F80330F">
      <w:pPr>
        <w:numPr>
          <w:ilvl w:val="0"/>
          <w:numId w:val="0"/>
        </w:numPr>
        <w:tabs>
          <w:tab w:val="left" w:pos="1680"/>
        </w:tabs>
        <w:jc w:val="both"/>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（五）资格声明函</w:t>
      </w:r>
    </w:p>
    <w:p w14:paraId="28585753">
      <w:pPr>
        <w:spacing w:line="460" w:lineRule="exact"/>
        <w:rPr>
          <w:rFonts w:hint="eastAsia" w:ascii="宋体" w:hAnsi="宋体" w:cs="宋体"/>
          <w:color w:val="auto"/>
          <w:sz w:val="21"/>
          <w:szCs w:val="21"/>
        </w:rPr>
      </w:pPr>
      <w:r>
        <w:rPr>
          <w:rFonts w:hint="eastAsia" w:ascii="宋体" w:eastAsia="宋体" w:cs="宋体"/>
          <w:color w:val="auto"/>
          <w:sz w:val="21"/>
          <w:szCs w:val="21"/>
        </w:rPr>
        <w:t>致</w:t>
      </w:r>
      <w:r>
        <w:rPr>
          <w:rFonts w:hint="eastAsia" w:ascii="宋体" w:eastAsia="宋体" w:cs="宋体"/>
          <w:color w:val="auto"/>
          <w:sz w:val="21"/>
          <w:szCs w:val="21"/>
          <w:lang w:val="en-US" w:eastAsia="zh-CN"/>
        </w:rPr>
        <w:t>东莞实业投资控股集团有限公司</w:t>
      </w:r>
      <w:r>
        <w:rPr>
          <w:rFonts w:hint="eastAsia" w:ascii="宋体" w:hAnsi="宋体" w:cs="宋体"/>
          <w:color w:val="auto"/>
          <w:sz w:val="21"/>
          <w:szCs w:val="21"/>
        </w:rPr>
        <w:t xml:space="preserve">： </w:t>
      </w:r>
    </w:p>
    <w:p w14:paraId="4D4DF076">
      <w:pPr>
        <w:spacing w:line="460" w:lineRule="exact"/>
        <w:ind w:firstLine="420" w:firstLineChars="200"/>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本</w:t>
      </w:r>
      <w:r>
        <w:rPr>
          <w:rFonts w:hint="eastAsia" w:ascii="宋体" w:hAnsi="宋体" w:eastAsia="宋体" w:cs="宋体"/>
          <w:color w:val="auto"/>
          <w:sz w:val="21"/>
          <w:szCs w:val="21"/>
          <w:lang w:val="en-US" w:eastAsia="zh-CN"/>
        </w:rPr>
        <w:t>参与</w:t>
      </w:r>
      <w:r>
        <w:rPr>
          <w:rFonts w:hint="eastAsia" w:ascii="宋体" w:hAnsi="宋体" w:eastAsia="宋体" w:cs="宋体"/>
          <w:color w:val="auto"/>
          <w:sz w:val="21"/>
          <w:szCs w:val="21"/>
          <w:u w:val="single"/>
          <w:lang w:val="en-US" w:eastAsia="zh-CN"/>
        </w:rPr>
        <w:t xml:space="preserve">  （项目名称）     （项目编号：       ），并声明：</w:t>
      </w:r>
    </w:p>
    <w:p w14:paraId="5F14CB4C">
      <w:pPr>
        <w:spacing w:line="460" w:lineRule="exact"/>
        <w:ind w:firstLine="420" w:firstLineChars="200"/>
        <w:rPr>
          <w:rFonts w:hint="eastAsia" w:ascii="宋体" w:hAnsi="宋体" w:cs="宋体" w:eastAsiaTheme="minorEastAsia"/>
          <w:color w:val="auto"/>
          <w:sz w:val="21"/>
          <w:szCs w:val="21"/>
          <w:lang w:val="en-US" w:eastAsia="zh-CN"/>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我司</w:t>
      </w:r>
      <w:r>
        <w:rPr>
          <w:rFonts w:hint="eastAsia" w:ascii="宋体" w:hAnsi="宋体" w:cs="宋体"/>
          <w:color w:val="auto"/>
          <w:sz w:val="21"/>
          <w:szCs w:val="21"/>
          <w:lang w:val="en-US" w:eastAsia="zh-CN"/>
        </w:rPr>
        <w:t>不存在以下情形：单位负责人为同一人或者存在直接控股、管理关系的不同投标人参加同一合同项下的采购活动</w:t>
      </w:r>
      <w:r>
        <w:rPr>
          <w:rFonts w:hint="eastAsia" w:asciiTheme="minorEastAsia" w:hAnsiTheme="minorEastAsia" w:eastAsiaTheme="minorEastAsia"/>
          <w:color w:val="auto"/>
          <w:szCs w:val="21"/>
          <w:lang w:eastAsia="zh-CN"/>
        </w:rPr>
        <w:t>。</w:t>
      </w:r>
    </w:p>
    <w:p w14:paraId="4AE0B607">
      <w:pPr>
        <w:spacing w:line="4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我</w:t>
      </w:r>
      <w:r>
        <w:rPr>
          <w:rFonts w:hint="eastAsia" w:ascii="宋体" w:hAnsi="宋体" w:eastAsia="宋体" w:cs="宋体"/>
          <w:color w:val="auto"/>
          <w:sz w:val="21"/>
          <w:szCs w:val="21"/>
          <w:highlight w:val="none"/>
          <w:lang w:val="en-US" w:eastAsia="zh-CN"/>
        </w:rPr>
        <w:t>司</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年1月1日至开标日没有因债券承销业务不良记录或对债券存续期的管理、督导被银行间交易商协会处罚以致于不能正常开展债券承销业务</w:t>
      </w:r>
      <w:r>
        <w:rPr>
          <w:rFonts w:hint="eastAsia" w:ascii="宋体" w:hAnsi="宋体" w:eastAsia="宋体" w:cs="宋体"/>
          <w:color w:val="auto"/>
          <w:sz w:val="21"/>
          <w:szCs w:val="21"/>
        </w:rPr>
        <w:t>。如</w:t>
      </w:r>
      <w:r>
        <w:rPr>
          <w:rFonts w:hint="eastAsia" w:ascii="宋体" w:hAnsi="宋体" w:cs="宋体"/>
          <w:color w:val="auto"/>
          <w:sz w:val="21"/>
          <w:szCs w:val="21"/>
          <w:lang w:val="en-US" w:eastAsia="zh-CN"/>
        </w:rPr>
        <w:t>采购人</w:t>
      </w:r>
      <w:r>
        <w:rPr>
          <w:rFonts w:hint="eastAsia" w:ascii="宋体" w:hAnsi="宋体" w:eastAsia="宋体" w:cs="宋体"/>
          <w:color w:val="auto"/>
          <w:sz w:val="21"/>
          <w:szCs w:val="21"/>
        </w:rPr>
        <w:t>在</w:t>
      </w:r>
      <w:r>
        <w:rPr>
          <w:rFonts w:hint="eastAsia" w:ascii="宋体" w:hAnsi="宋体" w:eastAsia="宋体" w:cs="宋体"/>
          <w:color w:val="auto"/>
          <w:sz w:val="21"/>
          <w:szCs w:val="21"/>
          <w:lang w:val="en-US" w:eastAsia="zh-CN"/>
        </w:rPr>
        <w:t>我司</w:t>
      </w:r>
      <w:r>
        <w:rPr>
          <w:rFonts w:hint="eastAsia" w:ascii="宋体" w:hAnsi="宋体" w:eastAsia="宋体" w:cs="宋体"/>
          <w:color w:val="auto"/>
          <w:sz w:val="21"/>
          <w:szCs w:val="21"/>
        </w:rPr>
        <w:t>中标后发现存在上述处罚或未结案的立案调查事项，</w:t>
      </w:r>
      <w:r>
        <w:rPr>
          <w:rFonts w:hint="eastAsia" w:ascii="宋体" w:hAnsi="宋体" w:cs="宋体"/>
          <w:color w:val="auto"/>
          <w:sz w:val="21"/>
          <w:szCs w:val="21"/>
          <w:lang w:val="en-US" w:eastAsia="zh-CN"/>
        </w:rPr>
        <w:t>采购人</w:t>
      </w:r>
      <w:r>
        <w:rPr>
          <w:rFonts w:hint="eastAsia" w:ascii="宋体" w:hAnsi="宋体" w:eastAsia="宋体" w:cs="宋体"/>
          <w:color w:val="auto"/>
          <w:sz w:val="21"/>
          <w:szCs w:val="21"/>
        </w:rPr>
        <w:t>有权取消</w:t>
      </w:r>
      <w:r>
        <w:rPr>
          <w:rFonts w:hint="eastAsia" w:ascii="宋体" w:hAnsi="宋体" w:eastAsia="宋体" w:cs="宋体"/>
          <w:color w:val="auto"/>
          <w:sz w:val="21"/>
          <w:szCs w:val="21"/>
          <w:lang w:val="en-US" w:eastAsia="zh-CN"/>
        </w:rPr>
        <w:t>我司中标资格。</w:t>
      </w:r>
    </w:p>
    <w:p w14:paraId="31B12F0D">
      <w:pPr>
        <w:spacing w:line="4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本授权书于 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月 日签字生效，特此声明。</w:t>
      </w:r>
    </w:p>
    <w:p w14:paraId="6919192F">
      <w:pPr>
        <w:spacing w:line="460" w:lineRule="exact"/>
        <w:rPr>
          <w:rFonts w:hint="eastAsia" w:ascii="宋体" w:hAnsi="宋体" w:eastAsia="宋体" w:cs="宋体"/>
          <w:color w:val="auto"/>
          <w:sz w:val="21"/>
          <w:szCs w:val="21"/>
        </w:rPr>
      </w:pPr>
    </w:p>
    <w:p w14:paraId="33291B22">
      <w:pPr>
        <w:pStyle w:val="45"/>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投标人名称（加盖公章）：</w:t>
      </w:r>
    </w:p>
    <w:p w14:paraId="1724FB28">
      <w:pPr>
        <w:pStyle w:val="45"/>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法定代表人或其授权代表（签名或盖私章）：</w:t>
      </w:r>
    </w:p>
    <w:p w14:paraId="35BF062D">
      <w:pPr>
        <w:pStyle w:val="45"/>
        <w:spacing w:line="500" w:lineRule="atLeast"/>
        <w:ind w:firstLine="433"/>
        <w:rPr>
          <w:rFonts w:ascii="宋体" w:eastAsia="宋体"/>
          <w:color w:val="auto"/>
          <w:sz w:val="21"/>
          <w:szCs w:val="21"/>
        </w:rPr>
      </w:pPr>
      <w:r>
        <w:rPr>
          <w:rFonts w:hint="eastAsia" w:ascii="宋体" w:eastAsia="宋体"/>
          <w:color w:val="auto"/>
          <w:sz w:val="21"/>
          <w:szCs w:val="21"/>
        </w:rPr>
        <w:t>日     期：年月日</w:t>
      </w:r>
    </w:p>
    <w:p w14:paraId="44318FA4">
      <w:pPr>
        <w:pStyle w:val="9"/>
        <w:rPr>
          <w:color w:val="auto"/>
        </w:rPr>
      </w:pPr>
    </w:p>
    <w:p w14:paraId="0631BC39">
      <w:pPr>
        <w:pStyle w:val="9"/>
        <w:rPr>
          <w:rFonts w:hint="eastAsia" w:ascii="宋体" w:hAnsi="宋体" w:cs="宋体"/>
          <w:b/>
          <w:bCs/>
          <w:color w:val="auto"/>
          <w:szCs w:val="21"/>
          <w:highlight w:val="none"/>
          <w:lang w:val="en-US" w:eastAsia="zh-CN"/>
        </w:rPr>
      </w:pPr>
    </w:p>
    <w:p w14:paraId="5DE0029D">
      <w:pPr>
        <w:pStyle w:val="10"/>
        <w:rPr>
          <w:color w:val="auto"/>
        </w:rPr>
      </w:pPr>
    </w:p>
    <w:p w14:paraId="05AB7003">
      <w:pPr>
        <w:pStyle w:val="10"/>
        <w:rPr>
          <w:color w:val="auto"/>
        </w:rPr>
      </w:pPr>
    </w:p>
    <w:p w14:paraId="09BF7FE1">
      <w:pPr>
        <w:pStyle w:val="10"/>
        <w:rPr>
          <w:color w:val="auto"/>
        </w:rPr>
      </w:pPr>
    </w:p>
    <w:p w14:paraId="79DDE343">
      <w:pPr>
        <w:pStyle w:val="10"/>
        <w:rPr>
          <w:color w:val="auto"/>
        </w:rPr>
      </w:pPr>
    </w:p>
    <w:p w14:paraId="3CBB68BE">
      <w:pPr>
        <w:pStyle w:val="10"/>
        <w:rPr>
          <w:color w:val="auto"/>
        </w:rPr>
      </w:pPr>
    </w:p>
    <w:p w14:paraId="1E6389DD">
      <w:pPr>
        <w:pStyle w:val="10"/>
        <w:rPr>
          <w:color w:val="auto"/>
        </w:rPr>
      </w:pPr>
    </w:p>
    <w:p w14:paraId="55F190EE">
      <w:pPr>
        <w:pStyle w:val="10"/>
        <w:rPr>
          <w:color w:val="auto"/>
        </w:rPr>
      </w:pPr>
    </w:p>
    <w:p w14:paraId="0C2E15AF">
      <w:pPr>
        <w:pStyle w:val="10"/>
        <w:rPr>
          <w:color w:val="auto"/>
        </w:rPr>
      </w:pPr>
    </w:p>
    <w:p w14:paraId="7E369CCB">
      <w:pPr>
        <w:pStyle w:val="10"/>
        <w:rPr>
          <w:color w:val="auto"/>
        </w:rPr>
      </w:pPr>
    </w:p>
    <w:p w14:paraId="2DD8BF77">
      <w:pPr>
        <w:pStyle w:val="10"/>
        <w:rPr>
          <w:color w:val="auto"/>
        </w:rPr>
      </w:pPr>
    </w:p>
    <w:p w14:paraId="787EE02D">
      <w:pPr>
        <w:pStyle w:val="5"/>
        <w:widowControl w:val="0"/>
        <w:overflowPunct w:val="0"/>
        <w:spacing w:line="240" w:lineRule="auto"/>
        <w:rPr>
          <w:rFonts w:ascii="楷体_GB2312" w:eastAsia="楷体_GB2312"/>
          <w:color w:val="auto"/>
        </w:rPr>
      </w:pPr>
      <w:bookmarkStart w:id="279" w:name="_Toc30064"/>
      <w:r>
        <w:rPr>
          <w:rFonts w:hint="eastAsia" w:ascii="宋体" w:hAnsi="宋体"/>
          <w:color w:val="auto"/>
          <w:sz w:val="21"/>
          <w:szCs w:val="21"/>
        </w:rPr>
        <w:t>附件</w:t>
      </w:r>
      <w:r>
        <w:rPr>
          <w:rFonts w:hint="eastAsia" w:ascii="宋体" w:hAnsi="宋体"/>
          <w:color w:val="auto"/>
          <w:sz w:val="21"/>
          <w:szCs w:val="21"/>
          <w:lang w:val="en-US" w:eastAsia="zh-CN"/>
        </w:rPr>
        <w:t>9</w:t>
      </w:r>
      <w:r>
        <w:rPr>
          <w:rFonts w:hint="eastAsia" w:ascii="宋体" w:hAnsi="宋体"/>
          <w:color w:val="auto"/>
          <w:sz w:val="21"/>
          <w:szCs w:val="21"/>
        </w:rPr>
        <w:t>.在经营活动中没有重大违法记录的书面声明格式</w:t>
      </w:r>
      <w:bookmarkEnd w:id="279"/>
    </w:p>
    <w:p w14:paraId="4AC0A4D4">
      <w:pPr>
        <w:rPr>
          <w:color w:val="auto"/>
        </w:rPr>
      </w:pPr>
    </w:p>
    <w:p w14:paraId="201D004A">
      <w:pPr>
        <w:jc w:val="center"/>
        <w:rPr>
          <w:rFonts w:ascii="黑体" w:eastAsia="黑体"/>
          <w:color w:val="auto"/>
          <w:sz w:val="28"/>
          <w:szCs w:val="28"/>
        </w:rPr>
      </w:pPr>
      <w:r>
        <w:rPr>
          <w:rFonts w:hint="eastAsia" w:ascii="黑体" w:eastAsia="黑体"/>
          <w:color w:val="auto"/>
          <w:sz w:val="28"/>
          <w:szCs w:val="28"/>
        </w:rPr>
        <w:t>投标人在经营活动中前三年内未有重大违法记录、没有不良信用记录的声明函</w:t>
      </w:r>
    </w:p>
    <w:p w14:paraId="40C7A273">
      <w:pPr>
        <w:ind w:firstLine="420" w:firstLineChars="200"/>
        <w:rPr>
          <w:rFonts w:ascii="宋体" w:hAnsi="宋体" w:cs="宋体"/>
          <w:color w:val="auto"/>
          <w:szCs w:val="21"/>
        </w:rPr>
      </w:pPr>
    </w:p>
    <w:p w14:paraId="33EF930A">
      <w:pPr>
        <w:spacing w:line="480" w:lineRule="auto"/>
        <w:ind w:firstLine="420" w:firstLineChars="200"/>
        <w:rPr>
          <w:rFonts w:ascii="宋体" w:hAnsi="宋体" w:cs="宋体"/>
          <w:color w:val="auto"/>
          <w:szCs w:val="21"/>
        </w:rPr>
      </w:pPr>
      <w:r>
        <w:rPr>
          <w:rFonts w:hint="eastAsia" w:ascii="宋体" w:hAnsi="宋体" w:cs="宋体"/>
          <w:color w:val="auto"/>
          <w:szCs w:val="21"/>
        </w:rPr>
        <w:t>x</w:t>
      </w:r>
      <w:r>
        <w:rPr>
          <w:rFonts w:ascii="宋体" w:hAnsi="宋体" w:cs="宋体"/>
          <w:color w:val="auto"/>
          <w:szCs w:val="21"/>
        </w:rPr>
        <w:t>x</w:t>
      </w:r>
      <w:r>
        <w:rPr>
          <w:rFonts w:hint="eastAsia" w:ascii="宋体" w:hAnsi="宋体" w:cs="宋体"/>
          <w:color w:val="auto"/>
          <w:szCs w:val="21"/>
          <w:lang w:eastAsia="zh-CN"/>
        </w:rPr>
        <w:t>东莞实业投资控股集团有限公司</w:t>
      </w:r>
      <w:r>
        <w:rPr>
          <w:rFonts w:hint="eastAsia" w:ascii="宋体" w:hAnsi="宋体" w:cs="宋体"/>
          <w:color w:val="auto"/>
          <w:szCs w:val="21"/>
        </w:rPr>
        <w:t>：</w:t>
      </w:r>
    </w:p>
    <w:p w14:paraId="1D393E83">
      <w:pPr>
        <w:spacing w:line="480" w:lineRule="auto"/>
        <w:ind w:firstLine="420" w:firstLineChars="200"/>
        <w:rPr>
          <w:rFonts w:ascii="宋体" w:hAnsi="宋体" w:cs="宋体"/>
          <w:color w:val="auto"/>
          <w:szCs w:val="21"/>
        </w:rPr>
      </w:pPr>
      <w:r>
        <w:rPr>
          <w:rFonts w:hint="eastAsia" w:ascii="宋体" w:hAnsi="宋体" w:cs="宋体"/>
          <w:color w:val="auto"/>
          <w:szCs w:val="21"/>
        </w:rPr>
        <w:t>我公司郑重承诺：在参加“</w:t>
      </w:r>
      <w:r>
        <w:rPr>
          <w:rFonts w:hint="eastAsia" w:ascii="宋体" w:hAnsi="宋体" w:cs="宋体"/>
          <w:color w:val="auto"/>
          <w:szCs w:val="21"/>
          <w:u w:val="single"/>
        </w:rPr>
        <w:t xml:space="preserve">       （采购项目名称）</w:t>
      </w:r>
      <w:r>
        <w:rPr>
          <w:rFonts w:hint="eastAsia" w:ascii="宋体" w:hAnsi="宋体" w:cs="宋体"/>
          <w:color w:val="auto"/>
          <w:szCs w:val="21"/>
        </w:rPr>
        <w:t>” （项目编号:</w:t>
      </w:r>
      <w:r>
        <w:rPr>
          <w:rFonts w:hint="eastAsia" w:ascii="宋体" w:hAnsi="宋体" w:cs="宋体"/>
          <w:color w:val="auto"/>
          <w:szCs w:val="21"/>
          <w:lang w:val="en-US" w:eastAsia="zh-CN"/>
        </w:rPr>
        <w:t>XX</w:t>
      </w:r>
      <w:r>
        <w:rPr>
          <w:rFonts w:hint="eastAsia" w:ascii="宋体" w:hAnsi="宋体" w:cs="宋体"/>
          <w:color w:val="auto"/>
          <w:szCs w:val="21"/>
        </w:rPr>
        <w:t>）采购活动前三年内（设立不满三年的从设立之日计算），在经营活动中没有重大违法记录；至本项目提交投标文件截止时间止未被列入“信用中国”网站失信被执行人、重大税收违法失信主体、政府采购严重违法失信行为记录名单。</w:t>
      </w:r>
    </w:p>
    <w:p w14:paraId="0A67E411">
      <w:pPr>
        <w:spacing w:line="480" w:lineRule="auto"/>
        <w:ind w:firstLine="420" w:firstLineChars="200"/>
        <w:rPr>
          <w:rFonts w:ascii="宋体" w:hAnsi="宋体" w:cs="宋体"/>
          <w:color w:val="auto"/>
          <w:szCs w:val="21"/>
        </w:rPr>
      </w:pPr>
      <w:r>
        <w:rPr>
          <w:rFonts w:hint="eastAsia" w:ascii="宋体" w:hAnsi="宋体" w:cs="宋体"/>
          <w:color w:val="auto"/>
          <w:szCs w:val="21"/>
        </w:rPr>
        <w:t>我公司以上承诺均为真实有效，绝无任何虚假、伪造的成份，否则，愿承担相应的后果和法律责任。</w:t>
      </w:r>
    </w:p>
    <w:p w14:paraId="2D1FBA53">
      <w:pPr>
        <w:ind w:firstLine="420" w:firstLineChars="200"/>
        <w:rPr>
          <w:rFonts w:ascii="宋体" w:hAnsi="宋体" w:cs="宋体"/>
          <w:color w:val="auto"/>
          <w:szCs w:val="21"/>
        </w:rPr>
      </w:pPr>
    </w:p>
    <w:p w14:paraId="0F0E41B4">
      <w:pPr>
        <w:rPr>
          <w:rFonts w:ascii="宋体" w:hAnsi="宋体" w:cs="宋体"/>
          <w:color w:val="auto"/>
          <w:szCs w:val="21"/>
        </w:rPr>
      </w:pPr>
    </w:p>
    <w:p w14:paraId="22E08096">
      <w:pPr>
        <w:ind w:firstLine="420" w:firstLineChars="200"/>
        <w:rPr>
          <w:rFonts w:ascii="宋体" w:hAnsi="宋体" w:cs="宋体"/>
          <w:color w:val="auto"/>
          <w:szCs w:val="21"/>
        </w:rPr>
      </w:pPr>
      <w:r>
        <w:rPr>
          <w:rFonts w:hint="eastAsia" w:ascii="宋体" w:hAnsi="宋体" w:cs="宋体"/>
          <w:color w:val="auto"/>
          <w:szCs w:val="21"/>
        </w:rPr>
        <w:t>投标人名称（盖章）：</w:t>
      </w:r>
    </w:p>
    <w:p w14:paraId="2D928EA3">
      <w:pPr>
        <w:rPr>
          <w:rFonts w:ascii="宋体" w:hAnsi="宋体" w:cs="宋体"/>
          <w:color w:val="auto"/>
          <w:szCs w:val="21"/>
        </w:rPr>
      </w:pPr>
    </w:p>
    <w:p w14:paraId="008CD3F4">
      <w:pPr>
        <w:ind w:firstLine="420" w:firstLineChars="200"/>
        <w:rPr>
          <w:rFonts w:ascii="宋体" w:hAnsi="宋体" w:cs="宋体"/>
          <w:color w:val="auto"/>
          <w:szCs w:val="21"/>
        </w:rPr>
      </w:pPr>
      <w:r>
        <w:rPr>
          <w:rFonts w:hint="eastAsia" w:ascii="宋体" w:hAnsi="宋体" w:cs="宋体"/>
          <w:color w:val="auto"/>
          <w:szCs w:val="21"/>
        </w:rPr>
        <w:t>日期：</w:t>
      </w:r>
    </w:p>
    <w:p w14:paraId="120FAD98">
      <w:pPr>
        <w:rPr>
          <w:color w:val="auto"/>
        </w:rPr>
      </w:pPr>
    </w:p>
    <w:p w14:paraId="32996447">
      <w:pPr>
        <w:rPr>
          <w:rFonts w:ascii="宋体" w:hAnsi="宋体"/>
          <w:color w:val="auto"/>
          <w:szCs w:val="21"/>
        </w:rPr>
      </w:pPr>
    </w:p>
    <w:p w14:paraId="7D097E09">
      <w:pPr>
        <w:pStyle w:val="9"/>
        <w:rPr>
          <w:color w:val="auto"/>
          <w:sz w:val="21"/>
          <w:szCs w:val="21"/>
        </w:rPr>
      </w:pPr>
    </w:p>
    <w:p w14:paraId="5F3954D9">
      <w:pPr>
        <w:rPr>
          <w:rFonts w:ascii="宋体" w:hAnsi="宋体"/>
          <w:color w:val="auto"/>
          <w:szCs w:val="21"/>
        </w:rPr>
      </w:pPr>
    </w:p>
    <w:p w14:paraId="363E68D0">
      <w:pPr>
        <w:pStyle w:val="9"/>
        <w:rPr>
          <w:color w:val="auto"/>
          <w:sz w:val="21"/>
          <w:szCs w:val="21"/>
        </w:rPr>
      </w:pPr>
    </w:p>
    <w:p w14:paraId="4C6A6844">
      <w:pPr>
        <w:rPr>
          <w:rFonts w:ascii="宋体" w:hAnsi="宋体"/>
          <w:color w:val="auto"/>
          <w:szCs w:val="21"/>
        </w:rPr>
      </w:pPr>
    </w:p>
    <w:p w14:paraId="47B30807">
      <w:pPr>
        <w:pStyle w:val="9"/>
        <w:rPr>
          <w:color w:val="auto"/>
          <w:sz w:val="21"/>
          <w:szCs w:val="21"/>
        </w:rPr>
      </w:pPr>
    </w:p>
    <w:p w14:paraId="64D7A8CA">
      <w:pPr>
        <w:rPr>
          <w:rFonts w:ascii="宋体" w:hAnsi="宋体"/>
          <w:color w:val="auto"/>
          <w:szCs w:val="21"/>
        </w:rPr>
      </w:pPr>
    </w:p>
    <w:p w14:paraId="6183A019">
      <w:pPr>
        <w:pStyle w:val="9"/>
        <w:rPr>
          <w:color w:val="auto"/>
          <w:sz w:val="21"/>
          <w:szCs w:val="21"/>
        </w:rPr>
      </w:pPr>
    </w:p>
    <w:p w14:paraId="00C7EBA3">
      <w:pPr>
        <w:rPr>
          <w:rFonts w:ascii="宋体" w:hAnsi="宋体"/>
          <w:color w:val="auto"/>
          <w:szCs w:val="21"/>
        </w:rPr>
      </w:pPr>
    </w:p>
    <w:p w14:paraId="430B4012">
      <w:pPr>
        <w:pStyle w:val="9"/>
        <w:rPr>
          <w:color w:val="auto"/>
          <w:sz w:val="21"/>
          <w:szCs w:val="21"/>
        </w:rPr>
      </w:pPr>
    </w:p>
    <w:p w14:paraId="1B60F42D">
      <w:pPr>
        <w:rPr>
          <w:color w:val="auto"/>
        </w:rPr>
      </w:pPr>
    </w:p>
    <w:p w14:paraId="25F29866">
      <w:pPr>
        <w:pStyle w:val="5"/>
        <w:widowControl w:val="0"/>
        <w:overflowPunct w:val="0"/>
        <w:spacing w:line="240" w:lineRule="auto"/>
        <w:rPr>
          <w:rFonts w:ascii="楷体_GB2312" w:eastAsia="楷体_GB2312"/>
          <w:color w:val="auto"/>
        </w:rPr>
      </w:pPr>
      <w:bookmarkStart w:id="280" w:name="_Toc3123"/>
      <w:r>
        <w:rPr>
          <w:rFonts w:hint="eastAsia" w:ascii="宋体" w:hAnsi="宋体"/>
          <w:color w:val="auto"/>
          <w:sz w:val="21"/>
          <w:szCs w:val="21"/>
        </w:rPr>
        <w:t>附件1</w:t>
      </w:r>
      <w:r>
        <w:rPr>
          <w:rFonts w:hint="eastAsia" w:ascii="宋体" w:hAnsi="宋体"/>
          <w:color w:val="auto"/>
          <w:sz w:val="21"/>
          <w:szCs w:val="21"/>
          <w:lang w:val="en-US" w:eastAsia="zh-CN"/>
        </w:rPr>
        <w:t>0</w:t>
      </w:r>
      <w:r>
        <w:rPr>
          <w:rFonts w:hint="eastAsia" w:ascii="宋体" w:hAnsi="宋体"/>
          <w:color w:val="auto"/>
          <w:sz w:val="21"/>
          <w:szCs w:val="21"/>
        </w:rPr>
        <w:t>.承诺书格式</w:t>
      </w:r>
      <w:bookmarkEnd w:id="280"/>
    </w:p>
    <w:p w14:paraId="55EF4C56">
      <w:pPr>
        <w:jc w:val="center"/>
        <w:rPr>
          <w:rFonts w:ascii="黑体" w:eastAsia="黑体"/>
          <w:color w:val="auto"/>
          <w:sz w:val="28"/>
          <w:szCs w:val="28"/>
        </w:rPr>
      </w:pPr>
      <w:r>
        <w:rPr>
          <w:rFonts w:hint="eastAsia" w:ascii="黑体" w:eastAsia="黑体"/>
          <w:color w:val="auto"/>
          <w:sz w:val="28"/>
          <w:szCs w:val="28"/>
        </w:rPr>
        <w:t>承诺书</w:t>
      </w:r>
    </w:p>
    <w:p w14:paraId="2DFD616A">
      <w:pPr>
        <w:pStyle w:val="45"/>
        <w:spacing w:line="420" w:lineRule="atLeast"/>
        <w:ind w:firstLine="0" w:firstLineChars="0"/>
        <w:rPr>
          <w:rFonts w:ascii="宋体" w:eastAsia="宋体" w:cs="宋体"/>
          <w:color w:val="auto"/>
          <w:sz w:val="21"/>
          <w:szCs w:val="21"/>
        </w:rPr>
      </w:pPr>
      <w:r>
        <w:rPr>
          <w:rFonts w:hint="eastAsia" w:ascii="宋体" w:eastAsia="宋体" w:cs="宋体"/>
          <w:color w:val="auto"/>
          <w:sz w:val="21"/>
          <w:szCs w:val="21"/>
        </w:rPr>
        <w:t>致</w:t>
      </w:r>
      <w:r>
        <w:rPr>
          <w:rFonts w:hint="eastAsia" w:ascii="宋体" w:eastAsia="宋体" w:cs="宋体"/>
          <w:color w:val="auto"/>
          <w:sz w:val="21"/>
          <w:szCs w:val="21"/>
          <w:lang w:eastAsia="zh-CN"/>
        </w:rPr>
        <w:t>广东政通招标有限公司</w:t>
      </w:r>
      <w:r>
        <w:rPr>
          <w:rFonts w:hint="eastAsia" w:ascii="宋体" w:eastAsia="宋体" w:cs="宋体"/>
          <w:color w:val="auto"/>
          <w:sz w:val="21"/>
          <w:szCs w:val="21"/>
        </w:rPr>
        <w:t>：</w:t>
      </w:r>
    </w:p>
    <w:p w14:paraId="7285D82A">
      <w:pPr>
        <w:jc w:val="center"/>
        <w:rPr>
          <w:rFonts w:ascii="宋体" w:hAnsi="宋体" w:cs="宋体"/>
          <w:color w:val="auto"/>
          <w:szCs w:val="21"/>
        </w:rPr>
      </w:pPr>
    </w:p>
    <w:p w14:paraId="2537E19C">
      <w:pPr>
        <w:pStyle w:val="45"/>
        <w:spacing w:line="420" w:lineRule="exact"/>
        <w:ind w:firstLine="433"/>
        <w:rPr>
          <w:rFonts w:ascii="宋体" w:eastAsia="宋体" w:cs="宋体"/>
          <w:color w:val="auto"/>
          <w:sz w:val="21"/>
          <w:szCs w:val="21"/>
        </w:rPr>
      </w:pPr>
      <w:r>
        <w:rPr>
          <w:rFonts w:hint="eastAsia" w:ascii="宋体" w:eastAsia="宋体" w:cs="宋体"/>
          <w:color w:val="auto"/>
          <w:sz w:val="21"/>
          <w:szCs w:val="21"/>
        </w:rPr>
        <w:t>我方已完整阅读了</w:t>
      </w:r>
      <w:r>
        <w:rPr>
          <w:rFonts w:hint="eastAsia" w:ascii="宋体" w:eastAsia="宋体" w:cs="宋体"/>
          <w:color w:val="auto"/>
          <w:sz w:val="21"/>
          <w:szCs w:val="21"/>
          <w:u w:val="single"/>
        </w:rPr>
        <w:t xml:space="preserve">  （项目名称）     </w:t>
      </w:r>
      <w:r>
        <w:rPr>
          <w:rFonts w:hint="eastAsia" w:ascii="宋体" w:eastAsia="宋体" w:cs="宋体"/>
          <w:color w:val="auto"/>
          <w:sz w:val="21"/>
          <w:szCs w:val="21"/>
        </w:rPr>
        <w:t>项目（项目编号：</w:t>
      </w:r>
      <w:r>
        <w:rPr>
          <w:rFonts w:hint="eastAsia" w:ascii="宋体" w:eastAsia="宋体" w:cs="宋体"/>
          <w:color w:val="auto"/>
          <w:sz w:val="21"/>
          <w:szCs w:val="21"/>
          <w:u w:val="single"/>
        </w:rPr>
        <w:t xml:space="preserve">            </w:t>
      </w:r>
      <w:r>
        <w:rPr>
          <w:rFonts w:hint="eastAsia" w:ascii="宋体" w:eastAsia="宋体" w:cs="宋体"/>
          <w:color w:val="auto"/>
          <w:sz w:val="21"/>
          <w:szCs w:val="21"/>
        </w:rPr>
        <w:t>）采购文件的所有内容（包括澄清，以及所有已提供的参考资料和有关附件），并完全理解上述文件所表达的意思，该项目递交投标文件时间截止后，我方承诺不再对上述文件内容有异议。</w:t>
      </w:r>
      <w:r>
        <w:rPr>
          <w:rFonts w:hint="eastAsia" w:ascii="宋体" w:eastAsia="宋体" w:cs="宋体"/>
          <w:color w:val="auto"/>
          <w:sz w:val="21"/>
          <w:szCs w:val="21"/>
        </w:rPr>
        <w:cr/>
      </w:r>
    </w:p>
    <w:p w14:paraId="7E9BDC77">
      <w:pPr>
        <w:pStyle w:val="45"/>
        <w:spacing w:line="420" w:lineRule="exact"/>
        <w:ind w:firstLine="433"/>
        <w:rPr>
          <w:rFonts w:ascii="宋体" w:eastAsia="宋体" w:cs="宋体"/>
          <w:color w:val="auto"/>
          <w:sz w:val="21"/>
          <w:szCs w:val="21"/>
        </w:rPr>
      </w:pPr>
    </w:p>
    <w:p w14:paraId="6798735C">
      <w:pPr>
        <w:ind w:right="561" w:firstLine="420" w:firstLineChars="200"/>
        <w:rPr>
          <w:rFonts w:ascii="宋体" w:hAnsi="宋体" w:cs="宋体"/>
          <w:color w:val="auto"/>
          <w:szCs w:val="21"/>
        </w:rPr>
      </w:pPr>
      <w:r>
        <w:rPr>
          <w:rFonts w:hint="eastAsia" w:ascii="宋体" w:hAnsi="宋体" w:cs="宋体"/>
          <w:color w:val="auto"/>
          <w:szCs w:val="21"/>
        </w:rPr>
        <w:t>投标人名称（加盖公章）：</w:t>
      </w:r>
    </w:p>
    <w:p w14:paraId="269DE47E">
      <w:pPr>
        <w:ind w:right="561" w:firstLine="420" w:firstLineChars="200"/>
        <w:rPr>
          <w:rFonts w:ascii="宋体" w:hAnsi="宋体" w:cs="宋体"/>
          <w:color w:val="auto"/>
          <w:szCs w:val="21"/>
        </w:rPr>
      </w:pPr>
      <w:r>
        <w:rPr>
          <w:rFonts w:hint="eastAsia" w:ascii="宋体" w:hAnsi="宋体" w:cs="宋体"/>
          <w:color w:val="auto"/>
          <w:szCs w:val="21"/>
        </w:rPr>
        <w:t>法定代表人或被授权人（签名或盖私章）：</w:t>
      </w:r>
    </w:p>
    <w:p w14:paraId="39173ADB">
      <w:pPr>
        <w:ind w:right="561" w:firstLine="420" w:firstLineChars="200"/>
        <w:rPr>
          <w:rFonts w:ascii="宋体" w:hAnsi="宋体" w:cs="宋体"/>
          <w:color w:val="auto"/>
          <w:szCs w:val="21"/>
        </w:rPr>
      </w:pPr>
      <w:r>
        <w:rPr>
          <w:rFonts w:hint="eastAsia" w:ascii="宋体" w:hAnsi="宋体" w:cs="宋体"/>
          <w:color w:val="auto"/>
          <w:szCs w:val="21"/>
        </w:rPr>
        <w:t>日      期：</w:t>
      </w:r>
    </w:p>
    <w:p w14:paraId="7232D1B7">
      <w:pPr>
        <w:rPr>
          <w:color w:val="auto"/>
        </w:rPr>
      </w:pPr>
    </w:p>
    <w:p w14:paraId="3A1B8E46">
      <w:pPr>
        <w:rPr>
          <w:rFonts w:ascii="宋体" w:hAnsi="宋体"/>
          <w:color w:val="auto"/>
          <w:szCs w:val="21"/>
        </w:rPr>
      </w:pPr>
    </w:p>
    <w:p w14:paraId="302F3613">
      <w:pPr>
        <w:pStyle w:val="9"/>
        <w:rPr>
          <w:color w:val="auto"/>
          <w:sz w:val="21"/>
          <w:szCs w:val="21"/>
        </w:rPr>
      </w:pPr>
    </w:p>
    <w:p w14:paraId="013A30BF">
      <w:pPr>
        <w:rPr>
          <w:rFonts w:ascii="宋体" w:hAnsi="宋体"/>
          <w:color w:val="auto"/>
          <w:szCs w:val="21"/>
        </w:rPr>
      </w:pPr>
    </w:p>
    <w:p w14:paraId="6D3A0F4F">
      <w:pPr>
        <w:pStyle w:val="9"/>
        <w:rPr>
          <w:color w:val="auto"/>
          <w:sz w:val="21"/>
          <w:szCs w:val="21"/>
        </w:rPr>
      </w:pPr>
    </w:p>
    <w:p w14:paraId="62FEA9BE">
      <w:pPr>
        <w:rPr>
          <w:rFonts w:ascii="宋体" w:hAnsi="宋体"/>
          <w:color w:val="auto"/>
          <w:szCs w:val="21"/>
        </w:rPr>
      </w:pPr>
    </w:p>
    <w:p w14:paraId="311ED0DD">
      <w:pPr>
        <w:pStyle w:val="9"/>
        <w:rPr>
          <w:color w:val="auto"/>
          <w:sz w:val="21"/>
          <w:szCs w:val="21"/>
        </w:rPr>
      </w:pPr>
    </w:p>
    <w:p w14:paraId="4ECE61D3">
      <w:pPr>
        <w:rPr>
          <w:rFonts w:ascii="宋体" w:hAnsi="宋体"/>
          <w:color w:val="auto"/>
          <w:szCs w:val="21"/>
        </w:rPr>
      </w:pPr>
    </w:p>
    <w:p w14:paraId="59C60308">
      <w:pPr>
        <w:pStyle w:val="9"/>
        <w:rPr>
          <w:color w:val="auto"/>
          <w:sz w:val="21"/>
          <w:szCs w:val="21"/>
        </w:rPr>
      </w:pPr>
    </w:p>
    <w:p w14:paraId="5A8A378A">
      <w:pPr>
        <w:rPr>
          <w:rFonts w:ascii="宋体" w:hAnsi="宋体"/>
          <w:color w:val="auto"/>
          <w:szCs w:val="21"/>
        </w:rPr>
      </w:pPr>
    </w:p>
    <w:p w14:paraId="6DE4B22D">
      <w:pPr>
        <w:pStyle w:val="9"/>
        <w:rPr>
          <w:color w:val="auto"/>
          <w:sz w:val="21"/>
          <w:szCs w:val="21"/>
        </w:rPr>
      </w:pPr>
    </w:p>
    <w:p w14:paraId="10955D9B">
      <w:pPr>
        <w:rPr>
          <w:rFonts w:ascii="宋体" w:hAnsi="宋体"/>
          <w:color w:val="auto"/>
          <w:szCs w:val="21"/>
        </w:rPr>
      </w:pPr>
    </w:p>
    <w:p w14:paraId="13FF9A59">
      <w:pPr>
        <w:pStyle w:val="9"/>
        <w:rPr>
          <w:color w:val="auto"/>
          <w:sz w:val="21"/>
          <w:szCs w:val="21"/>
        </w:rPr>
      </w:pPr>
    </w:p>
    <w:p w14:paraId="418194EE">
      <w:pPr>
        <w:rPr>
          <w:rFonts w:ascii="宋体" w:hAnsi="宋体"/>
          <w:color w:val="auto"/>
          <w:szCs w:val="21"/>
        </w:rPr>
      </w:pPr>
    </w:p>
    <w:p w14:paraId="33BE97B7">
      <w:pPr>
        <w:pStyle w:val="9"/>
        <w:rPr>
          <w:color w:val="auto"/>
          <w:sz w:val="21"/>
          <w:szCs w:val="21"/>
        </w:rPr>
      </w:pPr>
    </w:p>
    <w:p w14:paraId="47491C05">
      <w:pPr>
        <w:rPr>
          <w:rFonts w:ascii="宋体" w:hAnsi="宋体"/>
          <w:color w:val="auto"/>
          <w:szCs w:val="21"/>
        </w:rPr>
      </w:pPr>
    </w:p>
    <w:p w14:paraId="7D58D1AB">
      <w:pPr>
        <w:pStyle w:val="9"/>
        <w:rPr>
          <w:color w:val="auto"/>
          <w:sz w:val="21"/>
          <w:szCs w:val="21"/>
        </w:rPr>
      </w:pPr>
    </w:p>
    <w:p w14:paraId="6706A94B">
      <w:pPr>
        <w:rPr>
          <w:color w:val="auto"/>
        </w:rPr>
      </w:pPr>
    </w:p>
    <w:p w14:paraId="723898AD">
      <w:pPr>
        <w:pStyle w:val="5"/>
        <w:widowControl w:val="0"/>
        <w:overflowPunct w:val="0"/>
        <w:spacing w:line="240" w:lineRule="auto"/>
        <w:rPr>
          <w:rFonts w:ascii="宋体" w:hAnsi="宋体"/>
          <w:color w:val="auto"/>
          <w:sz w:val="21"/>
          <w:szCs w:val="21"/>
          <w:highlight w:val="none"/>
        </w:rPr>
      </w:pPr>
      <w:bookmarkStart w:id="281" w:name="_Toc20842"/>
      <w:r>
        <w:rPr>
          <w:rFonts w:hint="eastAsia" w:ascii="宋体" w:hAnsi="宋体"/>
          <w:color w:val="auto"/>
          <w:sz w:val="21"/>
          <w:szCs w:val="21"/>
        </w:rPr>
        <w:t>附件1</w:t>
      </w:r>
      <w:r>
        <w:rPr>
          <w:rFonts w:hint="eastAsia" w:ascii="宋体" w:hAnsi="宋体"/>
          <w:color w:val="auto"/>
          <w:sz w:val="21"/>
          <w:szCs w:val="21"/>
          <w:lang w:val="en-US" w:eastAsia="zh-CN"/>
        </w:rPr>
        <w:t>1</w:t>
      </w:r>
      <w:r>
        <w:rPr>
          <w:rFonts w:hint="eastAsia" w:ascii="宋体" w:hAnsi="宋体"/>
          <w:color w:val="auto"/>
          <w:sz w:val="21"/>
          <w:szCs w:val="21"/>
        </w:rPr>
        <w:t>.</w:t>
      </w:r>
      <w:r>
        <w:rPr>
          <w:rFonts w:hint="eastAsia" w:ascii="宋体" w:hAnsi="宋体"/>
          <w:color w:val="auto"/>
          <w:sz w:val="21"/>
          <w:szCs w:val="21"/>
          <w:highlight w:val="none"/>
        </w:rPr>
        <w:t>商务需求条款偏离表格式</w:t>
      </w:r>
      <w:bookmarkEnd w:id="281"/>
    </w:p>
    <w:p w14:paraId="3A585F93">
      <w:pPr>
        <w:jc w:val="center"/>
        <w:rPr>
          <w:rFonts w:ascii="黑体" w:eastAsia="黑体"/>
          <w:color w:val="auto"/>
          <w:sz w:val="28"/>
          <w:szCs w:val="28"/>
          <w:highlight w:val="none"/>
        </w:rPr>
      </w:pPr>
    </w:p>
    <w:p w14:paraId="36E63036">
      <w:pPr>
        <w:jc w:val="center"/>
        <w:rPr>
          <w:rFonts w:ascii="黑体" w:eastAsia="黑体"/>
          <w:color w:val="auto"/>
          <w:sz w:val="28"/>
          <w:szCs w:val="28"/>
          <w:highlight w:val="none"/>
        </w:rPr>
      </w:pPr>
      <w:r>
        <w:rPr>
          <w:rFonts w:hint="eastAsia" w:ascii="黑体" w:eastAsia="黑体"/>
          <w:color w:val="auto"/>
          <w:sz w:val="28"/>
          <w:szCs w:val="28"/>
          <w:highlight w:val="none"/>
        </w:rPr>
        <w:t>商务需求条款偏离表</w:t>
      </w:r>
    </w:p>
    <w:tbl>
      <w:tblPr>
        <w:tblStyle w:val="30"/>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14:paraId="1EEC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08" w:type="dxa"/>
            <w:vAlign w:val="center"/>
          </w:tcPr>
          <w:p w14:paraId="347A97EC">
            <w:pPr>
              <w:jc w:val="center"/>
              <w:rPr>
                <w:rFonts w:ascii="宋体" w:hAnsi="宋体"/>
                <w:color w:val="auto"/>
                <w:szCs w:val="21"/>
                <w:highlight w:val="none"/>
              </w:rPr>
            </w:pPr>
            <w:r>
              <w:rPr>
                <w:rFonts w:hint="eastAsia" w:ascii="宋体" w:hAnsi="宋体"/>
                <w:color w:val="auto"/>
                <w:szCs w:val="21"/>
                <w:highlight w:val="none"/>
              </w:rPr>
              <w:t>序号</w:t>
            </w:r>
          </w:p>
        </w:tc>
        <w:tc>
          <w:tcPr>
            <w:tcW w:w="1620" w:type="dxa"/>
            <w:vAlign w:val="center"/>
          </w:tcPr>
          <w:p w14:paraId="2C36752F">
            <w:pPr>
              <w:jc w:val="center"/>
              <w:rPr>
                <w:rFonts w:ascii="宋体" w:hAnsi="宋体"/>
                <w:color w:val="auto"/>
                <w:szCs w:val="21"/>
                <w:highlight w:val="none"/>
              </w:rPr>
            </w:pPr>
            <w:r>
              <w:rPr>
                <w:rFonts w:hint="eastAsia" w:ascii="宋体" w:hAnsi="宋体"/>
                <w:color w:val="auto"/>
                <w:szCs w:val="21"/>
                <w:highlight w:val="none"/>
              </w:rPr>
              <w:t>服务项目名称</w:t>
            </w:r>
          </w:p>
        </w:tc>
        <w:tc>
          <w:tcPr>
            <w:tcW w:w="1360" w:type="dxa"/>
            <w:vAlign w:val="center"/>
          </w:tcPr>
          <w:p w14:paraId="0E6C9AF4">
            <w:pPr>
              <w:jc w:val="center"/>
              <w:rPr>
                <w:rFonts w:ascii="宋体" w:hAnsi="宋体"/>
                <w:color w:val="auto"/>
                <w:szCs w:val="21"/>
                <w:highlight w:val="none"/>
              </w:rPr>
            </w:pPr>
            <w:r>
              <w:rPr>
                <w:rFonts w:hint="eastAsia" w:ascii="宋体" w:hAnsi="宋体"/>
                <w:color w:val="auto"/>
                <w:szCs w:val="21"/>
                <w:highlight w:val="none"/>
              </w:rPr>
              <w:t>采购要求</w:t>
            </w:r>
          </w:p>
        </w:tc>
        <w:tc>
          <w:tcPr>
            <w:tcW w:w="1587" w:type="dxa"/>
            <w:vAlign w:val="center"/>
          </w:tcPr>
          <w:p w14:paraId="7DBF6689">
            <w:pPr>
              <w:jc w:val="center"/>
              <w:rPr>
                <w:rFonts w:ascii="宋体" w:hAnsi="宋体"/>
                <w:color w:val="auto"/>
                <w:szCs w:val="21"/>
                <w:highlight w:val="none"/>
              </w:rPr>
            </w:pPr>
            <w:r>
              <w:rPr>
                <w:rFonts w:hint="eastAsia" w:ascii="宋体" w:hAnsi="宋体"/>
                <w:color w:val="auto"/>
                <w:szCs w:val="21"/>
                <w:highlight w:val="none"/>
              </w:rPr>
              <w:t>投标实际响应</w:t>
            </w:r>
          </w:p>
        </w:tc>
        <w:tc>
          <w:tcPr>
            <w:tcW w:w="1133" w:type="dxa"/>
            <w:vAlign w:val="center"/>
          </w:tcPr>
          <w:p w14:paraId="3C156934">
            <w:pPr>
              <w:jc w:val="center"/>
              <w:rPr>
                <w:rFonts w:ascii="宋体" w:hAnsi="宋体"/>
                <w:color w:val="auto"/>
                <w:szCs w:val="21"/>
                <w:highlight w:val="none"/>
              </w:rPr>
            </w:pPr>
            <w:r>
              <w:rPr>
                <w:rFonts w:hint="eastAsia" w:ascii="宋体" w:hAnsi="宋体"/>
                <w:color w:val="auto"/>
                <w:szCs w:val="21"/>
                <w:highlight w:val="none"/>
              </w:rPr>
              <w:t>是否偏离</w:t>
            </w:r>
          </w:p>
        </w:tc>
        <w:tc>
          <w:tcPr>
            <w:tcW w:w="1730" w:type="dxa"/>
            <w:vAlign w:val="center"/>
          </w:tcPr>
          <w:p w14:paraId="23D8F744">
            <w:pPr>
              <w:jc w:val="center"/>
              <w:rPr>
                <w:rFonts w:ascii="宋体" w:hAnsi="宋体"/>
                <w:color w:val="auto"/>
                <w:szCs w:val="21"/>
                <w:highlight w:val="none"/>
              </w:rPr>
            </w:pPr>
            <w:r>
              <w:rPr>
                <w:rFonts w:hint="eastAsia" w:ascii="宋体" w:hAnsi="宋体"/>
                <w:color w:val="auto"/>
                <w:szCs w:val="21"/>
                <w:highlight w:val="none"/>
              </w:rPr>
              <w:t>说明</w:t>
            </w:r>
          </w:p>
        </w:tc>
      </w:tr>
      <w:tr w14:paraId="7892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4AF4D05">
            <w:pPr>
              <w:jc w:val="center"/>
              <w:rPr>
                <w:rFonts w:ascii="宋体" w:hAnsi="宋体"/>
                <w:color w:val="auto"/>
                <w:szCs w:val="21"/>
                <w:highlight w:val="none"/>
              </w:rPr>
            </w:pPr>
          </w:p>
        </w:tc>
        <w:tc>
          <w:tcPr>
            <w:tcW w:w="1620" w:type="dxa"/>
            <w:vAlign w:val="center"/>
          </w:tcPr>
          <w:p w14:paraId="3B69B3DC">
            <w:pPr>
              <w:jc w:val="center"/>
              <w:rPr>
                <w:rFonts w:ascii="宋体" w:hAnsi="宋体"/>
                <w:color w:val="auto"/>
                <w:szCs w:val="21"/>
                <w:highlight w:val="none"/>
              </w:rPr>
            </w:pPr>
          </w:p>
        </w:tc>
        <w:tc>
          <w:tcPr>
            <w:tcW w:w="1360" w:type="dxa"/>
            <w:vAlign w:val="center"/>
          </w:tcPr>
          <w:p w14:paraId="6A27CAA8">
            <w:pPr>
              <w:jc w:val="center"/>
              <w:rPr>
                <w:rFonts w:ascii="宋体" w:hAnsi="宋体"/>
                <w:color w:val="auto"/>
                <w:szCs w:val="21"/>
                <w:highlight w:val="none"/>
              </w:rPr>
            </w:pPr>
          </w:p>
        </w:tc>
        <w:tc>
          <w:tcPr>
            <w:tcW w:w="1587" w:type="dxa"/>
            <w:vAlign w:val="center"/>
          </w:tcPr>
          <w:p w14:paraId="5EC22DA6">
            <w:pPr>
              <w:jc w:val="center"/>
              <w:rPr>
                <w:rFonts w:ascii="宋体" w:hAnsi="宋体"/>
                <w:color w:val="auto"/>
                <w:szCs w:val="21"/>
                <w:highlight w:val="none"/>
              </w:rPr>
            </w:pPr>
          </w:p>
        </w:tc>
        <w:tc>
          <w:tcPr>
            <w:tcW w:w="1133" w:type="dxa"/>
            <w:vAlign w:val="center"/>
          </w:tcPr>
          <w:p w14:paraId="7FE76BB4">
            <w:pPr>
              <w:jc w:val="center"/>
              <w:rPr>
                <w:rFonts w:ascii="宋体" w:hAnsi="宋体"/>
                <w:color w:val="auto"/>
                <w:szCs w:val="21"/>
                <w:highlight w:val="none"/>
              </w:rPr>
            </w:pPr>
          </w:p>
        </w:tc>
        <w:tc>
          <w:tcPr>
            <w:tcW w:w="1730" w:type="dxa"/>
            <w:vAlign w:val="center"/>
          </w:tcPr>
          <w:p w14:paraId="02672836">
            <w:pPr>
              <w:jc w:val="center"/>
              <w:rPr>
                <w:rFonts w:ascii="宋体" w:hAnsi="宋体"/>
                <w:color w:val="auto"/>
                <w:szCs w:val="21"/>
                <w:highlight w:val="none"/>
              </w:rPr>
            </w:pPr>
          </w:p>
        </w:tc>
      </w:tr>
      <w:tr w14:paraId="1008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E26850E">
            <w:pPr>
              <w:jc w:val="center"/>
              <w:rPr>
                <w:rFonts w:ascii="宋体" w:hAnsi="宋体"/>
                <w:color w:val="auto"/>
                <w:szCs w:val="21"/>
                <w:highlight w:val="none"/>
              </w:rPr>
            </w:pPr>
          </w:p>
        </w:tc>
        <w:tc>
          <w:tcPr>
            <w:tcW w:w="1620" w:type="dxa"/>
            <w:vAlign w:val="center"/>
          </w:tcPr>
          <w:p w14:paraId="434646FB">
            <w:pPr>
              <w:jc w:val="center"/>
              <w:rPr>
                <w:rFonts w:ascii="宋体" w:hAnsi="宋体"/>
                <w:color w:val="auto"/>
                <w:szCs w:val="21"/>
                <w:highlight w:val="none"/>
              </w:rPr>
            </w:pPr>
          </w:p>
        </w:tc>
        <w:tc>
          <w:tcPr>
            <w:tcW w:w="1360" w:type="dxa"/>
            <w:vAlign w:val="center"/>
          </w:tcPr>
          <w:p w14:paraId="4E13316A">
            <w:pPr>
              <w:jc w:val="center"/>
              <w:rPr>
                <w:rFonts w:ascii="宋体" w:hAnsi="宋体"/>
                <w:color w:val="auto"/>
                <w:szCs w:val="21"/>
                <w:highlight w:val="none"/>
              </w:rPr>
            </w:pPr>
          </w:p>
        </w:tc>
        <w:tc>
          <w:tcPr>
            <w:tcW w:w="1587" w:type="dxa"/>
            <w:vAlign w:val="center"/>
          </w:tcPr>
          <w:p w14:paraId="7C1501EC">
            <w:pPr>
              <w:jc w:val="center"/>
              <w:rPr>
                <w:rFonts w:ascii="宋体" w:hAnsi="宋体"/>
                <w:color w:val="auto"/>
                <w:szCs w:val="21"/>
                <w:highlight w:val="none"/>
              </w:rPr>
            </w:pPr>
          </w:p>
        </w:tc>
        <w:tc>
          <w:tcPr>
            <w:tcW w:w="1133" w:type="dxa"/>
            <w:vAlign w:val="center"/>
          </w:tcPr>
          <w:p w14:paraId="28E40CCC">
            <w:pPr>
              <w:jc w:val="center"/>
              <w:rPr>
                <w:rFonts w:ascii="宋体" w:hAnsi="宋体"/>
                <w:color w:val="auto"/>
                <w:szCs w:val="21"/>
                <w:highlight w:val="none"/>
              </w:rPr>
            </w:pPr>
          </w:p>
        </w:tc>
        <w:tc>
          <w:tcPr>
            <w:tcW w:w="1730" w:type="dxa"/>
            <w:vAlign w:val="center"/>
          </w:tcPr>
          <w:p w14:paraId="74FB0F79">
            <w:pPr>
              <w:jc w:val="center"/>
              <w:rPr>
                <w:rFonts w:ascii="宋体" w:hAnsi="宋体"/>
                <w:color w:val="auto"/>
                <w:szCs w:val="21"/>
                <w:highlight w:val="none"/>
              </w:rPr>
            </w:pPr>
          </w:p>
        </w:tc>
      </w:tr>
      <w:tr w14:paraId="16E7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C32F9C0">
            <w:pPr>
              <w:jc w:val="center"/>
              <w:rPr>
                <w:rFonts w:ascii="宋体" w:hAnsi="宋体"/>
                <w:color w:val="auto"/>
                <w:szCs w:val="21"/>
                <w:highlight w:val="none"/>
              </w:rPr>
            </w:pPr>
          </w:p>
        </w:tc>
        <w:tc>
          <w:tcPr>
            <w:tcW w:w="1620" w:type="dxa"/>
            <w:vAlign w:val="center"/>
          </w:tcPr>
          <w:p w14:paraId="5B49041F">
            <w:pPr>
              <w:jc w:val="center"/>
              <w:rPr>
                <w:rFonts w:ascii="宋体" w:hAnsi="宋体"/>
                <w:color w:val="auto"/>
                <w:szCs w:val="21"/>
                <w:highlight w:val="none"/>
              </w:rPr>
            </w:pPr>
          </w:p>
        </w:tc>
        <w:tc>
          <w:tcPr>
            <w:tcW w:w="1360" w:type="dxa"/>
            <w:vAlign w:val="center"/>
          </w:tcPr>
          <w:p w14:paraId="4B6C53AC">
            <w:pPr>
              <w:jc w:val="center"/>
              <w:rPr>
                <w:rFonts w:ascii="宋体" w:hAnsi="宋体"/>
                <w:color w:val="auto"/>
                <w:szCs w:val="21"/>
                <w:highlight w:val="none"/>
              </w:rPr>
            </w:pPr>
          </w:p>
        </w:tc>
        <w:tc>
          <w:tcPr>
            <w:tcW w:w="1587" w:type="dxa"/>
            <w:vAlign w:val="center"/>
          </w:tcPr>
          <w:p w14:paraId="6E398615">
            <w:pPr>
              <w:jc w:val="center"/>
              <w:rPr>
                <w:rFonts w:ascii="宋体" w:hAnsi="宋体"/>
                <w:color w:val="auto"/>
                <w:szCs w:val="21"/>
                <w:highlight w:val="none"/>
              </w:rPr>
            </w:pPr>
          </w:p>
        </w:tc>
        <w:tc>
          <w:tcPr>
            <w:tcW w:w="1133" w:type="dxa"/>
            <w:vAlign w:val="center"/>
          </w:tcPr>
          <w:p w14:paraId="0A19453A">
            <w:pPr>
              <w:jc w:val="center"/>
              <w:rPr>
                <w:rFonts w:ascii="宋体" w:hAnsi="宋体"/>
                <w:color w:val="auto"/>
                <w:szCs w:val="21"/>
                <w:highlight w:val="none"/>
              </w:rPr>
            </w:pPr>
          </w:p>
        </w:tc>
        <w:tc>
          <w:tcPr>
            <w:tcW w:w="1730" w:type="dxa"/>
            <w:vAlign w:val="center"/>
          </w:tcPr>
          <w:p w14:paraId="5F3F8925">
            <w:pPr>
              <w:jc w:val="center"/>
              <w:rPr>
                <w:rFonts w:ascii="宋体" w:hAnsi="宋体"/>
                <w:color w:val="auto"/>
                <w:szCs w:val="21"/>
                <w:highlight w:val="none"/>
              </w:rPr>
            </w:pPr>
          </w:p>
        </w:tc>
      </w:tr>
      <w:tr w14:paraId="6A6E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AC11C7D">
            <w:pPr>
              <w:jc w:val="center"/>
              <w:rPr>
                <w:rFonts w:ascii="宋体" w:hAnsi="宋体"/>
                <w:color w:val="auto"/>
                <w:szCs w:val="21"/>
                <w:highlight w:val="none"/>
              </w:rPr>
            </w:pPr>
          </w:p>
        </w:tc>
        <w:tc>
          <w:tcPr>
            <w:tcW w:w="1620" w:type="dxa"/>
            <w:vAlign w:val="center"/>
          </w:tcPr>
          <w:p w14:paraId="0197661D">
            <w:pPr>
              <w:jc w:val="center"/>
              <w:rPr>
                <w:rFonts w:ascii="宋体" w:hAnsi="宋体"/>
                <w:color w:val="auto"/>
                <w:szCs w:val="21"/>
                <w:highlight w:val="none"/>
              </w:rPr>
            </w:pPr>
          </w:p>
        </w:tc>
        <w:tc>
          <w:tcPr>
            <w:tcW w:w="1360" w:type="dxa"/>
            <w:vAlign w:val="center"/>
          </w:tcPr>
          <w:p w14:paraId="7D6F42E4">
            <w:pPr>
              <w:jc w:val="center"/>
              <w:rPr>
                <w:rFonts w:ascii="宋体" w:hAnsi="宋体"/>
                <w:color w:val="auto"/>
                <w:szCs w:val="21"/>
                <w:highlight w:val="none"/>
              </w:rPr>
            </w:pPr>
          </w:p>
        </w:tc>
        <w:tc>
          <w:tcPr>
            <w:tcW w:w="1587" w:type="dxa"/>
            <w:vAlign w:val="center"/>
          </w:tcPr>
          <w:p w14:paraId="7BF62374">
            <w:pPr>
              <w:jc w:val="center"/>
              <w:rPr>
                <w:rFonts w:ascii="宋体" w:hAnsi="宋体"/>
                <w:color w:val="auto"/>
                <w:szCs w:val="21"/>
                <w:highlight w:val="none"/>
              </w:rPr>
            </w:pPr>
          </w:p>
        </w:tc>
        <w:tc>
          <w:tcPr>
            <w:tcW w:w="1133" w:type="dxa"/>
            <w:vAlign w:val="center"/>
          </w:tcPr>
          <w:p w14:paraId="3D99C6C0">
            <w:pPr>
              <w:jc w:val="center"/>
              <w:rPr>
                <w:rFonts w:ascii="宋体" w:hAnsi="宋体"/>
                <w:color w:val="auto"/>
                <w:szCs w:val="21"/>
                <w:highlight w:val="none"/>
              </w:rPr>
            </w:pPr>
          </w:p>
        </w:tc>
        <w:tc>
          <w:tcPr>
            <w:tcW w:w="1730" w:type="dxa"/>
            <w:vAlign w:val="center"/>
          </w:tcPr>
          <w:p w14:paraId="415DB626">
            <w:pPr>
              <w:jc w:val="center"/>
              <w:rPr>
                <w:rFonts w:ascii="宋体" w:hAnsi="宋体"/>
                <w:color w:val="auto"/>
                <w:szCs w:val="21"/>
                <w:highlight w:val="none"/>
              </w:rPr>
            </w:pPr>
          </w:p>
        </w:tc>
      </w:tr>
      <w:tr w14:paraId="03418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95B482B">
            <w:pPr>
              <w:jc w:val="center"/>
              <w:rPr>
                <w:rFonts w:ascii="宋体" w:hAnsi="宋体"/>
                <w:color w:val="auto"/>
                <w:szCs w:val="21"/>
                <w:highlight w:val="none"/>
              </w:rPr>
            </w:pPr>
          </w:p>
        </w:tc>
        <w:tc>
          <w:tcPr>
            <w:tcW w:w="1620" w:type="dxa"/>
            <w:vAlign w:val="center"/>
          </w:tcPr>
          <w:p w14:paraId="60F4E582">
            <w:pPr>
              <w:jc w:val="center"/>
              <w:rPr>
                <w:rFonts w:ascii="宋体" w:hAnsi="宋体"/>
                <w:color w:val="auto"/>
                <w:szCs w:val="21"/>
                <w:highlight w:val="none"/>
              </w:rPr>
            </w:pPr>
          </w:p>
        </w:tc>
        <w:tc>
          <w:tcPr>
            <w:tcW w:w="1360" w:type="dxa"/>
            <w:vAlign w:val="center"/>
          </w:tcPr>
          <w:p w14:paraId="7809DE5B">
            <w:pPr>
              <w:jc w:val="center"/>
              <w:rPr>
                <w:rFonts w:ascii="宋体" w:hAnsi="宋体"/>
                <w:color w:val="auto"/>
                <w:szCs w:val="21"/>
                <w:highlight w:val="none"/>
              </w:rPr>
            </w:pPr>
          </w:p>
        </w:tc>
        <w:tc>
          <w:tcPr>
            <w:tcW w:w="1587" w:type="dxa"/>
            <w:vAlign w:val="center"/>
          </w:tcPr>
          <w:p w14:paraId="0D62FC1F">
            <w:pPr>
              <w:jc w:val="center"/>
              <w:rPr>
                <w:rFonts w:ascii="宋体" w:hAnsi="宋体"/>
                <w:color w:val="auto"/>
                <w:szCs w:val="21"/>
                <w:highlight w:val="none"/>
              </w:rPr>
            </w:pPr>
          </w:p>
        </w:tc>
        <w:tc>
          <w:tcPr>
            <w:tcW w:w="1133" w:type="dxa"/>
            <w:vAlign w:val="center"/>
          </w:tcPr>
          <w:p w14:paraId="78EA73F4">
            <w:pPr>
              <w:jc w:val="center"/>
              <w:rPr>
                <w:rFonts w:ascii="宋体" w:hAnsi="宋体"/>
                <w:color w:val="auto"/>
                <w:szCs w:val="21"/>
                <w:highlight w:val="none"/>
              </w:rPr>
            </w:pPr>
          </w:p>
        </w:tc>
        <w:tc>
          <w:tcPr>
            <w:tcW w:w="1730" w:type="dxa"/>
            <w:vAlign w:val="center"/>
          </w:tcPr>
          <w:p w14:paraId="217473B9">
            <w:pPr>
              <w:jc w:val="center"/>
              <w:rPr>
                <w:rFonts w:ascii="宋体" w:hAnsi="宋体"/>
                <w:color w:val="auto"/>
                <w:szCs w:val="21"/>
                <w:highlight w:val="none"/>
              </w:rPr>
            </w:pPr>
          </w:p>
        </w:tc>
      </w:tr>
      <w:tr w14:paraId="3934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D6A68E8">
            <w:pPr>
              <w:jc w:val="center"/>
              <w:rPr>
                <w:rFonts w:ascii="宋体" w:hAnsi="宋体"/>
                <w:color w:val="auto"/>
                <w:szCs w:val="21"/>
                <w:highlight w:val="none"/>
              </w:rPr>
            </w:pPr>
          </w:p>
        </w:tc>
        <w:tc>
          <w:tcPr>
            <w:tcW w:w="1620" w:type="dxa"/>
            <w:vAlign w:val="center"/>
          </w:tcPr>
          <w:p w14:paraId="7EFC785D">
            <w:pPr>
              <w:jc w:val="center"/>
              <w:rPr>
                <w:rFonts w:ascii="宋体" w:hAnsi="宋体"/>
                <w:color w:val="auto"/>
                <w:szCs w:val="21"/>
                <w:highlight w:val="none"/>
              </w:rPr>
            </w:pPr>
          </w:p>
        </w:tc>
        <w:tc>
          <w:tcPr>
            <w:tcW w:w="1360" w:type="dxa"/>
            <w:vAlign w:val="center"/>
          </w:tcPr>
          <w:p w14:paraId="1FC75DC7">
            <w:pPr>
              <w:jc w:val="center"/>
              <w:rPr>
                <w:rFonts w:ascii="宋体" w:hAnsi="宋体"/>
                <w:color w:val="auto"/>
                <w:szCs w:val="21"/>
                <w:highlight w:val="none"/>
              </w:rPr>
            </w:pPr>
          </w:p>
        </w:tc>
        <w:tc>
          <w:tcPr>
            <w:tcW w:w="1587" w:type="dxa"/>
            <w:vAlign w:val="center"/>
          </w:tcPr>
          <w:p w14:paraId="2C4DBCF1">
            <w:pPr>
              <w:jc w:val="center"/>
              <w:rPr>
                <w:rFonts w:ascii="宋体" w:hAnsi="宋体"/>
                <w:color w:val="auto"/>
                <w:szCs w:val="21"/>
                <w:highlight w:val="none"/>
              </w:rPr>
            </w:pPr>
          </w:p>
        </w:tc>
        <w:tc>
          <w:tcPr>
            <w:tcW w:w="1133" w:type="dxa"/>
            <w:vAlign w:val="center"/>
          </w:tcPr>
          <w:p w14:paraId="19092E35">
            <w:pPr>
              <w:jc w:val="center"/>
              <w:rPr>
                <w:rFonts w:ascii="宋体" w:hAnsi="宋体"/>
                <w:color w:val="auto"/>
                <w:szCs w:val="21"/>
                <w:highlight w:val="none"/>
              </w:rPr>
            </w:pPr>
          </w:p>
        </w:tc>
        <w:tc>
          <w:tcPr>
            <w:tcW w:w="1730" w:type="dxa"/>
            <w:vAlign w:val="center"/>
          </w:tcPr>
          <w:p w14:paraId="180CD445">
            <w:pPr>
              <w:jc w:val="center"/>
              <w:rPr>
                <w:rFonts w:ascii="宋体" w:hAnsi="宋体"/>
                <w:color w:val="auto"/>
                <w:szCs w:val="21"/>
                <w:highlight w:val="none"/>
              </w:rPr>
            </w:pPr>
          </w:p>
        </w:tc>
      </w:tr>
      <w:tr w14:paraId="4628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F5733A6">
            <w:pPr>
              <w:jc w:val="center"/>
              <w:rPr>
                <w:rFonts w:ascii="宋体" w:hAnsi="宋体"/>
                <w:color w:val="auto"/>
                <w:szCs w:val="21"/>
                <w:highlight w:val="none"/>
              </w:rPr>
            </w:pPr>
          </w:p>
        </w:tc>
        <w:tc>
          <w:tcPr>
            <w:tcW w:w="1620" w:type="dxa"/>
            <w:vAlign w:val="center"/>
          </w:tcPr>
          <w:p w14:paraId="71FDB4C9">
            <w:pPr>
              <w:jc w:val="center"/>
              <w:rPr>
                <w:rFonts w:ascii="宋体" w:hAnsi="宋体"/>
                <w:color w:val="auto"/>
                <w:szCs w:val="21"/>
                <w:highlight w:val="none"/>
              </w:rPr>
            </w:pPr>
          </w:p>
        </w:tc>
        <w:tc>
          <w:tcPr>
            <w:tcW w:w="1360" w:type="dxa"/>
            <w:vAlign w:val="center"/>
          </w:tcPr>
          <w:p w14:paraId="0918BFFA">
            <w:pPr>
              <w:jc w:val="center"/>
              <w:rPr>
                <w:rFonts w:ascii="宋体" w:hAnsi="宋体"/>
                <w:color w:val="auto"/>
                <w:szCs w:val="21"/>
                <w:highlight w:val="none"/>
              </w:rPr>
            </w:pPr>
          </w:p>
        </w:tc>
        <w:tc>
          <w:tcPr>
            <w:tcW w:w="1587" w:type="dxa"/>
            <w:vAlign w:val="center"/>
          </w:tcPr>
          <w:p w14:paraId="14550990">
            <w:pPr>
              <w:jc w:val="center"/>
              <w:rPr>
                <w:rFonts w:ascii="宋体" w:hAnsi="宋体"/>
                <w:color w:val="auto"/>
                <w:szCs w:val="21"/>
                <w:highlight w:val="none"/>
              </w:rPr>
            </w:pPr>
          </w:p>
        </w:tc>
        <w:tc>
          <w:tcPr>
            <w:tcW w:w="1133" w:type="dxa"/>
            <w:vAlign w:val="center"/>
          </w:tcPr>
          <w:p w14:paraId="25691196">
            <w:pPr>
              <w:jc w:val="center"/>
              <w:rPr>
                <w:rFonts w:ascii="宋体" w:hAnsi="宋体"/>
                <w:color w:val="auto"/>
                <w:szCs w:val="21"/>
                <w:highlight w:val="none"/>
              </w:rPr>
            </w:pPr>
          </w:p>
        </w:tc>
        <w:tc>
          <w:tcPr>
            <w:tcW w:w="1730" w:type="dxa"/>
            <w:vAlign w:val="center"/>
          </w:tcPr>
          <w:p w14:paraId="22F911FD">
            <w:pPr>
              <w:jc w:val="center"/>
              <w:rPr>
                <w:rFonts w:ascii="宋体" w:hAnsi="宋体"/>
                <w:color w:val="auto"/>
                <w:szCs w:val="21"/>
                <w:highlight w:val="none"/>
              </w:rPr>
            </w:pPr>
          </w:p>
        </w:tc>
      </w:tr>
      <w:tr w14:paraId="2971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411C942">
            <w:pPr>
              <w:jc w:val="center"/>
              <w:rPr>
                <w:rFonts w:ascii="宋体" w:hAnsi="宋体"/>
                <w:color w:val="auto"/>
                <w:szCs w:val="21"/>
                <w:highlight w:val="none"/>
              </w:rPr>
            </w:pPr>
          </w:p>
        </w:tc>
        <w:tc>
          <w:tcPr>
            <w:tcW w:w="1620" w:type="dxa"/>
            <w:vAlign w:val="center"/>
          </w:tcPr>
          <w:p w14:paraId="54C4538E">
            <w:pPr>
              <w:jc w:val="center"/>
              <w:rPr>
                <w:rFonts w:ascii="宋体" w:hAnsi="宋体"/>
                <w:color w:val="auto"/>
                <w:szCs w:val="21"/>
                <w:highlight w:val="none"/>
              </w:rPr>
            </w:pPr>
          </w:p>
        </w:tc>
        <w:tc>
          <w:tcPr>
            <w:tcW w:w="1360" w:type="dxa"/>
            <w:vAlign w:val="center"/>
          </w:tcPr>
          <w:p w14:paraId="3ECE0714">
            <w:pPr>
              <w:jc w:val="center"/>
              <w:rPr>
                <w:rFonts w:ascii="宋体" w:hAnsi="宋体"/>
                <w:color w:val="auto"/>
                <w:szCs w:val="21"/>
                <w:highlight w:val="none"/>
              </w:rPr>
            </w:pPr>
          </w:p>
        </w:tc>
        <w:tc>
          <w:tcPr>
            <w:tcW w:w="1587" w:type="dxa"/>
            <w:vAlign w:val="center"/>
          </w:tcPr>
          <w:p w14:paraId="67166690">
            <w:pPr>
              <w:jc w:val="center"/>
              <w:rPr>
                <w:rFonts w:ascii="宋体" w:hAnsi="宋体"/>
                <w:color w:val="auto"/>
                <w:szCs w:val="21"/>
                <w:highlight w:val="none"/>
              </w:rPr>
            </w:pPr>
          </w:p>
        </w:tc>
        <w:tc>
          <w:tcPr>
            <w:tcW w:w="1133" w:type="dxa"/>
            <w:vAlign w:val="center"/>
          </w:tcPr>
          <w:p w14:paraId="211D595A">
            <w:pPr>
              <w:jc w:val="center"/>
              <w:rPr>
                <w:rFonts w:ascii="宋体" w:hAnsi="宋体"/>
                <w:color w:val="auto"/>
                <w:szCs w:val="21"/>
                <w:highlight w:val="none"/>
              </w:rPr>
            </w:pPr>
          </w:p>
        </w:tc>
        <w:tc>
          <w:tcPr>
            <w:tcW w:w="1730" w:type="dxa"/>
            <w:vAlign w:val="center"/>
          </w:tcPr>
          <w:p w14:paraId="629B9063">
            <w:pPr>
              <w:jc w:val="center"/>
              <w:rPr>
                <w:rFonts w:ascii="宋体" w:hAnsi="宋体"/>
                <w:color w:val="auto"/>
                <w:szCs w:val="21"/>
                <w:highlight w:val="none"/>
              </w:rPr>
            </w:pPr>
          </w:p>
        </w:tc>
      </w:tr>
      <w:tr w14:paraId="07F1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C133F3F">
            <w:pPr>
              <w:jc w:val="center"/>
              <w:rPr>
                <w:rFonts w:ascii="宋体" w:hAnsi="宋体"/>
                <w:color w:val="auto"/>
                <w:szCs w:val="21"/>
                <w:highlight w:val="none"/>
              </w:rPr>
            </w:pPr>
          </w:p>
        </w:tc>
        <w:tc>
          <w:tcPr>
            <w:tcW w:w="1620" w:type="dxa"/>
            <w:vAlign w:val="center"/>
          </w:tcPr>
          <w:p w14:paraId="042575A7">
            <w:pPr>
              <w:jc w:val="center"/>
              <w:rPr>
                <w:rFonts w:ascii="宋体" w:hAnsi="宋体"/>
                <w:color w:val="auto"/>
                <w:szCs w:val="21"/>
                <w:highlight w:val="none"/>
              </w:rPr>
            </w:pPr>
          </w:p>
        </w:tc>
        <w:tc>
          <w:tcPr>
            <w:tcW w:w="1360" w:type="dxa"/>
            <w:vAlign w:val="center"/>
          </w:tcPr>
          <w:p w14:paraId="3DDB5DF9">
            <w:pPr>
              <w:jc w:val="center"/>
              <w:rPr>
                <w:rFonts w:ascii="宋体" w:hAnsi="宋体"/>
                <w:color w:val="auto"/>
                <w:szCs w:val="21"/>
                <w:highlight w:val="none"/>
              </w:rPr>
            </w:pPr>
          </w:p>
        </w:tc>
        <w:tc>
          <w:tcPr>
            <w:tcW w:w="1587" w:type="dxa"/>
            <w:vAlign w:val="center"/>
          </w:tcPr>
          <w:p w14:paraId="03FB73E0">
            <w:pPr>
              <w:jc w:val="center"/>
              <w:rPr>
                <w:rFonts w:ascii="宋体" w:hAnsi="宋体"/>
                <w:color w:val="auto"/>
                <w:szCs w:val="21"/>
                <w:highlight w:val="none"/>
              </w:rPr>
            </w:pPr>
          </w:p>
        </w:tc>
        <w:tc>
          <w:tcPr>
            <w:tcW w:w="1133" w:type="dxa"/>
            <w:vAlign w:val="center"/>
          </w:tcPr>
          <w:p w14:paraId="01F17431">
            <w:pPr>
              <w:jc w:val="center"/>
              <w:rPr>
                <w:rFonts w:ascii="宋体" w:hAnsi="宋体"/>
                <w:color w:val="auto"/>
                <w:szCs w:val="21"/>
                <w:highlight w:val="none"/>
              </w:rPr>
            </w:pPr>
          </w:p>
        </w:tc>
        <w:tc>
          <w:tcPr>
            <w:tcW w:w="1730" w:type="dxa"/>
            <w:vAlign w:val="center"/>
          </w:tcPr>
          <w:p w14:paraId="06496F37">
            <w:pPr>
              <w:jc w:val="center"/>
              <w:rPr>
                <w:rFonts w:ascii="宋体" w:hAnsi="宋体"/>
                <w:color w:val="auto"/>
                <w:szCs w:val="21"/>
                <w:highlight w:val="none"/>
              </w:rPr>
            </w:pPr>
          </w:p>
        </w:tc>
      </w:tr>
      <w:tr w14:paraId="0AA28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CC0A4C3">
            <w:pPr>
              <w:jc w:val="center"/>
              <w:rPr>
                <w:rFonts w:ascii="宋体" w:hAnsi="宋体"/>
                <w:color w:val="auto"/>
                <w:szCs w:val="21"/>
                <w:highlight w:val="none"/>
              </w:rPr>
            </w:pPr>
          </w:p>
        </w:tc>
        <w:tc>
          <w:tcPr>
            <w:tcW w:w="1620" w:type="dxa"/>
            <w:vAlign w:val="center"/>
          </w:tcPr>
          <w:p w14:paraId="7F8BA5CA">
            <w:pPr>
              <w:jc w:val="center"/>
              <w:rPr>
                <w:rFonts w:ascii="宋体" w:hAnsi="宋体"/>
                <w:color w:val="auto"/>
                <w:szCs w:val="21"/>
                <w:highlight w:val="none"/>
              </w:rPr>
            </w:pPr>
          </w:p>
        </w:tc>
        <w:tc>
          <w:tcPr>
            <w:tcW w:w="1360" w:type="dxa"/>
            <w:vAlign w:val="center"/>
          </w:tcPr>
          <w:p w14:paraId="1370EE8E">
            <w:pPr>
              <w:jc w:val="center"/>
              <w:rPr>
                <w:rFonts w:ascii="宋体" w:hAnsi="宋体"/>
                <w:color w:val="auto"/>
                <w:szCs w:val="21"/>
                <w:highlight w:val="none"/>
              </w:rPr>
            </w:pPr>
          </w:p>
        </w:tc>
        <w:tc>
          <w:tcPr>
            <w:tcW w:w="1587" w:type="dxa"/>
            <w:vAlign w:val="center"/>
          </w:tcPr>
          <w:p w14:paraId="7A1B8D9C">
            <w:pPr>
              <w:jc w:val="center"/>
              <w:rPr>
                <w:rFonts w:ascii="宋体" w:hAnsi="宋体"/>
                <w:color w:val="auto"/>
                <w:szCs w:val="21"/>
                <w:highlight w:val="none"/>
              </w:rPr>
            </w:pPr>
          </w:p>
        </w:tc>
        <w:tc>
          <w:tcPr>
            <w:tcW w:w="1133" w:type="dxa"/>
            <w:vAlign w:val="center"/>
          </w:tcPr>
          <w:p w14:paraId="121FB33A">
            <w:pPr>
              <w:jc w:val="center"/>
              <w:rPr>
                <w:rFonts w:ascii="宋体" w:hAnsi="宋体"/>
                <w:color w:val="auto"/>
                <w:szCs w:val="21"/>
                <w:highlight w:val="none"/>
              </w:rPr>
            </w:pPr>
          </w:p>
        </w:tc>
        <w:tc>
          <w:tcPr>
            <w:tcW w:w="1730" w:type="dxa"/>
            <w:vAlign w:val="center"/>
          </w:tcPr>
          <w:p w14:paraId="4BFEF6D8">
            <w:pPr>
              <w:jc w:val="center"/>
              <w:rPr>
                <w:rFonts w:ascii="宋体" w:hAnsi="宋体"/>
                <w:color w:val="auto"/>
                <w:szCs w:val="21"/>
                <w:highlight w:val="none"/>
              </w:rPr>
            </w:pPr>
          </w:p>
        </w:tc>
      </w:tr>
    </w:tbl>
    <w:p w14:paraId="2AC6E3F7">
      <w:pPr>
        <w:rPr>
          <w:rFonts w:ascii="宋体" w:hAnsi="宋体"/>
          <w:color w:val="auto"/>
          <w:szCs w:val="21"/>
          <w:highlight w:val="none"/>
        </w:rPr>
      </w:pPr>
    </w:p>
    <w:p w14:paraId="7888E4AA">
      <w:pPr>
        <w:rPr>
          <w:rFonts w:ascii="宋体" w:hAnsi="宋体"/>
          <w:color w:val="auto"/>
          <w:szCs w:val="21"/>
          <w:highlight w:val="none"/>
        </w:rPr>
      </w:pPr>
      <w:r>
        <w:rPr>
          <w:rFonts w:hint="eastAsia" w:ascii="宋体" w:hAnsi="宋体"/>
          <w:color w:val="auto"/>
          <w:szCs w:val="21"/>
          <w:highlight w:val="none"/>
        </w:rPr>
        <w:t>投标人代表签字：</w:t>
      </w:r>
    </w:p>
    <w:p w14:paraId="0C813453">
      <w:pPr>
        <w:rPr>
          <w:rFonts w:ascii="宋体" w:hAnsi="宋体"/>
          <w:color w:val="auto"/>
          <w:szCs w:val="21"/>
          <w:highlight w:val="none"/>
        </w:rPr>
      </w:pPr>
      <w:r>
        <w:rPr>
          <w:rFonts w:hint="eastAsia" w:ascii="宋体" w:hAnsi="宋体"/>
          <w:color w:val="auto"/>
          <w:szCs w:val="21"/>
          <w:highlight w:val="none"/>
        </w:rPr>
        <w:t>投标人盖章：</w:t>
      </w:r>
    </w:p>
    <w:p w14:paraId="44189D34">
      <w:pPr>
        <w:rPr>
          <w:rFonts w:ascii="宋体" w:hAnsi="宋体"/>
          <w:color w:val="auto"/>
          <w:szCs w:val="21"/>
          <w:highlight w:val="none"/>
        </w:rPr>
      </w:pPr>
    </w:p>
    <w:p w14:paraId="5D85BBA4">
      <w:pPr>
        <w:ind w:left="718" w:hanging="718" w:hangingChars="342"/>
        <w:rPr>
          <w:rFonts w:ascii="宋体" w:hAnsi="宋体"/>
          <w:color w:val="auto"/>
          <w:szCs w:val="21"/>
          <w:highlight w:val="none"/>
        </w:rPr>
      </w:pPr>
      <w:r>
        <w:rPr>
          <w:rFonts w:hint="eastAsia" w:ascii="宋体" w:hAnsi="宋体"/>
          <w:color w:val="auto"/>
          <w:szCs w:val="21"/>
          <w:highlight w:val="none"/>
        </w:rPr>
        <w:t>注：</w:t>
      </w:r>
    </w:p>
    <w:p w14:paraId="1AF41261">
      <w:pPr>
        <w:rPr>
          <w:rFonts w:ascii="宋体" w:hAnsi="宋体"/>
          <w:color w:val="auto"/>
          <w:szCs w:val="21"/>
          <w:highlight w:val="none"/>
        </w:rPr>
      </w:pPr>
      <w:r>
        <w:rPr>
          <w:rFonts w:hint="eastAsia" w:ascii="宋体" w:hAnsi="宋体"/>
          <w:color w:val="auto"/>
          <w:szCs w:val="21"/>
          <w:highlight w:val="none"/>
        </w:rPr>
        <w:t>1、投标人应对照采购文件商务需求书中商务要求，说明已对采购文件的商务内容做出了实质性的响应。</w:t>
      </w:r>
    </w:p>
    <w:p w14:paraId="49E71168">
      <w:pPr>
        <w:rPr>
          <w:rFonts w:ascii="宋体" w:hAnsi="宋体"/>
          <w:color w:val="auto"/>
          <w:szCs w:val="21"/>
          <w:highlight w:val="none"/>
        </w:rPr>
      </w:pPr>
      <w:r>
        <w:rPr>
          <w:rFonts w:hint="eastAsia" w:ascii="宋体" w:hAnsi="宋体"/>
          <w:color w:val="auto"/>
          <w:szCs w:val="21"/>
          <w:highlight w:val="none"/>
        </w:rPr>
        <w:t>2、</w:t>
      </w:r>
      <w:r>
        <w:rPr>
          <w:rFonts w:hint="eastAsia" w:hAnsi="宋体" w:cs="宋体"/>
          <w:color w:val="auto"/>
          <w:szCs w:val="21"/>
          <w:highlight w:val="none"/>
        </w:rPr>
        <w:t>不论出于何种原因此表未填写</w:t>
      </w:r>
      <w:r>
        <w:rPr>
          <w:rFonts w:hint="eastAsia" w:ascii="宋体" w:hAnsi="宋体"/>
          <w:color w:val="auto"/>
          <w:szCs w:val="21"/>
          <w:highlight w:val="none"/>
        </w:rPr>
        <w:t>完整</w:t>
      </w:r>
      <w:r>
        <w:rPr>
          <w:rFonts w:hint="eastAsia" w:hAnsi="宋体" w:cs="宋体"/>
          <w:color w:val="auto"/>
          <w:szCs w:val="21"/>
          <w:highlight w:val="none"/>
        </w:rPr>
        <w:t>，投标人都被认为已清楚了解采购文件“</w:t>
      </w:r>
      <w:r>
        <w:rPr>
          <w:rFonts w:hint="eastAsia" w:ascii="宋体" w:hAnsi="宋体"/>
          <w:color w:val="auto"/>
          <w:szCs w:val="21"/>
          <w:highlight w:val="none"/>
        </w:rPr>
        <w:t>商务</w:t>
      </w:r>
      <w:r>
        <w:rPr>
          <w:rFonts w:hint="eastAsia" w:hAnsi="宋体" w:cs="宋体"/>
          <w:color w:val="auto"/>
          <w:szCs w:val="21"/>
          <w:highlight w:val="none"/>
        </w:rPr>
        <w:t>需求书”的内容并对采购人所需的服务要求作全面响应，投标人必须承担完成“</w:t>
      </w:r>
      <w:r>
        <w:rPr>
          <w:rFonts w:hint="eastAsia" w:ascii="宋体" w:hAnsi="宋体"/>
          <w:color w:val="auto"/>
          <w:szCs w:val="21"/>
          <w:highlight w:val="none"/>
        </w:rPr>
        <w:t>商务</w:t>
      </w:r>
      <w:r>
        <w:rPr>
          <w:rFonts w:hint="eastAsia" w:hAnsi="宋体" w:cs="宋体"/>
          <w:color w:val="auto"/>
          <w:szCs w:val="21"/>
          <w:highlight w:val="none"/>
        </w:rPr>
        <w:t>需求书”所描述内容的义务</w:t>
      </w:r>
      <w:r>
        <w:rPr>
          <w:rFonts w:hint="eastAsia" w:ascii="宋体" w:hAnsi="宋体"/>
          <w:color w:val="auto"/>
          <w:szCs w:val="21"/>
          <w:highlight w:val="none"/>
        </w:rPr>
        <w:t>，因此对投标人投标产生负面影响的，投标人自行承担后果。</w:t>
      </w:r>
    </w:p>
    <w:p w14:paraId="3F01F849">
      <w:pPr>
        <w:rPr>
          <w:rFonts w:ascii="宋体" w:hAnsi="宋体"/>
          <w:color w:val="auto"/>
          <w:szCs w:val="21"/>
          <w:highlight w:val="none"/>
        </w:rPr>
      </w:pPr>
      <w:r>
        <w:rPr>
          <w:rFonts w:hint="eastAsia" w:ascii="宋体" w:hAnsi="宋体"/>
          <w:color w:val="auto"/>
          <w:szCs w:val="21"/>
          <w:highlight w:val="none"/>
        </w:rPr>
        <w:t>3、</w:t>
      </w:r>
      <w:r>
        <w:rPr>
          <w:rFonts w:hint="eastAsia" w:hAnsi="宋体" w:cs="宋体"/>
          <w:color w:val="auto"/>
          <w:szCs w:val="21"/>
          <w:highlight w:val="none"/>
        </w:rPr>
        <w:t>如有偏离，应在“偏离情况”栏内注明“正”、“负”或“无”，并在“说明”栏内予以说明。</w:t>
      </w:r>
    </w:p>
    <w:p w14:paraId="4CE43B94">
      <w:pPr>
        <w:rPr>
          <w:rFonts w:ascii="宋体" w:hAnsi="宋体"/>
          <w:color w:val="auto"/>
          <w:szCs w:val="21"/>
          <w:highlight w:val="none"/>
        </w:rPr>
      </w:pPr>
      <w:r>
        <w:rPr>
          <w:rFonts w:hint="eastAsia" w:ascii="宋体" w:hAnsi="宋体"/>
          <w:color w:val="auto"/>
          <w:szCs w:val="21"/>
          <w:highlight w:val="none"/>
        </w:rPr>
        <w:t>4、</w:t>
      </w:r>
      <w:r>
        <w:rPr>
          <w:rFonts w:hint="eastAsia" w:hAnsi="宋体" w:cs="宋体"/>
          <w:color w:val="auto"/>
          <w:szCs w:val="21"/>
          <w:highlight w:val="none"/>
        </w:rPr>
        <w:t>如投标人差异内容较多可另附页说明。</w:t>
      </w:r>
    </w:p>
    <w:p w14:paraId="7F8C3FC4">
      <w:pPr>
        <w:rPr>
          <w:rFonts w:ascii="宋体" w:hAnsi="宋体"/>
          <w:color w:val="auto"/>
          <w:szCs w:val="21"/>
          <w:highlight w:val="none"/>
        </w:rPr>
      </w:pPr>
      <w:r>
        <w:rPr>
          <w:rFonts w:hint="eastAsia" w:ascii="宋体" w:hAnsi="宋体"/>
          <w:color w:val="auto"/>
          <w:szCs w:val="21"/>
          <w:highlight w:val="none"/>
        </w:rPr>
        <w:t>5、</w:t>
      </w:r>
      <w:r>
        <w:rPr>
          <w:rFonts w:hint="eastAsia" w:hAnsi="宋体" w:cs="宋体"/>
          <w:color w:val="auto"/>
          <w:szCs w:val="21"/>
          <w:highlight w:val="none"/>
        </w:rPr>
        <w:t>如投标人对用户需求书商务要求的条款全部响应的，也可以在表格下面用文字总括性的说明。</w:t>
      </w:r>
    </w:p>
    <w:p w14:paraId="29ED27BB">
      <w:pPr>
        <w:rPr>
          <w:rFonts w:ascii="宋体" w:hAnsi="宋体"/>
          <w:color w:val="auto"/>
          <w:szCs w:val="21"/>
        </w:rPr>
      </w:pPr>
      <w:r>
        <w:rPr>
          <w:rFonts w:hint="eastAsia" w:ascii="宋体" w:hAnsi="宋体"/>
          <w:color w:val="auto"/>
          <w:szCs w:val="21"/>
          <w:highlight w:val="none"/>
        </w:rPr>
        <w:br w:type="page"/>
      </w:r>
    </w:p>
    <w:p w14:paraId="7282069B">
      <w:pPr>
        <w:pStyle w:val="5"/>
        <w:widowControl w:val="0"/>
        <w:overflowPunct w:val="0"/>
        <w:spacing w:line="240" w:lineRule="auto"/>
        <w:rPr>
          <w:rFonts w:ascii="宋体" w:hAnsi="宋体"/>
          <w:color w:val="auto"/>
          <w:sz w:val="30"/>
          <w:szCs w:val="30"/>
        </w:rPr>
      </w:pPr>
      <w:bookmarkStart w:id="282" w:name="_Toc23923"/>
      <w:r>
        <w:rPr>
          <w:rFonts w:hint="eastAsia" w:ascii="宋体" w:hAnsi="宋体"/>
          <w:color w:val="auto"/>
          <w:sz w:val="21"/>
          <w:szCs w:val="21"/>
        </w:rPr>
        <w:t>附件1</w:t>
      </w:r>
      <w:r>
        <w:rPr>
          <w:rFonts w:hint="eastAsia" w:ascii="宋体" w:hAnsi="宋体"/>
          <w:color w:val="auto"/>
          <w:sz w:val="21"/>
          <w:szCs w:val="21"/>
          <w:lang w:val="en-US" w:eastAsia="zh-CN"/>
        </w:rPr>
        <w:t>2</w:t>
      </w:r>
      <w:r>
        <w:rPr>
          <w:rFonts w:hint="eastAsia" w:ascii="宋体" w:hAnsi="宋体"/>
          <w:color w:val="auto"/>
          <w:sz w:val="21"/>
          <w:szCs w:val="21"/>
        </w:rPr>
        <w:t>.业绩表</w:t>
      </w:r>
      <w:bookmarkEnd w:id="282"/>
    </w:p>
    <w:p w14:paraId="3D0BB2A0">
      <w:pPr>
        <w:jc w:val="center"/>
        <w:rPr>
          <w:rFonts w:ascii="黑体" w:eastAsia="黑体"/>
          <w:color w:val="auto"/>
          <w:sz w:val="28"/>
          <w:szCs w:val="28"/>
        </w:rPr>
      </w:pPr>
      <w:r>
        <w:rPr>
          <w:rFonts w:hint="eastAsia" w:ascii="黑体" w:eastAsia="黑体"/>
          <w:color w:val="auto"/>
          <w:sz w:val="28"/>
          <w:szCs w:val="28"/>
        </w:rPr>
        <w:t>业绩表</w:t>
      </w:r>
    </w:p>
    <w:tbl>
      <w:tblPr>
        <w:tblStyle w:val="31"/>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5"/>
        <w:gridCol w:w="1697"/>
      </w:tblGrid>
      <w:tr w14:paraId="54FE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1D96AE1B">
            <w:pPr>
              <w:adjustRightInd/>
              <w:snapToGrid/>
              <w:jc w:val="center"/>
              <w:rPr>
                <w:rFonts w:ascii="宋体" w:hAnsi="宋体"/>
                <w:color w:val="auto"/>
                <w:szCs w:val="21"/>
              </w:rPr>
            </w:pPr>
            <w:r>
              <w:rPr>
                <w:rFonts w:hint="eastAsia" w:ascii="宋体" w:hAnsi="宋体"/>
                <w:color w:val="auto"/>
                <w:szCs w:val="21"/>
              </w:rPr>
              <w:t>序号</w:t>
            </w:r>
          </w:p>
        </w:tc>
        <w:tc>
          <w:tcPr>
            <w:tcW w:w="1705" w:type="dxa"/>
            <w:vAlign w:val="center"/>
          </w:tcPr>
          <w:p w14:paraId="274F03D8">
            <w:pPr>
              <w:adjustRightInd/>
              <w:snapToGrid/>
              <w:jc w:val="center"/>
              <w:rPr>
                <w:rFonts w:ascii="宋体" w:hAnsi="宋体"/>
                <w:color w:val="auto"/>
                <w:szCs w:val="21"/>
              </w:rPr>
            </w:pPr>
            <w:r>
              <w:rPr>
                <w:rFonts w:hint="eastAsia" w:ascii="宋体" w:hAnsi="宋体"/>
                <w:color w:val="auto"/>
                <w:szCs w:val="21"/>
              </w:rPr>
              <w:t>项目名称</w:t>
            </w:r>
          </w:p>
        </w:tc>
        <w:tc>
          <w:tcPr>
            <w:tcW w:w="1706" w:type="dxa"/>
            <w:vAlign w:val="center"/>
          </w:tcPr>
          <w:p w14:paraId="701FAE68">
            <w:pPr>
              <w:adjustRightInd/>
              <w:snapToGrid/>
              <w:jc w:val="center"/>
              <w:rPr>
                <w:rFonts w:ascii="宋体" w:hAnsi="宋体"/>
                <w:color w:val="auto"/>
                <w:szCs w:val="21"/>
              </w:rPr>
            </w:pPr>
            <w:r>
              <w:rPr>
                <w:rFonts w:hint="eastAsia" w:ascii="宋体" w:hAnsi="宋体"/>
                <w:color w:val="auto"/>
                <w:szCs w:val="21"/>
              </w:rPr>
              <w:t>项目金额</w:t>
            </w:r>
          </w:p>
        </w:tc>
        <w:tc>
          <w:tcPr>
            <w:tcW w:w="1705" w:type="dxa"/>
            <w:vAlign w:val="center"/>
          </w:tcPr>
          <w:p w14:paraId="66030139">
            <w:pPr>
              <w:adjustRightInd/>
              <w:snapToGrid/>
              <w:jc w:val="center"/>
              <w:rPr>
                <w:rFonts w:ascii="宋体" w:hAnsi="宋体"/>
                <w:color w:val="auto"/>
                <w:szCs w:val="21"/>
              </w:rPr>
            </w:pPr>
            <w:r>
              <w:rPr>
                <w:rFonts w:hint="eastAsia" w:ascii="宋体" w:hAnsi="宋体"/>
                <w:color w:val="auto"/>
                <w:szCs w:val="21"/>
              </w:rPr>
              <w:t>项目合同签订时间</w:t>
            </w:r>
          </w:p>
        </w:tc>
        <w:tc>
          <w:tcPr>
            <w:tcW w:w="1697" w:type="dxa"/>
            <w:vAlign w:val="center"/>
          </w:tcPr>
          <w:p w14:paraId="5E994E2A">
            <w:pPr>
              <w:adjustRightInd/>
              <w:snapToGrid/>
              <w:jc w:val="center"/>
              <w:rPr>
                <w:rFonts w:ascii="宋体" w:hAnsi="宋体"/>
                <w:color w:val="auto"/>
                <w:szCs w:val="21"/>
              </w:rPr>
            </w:pPr>
            <w:r>
              <w:rPr>
                <w:rFonts w:hint="eastAsia" w:ascii="宋体" w:hAnsi="宋体"/>
                <w:color w:val="auto"/>
                <w:szCs w:val="21"/>
              </w:rPr>
              <w:t>备注</w:t>
            </w:r>
          </w:p>
        </w:tc>
      </w:tr>
      <w:tr w14:paraId="4D36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181B7918">
            <w:pPr>
              <w:adjustRightInd/>
              <w:snapToGrid/>
              <w:jc w:val="center"/>
              <w:rPr>
                <w:rFonts w:ascii="宋体" w:hAnsi="宋体"/>
                <w:color w:val="auto"/>
                <w:szCs w:val="21"/>
              </w:rPr>
            </w:pPr>
          </w:p>
        </w:tc>
        <w:tc>
          <w:tcPr>
            <w:tcW w:w="1705" w:type="dxa"/>
            <w:vAlign w:val="center"/>
          </w:tcPr>
          <w:p w14:paraId="2951F54A">
            <w:pPr>
              <w:adjustRightInd/>
              <w:snapToGrid/>
              <w:jc w:val="center"/>
              <w:rPr>
                <w:rFonts w:ascii="宋体" w:hAnsi="宋体"/>
                <w:color w:val="auto"/>
                <w:szCs w:val="21"/>
              </w:rPr>
            </w:pPr>
          </w:p>
        </w:tc>
        <w:tc>
          <w:tcPr>
            <w:tcW w:w="1706" w:type="dxa"/>
            <w:vAlign w:val="center"/>
          </w:tcPr>
          <w:p w14:paraId="4ECB06A8">
            <w:pPr>
              <w:adjustRightInd/>
              <w:snapToGrid/>
              <w:jc w:val="center"/>
              <w:rPr>
                <w:rFonts w:ascii="宋体" w:hAnsi="宋体"/>
                <w:color w:val="auto"/>
                <w:szCs w:val="21"/>
              </w:rPr>
            </w:pPr>
          </w:p>
        </w:tc>
        <w:tc>
          <w:tcPr>
            <w:tcW w:w="1705" w:type="dxa"/>
            <w:vAlign w:val="center"/>
          </w:tcPr>
          <w:p w14:paraId="7456AAE9">
            <w:pPr>
              <w:adjustRightInd/>
              <w:snapToGrid/>
              <w:jc w:val="center"/>
              <w:rPr>
                <w:rFonts w:ascii="宋体" w:hAnsi="宋体"/>
                <w:color w:val="auto"/>
                <w:szCs w:val="21"/>
              </w:rPr>
            </w:pPr>
          </w:p>
        </w:tc>
        <w:tc>
          <w:tcPr>
            <w:tcW w:w="1697" w:type="dxa"/>
            <w:vAlign w:val="center"/>
          </w:tcPr>
          <w:p w14:paraId="3B97B2E0">
            <w:pPr>
              <w:adjustRightInd/>
              <w:snapToGrid/>
              <w:jc w:val="center"/>
              <w:rPr>
                <w:rFonts w:ascii="宋体" w:hAnsi="宋体"/>
                <w:color w:val="auto"/>
                <w:szCs w:val="21"/>
              </w:rPr>
            </w:pPr>
          </w:p>
        </w:tc>
      </w:tr>
      <w:tr w14:paraId="74A2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361AF754">
            <w:pPr>
              <w:adjustRightInd/>
              <w:snapToGrid/>
              <w:rPr>
                <w:rFonts w:ascii="宋体" w:hAnsi="宋体"/>
                <w:color w:val="auto"/>
                <w:szCs w:val="21"/>
              </w:rPr>
            </w:pPr>
          </w:p>
        </w:tc>
        <w:tc>
          <w:tcPr>
            <w:tcW w:w="1705" w:type="dxa"/>
          </w:tcPr>
          <w:p w14:paraId="3CB58775">
            <w:pPr>
              <w:adjustRightInd/>
              <w:snapToGrid/>
              <w:rPr>
                <w:rFonts w:ascii="宋体" w:hAnsi="宋体"/>
                <w:color w:val="auto"/>
                <w:szCs w:val="21"/>
              </w:rPr>
            </w:pPr>
          </w:p>
        </w:tc>
        <w:tc>
          <w:tcPr>
            <w:tcW w:w="1706" w:type="dxa"/>
          </w:tcPr>
          <w:p w14:paraId="0E768005">
            <w:pPr>
              <w:adjustRightInd/>
              <w:snapToGrid/>
              <w:rPr>
                <w:rFonts w:ascii="宋体" w:hAnsi="宋体"/>
                <w:color w:val="auto"/>
                <w:szCs w:val="21"/>
              </w:rPr>
            </w:pPr>
          </w:p>
        </w:tc>
        <w:tc>
          <w:tcPr>
            <w:tcW w:w="1705" w:type="dxa"/>
          </w:tcPr>
          <w:p w14:paraId="24636F57">
            <w:pPr>
              <w:adjustRightInd/>
              <w:snapToGrid/>
              <w:rPr>
                <w:rFonts w:ascii="宋体" w:hAnsi="宋体"/>
                <w:color w:val="auto"/>
                <w:szCs w:val="21"/>
              </w:rPr>
            </w:pPr>
          </w:p>
        </w:tc>
        <w:tc>
          <w:tcPr>
            <w:tcW w:w="1697" w:type="dxa"/>
          </w:tcPr>
          <w:p w14:paraId="0963F3EF">
            <w:pPr>
              <w:adjustRightInd/>
              <w:snapToGrid/>
              <w:rPr>
                <w:rFonts w:ascii="宋体" w:hAnsi="宋体"/>
                <w:color w:val="auto"/>
                <w:szCs w:val="21"/>
              </w:rPr>
            </w:pPr>
          </w:p>
        </w:tc>
      </w:tr>
      <w:tr w14:paraId="4C84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1DED6047">
            <w:pPr>
              <w:adjustRightInd/>
              <w:snapToGrid/>
              <w:rPr>
                <w:rFonts w:ascii="宋体" w:hAnsi="宋体"/>
                <w:color w:val="auto"/>
                <w:szCs w:val="21"/>
              </w:rPr>
            </w:pPr>
          </w:p>
        </w:tc>
        <w:tc>
          <w:tcPr>
            <w:tcW w:w="1705" w:type="dxa"/>
          </w:tcPr>
          <w:p w14:paraId="07F8E72D">
            <w:pPr>
              <w:adjustRightInd/>
              <w:snapToGrid/>
              <w:rPr>
                <w:rFonts w:ascii="宋体" w:hAnsi="宋体"/>
                <w:color w:val="auto"/>
                <w:szCs w:val="21"/>
              </w:rPr>
            </w:pPr>
          </w:p>
        </w:tc>
        <w:tc>
          <w:tcPr>
            <w:tcW w:w="1706" w:type="dxa"/>
          </w:tcPr>
          <w:p w14:paraId="38B88769">
            <w:pPr>
              <w:adjustRightInd/>
              <w:snapToGrid/>
              <w:rPr>
                <w:rFonts w:ascii="宋体" w:hAnsi="宋体"/>
                <w:color w:val="auto"/>
                <w:szCs w:val="21"/>
              </w:rPr>
            </w:pPr>
          </w:p>
        </w:tc>
        <w:tc>
          <w:tcPr>
            <w:tcW w:w="1705" w:type="dxa"/>
          </w:tcPr>
          <w:p w14:paraId="37EA508D">
            <w:pPr>
              <w:adjustRightInd/>
              <w:snapToGrid/>
              <w:rPr>
                <w:rFonts w:ascii="宋体" w:hAnsi="宋体"/>
                <w:color w:val="auto"/>
                <w:szCs w:val="21"/>
              </w:rPr>
            </w:pPr>
          </w:p>
        </w:tc>
        <w:tc>
          <w:tcPr>
            <w:tcW w:w="1697" w:type="dxa"/>
          </w:tcPr>
          <w:p w14:paraId="68F91326">
            <w:pPr>
              <w:adjustRightInd/>
              <w:snapToGrid/>
              <w:rPr>
                <w:rFonts w:ascii="宋体" w:hAnsi="宋体"/>
                <w:color w:val="auto"/>
                <w:szCs w:val="21"/>
              </w:rPr>
            </w:pPr>
          </w:p>
        </w:tc>
      </w:tr>
      <w:tr w14:paraId="5E00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060B399A">
            <w:pPr>
              <w:adjustRightInd/>
              <w:snapToGrid/>
              <w:rPr>
                <w:rFonts w:ascii="宋体" w:hAnsi="宋体"/>
                <w:color w:val="auto"/>
                <w:szCs w:val="21"/>
              </w:rPr>
            </w:pPr>
          </w:p>
        </w:tc>
        <w:tc>
          <w:tcPr>
            <w:tcW w:w="1705" w:type="dxa"/>
          </w:tcPr>
          <w:p w14:paraId="74D17833">
            <w:pPr>
              <w:adjustRightInd/>
              <w:snapToGrid/>
              <w:rPr>
                <w:rFonts w:ascii="宋体" w:hAnsi="宋体"/>
                <w:color w:val="auto"/>
                <w:szCs w:val="21"/>
              </w:rPr>
            </w:pPr>
          </w:p>
        </w:tc>
        <w:tc>
          <w:tcPr>
            <w:tcW w:w="1706" w:type="dxa"/>
          </w:tcPr>
          <w:p w14:paraId="799127A8">
            <w:pPr>
              <w:adjustRightInd/>
              <w:snapToGrid/>
              <w:rPr>
                <w:rFonts w:ascii="宋体" w:hAnsi="宋体"/>
                <w:color w:val="auto"/>
                <w:szCs w:val="21"/>
              </w:rPr>
            </w:pPr>
          </w:p>
        </w:tc>
        <w:tc>
          <w:tcPr>
            <w:tcW w:w="1705" w:type="dxa"/>
          </w:tcPr>
          <w:p w14:paraId="7D2C05F9">
            <w:pPr>
              <w:adjustRightInd/>
              <w:snapToGrid/>
              <w:rPr>
                <w:rFonts w:ascii="宋体" w:hAnsi="宋体"/>
                <w:color w:val="auto"/>
                <w:szCs w:val="21"/>
              </w:rPr>
            </w:pPr>
          </w:p>
        </w:tc>
        <w:tc>
          <w:tcPr>
            <w:tcW w:w="1697" w:type="dxa"/>
          </w:tcPr>
          <w:p w14:paraId="30B7654E">
            <w:pPr>
              <w:adjustRightInd/>
              <w:snapToGrid/>
              <w:rPr>
                <w:rFonts w:ascii="宋体" w:hAnsi="宋体"/>
                <w:color w:val="auto"/>
                <w:szCs w:val="21"/>
              </w:rPr>
            </w:pPr>
          </w:p>
        </w:tc>
      </w:tr>
      <w:tr w14:paraId="6114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3B661290">
            <w:pPr>
              <w:adjustRightInd/>
              <w:snapToGrid/>
              <w:rPr>
                <w:rFonts w:ascii="宋体" w:hAnsi="宋体"/>
                <w:color w:val="auto"/>
                <w:szCs w:val="21"/>
              </w:rPr>
            </w:pPr>
          </w:p>
        </w:tc>
        <w:tc>
          <w:tcPr>
            <w:tcW w:w="1705" w:type="dxa"/>
          </w:tcPr>
          <w:p w14:paraId="418C36B0">
            <w:pPr>
              <w:adjustRightInd/>
              <w:snapToGrid/>
              <w:rPr>
                <w:rFonts w:ascii="宋体" w:hAnsi="宋体"/>
                <w:color w:val="auto"/>
                <w:szCs w:val="21"/>
              </w:rPr>
            </w:pPr>
          </w:p>
        </w:tc>
        <w:tc>
          <w:tcPr>
            <w:tcW w:w="1706" w:type="dxa"/>
          </w:tcPr>
          <w:p w14:paraId="67E1E4F4">
            <w:pPr>
              <w:adjustRightInd/>
              <w:snapToGrid/>
              <w:rPr>
                <w:rFonts w:ascii="宋体" w:hAnsi="宋体"/>
                <w:color w:val="auto"/>
                <w:szCs w:val="21"/>
              </w:rPr>
            </w:pPr>
          </w:p>
        </w:tc>
        <w:tc>
          <w:tcPr>
            <w:tcW w:w="1705" w:type="dxa"/>
          </w:tcPr>
          <w:p w14:paraId="28BAF7C5">
            <w:pPr>
              <w:adjustRightInd/>
              <w:snapToGrid/>
              <w:rPr>
                <w:rFonts w:ascii="宋体" w:hAnsi="宋体"/>
                <w:color w:val="auto"/>
                <w:szCs w:val="21"/>
              </w:rPr>
            </w:pPr>
          </w:p>
        </w:tc>
        <w:tc>
          <w:tcPr>
            <w:tcW w:w="1697" w:type="dxa"/>
          </w:tcPr>
          <w:p w14:paraId="0D4E6FED">
            <w:pPr>
              <w:adjustRightInd/>
              <w:snapToGrid/>
              <w:rPr>
                <w:rFonts w:ascii="宋体" w:hAnsi="宋体"/>
                <w:color w:val="auto"/>
                <w:szCs w:val="21"/>
              </w:rPr>
            </w:pPr>
          </w:p>
        </w:tc>
      </w:tr>
      <w:tr w14:paraId="0FD1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6BAE5A33">
            <w:pPr>
              <w:adjustRightInd/>
              <w:snapToGrid/>
              <w:rPr>
                <w:rFonts w:ascii="宋体" w:hAnsi="宋体"/>
                <w:color w:val="auto"/>
                <w:szCs w:val="21"/>
              </w:rPr>
            </w:pPr>
          </w:p>
        </w:tc>
        <w:tc>
          <w:tcPr>
            <w:tcW w:w="1705" w:type="dxa"/>
          </w:tcPr>
          <w:p w14:paraId="1592D742">
            <w:pPr>
              <w:adjustRightInd/>
              <w:snapToGrid/>
              <w:rPr>
                <w:rFonts w:ascii="宋体" w:hAnsi="宋体"/>
                <w:color w:val="auto"/>
                <w:szCs w:val="21"/>
              </w:rPr>
            </w:pPr>
          </w:p>
        </w:tc>
        <w:tc>
          <w:tcPr>
            <w:tcW w:w="1706" w:type="dxa"/>
          </w:tcPr>
          <w:p w14:paraId="134C310B">
            <w:pPr>
              <w:adjustRightInd/>
              <w:snapToGrid/>
              <w:rPr>
                <w:rFonts w:ascii="宋体" w:hAnsi="宋体"/>
                <w:color w:val="auto"/>
                <w:szCs w:val="21"/>
              </w:rPr>
            </w:pPr>
          </w:p>
        </w:tc>
        <w:tc>
          <w:tcPr>
            <w:tcW w:w="1705" w:type="dxa"/>
          </w:tcPr>
          <w:p w14:paraId="6E2CD6E5">
            <w:pPr>
              <w:adjustRightInd/>
              <w:snapToGrid/>
              <w:rPr>
                <w:rFonts w:ascii="宋体" w:hAnsi="宋体"/>
                <w:color w:val="auto"/>
                <w:szCs w:val="21"/>
              </w:rPr>
            </w:pPr>
          </w:p>
        </w:tc>
        <w:tc>
          <w:tcPr>
            <w:tcW w:w="1697" w:type="dxa"/>
          </w:tcPr>
          <w:p w14:paraId="58811873">
            <w:pPr>
              <w:adjustRightInd/>
              <w:snapToGrid/>
              <w:rPr>
                <w:rFonts w:ascii="宋体" w:hAnsi="宋体"/>
                <w:color w:val="auto"/>
                <w:szCs w:val="21"/>
              </w:rPr>
            </w:pPr>
          </w:p>
        </w:tc>
      </w:tr>
    </w:tbl>
    <w:p w14:paraId="5449BCBD">
      <w:pPr>
        <w:pStyle w:val="42"/>
        <w:rPr>
          <w:rFonts w:ascii="宋体" w:hAnsi="宋体"/>
          <w:color w:val="auto"/>
          <w:szCs w:val="21"/>
        </w:rPr>
      </w:pPr>
    </w:p>
    <w:p w14:paraId="48527020">
      <w:pPr>
        <w:pStyle w:val="42"/>
        <w:rPr>
          <w:rFonts w:ascii="宋体" w:hAnsi="宋体"/>
          <w:color w:val="auto"/>
          <w:szCs w:val="21"/>
        </w:rPr>
      </w:pPr>
      <w:r>
        <w:rPr>
          <w:rFonts w:hint="eastAsia" w:ascii="宋体" w:hAnsi="宋体"/>
          <w:color w:val="auto"/>
          <w:szCs w:val="21"/>
        </w:rPr>
        <w:t>注：</w:t>
      </w:r>
    </w:p>
    <w:p w14:paraId="7CB94CDD">
      <w:pPr>
        <w:pStyle w:val="42"/>
        <w:numPr>
          <w:ilvl w:val="0"/>
          <w:numId w:val="13"/>
        </w:numPr>
        <w:rPr>
          <w:rFonts w:ascii="宋体" w:hAnsi="宋体"/>
          <w:color w:val="auto"/>
          <w:szCs w:val="21"/>
        </w:rPr>
      </w:pPr>
      <w:r>
        <w:rPr>
          <w:rFonts w:hint="eastAsia" w:ascii="宋体" w:hAnsi="宋体"/>
          <w:color w:val="auto"/>
          <w:szCs w:val="21"/>
        </w:rPr>
        <w:t>该表格为参考格式，投标人可按实际情况自行制订。</w:t>
      </w:r>
    </w:p>
    <w:p w14:paraId="5517E809">
      <w:pPr>
        <w:pStyle w:val="42"/>
        <w:numPr>
          <w:ilvl w:val="0"/>
          <w:numId w:val="13"/>
        </w:numPr>
        <w:rPr>
          <w:rFonts w:ascii="宋体" w:hAnsi="宋体"/>
          <w:color w:val="auto"/>
          <w:szCs w:val="21"/>
        </w:rPr>
      </w:pPr>
      <w:r>
        <w:rPr>
          <w:rFonts w:hint="eastAsia" w:ascii="宋体" w:hAnsi="宋体"/>
          <w:color w:val="auto"/>
          <w:szCs w:val="21"/>
        </w:rPr>
        <w:t>业绩表所列出的材料应为真实准确的，并应提供相关证明材料复印件加盖公章。请勿提供虚假、过期材料，否则将依据相关规定严肃处理。</w:t>
      </w:r>
    </w:p>
    <w:p w14:paraId="7875ACF0">
      <w:pPr>
        <w:rPr>
          <w:color w:val="auto"/>
          <w:szCs w:val="21"/>
        </w:rPr>
        <w:sectPr>
          <w:headerReference r:id="rId15" w:type="first"/>
          <w:footerReference r:id="rId17" w:type="first"/>
          <w:headerReference r:id="rId13" w:type="default"/>
          <w:footerReference r:id="rId16" w:type="default"/>
          <w:headerReference r:id="rId14" w:type="even"/>
          <w:pgSz w:w="11906" w:h="16838"/>
          <w:pgMar w:top="1440" w:right="1800" w:bottom="1440" w:left="1800" w:header="708" w:footer="708" w:gutter="0"/>
          <w:cols w:space="708" w:num="1"/>
          <w:titlePg/>
          <w:docGrid w:type="lines" w:linePitch="360" w:charSpace="0"/>
        </w:sectPr>
      </w:pPr>
      <w:r>
        <w:rPr>
          <w:rFonts w:hint="eastAsia" w:ascii="宋体" w:hAnsi="宋体"/>
          <w:color w:val="auto"/>
          <w:szCs w:val="21"/>
        </w:rPr>
        <w:br w:type="page"/>
      </w:r>
    </w:p>
    <w:p w14:paraId="672D47EB">
      <w:pPr>
        <w:pStyle w:val="9"/>
        <w:rPr>
          <w:color w:val="auto"/>
        </w:rPr>
      </w:pPr>
    </w:p>
    <w:p w14:paraId="2789499A">
      <w:pPr>
        <w:pStyle w:val="3"/>
        <w:spacing w:before="0" w:after="0" w:line="360" w:lineRule="auto"/>
        <w:jc w:val="center"/>
        <w:rPr>
          <w:color w:val="auto"/>
          <w:sz w:val="72"/>
          <w:szCs w:val="72"/>
        </w:rPr>
      </w:pPr>
      <w:bookmarkStart w:id="283" w:name="_Toc32188"/>
      <w:r>
        <w:rPr>
          <w:rFonts w:hint="eastAsia"/>
          <w:color w:val="auto"/>
          <w:sz w:val="72"/>
          <w:szCs w:val="72"/>
        </w:rPr>
        <w:t>技术文件</w:t>
      </w:r>
      <w:bookmarkEnd w:id="283"/>
    </w:p>
    <w:p w14:paraId="36AC7645">
      <w:pPr>
        <w:jc w:val="center"/>
        <w:rPr>
          <w:rFonts w:ascii="黑体" w:eastAsia="黑体"/>
          <w:color w:val="auto"/>
          <w:sz w:val="72"/>
          <w:szCs w:val="72"/>
        </w:rPr>
      </w:pPr>
      <w:r>
        <w:rPr>
          <w:rFonts w:hint="eastAsia" w:ascii="黑体" w:eastAsia="黑体"/>
          <w:color w:val="auto"/>
          <w:sz w:val="72"/>
          <w:szCs w:val="72"/>
        </w:rPr>
        <w:t>（单独装订成册）</w:t>
      </w:r>
    </w:p>
    <w:p w14:paraId="36AD2A8A">
      <w:pPr>
        <w:rPr>
          <w:color w:val="auto"/>
        </w:rPr>
      </w:pPr>
    </w:p>
    <w:p w14:paraId="42506817">
      <w:pPr>
        <w:pStyle w:val="9"/>
        <w:rPr>
          <w:color w:val="auto"/>
        </w:rPr>
      </w:pPr>
    </w:p>
    <w:p w14:paraId="452FEE15">
      <w:pPr>
        <w:pStyle w:val="10"/>
        <w:ind w:firstLine="240"/>
        <w:rPr>
          <w:color w:val="auto"/>
        </w:rPr>
      </w:pPr>
    </w:p>
    <w:p w14:paraId="119E5AB5">
      <w:pPr>
        <w:rPr>
          <w:rFonts w:ascii="宋体" w:hAnsi="宋体" w:cs="宋体"/>
          <w:b/>
          <w:bCs/>
          <w:color w:val="auto"/>
          <w:spacing w:val="-6"/>
          <w:sz w:val="32"/>
          <w:szCs w:val="32"/>
        </w:rPr>
      </w:pPr>
      <w:r>
        <w:rPr>
          <w:rFonts w:hint="eastAsia" w:ascii="宋体" w:hAnsi="宋体" w:cs="宋体"/>
          <w:b/>
          <w:bCs/>
          <w:color w:val="auto"/>
          <w:spacing w:val="53"/>
          <w:kern w:val="0"/>
          <w:sz w:val="32"/>
          <w:szCs w:val="32"/>
          <w:fitText w:val="1600" w:id="292250509"/>
        </w:rPr>
        <w:t>项目名</w:t>
      </w:r>
      <w:r>
        <w:rPr>
          <w:rFonts w:hint="eastAsia" w:ascii="宋体" w:hAnsi="宋体" w:cs="宋体"/>
          <w:b/>
          <w:bCs/>
          <w:color w:val="auto"/>
          <w:spacing w:val="1"/>
          <w:kern w:val="0"/>
          <w:sz w:val="32"/>
          <w:szCs w:val="32"/>
          <w:fitText w:val="1600" w:id="292250509"/>
        </w:rPr>
        <w:t>称</w:t>
      </w:r>
      <w:r>
        <w:rPr>
          <w:rFonts w:hint="eastAsia" w:ascii="宋体" w:hAnsi="宋体" w:cs="宋体"/>
          <w:b/>
          <w:bCs/>
          <w:color w:val="auto"/>
          <w:spacing w:val="-6"/>
          <w:sz w:val="32"/>
          <w:szCs w:val="32"/>
        </w:rPr>
        <w:t>：东莞实业投资控股集团有限公司注册发行超短期融资券主承销商采购项目</w:t>
      </w:r>
    </w:p>
    <w:p w14:paraId="69E98F22">
      <w:pPr>
        <w:rPr>
          <w:rFonts w:ascii="宋体" w:hAnsi="宋体" w:cs="宋体"/>
          <w:b/>
          <w:bCs/>
          <w:color w:val="auto"/>
          <w:sz w:val="32"/>
          <w:szCs w:val="32"/>
        </w:rPr>
      </w:pPr>
      <w:r>
        <w:rPr>
          <w:rFonts w:hint="eastAsia" w:ascii="宋体" w:hAnsi="宋体" w:cs="宋体"/>
          <w:b/>
          <w:bCs/>
          <w:color w:val="auto"/>
          <w:spacing w:val="53"/>
          <w:kern w:val="0"/>
          <w:sz w:val="32"/>
          <w:szCs w:val="32"/>
          <w:fitText w:val="1600" w:id="1231831253"/>
        </w:rPr>
        <w:t>项目编</w:t>
      </w:r>
      <w:r>
        <w:rPr>
          <w:rFonts w:hint="eastAsia" w:ascii="宋体" w:hAnsi="宋体" w:cs="宋体"/>
          <w:b/>
          <w:bCs/>
          <w:color w:val="auto"/>
          <w:spacing w:val="1"/>
          <w:kern w:val="0"/>
          <w:sz w:val="32"/>
          <w:szCs w:val="32"/>
          <w:fitText w:val="1600" w:id="1231831253"/>
        </w:rPr>
        <w:t>号</w:t>
      </w:r>
      <w:r>
        <w:rPr>
          <w:rFonts w:hint="eastAsia" w:ascii="宋体" w:hAnsi="宋体" w:cs="宋体"/>
          <w:b/>
          <w:bCs/>
          <w:color w:val="auto"/>
          <w:sz w:val="32"/>
          <w:szCs w:val="32"/>
        </w:rPr>
        <w:t>：DGSY-CW-03-12-014(2024)</w:t>
      </w:r>
    </w:p>
    <w:p w14:paraId="7FA3BA1C">
      <w:pPr>
        <w:pStyle w:val="9"/>
        <w:ind w:left="0"/>
        <w:rPr>
          <w:rFonts w:hint="eastAsia" w:eastAsia="宋体"/>
          <w:b/>
          <w:color w:val="auto"/>
          <w:spacing w:val="1280"/>
          <w:sz w:val="32"/>
          <w:szCs w:val="32"/>
          <w:highlight w:val="none"/>
          <w:lang w:val="en-US" w:eastAsia="zh-CN"/>
        </w:rPr>
      </w:pPr>
      <w:r>
        <w:rPr>
          <w:b/>
          <w:color w:val="auto"/>
          <w:spacing w:val="106"/>
          <w:sz w:val="32"/>
          <w:szCs w:val="32"/>
          <w:highlight w:val="none"/>
          <w:lang w:val="en-US" w:bidi="ar-SA"/>
        </w:rPr>
        <w:t>包组号（如有）：</w:t>
      </w:r>
      <w:r>
        <w:rPr>
          <w:rFonts w:hint="eastAsia"/>
          <w:b/>
          <w:color w:val="auto"/>
          <w:spacing w:val="106"/>
          <w:sz w:val="32"/>
          <w:szCs w:val="32"/>
          <w:highlight w:val="none"/>
          <w:lang w:val="en-US" w:eastAsia="zh-CN" w:bidi="ar-SA"/>
        </w:rPr>
        <w:t>A</w:t>
      </w:r>
    </w:p>
    <w:p w14:paraId="312441DA">
      <w:pPr>
        <w:rPr>
          <w:rFonts w:ascii="宋体" w:hAnsi="宋体" w:cs="宋体"/>
          <w:b/>
          <w:color w:val="auto"/>
          <w:sz w:val="32"/>
          <w:szCs w:val="32"/>
          <w:highlight w:val="none"/>
        </w:rPr>
      </w:pPr>
      <w:r>
        <w:rPr>
          <w:rFonts w:hint="eastAsia" w:ascii="宋体" w:hAnsi="宋体" w:cs="宋体"/>
          <w:b/>
          <w:color w:val="auto"/>
          <w:spacing w:val="0"/>
          <w:kern w:val="0"/>
          <w:sz w:val="32"/>
          <w:szCs w:val="32"/>
          <w:highlight w:val="none"/>
          <w:fitText w:val="1600" w:id="1764384445"/>
        </w:rPr>
        <w:t>投标人名称</w:t>
      </w:r>
      <w:r>
        <w:rPr>
          <w:rFonts w:hint="eastAsia" w:ascii="宋体" w:hAnsi="宋体" w:cs="宋体"/>
          <w:b/>
          <w:color w:val="auto"/>
          <w:sz w:val="32"/>
          <w:szCs w:val="32"/>
          <w:highlight w:val="none"/>
        </w:rPr>
        <w:t>：</w:t>
      </w:r>
    </w:p>
    <w:p w14:paraId="721AF247">
      <w:pPr>
        <w:rPr>
          <w:rFonts w:ascii="宋体" w:hAnsi="宋体" w:cs="宋体"/>
          <w:b/>
          <w:color w:val="auto"/>
          <w:sz w:val="32"/>
          <w:szCs w:val="32"/>
          <w:highlight w:val="none"/>
        </w:rPr>
      </w:pPr>
      <w:r>
        <w:rPr>
          <w:rFonts w:hint="eastAsia" w:ascii="宋体" w:hAnsi="宋体" w:cs="宋体"/>
          <w:b/>
          <w:color w:val="auto"/>
          <w:spacing w:val="32"/>
          <w:kern w:val="0"/>
          <w:sz w:val="32"/>
          <w:szCs w:val="32"/>
          <w:highlight w:val="none"/>
          <w:fitText w:val="1600" w:id="2061173831"/>
        </w:rPr>
        <w:t xml:space="preserve">日    </w:t>
      </w:r>
      <w:r>
        <w:rPr>
          <w:rFonts w:hint="eastAsia" w:ascii="宋体" w:hAnsi="宋体" w:cs="宋体"/>
          <w:b/>
          <w:color w:val="auto"/>
          <w:spacing w:val="0"/>
          <w:kern w:val="0"/>
          <w:sz w:val="32"/>
          <w:szCs w:val="32"/>
          <w:highlight w:val="none"/>
          <w:fitText w:val="1600" w:id="2061173831"/>
        </w:rPr>
        <w:t>期</w:t>
      </w:r>
      <w:r>
        <w:rPr>
          <w:rFonts w:hint="eastAsia" w:ascii="宋体" w:hAnsi="宋体" w:cs="宋体"/>
          <w:b/>
          <w:color w:val="auto"/>
          <w:sz w:val="32"/>
          <w:szCs w:val="32"/>
          <w:highlight w:val="none"/>
        </w:rPr>
        <w:t>：</w:t>
      </w:r>
    </w:p>
    <w:p w14:paraId="025715CC">
      <w:pPr>
        <w:rPr>
          <w:rFonts w:ascii="宋体" w:hAnsi="宋体"/>
          <w:color w:val="auto"/>
          <w:szCs w:val="21"/>
          <w:highlight w:val="none"/>
        </w:rPr>
      </w:pPr>
      <w:r>
        <w:rPr>
          <w:rFonts w:hint="eastAsia" w:ascii="宋体" w:hAnsi="宋体"/>
          <w:color w:val="auto"/>
          <w:szCs w:val="21"/>
          <w:highlight w:val="none"/>
        </w:rPr>
        <w:br w:type="page"/>
      </w:r>
    </w:p>
    <w:p w14:paraId="1FBE5472">
      <w:pPr>
        <w:pStyle w:val="5"/>
        <w:widowControl w:val="0"/>
        <w:overflowPunct w:val="0"/>
        <w:spacing w:line="240" w:lineRule="auto"/>
        <w:rPr>
          <w:rFonts w:ascii="宋体" w:hAnsi="宋体"/>
          <w:color w:val="auto"/>
          <w:sz w:val="21"/>
          <w:szCs w:val="21"/>
        </w:rPr>
      </w:pPr>
      <w:bookmarkStart w:id="284" w:name="_Toc2408"/>
      <w:r>
        <w:rPr>
          <w:rFonts w:hint="eastAsia" w:ascii="宋体" w:hAnsi="宋体"/>
          <w:color w:val="auto"/>
          <w:sz w:val="21"/>
          <w:szCs w:val="21"/>
        </w:rPr>
        <w:t>附件1</w:t>
      </w:r>
      <w:r>
        <w:rPr>
          <w:rFonts w:hint="eastAsia" w:ascii="宋体" w:hAnsi="宋体"/>
          <w:color w:val="auto"/>
          <w:sz w:val="21"/>
          <w:szCs w:val="21"/>
          <w:lang w:val="en-US" w:eastAsia="zh-CN"/>
        </w:rPr>
        <w:t>3</w:t>
      </w:r>
      <w:r>
        <w:rPr>
          <w:rFonts w:hint="eastAsia" w:ascii="宋体" w:hAnsi="宋体"/>
          <w:color w:val="auto"/>
          <w:sz w:val="21"/>
          <w:szCs w:val="21"/>
        </w:rPr>
        <w:t>. 技术规格偏离表格式</w:t>
      </w:r>
      <w:bookmarkEnd w:id="284"/>
    </w:p>
    <w:p w14:paraId="72AFDCB7">
      <w:pPr>
        <w:jc w:val="center"/>
        <w:rPr>
          <w:rFonts w:ascii="黑体" w:eastAsia="黑体"/>
          <w:color w:val="auto"/>
          <w:sz w:val="28"/>
          <w:szCs w:val="28"/>
        </w:rPr>
      </w:pPr>
    </w:p>
    <w:p w14:paraId="60620D44">
      <w:pPr>
        <w:jc w:val="center"/>
        <w:rPr>
          <w:rFonts w:ascii="黑体" w:eastAsia="黑体"/>
          <w:color w:val="auto"/>
          <w:sz w:val="28"/>
          <w:szCs w:val="28"/>
        </w:rPr>
      </w:pPr>
      <w:r>
        <w:rPr>
          <w:rFonts w:hint="eastAsia" w:ascii="黑体" w:eastAsia="黑体"/>
          <w:color w:val="auto"/>
          <w:sz w:val="28"/>
          <w:szCs w:val="28"/>
        </w:rPr>
        <w:t>技术规格偏离表</w:t>
      </w:r>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14:paraId="4EF99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38" w:type="dxa"/>
            <w:vAlign w:val="center"/>
          </w:tcPr>
          <w:p w14:paraId="266ECB38">
            <w:pPr>
              <w:jc w:val="center"/>
              <w:rPr>
                <w:rFonts w:ascii="宋体" w:hAnsi="宋体"/>
                <w:color w:val="auto"/>
                <w:szCs w:val="21"/>
              </w:rPr>
            </w:pPr>
            <w:r>
              <w:rPr>
                <w:rFonts w:hint="eastAsia" w:ascii="宋体" w:hAnsi="宋体"/>
                <w:color w:val="auto"/>
                <w:szCs w:val="21"/>
              </w:rPr>
              <w:t>序号</w:t>
            </w:r>
          </w:p>
        </w:tc>
        <w:tc>
          <w:tcPr>
            <w:tcW w:w="1902" w:type="dxa"/>
            <w:vAlign w:val="center"/>
          </w:tcPr>
          <w:p w14:paraId="36FA39A0">
            <w:pPr>
              <w:jc w:val="center"/>
              <w:rPr>
                <w:rFonts w:ascii="宋体" w:hAnsi="宋体"/>
                <w:color w:val="auto"/>
                <w:szCs w:val="21"/>
              </w:rPr>
            </w:pPr>
            <w:r>
              <w:rPr>
                <w:rFonts w:hint="eastAsia" w:ascii="宋体" w:hAnsi="宋体"/>
                <w:color w:val="auto"/>
                <w:szCs w:val="21"/>
              </w:rPr>
              <w:t>服务项目名称</w:t>
            </w:r>
          </w:p>
        </w:tc>
        <w:tc>
          <w:tcPr>
            <w:tcW w:w="1370" w:type="dxa"/>
            <w:vAlign w:val="center"/>
          </w:tcPr>
          <w:p w14:paraId="172D7C4C">
            <w:pPr>
              <w:jc w:val="center"/>
              <w:rPr>
                <w:rFonts w:ascii="宋体" w:hAnsi="宋体"/>
                <w:color w:val="auto"/>
                <w:szCs w:val="21"/>
              </w:rPr>
            </w:pPr>
            <w:r>
              <w:rPr>
                <w:rFonts w:hint="eastAsia" w:ascii="宋体" w:hAnsi="宋体"/>
                <w:color w:val="auto"/>
                <w:szCs w:val="21"/>
              </w:rPr>
              <w:t>采购要求</w:t>
            </w:r>
          </w:p>
        </w:tc>
        <w:tc>
          <w:tcPr>
            <w:tcW w:w="1629" w:type="dxa"/>
            <w:vAlign w:val="center"/>
          </w:tcPr>
          <w:p w14:paraId="70C1047F">
            <w:pPr>
              <w:jc w:val="center"/>
              <w:rPr>
                <w:rFonts w:ascii="宋体" w:hAnsi="宋体"/>
                <w:color w:val="auto"/>
                <w:szCs w:val="21"/>
              </w:rPr>
            </w:pPr>
            <w:r>
              <w:rPr>
                <w:rFonts w:hint="eastAsia" w:ascii="宋体" w:hAnsi="宋体"/>
                <w:color w:val="auto"/>
                <w:szCs w:val="21"/>
              </w:rPr>
              <w:t>投标实际响应</w:t>
            </w:r>
          </w:p>
        </w:tc>
        <w:tc>
          <w:tcPr>
            <w:tcW w:w="1239" w:type="dxa"/>
            <w:vAlign w:val="center"/>
          </w:tcPr>
          <w:p w14:paraId="1E881E4B">
            <w:pPr>
              <w:jc w:val="center"/>
              <w:rPr>
                <w:rFonts w:ascii="宋体" w:hAnsi="宋体"/>
                <w:color w:val="auto"/>
                <w:szCs w:val="21"/>
              </w:rPr>
            </w:pPr>
            <w:r>
              <w:rPr>
                <w:rFonts w:hint="eastAsia" w:ascii="宋体" w:hAnsi="宋体"/>
                <w:color w:val="auto"/>
                <w:szCs w:val="21"/>
              </w:rPr>
              <w:t>是否偏离</w:t>
            </w:r>
          </w:p>
        </w:tc>
        <w:tc>
          <w:tcPr>
            <w:tcW w:w="1544" w:type="dxa"/>
            <w:vAlign w:val="center"/>
          </w:tcPr>
          <w:p w14:paraId="4F895E76">
            <w:pPr>
              <w:jc w:val="center"/>
              <w:rPr>
                <w:rFonts w:ascii="宋体" w:hAnsi="宋体"/>
                <w:color w:val="auto"/>
                <w:szCs w:val="21"/>
              </w:rPr>
            </w:pPr>
            <w:r>
              <w:rPr>
                <w:rFonts w:hint="eastAsia" w:ascii="宋体" w:hAnsi="宋体"/>
                <w:color w:val="auto"/>
                <w:szCs w:val="21"/>
              </w:rPr>
              <w:t>说明</w:t>
            </w:r>
          </w:p>
        </w:tc>
      </w:tr>
      <w:tr w14:paraId="0B66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1C7CB76E">
            <w:pPr>
              <w:jc w:val="center"/>
              <w:rPr>
                <w:rFonts w:ascii="宋体" w:hAnsi="宋体"/>
                <w:color w:val="auto"/>
                <w:szCs w:val="21"/>
              </w:rPr>
            </w:pPr>
          </w:p>
        </w:tc>
        <w:tc>
          <w:tcPr>
            <w:tcW w:w="1902" w:type="dxa"/>
            <w:vAlign w:val="center"/>
          </w:tcPr>
          <w:p w14:paraId="20405C98">
            <w:pPr>
              <w:jc w:val="center"/>
              <w:rPr>
                <w:rFonts w:ascii="宋体" w:hAnsi="宋体"/>
                <w:color w:val="auto"/>
                <w:szCs w:val="21"/>
              </w:rPr>
            </w:pPr>
          </w:p>
        </w:tc>
        <w:tc>
          <w:tcPr>
            <w:tcW w:w="1370" w:type="dxa"/>
            <w:vAlign w:val="center"/>
          </w:tcPr>
          <w:p w14:paraId="33C79495">
            <w:pPr>
              <w:jc w:val="center"/>
              <w:rPr>
                <w:rFonts w:ascii="宋体" w:hAnsi="宋体"/>
                <w:color w:val="auto"/>
                <w:szCs w:val="21"/>
              </w:rPr>
            </w:pPr>
          </w:p>
        </w:tc>
        <w:tc>
          <w:tcPr>
            <w:tcW w:w="1629" w:type="dxa"/>
            <w:vAlign w:val="center"/>
          </w:tcPr>
          <w:p w14:paraId="63F692D3">
            <w:pPr>
              <w:jc w:val="center"/>
              <w:rPr>
                <w:rFonts w:ascii="宋体" w:hAnsi="宋体"/>
                <w:color w:val="auto"/>
                <w:szCs w:val="21"/>
              </w:rPr>
            </w:pPr>
          </w:p>
        </w:tc>
        <w:tc>
          <w:tcPr>
            <w:tcW w:w="1239" w:type="dxa"/>
            <w:vAlign w:val="center"/>
          </w:tcPr>
          <w:p w14:paraId="13EB2ECE">
            <w:pPr>
              <w:jc w:val="center"/>
              <w:rPr>
                <w:rFonts w:ascii="宋体" w:hAnsi="宋体"/>
                <w:color w:val="auto"/>
                <w:szCs w:val="21"/>
              </w:rPr>
            </w:pPr>
          </w:p>
        </w:tc>
        <w:tc>
          <w:tcPr>
            <w:tcW w:w="1544" w:type="dxa"/>
            <w:vAlign w:val="center"/>
          </w:tcPr>
          <w:p w14:paraId="3B5FF235">
            <w:pPr>
              <w:jc w:val="center"/>
              <w:rPr>
                <w:rFonts w:ascii="宋体" w:hAnsi="宋体"/>
                <w:color w:val="auto"/>
                <w:szCs w:val="21"/>
              </w:rPr>
            </w:pPr>
          </w:p>
        </w:tc>
      </w:tr>
      <w:tr w14:paraId="5EE6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214F4770">
            <w:pPr>
              <w:jc w:val="center"/>
              <w:rPr>
                <w:rFonts w:ascii="宋体" w:hAnsi="宋体"/>
                <w:color w:val="auto"/>
                <w:szCs w:val="21"/>
              </w:rPr>
            </w:pPr>
          </w:p>
        </w:tc>
        <w:tc>
          <w:tcPr>
            <w:tcW w:w="1902" w:type="dxa"/>
            <w:vAlign w:val="center"/>
          </w:tcPr>
          <w:p w14:paraId="6F9997D0">
            <w:pPr>
              <w:jc w:val="center"/>
              <w:rPr>
                <w:rFonts w:ascii="宋体" w:hAnsi="宋体"/>
                <w:color w:val="auto"/>
                <w:szCs w:val="21"/>
              </w:rPr>
            </w:pPr>
          </w:p>
        </w:tc>
        <w:tc>
          <w:tcPr>
            <w:tcW w:w="1370" w:type="dxa"/>
            <w:vAlign w:val="center"/>
          </w:tcPr>
          <w:p w14:paraId="287ABF2F">
            <w:pPr>
              <w:jc w:val="center"/>
              <w:rPr>
                <w:rFonts w:ascii="宋体" w:hAnsi="宋体"/>
                <w:color w:val="auto"/>
                <w:szCs w:val="21"/>
              </w:rPr>
            </w:pPr>
          </w:p>
        </w:tc>
        <w:tc>
          <w:tcPr>
            <w:tcW w:w="1629" w:type="dxa"/>
            <w:vAlign w:val="center"/>
          </w:tcPr>
          <w:p w14:paraId="40A279F6">
            <w:pPr>
              <w:jc w:val="center"/>
              <w:rPr>
                <w:rFonts w:ascii="宋体" w:hAnsi="宋体"/>
                <w:color w:val="auto"/>
                <w:szCs w:val="21"/>
              </w:rPr>
            </w:pPr>
          </w:p>
        </w:tc>
        <w:tc>
          <w:tcPr>
            <w:tcW w:w="1239" w:type="dxa"/>
            <w:vAlign w:val="center"/>
          </w:tcPr>
          <w:p w14:paraId="511CEF46">
            <w:pPr>
              <w:jc w:val="center"/>
              <w:rPr>
                <w:rFonts w:ascii="宋体" w:hAnsi="宋体"/>
                <w:color w:val="auto"/>
                <w:szCs w:val="21"/>
              </w:rPr>
            </w:pPr>
          </w:p>
        </w:tc>
        <w:tc>
          <w:tcPr>
            <w:tcW w:w="1544" w:type="dxa"/>
            <w:vAlign w:val="center"/>
          </w:tcPr>
          <w:p w14:paraId="200B08E9">
            <w:pPr>
              <w:jc w:val="center"/>
              <w:rPr>
                <w:rFonts w:ascii="宋体" w:hAnsi="宋体"/>
                <w:color w:val="auto"/>
                <w:szCs w:val="21"/>
              </w:rPr>
            </w:pPr>
          </w:p>
        </w:tc>
      </w:tr>
      <w:tr w14:paraId="3B32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271808D">
            <w:pPr>
              <w:jc w:val="center"/>
              <w:rPr>
                <w:rFonts w:ascii="宋体" w:hAnsi="宋体"/>
                <w:color w:val="auto"/>
                <w:szCs w:val="21"/>
              </w:rPr>
            </w:pPr>
          </w:p>
        </w:tc>
        <w:tc>
          <w:tcPr>
            <w:tcW w:w="1902" w:type="dxa"/>
            <w:vAlign w:val="center"/>
          </w:tcPr>
          <w:p w14:paraId="0C743CF2">
            <w:pPr>
              <w:jc w:val="center"/>
              <w:rPr>
                <w:rFonts w:ascii="宋体" w:hAnsi="宋体"/>
                <w:color w:val="auto"/>
                <w:szCs w:val="21"/>
              </w:rPr>
            </w:pPr>
          </w:p>
        </w:tc>
        <w:tc>
          <w:tcPr>
            <w:tcW w:w="1370" w:type="dxa"/>
            <w:vAlign w:val="center"/>
          </w:tcPr>
          <w:p w14:paraId="0DF7F171">
            <w:pPr>
              <w:jc w:val="center"/>
              <w:rPr>
                <w:rFonts w:ascii="宋体" w:hAnsi="宋体"/>
                <w:color w:val="auto"/>
                <w:szCs w:val="21"/>
              </w:rPr>
            </w:pPr>
          </w:p>
        </w:tc>
        <w:tc>
          <w:tcPr>
            <w:tcW w:w="1629" w:type="dxa"/>
            <w:vAlign w:val="center"/>
          </w:tcPr>
          <w:p w14:paraId="5F57532C">
            <w:pPr>
              <w:jc w:val="center"/>
              <w:rPr>
                <w:rFonts w:ascii="宋体" w:hAnsi="宋体"/>
                <w:color w:val="auto"/>
                <w:szCs w:val="21"/>
              </w:rPr>
            </w:pPr>
          </w:p>
        </w:tc>
        <w:tc>
          <w:tcPr>
            <w:tcW w:w="1239" w:type="dxa"/>
            <w:vAlign w:val="center"/>
          </w:tcPr>
          <w:p w14:paraId="014893B5">
            <w:pPr>
              <w:jc w:val="center"/>
              <w:rPr>
                <w:rFonts w:ascii="宋体" w:hAnsi="宋体"/>
                <w:color w:val="auto"/>
                <w:szCs w:val="21"/>
              </w:rPr>
            </w:pPr>
          </w:p>
        </w:tc>
        <w:tc>
          <w:tcPr>
            <w:tcW w:w="1544" w:type="dxa"/>
            <w:vAlign w:val="center"/>
          </w:tcPr>
          <w:p w14:paraId="76D10966">
            <w:pPr>
              <w:jc w:val="center"/>
              <w:rPr>
                <w:rFonts w:ascii="宋体" w:hAnsi="宋体"/>
                <w:color w:val="auto"/>
                <w:szCs w:val="21"/>
              </w:rPr>
            </w:pPr>
          </w:p>
        </w:tc>
      </w:tr>
      <w:tr w14:paraId="38AF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9879AB2">
            <w:pPr>
              <w:jc w:val="center"/>
              <w:rPr>
                <w:rFonts w:ascii="宋体" w:hAnsi="宋体"/>
                <w:color w:val="auto"/>
                <w:szCs w:val="21"/>
              </w:rPr>
            </w:pPr>
          </w:p>
        </w:tc>
        <w:tc>
          <w:tcPr>
            <w:tcW w:w="1902" w:type="dxa"/>
            <w:vAlign w:val="center"/>
          </w:tcPr>
          <w:p w14:paraId="6EB6E833">
            <w:pPr>
              <w:jc w:val="center"/>
              <w:rPr>
                <w:rFonts w:ascii="宋体" w:hAnsi="宋体"/>
                <w:color w:val="auto"/>
                <w:szCs w:val="21"/>
              </w:rPr>
            </w:pPr>
          </w:p>
        </w:tc>
        <w:tc>
          <w:tcPr>
            <w:tcW w:w="1370" w:type="dxa"/>
            <w:vAlign w:val="center"/>
          </w:tcPr>
          <w:p w14:paraId="481B28DE">
            <w:pPr>
              <w:jc w:val="center"/>
              <w:rPr>
                <w:rFonts w:ascii="宋体" w:hAnsi="宋体"/>
                <w:color w:val="auto"/>
                <w:szCs w:val="21"/>
              </w:rPr>
            </w:pPr>
          </w:p>
        </w:tc>
        <w:tc>
          <w:tcPr>
            <w:tcW w:w="1629" w:type="dxa"/>
            <w:vAlign w:val="center"/>
          </w:tcPr>
          <w:p w14:paraId="3197329F">
            <w:pPr>
              <w:jc w:val="center"/>
              <w:rPr>
                <w:rFonts w:ascii="宋体" w:hAnsi="宋体"/>
                <w:color w:val="auto"/>
                <w:szCs w:val="21"/>
              </w:rPr>
            </w:pPr>
          </w:p>
        </w:tc>
        <w:tc>
          <w:tcPr>
            <w:tcW w:w="1239" w:type="dxa"/>
            <w:vAlign w:val="center"/>
          </w:tcPr>
          <w:p w14:paraId="49B61A56">
            <w:pPr>
              <w:jc w:val="center"/>
              <w:rPr>
                <w:rFonts w:ascii="宋体" w:hAnsi="宋体"/>
                <w:color w:val="auto"/>
                <w:szCs w:val="21"/>
              </w:rPr>
            </w:pPr>
          </w:p>
        </w:tc>
        <w:tc>
          <w:tcPr>
            <w:tcW w:w="1544" w:type="dxa"/>
            <w:vAlign w:val="center"/>
          </w:tcPr>
          <w:p w14:paraId="098863AB">
            <w:pPr>
              <w:jc w:val="center"/>
              <w:rPr>
                <w:rFonts w:ascii="宋体" w:hAnsi="宋体"/>
                <w:color w:val="auto"/>
                <w:szCs w:val="21"/>
              </w:rPr>
            </w:pPr>
          </w:p>
        </w:tc>
      </w:tr>
      <w:tr w14:paraId="489C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571EEE33">
            <w:pPr>
              <w:jc w:val="center"/>
              <w:rPr>
                <w:rFonts w:ascii="宋体" w:hAnsi="宋体"/>
                <w:color w:val="auto"/>
                <w:szCs w:val="21"/>
              </w:rPr>
            </w:pPr>
          </w:p>
        </w:tc>
        <w:tc>
          <w:tcPr>
            <w:tcW w:w="1902" w:type="dxa"/>
            <w:vAlign w:val="center"/>
          </w:tcPr>
          <w:p w14:paraId="32558303">
            <w:pPr>
              <w:jc w:val="center"/>
              <w:rPr>
                <w:rFonts w:ascii="宋体" w:hAnsi="宋体"/>
                <w:color w:val="auto"/>
                <w:szCs w:val="21"/>
              </w:rPr>
            </w:pPr>
          </w:p>
        </w:tc>
        <w:tc>
          <w:tcPr>
            <w:tcW w:w="1370" w:type="dxa"/>
            <w:vAlign w:val="center"/>
          </w:tcPr>
          <w:p w14:paraId="186448BB">
            <w:pPr>
              <w:jc w:val="center"/>
              <w:rPr>
                <w:rFonts w:ascii="宋体" w:hAnsi="宋体"/>
                <w:color w:val="auto"/>
                <w:szCs w:val="21"/>
              </w:rPr>
            </w:pPr>
          </w:p>
        </w:tc>
        <w:tc>
          <w:tcPr>
            <w:tcW w:w="1629" w:type="dxa"/>
            <w:vAlign w:val="center"/>
          </w:tcPr>
          <w:p w14:paraId="10C0A580">
            <w:pPr>
              <w:jc w:val="center"/>
              <w:rPr>
                <w:rFonts w:ascii="宋体" w:hAnsi="宋体"/>
                <w:color w:val="auto"/>
                <w:szCs w:val="21"/>
              </w:rPr>
            </w:pPr>
          </w:p>
        </w:tc>
        <w:tc>
          <w:tcPr>
            <w:tcW w:w="1239" w:type="dxa"/>
            <w:vAlign w:val="center"/>
          </w:tcPr>
          <w:p w14:paraId="0C7AAAB5">
            <w:pPr>
              <w:jc w:val="center"/>
              <w:rPr>
                <w:rFonts w:ascii="宋体" w:hAnsi="宋体"/>
                <w:color w:val="auto"/>
                <w:szCs w:val="21"/>
              </w:rPr>
            </w:pPr>
          </w:p>
        </w:tc>
        <w:tc>
          <w:tcPr>
            <w:tcW w:w="1544" w:type="dxa"/>
            <w:vAlign w:val="center"/>
          </w:tcPr>
          <w:p w14:paraId="57B6B260">
            <w:pPr>
              <w:jc w:val="center"/>
              <w:rPr>
                <w:rFonts w:ascii="宋体" w:hAnsi="宋体"/>
                <w:color w:val="auto"/>
                <w:szCs w:val="21"/>
              </w:rPr>
            </w:pPr>
          </w:p>
        </w:tc>
      </w:tr>
      <w:tr w14:paraId="7D42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521E9145">
            <w:pPr>
              <w:jc w:val="center"/>
              <w:rPr>
                <w:rFonts w:ascii="宋体" w:hAnsi="宋体"/>
                <w:color w:val="auto"/>
                <w:szCs w:val="21"/>
              </w:rPr>
            </w:pPr>
          </w:p>
        </w:tc>
        <w:tc>
          <w:tcPr>
            <w:tcW w:w="1902" w:type="dxa"/>
            <w:vAlign w:val="center"/>
          </w:tcPr>
          <w:p w14:paraId="72FE03D4">
            <w:pPr>
              <w:jc w:val="center"/>
              <w:rPr>
                <w:rFonts w:ascii="宋体" w:hAnsi="宋体"/>
                <w:color w:val="auto"/>
                <w:szCs w:val="21"/>
              </w:rPr>
            </w:pPr>
          </w:p>
        </w:tc>
        <w:tc>
          <w:tcPr>
            <w:tcW w:w="1370" w:type="dxa"/>
            <w:vAlign w:val="center"/>
          </w:tcPr>
          <w:p w14:paraId="1F31BE9E">
            <w:pPr>
              <w:jc w:val="center"/>
              <w:rPr>
                <w:rFonts w:ascii="宋体" w:hAnsi="宋体"/>
                <w:color w:val="auto"/>
                <w:szCs w:val="21"/>
              </w:rPr>
            </w:pPr>
          </w:p>
        </w:tc>
        <w:tc>
          <w:tcPr>
            <w:tcW w:w="1629" w:type="dxa"/>
            <w:vAlign w:val="center"/>
          </w:tcPr>
          <w:p w14:paraId="41C883D8">
            <w:pPr>
              <w:jc w:val="center"/>
              <w:rPr>
                <w:rFonts w:ascii="宋体" w:hAnsi="宋体"/>
                <w:color w:val="auto"/>
                <w:szCs w:val="21"/>
              </w:rPr>
            </w:pPr>
          </w:p>
        </w:tc>
        <w:tc>
          <w:tcPr>
            <w:tcW w:w="1239" w:type="dxa"/>
            <w:vAlign w:val="center"/>
          </w:tcPr>
          <w:p w14:paraId="6B89484B">
            <w:pPr>
              <w:jc w:val="center"/>
              <w:rPr>
                <w:rFonts w:ascii="宋体" w:hAnsi="宋体"/>
                <w:color w:val="auto"/>
                <w:szCs w:val="21"/>
              </w:rPr>
            </w:pPr>
          </w:p>
        </w:tc>
        <w:tc>
          <w:tcPr>
            <w:tcW w:w="1544" w:type="dxa"/>
            <w:vAlign w:val="center"/>
          </w:tcPr>
          <w:p w14:paraId="7AEFEAC8">
            <w:pPr>
              <w:jc w:val="center"/>
              <w:rPr>
                <w:rFonts w:ascii="宋体" w:hAnsi="宋体"/>
                <w:color w:val="auto"/>
                <w:szCs w:val="21"/>
              </w:rPr>
            </w:pPr>
          </w:p>
        </w:tc>
      </w:tr>
      <w:tr w14:paraId="2585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517212D9">
            <w:pPr>
              <w:jc w:val="center"/>
              <w:rPr>
                <w:rFonts w:ascii="宋体" w:hAnsi="宋体"/>
                <w:color w:val="auto"/>
                <w:szCs w:val="21"/>
              </w:rPr>
            </w:pPr>
          </w:p>
        </w:tc>
        <w:tc>
          <w:tcPr>
            <w:tcW w:w="1902" w:type="dxa"/>
            <w:vAlign w:val="center"/>
          </w:tcPr>
          <w:p w14:paraId="77378BE1">
            <w:pPr>
              <w:jc w:val="center"/>
              <w:rPr>
                <w:rFonts w:ascii="宋体" w:hAnsi="宋体"/>
                <w:color w:val="auto"/>
                <w:szCs w:val="21"/>
              </w:rPr>
            </w:pPr>
          </w:p>
        </w:tc>
        <w:tc>
          <w:tcPr>
            <w:tcW w:w="1370" w:type="dxa"/>
            <w:vAlign w:val="center"/>
          </w:tcPr>
          <w:p w14:paraId="2B6378D3">
            <w:pPr>
              <w:jc w:val="center"/>
              <w:rPr>
                <w:rFonts w:ascii="宋体" w:hAnsi="宋体"/>
                <w:color w:val="auto"/>
                <w:szCs w:val="21"/>
              </w:rPr>
            </w:pPr>
          </w:p>
        </w:tc>
        <w:tc>
          <w:tcPr>
            <w:tcW w:w="1629" w:type="dxa"/>
            <w:vAlign w:val="center"/>
          </w:tcPr>
          <w:p w14:paraId="1A789D1F">
            <w:pPr>
              <w:jc w:val="center"/>
              <w:rPr>
                <w:rFonts w:ascii="宋体" w:hAnsi="宋体"/>
                <w:color w:val="auto"/>
                <w:szCs w:val="21"/>
              </w:rPr>
            </w:pPr>
          </w:p>
        </w:tc>
        <w:tc>
          <w:tcPr>
            <w:tcW w:w="1239" w:type="dxa"/>
            <w:vAlign w:val="center"/>
          </w:tcPr>
          <w:p w14:paraId="4BC8478A">
            <w:pPr>
              <w:jc w:val="center"/>
              <w:rPr>
                <w:rFonts w:ascii="宋体" w:hAnsi="宋体"/>
                <w:color w:val="auto"/>
                <w:szCs w:val="21"/>
              </w:rPr>
            </w:pPr>
          </w:p>
        </w:tc>
        <w:tc>
          <w:tcPr>
            <w:tcW w:w="1544" w:type="dxa"/>
            <w:vAlign w:val="center"/>
          </w:tcPr>
          <w:p w14:paraId="69BFDB24">
            <w:pPr>
              <w:jc w:val="center"/>
              <w:rPr>
                <w:rFonts w:ascii="宋体" w:hAnsi="宋体"/>
                <w:color w:val="auto"/>
                <w:szCs w:val="21"/>
              </w:rPr>
            </w:pPr>
          </w:p>
        </w:tc>
      </w:tr>
      <w:tr w14:paraId="13EFE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5E02A8F">
            <w:pPr>
              <w:jc w:val="center"/>
              <w:rPr>
                <w:rFonts w:ascii="宋体" w:hAnsi="宋体"/>
                <w:color w:val="auto"/>
                <w:szCs w:val="21"/>
              </w:rPr>
            </w:pPr>
          </w:p>
        </w:tc>
        <w:tc>
          <w:tcPr>
            <w:tcW w:w="1902" w:type="dxa"/>
            <w:vAlign w:val="center"/>
          </w:tcPr>
          <w:p w14:paraId="47F08E89">
            <w:pPr>
              <w:jc w:val="center"/>
              <w:rPr>
                <w:rFonts w:ascii="宋体" w:hAnsi="宋体"/>
                <w:color w:val="auto"/>
                <w:szCs w:val="21"/>
              </w:rPr>
            </w:pPr>
          </w:p>
        </w:tc>
        <w:tc>
          <w:tcPr>
            <w:tcW w:w="1370" w:type="dxa"/>
            <w:vAlign w:val="center"/>
          </w:tcPr>
          <w:p w14:paraId="25551984">
            <w:pPr>
              <w:jc w:val="center"/>
              <w:rPr>
                <w:rFonts w:ascii="宋体" w:hAnsi="宋体"/>
                <w:color w:val="auto"/>
                <w:szCs w:val="21"/>
              </w:rPr>
            </w:pPr>
          </w:p>
        </w:tc>
        <w:tc>
          <w:tcPr>
            <w:tcW w:w="1629" w:type="dxa"/>
            <w:vAlign w:val="center"/>
          </w:tcPr>
          <w:p w14:paraId="1A08B50D">
            <w:pPr>
              <w:jc w:val="center"/>
              <w:rPr>
                <w:rFonts w:ascii="宋体" w:hAnsi="宋体"/>
                <w:color w:val="auto"/>
                <w:szCs w:val="21"/>
              </w:rPr>
            </w:pPr>
          </w:p>
        </w:tc>
        <w:tc>
          <w:tcPr>
            <w:tcW w:w="1239" w:type="dxa"/>
            <w:vAlign w:val="center"/>
          </w:tcPr>
          <w:p w14:paraId="7C5CBD85">
            <w:pPr>
              <w:jc w:val="center"/>
              <w:rPr>
                <w:rFonts w:ascii="宋体" w:hAnsi="宋体"/>
                <w:color w:val="auto"/>
                <w:szCs w:val="21"/>
              </w:rPr>
            </w:pPr>
          </w:p>
        </w:tc>
        <w:tc>
          <w:tcPr>
            <w:tcW w:w="1544" w:type="dxa"/>
            <w:vAlign w:val="center"/>
          </w:tcPr>
          <w:p w14:paraId="5F818335">
            <w:pPr>
              <w:jc w:val="center"/>
              <w:rPr>
                <w:rFonts w:ascii="宋体" w:hAnsi="宋体"/>
                <w:color w:val="auto"/>
                <w:szCs w:val="21"/>
              </w:rPr>
            </w:pPr>
          </w:p>
        </w:tc>
      </w:tr>
      <w:tr w14:paraId="7C26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D900FF9">
            <w:pPr>
              <w:jc w:val="center"/>
              <w:rPr>
                <w:rFonts w:ascii="宋体" w:hAnsi="宋体"/>
                <w:color w:val="auto"/>
                <w:szCs w:val="21"/>
              </w:rPr>
            </w:pPr>
          </w:p>
        </w:tc>
        <w:tc>
          <w:tcPr>
            <w:tcW w:w="1902" w:type="dxa"/>
            <w:vAlign w:val="center"/>
          </w:tcPr>
          <w:p w14:paraId="4DDB44AF">
            <w:pPr>
              <w:jc w:val="center"/>
              <w:rPr>
                <w:rFonts w:ascii="宋体" w:hAnsi="宋体"/>
                <w:color w:val="auto"/>
                <w:szCs w:val="21"/>
              </w:rPr>
            </w:pPr>
          </w:p>
        </w:tc>
        <w:tc>
          <w:tcPr>
            <w:tcW w:w="1370" w:type="dxa"/>
            <w:vAlign w:val="center"/>
          </w:tcPr>
          <w:p w14:paraId="48E9C9FB">
            <w:pPr>
              <w:jc w:val="center"/>
              <w:rPr>
                <w:rFonts w:ascii="宋体" w:hAnsi="宋体"/>
                <w:color w:val="auto"/>
                <w:szCs w:val="21"/>
              </w:rPr>
            </w:pPr>
          </w:p>
        </w:tc>
        <w:tc>
          <w:tcPr>
            <w:tcW w:w="1629" w:type="dxa"/>
            <w:vAlign w:val="center"/>
          </w:tcPr>
          <w:p w14:paraId="078AAD52">
            <w:pPr>
              <w:jc w:val="center"/>
              <w:rPr>
                <w:rFonts w:ascii="宋体" w:hAnsi="宋体"/>
                <w:color w:val="auto"/>
                <w:szCs w:val="21"/>
              </w:rPr>
            </w:pPr>
          </w:p>
        </w:tc>
        <w:tc>
          <w:tcPr>
            <w:tcW w:w="1239" w:type="dxa"/>
            <w:vAlign w:val="center"/>
          </w:tcPr>
          <w:p w14:paraId="1FF39E21">
            <w:pPr>
              <w:jc w:val="center"/>
              <w:rPr>
                <w:rFonts w:ascii="宋体" w:hAnsi="宋体"/>
                <w:color w:val="auto"/>
                <w:szCs w:val="21"/>
              </w:rPr>
            </w:pPr>
          </w:p>
        </w:tc>
        <w:tc>
          <w:tcPr>
            <w:tcW w:w="1544" w:type="dxa"/>
            <w:vAlign w:val="center"/>
          </w:tcPr>
          <w:p w14:paraId="180EB65F">
            <w:pPr>
              <w:jc w:val="center"/>
              <w:rPr>
                <w:rFonts w:ascii="宋体" w:hAnsi="宋体"/>
                <w:color w:val="auto"/>
                <w:szCs w:val="21"/>
              </w:rPr>
            </w:pPr>
          </w:p>
        </w:tc>
      </w:tr>
      <w:tr w14:paraId="25B36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1C3899CE">
            <w:pPr>
              <w:jc w:val="center"/>
              <w:rPr>
                <w:rFonts w:ascii="宋体" w:hAnsi="宋体"/>
                <w:color w:val="auto"/>
                <w:szCs w:val="21"/>
              </w:rPr>
            </w:pPr>
          </w:p>
        </w:tc>
        <w:tc>
          <w:tcPr>
            <w:tcW w:w="1902" w:type="dxa"/>
            <w:vAlign w:val="center"/>
          </w:tcPr>
          <w:p w14:paraId="007CD4D7">
            <w:pPr>
              <w:jc w:val="center"/>
              <w:rPr>
                <w:rFonts w:ascii="宋体" w:hAnsi="宋体"/>
                <w:color w:val="auto"/>
                <w:szCs w:val="21"/>
              </w:rPr>
            </w:pPr>
          </w:p>
        </w:tc>
        <w:tc>
          <w:tcPr>
            <w:tcW w:w="1370" w:type="dxa"/>
            <w:vAlign w:val="center"/>
          </w:tcPr>
          <w:p w14:paraId="3BFF1CB6">
            <w:pPr>
              <w:jc w:val="center"/>
              <w:rPr>
                <w:rFonts w:ascii="宋体" w:hAnsi="宋体"/>
                <w:color w:val="auto"/>
                <w:szCs w:val="21"/>
              </w:rPr>
            </w:pPr>
          </w:p>
        </w:tc>
        <w:tc>
          <w:tcPr>
            <w:tcW w:w="1629" w:type="dxa"/>
            <w:vAlign w:val="center"/>
          </w:tcPr>
          <w:p w14:paraId="67EB298E">
            <w:pPr>
              <w:jc w:val="center"/>
              <w:rPr>
                <w:rFonts w:ascii="宋体" w:hAnsi="宋体"/>
                <w:color w:val="auto"/>
                <w:szCs w:val="21"/>
              </w:rPr>
            </w:pPr>
          </w:p>
        </w:tc>
        <w:tc>
          <w:tcPr>
            <w:tcW w:w="1239" w:type="dxa"/>
            <w:vAlign w:val="center"/>
          </w:tcPr>
          <w:p w14:paraId="250E35C7">
            <w:pPr>
              <w:jc w:val="center"/>
              <w:rPr>
                <w:rFonts w:ascii="宋体" w:hAnsi="宋体"/>
                <w:color w:val="auto"/>
                <w:szCs w:val="21"/>
              </w:rPr>
            </w:pPr>
          </w:p>
        </w:tc>
        <w:tc>
          <w:tcPr>
            <w:tcW w:w="1544" w:type="dxa"/>
            <w:vAlign w:val="center"/>
          </w:tcPr>
          <w:p w14:paraId="0674AA91">
            <w:pPr>
              <w:jc w:val="center"/>
              <w:rPr>
                <w:rFonts w:ascii="宋体" w:hAnsi="宋体"/>
                <w:color w:val="auto"/>
                <w:szCs w:val="21"/>
              </w:rPr>
            </w:pPr>
          </w:p>
        </w:tc>
      </w:tr>
    </w:tbl>
    <w:p w14:paraId="7C067059">
      <w:pPr>
        <w:rPr>
          <w:rFonts w:ascii="宋体" w:hAnsi="宋体"/>
          <w:color w:val="auto"/>
          <w:szCs w:val="21"/>
        </w:rPr>
      </w:pPr>
    </w:p>
    <w:p w14:paraId="251F4F24">
      <w:pPr>
        <w:rPr>
          <w:rFonts w:ascii="宋体" w:hAnsi="宋体"/>
          <w:color w:val="auto"/>
          <w:szCs w:val="21"/>
        </w:rPr>
      </w:pPr>
      <w:r>
        <w:rPr>
          <w:rFonts w:hint="eastAsia" w:ascii="宋体" w:hAnsi="宋体"/>
          <w:color w:val="auto"/>
          <w:szCs w:val="21"/>
        </w:rPr>
        <w:t>投标人代表签字：</w:t>
      </w:r>
    </w:p>
    <w:p w14:paraId="15ED4A87">
      <w:pPr>
        <w:rPr>
          <w:rFonts w:ascii="宋体" w:hAnsi="宋体"/>
          <w:color w:val="auto"/>
          <w:szCs w:val="21"/>
        </w:rPr>
      </w:pPr>
      <w:r>
        <w:rPr>
          <w:rFonts w:hint="eastAsia" w:ascii="宋体" w:hAnsi="宋体"/>
          <w:color w:val="auto"/>
          <w:szCs w:val="21"/>
        </w:rPr>
        <w:t>投标人盖章：</w:t>
      </w:r>
    </w:p>
    <w:p w14:paraId="65AC62EF">
      <w:pPr>
        <w:ind w:firstLine="178" w:firstLineChars="85"/>
        <w:rPr>
          <w:rFonts w:ascii="宋体" w:hAnsi="宋体"/>
          <w:color w:val="auto"/>
          <w:szCs w:val="21"/>
        </w:rPr>
      </w:pPr>
    </w:p>
    <w:p w14:paraId="4E23F898">
      <w:pPr>
        <w:rPr>
          <w:rFonts w:ascii="宋体" w:hAnsi="宋体"/>
          <w:color w:val="auto"/>
          <w:szCs w:val="21"/>
        </w:rPr>
      </w:pPr>
      <w:r>
        <w:rPr>
          <w:rFonts w:hint="eastAsia" w:ascii="宋体" w:hAnsi="宋体"/>
          <w:color w:val="auto"/>
          <w:szCs w:val="21"/>
        </w:rPr>
        <w:t>注：</w:t>
      </w:r>
    </w:p>
    <w:p w14:paraId="29E47F8C">
      <w:pPr>
        <w:rPr>
          <w:rFonts w:ascii="宋体" w:hAnsi="宋体"/>
          <w:color w:val="auto"/>
          <w:szCs w:val="21"/>
          <w:highlight w:val="none"/>
        </w:rPr>
      </w:pPr>
      <w:r>
        <w:rPr>
          <w:rFonts w:hint="eastAsia" w:ascii="宋体" w:hAnsi="宋体"/>
          <w:color w:val="auto"/>
          <w:szCs w:val="21"/>
        </w:rPr>
        <w:t>1、投标人</w:t>
      </w:r>
      <w:r>
        <w:rPr>
          <w:rFonts w:hint="eastAsia" w:ascii="宋体" w:hAnsi="宋体"/>
          <w:color w:val="auto"/>
          <w:szCs w:val="21"/>
          <w:highlight w:val="none"/>
        </w:rPr>
        <w:t>应对照采购文件技术需求书中技术规格，说明所提供服务已对采购文件的技术规格做出了实质性的响应，并申明与技术规格条文的偏差和例外。特别对有具体参数要求的指标，投标人必须提供所投设备的具体参数值。</w:t>
      </w:r>
    </w:p>
    <w:p w14:paraId="3DA75742">
      <w:pPr>
        <w:rPr>
          <w:rFonts w:ascii="宋体" w:hAnsi="宋体"/>
          <w:color w:val="auto"/>
          <w:szCs w:val="21"/>
          <w:highlight w:val="none"/>
        </w:rPr>
      </w:pPr>
      <w:r>
        <w:rPr>
          <w:rFonts w:hint="eastAsia" w:ascii="宋体" w:hAnsi="宋体"/>
          <w:color w:val="auto"/>
          <w:szCs w:val="21"/>
          <w:highlight w:val="none"/>
        </w:rPr>
        <w:t>2、</w:t>
      </w:r>
      <w:r>
        <w:rPr>
          <w:rFonts w:hint="eastAsia" w:hAnsi="宋体" w:cs="宋体"/>
          <w:color w:val="auto"/>
          <w:szCs w:val="21"/>
          <w:highlight w:val="none"/>
        </w:rPr>
        <w:t>不论出于何种原因此表未填写</w:t>
      </w:r>
      <w:r>
        <w:rPr>
          <w:rFonts w:hint="eastAsia" w:ascii="宋体" w:hAnsi="宋体"/>
          <w:color w:val="auto"/>
          <w:szCs w:val="21"/>
          <w:highlight w:val="none"/>
        </w:rPr>
        <w:t>完整</w:t>
      </w:r>
      <w:r>
        <w:rPr>
          <w:rFonts w:hint="eastAsia" w:hAnsi="宋体" w:cs="宋体"/>
          <w:color w:val="auto"/>
          <w:szCs w:val="21"/>
          <w:highlight w:val="none"/>
        </w:rPr>
        <w:t>，投标人都被认为已清楚了解采购文件“技术需求书”的内容并对采购人所需的服务要求作全面响应，投标人必须承担完成“技术需求书”所描述内容的义务</w:t>
      </w:r>
      <w:r>
        <w:rPr>
          <w:rFonts w:hint="eastAsia" w:ascii="宋体" w:hAnsi="宋体"/>
          <w:color w:val="auto"/>
          <w:szCs w:val="21"/>
          <w:highlight w:val="none"/>
        </w:rPr>
        <w:t>，因此对投标人投标产生负面影响的，投标人自行承担后果。</w:t>
      </w:r>
    </w:p>
    <w:p w14:paraId="45A9A03C">
      <w:pPr>
        <w:rPr>
          <w:rFonts w:ascii="宋体" w:hAnsi="宋体"/>
          <w:color w:val="auto"/>
          <w:szCs w:val="21"/>
          <w:highlight w:val="none"/>
        </w:rPr>
      </w:pPr>
      <w:r>
        <w:rPr>
          <w:rFonts w:hint="eastAsia" w:ascii="宋体" w:hAnsi="宋体"/>
          <w:color w:val="auto"/>
          <w:szCs w:val="21"/>
          <w:highlight w:val="none"/>
        </w:rPr>
        <w:t>3、</w:t>
      </w:r>
      <w:r>
        <w:rPr>
          <w:rFonts w:hint="eastAsia" w:hAnsi="宋体" w:cs="宋体"/>
          <w:color w:val="auto"/>
          <w:szCs w:val="21"/>
          <w:highlight w:val="none"/>
        </w:rPr>
        <w:t>如有偏离，应在“偏离情况”栏内注明“正”、“负”或“无”，并在“说明”栏内予以说明。</w:t>
      </w:r>
    </w:p>
    <w:p w14:paraId="3ED9D0B1">
      <w:pPr>
        <w:rPr>
          <w:rFonts w:ascii="宋体" w:hAnsi="宋体"/>
          <w:color w:val="auto"/>
          <w:szCs w:val="21"/>
          <w:highlight w:val="none"/>
        </w:rPr>
      </w:pPr>
      <w:r>
        <w:rPr>
          <w:rFonts w:hint="eastAsia" w:ascii="宋体" w:hAnsi="宋体"/>
          <w:color w:val="auto"/>
          <w:szCs w:val="21"/>
          <w:highlight w:val="none"/>
        </w:rPr>
        <w:t>4、</w:t>
      </w:r>
      <w:r>
        <w:rPr>
          <w:rFonts w:hint="eastAsia" w:hAnsi="宋体" w:cs="宋体"/>
          <w:color w:val="auto"/>
          <w:szCs w:val="21"/>
          <w:highlight w:val="none"/>
        </w:rPr>
        <w:t>如投标人差异内容较多可另附页说明。</w:t>
      </w:r>
    </w:p>
    <w:p w14:paraId="7B8CC3C2">
      <w:pPr>
        <w:rPr>
          <w:rFonts w:ascii="宋体" w:hAnsi="宋体"/>
          <w:color w:val="auto"/>
          <w:szCs w:val="21"/>
          <w:highlight w:val="none"/>
        </w:rPr>
      </w:pPr>
      <w:r>
        <w:rPr>
          <w:rFonts w:hint="eastAsia" w:ascii="宋体" w:hAnsi="宋体"/>
          <w:color w:val="auto"/>
          <w:szCs w:val="21"/>
          <w:highlight w:val="none"/>
        </w:rPr>
        <w:t>5、</w:t>
      </w:r>
      <w:r>
        <w:rPr>
          <w:rFonts w:hint="eastAsia" w:hAnsi="宋体" w:cs="宋体"/>
          <w:color w:val="auto"/>
          <w:szCs w:val="21"/>
          <w:highlight w:val="none"/>
        </w:rPr>
        <w:t>如投标人对用户需求书商务要求的条款全部响应的，也可以在表格下面用文字总括性的说明。</w:t>
      </w:r>
    </w:p>
    <w:p w14:paraId="502D60B3">
      <w:pPr>
        <w:adjustRightInd/>
        <w:snapToGrid/>
        <w:spacing w:line="276" w:lineRule="auto"/>
        <w:rPr>
          <w:color w:val="auto"/>
          <w:highlight w:val="none"/>
        </w:rPr>
      </w:pPr>
    </w:p>
    <w:p w14:paraId="1BDEC2C8">
      <w:pPr>
        <w:adjustRightInd/>
        <w:snapToGrid/>
        <w:spacing w:line="276" w:lineRule="auto"/>
        <w:rPr>
          <w:color w:val="auto"/>
        </w:rPr>
      </w:pPr>
    </w:p>
    <w:p w14:paraId="0B0ECD7B">
      <w:pPr>
        <w:rPr>
          <w:rFonts w:ascii="宋体" w:hAnsi="宋体"/>
          <w:color w:val="auto"/>
          <w:szCs w:val="21"/>
        </w:rPr>
      </w:pPr>
      <w:bookmarkStart w:id="285" w:name="_Toc17691"/>
      <w:r>
        <w:rPr>
          <w:rFonts w:hint="eastAsia" w:ascii="宋体" w:hAnsi="宋体"/>
          <w:color w:val="auto"/>
          <w:szCs w:val="21"/>
        </w:rPr>
        <w:br w:type="page"/>
      </w:r>
    </w:p>
    <w:bookmarkEnd w:id="285"/>
    <w:p w14:paraId="547A39CE">
      <w:pPr>
        <w:pStyle w:val="5"/>
        <w:widowControl w:val="0"/>
        <w:overflowPunct w:val="0"/>
        <w:spacing w:line="240" w:lineRule="auto"/>
        <w:rPr>
          <w:rFonts w:ascii="宋体" w:hAnsi="宋体"/>
          <w:color w:val="auto"/>
          <w:sz w:val="21"/>
          <w:szCs w:val="21"/>
        </w:rPr>
      </w:pPr>
      <w:bookmarkStart w:id="286" w:name="_Toc13243"/>
      <w:r>
        <w:rPr>
          <w:rFonts w:hint="eastAsia" w:ascii="宋体" w:hAnsi="宋体"/>
          <w:color w:val="auto"/>
          <w:sz w:val="21"/>
          <w:szCs w:val="21"/>
        </w:rPr>
        <w:t>附件1</w:t>
      </w:r>
      <w:r>
        <w:rPr>
          <w:rFonts w:hint="eastAsia" w:ascii="宋体" w:hAnsi="宋体"/>
          <w:color w:val="auto"/>
          <w:sz w:val="21"/>
          <w:szCs w:val="21"/>
          <w:lang w:val="en-US" w:eastAsia="zh-CN"/>
        </w:rPr>
        <w:t>4</w:t>
      </w:r>
      <w:r>
        <w:rPr>
          <w:rFonts w:hint="eastAsia" w:ascii="宋体" w:hAnsi="宋体"/>
          <w:color w:val="auto"/>
          <w:sz w:val="21"/>
          <w:szCs w:val="21"/>
        </w:rPr>
        <w:t>.项目实施方案格式</w:t>
      </w:r>
      <w:bookmarkEnd w:id="286"/>
    </w:p>
    <w:p w14:paraId="10E24B26">
      <w:pPr>
        <w:jc w:val="center"/>
        <w:rPr>
          <w:rFonts w:ascii="黑体" w:eastAsia="黑体"/>
          <w:color w:val="auto"/>
          <w:sz w:val="32"/>
          <w:szCs w:val="32"/>
        </w:rPr>
      </w:pPr>
    </w:p>
    <w:p w14:paraId="692B58AD">
      <w:pPr>
        <w:jc w:val="center"/>
        <w:rPr>
          <w:rFonts w:ascii="黑体" w:eastAsia="黑体"/>
          <w:color w:val="auto"/>
          <w:sz w:val="32"/>
          <w:szCs w:val="32"/>
        </w:rPr>
      </w:pPr>
      <w:r>
        <w:rPr>
          <w:rFonts w:hint="eastAsia" w:ascii="黑体" w:eastAsia="黑体"/>
          <w:color w:val="auto"/>
          <w:sz w:val="32"/>
          <w:szCs w:val="32"/>
        </w:rPr>
        <w:t>项目实施方案</w:t>
      </w:r>
    </w:p>
    <w:p w14:paraId="2691C172">
      <w:pPr>
        <w:jc w:val="center"/>
        <w:rPr>
          <w:rFonts w:ascii="黑体" w:eastAsia="黑体"/>
          <w:color w:val="auto"/>
          <w:sz w:val="32"/>
          <w:szCs w:val="32"/>
        </w:rPr>
      </w:pPr>
    </w:p>
    <w:p w14:paraId="42BEA01C">
      <w:pPr>
        <w:ind w:left="718" w:leftChars="200" w:hanging="298" w:hangingChars="142"/>
        <w:rPr>
          <w:rFonts w:ascii="宋体" w:hAnsi="宋体"/>
          <w:color w:val="auto"/>
          <w:szCs w:val="21"/>
        </w:rPr>
      </w:pPr>
      <w:r>
        <w:rPr>
          <w:rFonts w:hint="eastAsia" w:ascii="宋体" w:hAnsi="宋体"/>
          <w:color w:val="auto"/>
          <w:szCs w:val="21"/>
        </w:rPr>
        <w:t>1、为完成本项目投标人临时投入的设备</w:t>
      </w:r>
    </w:p>
    <w:p w14:paraId="5F0E47BB">
      <w:pPr>
        <w:ind w:left="718" w:leftChars="200" w:hanging="298" w:hangingChars="142"/>
        <w:rPr>
          <w:rFonts w:ascii="宋体" w:hAnsi="宋体"/>
          <w:color w:val="auto"/>
          <w:szCs w:val="21"/>
        </w:rPr>
      </w:pPr>
      <w:r>
        <w:rPr>
          <w:rFonts w:hint="eastAsia" w:ascii="宋体" w:hAnsi="宋体"/>
          <w:color w:val="auto"/>
          <w:szCs w:val="21"/>
        </w:rPr>
        <w:t>2、为完成本项目投标人投入的人员以及具体工作安排</w:t>
      </w:r>
    </w:p>
    <w:p w14:paraId="55AB96E2">
      <w:pPr>
        <w:ind w:left="718" w:leftChars="200" w:hanging="298" w:hangingChars="142"/>
        <w:rPr>
          <w:rFonts w:ascii="宋体" w:hAnsi="宋体"/>
          <w:color w:val="auto"/>
          <w:szCs w:val="21"/>
        </w:rPr>
      </w:pPr>
      <w:r>
        <w:rPr>
          <w:rFonts w:hint="eastAsia" w:ascii="宋体" w:hAnsi="宋体"/>
          <w:color w:val="auto"/>
          <w:szCs w:val="21"/>
        </w:rPr>
        <w:t>3、投标人为本项目制定的具体项目实施方案与项目实施流程</w:t>
      </w:r>
    </w:p>
    <w:p w14:paraId="00AF3CFC">
      <w:pPr>
        <w:ind w:left="718" w:leftChars="200" w:hanging="298" w:hangingChars="142"/>
        <w:rPr>
          <w:rFonts w:ascii="宋体" w:hAnsi="宋体"/>
          <w:color w:val="auto"/>
          <w:szCs w:val="21"/>
        </w:rPr>
      </w:pPr>
      <w:r>
        <w:rPr>
          <w:rFonts w:hint="eastAsia" w:ascii="宋体" w:hAnsi="宋体"/>
          <w:color w:val="auto"/>
          <w:szCs w:val="21"/>
        </w:rPr>
        <w:t>4、服务方案</w:t>
      </w:r>
    </w:p>
    <w:p w14:paraId="0A2228AF">
      <w:pPr>
        <w:ind w:left="718" w:leftChars="200" w:hanging="298" w:hangingChars="142"/>
        <w:rPr>
          <w:rFonts w:ascii="宋体" w:hAnsi="宋体"/>
          <w:color w:val="auto"/>
          <w:szCs w:val="21"/>
        </w:rPr>
      </w:pPr>
      <w:r>
        <w:rPr>
          <w:rFonts w:hint="eastAsia" w:ascii="宋体" w:hAnsi="宋体"/>
          <w:color w:val="auto"/>
          <w:szCs w:val="21"/>
        </w:rPr>
        <w:t>5、..........</w:t>
      </w:r>
    </w:p>
    <w:p w14:paraId="3D84D3A8">
      <w:pPr>
        <w:ind w:left="718" w:leftChars="200" w:hanging="298" w:hangingChars="142"/>
        <w:rPr>
          <w:rFonts w:ascii="宋体" w:hAnsi="宋体" w:cs="Times New Roman"/>
          <w:color w:val="auto"/>
          <w:szCs w:val="21"/>
        </w:rPr>
      </w:pPr>
      <w:r>
        <w:rPr>
          <w:rFonts w:hint="eastAsia" w:ascii="宋体" w:hAnsi="宋体"/>
          <w:color w:val="auto"/>
          <w:szCs w:val="21"/>
        </w:rPr>
        <w:t>自行编写。</w:t>
      </w:r>
    </w:p>
    <w:p w14:paraId="1E4E708B">
      <w:pPr>
        <w:ind w:left="718" w:leftChars="200" w:hanging="298" w:hangingChars="142"/>
        <w:rPr>
          <w:rFonts w:ascii="宋体" w:hAnsi="宋体"/>
          <w:color w:val="auto"/>
          <w:szCs w:val="21"/>
        </w:rPr>
      </w:pPr>
    </w:p>
    <w:p w14:paraId="304E7203">
      <w:pPr>
        <w:ind w:left="718" w:leftChars="200" w:hanging="298" w:hangingChars="142"/>
        <w:rPr>
          <w:rFonts w:ascii="宋体" w:hAnsi="宋体"/>
          <w:color w:val="auto"/>
          <w:szCs w:val="21"/>
        </w:rPr>
      </w:pPr>
    </w:p>
    <w:p w14:paraId="18D76FBB">
      <w:pPr>
        <w:ind w:left="718" w:leftChars="200" w:hanging="298" w:hangingChars="142"/>
        <w:rPr>
          <w:rFonts w:ascii="宋体" w:hAnsi="宋体"/>
          <w:color w:val="auto"/>
          <w:szCs w:val="21"/>
        </w:rPr>
      </w:pPr>
      <w:r>
        <w:rPr>
          <w:rFonts w:hint="eastAsia" w:ascii="宋体" w:hAnsi="宋体"/>
          <w:color w:val="auto"/>
          <w:szCs w:val="21"/>
        </w:rPr>
        <w:br w:type="page"/>
      </w:r>
    </w:p>
    <w:p w14:paraId="5F11DE7E">
      <w:pPr>
        <w:pStyle w:val="5"/>
        <w:widowControl w:val="0"/>
        <w:overflowPunct w:val="0"/>
        <w:spacing w:line="240" w:lineRule="auto"/>
        <w:rPr>
          <w:rFonts w:ascii="宋体" w:hAnsi="宋体"/>
          <w:color w:val="auto"/>
          <w:sz w:val="21"/>
          <w:szCs w:val="21"/>
        </w:rPr>
      </w:pPr>
      <w:bookmarkStart w:id="287" w:name="_Toc21483"/>
      <w:r>
        <w:rPr>
          <w:rFonts w:hint="eastAsia" w:ascii="宋体" w:hAnsi="宋体"/>
          <w:color w:val="auto"/>
          <w:sz w:val="21"/>
          <w:szCs w:val="21"/>
        </w:rPr>
        <w:t>附件1</w:t>
      </w:r>
      <w:r>
        <w:rPr>
          <w:rFonts w:hint="eastAsia" w:ascii="宋体" w:hAnsi="宋体"/>
          <w:color w:val="auto"/>
          <w:sz w:val="21"/>
          <w:szCs w:val="21"/>
          <w:lang w:val="en-US" w:eastAsia="zh-CN"/>
        </w:rPr>
        <w:t>5</w:t>
      </w:r>
      <w:r>
        <w:rPr>
          <w:rFonts w:hint="eastAsia" w:ascii="宋体" w:hAnsi="宋体"/>
          <w:color w:val="auto"/>
          <w:sz w:val="21"/>
          <w:szCs w:val="21"/>
        </w:rPr>
        <w:t>.实施本项目的有关人员资料表格式</w:t>
      </w:r>
      <w:bookmarkEnd w:id="287"/>
    </w:p>
    <w:p w14:paraId="6AC82EB3">
      <w:pPr>
        <w:jc w:val="center"/>
        <w:rPr>
          <w:rFonts w:ascii="宋体" w:hAnsi="宋体"/>
          <w:color w:val="auto"/>
          <w:szCs w:val="21"/>
        </w:rPr>
      </w:pPr>
    </w:p>
    <w:p w14:paraId="0855D9D3">
      <w:pPr>
        <w:jc w:val="center"/>
        <w:rPr>
          <w:rFonts w:ascii="黑体" w:eastAsia="黑体"/>
          <w:color w:val="auto"/>
          <w:sz w:val="32"/>
          <w:szCs w:val="32"/>
        </w:rPr>
      </w:pPr>
      <w:r>
        <w:rPr>
          <w:rFonts w:hint="eastAsia" w:ascii="黑体" w:eastAsia="黑体"/>
          <w:color w:val="auto"/>
          <w:sz w:val="32"/>
          <w:szCs w:val="32"/>
        </w:rPr>
        <w:t>实施本项目的有关人员资料表</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702"/>
        <w:gridCol w:w="1861"/>
        <w:gridCol w:w="702"/>
        <w:gridCol w:w="702"/>
        <w:gridCol w:w="1164"/>
        <w:gridCol w:w="818"/>
        <w:gridCol w:w="1165"/>
        <w:gridCol w:w="703"/>
      </w:tblGrid>
      <w:tr w14:paraId="5133C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79408E9E">
            <w:pPr>
              <w:jc w:val="center"/>
              <w:rPr>
                <w:rFonts w:ascii="宋体" w:hAnsi="宋体"/>
                <w:color w:val="auto"/>
                <w:szCs w:val="21"/>
              </w:rPr>
            </w:pPr>
            <w:r>
              <w:rPr>
                <w:rFonts w:hint="eastAsia" w:ascii="宋体" w:hAnsi="宋体"/>
                <w:color w:val="auto"/>
                <w:szCs w:val="21"/>
              </w:rPr>
              <w:t>序号</w:t>
            </w:r>
          </w:p>
        </w:tc>
        <w:tc>
          <w:tcPr>
            <w:tcW w:w="412" w:type="pct"/>
            <w:vAlign w:val="center"/>
          </w:tcPr>
          <w:p w14:paraId="5CF3B1C5">
            <w:pPr>
              <w:jc w:val="center"/>
              <w:rPr>
                <w:rFonts w:ascii="宋体" w:hAnsi="宋体"/>
                <w:color w:val="auto"/>
                <w:szCs w:val="21"/>
              </w:rPr>
            </w:pPr>
            <w:r>
              <w:rPr>
                <w:rFonts w:hint="eastAsia" w:ascii="宋体" w:hAnsi="宋体"/>
                <w:color w:val="auto"/>
                <w:szCs w:val="21"/>
              </w:rPr>
              <w:t>姓名</w:t>
            </w:r>
          </w:p>
        </w:tc>
        <w:tc>
          <w:tcPr>
            <w:tcW w:w="1092" w:type="pct"/>
            <w:vAlign w:val="center"/>
          </w:tcPr>
          <w:p w14:paraId="19158595">
            <w:pPr>
              <w:jc w:val="center"/>
              <w:rPr>
                <w:rFonts w:ascii="宋体" w:hAnsi="宋体"/>
                <w:color w:val="auto"/>
                <w:szCs w:val="21"/>
              </w:rPr>
            </w:pPr>
            <w:r>
              <w:rPr>
                <w:rFonts w:hint="eastAsia" w:ascii="宋体" w:hAnsi="宋体"/>
                <w:color w:val="auto"/>
                <w:szCs w:val="21"/>
              </w:rPr>
              <w:t>本项目拟任岗位</w:t>
            </w:r>
          </w:p>
        </w:tc>
        <w:tc>
          <w:tcPr>
            <w:tcW w:w="412" w:type="pct"/>
            <w:vAlign w:val="center"/>
          </w:tcPr>
          <w:p w14:paraId="5873F011">
            <w:pPr>
              <w:jc w:val="center"/>
              <w:rPr>
                <w:rFonts w:ascii="宋体" w:hAnsi="宋体"/>
                <w:color w:val="auto"/>
                <w:szCs w:val="21"/>
              </w:rPr>
            </w:pPr>
            <w:r>
              <w:rPr>
                <w:rFonts w:hint="eastAsia" w:ascii="宋体" w:hAnsi="宋体"/>
                <w:color w:val="auto"/>
                <w:szCs w:val="21"/>
              </w:rPr>
              <w:t>性别</w:t>
            </w:r>
          </w:p>
        </w:tc>
        <w:tc>
          <w:tcPr>
            <w:tcW w:w="412" w:type="pct"/>
            <w:vAlign w:val="center"/>
          </w:tcPr>
          <w:p w14:paraId="5C157F92">
            <w:pPr>
              <w:jc w:val="center"/>
              <w:rPr>
                <w:rFonts w:ascii="宋体" w:hAnsi="宋体"/>
                <w:color w:val="auto"/>
                <w:szCs w:val="21"/>
              </w:rPr>
            </w:pPr>
            <w:r>
              <w:rPr>
                <w:rFonts w:hint="eastAsia" w:ascii="宋体" w:hAnsi="宋体"/>
                <w:color w:val="auto"/>
                <w:szCs w:val="21"/>
              </w:rPr>
              <w:t>年龄</w:t>
            </w:r>
          </w:p>
        </w:tc>
        <w:tc>
          <w:tcPr>
            <w:tcW w:w="683" w:type="pct"/>
            <w:vAlign w:val="center"/>
          </w:tcPr>
          <w:p w14:paraId="7D67DC28">
            <w:pPr>
              <w:jc w:val="center"/>
              <w:rPr>
                <w:rFonts w:ascii="宋体" w:hAnsi="宋体"/>
                <w:color w:val="auto"/>
                <w:szCs w:val="21"/>
              </w:rPr>
            </w:pPr>
            <w:r>
              <w:rPr>
                <w:rFonts w:hint="eastAsia" w:ascii="宋体" w:hAnsi="宋体"/>
                <w:color w:val="auto"/>
                <w:szCs w:val="21"/>
              </w:rPr>
              <w:t>技术职称</w:t>
            </w:r>
          </w:p>
        </w:tc>
        <w:tc>
          <w:tcPr>
            <w:tcW w:w="480" w:type="pct"/>
            <w:vAlign w:val="center"/>
          </w:tcPr>
          <w:p w14:paraId="28D7EDA8">
            <w:pPr>
              <w:jc w:val="center"/>
              <w:rPr>
                <w:rFonts w:ascii="宋体" w:hAnsi="宋体"/>
                <w:color w:val="auto"/>
                <w:szCs w:val="21"/>
              </w:rPr>
            </w:pPr>
            <w:r>
              <w:rPr>
                <w:rFonts w:hint="eastAsia" w:ascii="宋体" w:hAnsi="宋体"/>
                <w:color w:val="auto"/>
                <w:szCs w:val="21"/>
              </w:rPr>
              <w:t>专 业</w:t>
            </w:r>
          </w:p>
        </w:tc>
        <w:tc>
          <w:tcPr>
            <w:tcW w:w="683" w:type="pct"/>
            <w:vAlign w:val="center"/>
          </w:tcPr>
          <w:p w14:paraId="4A56BB24">
            <w:pPr>
              <w:jc w:val="center"/>
              <w:rPr>
                <w:rFonts w:ascii="宋体" w:hAnsi="宋体"/>
                <w:color w:val="auto"/>
                <w:szCs w:val="21"/>
              </w:rPr>
            </w:pPr>
            <w:r>
              <w:rPr>
                <w:rFonts w:hint="eastAsia" w:ascii="宋体" w:hAnsi="宋体"/>
                <w:color w:val="auto"/>
                <w:szCs w:val="21"/>
              </w:rPr>
              <w:t>资质证书</w:t>
            </w:r>
          </w:p>
        </w:tc>
        <w:tc>
          <w:tcPr>
            <w:tcW w:w="412" w:type="pct"/>
            <w:tcBorders>
              <w:right w:val="single" w:color="auto" w:sz="6" w:space="0"/>
            </w:tcBorders>
            <w:vAlign w:val="center"/>
          </w:tcPr>
          <w:p w14:paraId="3FB9A4B5">
            <w:pPr>
              <w:jc w:val="center"/>
              <w:rPr>
                <w:rFonts w:ascii="宋体" w:hAnsi="宋体"/>
                <w:color w:val="auto"/>
                <w:szCs w:val="21"/>
              </w:rPr>
            </w:pPr>
            <w:r>
              <w:rPr>
                <w:rFonts w:hint="eastAsia" w:ascii="宋体" w:hAnsi="宋体"/>
                <w:color w:val="auto"/>
                <w:szCs w:val="21"/>
              </w:rPr>
              <w:t>备注</w:t>
            </w:r>
          </w:p>
        </w:tc>
      </w:tr>
      <w:tr w14:paraId="5816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0F8C7B1B">
            <w:pPr>
              <w:spacing w:line="288" w:lineRule="auto"/>
              <w:jc w:val="center"/>
              <w:rPr>
                <w:rFonts w:ascii="宋体" w:hAnsi="宋体"/>
                <w:color w:val="auto"/>
                <w:szCs w:val="21"/>
              </w:rPr>
            </w:pPr>
          </w:p>
        </w:tc>
        <w:tc>
          <w:tcPr>
            <w:tcW w:w="412" w:type="pct"/>
            <w:vAlign w:val="center"/>
          </w:tcPr>
          <w:p w14:paraId="24A9B130">
            <w:pPr>
              <w:spacing w:line="288" w:lineRule="auto"/>
              <w:jc w:val="center"/>
              <w:rPr>
                <w:rFonts w:ascii="宋体" w:hAnsi="宋体"/>
                <w:color w:val="auto"/>
                <w:szCs w:val="21"/>
              </w:rPr>
            </w:pPr>
          </w:p>
        </w:tc>
        <w:tc>
          <w:tcPr>
            <w:tcW w:w="1092" w:type="pct"/>
            <w:vAlign w:val="center"/>
          </w:tcPr>
          <w:p w14:paraId="1D0CC83B">
            <w:pPr>
              <w:spacing w:line="288" w:lineRule="auto"/>
              <w:jc w:val="center"/>
              <w:rPr>
                <w:rFonts w:ascii="宋体" w:hAnsi="宋体"/>
                <w:color w:val="auto"/>
                <w:szCs w:val="21"/>
              </w:rPr>
            </w:pPr>
          </w:p>
        </w:tc>
        <w:tc>
          <w:tcPr>
            <w:tcW w:w="412" w:type="pct"/>
            <w:vAlign w:val="center"/>
          </w:tcPr>
          <w:p w14:paraId="71938989">
            <w:pPr>
              <w:spacing w:line="288" w:lineRule="auto"/>
              <w:jc w:val="center"/>
              <w:rPr>
                <w:rFonts w:ascii="宋体" w:hAnsi="宋体"/>
                <w:color w:val="auto"/>
                <w:szCs w:val="21"/>
              </w:rPr>
            </w:pPr>
          </w:p>
        </w:tc>
        <w:tc>
          <w:tcPr>
            <w:tcW w:w="412" w:type="pct"/>
            <w:vAlign w:val="center"/>
          </w:tcPr>
          <w:p w14:paraId="27C51191">
            <w:pPr>
              <w:spacing w:line="288" w:lineRule="auto"/>
              <w:jc w:val="center"/>
              <w:rPr>
                <w:rFonts w:ascii="宋体" w:hAnsi="宋体"/>
                <w:color w:val="auto"/>
                <w:szCs w:val="21"/>
              </w:rPr>
            </w:pPr>
          </w:p>
        </w:tc>
        <w:tc>
          <w:tcPr>
            <w:tcW w:w="683" w:type="pct"/>
            <w:vAlign w:val="center"/>
          </w:tcPr>
          <w:p w14:paraId="422967D6">
            <w:pPr>
              <w:spacing w:line="288" w:lineRule="auto"/>
              <w:jc w:val="center"/>
              <w:rPr>
                <w:rFonts w:ascii="宋体" w:hAnsi="宋体"/>
                <w:color w:val="auto"/>
                <w:szCs w:val="21"/>
              </w:rPr>
            </w:pPr>
          </w:p>
        </w:tc>
        <w:tc>
          <w:tcPr>
            <w:tcW w:w="480" w:type="pct"/>
            <w:vAlign w:val="center"/>
          </w:tcPr>
          <w:p w14:paraId="45445448">
            <w:pPr>
              <w:spacing w:line="288" w:lineRule="auto"/>
              <w:jc w:val="center"/>
              <w:rPr>
                <w:rFonts w:ascii="宋体" w:hAnsi="宋体"/>
                <w:color w:val="auto"/>
                <w:szCs w:val="21"/>
              </w:rPr>
            </w:pPr>
          </w:p>
        </w:tc>
        <w:tc>
          <w:tcPr>
            <w:tcW w:w="683" w:type="pct"/>
            <w:vAlign w:val="center"/>
          </w:tcPr>
          <w:p w14:paraId="687A3743">
            <w:pPr>
              <w:spacing w:line="288" w:lineRule="auto"/>
              <w:jc w:val="center"/>
              <w:rPr>
                <w:rFonts w:ascii="宋体" w:hAnsi="宋体"/>
                <w:color w:val="auto"/>
                <w:szCs w:val="21"/>
              </w:rPr>
            </w:pPr>
          </w:p>
        </w:tc>
        <w:tc>
          <w:tcPr>
            <w:tcW w:w="412" w:type="pct"/>
            <w:tcBorders>
              <w:right w:val="single" w:color="auto" w:sz="6" w:space="0"/>
            </w:tcBorders>
            <w:vAlign w:val="center"/>
          </w:tcPr>
          <w:p w14:paraId="13B12D7D">
            <w:pPr>
              <w:spacing w:line="288" w:lineRule="auto"/>
              <w:jc w:val="center"/>
              <w:rPr>
                <w:rFonts w:ascii="宋体" w:hAnsi="宋体"/>
                <w:color w:val="auto"/>
                <w:szCs w:val="21"/>
              </w:rPr>
            </w:pPr>
          </w:p>
        </w:tc>
      </w:tr>
      <w:tr w14:paraId="36A0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326A4988">
            <w:pPr>
              <w:spacing w:line="288" w:lineRule="auto"/>
              <w:jc w:val="center"/>
              <w:rPr>
                <w:rFonts w:ascii="宋体" w:hAnsi="宋体"/>
                <w:color w:val="auto"/>
                <w:szCs w:val="21"/>
              </w:rPr>
            </w:pPr>
          </w:p>
        </w:tc>
        <w:tc>
          <w:tcPr>
            <w:tcW w:w="412" w:type="pct"/>
            <w:vAlign w:val="center"/>
          </w:tcPr>
          <w:p w14:paraId="1D555C32">
            <w:pPr>
              <w:spacing w:line="288" w:lineRule="auto"/>
              <w:jc w:val="center"/>
              <w:rPr>
                <w:rFonts w:ascii="宋体" w:hAnsi="宋体"/>
                <w:color w:val="auto"/>
                <w:szCs w:val="21"/>
              </w:rPr>
            </w:pPr>
          </w:p>
        </w:tc>
        <w:tc>
          <w:tcPr>
            <w:tcW w:w="1092" w:type="pct"/>
            <w:vAlign w:val="center"/>
          </w:tcPr>
          <w:p w14:paraId="05BABE51">
            <w:pPr>
              <w:spacing w:line="288" w:lineRule="auto"/>
              <w:jc w:val="center"/>
              <w:rPr>
                <w:rFonts w:ascii="宋体" w:hAnsi="宋体"/>
                <w:color w:val="auto"/>
                <w:szCs w:val="21"/>
              </w:rPr>
            </w:pPr>
          </w:p>
        </w:tc>
        <w:tc>
          <w:tcPr>
            <w:tcW w:w="412" w:type="pct"/>
            <w:vAlign w:val="center"/>
          </w:tcPr>
          <w:p w14:paraId="5D296CE6">
            <w:pPr>
              <w:spacing w:line="288" w:lineRule="auto"/>
              <w:jc w:val="center"/>
              <w:rPr>
                <w:rFonts w:ascii="宋体" w:hAnsi="宋体"/>
                <w:color w:val="auto"/>
                <w:szCs w:val="21"/>
              </w:rPr>
            </w:pPr>
          </w:p>
        </w:tc>
        <w:tc>
          <w:tcPr>
            <w:tcW w:w="412" w:type="pct"/>
            <w:vAlign w:val="center"/>
          </w:tcPr>
          <w:p w14:paraId="4C0D1807">
            <w:pPr>
              <w:spacing w:line="288" w:lineRule="auto"/>
              <w:jc w:val="center"/>
              <w:rPr>
                <w:rFonts w:ascii="宋体" w:hAnsi="宋体"/>
                <w:color w:val="auto"/>
                <w:szCs w:val="21"/>
              </w:rPr>
            </w:pPr>
          </w:p>
        </w:tc>
        <w:tc>
          <w:tcPr>
            <w:tcW w:w="683" w:type="pct"/>
            <w:vAlign w:val="center"/>
          </w:tcPr>
          <w:p w14:paraId="3269353B">
            <w:pPr>
              <w:spacing w:line="288" w:lineRule="auto"/>
              <w:jc w:val="center"/>
              <w:rPr>
                <w:rFonts w:ascii="宋体" w:hAnsi="宋体"/>
                <w:color w:val="auto"/>
                <w:szCs w:val="21"/>
              </w:rPr>
            </w:pPr>
          </w:p>
        </w:tc>
        <w:tc>
          <w:tcPr>
            <w:tcW w:w="480" w:type="pct"/>
            <w:vAlign w:val="center"/>
          </w:tcPr>
          <w:p w14:paraId="4A70BE78">
            <w:pPr>
              <w:spacing w:line="288" w:lineRule="auto"/>
              <w:jc w:val="center"/>
              <w:rPr>
                <w:rFonts w:ascii="宋体" w:hAnsi="宋体"/>
                <w:color w:val="auto"/>
                <w:szCs w:val="21"/>
              </w:rPr>
            </w:pPr>
          </w:p>
        </w:tc>
        <w:tc>
          <w:tcPr>
            <w:tcW w:w="683" w:type="pct"/>
            <w:vAlign w:val="center"/>
          </w:tcPr>
          <w:p w14:paraId="42458069">
            <w:pPr>
              <w:spacing w:line="288" w:lineRule="auto"/>
              <w:jc w:val="center"/>
              <w:rPr>
                <w:rFonts w:ascii="宋体" w:hAnsi="宋体"/>
                <w:color w:val="auto"/>
                <w:szCs w:val="21"/>
              </w:rPr>
            </w:pPr>
          </w:p>
        </w:tc>
        <w:tc>
          <w:tcPr>
            <w:tcW w:w="412" w:type="pct"/>
            <w:tcBorders>
              <w:right w:val="single" w:color="auto" w:sz="6" w:space="0"/>
            </w:tcBorders>
            <w:vAlign w:val="center"/>
          </w:tcPr>
          <w:p w14:paraId="04FED95A">
            <w:pPr>
              <w:spacing w:line="288" w:lineRule="auto"/>
              <w:jc w:val="center"/>
              <w:rPr>
                <w:rFonts w:ascii="宋体" w:hAnsi="宋体"/>
                <w:color w:val="auto"/>
                <w:szCs w:val="21"/>
              </w:rPr>
            </w:pPr>
          </w:p>
        </w:tc>
      </w:tr>
      <w:tr w14:paraId="626E4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3EB59B1B">
            <w:pPr>
              <w:spacing w:line="288" w:lineRule="auto"/>
              <w:jc w:val="center"/>
              <w:rPr>
                <w:rFonts w:ascii="宋体" w:hAnsi="宋体"/>
                <w:color w:val="auto"/>
                <w:szCs w:val="21"/>
              </w:rPr>
            </w:pPr>
          </w:p>
        </w:tc>
        <w:tc>
          <w:tcPr>
            <w:tcW w:w="412" w:type="pct"/>
            <w:vAlign w:val="center"/>
          </w:tcPr>
          <w:p w14:paraId="5675C5B5">
            <w:pPr>
              <w:spacing w:line="288" w:lineRule="auto"/>
              <w:jc w:val="center"/>
              <w:rPr>
                <w:rFonts w:ascii="宋体" w:hAnsi="宋体"/>
                <w:color w:val="auto"/>
                <w:szCs w:val="21"/>
              </w:rPr>
            </w:pPr>
          </w:p>
        </w:tc>
        <w:tc>
          <w:tcPr>
            <w:tcW w:w="1092" w:type="pct"/>
            <w:vAlign w:val="center"/>
          </w:tcPr>
          <w:p w14:paraId="2D9D2909">
            <w:pPr>
              <w:spacing w:line="288" w:lineRule="auto"/>
              <w:jc w:val="center"/>
              <w:rPr>
                <w:rFonts w:ascii="宋体" w:hAnsi="宋体"/>
                <w:color w:val="auto"/>
                <w:szCs w:val="21"/>
              </w:rPr>
            </w:pPr>
          </w:p>
        </w:tc>
        <w:tc>
          <w:tcPr>
            <w:tcW w:w="412" w:type="pct"/>
            <w:vAlign w:val="center"/>
          </w:tcPr>
          <w:p w14:paraId="323ACFF0">
            <w:pPr>
              <w:spacing w:line="288" w:lineRule="auto"/>
              <w:jc w:val="center"/>
              <w:rPr>
                <w:rFonts w:ascii="宋体" w:hAnsi="宋体"/>
                <w:color w:val="auto"/>
                <w:szCs w:val="21"/>
              </w:rPr>
            </w:pPr>
          </w:p>
        </w:tc>
        <w:tc>
          <w:tcPr>
            <w:tcW w:w="412" w:type="pct"/>
            <w:vAlign w:val="center"/>
          </w:tcPr>
          <w:p w14:paraId="7B2B3692">
            <w:pPr>
              <w:spacing w:line="288" w:lineRule="auto"/>
              <w:jc w:val="center"/>
              <w:rPr>
                <w:rFonts w:ascii="宋体" w:hAnsi="宋体"/>
                <w:color w:val="auto"/>
                <w:szCs w:val="21"/>
              </w:rPr>
            </w:pPr>
          </w:p>
        </w:tc>
        <w:tc>
          <w:tcPr>
            <w:tcW w:w="683" w:type="pct"/>
            <w:vAlign w:val="center"/>
          </w:tcPr>
          <w:p w14:paraId="502D908B">
            <w:pPr>
              <w:spacing w:line="288" w:lineRule="auto"/>
              <w:jc w:val="center"/>
              <w:rPr>
                <w:rFonts w:ascii="宋体" w:hAnsi="宋体"/>
                <w:color w:val="auto"/>
                <w:szCs w:val="21"/>
              </w:rPr>
            </w:pPr>
          </w:p>
        </w:tc>
        <w:tc>
          <w:tcPr>
            <w:tcW w:w="480" w:type="pct"/>
            <w:vAlign w:val="center"/>
          </w:tcPr>
          <w:p w14:paraId="256F00E5">
            <w:pPr>
              <w:spacing w:line="288" w:lineRule="auto"/>
              <w:jc w:val="center"/>
              <w:rPr>
                <w:rFonts w:ascii="宋体" w:hAnsi="宋体"/>
                <w:color w:val="auto"/>
                <w:szCs w:val="21"/>
              </w:rPr>
            </w:pPr>
          </w:p>
        </w:tc>
        <w:tc>
          <w:tcPr>
            <w:tcW w:w="683" w:type="pct"/>
            <w:vAlign w:val="center"/>
          </w:tcPr>
          <w:p w14:paraId="79E3D623">
            <w:pPr>
              <w:spacing w:line="288" w:lineRule="auto"/>
              <w:jc w:val="center"/>
              <w:rPr>
                <w:rFonts w:ascii="宋体" w:hAnsi="宋体"/>
                <w:color w:val="auto"/>
                <w:szCs w:val="21"/>
              </w:rPr>
            </w:pPr>
          </w:p>
        </w:tc>
        <w:tc>
          <w:tcPr>
            <w:tcW w:w="412" w:type="pct"/>
            <w:tcBorders>
              <w:right w:val="single" w:color="auto" w:sz="6" w:space="0"/>
            </w:tcBorders>
            <w:vAlign w:val="center"/>
          </w:tcPr>
          <w:p w14:paraId="7CF3AD7E">
            <w:pPr>
              <w:spacing w:line="288" w:lineRule="auto"/>
              <w:jc w:val="center"/>
              <w:rPr>
                <w:rFonts w:ascii="宋体" w:hAnsi="宋体"/>
                <w:color w:val="auto"/>
                <w:szCs w:val="21"/>
              </w:rPr>
            </w:pPr>
          </w:p>
        </w:tc>
      </w:tr>
      <w:tr w14:paraId="07FC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7D28364B">
            <w:pPr>
              <w:spacing w:line="288" w:lineRule="auto"/>
              <w:jc w:val="center"/>
              <w:rPr>
                <w:rFonts w:ascii="宋体" w:hAnsi="宋体"/>
                <w:color w:val="auto"/>
                <w:szCs w:val="21"/>
              </w:rPr>
            </w:pPr>
          </w:p>
        </w:tc>
        <w:tc>
          <w:tcPr>
            <w:tcW w:w="412" w:type="pct"/>
            <w:vAlign w:val="center"/>
          </w:tcPr>
          <w:p w14:paraId="39DFF5D8">
            <w:pPr>
              <w:spacing w:line="288" w:lineRule="auto"/>
              <w:jc w:val="center"/>
              <w:rPr>
                <w:rFonts w:ascii="宋体" w:hAnsi="宋体"/>
                <w:color w:val="auto"/>
                <w:szCs w:val="21"/>
              </w:rPr>
            </w:pPr>
          </w:p>
        </w:tc>
        <w:tc>
          <w:tcPr>
            <w:tcW w:w="1092" w:type="pct"/>
            <w:vAlign w:val="center"/>
          </w:tcPr>
          <w:p w14:paraId="75B995DB">
            <w:pPr>
              <w:spacing w:line="288" w:lineRule="auto"/>
              <w:jc w:val="center"/>
              <w:rPr>
                <w:rFonts w:ascii="宋体" w:hAnsi="宋体"/>
                <w:color w:val="auto"/>
                <w:szCs w:val="21"/>
              </w:rPr>
            </w:pPr>
          </w:p>
        </w:tc>
        <w:tc>
          <w:tcPr>
            <w:tcW w:w="412" w:type="pct"/>
            <w:vAlign w:val="center"/>
          </w:tcPr>
          <w:p w14:paraId="514D84D4">
            <w:pPr>
              <w:spacing w:line="288" w:lineRule="auto"/>
              <w:jc w:val="center"/>
              <w:rPr>
                <w:rFonts w:ascii="宋体" w:hAnsi="宋体"/>
                <w:color w:val="auto"/>
                <w:szCs w:val="21"/>
              </w:rPr>
            </w:pPr>
          </w:p>
        </w:tc>
        <w:tc>
          <w:tcPr>
            <w:tcW w:w="412" w:type="pct"/>
            <w:vAlign w:val="center"/>
          </w:tcPr>
          <w:p w14:paraId="610AFF8E">
            <w:pPr>
              <w:spacing w:line="288" w:lineRule="auto"/>
              <w:jc w:val="center"/>
              <w:rPr>
                <w:rFonts w:ascii="宋体" w:hAnsi="宋体"/>
                <w:color w:val="auto"/>
                <w:szCs w:val="21"/>
              </w:rPr>
            </w:pPr>
          </w:p>
        </w:tc>
        <w:tc>
          <w:tcPr>
            <w:tcW w:w="683" w:type="pct"/>
            <w:vAlign w:val="center"/>
          </w:tcPr>
          <w:p w14:paraId="76EE1432">
            <w:pPr>
              <w:spacing w:line="288" w:lineRule="auto"/>
              <w:jc w:val="center"/>
              <w:rPr>
                <w:rFonts w:ascii="宋体" w:hAnsi="宋体"/>
                <w:color w:val="auto"/>
                <w:szCs w:val="21"/>
              </w:rPr>
            </w:pPr>
          </w:p>
        </w:tc>
        <w:tc>
          <w:tcPr>
            <w:tcW w:w="480" w:type="pct"/>
            <w:vAlign w:val="center"/>
          </w:tcPr>
          <w:p w14:paraId="6FBD4566">
            <w:pPr>
              <w:spacing w:line="288" w:lineRule="auto"/>
              <w:jc w:val="center"/>
              <w:rPr>
                <w:rFonts w:ascii="宋体" w:hAnsi="宋体"/>
                <w:color w:val="auto"/>
                <w:szCs w:val="21"/>
              </w:rPr>
            </w:pPr>
          </w:p>
        </w:tc>
        <w:tc>
          <w:tcPr>
            <w:tcW w:w="683" w:type="pct"/>
            <w:vAlign w:val="center"/>
          </w:tcPr>
          <w:p w14:paraId="108AA2FA">
            <w:pPr>
              <w:spacing w:line="288" w:lineRule="auto"/>
              <w:jc w:val="center"/>
              <w:rPr>
                <w:rFonts w:ascii="宋体" w:hAnsi="宋体"/>
                <w:color w:val="auto"/>
                <w:szCs w:val="21"/>
              </w:rPr>
            </w:pPr>
          </w:p>
        </w:tc>
        <w:tc>
          <w:tcPr>
            <w:tcW w:w="412" w:type="pct"/>
            <w:tcBorders>
              <w:right w:val="single" w:color="auto" w:sz="6" w:space="0"/>
            </w:tcBorders>
            <w:vAlign w:val="center"/>
          </w:tcPr>
          <w:p w14:paraId="00EC74AA">
            <w:pPr>
              <w:spacing w:line="288" w:lineRule="auto"/>
              <w:jc w:val="center"/>
              <w:rPr>
                <w:rFonts w:ascii="宋体" w:hAnsi="宋体"/>
                <w:color w:val="auto"/>
                <w:szCs w:val="21"/>
              </w:rPr>
            </w:pPr>
          </w:p>
        </w:tc>
      </w:tr>
      <w:tr w14:paraId="285C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0DCC9979">
            <w:pPr>
              <w:spacing w:line="288" w:lineRule="auto"/>
              <w:jc w:val="center"/>
              <w:rPr>
                <w:rFonts w:ascii="宋体" w:hAnsi="宋体"/>
                <w:color w:val="auto"/>
                <w:szCs w:val="21"/>
              </w:rPr>
            </w:pPr>
          </w:p>
        </w:tc>
        <w:tc>
          <w:tcPr>
            <w:tcW w:w="412" w:type="pct"/>
            <w:vAlign w:val="center"/>
          </w:tcPr>
          <w:p w14:paraId="113F4BF1">
            <w:pPr>
              <w:spacing w:line="288" w:lineRule="auto"/>
              <w:jc w:val="center"/>
              <w:rPr>
                <w:rFonts w:ascii="宋体" w:hAnsi="宋体"/>
                <w:color w:val="auto"/>
                <w:szCs w:val="21"/>
              </w:rPr>
            </w:pPr>
          </w:p>
        </w:tc>
        <w:tc>
          <w:tcPr>
            <w:tcW w:w="1092" w:type="pct"/>
            <w:vAlign w:val="center"/>
          </w:tcPr>
          <w:p w14:paraId="565FE6A3">
            <w:pPr>
              <w:spacing w:line="288" w:lineRule="auto"/>
              <w:jc w:val="center"/>
              <w:rPr>
                <w:rFonts w:ascii="宋体" w:hAnsi="宋体"/>
                <w:color w:val="auto"/>
                <w:szCs w:val="21"/>
              </w:rPr>
            </w:pPr>
          </w:p>
        </w:tc>
        <w:tc>
          <w:tcPr>
            <w:tcW w:w="412" w:type="pct"/>
            <w:vAlign w:val="center"/>
          </w:tcPr>
          <w:p w14:paraId="416E2296">
            <w:pPr>
              <w:spacing w:line="288" w:lineRule="auto"/>
              <w:jc w:val="center"/>
              <w:rPr>
                <w:rFonts w:ascii="宋体" w:hAnsi="宋体"/>
                <w:color w:val="auto"/>
                <w:szCs w:val="21"/>
              </w:rPr>
            </w:pPr>
          </w:p>
        </w:tc>
        <w:tc>
          <w:tcPr>
            <w:tcW w:w="412" w:type="pct"/>
            <w:vAlign w:val="center"/>
          </w:tcPr>
          <w:p w14:paraId="399E7B00">
            <w:pPr>
              <w:spacing w:line="288" w:lineRule="auto"/>
              <w:jc w:val="center"/>
              <w:rPr>
                <w:rFonts w:ascii="宋体" w:hAnsi="宋体"/>
                <w:color w:val="auto"/>
                <w:szCs w:val="21"/>
              </w:rPr>
            </w:pPr>
          </w:p>
        </w:tc>
        <w:tc>
          <w:tcPr>
            <w:tcW w:w="683" w:type="pct"/>
            <w:vAlign w:val="center"/>
          </w:tcPr>
          <w:p w14:paraId="72AEC642">
            <w:pPr>
              <w:spacing w:line="288" w:lineRule="auto"/>
              <w:jc w:val="center"/>
              <w:rPr>
                <w:rFonts w:ascii="宋体" w:hAnsi="宋体"/>
                <w:color w:val="auto"/>
                <w:szCs w:val="21"/>
              </w:rPr>
            </w:pPr>
          </w:p>
        </w:tc>
        <w:tc>
          <w:tcPr>
            <w:tcW w:w="480" w:type="pct"/>
            <w:vAlign w:val="center"/>
          </w:tcPr>
          <w:p w14:paraId="31068496">
            <w:pPr>
              <w:spacing w:line="288" w:lineRule="auto"/>
              <w:jc w:val="center"/>
              <w:rPr>
                <w:rFonts w:ascii="宋体" w:hAnsi="宋体"/>
                <w:color w:val="auto"/>
                <w:szCs w:val="21"/>
              </w:rPr>
            </w:pPr>
          </w:p>
        </w:tc>
        <w:tc>
          <w:tcPr>
            <w:tcW w:w="683" w:type="pct"/>
            <w:vAlign w:val="center"/>
          </w:tcPr>
          <w:p w14:paraId="1C468A0B">
            <w:pPr>
              <w:spacing w:line="288" w:lineRule="auto"/>
              <w:jc w:val="center"/>
              <w:rPr>
                <w:rFonts w:ascii="宋体" w:hAnsi="宋体"/>
                <w:color w:val="auto"/>
                <w:szCs w:val="21"/>
              </w:rPr>
            </w:pPr>
          </w:p>
        </w:tc>
        <w:tc>
          <w:tcPr>
            <w:tcW w:w="412" w:type="pct"/>
            <w:tcBorders>
              <w:right w:val="single" w:color="auto" w:sz="6" w:space="0"/>
            </w:tcBorders>
            <w:vAlign w:val="center"/>
          </w:tcPr>
          <w:p w14:paraId="1B8C4DA7">
            <w:pPr>
              <w:spacing w:line="288" w:lineRule="auto"/>
              <w:jc w:val="center"/>
              <w:rPr>
                <w:rFonts w:ascii="宋体" w:hAnsi="宋体"/>
                <w:color w:val="auto"/>
                <w:szCs w:val="21"/>
              </w:rPr>
            </w:pPr>
          </w:p>
        </w:tc>
      </w:tr>
      <w:tr w14:paraId="3BF9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5B79717E">
            <w:pPr>
              <w:spacing w:line="288" w:lineRule="auto"/>
              <w:jc w:val="center"/>
              <w:rPr>
                <w:rFonts w:ascii="宋体" w:hAnsi="宋体"/>
                <w:color w:val="auto"/>
                <w:szCs w:val="21"/>
              </w:rPr>
            </w:pPr>
          </w:p>
        </w:tc>
        <w:tc>
          <w:tcPr>
            <w:tcW w:w="412" w:type="pct"/>
            <w:vAlign w:val="center"/>
          </w:tcPr>
          <w:p w14:paraId="070AED31">
            <w:pPr>
              <w:spacing w:line="288" w:lineRule="auto"/>
              <w:jc w:val="center"/>
              <w:rPr>
                <w:rFonts w:ascii="宋体" w:hAnsi="宋体"/>
                <w:color w:val="auto"/>
                <w:szCs w:val="21"/>
              </w:rPr>
            </w:pPr>
          </w:p>
        </w:tc>
        <w:tc>
          <w:tcPr>
            <w:tcW w:w="1092" w:type="pct"/>
            <w:vAlign w:val="center"/>
          </w:tcPr>
          <w:p w14:paraId="70EE0A62">
            <w:pPr>
              <w:spacing w:line="288" w:lineRule="auto"/>
              <w:jc w:val="center"/>
              <w:rPr>
                <w:rFonts w:ascii="宋体" w:hAnsi="宋体"/>
                <w:color w:val="auto"/>
                <w:szCs w:val="21"/>
              </w:rPr>
            </w:pPr>
          </w:p>
        </w:tc>
        <w:tc>
          <w:tcPr>
            <w:tcW w:w="412" w:type="pct"/>
            <w:vAlign w:val="center"/>
          </w:tcPr>
          <w:p w14:paraId="7D476453">
            <w:pPr>
              <w:spacing w:line="288" w:lineRule="auto"/>
              <w:jc w:val="center"/>
              <w:rPr>
                <w:rFonts w:ascii="宋体" w:hAnsi="宋体"/>
                <w:color w:val="auto"/>
                <w:szCs w:val="21"/>
              </w:rPr>
            </w:pPr>
          </w:p>
        </w:tc>
        <w:tc>
          <w:tcPr>
            <w:tcW w:w="412" w:type="pct"/>
            <w:vAlign w:val="center"/>
          </w:tcPr>
          <w:p w14:paraId="4F940A59">
            <w:pPr>
              <w:spacing w:line="288" w:lineRule="auto"/>
              <w:jc w:val="center"/>
              <w:rPr>
                <w:rFonts w:ascii="宋体" w:hAnsi="宋体"/>
                <w:color w:val="auto"/>
                <w:szCs w:val="21"/>
              </w:rPr>
            </w:pPr>
          </w:p>
        </w:tc>
        <w:tc>
          <w:tcPr>
            <w:tcW w:w="683" w:type="pct"/>
            <w:vAlign w:val="center"/>
          </w:tcPr>
          <w:p w14:paraId="584C1C04">
            <w:pPr>
              <w:spacing w:line="288" w:lineRule="auto"/>
              <w:jc w:val="center"/>
              <w:rPr>
                <w:rFonts w:ascii="宋体" w:hAnsi="宋体"/>
                <w:color w:val="auto"/>
                <w:szCs w:val="21"/>
              </w:rPr>
            </w:pPr>
          </w:p>
        </w:tc>
        <w:tc>
          <w:tcPr>
            <w:tcW w:w="480" w:type="pct"/>
            <w:vAlign w:val="center"/>
          </w:tcPr>
          <w:p w14:paraId="30584529">
            <w:pPr>
              <w:spacing w:line="288" w:lineRule="auto"/>
              <w:jc w:val="center"/>
              <w:rPr>
                <w:rFonts w:ascii="宋体" w:hAnsi="宋体"/>
                <w:color w:val="auto"/>
                <w:szCs w:val="21"/>
              </w:rPr>
            </w:pPr>
          </w:p>
        </w:tc>
        <w:tc>
          <w:tcPr>
            <w:tcW w:w="683" w:type="pct"/>
            <w:vAlign w:val="center"/>
          </w:tcPr>
          <w:p w14:paraId="4D6B66E6">
            <w:pPr>
              <w:spacing w:line="288" w:lineRule="auto"/>
              <w:jc w:val="center"/>
              <w:rPr>
                <w:rFonts w:ascii="宋体" w:hAnsi="宋体"/>
                <w:color w:val="auto"/>
                <w:szCs w:val="21"/>
              </w:rPr>
            </w:pPr>
          </w:p>
        </w:tc>
        <w:tc>
          <w:tcPr>
            <w:tcW w:w="412" w:type="pct"/>
            <w:tcBorders>
              <w:right w:val="single" w:color="auto" w:sz="6" w:space="0"/>
            </w:tcBorders>
            <w:vAlign w:val="center"/>
          </w:tcPr>
          <w:p w14:paraId="44D567B7">
            <w:pPr>
              <w:spacing w:line="288" w:lineRule="auto"/>
              <w:jc w:val="center"/>
              <w:rPr>
                <w:rFonts w:ascii="宋体" w:hAnsi="宋体"/>
                <w:color w:val="auto"/>
                <w:szCs w:val="21"/>
              </w:rPr>
            </w:pPr>
          </w:p>
        </w:tc>
      </w:tr>
      <w:tr w14:paraId="6A8BA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37F5052B">
            <w:pPr>
              <w:spacing w:line="288" w:lineRule="auto"/>
              <w:jc w:val="center"/>
              <w:rPr>
                <w:rFonts w:ascii="宋体" w:hAnsi="宋体"/>
                <w:color w:val="auto"/>
                <w:szCs w:val="21"/>
              </w:rPr>
            </w:pPr>
          </w:p>
        </w:tc>
        <w:tc>
          <w:tcPr>
            <w:tcW w:w="412" w:type="pct"/>
            <w:vAlign w:val="center"/>
          </w:tcPr>
          <w:p w14:paraId="797C304B">
            <w:pPr>
              <w:spacing w:line="288" w:lineRule="auto"/>
              <w:jc w:val="center"/>
              <w:rPr>
                <w:rFonts w:ascii="宋体" w:hAnsi="宋体"/>
                <w:color w:val="auto"/>
                <w:szCs w:val="21"/>
              </w:rPr>
            </w:pPr>
          </w:p>
        </w:tc>
        <w:tc>
          <w:tcPr>
            <w:tcW w:w="1092" w:type="pct"/>
            <w:vAlign w:val="center"/>
          </w:tcPr>
          <w:p w14:paraId="2BC2A965">
            <w:pPr>
              <w:spacing w:line="288" w:lineRule="auto"/>
              <w:jc w:val="center"/>
              <w:rPr>
                <w:rFonts w:ascii="宋体" w:hAnsi="宋体"/>
                <w:color w:val="auto"/>
                <w:szCs w:val="21"/>
              </w:rPr>
            </w:pPr>
          </w:p>
        </w:tc>
        <w:tc>
          <w:tcPr>
            <w:tcW w:w="412" w:type="pct"/>
            <w:vAlign w:val="center"/>
          </w:tcPr>
          <w:p w14:paraId="46122C2D">
            <w:pPr>
              <w:spacing w:line="288" w:lineRule="auto"/>
              <w:jc w:val="center"/>
              <w:rPr>
                <w:rFonts w:ascii="宋体" w:hAnsi="宋体"/>
                <w:color w:val="auto"/>
                <w:szCs w:val="21"/>
              </w:rPr>
            </w:pPr>
          </w:p>
        </w:tc>
        <w:tc>
          <w:tcPr>
            <w:tcW w:w="412" w:type="pct"/>
            <w:vAlign w:val="center"/>
          </w:tcPr>
          <w:p w14:paraId="16EEC2B1">
            <w:pPr>
              <w:spacing w:line="288" w:lineRule="auto"/>
              <w:jc w:val="center"/>
              <w:rPr>
                <w:rFonts w:ascii="宋体" w:hAnsi="宋体"/>
                <w:color w:val="auto"/>
                <w:szCs w:val="21"/>
              </w:rPr>
            </w:pPr>
          </w:p>
        </w:tc>
        <w:tc>
          <w:tcPr>
            <w:tcW w:w="683" w:type="pct"/>
            <w:vAlign w:val="center"/>
          </w:tcPr>
          <w:p w14:paraId="6CE8637A">
            <w:pPr>
              <w:spacing w:line="288" w:lineRule="auto"/>
              <w:jc w:val="center"/>
              <w:rPr>
                <w:rFonts w:ascii="宋体" w:hAnsi="宋体"/>
                <w:color w:val="auto"/>
                <w:szCs w:val="21"/>
              </w:rPr>
            </w:pPr>
          </w:p>
        </w:tc>
        <w:tc>
          <w:tcPr>
            <w:tcW w:w="480" w:type="pct"/>
            <w:vAlign w:val="center"/>
          </w:tcPr>
          <w:p w14:paraId="70D7DB99">
            <w:pPr>
              <w:spacing w:line="288" w:lineRule="auto"/>
              <w:jc w:val="center"/>
              <w:rPr>
                <w:rFonts w:ascii="宋体" w:hAnsi="宋体"/>
                <w:color w:val="auto"/>
                <w:szCs w:val="21"/>
              </w:rPr>
            </w:pPr>
          </w:p>
        </w:tc>
        <w:tc>
          <w:tcPr>
            <w:tcW w:w="683" w:type="pct"/>
            <w:vAlign w:val="center"/>
          </w:tcPr>
          <w:p w14:paraId="0ADBA68A">
            <w:pPr>
              <w:spacing w:line="288" w:lineRule="auto"/>
              <w:jc w:val="center"/>
              <w:rPr>
                <w:rFonts w:ascii="宋体" w:hAnsi="宋体"/>
                <w:color w:val="auto"/>
                <w:szCs w:val="21"/>
              </w:rPr>
            </w:pPr>
          </w:p>
        </w:tc>
        <w:tc>
          <w:tcPr>
            <w:tcW w:w="412" w:type="pct"/>
            <w:tcBorders>
              <w:right w:val="single" w:color="auto" w:sz="6" w:space="0"/>
            </w:tcBorders>
            <w:vAlign w:val="center"/>
          </w:tcPr>
          <w:p w14:paraId="76EB1451">
            <w:pPr>
              <w:spacing w:line="288" w:lineRule="auto"/>
              <w:jc w:val="center"/>
              <w:rPr>
                <w:rFonts w:ascii="宋体" w:hAnsi="宋体"/>
                <w:color w:val="auto"/>
                <w:szCs w:val="21"/>
              </w:rPr>
            </w:pPr>
          </w:p>
        </w:tc>
      </w:tr>
      <w:tr w14:paraId="6C92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48C99E1B">
            <w:pPr>
              <w:spacing w:line="288" w:lineRule="auto"/>
              <w:jc w:val="center"/>
              <w:rPr>
                <w:rFonts w:ascii="宋体" w:hAnsi="宋体"/>
                <w:color w:val="auto"/>
                <w:szCs w:val="21"/>
              </w:rPr>
            </w:pPr>
          </w:p>
        </w:tc>
        <w:tc>
          <w:tcPr>
            <w:tcW w:w="412" w:type="pct"/>
            <w:vAlign w:val="center"/>
          </w:tcPr>
          <w:p w14:paraId="68DF2434">
            <w:pPr>
              <w:spacing w:line="288" w:lineRule="auto"/>
              <w:jc w:val="center"/>
              <w:rPr>
                <w:rFonts w:ascii="宋体" w:hAnsi="宋体"/>
                <w:color w:val="auto"/>
                <w:szCs w:val="21"/>
              </w:rPr>
            </w:pPr>
          </w:p>
        </w:tc>
        <w:tc>
          <w:tcPr>
            <w:tcW w:w="1092" w:type="pct"/>
            <w:vAlign w:val="center"/>
          </w:tcPr>
          <w:p w14:paraId="133E86A7">
            <w:pPr>
              <w:spacing w:line="288" w:lineRule="auto"/>
              <w:jc w:val="center"/>
              <w:rPr>
                <w:rFonts w:ascii="宋体" w:hAnsi="宋体"/>
                <w:color w:val="auto"/>
                <w:szCs w:val="21"/>
              </w:rPr>
            </w:pPr>
          </w:p>
        </w:tc>
        <w:tc>
          <w:tcPr>
            <w:tcW w:w="412" w:type="pct"/>
            <w:vAlign w:val="center"/>
          </w:tcPr>
          <w:p w14:paraId="37D92C84">
            <w:pPr>
              <w:spacing w:line="288" w:lineRule="auto"/>
              <w:jc w:val="center"/>
              <w:rPr>
                <w:rFonts w:ascii="宋体" w:hAnsi="宋体"/>
                <w:color w:val="auto"/>
                <w:szCs w:val="21"/>
              </w:rPr>
            </w:pPr>
          </w:p>
        </w:tc>
        <w:tc>
          <w:tcPr>
            <w:tcW w:w="412" w:type="pct"/>
            <w:vAlign w:val="center"/>
          </w:tcPr>
          <w:p w14:paraId="466C05F4">
            <w:pPr>
              <w:spacing w:line="288" w:lineRule="auto"/>
              <w:jc w:val="center"/>
              <w:rPr>
                <w:rFonts w:ascii="宋体" w:hAnsi="宋体"/>
                <w:color w:val="auto"/>
                <w:szCs w:val="21"/>
              </w:rPr>
            </w:pPr>
          </w:p>
        </w:tc>
        <w:tc>
          <w:tcPr>
            <w:tcW w:w="683" w:type="pct"/>
            <w:vAlign w:val="center"/>
          </w:tcPr>
          <w:p w14:paraId="5BA4EB9A">
            <w:pPr>
              <w:spacing w:line="288" w:lineRule="auto"/>
              <w:jc w:val="center"/>
              <w:rPr>
                <w:rFonts w:ascii="宋体" w:hAnsi="宋体"/>
                <w:color w:val="auto"/>
                <w:szCs w:val="21"/>
              </w:rPr>
            </w:pPr>
          </w:p>
        </w:tc>
        <w:tc>
          <w:tcPr>
            <w:tcW w:w="480" w:type="pct"/>
            <w:vAlign w:val="center"/>
          </w:tcPr>
          <w:p w14:paraId="099CAE70">
            <w:pPr>
              <w:spacing w:line="288" w:lineRule="auto"/>
              <w:jc w:val="center"/>
              <w:rPr>
                <w:rFonts w:ascii="宋体" w:hAnsi="宋体"/>
                <w:color w:val="auto"/>
                <w:szCs w:val="21"/>
              </w:rPr>
            </w:pPr>
          </w:p>
        </w:tc>
        <w:tc>
          <w:tcPr>
            <w:tcW w:w="683" w:type="pct"/>
            <w:vAlign w:val="center"/>
          </w:tcPr>
          <w:p w14:paraId="7D149320">
            <w:pPr>
              <w:spacing w:line="288" w:lineRule="auto"/>
              <w:jc w:val="center"/>
              <w:rPr>
                <w:rFonts w:ascii="宋体" w:hAnsi="宋体"/>
                <w:color w:val="auto"/>
                <w:szCs w:val="21"/>
              </w:rPr>
            </w:pPr>
          </w:p>
        </w:tc>
        <w:tc>
          <w:tcPr>
            <w:tcW w:w="412" w:type="pct"/>
            <w:tcBorders>
              <w:right w:val="single" w:color="auto" w:sz="6" w:space="0"/>
            </w:tcBorders>
            <w:vAlign w:val="center"/>
          </w:tcPr>
          <w:p w14:paraId="3DEE6433">
            <w:pPr>
              <w:spacing w:line="288" w:lineRule="auto"/>
              <w:jc w:val="center"/>
              <w:rPr>
                <w:rFonts w:ascii="宋体" w:hAnsi="宋体"/>
                <w:color w:val="auto"/>
                <w:szCs w:val="21"/>
              </w:rPr>
            </w:pPr>
          </w:p>
        </w:tc>
      </w:tr>
      <w:tr w14:paraId="16D6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7587E3A9">
            <w:pPr>
              <w:spacing w:line="288" w:lineRule="auto"/>
              <w:jc w:val="center"/>
              <w:rPr>
                <w:rFonts w:ascii="宋体" w:hAnsi="宋体"/>
                <w:color w:val="auto"/>
                <w:szCs w:val="21"/>
              </w:rPr>
            </w:pPr>
          </w:p>
        </w:tc>
        <w:tc>
          <w:tcPr>
            <w:tcW w:w="412" w:type="pct"/>
            <w:vAlign w:val="center"/>
          </w:tcPr>
          <w:p w14:paraId="1A90D326">
            <w:pPr>
              <w:spacing w:line="288" w:lineRule="auto"/>
              <w:jc w:val="center"/>
              <w:rPr>
                <w:rFonts w:ascii="宋体" w:hAnsi="宋体"/>
                <w:color w:val="auto"/>
                <w:szCs w:val="21"/>
              </w:rPr>
            </w:pPr>
          </w:p>
        </w:tc>
        <w:tc>
          <w:tcPr>
            <w:tcW w:w="1092" w:type="pct"/>
            <w:vAlign w:val="center"/>
          </w:tcPr>
          <w:p w14:paraId="4FB28380">
            <w:pPr>
              <w:spacing w:line="288" w:lineRule="auto"/>
              <w:jc w:val="center"/>
              <w:rPr>
                <w:rFonts w:ascii="宋体" w:hAnsi="宋体"/>
                <w:color w:val="auto"/>
                <w:szCs w:val="21"/>
              </w:rPr>
            </w:pPr>
          </w:p>
        </w:tc>
        <w:tc>
          <w:tcPr>
            <w:tcW w:w="412" w:type="pct"/>
            <w:vAlign w:val="center"/>
          </w:tcPr>
          <w:p w14:paraId="1DBDFEBA">
            <w:pPr>
              <w:spacing w:line="288" w:lineRule="auto"/>
              <w:jc w:val="center"/>
              <w:rPr>
                <w:rFonts w:ascii="宋体" w:hAnsi="宋体"/>
                <w:color w:val="auto"/>
                <w:szCs w:val="21"/>
              </w:rPr>
            </w:pPr>
          </w:p>
        </w:tc>
        <w:tc>
          <w:tcPr>
            <w:tcW w:w="412" w:type="pct"/>
            <w:vAlign w:val="center"/>
          </w:tcPr>
          <w:p w14:paraId="6B013FFA">
            <w:pPr>
              <w:spacing w:line="288" w:lineRule="auto"/>
              <w:jc w:val="center"/>
              <w:rPr>
                <w:rFonts w:ascii="宋体" w:hAnsi="宋体"/>
                <w:color w:val="auto"/>
                <w:szCs w:val="21"/>
              </w:rPr>
            </w:pPr>
          </w:p>
        </w:tc>
        <w:tc>
          <w:tcPr>
            <w:tcW w:w="683" w:type="pct"/>
            <w:vAlign w:val="center"/>
          </w:tcPr>
          <w:p w14:paraId="4E8A6179">
            <w:pPr>
              <w:spacing w:line="288" w:lineRule="auto"/>
              <w:jc w:val="center"/>
              <w:rPr>
                <w:rFonts w:ascii="宋体" w:hAnsi="宋体"/>
                <w:color w:val="auto"/>
                <w:szCs w:val="21"/>
              </w:rPr>
            </w:pPr>
          </w:p>
        </w:tc>
        <w:tc>
          <w:tcPr>
            <w:tcW w:w="480" w:type="pct"/>
            <w:vAlign w:val="center"/>
          </w:tcPr>
          <w:p w14:paraId="2103146E">
            <w:pPr>
              <w:spacing w:line="288" w:lineRule="auto"/>
              <w:jc w:val="center"/>
              <w:rPr>
                <w:rFonts w:ascii="宋体" w:hAnsi="宋体"/>
                <w:color w:val="auto"/>
                <w:szCs w:val="21"/>
              </w:rPr>
            </w:pPr>
          </w:p>
        </w:tc>
        <w:tc>
          <w:tcPr>
            <w:tcW w:w="683" w:type="pct"/>
            <w:vAlign w:val="center"/>
          </w:tcPr>
          <w:p w14:paraId="5872C28C">
            <w:pPr>
              <w:spacing w:line="288" w:lineRule="auto"/>
              <w:jc w:val="center"/>
              <w:rPr>
                <w:rFonts w:ascii="宋体" w:hAnsi="宋体"/>
                <w:color w:val="auto"/>
                <w:szCs w:val="21"/>
              </w:rPr>
            </w:pPr>
          </w:p>
        </w:tc>
        <w:tc>
          <w:tcPr>
            <w:tcW w:w="412" w:type="pct"/>
            <w:tcBorders>
              <w:right w:val="single" w:color="auto" w:sz="6" w:space="0"/>
            </w:tcBorders>
            <w:vAlign w:val="center"/>
          </w:tcPr>
          <w:p w14:paraId="37479F52">
            <w:pPr>
              <w:spacing w:line="288" w:lineRule="auto"/>
              <w:jc w:val="center"/>
              <w:rPr>
                <w:rFonts w:ascii="宋体" w:hAnsi="宋体"/>
                <w:color w:val="auto"/>
                <w:szCs w:val="21"/>
              </w:rPr>
            </w:pPr>
          </w:p>
        </w:tc>
      </w:tr>
      <w:tr w14:paraId="1FA2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70C3C60A">
            <w:pPr>
              <w:spacing w:line="288" w:lineRule="auto"/>
              <w:jc w:val="center"/>
              <w:rPr>
                <w:rFonts w:ascii="宋体" w:hAnsi="宋体"/>
                <w:color w:val="auto"/>
                <w:szCs w:val="21"/>
              </w:rPr>
            </w:pPr>
          </w:p>
        </w:tc>
        <w:tc>
          <w:tcPr>
            <w:tcW w:w="412" w:type="pct"/>
            <w:vAlign w:val="center"/>
          </w:tcPr>
          <w:p w14:paraId="10CFE789">
            <w:pPr>
              <w:spacing w:line="288" w:lineRule="auto"/>
              <w:jc w:val="center"/>
              <w:rPr>
                <w:rFonts w:ascii="宋体" w:hAnsi="宋体"/>
                <w:color w:val="auto"/>
                <w:szCs w:val="21"/>
              </w:rPr>
            </w:pPr>
          </w:p>
        </w:tc>
        <w:tc>
          <w:tcPr>
            <w:tcW w:w="1092" w:type="pct"/>
            <w:vAlign w:val="center"/>
          </w:tcPr>
          <w:p w14:paraId="1C2A58D5">
            <w:pPr>
              <w:spacing w:line="288" w:lineRule="auto"/>
              <w:jc w:val="center"/>
              <w:rPr>
                <w:rFonts w:ascii="宋体" w:hAnsi="宋体"/>
                <w:color w:val="auto"/>
                <w:szCs w:val="21"/>
              </w:rPr>
            </w:pPr>
          </w:p>
        </w:tc>
        <w:tc>
          <w:tcPr>
            <w:tcW w:w="412" w:type="pct"/>
            <w:vAlign w:val="center"/>
          </w:tcPr>
          <w:p w14:paraId="042404EC">
            <w:pPr>
              <w:spacing w:line="288" w:lineRule="auto"/>
              <w:jc w:val="center"/>
              <w:rPr>
                <w:rFonts w:ascii="宋体" w:hAnsi="宋体"/>
                <w:color w:val="auto"/>
                <w:szCs w:val="21"/>
              </w:rPr>
            </w:pPr>
          </w:p>
        </w:tc>
        <w:tc>
          <w:tcPr>
            <w:tcW w:w="412" w:type="pct"/>
            <w:vAlign w:val="center"/>
          </w:tcPr>
          <w:p w14:paraId="1E97EA48">
            <w:pPr>
              <w:spacing w:line="288" w:lineRule="auto"/>
              <w:jc w:val="center"/>
              <w:rPr>
                <w:rFonts w:ascii="宋体" w:hAnsi="宋体"/>
                <w:color w:val="auto"/>
                <w:szCs w:val="21"/>
              </w:rPr>
            </w:pPr>
          </w:p>
        </w:tc>
        <w:tc>
          <w:tcPr>
            <w:tcW w:w="683" w:type="pct"/>
            <w:vAlign w:val="center"/>
          </w:tcPr>
          <w:p w14:paraId="05772DAD">
            <w:pPr>
              <w:spacing w:line="288" w:lineRule="auto"/>
              <w:jc w:val="center"/>
              <w:rPr>
                <w:rFonts w:ascii="宋体" w:hAnsi="宋体"/>
                <w:color w:val="auto"/>
                <w:szCs w:val="21"/>
              </w:rPr>
            </w:pPr>
          </w:p>
        </w:tc>
        <w:tc>
          <w:tcPr>
            <w:tcW w:w="480" w:type="pct"/>
            <w:vAlign w:val="center"/>
          </w:tcPr>
          <w:p w14:paraId="7FECF672">
            <w:pPr>
              <w:spacing w:line="288" w:lineRule="auto"/>
              <w:jc w:val="center"/>
              <w:rPr>
                <w:rFonts w:ascii="宋体" w:hAnsi="宋体"/>
                <w:color w:val="auto"/>
                <w:szCs w:val="21"/>
              </w:rPr>
            </w:pPr>
          </w:p>
        </w:tc>
        <w:tc>
          <w:tcPr>
            <w:tcW w:w="683" w:type="pct"/>
            <w:vAlign w:val="center"/>
          </w:tcPr>
          <w:p w14:paraId="78C70776">
            <w:pPr>
              <w:spacing w:line="288" w:lineRule="auto"/>
              <w:jc w:val="center"/>
              <w:rPr>
                <w:rFonts w:ascii="宋体" w:hAnsi="宋体"/>
                <w:color w:val="auto"/>
                <w:szCs w:val="21"/>
              </w:rPr>
            </w:pPr>
          </w:p>
        </w:tc>
        <w:tc>
          <w:tcPr>
            <w:tcW w:w="412" w:type="pct"/>
            <w:tcBorders>
              <w:right w:val="single" w:color="auto" w:sz="6" w:space="0"/>
            </w:tcBorders>
            <w:vAlign w:val="center"/>
          </w:tcPr>
          <w:p w14:paraId="673B76DB">
            <w:pPr>
              <w:spacing w:line="288" w:lineRule="auto"/>
              <w:jc w:val="center"/>
              <w:rPr>
                <w:rFonts w:ascii="宋体" w:hAnsi="宋体"/>
                <w:color w:val="auto"/>
                <w:szCs w:val="21"/>
              </w:rPr>
            </w:pPr>
          </w:p>
        </w:tc>
      </w:tr>
    </w:tbl>
    <w:p w14:paraId="3CA17A70">
      <w:pPr>
        <w:ind w:firstLine="178" w:firstLineChars="85"/>
        <w:rPr>
          <w:rFonts w:ascii="宋体" w:hAnsi="宋体"/>
          <w:color w:val="auto"/>
          <w:szCs w:val="21"/>
        </w:rPr>
      </w:pPr>
    </w:p>
    <w:p w14:paraId="47F27154">
      <w:pPr>
        <w:ind w:firstLine="178" w:firstLineChars="85"/>
        <w:rPr>
          <w:rFonts w:ascii="宋体" w:hAnsi="宋体"/>
          <w:color w:val="auto"/>
          <w:szCs w:val="21"/>
        </w:rPr>
      </w:pPr>
      <w:r>
        <w:rPr>
          <w:rFonts w:hint="eastAsia" w:ascii="宋体" w:hAnsi="宋体"/>
          <w:color w:val="auto"/>
          <w:szCs w:val="21"/>
        </w:rPr>
        <w:t>附有关证明文件（复印件加盖公章）</w:t>
      </w:r>
    </w:p>
    <w:p w14:paraId="551BFB12">
      <w:pPr>
        <w:ind w:firstLine="178" w:firstLineChars="85"/>
        <w:rPr>
          <w:rFonts w:ascii="宋体" w:hAnsi="宋体"/>
          <w:color w:val="auto"/>
          <w:szCs w:val="21"/>
        </w:rPr>
      </w:pPr>
      <w:r>
        <w:rPr>
          <w:rFonts w:hint="eastAsia" w:ascii="宋体" w:hAnsi="宋体"/>
          <w:color w:val="auto"/>
          <w:szCs w:val="21"/>
        </w:rPr>
        <w:t>投标人代表签字：</w:t>
      </w:r>
    </w:p>
    <w:p w14:paraId="6C75B628">
      <w:pPr>
        <w:ind w:firstLine="178" w:firstLineChars="85"/>
        <w:rPr>
          <w:rFonts w:ascii="宋体" w:hAnsi="宋体"/>
          <w:color w:val="auto"/>
          <w:szCs w:val="21"/>
        </w:rPr>
      </w:pPr>
      <w:r>
        <w:rPr>
          <w:rFonts w:hint="eastAsia" w:ascii="宋体" w:hAnsi="宋体"/>
          <w:color w:val="auto"/>
          <w:szCs w:val="21"/>
        </w:rPr>
        <w:t>投标人盖章：</w:t>
      </w:r>
    </w:p>
    <w:p w14:paraId="47AB4CDE">
      <w:pPr>
        <w:rPr>
          <w:rFonts w:ascii="宋体" w:hAnsi="宋体"/>
          <w:color w:val="auto"/>
          <w:szCs w:val="21"/>
        </w:rPr>
      </w:pPr>
      <w:r>
        <w:rPr>
          <w:rFonts w:hint="eastAsia" w:ascii="宋体" w:hAnsi="宋体"/>
          <w:color w:val="auto"/>
          <w:szCs w:val="21"/>
        </w:rPr>
        <w:t>注：</w:t>
      </w:r>
    </w:p>
    <w:p w14:paraId="3C1D8A38">
      <w:pPr>
        <w:pStyle w:val="42"/>
        <w:numPr>
          <w:ilvl w:val="0"/>
          <w:numId w:val="14"/>
        </w:numPr>
        <w:ind w:firstLineChars="0"/>
        <w:rPr>
          <w:rFonts w:ascii="宋体" w:hAnsi="宋体"/>
          <w:color w:val="auto"/>
          <w:szCs w:val="21"/>
        </w:rPr>
      </w:pPr>
      <w:r>
        <w:rPr>
          <w:rFonts w:hint="eastAsia" w:ascii="宋体" w:hAnsi="宋体"/>
          <w:color w:val="auto"/>
          <w:szCs w:val="21"/>
        </w:rPr>
        <w:t>投标人可按项目的实际需要提供本表格。</w:t>
      </w:r>
    </w:p>
    <w:p w14:paraId="0B8CC79D">
      <w:pPr>
        <w:pStyle w:val="42"/>
        <w:numPr>
          <w:ilvl w:val="0"/>
          <w:numId w:val="14"/>
        </w:numPr>
        <w:ind w:firstLineChars="0"/>
        <w:rPr>
          <w:rFonts w:ascii="宋体" w:hAnsi="宋体" w:cs="Times New Roman"/>
          <w:color w:val="auto"/>
          <w:szCs w:val="21"/>
        </w:rPr>
      </w:pPr>
      <w:r>
        <w:rPr>
          <w:rFonts w:hint="eastAsia" w:ascii="宋体" w:hAnsi="宋体"/>
          <w:color w:val="auto"/>
          <w:szCs w:val="21"/>
        </w:rPr>
        <w:t>该表格为参考格式，投标人可按实际情况自行制订。</w:t>
      </w:r>
    </w:p>
    <w:p w14:paraId="071D2BE6">
      <w:pPr>
        <w:rPr>
          <w:rFonts w:ascii="宋体" w:hAnsi="宋体" w:cs="Times New Roman"/>
          <w:color w:val="auto"/>
          <w:szCs w:val="21"/>
        </w:rPr>
      </w:pPr>
      <w:r>
        <w:rPr>
          <w:rFonts w:hint="eastAsia" w:ascii="宋体" w:hAnsi="宋体"/>
          <w:color w:val="auto"/>
          <w:szCs w:val="21"/>
        </w:rPr>
        <w:t>3、投标人若未提供或未填写完整则视为完全响应采购文件的人员要求，因此对投标人投标产生负面影响的，投标人自行承担后果。</w:t>
      </w:r>
    </w:p>
    <w:p w14:paraId="7D4C5BAA">
      <w:pPr>
        <w:pStyle w:val="42"/>
        <w:numPr>
          <w:ilvl w:val="0"/>
          <w:numId w:val="14"/>
        </w:numPr>
        <w:ind w:firstLineChars="0"/>
        <w:rPr>
          <w:rFonts w:ascii="宋体" w:hAnsi="宋体" w:cs="Times New Roman"/>
          <w:color w:val="auto"/>
          <w:szCs w:val="21"/>
        </w:rPr>
      </w:pPr>
      <w:r>
        <w:rPr>
          <w:rFonts w:hint="eastAsia" w:ascii="宋体" w:hAnsi="宋体"/>
          <w:color w:val="auto"/>
          <w:szCs w:val="21"/>
        </w:rPr>
        <w:br w:type="page"/>
      </w:r>
    </w:p>
    <w:p w14:paraId="30CCF9D6">
      <w:pPr>
        <w:pStyle w:val="5"/>
        <w:widowControl w:val="0"/>
        <w:overflowPunct w:val="0"/>
        <w:spacing w:line="240" w:lineRule="auto"/>
        <w:rPr>
          <w:color w:val="auto"/>
        </w:rPr>
      </w:pPr>
      <w:bookmarkStart w:id="288" w:name="_Toc16467"/>
      <w:r>
        <w:rPr>
          <w:rFonts w:hint="eastAsia" w:ascii="宋体" w:hAnsi="宋体"/>
          <w:color w:val="auto"/>
          <w:sz w:val="21"/>
          <w:szCs w:val="21"/>
        </w:rPr>
        <w:t>附件1</w:t>
      </w:r>
      <w:r>
        <w:rPr>
          <w:rFonts w:hint="eastAsia" w:ascii="宋体" w:hAnsi="宋体"/>
          <w:color w:val="auto"/>
          <w:sz w:val="21"/>
          <w:szCs w:val="21"/>
          <w:lang w:val="en-US" w:eastAsia="zh-CN"/>
        </w:rPr>
        <w:t>6</w:t>
      </w:r>
      <w:r>
        <w:rPr>
          <w:rFonts w:hint="eastAsia" w:ascii="宋体" w:hAnsi="宋体"/>
          <w:color w:val="auto"/>
          <w:sz w:val="21"/>
          <w:szCs w:val="21"/>
        </w:rPr>
        <w:t>.投标保证金汇入情况说明格式</w:t>
      </w:r>
      <w:bookmarkEnd w:id="288"/>
    </w:p>
    <w:p w14:paraId="2B1E1D57">
      <w:pPr>
        <w:rPr>
          <w:color w:val="auto"/>
        </w:rPr>
      </w:pPr>
    </w:p>
    <w:p w14:paraId="322E3E19">
      <w:pPr>
        <w:jc w:val="center"/>
        <w:rPr>
          <w:rFonts w:ascii="黑体" w:eastAsia="黑体"/>
          <w:color w:val="auto"/>
          <w:sz w:val="28"/>
          <w:szCs w:val="28"/>
        </w:rPr>
      </w:pPr>
      <w:r>
        <w:rPr>
          <w:rFonts w:hint="eastAsia" w:ascii="黑体" w:eastAsia="黑体"/>
          <w:color w:val="auto"/>
          <w:sz w:val="28"/>
          <w:szCs w:val="28"/>
        </w:rPr>
        <w:t>投标保证金汇入情况说明</w:t>
      </w:r>
    </w:p>
    <w:p w14:paraId="2BE75046">
      <w:pPr>
        <w:spacing w:line="480" w:lineRule="auto"/>
        <w:rPr>
          <w:rFonts w:ascii="宋体" w:hAnsi="宋体"/>
          <w:color w:val="auto"/>
          <w:szCs w:val="21"/>
        </w:rPr>
      </w:pPr>
      <w:r>
        <w:rPr>
          <w:rFonts w:hint="eastAsia" w:ascii="宋体" w:hAnsi="宋体"/>
          <w:color w:val="auto"/>
          <w:szCs w:val="21"/>
        </w:rPr>
        <w:t>致：x</w:t>
      </w:r>
      <w:r>
        <w:rPr>
          <w:rFonts w:ascii="宋体" w:hAnsi="宋体"/>
          <w:color w:val="auto"/>
          <w:szCs w:val="21"/>
        </w:rPr>
        <w:t>x</w:t>
      </w:r>
      <w:r>
        <w:rPr>
          <w:rFonts w:hint="eastAsia" w:ascii="宋体" w:hAnsi="宋体"/>
          <w:color w:val="auto"/>
          <w:szCs w:val="21"/>
          <w:lang w:eastAsia="zh-CN"/>
        </w:rPr>
        <w:t>东莞实业投资控股集团有限公司</w:t>
      </w:r>
      <w:r>
        <w:rPr>
          <w:rFonts w:hint="eastAsia" w:ascii="宋体" w:hAnsi="宋体"/>
          <w:color w:val="auto"/>
          <w:szCs w:val="21"/>
        </w:rPr>
        <w:t>：</w:t>
      </w:r>
    </w:p>
    <w:p w14:paraId="70E077D7">
      <w:pPr>
        <w:spacing w:line="480" w:lineRule="auto"/>
        <w:ind w:firstLine="420" w:firstLineChars="200"/>
        <w:rPr>
          <w:rFonts w:ascii="宋体" w:hAnsi="宋体"/>
          <w:color w:val="auto"/>
          <w:szCs w:val="21"/>
        </w:rPr>
      </w:pPr>
      <w:r>
        <w:rPr>
          <w:rFonts w:hint="eastAsia" w:ascii="宋体" w:hAnsi="宋体"/>
          <w:color w:val="auto"/>
          <w:szCs w:val="21"/>
        </w:rPr>
        <w:t>本单位已按</w:t>
      </w:r>
      <w:r>
        <w:rPr>
          <w:rFonts w:hint="eastAsia" w:ascii="宋体" w:hAnsi="宋体"/>
          <w:color w:val="auto"/>
          <w:szCs w:val="21"/>
          <w:u w:val="single"/>
        </w:rPr>
        <w:t xml:space="preserve">         </w:t>
      </w:r>
      <w:r>
        <w:rPr>
          <w:rFonts w:hint="eastAsia" w:ascii="宋体" w:hAnsi="宋体"/>
          <w:color w:val="auto"/>
          <w:szCs w:val="21"/>
        </w:rPr>
        <w:t>项目（采购项目编号：）的采购文件要求，于年月日前以</w:t>
      </w:r>
      <w:r>
        <w:rPr>
          <w:rFonts w:hint="eastAsia" w:ascii="宋体" w:hAnsi="宋体"/>
          <w:color w:val="auto"/>
          <w:szCs w:val="21"/>
          <w:u w:val="single"/>
        </w:rPr>
        <w:t xml:space="preserve">           （付款形式）</w:t>
      </w:r>
      <w:r>
        <w:rPr>
          <w:rFonts w:hint="eastAsia" w:ascii="宋体" w:hAnsi="宋体"/>
          <w:color w:val="auto"/>
          <w:szCs w:val="21"/>
        </w:rPr>
        <w:t>方式汇入指定</w:t>
      </w:r>
      <w:r>
        <w:rPr>
          <w:rFonts w:hint="eastAsia" w:ascii="宋体" w:hAnsi="宋体"/>
          <w:color w:val="auto"/>
          <w:szCs w:val="21"/>
          <w:lang w:val="en-US" w:eastAsia="zh-CN"/>
        </w:rPr>
        <w:t>账户</w:t>
      </w:r>
      <w:r>
        <w:rPr>
          <w:rFonts w:hint="eastAsia" w:ascii="宋体" w:hAnsi="宋体"/>
          <w:color w:val="auto"/>
          <w:szCs w:val="21"/>
        </w:rPr>
        <w:t>（</w:t>
      </w:r>
      <w:r>
        <w:rPr>
          <w:rFonts w:hint="eastAsia" w:ascii="宋体" w:hAnsi="宋体"/>
          <w:color w:val="auto"/>
          <w:szCs w:val="21"/>
          <w:lang w:val="en-US" w:eastAsia="zh-CN"/>
        </w:rPr>
        <w:t>账</w:t>
      </w:r>
      <w:r>
        <w:rPr>
          <w:rFonts w:hint="eastAsia" w:ascii="宋体" w:hAnsi="宋体"/>
          <w:color w:val="auto"/>
          <w:szCs w:val="21"/>
        </w:rPr>
        <w:t>户名称：</w:t>
      </w:r>
      <w:r>
        <w:rPr>
          <w:rFonts w:hint="eastAsia" w:ascii="宋体" w:hAnsi="宋体"/>
          <w:color w:val="auto"/>
          <w:szCs w:val="21"/>
          <w:u w:val="single"/>
        </w:rPr>
        <w:t xml:space="preserve">       </w:t>
      </w:r>
      <w:r>
        <w:rPr>
          <w:rFonts w:hint="eastAsia" w:ascii="宋体" w:hAnsi="宋体"/>
          <w:color w:val="auto"/>
          <w:szCs w:val="21"/>
        </w:rPr>
        <w:t>，</w:t>
      </w:r>
      <w:r>
        <w:rPr>
          <w:rFonts w:hint="eastAsia" w:ascii="宋体" w:hAnsi="宋体"/>
          <w:color w:val="auto"/>
          <w:szCs w:val="21"/>
          <w:lang w:val="en-US" w:eastAsia="zh-CN"/>
        </w:rPr>
        <w:t>账号</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,开户银行：</w:t>
      </w:r>
      <w:r>
        <w:rPr>
          <w:rFonts w:hint="eastAsia" w:ascii="宋体" w:hAnsi="宋体"/>
          <w:color w:val="auto"/>
          <w:szCs w:val="21"/>
          <w:u w:val="single"/>
        </w:rPr>
        <w:t xml:space="preserve">       </w:t>
      </w:r>
      <w:r>
        <w:rPr>
          <w:rFonts w:hint="eastAsia" w:ascii="宋体" w:hAnsi="宋体"/>
          <w:color w:val="auto"/>
          <w:szCs w:val="21"/>
        </w:rPr>
        <w:t>）。</w:t>
      </w:r>
    </w:p>
    <w:p w14:paraId="3EA834FD">
      <w:pPr>
        <w:spacing w:line="480" w:lineRule="auto"/>
        <w:ind w:firstLine="420" w:firstLineChars="200"/>
        <w:rPr>
          <w:rFonts w:ascii="宋体" w:hAnsi="宋体"/>
          <w:color w:val="auto"/>
          <w:szCs w:val="21"/>
        </w:rPr>
      </w:pPr>
      <w:r>
        <w:rPr>
          <w:rFonts w:hint="eastAsia" w:ascii="宋体" w:hAnsi="宋体"/>
          <w:color w:val="auto"/>
          <w:szCs w:val="21"/>
        </w:rPr>
        <w:t>本单位投标保证金的汇款情况：（详见附件－投标保证金进</w:t>
      </w:r>
      <w:r>
        <w:rPr>
          <w:rFonts w:hint="eastAsia" w:ascii="宋体" w:hAnsi="宋体"/>
          <w:color w:val="auto"/>
          <w:szCs w:val="21"/>
          <w:lang w:val="en-US" w:eastAsia="zh-CN"/>
        </w:rPr>
        <w:t>账</w:t>
      </w:r>
      <w:r>
        <w:rPr>
          <w:rFonts w:hint="eastAsia" w:ascii="宋体" w:hAnsi="宋体"/>
          <w:color w:val="auto"/>
          <w:szCs w:val="21"/>
        </w:rPr>
        <w:t>单）</w:t>
      </w:r>
    </w:p>
    <w:p w14:paraId="3EB7E43B">
      <w:pPr>
        <w:spacing w:line="480" w:lineRule="auto"/>
        <w:ind w:firstLine="420" w:firstLineChars="200"/>
        <w:rPr>
          <w:rFonts w:ascii="宋体" w:hAnsi="宋体"/>
          <w:color w:val="auto"/>
          <w:szCs w:val="21"/>
        </w:rPr>
      </w:pPr>
      <w:r>
        <w:rPr>
          <w:rFonts w:hint="eastAsia" w:ascii="宋体" w:hAnsi="宋体"/>
          <w:color w:val="auto"/>
          <w:szCs w:val="21"/>
        </w:rPr>
        <w:t>汇出时间：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677527F">
      <w:pPr>
        <w:spacing w:line="480" w:lineRule="auto"/>
        <w:ind w:firstLine="420" w:firstLineChars="200"/>
        <w:rPr>
          <w:rFonts w:ascii="宋体" w:hAnsi="宋体"/>
          <w:color w:val="auto"/>
          <w:szCs w:val="21"/>
        </w:rPr>
      </w:pPr>
      <w:r>
        <w:rPr>
          <w:rFonts w:hint="eastAsia" w:ascii="宋体" w:hAnsi="宋体"/>
          <w:color w:val="auto"/>
          <w:szCs w:val="21"/>
        </w:rPr>
        <w:t>汇款金额：（大写）人民币</w:t>
      </w:r>
      <w:r>
        <w:rPr>
          <w:rFonts w:hint="eastAsia" w:ascii="宋体" w:hAnsi="宋体"/>
          <w:color w:val="auto"/>
          <w:szCs w:val="21"/>
          <w:u w:val="single"/>
        </w:rPr>
        <w:t xml:space="preserve">       </w:t>
      </w:r>
      <w:r>
        <w:rPr>
          <w:rFonts w:hint="eastAsia" w:ascii="宋体" w:hAnsi="宋体"/>
          <w:color w:val="auto"/>
          <w:szCs w:val="21"/>
        </w:rPr>
        <w:t>元（小写：￥</w:t>
      </w:r>
      <w:r>
        <w:rPr>
          <w:rFonts w:hint="eastAsia" w:ascii="宋体" w:hAnsi="宋体"/>
          <w:color w:val="auto"/>
          <w:szCs w:val="21"/>
          <w:u w:val="single"/>
        </w:rPr>
        <w:t xml:space="preserve">       </w:t>
      </w:r>
      <w:r>
        <w:rPr>
          <w:rFonts w:hint="eastAsia" w:ascii="宋体" w:hAnsi="宋体"/>
          <w:color w:val="auto"/>
          <w:szCs w:val="21"/>
        </w:rPr>
        <w:t>元），</w:t>
      </w:r>
    </w:p>
    <w:p w14:paraId="2B45689E">
      <w:pPr>
        <w:spacing w:line="480" w:lineRule="auto"/>
        <w:ind w:firstLine="420" w:firstLineChars="200"/>
        <w:rPr>
          <w:rFonts w:ascii="宋体" w:hAnsi="宋体"/>
          <w:color w:val="auto"/>
          <w:szCs w:val="21"/>
        </w:rPr>
      </w:pPr>
      <w:r>
        <w:rPr>
          <w:rFonts w:hint="eastAsia" w:ascii="宋体" w:hAnsi="宋体"/>
          <w:color w:val="auto"/>
          <w:szCs w:val="21"/>
        </w:rPr>
        <w:t>汇款</w:t>
      </w:r>
      <w:r>
        <w:rPr>
          <w:rFonts w:hint="eastAsia" w:ascii="宋体" w:hAnsi="宋体"/>
          <w:color w:val="auto"/>
          <w:szCs w:val="21"/>
          <w:u w:val="none"/>
          <w:lang w:val="en-US" w:eastAsia="zh-CN"/>
        </w:rPr>
        <w:t>账</w:t>
      </w:r>
      <w:r>
        <w:rPr>
          <w:rFonts w:hint="eastAsia" w:ascii="宋体" w:hAnsi="宋体"/>
          <w:color w:val="auto"/>
          <w:szCs w:val="21"/>
        </w:rPr>
        <w:t>户名称：</w:t>
      </w:r>
      <w:r>
        <w:rPr>
          <w:rFonts w:hint="eastAsia" w:ascii="宋体" w:hAnsi="宋体"/>
          <w:color w:val="auto"/>
          <w:szCs w:val="21"/>
          <w:u w:val="single"/>
        </w:rPr>
        <w:t xml:space="preserve">  （必须是投标时使用的</w:t>
      </w:r>
      <w:r>
        <w:rPr>
          <w:rFonts w:hint="eastAsia" w:ascii="宋体" w:hAnsi="宋体"/>
          <w:color w:val="auto"/>
          <w:szCs w:val="21"/>
          <w:u w:val="single"/>
          <w:lang w:val="en-US" w:eastAsia="zh-CN"/>
        </w:rPr>
        <w:t>账</w:t>
      </w:r>
      <w:r>
        <w:rPr>
          <w:rFonts w:hint="eastAsia" w:ascii="宋体" w:hAnsi="宋体"/>
          <w:color w:val="auto"/>
          <w:szCs w:val="21"/>
          <w:u w:val="single"/>
        </w:rPr>
        <w:t xml:space="preserve">户名）   </w:t>
      </w:r>
    </w:p>
    <w:p w14:paraId="22E8FD9B">
      <w:pPr>
        <w:spacing w:line="480" w:lineRule="auto"/>
        <w:ind w:firstLine="420" w:firstLineChars="200"/>
        <w:rPr>
          <w:rFonts w:ascii="宋体" w:hAnsi="宋体"/>
          <w:color w:val="auto"/>
          <w:szCs w:val="21"/>
        </w:rPr>
      </w:pPr>
      <w:r>
        <w:rPr>
          <w:rFonts w:hint="eastAsia" w:ascii="宋体" w:hAnsi="宋体"/>
          <w:color w:val="auto"/>
          <w:szCs w:val="21"/>
          <w:lang w:val="en-US" w:eastAsia="zh-CN"/>
        </w:rPr>
        <w:t>账</w:t>
      </w:r>
      <w:r>
        <w:rPr>
          <w:rFonts w:hint="eastAsia" w:ascii="宋体" w:hAnsi="宋体"/>
          <w:color w:val="auto"/>
          <w:szCs w:val="21"/>
        </w:rPr>
        <w:t xml:space="preserve">        号：</w:t>
      </w:r>
      <w:r>
        <w:rPr>
          <w:rFonts w:hint="eastAsia" w:ascii="宋体" w:hAnsi="宋体"/>
          <w:color w:val="auto"/>
          <w:szCs w:val="21"/>
          <w:u w:val="single"/>
        </w:rPr>
        <w:t xml:space="preserve">  （必须是投标时使用的</w:t>
      </w:r>
      <w:r>
        <w:rPr>
          <w:rFonts w:hint="eastAsia" w:ascii="宋体" w:hAnsi="宋体"/>
          <w:color w:val="auto"/>
          <w:szCs w:val="21"/>
          <w:u w:val="single"/>
          <w:lang w:val="en-US" w:eastAsia="zh-CN"/>
        </w:rPr>
        <w:t>账号</w:t>
      </w:r>
      <w:r>
        <w:rPr>
          <w:rFonts w:hint="eastAsia" w:ascii="宋体" w:hAnsi="宋体"/>
          <w:color w:val="auto"/>
          <w:szCs w:val="21"/>
          <w:u w:val="single"/>
        </w:rPr>
        <w:t xml:space="preserve">）        </w:t>
      </w:r>
    </w:p>
    <w:p w14:paraId="49768359">
      <w:pPr>
        <w:spacing w:line="480" w:lineRule="auto"/>
        <w:ind w:firstLine="420" w:firstLineChars="200"/>
        <w:rPr>
          <w:rFonts w:ascii="宋体" w:hAnsi="宋体"/>
          <w:color w:val="auto"/>
          <w:szCs w:val="21"/>
          <w:u w:val="single"/>
        </w:rPr>
      </w:pPr>
      <w:r>
        <w:rPr>
          <w:rFonts w:hint="eastAsia" w:ascii="宋体" w:hAnsi="宋体"/>
          <w:color w:val="auto"/>
          <w:szCs w:val="21"/>
        </w:rPr>
        <w:t>开 户  银 行：</w:t>
      </w:r>
      <w:r>
        <w:rPr>
          <w:rFonts w:hint="eastAsia" w:ascii="宋体" w:hAnsi="宋体"/>
          <w:color w:val="auto"/>
          <w:szCs w:val="21"/>
          <w:u w:val="single"/>
        </w:rPr>
        <w:t xml:space="preserve">  （  XX 银行 XX 分行 XX 支行   ）</w:t>
      </w:r>
    </w:p>
    <w:p w14:paraId="0295C170">
      <w:pPr>
        <w:spacing w:line="480" w:lineRule="auto"/>
        <w:ind w:firstLine="420" w:firstLineChars="200"/>
        <w:rPr>
          <w:rFonts w:ascii="宋体" w:hAnsi="宋体"/>
          <w:color w:val="auto"/>
          <w:szCs w:val="21"/>
        </w:rPr>
      </w:pPr>
      <w:r>
        <w:rPr>
          <w:rFonts w:hint="eastAsia" w:ascii="宋体" w:hAnsi="宋体"/>
          <w:color w:val="auto"/>
          <w:szCs w:val="21"/>
        </w:rPr>
        <w:t>本单位谨承诺上述资料是正确、真实的，如因上述证明与事实不符导致的一切损失，本单位保证承担赔偿等一切法律责任。</w:t>
      </w:r>
    </w:p>
    <w:p w14:paraId="7516799E">
      <w:pPr>
        <w:spacing w:line="480" w:lineRule="auto"/>
        <w:ind w:firstLine="420" w:firstLineChars="200"/>
        <w:rPr>
          <w:rFonts w:ascii="宋体" w:hAnsi="宋体"/>
          <w:color w:val="auto"/>
          <w:szCs w:val="21"/>
        </w:rPr>
      </w:pPr>
      <w:r>
        <w:rPr>
          <w:rFonts w:hint="eastAsia" w:ascii="宋体" w:hAnsi="宋体"/>
          <w:color w:val="auto"/>
          <w:szCs w:val="21"/>
        </w:rPr>
        <w:t>投标保证金退回时，请按上述资料退回。</w:t>
      </w:r>
    </w:p>
    <w:p w14:paraId="305EF6D7">
      <w:pPr>
        <w:spacing w:line="480" w:lineRule="auto"/>
        <w:ind w:right="844" w:rightChars="402"/>
        <w:jc w:val="right"/>
        <w:rPr>
          <w:rFonts w:ascii="宋体" w:hAnsi="宋体"/>
          <w:color w:val="auto"/>
          <w:szCs w:val="21"/>
        </w:rPr>
      </w:pPr>
      <w:r>
        <w:rPr>
          <w:rFonts w:hint="eastAsia" w:ascii="宋体" w:hAnsi="宋体"/>
          <w:color w:val="auto"/>
          <w:szCs w:val="21"/>
        </w:rPr>
        <w:t>（单位公章）</w:t>
      </w:r>
    </w:p>
    <w:p w14:paraId="42ED62A0">
      <w:pPr>
        <w:spacing w:line="480" w:lineRule="auto"/>
        <w:ind w:right="628" w:rightChars="299"/>
        <w:jc w:val="right"/>
        <w:rPr>
          <w:rFonts w:ascii="宋体" w:hAnsi="宋体"/>
          <w:color w:val="auto"/>
          <w:szCs w:val="21"/>
        </w:rPr>
      </w:pPr>
      <w:r>
        <w:rPr>
          <w:rFonts w:hint="eastAsia" w:ascii="宋体" w:hAnsi="宋体"/>
          <w:color w:val="auto"/>
          <w:szCs w:val="21"/>
        </w:rPr>
        <w:t>年 月 日</w:t>
      </w:r>
    </w:p>
    <w:p w14:paraId="2E865EF0">
      <w:pPr>
        <w:spacing w:line="480" w:lineRule="auto"/>
        <w:rPr>
          <w:rFonts w:ascii="宋体" w:hAnsi="宋体"/>
          <w:color w:val="auto"/>
          <w:szCs w:val="21"/>
        </w:rPr>
      </w:pPr>
      <w:r>
        <w:rPr>
          <w:rFonts w:hint="eastAsia" w:ascii="宋体" w:hAnsi="宋体"/>
          <w:color w:val="auto"/>
          <w:szCs w:val="21"/>
        </w:rPr>
        <w:t>单位名称：</w:t>
      </w:r>
    </w:p>
    <w:p w14:paraId="4755315A">
      <w:pPr>
        <w:spacing w:line="480" w:lineRule="auto"/>
        <w:rPr>
          <w:rFonts w:ascii="宋体" w:hAnsi="宋体"/>
          <w:color w:val="auto"/>
          <w:szCs w:val="21"/>
        </w:rPr>
      </w:pPr>
      <w:r>
        <w:rPr>
          <w:rFonts w:hint="eastAsia" w:ascii="宋体" w:hAnsi="宋体"/>
          <w:color w:val="auto"/>
          <w:szCs w:val="21"/>
        </w:rPr>
        <w:t>单位地址：</w:t>
      </w:r>
    </w:p>
    <w:p w14:paraId="516F6B8A">
      <w:pPr>
        <w:spacing w:line="480" w:lineRule="auto"/>
        <w:rPr>
          <w:rFonts w:ascii="宋体" w:hAnsi="宋体"/>
          <w:color w:val="auto"/>
          <w:szCs w:val="21"/>
        </w:rPr>
      </w:pPr>
      <w:r>
        <w:rPr>
          <w:rFonts w:hint="eastAsia" w:ascii="宋体" w:hAnsi="宋体"/>
          <w:color w:val="auto"/>
          <w:szCs w:val="21"/>
        </w:rPr>
        <w:t>联系人：</w:t>
      </w:r>
    </w:p>
    <w:p w14:paraId="109BA701">
      <w:pPr>
        <w:spacing w:line="480" w:lineRule="auto"/>
        <w:rPr>
          <w:rFonts w:ascii="宋体" w:hAnsi="宋体"/>
          <w:color w:val="auto"/>
          <w:szCs w:val="21"/>
        </w:rPr>
      </w:pPr>
      <w:r>
        <w:rPr>
          <w:rFonts w:hint="eastAsia" w:ascii="宋体" w:hAnsi="宋体"/>
          <w:color w:val="auto"/>
          <w:szCs w:val="21"/>
        </w:rPr>
        <w:t>单位电话： 联系人手机：</w:t>
      </w:r>
    </w:p>
    <w:p w14:paraId="7CC6AEB7">
      <w:pPr>
        <w:rPr>
          <w:rFonts w:ascii="宋体" w:hAnsi="宋体"/>
          <w:color w:val="auto"/>
          <w:szCs w:val="21"/>
        </w:rPr>
      </w:pPr>
    </w:p>
    <w:p w14:paraId="28E26B8D">
      <w:pPr>
        <w:spacing w:line="380" w:lineRule="exact"/>
        <w:ind w:firstLine="420" w:firstLineChars="200"/>
        <w:rPr>
          <w:rFonts w:ascii="宋体" w:hAnsi="宋体"/>
          <w:color w:val="auto"/>
          <w:szCs w:val="21"/>
        </w:rPr>
      </w:pPr>
      <w:r>
        <w:rPr>
          <w:rFonts w:hint="eastAsia" w:ascii="宋体" w:hAnsi="宋体"/>
          <w:color w:val="auto"/>
          <w:szCs w:val="21"/>
        </w:rPr>
        <w:br w:type="page"/>
      </w:r>
    </w:p>
    <w:p w14:paraId="62B86DAB">
      <w:pPr>
        <w:spacing w:line="380" w:lineRule="exact"/>
        <w:ind w:firstLine="420" w:firstLineChars="200"/>
        <w:rPr>
          <w:rFonts w:ascii="宋体" w:hAnsi="宋体"/>
          <w:color w:val="auto"/>
          <w:szCs w:val="21"/>
        </w:rPr>
      </w:pPr>
      <w:r>
        <w:rPr>
          <w:rFonts w:hint="eastAsia" w:ascii="宋体" w:hAnsi="宋体"/>
          <w:color w:val="auto"/>
          <w:szCs w:val="21"/>
        </w:rPr>
        <w:t>附：我方投标保证金汇款凭证</w:t>
      </w:r>
    </w:p>
    <w:tbl>
      <w:tblPr>
        <w:tblStyle w:val="30"/>
        <w:tblW w:w="78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0"/>
      </w:tblGrid>
      <w:tr w14:paraId="688D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trPr>
        <w:tc>
          <w:tcPr>
            <w:tcW w:w="7800" w:type="dxa"/>
            <w:vAlign w:val="center"/>
          </w:tcPr>
          <w:p w14:paraId="32457392">
            <w:pPr>
              <w:tabs>
                <w:tab w:val="left" w:pos="3885"/>
              </w:tabs>
              <w:jc w:val="center"/>
              <w:rPr>
                <w:rFonts w:ascii="宋体" w:hAnsi="宋体"/>
                <w:color w:val="auto"/>
                <w:szCs w:val="21"/>
              </w:rPr>
            </w:pPr>
            <w:r>
              <w:rPr>
                <w:rFonts w:hint="eastAsia" w:ascii="宋体" w:hAnsi="宋体"/>
                <w:color w:val="auto"/>
                <w:szCs w:val="21"/>
              </w:rPr>
              <w:t>（粘贴汇款单或转账</w:t>
            </w:r>
            <w:r>
              <w:rPr>
                <w:rFonts w:ascii="宋体" w:hAnsi="宋体"/>
                <w:color w:val="auto"/>
                <w:szCs w:val="21"/>
              </w:rPr>
              <w:t>凭证</w:t>
            </w:r>
            <w:r>
              <w:rPr>
                <w:rFonts w:hint="eastAsia" w:ascii="宋体" w:hAnsi="宋体"/>
                <w:color w:val="auto"/>
                <w:szCs w:val="21"/>
              </w:rPr>
              <w:t>复印件，并在骑缝上加盖投标人公章，或是直接把转账</w:t>
            </w:r>
            <w:r>
              <w:rPr>
                <w:rFonts w:ascii="宋体" w:hAnsi="宋体"/>
                <w:color w:val="auto"/>
                <w:szCs w:val="21"/>
              </w:rPr>
              <w:t>凭证</w:t>
            </w:r>
            <w:r>
              <w:rPr>
                <w:rFonts w:hint="eastAsia" w:ascii="宋体" w:hAnsi="宋体"/>
                <w:color w:val="auto"/>
                <w:szCs w:val="21"/>
              </w:rPr>
              <w:t>复印到此张纸上）</w:t>
            </w:r>
          </w:p>
        </w:tc>
      </w:tr>
    </w:tbl>
    <w:p w14:paraId="5DDE2C94">
      <w:pPr>
        <w:spacing w:line="480" w:lineRule="auto"/>
        <w:ind w:firstLine="420" w:firstLineChars="200"/>
        <w:rPr>
          <w:rFonts w:ascii="宋体" w:hAnsi="宋体"/>
          <w:color w:val="auto"/>
          <w:szCs w:val="21"/>
        </w:rPr>
      </w:pPr>
      <w:r>
        <w:rPr>
          <w:rFonts w:hint="eastAsia" w:ascii="宋体" w:hAnsi="宋体"/>
          <w:color w:val="auto"/>
          <w:szCs w:val="21"/>
        </w:rPr>
        <w:t>注：此表既要装订在投标文件中，又要按投标人须知的规定与开标一览表、投标保证金汇款底单复印件及授权委托书一同密封装入唱标信封，唱标信封单独提交。</w:t>
      </w:r>
    </w:p>
    <w:p w14:paraId="43BCC6F4">
      <w:pPr>
        <w:rPr>
          <w:rFonts w:ascii="宋体" w:hAnsi="宋体"/>
          <w:color w:val="auto"/>
          <w:szCs w:val="21"/>
        </w:rPr>
      </w:pPr>
    </w:p>
    <w:p w14:paraId="25D51A6B">
      <w:pPr>
        <w:rPr>
          <w:rFonts w:ascii="宋体" w:hAnsi="宋体"/>
          <w:color w:val="auto"/>
          <w:szCs w:val="21"/>
        </w:rPr>
      </w:pPr>
    </w:p>
    <w:p w14:paraId="50B24F72">
      <w:pPr>
        <w:rPr>
          <w:rFonts w:ascii="宋体" w:hAnsi="宋体"/>
          <w:color w:val="auto"/>
          <w:szCs w:val="21"/>
        </w:rPr>
      </w:pPr>
    </w:p>
    <w:p w14:paraId="59278CCD">
      <w:pPr>
        <w:rPr>
          <w:rFonts w:ascii="宋体" w:hAnsi="宋体"/>
          <w:color w:val="auto"/>
          <w:szCs w:val="21"/>
        </w:rPr>
      </w:pPr>
    </w:p>
    <w:p w14:paraId="7D3BFAF6">
      <w:pPr>
        <w:rPr>
          <w:rFonts w:ascii="宋体" w:hAnsi="宋体"/>
          <w:color w:val="auto"/>
          <w:szCs w:val="21"/>
        </w:rPr>
      </w:pPr>
    </w:p>
    <w:p w14:paraId="01BC6939">
      <w:pPr>
        <w:rPr>
          <w:rFonts w:ascii="宋体" w:hAnsi="宋体"/>
          <w:color w:val="auto"/>
          <w:szCs w:val="21"/>
        </w:rPr>
      </w:pPr>
    </w:p>
    <w:p w14:paraId="2CF9723A">
      <w:pPr>
        <w:rPr>
          <w:rFonts w:ascii="宋体" w:hAnsi="宋体"/>
          <w:color w:val="auto"/>
          <w:szCs w:val="21"/>
        </w:rPr>
      </w:pPr>
    </w:p>
    <w:p w14:paraId="72186DD8">
      <w:pPr>
        <w:rPr>
          <w:rFonts w:ascii="宋体" w:hAnsi="宋体"/>
          <w:color w:val="auto"/>
          <w:szCs w:val="21"/>
        </w:rPr>
      </w:pPr>
    </w:p>
    <w:p w14:paraId="29D73B88">
      <w:pPr>
        <w:rPr>
          <w:rFonts w:ascii="宋体" w:hAnsi="宋体"/>
          <w:color w:val="auto"/>
          <w:szCs w:val="21"/>
        </w:rPr>
      </w:pPr>
    </w:p>
    <w:p w14:paraId="2EAEBA24">
      <w:pPr>
        <w:rPr>
          <w:rFonts w:ascii="宋体" w:hAnsi="宋体"/>
          <w:color w:val="auto"/>
          <w:szCs w:val="21"/>
        </w:rPr>
      </w:pPr>
    </w:p>
    <w:p w14:paraId="2CC70384">
      <w:pPr>
        <w:rPr>
          <w:rFonts w:ascii="宋体" w:hAnsi="宋体"/>
          <w:color w:val="auto"/>
          <w:szCs w:val="21"/>
        </w:rPr>
      </w:pPr>
    </w:p>
    <w:p w14:paraId="2C7E1737">
      <w:pPr>
        <w:rPr>
          <w:rFonts w:ascii="宋体" w:hAnsi="宋体"/>
          <w:color w:val="auto"/>
          <w:szCs w:val="21"/>
        </w:rPr>
      </w:pPr>
    </w:p>
    <w:p w14:paraId="2D2777D0">
      <w:pPr>
        <w:rPr>
          <w:rFonts w:ascii="宋体" w:hAnsi="宋体"/>
          <w:color w:val="auto"/>
          <w:szCs w:val="21"/>
        </w:rPr>
      </w:pPr>
    </w:p>
    <w:p w14:paraId="4B185F6F">
      <w:pPr>
        <w:rPr>
          <w:rFonts w:ascii="宋体" w:hAnsi="宋体"/>
          <w:color w:val="auto"/>
          <w:szCs w:val="21"/>
        </w:rPr>
      </w:pPr>
    </w:p>
    <w:p w14:paraId="6DE3C432">
      <w:pPr>
        <w:rPr>
          <w:rFonts w:ascii="宋体" w:hAnsi="宋体"/>
          <w:color w:val="auto"/>
          <w:szCs w:val="21"/>
        </w:rPr>
      </w:pPr>
    </w:p>
    <w:p w14:paraId="07583211">
      <w:pPr>
        <w:rPr>
          <w:rFonts w:ascii="宋体" w:hAnsi="宋体"/>
          <w:color w:val="auto"/>
          <w:szCs w:val="21"/>
        </w:rPr>
      </w:pPr>
    </w:p>
    <w:p w14:paraId="641EA604">
      <w:pPr>
        <w:rPr>
          <w:rFonts w:ascii="宋体" w:hAnsi="宋体"/>
          <w:color w:val="auto"/>
          <w:szCs w:val="21"/>
        </w:rPr>
      </w:pPr>
    </w:p>
    <w:p w14:paraId="777DC56B">
      <w:pPr>
        <w:rPr>
          <w:rFonts w:ascii="宋体" w:hAnsi="宋体"/>
          <w:color w:val="auto"/>
          <w:szCs w:val="21"/>
        </w:rPr>
      </w:pPr>
    </w:p>
    <w:p w14:paraId="499EF651">
      <w:pPr>
        <w:rPr>
          <w:rFonts w:ascii="宋体" w:hAnsi="宋体"/>
          <w:color w:val="auto"/>
          <w:szCs w:val="21"/>
        </w:rPr>
      </w:pPr>
    </w:p>
    <w:p w14:paraId="12B8F0F4">
      <w:pPr>
        <w:rPr>
          <w:rFonts w:ascii="宋体" w:hAnsi="宋体"/>
          <w:color w:val="auto"/>
          <w:szCs w:val="21"/>
        </w:rPr>
      </w:pPr>
    </w:p>
    <w:p w14:paraId="26049796">
      <w:pPr>
        <w:rPr>
          <w:rFonts w:ascii="宋体" w:hAnsi="宋体"/>
          <w:color w:val="auto"/>
          <w:szCs w:val="21"/>
        </w:rPr>
      </w:pPr>
    </w:p>
    <w:p w14:paraId="72713AB4">
      <w:pPr>
        <w:pStyle w:val="5"/>
        <w:numPr>
          <w:ilvl w:val="255"/>
          <w:numId w:val="0"/>
        </w:numPr>
        <w:tabs>
          <w:tab w:val="left" w:pos="720"/>
          <w:tab w:val="left" w:pos="3840"/>
        </w:tabs>
        <w:ind w:left="283"/>
        <w:jc w:val="both"/>
        <w:rPr>
          <w:rFonts w:ascii="宋体" w:hAnsi="宋体"/>
          <w:color w:val="auto"/>
          <w:sz w:val="21"/>
          <w:szCs w:val="21"/>
        </w:rPr>
      </w:pPr>
      <w:bookmarkStart w:id="289" w:name="_Toc29855"/>
      <w:bookmarkStart w:id="290" w:name="_Toc17028"/>
      <w:bookmarkStart w:id="291" w:name="_Toc19947"/>
      <w:bookmarkStart w:id="292" w:name="_Toc25861"/>
      <w:bookmarkStart w:id="293" w:name="_Toc4866"/>
      <w:bookmarkStart w:id="294" w:name="_Toc2144"/>
      <w:bookmarkStart w:id="295" w:name="_Toc18296"/>
      <w:bookmarkStart w:id="296" w:name="_Toc21730"/>
      <w:bookmarkStart w:id="297" w:name="_Toc1562"/>
      <w:bookmarkStart w:id="298" w:name="_Toc14605"/>
      <w:bookmarkStart w:id="299" w:name="_Toc28623"/>
      <w:r>
        <w:rPr>
          <w:rFonts w:hint="eastAsia" w:ascii="宋体" w:hAnsi="宋体"/>
          <w:color w:val="auto"/>
          <w:sz w:val="21"/>
          <w:szCs w:val="21"/>
        </w:rPr>
        <w:t>附件1</w:t>
      </w:r>
      <w:r>
        <w:rPr>
          <w:rFonts w:hint="eastAsia" w:ascii="宋体" w:hAnsi="宋体"/>
          <w:color w:val="auto"/>
          <w:sz w:val="21"/>
          <w:szCs w:val="21"/>
          <w:lang w:val="en-US" w:eastAsia="zh-CN"/>
        </w:rPr>
        <w:t>7</w:t>
      </w:r>
      <w:r>
        <w:rPr>
          <w:rFonts w:hint="eastAsia" w:ascii="宋体" w:hAnsi="宋体"/>
          <w:color w:val="auto"/>
          <w:sz w:val="21"/>
          <w:szCs w:val="21"/>
        </w:rPr>
        <w:t>.不可撤销履约保函</w:t>
      </w:r>
      <w:bookmarkEnd w:id="289"/>
      <w:bookmarkEnd w:id="290"/>
      <w:bookmarkEnd w:id="291"/>
      <w:bookmarkEnd w:id="292"/>
      <w:bookmarkEnd w:id="293"/>
      <w:bookmarkEnd w:id="294"/>
      <w:bookmarkEnd w:id="295"/>
      <w:bookmarkEnd w:id="296"/>
      <w:bookmarkEnd w:id="297"/>
      <w:bookmarkEnd w:id="298"/>
      <w:bookmarkEnd w:id="299"/>
    </w:p>
    <w:p w14:paraId="2FEDBB6B">
      <w:pPr>
        <w:jc w:val="center"/>
        <w:rPr>
          <w:rFonts w:ascii="宋体" w:hAnsi="宋体"/>
          <w:color w:val="auto"/>
        </w:rPr>
      </w:pPr>
      <w:r>
        <w:rPr>
          <w:rFonts w:hint="eastAsia" w:ascii="宋体" w:hAnsi="宋体"/>
          <w:color w:val="auto"/>
        </w:rPr>
        <w:t>银行编号：</w:t>
      </w:r>
    </w:p>
    <w:p w14:paraId="35F5EE14">
      <w:pPr>
        <w:rPr>
          <w:rFonts w:ascii="宋体" w:hAnsi="宋体"/>
          <w:color w:val="auto"/>
        </w:rPr>
      </w:pPr>
      <w:r>
        <w:rPr>
          <w:rFonts w:ascii="宋体" w:hAnsi="宋体"/>
          <w:color w:val="auto"/>
        </w:rPr>
        <w:t>致：</w:t>
      </w:r>
      <w:r>
        <w:rPr>
          <w:rFonts w:hint="eastAsia" w:ascii="宋体" w:hAnsi="宋体"/>
          <w:color w:val="auto"/>
          <w:u w:val="single"/>
        </w:rPr>
        <w:t xml:space="preserve">                        </w:t>
      </w:r>
      <w:r>
        <w:rPr>
          <w:rFonts w:hint="eastAsia" w:ascii="宋体" w:hAnsi="宋体"/>
          <w:color w:val="auto"/>
        </w:rPr>
        <w:t>（</w:t>
      </w:r>
      <w:r>
        <w:rPr>
          <w:rFonts w:hint="eastAsia"/>
          <w:color w:val="auto"/>
        </w:rPr>
        <w:t>甲方</w:t>
      </w:r>
      <w:r>
        <w:rPr>
          <w:rFonts w:hint="eastAsia" w:ascii="宋体" w:hAnsi="宋体"/>
          <w:color w:val="auto"/>
        </w:rPr>
        <w:t>）</w:t>
      </w:r>
    </w:p>
    <w:p w14:paraId="44063BA5">
      <w:pPr>
        <w:ind w:firstLine="420" w:firstLineChars="200"/>
        <w:rPr>
          <w:rFonts w:ascii="宋体" w:hAnsi="宋体"/>
          <w:color w:val="auto"/>
        </w:rPr>
      </w:pPr>
      <w:r>
        <w:rPr>
          <w:rFonts w:hint="eastAsia" w:ascii="宋体" w:hAnsi="宋体"/>
          <w:color w:val="auto"/>
        </w:rPr>
        <w:t>鉴于</w:t>
      </w:r>
      <w:r>
        <w:rPr>
          <w:rFonts w:hint="eastAsia" w:ascii="宋体" w:hAnsi="宋体"/>
          <w:color w:val="auto"/>
          <w:u w:val="single"/>
        </w:rPr>
        <w:t xml:space="preserve">         （地址：          ，下称 “乙方” ）</w:t>
      </w:r>
      <w:r>
        <w:rPr>
          <w:rFonts w:hint="eastAsia" w:ascii="宋体" w:hAnsi="宋体"/>
          <w:color w:val="auto"/>
        </w:rPr>
        <w:t>已保证按</w:t>
      </w:r>
      <w:r>
        <w:rPr>
          <w:rFonts w:hint="eastAsia" w:ascii="宋体" w:hAnsi="宋体"/>
          <w:color w:val="auto"/>
          <w:u w:val="single"/>
        </w:rPr>
        <w:t xml:space="preserve">        承包合同书（合同编号：    ）</w:t>
      </w:r>
      <w:r>
        <w:rPr>
          <w:rFonts w:hint="eastAsia" w:ascii="宋体" w:hAnsi="宋体"/>
          <w:color w:val="auto"/>
        </w:rPr>
        <w:t>中规定的义务履行合同。</w:t>
      </w:r>
    </w:p>
    <w:p w14:paraId="4832E8B3">
      <w:pPr>
        <w:ind w:firstLine="420" w:firstLineChars="200"/>
        <w:rPr>
          <w:rFonts w:ascii="宋体" w:hAnsi="宋体"/>
          <w:color w:val="auto"/>
        </w:rPr>
      </w:pPr>
      <w:r>
        <w:rPr>
          <w:rFonts w:hint="eastAsia" w:ascii="宋体" w:hAnsi="宋体"/>
          <w:color w:val="auto"/>
        </w:rPr>
        <w:t>根据上述合同约定，乙方应向</w:t>
      </w:r>
      <w:r>
        <w:rPr>
          <w:rFonts w:hint="eastAsia"/>
          <w:color w:val="auto"/>
        </w:rPr>
        <w:t>甲方</w:t>
      </w:r>
      <w:r>
        <w:rPr>
          <w:rFonts w:hint="eastAsia" w:ascii="宋体" w:hAnsi="宋体"/>
          <w:color w:val="auto"/>
        </w:rPr>
        <w:t>提供一份金额为合同总价的10%即</w:t>
      </w:r>
      <w:r>
        <w:rPr>
          <w:rFonts w:hint="eastAsia" w:ascii="宋体" w:hAnsi="宋体"/>
          <w:color w:val="auto"/>
          <w:u w:val="single"/>
        </w:rPr>
        <w:t>人民币      （RMB    元）</w:t>
      </w:r>
      <w:r>
        <w:rPr>
          <w:rFonts w:hint="eastAsia" w:ascii="宋体" w:hAnsi="宋体"/>
          <w:color w:val="auto"/>
        </w:rPr>
        <w:t>的</w:t>
      </w:r>
      <w:r>
        <w:rPr>
          <w:rFonts w:hint="eastAsia" w:ascii="宋体" w:hAnsi="宋体"/>
          <w:bCs/>
          <w:color w:val="auto"/>
        </w:rPr>
        <w:t>不可撤销</w:t>
      </w:r>
      <w:r>
        <w:rPr>
          <w:rFonts w:hint="eastAsia" w:ascii="宋体" w:hAnsi="宋体"/>
          <w:color w:val="auto"/>
        </w:rPr>
        <w:t>银行履约保函，作为乙方履行上述合同的担保。</w:t>
      </w:r>
    </w:p>
    <w:p w14:paraId="62B09A62">
      <w:pPr>
        <w:ind w:firstLine="420" w:firstLineChars="200"/>
        <w:rPr>
          <w:rFonts w:ascii="宋体" w:hAnsi="宋体"/>
          <w:color w:val="auto"/>
        </w:rPr>
      </w:pPr>
      <w:r>
        <w:rPr>
          <w:rFonts w:hint="eastAsia" w:ascii="宋体" w:hAnsi="宋体"/>
          <w:color w:val="auto"/>
        </w:rPr>
        <w:t>我方</w:t>
      </w:r>
      <w:r>
        <w:rPr>
          <w:rFonts w:hint="eastAsia" w:ascii="宋体" w:hAnsi="宋体"/>
          <w:color w:val="auto"/>
          <w:u w:val="single"/>
        </w:rPr>
        <w:t xml:space="preserve">            （银行名称）</w:t>
      </w:r>
      <w:r>
        <w:rPr>
          <w:rFonts w:hint="eastAsia" w:ascii="宋体" w:hAnsi="宋体"/>
          <w:color w:val="auto"/>
        </w:rPr>
        <w:t>，受乙方的委托，不仅作为连带责任保证人而且作为主要的责任人，无条件和不可撤销地同意在</w:t>
      </w:r>
      <w:r>
        <w:rPr>
          <w:rFonts w:hint="eastAsia"/>
          <w:color w:val="auto"/>
        </w:rPr>
        <w:t>甲方</w:t>
      </w:r>
      <w:r>
        <w:rPr>
          <w:rFonts w:hint="eastAsia" w:ascii="宋体" w:hAnsi="宋体"/>
          <w:color w:val="auto"/>
        </w:rPr>
        <w:t>提出因乙方没有履行上述合同规定，而要求扣划保证金的书面要求后，7个工作日内为</w:t>
      </w:r>
      <w:r>
        <w:rPr>
          <w:rFonts w:hint="eastAsia"/>
          <w:color w:val="auto"/>
        </w:rPr>
        <w:t>甲方</w:t>
      </w:r>
      <w:r>
        <w:rPr>
          <w:rFonts w:hint="eastAsia" w:ascii="宋体" w:hAnsi="宋体"/>
          <w:color w:val="auto"/>
        </w:rPr>
        <w:t>扣划金额不超过</w:t>
      </w:r>
      <w:r>
        <w:rPr>
          <w:rFonts w:hint="eastAsia" w:ascii="宋体" w:hAnsi="宋体"/>
          <w:color w:val="auto"/>
          <w:u w:val="single"/>
        </w:rPr>
        <w:t>人民币          （RMB       元）</w:t>
      </w:r>
      <w:r>
        <w:rPr>
          <w:rFonts w:hint="eastAsia" w:ascii="宋体" w:hAnsi="宋体"/>
          <w:color w:val="auto"/>
        </w:rPr>
        <w:t>的保证金。</w:t>
      </w:r>
    </w:p>
    <w:p w14:paraId="68321A07">
      <w:pPr>
        <w:ind w:firstLine="420" w:firstLineChars="200"/>
        <w:rPr>
          <w:color w:val="auto"/>
        </w:rPr>
      </w:pPr>
      <w:r>
        <w:rPr>
          <w:rFonts w:hint="eastAsia" w:ascii="宋体" w:hAnsi="宋体"/>
          <w:color w:val="auto"/>
        </w:rPr>
        <w:t>我</w:t>
      </w:r>
      <w:r>
        <w:rPr>
          <w:rFonts w:hint="eastAsia"/>
          <w:color w:val="auto"/>
        </w:rPr>
        <w:t>方还同意，任何甲方与乙方之间可能对合同条款的修改、规范或其他合同文件的变动补充，都不能免除我方按本保函所承担的责任。因此，有关上述变动、补充和修改无须通知我方。</w:t>
      </w:r>
    </w:p>
    <w:p w14:paraId="4B49603A">
      <w:pPr>
        <w:ind w:firstLine="420" w:firstLineChars="200"/>
        <w:rPr>
          <w:color w:val="auto"/>
        </w:rPr>
      </w:pPr>
      <w:r>
        <w:rPr>
          <w:rFonts w:hint="eastAsia"/>
          <w:color w:val="auto"/>
        </w:rPr>
        <w:t>本保函从上述合同签订之日起至项目服务期结束验收合格并完成结算后，双方签字之日起7天内保持有效。</w:t>
      </w:r>
    </w:p>
    <w:p w14:paraId="2D763810">
      <w:pPr>
        <w:ind w:firstLine="2824" w:firstLineChars="1345"/>
        <w:rPr>
          <w:rFonts w:ascii="宋体" w:hAnsi="宋体"/>
          <w:color w:val="auto"/>
        </w:rPr>
      </w:pPr>
    </w:p>
    <w:p w14:paraId="52F2F57E">
      <w:pPr>
        <w:ind w:firstLine="5040" w:firstLineChars="2400"/>
        <w:rPr>
          <w:rFonts w:ascii="宋体" w:hAnsi="宋体"/>
          <w:color w:val="auto"/>
        </w:rPr>
      </w:pPr>
      <w:r>
        <w:rPr>
          <w:rFonts w:hint="eastAsia" w:ascii="宋体" w:hAnsi="宋体"/>
          <w:color w:val="auto"/>
        </w:rPr>
        <w:t>保证人：（盖章）</w:t>
      </w:r>
      <w:r>
        <w:rPr>
          <w:rFonts w:hint="eastAsia" w:ascii="宋体" w:hAnsi="宋体"/>
          <w:color w:val="auto"/>
          <w:u w:val="single"/>
        </w:rPr>
        <w:t xml:space="preserve">                        </w:t>
      </w:r>
    </w:p>
    <w:p w14:paraId="503A87D0">
      <w:pPr>
        <w:ind w:firstLine="5040" w:firstLineChars="2400"/>
        <w:rPr>
          <w:rFonts w:ascii="宋体" w:hAnsi="宋体"/>
          <w:color w:val="auto"/>
        </w:rPr>
      </w:pPr>
      <w:r>
        <w:rPr>
          <w:rFonts w:hint="eastAsia" w:ascii="宋体" w:hAnsi="宋体"/>
          <w:color w:val="auto"/>
        </w:rPr>
        <w:t>负责人：（签字）</w:t>
      </w:r>
      <w:r>
        <w:rPr>
          <w:rFonts w:hint="eastAsia" w:ascii="宋体" w:hAnsi="宋体"/>
          <w:color w:val="auto"/>
          <w:u w:val="single"/>
        </w:rPr>
        <w:t xml:space="preserve">                        </w:t>
      </w:r>
    </w:p>
    <w:p w14:paraId="462873DC">
      <w:pPr>
        <w:ind w:firstLine="5040" w:firstLineChars="2400"/>
        <w:rPr>
          <w:rFonts w:ascii="宋体" w:hAnsi="宋体"/>
          <w:color w:val="auto"/>
        </w:rPr>
      </w:pPr>
      <w:r>
        <w:rPr>
          <w:rFonts w:hint="eastAsia" w:ascii="宋体" w:hAnsi="宋体"/>
          <w:color w:val="auto"/>
        </w:rPr>
        <w:t>联系人：</w:t>
      </w:r>
      <w:r>
        <w:rPr>
          <w:rFonts w:hint="eastAsia" w:ascii="宋体" w:hAnsi="宋体"/>
          <w:color w:val="auto"/>
          <w:u w:val="single"/>
        </w:rPr>
        <w:t xml:space="preserve">                               </w:t>
      </w:r>
      <w:r>
        <w:rPr>
          <w:rFonts w:hint="eastAsia" w:ascii="宋体" w:hAnsi="宋体"/>
          <w:color w:val="auto"/>
        </w:rPr>
        <w:t xml:space="preserve">   </w:t>
      </w:r>
    </w:p>
    <w:p w14:paraId="366F2D58">
      <w:pPr>
        <w:ind w:firstLine="5040" w:firstLineChars="2400"/>
        <w:rPr>
          <w:rFonts w:ascii="宋体" w:hAnsi="宋体"/>
          <w:color w:val="auto"/>
        </w:rPr>
      </w:pPr>
      <w:r>
        <w:rPr>
          <w:rFonts w:hint="eastAsia" w:ascii="宋体" w:hAnsi="宋体"/>
          <w:color w:val="auto"/>
        </w:rPr>
        <w:t>联系电话：</w:t>
      </w:r>
      <w:r>
        <w:rPr>
          <w:rFonts w:hint="eastAsia" w:ascii="宋体" w:hAnsi="宋体"/>
          <w:color w:val="auto"/>
          <w:u w:val="single"/>
        </w:rPr>
        <w:t xml:space="preserve">                             </w:t>
      </w:r>
    </w:p>
    <w:p w14:paraId="5CAB94D8">
      <w:pPr>
        <w:ind w:firstLine="5040" w:firstLineChars="2400"/>
        <w:rPr>
          <w:rFonts w:ascii="宋体" w:hAnsi="宋体"/>
          <w:color w:val="auto"/>
        </w:rPr>
      </w:pPr>
      <w:r>
        <w:rPr>
          <w:rFonts w:hint="eastAsia" w:ascii="宋体" w:hAnsi="宋体"/>
          <w:color w:val="auto"/>
        </w:rPr>
        <w:t>日期：</w:t>
      </w:r>
      <w:r>
        <w:rPr>
          <w:rFonts w:hint="eastAsia" w:ascii="宋体" w:hAnsi="宋体"/>
          <w:color w:val="auto"/>
          <w:u w:val="single"/>
        </w:rPr>
        <w:t xml:space="preserve">                               </w:t>
      </w:r>
    </w:p>
    <w:p w14:paraId="7EB0C31A">
      <w:pPr>
        <w:pStyle w:val="11"/>
        <w:rPr>
          <w:color w:val="auto"/>
          <w:szCs w:val="24"/>
        </w:rPr>
      </w:pPr>
      <w:r>
        <w:rPr>
          <w:rFonts w:hint="eastAsia"/>
          <w:color w:val="auto"/>
          <w:szCs w:val="24"/>
        </w:rPr>
        <w:t>说明：投标人在投标时不需提交正式保函，在投标文件中盖投标人公章确认保函格式即可，乙方</w:t>
      </w:r>
      <w:r>
        <w:rPr>
          <w:rFonts w:hint="eastAsia"/>
          <w:color w:val="auto"/>
        </w:rPr>
        <w:t>在签订合同时</w:t>
      </w:r>
      <w:r>
        <w:rPr>
          <w:rFonts w:hint="eastAsia"/>
          <w:color w:val="auto"/>
          <w:szCs w:val="24"/>
        </w:rPr>
        <w:t>提交正式保函。</w:t>
      </w:r>
    </w:p>
    <w:p w14:paraId="02595920">
      <w:pPr>
        <w:rPr>
          <w:rFonts w:ascii="宋体" w:hAnsi="宋体"/>
          <w:color w:val="auto"/>
          <w:szCs w:val="21"/>
        </w:rPr>
      </w:pPr>
    </w:p>
    <w:p w14:paraId="5B855BAE">
      <w:pPr>
        <w:rPr>
          <w:rFonts w:ascii="宋体" w:hAnsi="宋体"/>
          <w:color w:val="auto"/>
          <w:szCs w:val="21"/>
        </w:rPr>
        <w:sectPr>
          <w:pgSz w:w="11906" w:h="16838"/>
          <w:pgMar w:top="1440" w:right="1800" w:bottom="1440" w:left="1800" w:header="708" w:footer="708" w:gutter="0"/>
          <w:cols w:space="708" w:num="1"/>
          <w:titlePg/>
          <w:docGrid w:type="lines" w:linePitch="360" w:charSpace="0"/>
        </w:sectPr>
      </w:pPr>
    </w:p>
    <w:p w14:paraId="63069E77">
      <w:pPr>
        <w:pStyle w:val="5"/>
        <w:numPr>
          <w:ilvl w:val="255"/>
          <w:numId w:val="0"/>
        </w:numPr>
        <w:tabs>
          <w:tab w:val="left" w:pos="720"/>
          <w:tab w:val="left" w:pos="3840"/>
        </w:tabs>
        <w:ind w:left="283"/>
        <w:jc w:val="both"/>
        <w:rPr>
          <w:rFonts w:ascii="宋体" w:hAnsi="宋体"/>
          <w:color w:val="auto"/>
          <w:sz w:val="21"/>
          <w:szCs w:val="21"/>
        </w:rPr>
      </w:pPr>
      <w:bookmarkStart w:id="300" w:name="_Toc2001"/>
      <w:r>
        <w:rPr>
          <w:rFonts w:hint="eastAsia" w:ascii="宋体" w:hAnsi="宋体"/>
          <w:color w:val="auto"/>
          <w:sz w:val="21"/>
          <w:szCs w:val="21"/>
        </w:rPr>
        <w:t>附件</w:t>
      </w:r>
      <w:r>
        <w:rPr>
          <w:rFonts w:hint="eastAsia" w:ascii="宋体" w:hAnsi="宋体"/>
          <w:color w:val="auto"/>
          <w:sz w:val="21"/>
          <w:szCs w:val="21"/>
          <w:lang w:val="en-US" w:eastAsia="zh-CN"/>
        </w:rPr>
        <w:t>18</w:t>
      </w:r>
      <w:r>
        <w:rPr>
          <w:rFonts w:hint="eastAsia" w:ascii="宋体" w:hAnsi="宋体"/>
          <w:color w:val="auto"/>
          <w:sz w:val="21"/>
          <w:szCs w:val="21"/>
        </w:rPr>
        <w:t>.预付款保函（适用于预付款支付）</w:t>
      </w:r>
      <w:bookmarkEnd w:id="300"/>
    </w:p>
    <w:p w14:paraId="10855029">
      <w:pPr>
        <w:pStyle w:val="11"/>
        <w:rPr>
          <w:color w:val="auto"/>
          <w:szCs w:val="24"/>
        </w:rPr>
      </w:pPr>
    </w:p>
    <w:p w14:paraId="38AB9B98">
      <w:pPr>
        <w:jc w:val="center"/>
        <w:rPr>
          <w:rFonts w:ascii="黑体" w:eastAsia="黑体"/>
          <w:color w:val="auto"/>
          <w:sz w:val="28"/>
          <w:szCs w:val="28"/>
        </w:rPr>
      </w:pPr>
      <w:bookmarkStart w:id="301" w:name="_Toc20669"/>
      <w:bookmarkStart w:id="302" w:name="_Toc10315"/>
      <w:bookmarkStart w:id="303" w:name="_Toc6877"/>
      <w:bookmarkStart w:id="304" w:name="_Toc25494"/>
      <w:bookmarkStart w:id="305" w:name="_Toc31418"/>
      <w:bookmarkStart w:id="306" w:name="_Toc29054"/>
      <w:bookmarkStart w:id="307" w:name="_Toc1039"/>
      <w:bookmarkStart w:id="308" w:name="_Toc27545"/>
      <w:bookmarkStart w:id="309" w:name="_Toc29728"/>
      <w:bookmarkStart w:id="310" w:name="_Toc7374"/>
      <w:bookmarkStart w:id="311" w:name="_Toc5034"/>
      <w:bookmarkStart w:id="312" w:name="_Toc3295"/>
      <w:r>
        <w:rPr>
          <w:rFonts w:hint="eastAsia" w:ascii="黑体" w:eastAsia="黑体"/>
          <w:color w:val="auto"/>
          <w:sz w:val="28"/>
          <w:szCs w:val="28"/>
        </w:rPr>
        <w:t>不可撤销预付款保函</w:t>
      </w:r>
      <w:bookmarkEnd w:id="301"/>
      <w:bookmarkEnd w:id="302"/>
      <w:bookmarkEnd w:id="303"/>
      <w:bookmarkEnd w:id="304"/>
      <w:bookmarkEnd w:id="305"/>
      <w:bookmarkEnd w:id="306"/>
      <w:bookmarkEnd w:id="307"/>
      <w:bookmarkEnd w:id="308"/>
      <w:bookmarkEnd w:id="309"/>
      <w:bookmarkEnd w:id="310"/>
      <w:bookmarkEnd w:id="311"/>
      <w:bookmarkEnd w:id="312"/>
    </w:p>
    <w:p w14:paraId="0A3579E6">
      <w:pPr>
        <w:ind w:firstLine="6300"/>
        <w:rPr>
          <w:color w:val="auto"/>
          <w:szCs w:val="21"/>
          <w:u w:val="single"/>
        </w:rPr>
      </w:pPr>
      <w:r>
        <w:rPr>
          <w:rFonts w:hint="eastAsia"/>
          <w:color w:val="auto"/>
          <w:szCs w:val="21"/>
        </w:rPr>
        <w:t>银行编号：</w:t>
      </w:r>
      <w:r>
        <w:rPr>
          <w:rFonts w:hint="eastAsia"/>
          <w:color w:val="auto"/>
          <w:szCs w:val="21"/>
          <w:u w:val="single"/>
        </w:rPr>
        <w:t xml:space="preserve">             </w:t>
      </w:r>
    </w:p>
    <w:p w14:paraId="56EFD05F">
      <w:pPr>
        <w:ind w:firstLine="6300"/>
        <w:rPr>
          <w:color w:val="auto"/>
          <w:szCs w:val="21"/>
        </w:rPr>
      </w:pPr>
    </w:p>
    <w:p w14:paraId="0E7CA40A">
      <w:pPr>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color w:val="auto"/>
          <w:szCs w:val="21"/>
        </w:rPr>
        <w:t>（下称“采购人”）</w:t>
      </w:r>
    </w:p>
    <w:p w14:paraId="27390769">
      <w:pPr>
        <w:ind w:firstLine="437"/>
        <w:rPr>
          <w:rFonts w:ascii="宋体" w:hAnsi="宋体"/>
          <w:color w:val="auto"/>
          <w:szCs w:val="21"/>
        </w:rPr>
      </w:pPr>
      <w:r>
        <w:rPr>
          <w:rFonts w:hint="eastAsia" w:ascii="宋体" w:hAnsi="宋体"/>
          <w:color w:val="auto"/>
          <w:szCs w:val="21"/>
        </w:rPr>
        <w:t>鉴于</w:t>
      </w:r>
      <w:r>
        <w:rPr>
          <w:rFonts w:hint="eastAsia" w:ascii="宋体" w:hAnsi="宋体"/>
          <w:color w:val="auto"/>
          <w:szCs w:val="21"/>
          <w:u w:val="single"/>
        </w:rPr>
        <w:t xml:space="preserve">            </w:t>
      </w:r>
      <w:r>
        <w:rPr>
          <w:rFonts w:hint="eastAsia" w:ascii="宋体" w:hAnsi="宋体"/>
          <w:color w:val="auto"/>
          <w:szCs w:val="24"/>
          <w:u w:val="single"/>
        </w:rPr>
        <w:t>（地址：          ，下称 “中标人” ）</w:t>
      </w:r>
      <w:r>
        <w:rPr>
          <w:rFonts w:hint="eastAsia" w:ascii="宋体" w:hAnsi="宋体"/>
          <w:color w:val="auto"/>
          <w:szCs w:val="21"/>
        </w:rPr>
        <w:t>，已保证按</w:t>
      </w:r>
      <w:r>
        <w:rPr>
          <w:rFonts w:hint="eastAsia" w:ascii="宋体" w:hAnsi="宋体"/>
          <w:color w:val="auto"/>
          <w:szCs w:val="21"/>
          <w:u w:val="single"/>
        </w:rPr>
        <w:t xml:space="preserve">          承包合同书（合同编号：    ）</w:t>
      </w:r>
      <w:r>
        <w:rPr>
          <w:rFonts w:hint="eastAsia" w:ascii="宋体" w:hAnsi="宋体"/>
          <w:color w:val="auto"/>
          <w:szCs w:val="21"/>
        </w:rPr>
        <w:t>中规定的义务履行合同。</w:t>
      </w:r>
    </w:p>
    <w:p w14:paraId="253B6D6C">
      <w:pPr>
        <w:ind w:firstLine="437"/>
        <w:rPr>
          <w:rFonts w:ascii="宋体" w:hAnsi="宋体"/>
          <w:color w:val="auto"/>
          <w:szCs w:val="21"/>
        </w:rPr>
      </w:pPr>
      <w:r>
        <w:rPr>
          <w:rFonts w:hint="eastAsia" w:ascii="宋体" w:hAnsi="宋体"/>
          <w:color w:val="auto"/>
          <w:szCs w:val="24"/>
        </w:rPr>
        <w:t>根据上述合同（招标文件）规定，中标人应向采购人提供一份金额为合同总价的</w:t>
      </w:r>
      <w:r>
        <w:rPr>
          <w:rFonts w:hint="eastAsia" w:ascii="宋体" w:hAnsi="宋体"/>
          <w:color w:val="auto"/>
          <w:szCs w:val="24"/>
          <w:u w:val="single"/>
        </w:rPr>
        <w:t xml:space="preserve">   </w:t>
      </w:r>
      <w:r>
        <w:rPr>
          <w:rFonts w:hint="eastAsia" w:ascii="宋体" w:hAnsi="宋体"/>
          <w:color w:val="auto"/>
          <w:szCs w:val="24"/>
        </w:rPr>
        <w:t>% 即人民币</w:t>
      </w:r>
      <w:r>
        <w:rPr>
          <w:rFonts w:hint="eastAsia" w:ascii="宋体" w:hAnsi="宋体"/>
          <w:color w:val="auto"/>
          <w:szCs w:val="21"/>
          <w:u w:val="single"/>
        </w:rPr>
        <w:t xml:space="preserve">      （RMB      元）</w:t>
      </w:r>
      <w:r>
        <w:rPr>
          <w:rFonts w:hint="eastAsia" w:ascii="宋体" w:hAnsi="宋体"/>
          <w:color w:val="auto"/>
          <w:szCs w:val="21"/>
        </w:rPr>
        <w:t>的不可撤销银行预付款保函，以保证中标人履行合同的相关条款。</w:t>
      </w:r>
    </w:p>
    <w:p w14:paraId="0E26F665">
      <w:pPr>
        <w:ind w:firstLine="437"/>
        <w:rPr>
          <w:rFonts w:ascii="宋体" w:hAnsi="宋体"/>
          <w:color w:val="auto"/>
          <w:szCs w:val="21"/>
        </w:rPr>
      </w:pPr>
      <w:r>
        <w:rPr>
          <w:rFonts w:hint="eastAsia" w:ascii="宋体" w:hAnsi="宋体"/>
          <w:color w:val="auto"/>
          <w:szCs w:val="21"/>
        </w:rPr>
        <w:t>我方</w:t>
      </w:r>
      <w:r>
        <w:rPr>
          <w:rFonts w:hint="eastAsia" w:ascii="宋体" w:hAnsi="宋体"/>
          <w:color w:val="auto"/>
          <w:szCs w:val="21"/>
          <w:u w:val="single"/>
        </w:rPr>
        <w:t xml:space="preserve">  （银行名称）  </w:t>
      </w:r>
      <w:r>
        <w:rPr>
          <w:rFonts w:hint="eastAsia" w:ascii="宋体" w:hAnsi="宋体"/>
          <w:color w:val="auto"/>
          <w:szCs w:val="21"/>
        </w:rPr>
        <w:t>，受中标人的委托，作为连带责任保证人，无条件和不可撤销地同意在采购人提出因中标人没有履行上述合同规定，而要求收回上述金额内任何付款的书面要求后，于7个工作日内为采购人予以支付并保证到达采购人账户，以保证在中标人没有履行或部分履行合同条款的责任时，采购人可以向中标人收回全部或部分预付款。</w:t>
      </w:r>
    </w:p>
    <w:p w14:paraId="1285B223">
      <w:pPr>
        <w:ind w:firstLine="437"/>
        <w:rPr>
          <w:rFonts w:ascii="宋体" w:hAnsi="宋体"/>
          <w:color w:val="auto"/>
          <w:szCs w:val="21"/>
        </w:rPr>
      </w:pPr>
      <w:r>
        <w:rPr>
          <w:rFonts w:hint="eastAsia" w:ascii="宋体" w:hAnsi="宋体"/>
          <w:color w:val="auto"/>
          <w:szCs w:val="21"/>
        </w:rPr>
        <w:t>我方还同意，任何采购人与中标人之间可能对合同条款的修改、规范或其他合同文件的变动补充，都不能免除我方按本保函所承担的责任。因此，有关上述变动、补充和修改无须通知我方。</w:t>
      </w:r>
    </w:p>
    <w:p w14:paraId="02BC5FE7">
      <w:pPr>
        <w:ind w:firstLine="437"/>
        <w:rPr>
          <w:rFonts w:ascii="宋体" w:hAnsi="宋体"/>
          <w:color w:val="auto"/>
          <w:szCs w:val="21"/>
        </w:rPr>
      </w:pPr>
      <w:r>
        <w:rPr>
          <w:rFonts w:hint="eastAsia" w:ascii="宋体" w:hAnsi="宋体"/>
          <w:color w:val="auto"/>
          <w:szCs w:val="21"/>
        </w:rPr>
        <w:t>本保函有效期从保函开立之日起至采购人向中标人抵扣完所有预付款之日止。</w:t>
      </w:r>
    </w:p>
    <w:p w14:paraId="22419E32">
      <w:pPr>
        <w:rPr>
          <w:rFonts w:ascii="宋体" w:hAnsi="宋体"/>
          <w:color w:val="auto"/>
          <w:szCs w:val="21"/>
        </w:rPr>
      </w:pPr>
    </w:p>
    <w:p w14:paraId="5F20CBA8">
      <w:pPr>
        <w:ind w:firstLine="437"/>
        <w:rPr>
          <w:rFonts w:ascii="宋体" w:hAnsi="宋体"/>
          <w:color w:val="auto"/>
          <w:szCs w:val="21"/>
        </w:rPr>
      </w:pPr>
    </w:p>
    <w:p w14:paraId="4CF03CD8">
      <w:pPr>
        <w:ind w:firstLine="4860"/>
        <w:rPr>
          <w:rFonts w:ascii="宋体" w:hAnsi="宋体"/>
          <w:color w:val="auto"/>
          <w:szCs w:val="21"/>
        </w:rPr>
      </w:pPr>
      <w:r>
        <w:rPr>
          <w:rFonts w:hint="eastAsia" w:ascii="宋体" w:hAnsi="宋体"/>
          <w:color w:val="auto"/>
          <w:szCs w:val="21"/>
        </w:rPr>
        <w:t>保证人：（公章）</w:t>
      </w:r>
      <w:r>
        <w:rPr>
          <w:rFonts w:hint="eastAsia" w:ascii="宋体" w:hAnsi="宋体"/>
          <w:color w:val="auto"/>
          <w:szCs w:val="21"/>
          <w:u w:val="single"/>
        </w:rPr>
        <w:t xml:space="preserve">                     </w:t>
      </w:r>
    </w:p>
    <w:p w14:paraId="38F6F676">
      <w:pPr>
        <w:ind w:firstLine="4860"/>
        <w:rPr>
          <w:rFonts w:ascii="宋体" w:hAnsi="宋体"/>
          <w:color w:val="auto"/>
          <w:szCs w:val="21"/>
          <w:u w:val="single"/>
        </w:rPr>
      </w:pPr>
      <w:r>
        <w:rPr>
          <w:rFonts w:hint="eastAsia" w:ascii="宋体" w:hAnsi="宋体"/>
          <w:color w:val="auto"/>
          <w:szCs w:val="21"/>
        </w:rPr>
        <w:t>负责人：（签字）</w:t>
      </w:r>
      <w:r>
        <w:rPr>
          <w:rFonts w:hint="eastAsia" w:ascii="宋体" w:hAnsi="宋体"/>
          <w:color w:val="auto"/>
          <w:szCs w:val="21"/>
          <w:u w:val="single"/>
        </w:rPr>
        <w:t xml:space="preserve">                     </w:t>
      </w:r>
    </w:p>
    <w:p w14:paraId="532BB5E0">
      <w:pPr>
        <w:ind w:firstLine="4860"/>
        <w:rPr>
          <w:rFonts w:ascii="宋体" w:hAnsi="宋体"/>
          <w:color w:val="auto"/>
          <w:szCs w:val="21"/>
          <w:u w:val="single"/>
        </w:rPr>
      </w:pPr>
      <w:r>
        <w:rPr>
          <w:rFonts w:hint="eastAsia" w:ascii="宋体" w:hAnsi="宋体"/>
          <w:color w:val="auto"/>
          <w:szCs w:val="21"/>
        </w:rPr>
        <w:t>联系电话：</w:t>
      </w:r>
      <w:r>
        <w:rPr>
          <w:rFonts w:hint="eastAsia" w:ascii="宋体" w:hAnsi="宋体"/>
          <w:color w:val="auto"/>
          <w:szCs w:val="21"/>
          <w:u w:val="single"/>
        </w:rPr>
        <w:t xml:space="preserve">                          </w:t>
      </w:r>
    </w:p>
    <w:p w14:paraId="64358A37">
      <w:pPr>
        <w:ind w:firstLine="4860"/>
        <w:rPr>
          <w:rFonts w:ascii="宋体" w:hAnsi="宋体"/>
          <w:color w:val="auto"/>
          <w:szCs w:val="21"/>
        </w:rPr>
      </w:pPr>
      <w:r>
        <w:rPr>
          <w:rFonts w:hint="eastAsia" w:ascii="宋体" w:hAnsi="宋体"/>
          <w:color w:val="auto"/>
          <w:szCs w:val="21"/>
        </w:rPr>
        <w:t>地址：</w:t>
      </w:r>
      <w:r>
        <w:rPr>
          <w:rFonts w:hint="eastAsia" w:ascii="宋体" w:hAnsi="宋体"/>
          <w:color w:val="auto"/>
          <w:szCs w:val="21"/>
          <w:u w:val="single"/>
        </w:rPr>
        <w:t xml:space="preserve">                              </w:t>
      </w:r>
    </w:p>
    <w:p w14:paraId="678BE6CE">
      <w:pPr>
        <w:ind w:firstLine="4860"/>
        <w:rPr>
          <w:rFonts w:ascii="宋体" w:hAnsi="宋体"/>
          <w:color w:val="auto"/>
          <w:szCs w:val="21"/>
          <w:u w:val="single"/>
        </w:rPr>
      </w:pPr>
      <w:r>
        <w:rPr>
          <w:rFonts w:hint="eastAsia" w:ascii="宋体" w:hAnsi="宋体"/>
          <w:color w:val="auto"/>
          <w:szCs w:val="21"/>
        </w:rPr>
        <w:t>日期：</w:t>
      </w:r>
      <w:r>
        <w:rPr>
          <w:rFonts w:hint="eastAsia" w:ascii="宋体" w:hAnsi="宋体"/>
          <w:color w:val="auto"/>
          <w:szCs w:val="21"/>
          <w:u w:val="single"/>
        </w:rPr>
        <w:t xml:space="preserve">                              </w:t>
      </w:r>
    </w:p>
    <w:p w14:paraId="090E3902">
      <w:pPr>
        <w:pStyle w:val="11"/>
        <w:rPr>
          <w:color w:val="auto"/>
          <w:szCs w:val="21"/>
        </w:rPr>
      </w:pPr>
    </w:p>
    <w:p w14:paraId="537E9773">
      <w:pPr>
        <w:pStyle w:val="11"/>
        <w:rPr>
          <w:color w:val="auto"/>
          <w:szCs w:val="21"/>
        </w:rPr>
      </w:pPr>
    </w:p>
    <w:p w14:paraId="78B25DEB">
      <w:pPr>
        <w:ind w:firstLine="413" w:firstLineChars="196"/>
        <w:rPr>
          <w:rFonts w:ascii="宋体" w:hAnsi="宋体"/>
          <w:b/>
          <w:color w:val="auto"/>
          <w:szCs w:val="21"/>
        </w:rPr>
      </w:pPr>
      <w:r>
        <w:rPr>
          <w:rFonts w:hint="eastAsia" w:ascii="宋体" w:hAnsi="宋体"/>
          <w:b/>
          <w:color w:val="auto"/>
          <w:szCs w:val="21"/>
        </w:rPr>
        <w:t>说明：投标人在投标文件中盖投标人公章确认保函内容即可，如中标再由银行出具保函。</w:t>
      </w:r>
    </w:p>
    <w:p w14:paraId="7FD77B17">
      <w:pPr>
        <w:rPr>
          <w:rFonts w:ascii="宋体" w:hAnsi="宋体"/>
          <w:color w:val="auto"/>
          <w:szCs w:val="21"/>
        </w:rPr>
        <w:sectPr>
          <w:pgSz w:w="11906" w:h="16838"/>
          <w:pgMar w:top="1440" w:right="1800" w:bottom="1440" w:left="1800" w:header="708" w:footer="708" w:gutter="0"/>
          <w:cols w:space="708" w:num="1"/>
          <w:titlePg/>
          <w:docGrid w:type="lines" w:linePitch="360" w:charSpace="0"/>
        </w:sectPr>
      </w:pPr>
    </w:p>
    <w:p w14:paraId="707CE962">
      <w:pPr>
        <w:pStyle w:val="9"/>
        <w:rPr>
          <w:color w:val="auto"/>
        </w:rPr>
      </w:pPr>
      <w:bookmarkStart w:id="313" w:name="_Toc1968"/>
    </w:p>
    <w:p w14:paraId="281FA379">
      <w:pPr>
        <w:jc w:val="center"/>
        <w:outlineLvl w:val="1"/>
        <w:rPr>
          <w:rFonts w:eastAsia="黑体"/>
          <w:color w:val="auto"/>
          <w:sz w:val="72"/>
          <w:szCs w:val="72"/>
          <w:highlight w:val="none"/>
        </w:rPr>
      </w:pPr>
      <w:bookmarkStart w:id="314" w:name="_Toc25441"/>
      <w:r>
        <w:rPr>
          <w:rFonts w:hint="eastAsia" w:eastAsia="黑体"/>
          <w:color w:val="auto"/>
          <w:sz w:val="72"/>
          <w:szCs w:val="72"/>
          <w:highlight w:val="none"/>
        </w:rPr>
        <w:t>唱标信封</w:t>
      </w:r>
      <w:bookmarkEnd w:id="314"/>
    </w:p>
    <w:p w14:paraId="1CF218A3">
      <w:pPr>
        <w:jc w:val="center"/>
        <w:rPr>
          <w:rFonts w:ascii="黑体" w:eastAsia="黑体"/>
          <w:color w:val="auto"/>
          <w:sz w:val="52"/>
          <w:szCs w:val="52"/>
          <w:highlight w:val="none"/>
        </w:rPr>
      </w:pPr>
      <w:r>
        <w:rPr>
          <w:rFonts w:hint="eastAsia" w:ascii="黑体" w:eastAsia="黑体"/>
          <w:color w:val="auto"/>
          <w:sz w:val="52"/>
          <w:szCs w:val="52"/>
          <w:highlight w:val="none"/>
        </w:rPr>
        <w:t>（单独装订成册，单独封装）</w:t>
      </w:r>
    </w:p>
    <w:p w14:paraId="1C5EDFDF">
      <w:pPr>
        <w:rPr>
          <w:color w:val="auto"/>
          <w:highlight w:val="none"/>
        </w:rPr>
      </w:pPr>
    </w:p>
    <w:p w14:paraId="272CC127">
      <w:pPr>
        <w:pStyle w:val="9"/>
        <w:rPr>
          <w:color w:val="auto"/>
          <w:highlight w:val="none"/>
        </w:rPr>
      </w:pPr>
    </w:p>
    <w:p w14:paraId="1FB00ED5">
      <w:pPr>
        <w:pStyle w:val="10"/>
        <w:ind w:firstLine="240"/>
        <w:rPr>
          <w:color w:val="auto"/>
          <w:highlight w:val="none"/>
        </w:rPr>
      </w:pPr>
    </w:p>
    <w:p w14:paraId="2B56625F">
      <w:pPr>
        <w:pStyle w:val="10"/>
        <w:ind w:firstLine="240"/>
        <w:rPr>
          <w:color w:val="auto"/>
          <w:highlight w:val="none"/>
        </w:rPr>
      </w:pPr>
    </w:p>
    <w:p w14:paraId="19F57D05">
      <w:pPr>
        <w:rPr>
          <w:rFonts w:ascii="宋体" w:hAnsi="宋体" w:cs="宋体"/>
          <w:b/>
          <w:color w:val="auto"/>
          <w:spacing w:val="-6"/>
          <w:sz w:val="32"/>
          <w:szCs w:val="32"/>
          <w:highlight w:val="none"/>
        </w:rPr>
      </w:pPr>
      <w:r>
        <w:rPr>
          <w:rFonts w:hint="eastAsia" w:ascii="宋体" w:hAnsi="宋体" w:cs="宋体"/>
          <w:b/>
          <w:color w:val="auto"/>
          <w:spacing w:val="106"/>
          <w:sz w:val="32"/>
          <w:szCs w:val="32"/>
          <w:highlight w:val="none"/>
        </w:rPr>
        <w:t>项目名</w:t>
      </w:r>
      <w:r>
        <w:rPr>
          <w:rFonts w:hint="eastAsia" w:ascii="宋体" w:hAnsi="宋体" w:cs="宋体"/>
          <w:b/>
          <w:color w:val="auto"/>
          <w:spacing w:val="2"/>
          <w:sz w:val="32"/>
          <w:szCs w:val="32"/>
          <w:highlight w:val="none"/>
        </w:rPr>
        <w:t>称</w:t>
      </w:r>
      <w:r>
        <w:rPr>
          <w:rFonts w:hint="eastAsia" w:ascii="宋体" w:hAnsi="宋体" w:cs="宋体"/>
          <w:b/>
          <w:color w:val="auto"/>
          <w:spacing w:val="-6"/>
          <w:sz w:val="32"/>
          <w:szCs w:val="32"/>
          <w:highlight w:val="none"/>
        </w:rPr>
        <w:t>：东莞实业投资控股集团有限公司注册发行超短期融资券主承销商采购项目</w:t>
      </w:r>
    </w:p>
    <w:p w14:paraId="2EA52C2E">
      <w:pPr>
        <w:rPr>
          <w:rFonts w:ascii="宋体" w:hAnsi="宋体" w:cs="宋体"/>
          <w:b/>
          <w:color w:val="auto"/>
          <w:sz w:val="32"/>
          <w:szCs w:val="32"/>
          <w:highlight w:val="none"/>
        </w:rPr>
      </w:pPr>
      <w:r>
        <w:rPr>
          <w:rFonts w:hint="eastAsia" w:ascii="宋体" w:hAnsi="宋体" w:cs="宋体"/>
          <w:b/>
          <w:color w:val="auto"/>
          <w:spacing w:val="106"/>
          <w:sz w:val="32"/>
          <w:szCs w:val="32"/>
          <w:highlight w:val="none"/>
        </w:rPr>
        <w:t>项目编</w:t>
      </w:r>
      <w:r>
        <w:rPr>
          <w:rFonts w:hint="eastAsia" w:ascii="宋体" w:hAnsi="宋体" w:cs="宋体"/>
          <w:b/>
          <w:color w:val="auto"/>
          <w:spacing w:val="2"/>
          <w:sz w:val="32"/>
          <w:szCs w:val="32"/>
          <w:highlight w:val="none"/>
        </w:rPr>
        <w:t>号</w:t>
      </w:r>
      <w:r>
        <w:rPr>
          <w:rFonts w:hint="eastAsia" w:ascii="宋体" w:hAnsi="宋体" w:cs="宋体"/>
          <w:b/>
          <w:color w:val="auto"/>
          <w:sz w:val="32"/>
          <w:szCs w:val="32"/>
          <w:highlight w:val="none"/>
        </w:rPr>
        <w:t>：DGSY-CW-03-12-014(2024)</w:t>
      </w:r>
    </w:p>
    <w:p w14:paraId="2A831686">
      <w:pPr>
        <w:pStyle w:val="9"/>
        <w:ind w:left="0"/>
        <w:rPr>
          <w:rFonts w:hint="eastAsia" w:eastAsia="宋体"/>
          <w:b/>
          <w:color w:val="auto"/>
          <w:spacing w:val="106"/>
          <w:sz w:val="32"/>
          <w:szCs w:val="32"/>
          <w:highlight w:val="none"/>
          <w:lang w:val="en-US" w:eastAsia="zh-CN" w:bidi="ar-SA"/>
        </w:rPr>
      </w:pPr>
      <w:r>
        <w:rPr>
          <w:rFonts w:hint="eastAsia"/>
          <w:b/>
          <w:color w:val="auto"/>
          <w:spacing w:val="106"/>
          <w:sz w:val="32"/>
          <w:szCs w:val="32"/>
          <w:highlight w:val="none"/>
          <w:lang w:val="en-US" w:bidi="ar-SA"/>
        </w:rPr>
        <w:t>包组号（如有）：</w:t>
      </w:r>
      <w:r>
        <w:rPr>
          <w:rFonts w:hint="eastAsia"/>
          <w:b/>
          <w:color w:val="auto"/>
          <w:spacing w:val="106"/>
          <w:sz w:val="32"/>
          <w:szCs w:val="32"/>
          <w:highlight w:val="none"/>
          <w:lang w:val="en-US" w:eastAsia="zh-CN" w:bidi="ar-SA"/>
        </w:rPr>
        <w:t>A</w:t>
      </w:r>
    </w:p>
    <w:p w14:paraId="1DC20407">
      <w:pPr>
        <w:rPr>
          <w:rFonts w:ascii="宋体" w:hAnsi="宋体" w:cs="宋体"/>
          <w:b/>
          <w:color w:val="auto"/>
          <w:sz w:val="32"/>
          <w:szCs w:val="32"/>
          <w:highlight w:val="none"/>
        </w:rPr>
      </w:pPr>
      <w:r>
        <w:rPr>
          <w:rFonts w:hint="eastAsia" w:ascii="宋体" w:hAnsi="宋体" w:cs="宋体"/>
          <w:b/>
          <w:color w:val="auto"/>
          <w:sz w:val="32"/>
          <w:szCs w:val="32"/>
          <w:highlight w:val="none"/>
        </w:rPr>
        <w:t>投标人名称：</w:t>
      </w:r>
    </w:p>
    <w:p w14:paraId="4FB7807F">
      <w:pPr>
        <w:rPr>
          <w:rFonts w:ascii="宋体" w:hAnsi="宋体" w:cs="宋体"/>
          <w:b/>
          <w:color w:val="auto"/>
          <w:sz w:val="32"/>
          <w:szCs w:val="32"/>
        </w:rPr>
      </w:pPr>
      <w:r>
        <w:rPr>
          <w:rFonts w:hint="eastAsia" w:ascii="宋体" w:hAnsi="宋体" w:cs="宋体"/>
          <w:b/>
          <w:color w:val="auto"/>
          <w:spacing w:val="64"/>
          <w:sz w:val="32"/>
          <w:szCs w:val="32"/>
        </w:rPr>
        <w:t xml:space="preserve">日    </w:t>
      </w:r>
      <w:r>
        <w:rPr>
          <w:rFonts w:hint="eastAsia" w:ascii="宋体" w:hAnsi="宋体" w:cs="宋体"/>
          <w:b/>
          <w:color w:val="auto"/>
          <w:sz w:val="32"/>
          <w:szCs w:val="32"/>
        </w:rPr>
        <w:t>期：</w:t>
      </w:r>
    </w:p>
    <w:p w14:paraId="560C91E7">
      <w:pPr>
        <w:rPr>
          <w:rFonts w:ascii="宋体" w:hAnsi="宋体"/>
          <w:color w:val="auto"/>
          <w:szCs w:val="21"/>
        </w:rPr>
      </w:pPr>
      <w:r>
        <w:rPr>
          <w:rFonts w:hint="eastAsia" w:ascii="宋体" w:hAnsi="宋体"/>
          <w:color w:val="auto"/>
          <w:szCs w:val="21"/>
        </w:rPr>
        <w:br w:type="page"/>
      </w:r>
    </w:p>
    <w:p w14:paraId="48AF100C">
      <w:pPr>
        <w:outlineLvl w:val="1"/>
        <w:rPr>
          <w:color w:val="auto"/>
          <w:sz w:val="72"/>
          <w:szCs w:val="72"/>
        </w:rPr>
        <w:sectPr>
          <w:pgSz w:w="11906" w:h="16838"/>
          <w:pgMar w:top="1440" w:right="1800" w:bottom="1440" w:left="1800" w:header="708" w:footer="708" w:gutter="0"/>
          <w:cols w:space="708" w:num="1"/>
          <w:titlePg/>
          <w:docGrid w:type="lines" w:linePitch="360" w:charSpace="0"/>
        </w:sectPr>
      </w:pPr>
    </w:p>
    <w:bookmarkEnd w:id="313"/>
    <w:p w14:paraId="18CB6367">
      <w:pPr>
        <w:pStyle w:val="5"/>
        <w:numPr>
          <w:ilvl w:val="255"/>
          <w:numId w:val="0"/>
        </w:numPr>
        <w:tabs>
          <w:tab w:val="left" w:pos="720"/>
          <w:tab w:val="left" w:pos="3840"/>
        </w:tabs>
        <w:ind w:left="283"/>
        <w:jc w:val="both"/>
        <w:rPr>
          <w:rFonts w:ascii="宋体" w:hAnsi="宋体"/>
          <w:color w:val="auto"/>
          <w:sz w:val="21"/>
          <w:szCs w:val="21"/>
        </w:rPr>
      </w:pPr>
      <w:bookmarkStart w:id="315" w:name="_Toc24843"/>
      <w:r>
        <w:rPr>
          <w:rFonts w:hint="eastAsia" w:ascii="宋体" w:hAnsi="宋体"/>
          <w:color w:val="auto"/>
          <w:sz w:val="21"/>
          <w:szCs w:val="21"/>
        </w:rPr>
        <w:t>附件</w:t>
      </w:r>
      <w:r>
        <w:rPr>
          <w:rFonts w:hint="eastAsia" w:ascii="宋体" w:hAnsi="宋体"/>
          <w:color w:val="auto"/>
          <w:sz w:val="21"/>
          <w:szCs w:val="21"/>
          <w:lang w:val="en-US" w:eastAsia="zh-CN"/>
        </w:rPr>
        <w:t>19</w:t>
      </w:r>
      <w:r>
        <w:rPr>
          <w:rFonts w:hint="eastAsia" w:ascii="宋体" w:hAnsi="宋体"/>
          <w:color w:val="auto"/>
          <w:sz w:val="21"/>
          <w:szCs w:val="21"/>
        </w:rPr>
        <w:t>.唱标信封内装（内容务必与投标文件正本一致）</w:t>
      </w:r>
      <w:bookmarkEnd w:id="315"/>
    </w:p>
    <w:p w14:paraId="5FE17BFE">
      <w:pPr>
        <w:numPr>
          <w:ilvl w:val="0"/>
          <w:numId w:val="15"/>
        </w:numPr>
        <w:ind w:firstLineChars="200"/>
        <w:rPr>
          <w:rFonts w:hAnsi="宋体"/>
          <w:color w:val="auto"/>
          <w:szCs w:val="21"/>
        </w:rPr>
      </w:pPr>
      <w:r>
        <w:rPr>
          <w:rFonts w:hint="eastAsia" w:hAnsi="宋体"/>
          <w:color w:val="auto"/>
          <w:szCs w:val="21"/>
        </w:rPr>
        <w:t>开标一览表加盖公章；</w:t>
      </w:r>
    </w:p>
    <w:p w14:paraId="0D1B04A3">
      <w:pPr>
        <w:numPr>
          <w:ilvl w:val="0"/>
          <w:numId w:val="15"/>
        </w:numPr>
        <w:ind w:firstLineChars="200"/>
        <w:rPr>
          <w:rFonts w:hAnsi="宋体"/>
          <w:color w:val="auto"/>
          <w:szCs w:val="21"/>
        </w:rPr>
      </w:pPr>
      <w:r>
        <w:rPr>
          <w:rFonts w:hint="eastAsia" w:hAnsi="宋体"/>
          <w:color w:val="auto"/>
          <w:szCs w:val="21"/>
        </w:rPr>
        <w:t>法定代表人证明书加盖公章；</w:t>
      </w:r>
    </w:p>
    <w:p w14:paraId="0A85CECA">
      <w:pPr>
        <w:numPr>
          <w:ilvl w:val="0"/>
          <w:numId w:val="15"/>
        </w:numPr>
        <w:ind w:firstLineChars="200"/>
        <w:rPr>
          <w:rFonts w:hAnsi="宋体"/>
          <w:color w:val="auto"/>
          <w:szCs w:val="21"/>
        </w:rPr>
      </w:pPr>
      <w:r>
        <w:rPr>
          <w:rFonts w:hint="eastAsia" w:hAnsi="宋体"/>
          <w:color w:val="auto"/>
          <w:szCs w:val="21"/>
        </w:rPr>
        <w:t>法定代表人授权委托书加盖公章（法定代表人投标的除外）；</w:t>
      </w:r>
    </w:p>
    <w:p w14:paraId="04EECB5A">
      <w:pPr>
        <w:numPr>
          <w:ilvl w:val="0"/>
          <w:numId w:val="15"/>
        </w:numPr>
        <w:ind w:firstLineChars="200"/>
        <w:rPr>
          <w:rFonts w:hAnsi="宋体"/>
          <w:color w:val="auto"/>
          <w:szCs w:val="21"/>
        </w:rPr>
      </w:pPr>
      <w:r>
        <w:rPr>
          <w:rFonts w:hint="eastAsia" w:hAnsi="宋体"/>
          <w:color w:val="auto"/>
          <w:szCs w:val="21"/>
        </w:rPr>
        <w:t>投标保证金汇入情况说明（含银行汇款凭证）或投标保函加盖公章；</w:t>
      </w:r>
    </w:p>
    <w:p w14:paraId="4ADA3155">
      <w:pPr>
        <w:numPr>
          <w:ilvl w:val="0"/>
          <w:numId w:val="15"/>
        </w:numPr>
        <w:ind w:firstLineChars="200"/>
        <w:rPr>
          <w:rFonts w:hAnsi="宋体"/>
          <w:color w:val="auto"/>
          <w:szCs w:val="21"/>
        </w:rPr>
      </w:pPr>
      <w:r>
        <w:rPr>
          <w:rFonts w:hint="eastAsia" w:hAnsi="宋体"/>
          <w:color w:val="auto"/>
          <w:szCs w:val="21"/>
        </w:rPr>
        <w:t>投标文件电子文件（U盘，须含盖章版PDF投标文件和WORD版投标文件各一版，文字采用WORD文档，计算表格采用 EXCEL文档。）</w:t>
      </w:r>
    </w:p>
    <w:p w14:paraId="63A7D247">
      <w:pPr>
        <w:rPr>
          <w:rFonts w:ascii="宋体" w:hAnsi="宋体" w:cs="宋体"/>
          <w:color w:val="auto"/>
          <w:szCs w:val="21"/>
        </w:rPr>
      </w:pPr>
    </w:p>
    <w:p w14:paraId="68285E04">
      <w:pPr>
        <w:pStyle w:val="9"/>
        <w:rPr>
          <w:color w:val="auto"/>
        </w:rPr>
      </w:pPr>
    </w:p>
    <w:sectPr>
      <w:pgSz w:w="11906" w:h="16838"/>
      <w:pgMar w:top="1440" w:right="1800" w:bottom="1440" w:left="1800" w:header="708" w:footer="708" w:gutter="0"/>
      <w:cols w:space="708" w:num="1"/>
      <w:titlePg/>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书宋简体">
    <w:altName w:val="宋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59021">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01345">
                          <w:pPr>
                            <w:pStyle w:val="1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1601345">
                    <w:pPr>
                      <w:pStyle w:val="1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79884">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42CD9">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D2DD70">
                          <w:pPr>
                            <w:pStyle w:val="1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2D2DD70">
                    <w:pPr>
                      <w:pStyle w:val="18"/>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208D6">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60DF6F">
                          <w:pPr>
                            <w:pStyle w:val="1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E60DF6F">
                    <w:pPr>
                      <w:pStyle w:val="1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97CE0">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B344F">
                          <w:pPr>
                            <w:pStyle w:val="18"/>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96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79B344F">
                    <w:pPr>
                      <w:pStyle w:val="18"/>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96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78295">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8839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088390" cy="1828800"/>
                      </a:xfrm>
                      <a:prstGeom prst="rect">
                        <a:avLst/>
                      </a:prstGeom>
                      <a:noFill/>
                      <a:ln>
                        <a:noFill/>
                      </a:ln>
                    </wps:spPr>
                    <wps:txbx>
                      <w:txbxContent>
                        <w:p w14:paraId="1FCC2D0A">
                          <w:pPr>
                            <w:pStyle w:val="18"/>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6" o:spid="_x0000_s1026" o:spt="202" type="#_x0000_t202" style="position:absolute;left:0pt;margin-top:0pt;height:144pt;width:85.7pt;mso-position-horizontal:center;mso-position-horizontal-relative:margin;z-index:251659264;mso-width-relative:page;mso-height-relative:page;" filled="f" stroked="f" coordsize="21600,21600" o:gfxdata="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xsfqk0wAAAAUBAAAPAAAAAAAAAAEAIAAAACIAAABkcnMvZG93bnJl&#10;di54bWxQSwECFAAUAAAACACHTuJARcufEMkBAACQAwAADgAAAAAAAAABACAAAAAiAQAAZHJzL2Uy&#10;b0RvYy54bWxQSwUGAAAAAAYABgBZAQAAXQUAAAAA&#10;">
              <v:fill on="f" focussize="0,0"/>
              <v:stroke on="f"/>
              <v:imagedata o:title=""/>
              <o:lock v:ext="edit" aspectratio="f"/>
              <v:textbox inset="0mm,0mm,0mm,0mm" style="mso-fit-shape-to-text:t;">
                <w:txbxContent>
                  <w:p w14:paraId="1FCC2D0A">
                    <w:pPr>
                      <w:pStyle w:val="18"/>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30ADE">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5062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150620" cy="1828800"/>
                      </a:xfrm>
                      <a:prstGeom prst="rect">
                        <a:avLst/>
                      </a:prstGeom>
                      <a:noFill/>
                      <a:ln>
                        <a:noFill/>
                      </a:ln>
                    </wps:spPr>
                    <wps:txbx>
                      <w:txbxContent>
                        <w:p w14:paraId="3C711746">
                          <w:pPr>
                            <w:pStyle w:val="18"/>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5" o:spid="_x0000_s1026" o:spt="202" type="#_x0000_t202" style="position:absolute;left:0pt;margin-top:0pt;height:144pt;width:90.6pt;mso-position-horizontal:center;mso-position-horizontal-relative:margin;z-index:251660288;mso-width-relative:page;mso-height-relative:page;" filled="f" stroked="f" coordsize="21600,21600" o:gfxdata="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YIEizSAAAABQEAAA8AAAAAAAAAAQAgAAAAIgAAAGRycy9kb3ducmV2&#10;LnhtbFBLAQIUABQAAAAIAIdO4kB4R5WwyQEAAJADAAAOAAAAAAAAAAEAIAAAACEBAABkcnMvZTJv&#10;RG9jLnhtbFBLBQYAAAAABgAGAFkBAABcBQAAAAA=&#10;">
              <v:fill on="f" focussize="0,0"/>
              <v:stroke on="f"/>
              <v:imagedata o:title=""/>
              <o:lock v:ext="edit" aspectratio="f"/>
              <v:textbox inset="0mm,0mm,0mm,0mm" style="mso-fit-shape-to-text:t;">
                <w:txbxContent>
                  <w:p w14:paraId="3C711746">
                    <w:pPr>
                      <w:pStyle w:val="18"/>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86996">
    <w:pPr>
      <w:pStyle w:val="19"/>
    </w:pPr>
    <w:r>
      <w:rPr>
        <w:sz w:val="18"/>
      </w:rPr>
      <w:pict>
        <v:shape id="PowerPlusWaterMarkObject33556" o:spid="_x0000_s4100" o:spt="136" type="#_x0000_t136" style="position:absolute;left:0pt;height:62.9pt;width:524.75pt;mso-position-horizontal:center;mso-position-horizontal-relative:margin;mso-position-vertical:center;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shape="t" fitpath="t" trim="t" xscale="f" string="东实集团 2024-12-26" style="font-family:宋体;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96C83">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F1DAF">
    <w:pPr>
      <w:pStyle w:val="19"/>
    </w:pPr>
    <w:r>
      <w:rPr>
        <w:sz w:val="18"/>
      </w:rPr>
      <w:pict>
        <v:shape id="PowerPlusWaterMarkObject45619" o:spid="_x0000_s4101" o:spt="136" type="#_x0000_t136" style="position:absolute;left:0pt;height:62.9pt;width:524.75pt;mso-position-horizontal:center;mso-position-horizontal-relative:margin;mso-position-vertical:center;mso-position-vertical-relative:margin;rotation:-2949120f;z-index:-251651072;mso-width-relative:page;mso-height-relative:page;" fillcolor="#C0C0C0" filled="t" stroked="f" coordsize="21600,21600" adj="10800">
          <v:path/>
          <v:fill on="t" opacity="32768f" focussize="0,0"/>
          <v:stroke on="f"/>
          <v:imagedata o:title=""/>
          <o:lock v:ext="edit" aspectratio="t"/>
          <v:textpath on="t" fitshape="t" fitpath="t" trim="t" xscale="f" string="东实集团 2024-12-26" style="font-family:宋体;font-size:36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76243">
    <w:pPr>
      <w:pStyle w:val="19"/>
      <w:jc w:val="left"/>
    </w:pPr>
    <w:r>
      <w:rPr>
        <w:sz w:val="18"/>
      </w:rPr>
      <w:pict>
        <v:shape id="PowerPlusWaterMarkObject64307" o:spid="_x0000_s4102" o:spt="136" type="#_x0000_t136" style="position:absolute;left:0pt;height:62.9pt;width:524.75pt;mso-position-horizontal:center;mso-position-horizontal-relative:margin;mso-position-vertical:center;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shape="t" fitpath="t" trim="t" xscale="f" string="东实集团 2024-12-26" style="font-family:宋体;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3ED41">
    <w:pPr>
      <w:pStyle w:val="1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95C82">
    <w:pPr>
      <w:pStyle w:val="19"/>
    </w:pPr>
    <w:r>
      <w:rPr>
        <w:sz w:val="18"/>
      </w:rPr>
      <w:pict>
        <v:shape id="PowerPlusWaterMarkObject78486" o:spid="_x0000_s4103" o:spt="136" type="#_x0000_t136" style="position:absolute;left:0pt;height:62.9pt;width:524.75pt;mso-position-horizontal:center;mso-position-horizontal-relative:margin;mso-position-vertical:center;mso-position-vertical-relative:margin;rotation:-2949120f;z-index:-251649024;mso-width-relative:page;mso-height-relative:page;" fillcolor="#C0C0C0" filled="t" stroked="f" coordsize="21600,21600" adj="10800">
          <v:path/>
          <v:fill on="t" opacity="32768f" focussize="0,0"/>
          <v:stroke on="f"/>
          <v:imagedata o:title=""/>
          <o:lock v:ext="edit" aspectratio="t"/>
          <v:textpath on="t" fitshape="t" fitpath="t" trim="t" xscale="f" string="东实集团 2024-12-26" style="font-family:宋体;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55E15"/>
    <w:multiLevelType w:val="singleLevel"/>
    <w:tmpl w:val="C9555E15"/>
    <w:lvl w:ilvl="0" w:tentative="0">
      <w:start w:val="1"/>
      <w:numFmt w:val="decimal"/>
      <w:lvlText w:val="(%1)"/>
      <w:lvlJc w:val="left"/>
      <w:pPr>
        <w:ind w:left="425" w:hanging="425"/>
      </w:pPr>
      <w:rPr>
        <w:rFonts w:hint="default"/>
      </w:rPr>
    </w:lvl>
  </w:abstractNum>
  <w:abstractNum w:abstractNumId="1">
    <w:nsid w:val="CC23954B"/>
    <w:multiLevelType w:val="multilevel"/>
    <w:tmpl w:val="CC23954B"/>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CFF174A5"/>
    <w:multiLevelType w:val="singleLevel"/>
    <w:tmpl w:val="CFF174A5"/>
    <w:lvl w:ilvl="0" w:tentative="0">
      <w:start w:val="1"/>
      <w:numFmt w:val="decimal"/>
      <w:suff w:val="nothing"/>
      <w:lvlText w:val="%1、"/>
      <w:lvlJc w:val="left"/>
    </w:lvl>
  </w:abstractNum>
  <w:abstractNum w:abstractNumId="3">
    <w:nsid w:val="D0047B7E"/>
    <w:multiLevelType w:val="singleLevel"/>
    <w:tmpl w:val="D0047B7E"/>
    <w:lvl w:ilvl="0" w:tentative="0">
      <w:start w:val="1"/>
      <w:numFmt w:val="decimal"/>
      <w:suff w:val="nothing"/>
      <w:lvlText w:val="%1、"/>
      <w:lvlJc w:val="left"/>
    </w:lvl>
  </w:abstractNum>
  <w:abstractNum w:abstractNumId="4">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25"/>
    <w:multiLevelType w:val="multilevel"/>
    <w:tmpl w:val="00000025"/>
    <w:lvl w:ilvl="0" w:tentative="0">
      <w:start w:val="1"/>
      <w:numFmt w:val="decimal"/>
      <w:lvlText w:val="%1"/>
      <w:lvlJc w:val="left"/>
      <w:pPr>
        <w:tabs>
          <w:tab w:val="left" w:pos="420"/>
        </w:tabs>
        <w:ind w:left="420" w:hanging="420"/>
      </w:pPr>
      <w:rPr>
        <w:rFonts w:hint="default"/>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6">
    <w:nsid w:val="10CB7F05"/>
    <w:multiLevelType w:val="multilevel"/>
    <w:tmpl w:val="10CB7F05"/>
    <w:lvl w:ilvl="0" w:tentative="0">
      <w:start w:val="1"/>
      <w:numFmt w:val="japaneseCounting"/>
      <w:lvlText w:val="第%1条"/>
      <w:lvlJc w:val="left"/>
      <w:pPr>
        <w:tabs>
          <w:tab w:val="left" w:pos="1125"/>
        </w:tabs>
        <w:ind w:left="1125" w:hanging="1125"/>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3387DFE"/>
    <w:multiLevelType w:val="multilevel"/>
    <w:tmpl w:val="13387DFE"/>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20D2348B"/>
    <w:multiLevelType w:val="singleLevel"/>
    <w:tmpl w:val="20D2348B"/>
    <w:lvl w:ilvl="0" w:tentative="0">
      <w:start w:val="1"/>
      <w:numFmt w:val="chineseCounting"/>
      <w:suff w:val="nothing"/>
      <w:lvlText w:val="（%1）"/>
      <w:lvlJc w:val="left"/>
      <w:rPr>
        <w:rFonts w:hint="eastAsia"/>
      </w:rPr>
    </w:lvl>
  </w:abstractNum>
  <w:abstractNum w:abstractNumId="9">
    <w:nsid w:val="27F49B4B"/>
    <w:multiLevelType w:val="multilevel"/>
    <w:tmpl w:val="27F49B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
    <w:nsid w:val="3F88662E"/>
    <w:multiLevelType w:val="singleLevel"/>
    <w:tmpl w:val="3F88662E"/>
    <w:lvl w:ilvl="0" w:tentative="0">
      <w:start w:val="1"/>
      <w:numFmt w:val="decimal"/>
      <w:suff w:val="space"/>
      <w:lvlText w:val="%1)"/>
      <w:lvlJc w:val="left"/>
    </w:lvl>
  </w:abstractNum>
  <w:abstractNum w:abstractNumId="11">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9C5D728"/>
    <w:multiLevelType w:val="singleLevel"/>
    <w:tmpl w:val="59C5D728"/>
    <w:lvl w:ilvl="0" w:tentative="0">
      <w:start w:val="1"/>
      <w:numFmt w:val="chineseCounting"/>
      <w:suff w:val="nothing"/>
      <w:lvlText w:val="%1、"/>
      <w:lvlJc w:val="left"/>
      <w:pPr>
        <w:ind w:left="0" w:firstLine="420"/>
      </w:pPr>
      <w:rPr>
        <w:rFonts w:hint="eastAsia"/>
      </w:rPr>
    </w:lvl>
  </w:abstractNum>
  <w:abstractNum w:abstractNumId="13">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D1539A1"/>
    <w:multiLevelType w:val="multilevel"/>
    <w:tmpl w:val="5D1539A1"/>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11"/>
  </w:num>
  <w:num w:numId="2">
    <w:abstractNumId w:val="9"/>
  </w:num>
  <w:num w:numId="3">
    <w:abstractNumId w:val="1"/>
  </w:num>
  <w:num w:numId="4">
    <w:abstractNumId w:val="14"/>
  </w:num>
  <w:num w:numId="5">
    <w:abstractNumId w:val="10"/>
  </w:num>
  <w:num w:numId="6">
    <w:abstractNumId w:val="5"/>
  </w:num>
  <w:num w:numId="7">
    <w:abstractNumId w:val="0"/>
  </w:num>
  <w:num w:numId="8">
    <w:abstractNumId w:val="7"/>
  </w:num>
  <w:num w:numId="9">
    <w:abstractNumId w:val="6"/>
  </w:num>
  <w:num w:numId="10">
    <w:abstractNumId w:val="2"/>
  </w:num>
  <w:num w:numId="11">
    <w:abstractNumId w:val="4"/>
  </w:num>
  <w:num w:numId="12">
    <w:abstractNumId w:val="8"/>
  </w:num>
  <w:num w:numId="13">
    <w:abstractNumId w:val="3"/>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5ZmE1ZTg2YWQyZjkyNDFjNDRlY2FmM2Y3Yzg0ZDMifQ=="/>
  </w:docVars>
  <w:rsids>
    <w:rsidRoot w:val="00172A27"/>
    <w:rsid w:val="00005A66"/>
    <w:rsid w:val="00006462"/>
    <w:rsid w:val="000300E4"/>
    <w:rsid w:val="0003307E"/>
    <w:rsid w:val="000336BA"/>
    <w:rsid w:val="000359A1"/>
    <w:rsid w:val="0005185D"/>
    <w:rsid w:val="0007500F"/>
    <w:rsid w:val="0008282E"/>
    <w:rsid w:val="00084F6D"/>
    <w:rsid w:val="00093A13"/>
    <w:rsid w:val="000A363F"/>
    <w:rsid w:val="000A42A8"/>
    <w:rsid w:val="000A5063"/>
    <w:rsid w:val="000A5DBD"/>
    <w:rsid w:val="000C4524"/>
    <w:rsid w:val="000D44A6"/>
    <w:rsid w:val="000E2CB7"/>
    <w:rsid w:val="000F0E98"/>
    <w:rsid w:val="000F1444"/>
    <w:rsid w:val="001049A5"/>
    <w:rsid w:val="001120E0"/>
    <w:rsid w:val="00121ADA"/>
    <w:rsid w:val="001242F3"/>
    <w:rsid w:val="001332BB"/>
    <w:rsid w:val="00134CAD"/>
    <w:rsid w:val="001368B7"/>
    <w:rsid w:val="0013730B"/>
    <w:rsid w:val="00137853"/>
    <w:rsid w:val="00137E1C"/>
    <w:rsid w:val="00147012"/>
    <w:rsid w:val="00172A27"/>
    <w:rsid w:val="00173126"/>
    <w:rsid w:val="00173905"/>
    <w:rsid w:val="00173E04"/>
    <w:rsid w:val="00175D29"/>
    <w:rsid w:val="001833A1"/>
    <w:rsid w:val="001844F4"/>
    <w:rsid w:val="00185039"/>
    <w:rsid w:val="001852D7"/>
    <w:rsid w:val="001A06D8"/>
    <w:rsid w:val="001A2D42"/>
    <w:rsid w:val="001A2EF7"/>
    <w:rsid w:val="001B1F14"/>
    <w:rsid w:val="001B41CF"/>
    <w:rsid w:val="001B5860"/>
    <w:rsid w:val="001C1135"/>
    <w:rsid w:val="001C15AE"/>
    <w:rsid w:val="001C4661"/>
    <w:rsid w:val="001C5689"/>
    <w:rsid w:val="001C6E4B"/>
    <w:rsid w:val="001F0070"/>
    <w:rsid w:val="001F4B02"/>
    <w:rsid w:val="001F6BC7"/>
    <w:rsid w:val="002065A7"/>
    <w:rsid w:val="0021149E"/>
    <w:rsid w:val="00213021"/>
    <w:rsid w:val="00216BE9"/>
    <w:rsid w:val="00221E7A"/>
    <w:rsid w:val="0022503E"/>
    <w:rsid w:val="00225BB4"/>
    <w:rsid w:val="00226313"/>
    <w:rsid w:val="002373BB"/>
    <w:rsid w:val="00240F5F"/>
    <w:rsid w:val="00247224"/>
    <w:rsid w:val="00247AE0"/>
    <w:rsid w:val="00260AC1"/>
    <w:rsid w:val="0026312D"/>
    <w:rsid w:val="0027078E"/>
    <w:rsid w:val="0028395F"/>
    <w:rsid w:val="00284156"/>
    <w:rsid w:val="00285643"/>
    <w:rsid w:val="002867A1"/>
    <w:rsid w:val="002901F8"/>
    <w:rsid w:val="002920A4"/>
    <w:rsid w:val="002B4087"/>
    <w:rsid w:val="002B5F6C"/>
    <w:rsid w:val="002C6C78"/>
    <w:rsid w:val="002D1594"/>
    <w:rsid w:val="002D3F9C"/>
    <w:rsid w:val="002D503C"/>
    <w:rsid w:val="002D7E27"/>
    <w:rsid w:val="002E17E5"/>
    <w:rsid w:val="002E6B7E"/>
    <w:rsid w:val="002F0FC9"/>
    <w:rsid w:val="0030669E"/>
    <w:rsid w:val="003101A3"/>
    <w:rsid w:val="00320CEA"/>
    <w:rsid w:val="00323B43"/>
    <w:rsid w:val="00326831"/>
    <w:rsid w:val="003274CE"/>
    <w:rsid w:val="003361E9"/>
    <w:rsid w:val="003430F6"/>
    <w:rsid w:val="00353842"/>
    <w:rsid w:val="0035595E"/>
    <w:rsid w:val="00381C26"/>
    <w:rsid w:val="0038564C"/>
    <w:rsid w:val="00387CE4"/>
    <w:rsid w:val="00393B1D"/>
    <w:rsid w:val="003A1D97"/>
    <w:rsid w:val="003C18EB"/>
    <w:rsid w:val="003C1E4E"/>
    <w:rsid w:val="003C32D3"/>
    <w:rsid w:val="003C3B19"/>
    <w:rsid w:val="003C412B"/>
    <w:rsid w:val="003C415C"/>
    <w:rsid w:val="003D36FB"/>
    <w:rsid w:val="003D37D8"/>
    <w:rsid w:val="003E0802"/>
    <w:rsid w:val="003E18E7"/>
    <w:rsid w:val="003E2B8C"/>
    <w:rsid w:val="003F46B4"/>
    <w:rsid w:val="003F4822"/>
    <w:rsid w:val="00401C64"/>
    <w:rsid w:val="00401CC0"/>
    <w:rsid w:val="00410AB5"/>
    <w:rsid w:val="00410F11"/>
    <w:rsid w:val="00411067"/>
    <w:rsid w:val="004203B9"/>
    <w:rsid w:val="004322A2"/>
    <w:rsid w:val="004358AB"/>
    <w:rsid w:val="00451EB4"/>
    <w:rsid w:val="00460B31"/>
    <w:rsid w:val="00462105"/>
    <w:rsid w:val="00475A80"/>
    <w:rsid w:val="00475BB4"/>
    <w:rsid w:val="00490B9E"/>
    <w:rsid w:val="00497577"/>
    <w:rsid w:val="004A05D7"/>
    <w:rsid w:val="004A2B28"/>
    <w:rsid w:val="004A69F1"/>
    <w:rsid w:val="004B3550"/>
    <w:rsid w:val="004B3F06"/>
    <w:rsid w:val="004C7FD6"/>
    <w:rsid w:val="004D08C0"/>
    <w:rsid w:val="004D1669"/>
    <w:rsid w:val="004D1736"/>
    <w:rsid w:val="004D51A2"/>
    <w:rsid w:val="004D5AFB"/>
    <w:rsid w:val="004E04FD"/>
    <w:rsid w:val="004F1BB7"/>
    <w:rsid w:val="0050759C"/>
    <w:rsid w:val="00510827"/>
    <w:rsid w:val="005267F1"/>
    <w:rsid w:val="005269A9"/>
    <w:rsid w:val="00532034"/>
    <w:rsid w:val="00545D9A"/>
    <w:rsid w:val="00546A42"/>
    <w:rsid w:val="0055408D"/>
    <w:rsid w:val="0057492D"/>
    <w:rsid w:val="0058523E"/>
    <w:rsid w:val="00590819"/>
    <w:rsid w:val="00593D68"/>
    <w:rsid w:val="005A208B"/>
    <w:rsid w:val="005A555E"/>
    <w:rsid w:val="005A7612"/>
    <w:rsid w:val="005B58A6"/>
    <w:rsid w:val="005C57E1"/>
    <w:rsid w:val="005C702E"/>
    <w:rsid w:val="005D01B8"/>
    <w:rsid w:val="005D066B"/>
    <w:rsid w:val="005D2D85"/>
    <w:rsid w:val="005D52E7"/>
    <w:rsid w:val="005F021D"/>
    <w:rsid w:val="005F20A4"/>
    <w:rsid w:val="005F4EAE"/>
    <w:rsid w:val="005F573A"/>
    <w:rsid w:val="005F660B"/>
    <w:rsid w:val="005F7EB1"/>
    <w:rsid w:val="00604B81"/>
    <w:rsid w:val="0061246F"/>
    <w:rsid w:val="00613417"/>
    <w:rsid w:val="00613B25"/>
    <w:rsid w:val="0061545F"/>
    <w:rsid w:val="006175DE"/>
    <w:rsid w:val="006215AC"/>
    <w:rsid w:val="00621821"/>
    <w:rsid w:val="00622362"/>
    <w:rsid w:val="00622497"/>
    <w:rsid w:val="006276AD"/>
    <w:rsid w:val="006347A6"/>
    <w:rsid w:val="006378D4"/>
    <w:rsid w:val="00641E8C"/>
    <w:rsid w:val="0064416A"/>
    <w:rsid w:val="006476E3"/>
    <w:rsid w:val="00650DDC"/>
    <w:rsid w:val="00652983"/>
    <w:rsid w:val="0065365D"/>
    <w:rsid w:val="006546D0"/>
    <w:rsid w:val="006576FD"/>
    <w:rsid w:val="00664F6B"/>
    <w:rsid w:val="006731D2"/>
    <w:rsid w:val="00680EB0"/>
    <w:rsid w:val="00682986"/>
    <w:rsid w:val="00691701"/>
    <w:rsid w:val="00691AE0"/>
    <w:rsid w:val="0069491E"/>
    <w:rsid w:val="006B004E"/>
    <w:rsid w:val="006B3E6C"/>
    <w:rsid w:val="006B4832"/>
    <w:rsid w:val="006B7878"/>
    <w:rsid w:val="006C14BD"/>
    <w:rsid w:val="006C28E5"/>
    <w:rsid w:val="006C67A9"/>
    <w:rsid w:val="006D393E"/>
    <w:rsid w:val="006D43C5"/>
    <w:rsid w:val="006D4AD8"/>
    <w:rsid w:val="006E0B58"/>
    <w:rsid w:val="006E0C4B"/>
    <w:rsid w:val="00704F7B"/>
    <w:rsid w:val="007110BA"/>
    <w:rsid w:val="00711465"/>
    <w:rsid w:val="00716E96"/>
    <w:rsid w:val="00723B11"/>
    <w:rsid w:val="007343A7"/>
    <w:rsid w:val="00734BB2"/>
    <w:rsid w:val="00737823"/>
    <w:rsid w:val="0075028E"/>
    <w:rsid w:val="007528A6"/>
    <w:rsid w:val="007608B9"/>
    <w:rsid w:val="007724B4"/>
    <w:rsid w:val="0077462B"/>
    <w:rsid w:val="007902ED"/>
    <w:rsid w:val="007916E7"/>
    <w:rsid w:val="00797C5D"/>
    <w:rsid w:val="00797D2F"/>
    <w:rsid w:val="007A34B9"/>
    <w:rsid w:val="007A3EF1"/>
    <w:rsid w:val="007A4DB3"/>
    <w:rsid w:val="007A6F47"/>
    <w:rsid w:val="007A7779"/>
    <w:rsid w:val="007C4F46"/>
    <w:rsid w:val="007C7297"/>
    <w:rsid w:val="007D1B4F"/>
    <w:rsid w:val="007D2F9E"/>
    <w:rsid w:val="007D3175"/>
    <w:rsid w:val="007D48BF"/>
    <w:rsid w:val="007D5C45"/>
    <w:rsid w:val="007E2543"/>
    <w:rsid w:val="007E4A26"/>
    <w:rsid w:val="007E7A17"/>
    <w:rsid w:val="007F01B0"/>
    <w:rsid w:val="007F259D"/>
    <w:rsid w:val="007F2CD8"/>
    <w:rsid w:val="007F4DC5"/>
    <w:rsid w:val="00806380"/>
    <w:rsid w:val="0081104F"/>
    <w:rsid w:val="0081319A"/>
    <w:rsid w:val="00822299"/>
    <w:rsid w:val="0083486A"/>
    <w:rsid w:val="00837E35"/>
    <w:rsid w:val="00841378"/>
    <w:rsid w:val="00842B87"/>
    <w:rsid w:val="00845BEB"/>
    <w:rsid w:val="008472E6"/>
    <w:rsid w:val="008518B4"/>
    <w:rsid w:val="00853463"/>
    <w:rsid w:val="008548BD"/>
    <w:rsid w:val="0086026F"/>
    <w:rsid w:val="008640F5"/>
    <w:rsid w:val="0087704E"/>
    <w:rsid w:val="008907DA"/>
    <w:rsid w:val="008A0587"/>
    <w:rsid w:val="008A7273"/>
    <w:rsid w:val="008B55B9"/>
    <w:rsid w:val="008B7726"/>
    <w:rsid w:val="008C05BA"/>
    <w:rsid w:val="008D429E"/>
    <w:rsid w:val="008D5A10"/>
    <w:rsid w:val="008E319F"/>
    <w:rsid w:val="008E619C"/>
    <w:rsid w:val="008F6E0E"/>
    <w:rsid w:val="00906F49"/>
    <w:rsid w:val="00907417"/>
    <w:rsid w:val="00914604"/>
    <w:rsid w:val="00916A34"/>
    <w:rsid w:val="0092092D"/>
    <w:rsid w:val="00923533"/>
    <w:rsid w:val="00930A38"/>
    <w:rsid w:val="00934170"/>
    <w:rsid w:val="00942948"/>
    <w:rsid w:val="009474B5"/>
    <w:rsid w:val="00953E98"/>
    <w:rsid w:val="00960F22"/>
    <w:rsid w:val="00972D86"/>
    <w:rsid w:val="009736BF"/>
    <w:rsid w:val="0097392B"/>
    <w:rsid w:val="00976066"/>
    <w:rsid w:val="00980A66"/>
    <w:rsid w:val="009904F7"/>
    <w:rsid w:val="009910F6"/>
    <w:rsid w:val="009A07B1"/>
    <w:rsid w:val="009A6B4A"/>
    <w:rsid w:val="009A7058"/>
    <w:rsid w:val="009C19DE"/>
    <w:rsid w:val="009C23A6"/>
    <w:rsid w:val="009C5206"/>
    <w:rsid w:val="009C6AD9"/>
    <w:rsid w:val="009E398C"/>
    <w:rsid w:val="009E6F05"/>
    <w:rsid w:val="009F644E"/>
    <w:rsid w:val="009F6A05"/>
    <w:rsid w:val="00A01BE2"/>
    <w:rsid w:val="00A10906"/>
    <w:rsid w:val="00A12E66"/>
    <w:rsid w:val="00A13E78"/>
    <w:rsid w:val="00A14EEF"/>
    <w:rsid w:val="00A23304"/>
    <w:rsid w:val="00A275C2"/>
    <w:rsid w:val="00A3295D"/>
    <w:rsid w:val="00A4012F"/>
    <w:rsid w:val="00A4190E"/>
    <w:rsid w:val="00A42E91"/>
    <w:rsid w:val="00A50383"/>
    <w:rsid w:val="00A61230"/>
    <w:rsid w:val="00A668C8"/>
    <w:rsid w:val="00A74ED3"/>
    <w:rsid w:val="00A813C5"/>
    <w:rsid w:val="00A824E6"/>
    <w:rsid w:val="00A832CD"/>
    <w:rsid w:val="00A858DC"/>
    <w:rsid w:val="00A94D14"/>
    <w:rsid w:val="00AA0EAD"/>
    <w:rsid w:val="00AB19CE"/>
    <w:rsid w:val="00AB2133"/>
    <w:rsid w:val="00AB3969"/>
    <w:rsid w:val="00AC0E7A"/>
    <w:rsid w:val="00AC187B"/>
    <w:rsid w:val="00AE310E"/>
    <w:rsid w:val="00AE4FC5"/>
    <w:rsid w:val="00AF1B1B"/>
    <w:rsid w:val="00AF5F1F"/>
    <w:rsid w:val="00B027A4"/>
    <w:rsid w:val="00B04202"/>
    <w:rsid w:val="00B236B3"/>
    <w:rsid w:val="00B26806"/>
    <w:rsid w:val="00B31B24"/>
    <w:rsid w:val="00B4287F"/>
    <w:rsid w:val="00B4315F"/>
    <w:rsid w:val="00B43306"/>
    <w:rsid w:val="00B60DAB"/>
    <w:rsid w:val="00B61CB1"/>
    <w:rsid w:val="00B63189"/>
    <w:rsid w:val="00B67B5C"/>
    <w:rsid w:val="00B7194E"/>
    <w:rsid w:val="00B73575"/>
    <w:rsid w:val="00B7380A"/>
    <w:rsid w:val="00B763B0"/>
    <w:rsid w:val="00B91005"/>
    <w:rsid w:val="00B92951"/>
    <w:rsid w:val="00B93045"/>
    <w:rsid w:val="00B93169"/>
    <w:rsid w:val="00B950B6"/>
    <w:rsid w:val="00BA4130"/>
    <w:rsid w:val="00BB2CAF"/>
    <w:rsid w:val="00BB79B5"/>
    <w:rsid w:val="00BC3E74"/>
    <w:rsid w:val="00BD630F"/>
    <w:rsid w:val="00BD7C1B"/>
    <w:rsid w:val="00BE0825"/>
    <w:rsid w:val="00BE2EE6"/>
    <w:rsid w:val="00BF17FD"/>
    <w:rsid w:val="00BF2820"/>
    <w:rsid w:val="00BF41D4"/>
    <w:rsid w:val="00BF5AFB"/>
    <w:rsid w:val="00C16734"/>
    <w:rsid w:val="00C17B47"/>
    <w:rsid w:val="00C25C77"/>
    <w:rsid w:val="00C303E7"/>
    <w:rsid w:val="00C319C2"/>
    <w:rsid w:val="00C53CE5"/>
    <w:rsid w:val="00C612F8"/>
    <w:rsid w:val="00C62E44"/>
    <w:rsid w:val="00C63BD8"/>
    <w:rsid w:val="00C65954"/>
    <w:rsid w:val="00C7126B"/>
    <w:rsid w:val="00C72C24"/>
    <w:rsid w:val="00C73468"/>
    <w:rsid w:val="00C74986"/>
    <w:rsid w:val="00C80EC4"/>
    <w:rsid w:val="00C8568E"/>
    <w:rsid w:val="00CA32B5"/>
    <w:rsid w:val="00CB57AD"/>
    <w:rsid w:val="00CC009D"/>
    <w:rsid w:val="00CC584A"/>
    <w:rsid w:val="00CC5E4E"/>
    <w:rsid w:val="00CD0EAB"/>
    <w:rsid w:val="00CE2AF3"/>
    <w:rsid w:val="00CE621D"/>
    <w:rsid w:val="00CE66E8"/>
    <w:rsid w:val="00D05388"/>
    <w:rsid w:val="00D114CD"/>
    <w:rsid w:val="00D14476"/>
    <w:rsid w:val="00D232FF"/>
    <w:rsid w:val="00D279AA"/>
    <w:rsid w:val="00D31215"/>
    <w:rsid w:val="00D34544"/>
    <w:rsid w:val="00D34841"/>
    <w:rsid w:val="00D4444E"/>
    <w:rsid w:val="00D44A97"/>
    <w:rsid w:val="00D45C0C"/>
    <w:rsid w:val="00D508A5"/>
    <w:rsid w:val="00D5104B"/>
    <w:rsid w:val="00D555D8"/>
    <w:rsid w:val="00D60778"/>
    <w:rsid w:val="00D63EB2"/>
    <w:rsid w:val="00D64D28"/>
    <w:rsid w:val="00D6604D"/>
    <w:rsid w:val="00D677F1"/>
    <w:rsid w:val="00D74601"/>
    <w:rsid w:val="00D83E46"/>
    <w:rsid w:val="00D847B6"/>
    <w:rsid w:val="00D93958"/>
    <w:rsid w:val="00D951D3"/>
    <w:rsid w:val="00DA1DB9"/>
    <w:rsid w:val="00DA6169"/>
    <w:rsid w:val="00DA7B28"/>
    <w:rsid w:val="00DB5480"/>
    <w:rsid w:val="00DB6317"/>
    <w:rsid w:val="00DC2FC5"/>
    <w:rsid w:val="00DC5AD9"/>
    <w:rsid w:val="00DC691F"/>
    <w:rsid w:val="00DD02DE"/>
    <w:rsid w:val="00DD07B7"/>
    <w:rsid w:val="00DD113C"/>
    <w:rsid w:val="00DD324C"/>
    <w:rsid w:val="00DE0BEB"/>
    <w:rsid w:val="00DE4856"/>
    <w:rsid w:val="00DF485B"/>
    <w:rsid w:val="00E0295D"/>
    <w:rsid w:val="00E042BC"/>
    <w:rsid w:val="00E132FE"/>
    <w:rsid w:val="00E21B77"/>
    <w:rsid w:val="00E23352"/>
    <w:rsid w:val="00E40CAD"/>
    <w:rsid w:val="00E40DC7"/>
    <w:rsid w:val="00E4215F"/>
    <w:rsid w:val="00E61D2E"/>
    <w:rsid w:val="00E62B7F"/>
    <w:rsid w:val="00E7066D"/>
    <w:rsid w:val="00E726BC"/>
    <w:rsid w:val="00E72821"/>
    <w:rsid w:val="00E75C82"/>
    <w:rsid w:val="00E81DDC"/>
    <w:rsid w:val="00E81F67"/>
    <w:rsid w:val="00E83650"/>
    <w:rsid w:val="00E83A31"/>
    <w:rsid w:val="00E93BF5"/>
    <w:rsid w:val="00E97CC0"/>
    <w:rsid w:val="00EA22B8"/>
    <w:rsid w:val="00EA2524"/>
    <w:rsid w:val="00EA33E7"/>
    <w:rsid w:val="00EC092D"/>
    <w:rsid w:val="00EC0DF8"/>
    <w:rsid w:val="00EC7F91"/>
    <w:rsid w:val="00ED378B"/>
    <w:rsid w:val="00EE08F9"/>
    <w:rsid w:val="00EE70B3"/>
    <w:rsid w:val="00EF24AA"/>
    <w:rsid w:val="00EF728A"/>
    <w:rsid w:val="00EF7D0D"/>
    <w:rsid w:val="00F00FF7"/>
    <w:rsid w:val="00F02093"/>
    <w:rsid w:val="00F068E3"/>
    <w:rsid w:val="00F10B5F"/>
    <w:rsid w:val="00F218C1"/>
    <w:rsid w:val="00F321EB"/>
    <w:rsid w:val="00F32B00"/>
    <w:rsid w:val="00F346CF"/>
    <w:rsid w:val="00F3610C"/>
    <w:rsid w:val="00F36839"/>
    <w:rsid w:val="00F52A5F"/>
    <w:rsid w:val="00F55954"/>
    <w:rsid w:val="00F57308"/>
    <w:rsid w:val="00F61962"/>
    <w:rsid w:val="00F62865"/>
    <w:rsid w:val="00F64022"/>
    <w:rsid w:val="00F64660"/>
    <w:rsid w:val="00F74FF3"/>
    <w:rsid w:val="00F97062"/>
    <w:rsid w:val="00F9745D"/>
    <w:rsid w:val="00FA07A9"/>
    <w:rsid w:val="00FA54B2"/>
    <w:rsid w:val="00FC0FCB"/>
    <w:rsid w:val="00FC529F"/>
    <w:rsid w:val="00FC66E1"/>
    <w:rsid w:val="00FC7B53"/>
    <w:rsid w:val="00FD48CC"/>
    <w:rsid w:val="00FE62D1"/>
    <w:rsid w:val="00FE7B94"/>
    <w:rsid w:val="00FF0736"/>
    <w:rsid w:val="00FF2515"/>
    <w:rsid w:val="00FF26BF"/>
    <w:rsid w:val="013C51B0"/>
    <w:rsid w:val="01651C23"/>
    <w:rsid w:val="018023CE"/>
    <w:rsid w:val="01881AD6"/>
    <w:rsid w:val="019127B6"/>
    <w:rsid w:val="01B71A01"/>
    <w:rsid w:val="01DC03CE"/>
    <w:rsid w:val="01E36F4E"/>
    <w:rsid w:val="0208150E"/>
    <w:rsid w:val="02287D63"/>
    <w:rsid w:val="024179E7"/>
    <w:rsid w:val="0246437B"/>
    <w:rsid w:val="02985CD5"/>
    <w:rsid w:val="02A741FD"/>
    <w:rsid w:val="02C16E5D"/>
    <w:rsid w:val="02D964CF"/>
    <w:rsid w:val="02DE5ECF"/>
    <w:rsid w:val="032E6AB8"/>
    <w:rsid w:val="03707410"/>
    <w:rsid w:val="039170C0"/>
    <w:rsid w:val="039240A3"/>
    <w:rsid w:val="03A0770F"/>
    <w:rsid w:val="03A27726"/>
    <w:rsid w:val="03A448B8"/>
    <w:rsid w:val="03B34A78"/>
    <w:rsid w:val="03C01631"/>
    <w:rsid w:val="03C656A9"/>
    <w:rsid w:val="03F33148"/>
    <w:rsid w:val="03F7698E"/>
    <w:rsid w:val="042F3419"/>
    <w:rsid w:val="04491596"/>
    <w:rsid w:val="047B4012"/>
    <w:rsid w:val="04822497"/>
    <w:rsid w:val="04974587"/>
    <w:rsid w:val="049A0C65"/>
    <w:rsid w:val="04A07C4B"/>
    <w:rsid w:val="04DF1036"/>
    <w:rsid w:val="04E24985"/>
    <w:rsid w:val="050C01DF"/>
    <w:rsid w:val="05316537"/>
    <w:rsid w:val="053A5A77"/>
    <w:rsid w:val="0599183C"/>
    <w:rsid w:val="05A97DEC"/>
    <w:rsid w:val="05B23978"/>
    <w:rsid w:val="05C81981"/>
    <w:rsid w:val="05FC20B9"/>
    <w:rsid w:val="060043AE"/>
    <w:rsid w:val="060C3203"/>
    <w:rsid w:val="06281344"/>
    <w:rsid w:val="062D4EC8"/>
    <w:rsid w:val="069B4E4A"/>
    <w:rsid w:val="06A26008"/>
    <w:rsid w:val="06BC41F2"/>
    <w:rsid w:val="06F415CC"/>
    <w:rsid w:val="070E26CD"/>
    <w:rsid w:val="07197D08"/>
    <w:rsid w:val="071E5C55"/>
    <w:rsid w:val="073C456C"/>
    <w:rsid w:val="075C1FE5"/>
    <w:rsid w:val="077005AB"/>
    <w:rsid w:val="078F4581"/>
    <w:rsid w:val="07A715F3"/>
    <w:rsid w:val="07BF027F"/>
    <w:rsid w:val="07F06C60"/>
    <w:rsid w:val="08031A31"/>
    <w:rsid w:val="080E2872"/>
    <w:rsid w:val="08420CAE"/>
    <w:rsid w:val="089A5AE8"/>
    <w:rsid w:val="09061A75"/>
    <w:rsid w:val="09182241"/>
    <w:rsid w:val="09325D4D"/>
    <w:rsid w:val="095F1030"/>
    <w:rsid w:val="096915D0"/>
    <w:rsid w:val="09855177"/>
    <w:rsid w:val="09A17D47"/>
    <w:rsid w:val="09EE5125"/>
    <w:rsid w:val="0A3D7585"/>
    <w:rsid w:val="0A462748"/>
    <w:rsid w:val="0A4D0C81"/>
    <w:rsid w:val="0A723E95"/>
    <w:rsid w:val="0A733243"/>
    <w:rsid w:val="0A894FD9"/>
    <w:rsid w:val="0AA534D5"/>
    <w:rsid w:val="0AA650EB"/>
    <w:rsid w:val="0AA7129C"/>
    <w:rsid w:val="0AF47339"/>
    <w:rsid w:val="0B121934"/>
    <w:rsid w:val="0B1F4D52"/>
    <w:rsid w:val="0B22594B"/>
    <w:rsid w:val="0B27506F"/>
    <w:rsid w:val="0B3061AD"/>
    <w:rsid w:val="0B9610F4"/>
    <w:rsid w:val="0BBF77A4"/>
    <w:rsid w:val="0BD16C8D"/>
    <w:rsid w:val="0BDF26F7"/>
    <w:rsid w:val="0C027DB2"/>
    <w:rsid w:val="0C2B4952"/>
    <w:rsid w:val="0C516C55"/>
    <w:rsid w:val="0C5D161C"/>
    <w:rsid w:val="0C7B2220"/>
    <w:rsid w:val="0CB67D83"/>
    <w:rsid w:val="0CCF79BE"/>
    <w:rsid w:val="0CD20599"/>
    <w:rsid w:val="0CE40585"/>
    <w:rsid w:val="0CE53018"/>
    <w:rsid w:val="0D0B5B12"/>
    <w:rsid w:val="0D133046"/>
    <w:rsid w:val="0D153F28"/>
    <w:rsid w:val="0D305390"/>
    <w:rsid w:val="0D3A0F98"/>
    <w:rsid w:val="0D5D37FD"/>
    <w:rsid w:val="0D6A4502"/>
    <w:rsid w:val="0D7415CA"/>
    <w:rsid w:val="0D890E47"/>
    <w:rsid w:val="0DC64A00"/>
    <w:rsid w:val="0DCF786E"/>
    <w:rsid w:val="0DEB5FFA"/>
    <w:rsid w:val="0DF75C46"/>
    <w:rsid w:val="0DFC60BA"/>
    <w:rsid w:val="0E045D30"/>
    <w:rsid w:val="0E1C06B2"/>
    <w:rsid w:val="0E35000C"/>
    <w:rsid w:val="0E69691B"/>
    <w:rsid w:val="0E7900C2"/>
    <w:rsid w:val="0EBB5484"/>
    <w:rsid w:val="0EBD5AA3"/>
    <w:rsid w:val="0F085784"/>
    <w:rsid w:val="0F5723EF"/>
    <w:rsid w:val="0F7C5FF6"/>
    <w:rsid w:val="0FC63FBD"/>
    <w:rsid w:val="0FDD003F"/>
    <w:rsid w:val="0FF63282"/>
    <w:rsid w:val="0FF87EA4"/>
    <w:rsid w:val="0FFF7484"/>
    <w:rsid w:val="10007DD4"/>
    <w:rsid w:val="100B77ED"/>
    <w:rsid w:val="102D5D9F"/>
    <w:rsid w:val="10305890"/>
    <w:rsid w:val="103D5A1A"/>
    <w:rsid w:val="106C564D"/>
    <w:rsid w:val="10767478"/>
    <w:rsid w:val="107B7B8F"/>
    <w:rsid w:val="107C67CE"/>
    <w:rsid w:val="10912D03"/>
    <w:rsid w:val="109D68CB"/>
    <w:rsid w:val="10A949B8"/>
    <w:rsid w:val="10CB4D26"/>
    <w:rsid w:val="11144AFE"/>
    <w:rsid w:val="11200D07"/>
    <w:rsid w:val="116A3F32"/>
    <w:rsid w:val="11786AB5"/>
    <w:rsid w:val="118049D4"/>
    <w:rsid w:val="118561F8"/>
    <w:rsid w:val="11914FAF"/>
    <w:rsid w:val="11A8021A"/>
    <w:rsid w:val="11B21219"/>
    <w:rsid w:val="11B4024C"/>
    <w:rsid w:val="11DA73AF"/>
    <w:rsid w:val="11FC1ECD"/>
    <w:rsid w:val="12457C5E"/>
    <w:rsid w:val="124D097B"/>
    <w:rsid w:val="12511265"/>
    <w:rsid w:val="126561B4"/>
    <w:rsid w:val="127A3FFC"/>
    <w:rsid w:val="127D0E25"/>
    <w:rsid w:val="127E0B34"/>
    <w:rsid w:val="1283614B"/>
    <w:rsid w:val="12856FF3"/>
    <w:rsid w:val="129671FB"/>
    <w:rsid w:val="12A576FF"/>
    <w:rsid w:val="12C60D80"/>
    <w:rsid w:val="130523B3"/>
    <w:rsid w:val="13097496"/>
    <w:rsid w:val="13154AD2"/>
    <w:rsid w:val="131F7A3A"/>
    <w:rsid w:val="132645D0"/>
    <w:rsid w:val="134312FF"/>
    <w:rsid w:val="13455ABC"/>
    <w:rsid w:val="1370322B"/>
    <w:rsid w:val="13BA0460"/>
    <w:rsid w:val="13BB41AE"/>
    <w:rsid w:val="13C24F9B"/>
    <w:rsid w:val="13C45A18"/>
    <w:rsid w:val="13C9247B"/>
    <w:rsid w:val="13C92A4D"/>
    <w:rsid w:val="13DE55D1"/>
    <w:rsid w:val="13E0285C"/>
    <w:rsid w:val="143B2E0B"/>
    <w:rsid w:val="147C1943"/>
    <w:rsid w:val="148054E9"/>
    <w:rsid w:val="14892735"/>
    <w:rsid w:val="14906D6C"/>
    <w:rsid w:val="14CC769D"/>
    <w:rsid w:val="14D764D5"/>
    <w:rsid w:val="14F43330"/>
    <w:rsid w:val="151C57A5"/>
    <w:rsid w:val="152509D7"/>
    <w:rsid w:val="15436F05"/>
    <w:rsid w:val="155541C5"/>
    <w:rsid w:val="15691FE3"/>
    <w:rsid w:val="158B5DDD"/>
    <w:rsid w:val="15A41986"/>
    <w:rsid w:val="15B11221"/>
    <w:rsid w:val="15C16EB3"/>
    <w:rsid w:val="15CB76C9"/>
    <w:rsid w:val="15D359D7"/>
    <w:rsid w:val="15E24476"/>
    <w:rsid w:val="160E7A2C"/>
    <w:rsid w:val="16111028"/>
    <w:rsid w:val="161F7731"/>
    <w:rsid w:val="163C77BE"/>
    <w:rsid w:val="16573587"/>
    <w:rsid w:val="1679588C"/>
    <w:rsid w:val="168C2855"/>
    <w:rsid w:val="16903443"/>
    <w:rsid w:val="16994962"/>
    <w:rsid w:val="16A233CF"/>
    <w:rsid w:val="16A71041"/>
    <w:rsid w:val="16AA24BF"/>
    <w:rsid w:val="171D3FE1"/>
    <w:rsid w:val="1742794A"/>
    <w:rsid w:val="17680CAB"/>
    <w:rsid w:val="176E4128"/>
    <w:rsid w:val="1783371F"/>
    <w:rsid w:val="178D7563"/>
    <w:rsid w:val="17B61794"/>
    <w:rsid w:val="17C52CBF"/>
    <w:rsid w:val="17C93012"/>
    <w:rsid w:val="17E62B67"/>
    <w:rsid w:val="180F4499"/>
    <w:rsid w:val="182201B4"/>
    <w:rsid w:val="18221ECE"/>
    <w:rsid w:val="18303840"/>
    <w:rsid w:val="183C3D90"/>
    <w:rsid w:val="18504A07"/>
    <w:rsid w:val="1859036F"/>
    <w:rsid w:val="18681814"/>
    <w:rsid w:val="18B0649B"/>
    <w:rsid w:val="18C8297B"/>
    <w:rsid w:val="18D418FC"/>
    <w:rsid w:val="18FC7745"/>
    <w:rsid w:val="19027053"/>
    <w:rsid w:val="191677A6"/>
    <w:rsid w:val="19353F17"/>
    <w:rsid w:val="19390AD7"/>
    <w:rsid w:val="19DD405E"/>
    <w:rsid w:val="1A460CF5"/>
    <w:rsid w:val="1A7A6BB4"/>
    <w:rsid w:val="1A7F297D"/>
    <w:rsid w:val="1A9B268C"/>
    <w:rsid w:val="1A9D6244"/>
    <w:rsid w:val="1AAF6004"/>
    <w:rsid w:val="1AB16AC1"/>
    <w:rsid w:val="1ABF1CEA"/>
    <w:rsid w:val="1B014DDE"/>
    <w:rsid w:val="1B0320FB"/>
    <w:rsid w:val="1B034A52"/>
    <w:rsid w:val="1B45344E"/>
    <w:rsid w:val="1B591D2B"/>
    <w:rsid w:val="1B5D76FB"/>
    <w:rsid w:val="1B683578"/>
    <w:rsid w:val="1B8C0040"/>
    <w:rsid w:val="1BBA4E52"/>
    <w:rsid w:val="1BD9519A"/>
    <w:rsid w:val="1BDE2F66"/>
    <w:rsid w:val="1C2A22B3"/>
    <w:rsid w:val="1C750ECE"/>
    <w:rsid w:val="1CA56AF4"/>
    <w:rsid w:val="1CE1575A"/>
    <w:rsid w:val="1D196139"/>
    <w:rsid w:val="1D2E2708"/>
    <w:rsid w:val="1D5E02D1"/>
    <w:rsid w:val="1D7B74A7"/>
    <w:rsid w:val="1D7F0ED0"/>
    <w:rsid w:val="1DA31EB7"/>
    <w:rsid w:val="1DA55D97"/>
    <w:rsid w:val="1DBB6100"/>
    <w:rsid w:val="1DBE6816"/>
    <w:rsid w:val="1DC67725"/>
    <w:rsid w:val="1DCB4FF1"/>
    <w:rsid w:val="1DDC11E4"/>
    <w:rsid w:val="1DF5452A"/>
    <w:rsid w:val="1E010AF7"/>
    <w:rsid w:val="1E1C405A"/>
    <w:rsid w:val="1E2E29E0"/>
    <w:rsid w:val="1E301173"/>
    <w:rsid w:val="1E356E9F"/>
    <w:rsid w:val="1E884D18"/>
    <w:rsid w:val="1EA57FD7"/>
    <w:rsid w:val="1ED8781E"/>
    <w:rsid w:val="1EDD3235"/>
    <w:rsid w:val="1EE7283A"/>
    <w:rsid w:val="1F1102B0"/>
    <w:rsid w:val="1F2F1047"/>
    <w:rsid w:val="1F43381C"/>
    <w:rsid w:val="1F7D6A3D"/>
    <w:rsid w:val="1FA4148D"/>
    <w:rsid w:val="1FC10FAB"/>
    <w:rsid w:val="1FC65577"/>
    <w:rsid w:val="1FD82385"/>
    <w:rsid w:val="20121621"/>
    <w:rsid w:val="201636E2"/>
    <w:rsid w:val="202E3F6D"/>
    <w:rsid w:val="2032134B"/>
    <w:rsid w:val="20325F7E"/>
    <w:rsid w:val="204778E7"/>
    <w:rsid w:val="204E554F"/>
    <w:rsid w:val="20546774"/>
    <w:rsid w:val="20590035"/>
    <w:rsid w:val="20851B47"/>
    <w:rsid w:val="209A2C3D"/>
    <w:rsid w:val="20E5011E"/>
    <w:rsid w:val="20FC799E"/>
    <w:rsid w:val="21215B8F"/>
    <w:rsid w:val="21286DA7"/>
    <w:rsid w:val="2134683B"/>
    <w:rsid w:val="219B71B0"/>
    <w:rsid w:val="21C82E72"/>
    <w:rsid w:val="21DE0801"/>
    <w:rsid w:val="21DE339D"/>
    <w:rsid w:val="22154DDD"/>
    <w:rsid w:val="221D4DB5"/>
    <w:rsid w:val="22336873"/>
    <w:rsid w:val="22396826"/>
    <w:rsid w:val="225471A3"/>
    <w:rsid w:val="225E34DC"/>
    <w:rsid w:val="227D1295"/>
    <w:rsid w:val="229B678A"/>
    <w:rsid w:val="22AB3B7D"/>
    <w:rsid w:val="22AF3A08"/>
    <w:rsid w:val="22F92F75"/>
    <w:rsid w:val="239634D6"/>
    <w:rsid w:val="23BB4E7D"/>
    <w:rsid w:val="23C172D6"/>
    <w:rsid w:val="23CB1286"/>
    <w:rsid w:val="23D77537"/>
    <w:rsid w:val="23E6195D"/>
    <w:rsid w:val="23F04F64"/>
    <w:rsid w:val="242654AA"/>
    <w:rsid w:val="24814CBE"/>
    <w:rsid w:val="24AC168B"/>
    <w:rsid w:val="24BB6664"/>
    <w:rsid w:val="24EC64CB"/>
    <w:rsid w:val="250E1318"/>
    <w:rsid w:val="25103738"/>
    <w:rsid w:val="253F46D8"/>
    <w:rsid w:val="254D0389"/>
    <w:rsid w:val="2568016B"/>
    <w:rsid w:val="25884C5D"/>
    <w:rsid w:val="258C3BEC"/>
    <w:rsid w:val="25A03144"/>
    <w:rsid w:val="25B2479F"/>
    <w:rsid w:val="25C15C5D"/>
    <w:rsid w:val="25D329B9"/>
    <w:rsid w:val="25E5427A"/>
    <w:rsid w:val="26276A31"/>
    <w:rsid w:val="26366F9D"/>
    <w:rsid w:val="263B1230"/>
    <w:rsid w:val="2642752B"/>
    <w:rsid w:val="26485508"/>
    <w:rsid w:val="26554808"/>
    <w:rsid w:val="265E685B"/>
    <w:rsid w:val="26607D95"/>
    <w:rsid w:val="26700955"/>
    <w:rsid w:val="26A16AE9"/>
    <w:rsid w:val="26A605D9"/>
    <w:rsid w:val="26AD0500"/>
    <w:rsid w:val="26B121A3"/>
    <w:rsid w:val="26E464C3"/>
    <w:rsid w:val="272E3097"/>
    <w:rsid w:val="272E6F74"/>
    <w:rsid w:val="273B7A3B"/>
    <w:rsid w:val="277E6655"/>
    <w:rsid w:val="2780046C"/>
    <w:rsid w:val="27933DEA"/>
    <w:rsid w:val="27B36A67"/>
    <w:rsid w:val="27D9633F"/>
    <w:rsid w:val="280B2E27"/>
    <w:rsid w:val="281E404F"/>
    <w:rsid w:val="28302479"/>
    <w:rsid w:val="283F57D1"/>
    <w:rsid w:val="2846581F"/>
    <w:rsid w:val="284A5CA4"/>
    <w:rsid w:val="286550ED"/>
    <w:rsid w:val="286602C8"/>
    <w:rsid w:val="28665C95"/>
    <w:rsid w:val="28736F5F"/>
    <w:rsid w:val="28AC0391"/>
    <w:rsid w:val="28B01D1E"/>
    <w:rsid w:val="28C2628C"/>
    <w:rsid w:val="28CC3373"/>
    <w:rsid w:val="28F47F99"/>
    <w:rsid w:val="28F579BA"/>
    <w:rsid w:val="290B3EB9"/>
    <w:rsid w:val="292728C1"/>
    <w:rsid w:val="294E392A"/>
    <w:rsid w:val="2950768C"/>
    <w:rsid w:val="297A5FC4"/>
    <w:rsid w:val="29B51252"/>
    <w:rsid w:val="29E14657"/>
    <w:rsid w:val="29E474B8"/>
    <w:rsid w:val="29ED574B"/>
    <w:rsid w:val="29FA2D3E"/>
    <w:rsid w:val="29FE5CE6"/>
    <w:rsid w:val="2A743AE8"/>
    <w:rsid w:val="2A8D4F8F"/>
    <w:rsid w:val="2A917B34"/>
    <w:rsid w:val="2A9308A8"/>
    <w:rsid w:val="2A9F5AB8"/>
    <w:rsid w:val="2AB10C99"/>
    <w:rsid w:val="2AD74E8C"/>
    <w:rsid w:val="2AE3766F"/>
    <w:rsid w:val="2AE733B4"/>
    <w:rsid w:val="2AEC612E"/>
    <w:rsid w:val="2B0268A7"/>
    <w:rsid w:val="2B060F9E"/>
    <w:rsid w:val="2B0E56AB"/>
    <w:rsid w:val="2B51141C"/>
    <w:rsid w:val="2B590601"/>
    <w:rsid w:val="2B710DB7"/>
    <w:rsid w:val="2B7408CF"/>
    <w:rsid w:val="2B7E4054"/>
    <w:rsid w:val="2BBA6A76"/>
    <w:rsid w:val="2BCC03D1"/>
    <w:rsid w:val="2BDF1FBA"/>
    <w:rsid w:val="2BFE2C3D"/>
    <w:rsid w:val="2C0C6D59"/>
    <w:rsid w:val="2C5B0D4B"/>
    <w:rsid w:val="2C8903AA"/>
    <w:rsid w:val="2C987C56"/>
    <w:rsid w:val="2CA156F3"/>
    <w:rsid w:val="2CC11460"/>
    <w:rsid w:val="2CC15BAA"/>
    <w:rsid w:val="2CC72A61"/>
    <w:rsid w:val="2CDC3153"/>
    <w:rsid w:val="2CDF621C"/>
    <w:rsid w:val="2CE136D7"/>
    <w:rsid w:val="2CFE7A11"/>
    <w:rsid w:val="2CFF149A"/>
    <w:rsid w:val="2D201865"/>
    <w:rsid w:val="2D2B6EDE"/>
    <w:rsid w:val="2D493B59"/>
    <w:rsid w:val="2D4B5CEA"/>
    <w:rsid w:val="2D4C5B4C"/>
    <w:rsid w:val="2D542188"/>
    <w:rsid w:val="2D652658"/>
    <w:rsid w:val="2D964A56"/>
    <w:rsid w:val="2DC16E0A"/>
    <w:rsid w:val="2DC80C49"/>
    <w:rsid w:val="2DCA6355"/>
    <w:rsid w:val="2E030E17"/>
    <w:rsid w:val="2E166748"/>
    <w:rsid w:val="2E2054A0"/>
    <w:rsid w:val="2E482374"/>
    <w:rsid w:val="2E491580"/>
    <w:rsid w:val="2E556F01"/>
    <w:rsid w:val="2E612427"/>
    <w:rsid w:val="2E8345A7"/>
    <w:rsid w:val="2E8E20B4"/>
    <w:rsid w:val="2EAA7BAE"/>
    <w:rsid w:val="2EC1207D"/>
    <w:rsid w:val="2ED06066"/>
    <w:rsid w:val="2ED1223D"/>
    <w:rsid w:val="2F000139"/>
    <w:rsid w:val="2F1B303D"/>
    <w:rsid w:val="2F3F11F4"/>
    <w:rsid w:val="2F5E0754"/>
    <w:rsid w:val="2F9F42DC"/>
    <w:rsid w:val="2FBB4121"/>
    <w:rsid w:val="2FBC2844"/>
    <w:rsid w:val="2FBE3786"/>
    <w:rsid w:val="2FC32F68"/>
    <w:rsid w:val="2FD6418B"/>
    <w:rsid w:val="2FF37AB3"/>
    <w:rsid w:val="300268A4"/>
    <w:rsid w:val="30210B8A"/>
    <w:rsid w:val="30224DC7"/>
    <w:rsid w:val="303B4C3F"/>
    <w:rsid w:val="3073310C"/>
    <w:rsid w:val="309D6BE6"/>
    <w:rsid w:val="30AA1790"/>
    <w:rsid w:val="30EE385E"/>
    <w:rsid w:val="30F85AFE"/>
    <w:rsid w:val="31031402"/>
    <w:rsid w:val="31170995"/>
    <w:rsid w:val="31264A30"/>
    <w:rsid w:val="312651F8"/>
    <w:rsid w:val="31862EE3"/>
    <w:rsid w:val="31884E67"/>
    <w:rsid w:val="31A0275E"/>
    <w:rsid w:val="31A67308"/>
    <w:rsid w:val="31B91526"/>
    <w:rsid w:val="31BA7402"/>
    <w:rsid w:val="31EF0041"/>
    <w:rsid w:val="320107F5"/>
    <w:rsid w:val="32327900"/>
    <w:rsid w:val="324175CB"/>
    <w:rsid w:val="326A0524"/>
    <w:rsid w:val="327B7EDF"/>
    <w:rsid w:val="32AB70C5"/>
    <w:rsid w:val="32EF2122"/>
    <w:rsid w:val="32F17F41"/>
    <w:rsid w:val="332038B4"/>
    <w:rsid w:val="33247607"/>
    <w:rsid w:val="33275BA3"/>
    <w:rsid w:val="333014B0"/>
    <w:rsid w:val="335D0AF5"/>
    <w:rsid w:val="336917EF"/>
    <w:rsid w:val="336B2EA4"/>
    <w:rsid w:val="336B3E67"/>
    <w:rsid w:val="3370088C"/>
    <w:rsid w:val="3384586B"/>
    <w:rsid w:val="33872039"/>
    <w:rsid w:val="339A687B"/>
    <w:rsid w:val="33DC2F78"/>
    <w:rsid w:val="3428227C"/>
    <w:rsid w:val="343230D5"/>
    <w:rsid w:val="3439428E"/>
    <w:rsid w:val="34571EF7"/>
    <w:rsid w:val="347918A5"/>
    <w:rsid w:val="34802E4C"/>
    <w:rsid w:val="34825E35"/>
    <w:rsid w:val="349D37D5"/>
    <w:rsid w:val="34A61BDE"/>
    <w:rsid w:val="34BB7B5F"/>
    <w:rsid w:val="3522586C"/>
    <w:rsid w:val="35572473"/>
    <w:rsid w:val="35602226"/>
    <w:rsid w:val="356B72E7"/>
    <w:rsid w:val="356D2AC8"/>
    <w:rsid w:val="3572424F"/>
    <w:rsid w:val="35734CF3"/>
    <w:rsid w:val="35866014"/>
    <w:rsid w:val="359E5CE0"/>
    <w:rsid w:val="35D275C3"/>
    <w:rsid w:val="35E50FBB"/>
    <w:rsid w:val="362B215D"/>
    <w:rsid w:val="366666CA"/>
    <w:rsid w:val="367070F4"/>
    <w:rsid w:val="367801A9"/>
    <w:rsid w:val="36807FCC"/>
    <w:rsid w:val="36AD519D"/>
    <w:rsid w:val="36B57705"/>
    <w:rsid w:val="36B93E53"/>
    <w:rsid w:val="36DC1DD3"/>
    <w:rsid w:val="36F3711D"/>
    <w:rsid w:val="36FC25DD"/>
    <w:rsid w:val="370116CC"/>
    <w:rsid w:val="37034BCF"/>
    <w:rsid w:val="37090CD6"/>
    <w:rsid w:val="37122320"/>
    <w:rsid w:val="3754697A"/>
    <w:rsid w:val="37636A21"/>
    <w:rsid w:val="377C03A4"/>
    <w:rsid w:val="37A103ED"/>
    <w:rsid w:val="37A367C3"/>
    <w:rsid w:val="37BD33EE"/>
    <w:rsid w:val="37E02B23"/>
    <w:rsid w:val="37E345A6"/>
    <w:rsid w:val="37EA5E6E"/>
    <w:rsid w:val="37EC6A58"/>
    <w:rsid w:val="37FB2268"/>
    <w:rsid w:val="37FF016F"/>
    <w:rsid w:val="380F0693"/>
    <w:rsid w:val="382A6E2D"/>
    <w:rsid w:val="38373947"/>
    <w:rsid w:val="386E4145"/>
    <w:rsid w:val="387C5ABE"/>
    <w:rsid w:val="38B66D0C"/>
    <w:rsid w:val="38D41643"/>
    <w:rsid w:val="38EB6119"/>
    <w:rsid w:val="39044996"/>
    <w:rsid w:val="392C0D5C"/>
    <w:rsid w:val="392C6D9B"/>
    <w:rsid w:val="393B020C"/>
    <w:rsid w:val="39506E15"/>
    <w:rsid w:val="396678D9"/>
    <w:rsid w:val="39790BE6"/>
    <w:rsid w:val="397A0ADB"/>
    <w:rsid w:val="39844799"/>
    <w:rsid w:val="39954B2B"/>
    <w:rsid w:val="39DA2245"/>
    <w:rsid w:val="39E66E3B"/>
    <w:rsid w:val="39FD4CC2"/>
    <w:rsid w:val="3A3E409C"/>
    <w:rsid w:val="3A51228C"/>
    <w:rsid w:val="3A545E48"/>
    <w:rsid w:val="3A552E60"/>
    <w:rsid w:val="3A5D642F"/>
    <w:rsid w:val="3A744447"/>
    <w:rsid w:val="3A78219D"/>
    <w:rsid w:val="3A995C5C"/>
    <w:rsid w:val="3AB210FC"/>
    <w:rsid w:val="3ADB7381"/>
    <w:rsid w:val="3AF04A37"/>
    <w:rsid w:val="3B043A1D"/>
    <w:rsid w:val="3B1E01C3"/>
    <w:rsid w:val="3B3E5B8A"/>
    <w:rsid w:val="3B793A48"/>
    <w:rsid w:val="3B7E3699"/>
    <w:rsid w:val="3B85393E"/>
    <w:rsid w:val="3BCA4B8A"/>
    <w:rsid w:val="3BCD72F7"/>
    <w:rsid w:val="3BFC2F5F"/>
    <w:rsid w:val="3C37146A"/>
    <w:rsid w:val="3C3D3625"/>
    <w:rsid w:val="3C414142"/>
    <w:rsid w:val="3C5B725E"/>
    <w:rsid w:val="3C84047F"/>
    <w:rsid w:val="3C88055A"/>
    <w:rsid w:val="3C9E57AB"/>
    <w:rsid w:val="3CAF79B9"/>
    <w:rsid w:val="3CB35097"/>
    <w:rsid w:val="3CF737A2"/>
    <w:rsid w:val="3D10295A"/>
    <w:rsid w:val="3D184041"/>
    <w:rsid w:val="3D370C2A"/>
    <w:rsid w:val="3D414FC0"/>
    <w:rsid w:val="3D4F12A7"/>
    <w:rsid w:val="3D7B5F78"/>
    <w:rsid w:val="3D7D049C"/>
    <w:rsid w:val="3DE20EAE"/>
    <w:rsid w:val="3DEF3701"/>
    <w:rsid w:val="3E0572FD"/>
    <w:rsid w:val="3E0720FE"/>
    <w:rsid w:val="3E2819F6"/>
    <w:rsid w:val="3E287A22"/>
    <w:rsid w:val="3E5A7FE7"/>
    <w:rsid w:val="3E7D40EF"/>
    <w:rsid w:val="3E955A6A"/>
    <w:rsid w:val="3E964D81"/>
    <w:rsid w:val="3EF66B2E"/>
    <w:rsid w:val="3F217914"/>
    <w:rsid w:val="3F852345"/>
    <w:rsid w:val="3FD10810"/>
    <w:rsid w:val="3FD70BB0"/>
    <w:rsid w:val="3FFB55AC"/>
    <w:rsid w:val="40017152"/>
    <w:rsid w:val="401C5F9D"/>
    <w:rsid w:val="401C690C"/>
    <w:rsid w:val="401D7195"/>
    <w:rsid w:val="405C1C05"/>
    <w:rsid w:val="407A652F"/>
    <w:rsid w:val="40825D97"/>
    <w:rsid w:val="40836C36"/>
    <w:rsid w:val="40870EA3"/>
    <w:rsid w:val="409928E7"/>
    <w:rsid w:val="40997CFE"/>
    <w:rsid w:val="40C34607"/>
    <w:rsid w:val="40CE3DC0"/>
    <w:rsid w:val="40D7455A"/>
    <w:rsid w:val="40E743E5"/>
    <w:rsid w:val="40EB4012"/>
    <w:rsid w:val="41075C9E"/>
    <w:rsid w:val="410A1661"/>
    <w:rsid w:val="412D5EA0"/>
    <w:rsid w:val="415A62F5"/>
    <w:rsid w:val="416D78C7"/>
    <w:rsid w:val="41734CBA"/>
    <w:rsid w:val="417F4E1A"/>
    <w:rsid w:val="418B0C8A"/>
    <w:rsid w:val="41A82190"/>
    <w:rsid w:val="41C25A06"/>
    <w:rsid w:val="41DE5999"/>
    <w:rsid w:val="41E1181A"/>
    <w:rsid w:val="41E32A20"/>
    <w:rsid w:val="41FA3241"/>
    <w:rsid w:val="420F7A65"/>
    <w:rsid w:val="4216611A"/>
    <w:rsid w:val="42321B6A"/>
    <w:rsid w:val="423E300F"/>
    <w:rsid w:val="425656C8"/>
    <w:rsid w:val="4257273C"/>
    <w:rsid w:val="42687ACE"/>
    <w:rsid w:val="4270145E"/>
    <w:rsid w:val="429E6041"/>
    <w:rsid w:val="42BF4B02"/>
    <w:rsid w:val="42D739B6"/>
    <w:rsid w:val="42FD694D"/>
    <w:rsid w:val="43034DFA"/>
    <w:rsid w:val="437D6687"/>
    <w:rsid w:val="438351F5"/>
    <w:rsid w:val="438D35EA"/>
    <w:rsid w:val="43BC1E57"/>
    <w:rsid w:val="43D23F8D"/>
    <w:rsid w:val="43D43F1D"/>
    <w:rsid w:val="43FA5777"/>
    <w:rsid w:val="44023422"/>
    <w:rsid w:val="44184A2D"/>
    <w:rsid w:val="441C1611"/>
    <w:rsid w:val="443C440B"/>
    <w:rsid w:val="44514F52"/>
    <w:rsid w:val="44761C8F"/>
    <w:rsid w:val="449722E3"/>
    <w:rsid w:val="449D7B09"/>
    <w:rsid w:val="44AE3FD4"/>
    <w:rsid w:val="44C810FC"/>
    <w:rsid w:val="44D0586F"/>
    <w:rsid w:val="44F639B0"/>
    <w:rsid w:val="44FA2D53"/>
    <w:rsid w:val="453273D9"/>
    <w:rsid w:val="453C4912"/>
    <w:rsid w:val="45687813"/>
    <w:rsid w:val="4571374F"/>
    <w:rsid w:val="458B1BB0"/>
    <w:rsid w:val="45A41560"/>
    <w:rsid w:val="45A715D5"/>
    <w:rsid w:val="45AD31D6"/>
    <w:rsid w:val="45B93426"/>
    <w:rsid w:val="45CF1361"/>
    <w:rsid w:val="45F978AE"/>
    <w:rsid w:val="464C6420"/>
    <w:rsid w:val="46552F9B"/>
    <w:rsid w:val="467A0297"/>
    <w:rsid w:val="468B7125"/>
    <w:rsid w:val="46B506EF"/>
    <w:rsid w:val="46C4691F"/>
    <w:rsid w:val="46CB53EF"/>
    <w:rsid w:val="46EE513F"/>
    <w:rsid w:val="470F5A71"/>
    <w:rsid w:val="473154FF"/>
    <w:rsid w:val="47685427"/>
    <w:rsid w:val="476C4065"/>
    <w:rsid w:val="476E4664"/>
    <w:rsid w:val="4779499C"/>
    <w:rsid w:val="477B6530"/>
    <w:rsid w:val="47801172"/>
    <w:rsid w:val="479D1D34"/>
    <w:rsid w:val="47B609C0"/>
    <w:rsid w:val="47EC3B04"/>
    <w:rsid w:val="47EC6277"/>
    <w:rsid w:val="48021483"/>
    <w:rsid w:val="481A219B"/>
    <w:rsid w:val="482D31EA"/>
    <w:rsid w:val="48447D02"/>
    <w:rsid w:val="485633DE"/>
    <w:rsid w:val="485970A0"/>
    <w:rsid w:val="486A6E89"/>
    <w:rsid w:val="48823516"/>
    <w:rsid w:val="48877686"/>
    <w:rsid w:val="488B498B"/>
    <w:rsid w:val="48B176C2"/>
    <w:rsid w:val="48B65C71"/>
    <w:rsid w:val="48D550F0"/>
    <w:rsid w:val="48FB1909"/>
    <w:rsid w:val="491F266E"/>
    <w:rsid w:val="492E6A57"/>
    <w:rsid w:val="4937272B"/>
    <w:rsid w:val="495839AA"/>
    <w:rsid w:val="49700A6F"/>
    <w:rsid w:val="49771AFE"/>
    <w:rsid w:val="49802948"/>
    <w:rsid w:val="4986089F"/>
    <w:rsid w:val="498B5309"/>
    <w:rsid w:val="499F0AAB"/>
    <w:rsid w:val="49C154CE"/>
    <w:rsid w:val="49C33FF5"/>
    <w:rsid w:val="49DB11EC"/>
    <w:rsid w:val="49E31DD1"/>
    <w:rsid w:val="4A0030EE"/>
    <w:rsid w:val="4A0568D6"/>
    <w:rsid w:val="4A0C4F3C"/>
    <w:rsid w:val="4A162478"/>
    <w:rsid w:val="4A171EC9"/>
    <w:rsid w:val="4A1A1689"/>
    <w:rsid w:val="4A484D41"/>
    <w:rsid w:val="4A6D15F8"/>
    <w:rsid w:val="4A7617B6"/>
    <w:rsid w:val="4A8C4FB8"/>
    <w:rsid w:val="4A9A25BD"/>
    <w:rsid w:val="4A9E0551"/>
    <w:rsid w:val="4AB542AE"/>
    <w:rsid w:val="4AB56AE2"/>
    <w:rsid w:val="4AF72FEA"/>
    <w:rsid w:val="4B1477B3"/>
    <w:rsid w:val="4B1F062C"/>
    <w:rsid w:val="4B243D9D"/>
    <w:rsid w:val="4B281425"/>
    <w:rsid w:val="4B3B40FA"/>
    <w:rsid w:val="4B6F66A1"/>
    <w:rsid w:val="4B85213F"/>
    <w:rsid w:val="4B8C2DEB"/>
    <w:rsid w:val="4BFA3C9F"/>
    <w:rsid w:val="4BFA7F6C"/>
    <w:rsid w:val="4C107F48"/>
    <w:rsid w:val="4C3117D0"/>
    <w:rsid w:val="4C3277BC"/>
    <w:rsid w:val="4C5C442D"/>
    <w:rsid w:val="4C6D42A9"/>
    <w:rsid w:val="4C716A38"/>
    <w:rsid w:val="4CC0351C"/>
    <w:rsid w:val="4CC353EB"/>
    <w:rsid w:val="4CE331B1"/>
    <w:rsid w:val="4CE64E14"/>
    <w:rsid w:val="4CE95EE5"/>
    <w:rsid w:val="4CF36F3C"/>
    <w:rsid w:val="4D007BC8"/>
    <w:rsid w:val="4D0602E5"/>
    <w:rsid w:val="4D1470BD"/>
    <w:rsid w:val="4D154882"/>
    <w:rsid w:val="4D1C3C50"/>
    <w:rsid w:val="4D603399"/>
    <w:rsid w:val="4D6A7284"/>
    <w:rsid w:val="4D6E30E1"/>
    <w:rsid w:val="4D867EE1"/>
    <w:rsid w:val="4DBC4C65"/>
    <w:rsid w:val="4DC9105D"/>
    <w:rsid w:val="4DE2009B"/>
    <w:rsid w:val="4DF5157D"/>
    <w:rsid w:val="4DF86974"/>
    <w:rsid w:val="4E013DEC"/>
    <w:rsid w:val="4E0F235E"/>
    <w:rsid w:val="4E157689"/>
    <w:rsid w:val="4E471216"/>
    <w:rsid w:val="4E533FA5"/>
    <w:rsid w:val="4E550010"/>
    <w:rsid w:val="4E5F14CB"/>
    <w:rsid w:val="4E651D17"/>
    <w:rsid w:val="4E6808B0"/>
    <w:rsid w:val="4E780BC4"/>
    <w:rsid w:val="4EBA42F2"/>
    <w:rsid w:val="4EC00DDD"/>
    <w:rsid w:val="4ED908C5"/>
    <w:rsid w:val="4EF265BE"/>
    <w:rsid w:val="4EFB1C45"/>
    <w:rsid w:val="4F0C2A48"/>
    <w:rsid w:val="4F26273B"/>
    <w:rsid w:val="4F2D3A8A"/>
    <w:rsid w:val="4F32478A"/>
    <w:rsid w:val="4F3705F8"/>
    <w:rsid w:val="4F913A9A"/>
    <w:rsid w:val="4F9714A0"/>
    <w:rsid w:val="4FAA3F91"/>
    <w:rsid w:val="4FAC3540"/>
    <w:rsid w:val="4FCF1583"/>
    <w:rsid w:val="4FD23E66"/>
    <w:rsid w:val="4FD44D1B"/>
    <w:rsid w:val="4FDC066D"/>
    <w:rsid w:val="4FFA7625"/>
    <w:rsid w:val="50453E7E"/>
    <w:rsid w:val="50594CF7"/>
    <w:rsid w:val="507D2599"/>
    <w:rsid w:val="5096229D"/>
    <w:rsid w:val="509E157D"/>
    <w:rsid w:val="50A6165E"/>
    <w:rsid w:val="50DC4184"/>
    <w:rsid w:val="50FB6146"/>
    <w:rsid w:val="512F4CA0"/>
    <w:rsid w:val="51361FFF"/>
    <w:rsid w:val="513D4C38"/>
    <w:rsid w:val="514C3EA7"/>
    <w:rsid w:val="51AC4D00"/>
    <w:rsid w:val="51FF3C99"/>
    <w:rsid w:val="52044E1D"/>
    <w:rsid w:val="522A20E4"/>
    <w:rsid w:val="52363D4D"/>
    <w:rsid w:val="524A2AC9"/>
    <w:rsid w:val="52521A20"/>
    <w:rsid w:val="528604EC"/>
    <w:rsid w:val="529E2C3A"/>
    <w:rsid w:val="52AC4ABC"/>
    <w:rsid w:val="52C201B9"/>
    <w:rsid w:val="52E57A12"/>
    <w:rsid w:val="52F20B62"/>
    <w:rsid w:val="531C4FCC"/>
    <w:rsid w:val="53827E49"/>
    <w:rsid w:val="538A6BB9"/>
    <w:rsid w:val="539964FD"/>
    <w:rsid w:val="539C1B81"/>
    <w:rsid w:val="539D7755"/>
    <w:rsid w:val="53A447B1"/>
    <w:rsid w:val="53AE750F"/>
    <w:rsid w:val="53D224B3"/>
    <w:rsid w:val="53F81D96"/>
    <w:rsid w:val="541D5DE8"/>
    <w:rsid w:val="541F57C4"/>
    <w:rsid w:val="542076D2"/>
    <w:rsid w:val="544B5214"/>
    <w:rsid w:val="546F523C"/>
    <w:rsid w:val="54782FBD"/>
    <w:rsid w:val="5483138F"/>
    <w:rsid w:val="5488523A"/>
    <w:rsid w:val="548B2D7F"/>
    <w:rsid w:val="549A6BFA"/>
    <w:rsid w:val="54B8530B"/>
    <w:rsid w:val="54C341E7"/>
    <w:rsid w:val="54D933CD"/>
    <w:rsid w:val="551751CF"/>
    <w:rsid w:val="5522558F"/>
    <w:rsid w:val="55244D7F"/>
    <w:rsid w:val="55305397"/>
    <w:rsid w:val="55362287"/>
    <w:rsid w:val="55432F3C"/>
    <w:rsid w:val="55935C72"/>
    <w:rsid w:val="55A37FFD"/>
    <w:rsid w:val="55AE22F1"/>
    <w:rsid w:val="55C3227E"/>
    <w:rsid w:val="55CE1AA9"/>
    <w:rsid w:val="55F6381F"/>
    <w:rsid w:val="55FA2961"/>
    <w:rsid w:val="5602250F"/>
    <w:rsid w:val="564220BA"/>
    <w:rsid w:val="565E7F4F"/>
    <w:rsid w:val="565F3DA6"/>
    <w:rsid w:val="56914056"/>
    <w:rsid w:val="56B61E36"/>
    <w:rsid w:val="56C36589"/>
    <w:rsid w:val="570D55B0"/>
    <w:rsid w:val="57293C95"/>
    <w:rsid w:val="572A6381"/>
    <w:rsid w:val="572B41B4"/>
    <w:rsid w:val="57365868"/>
    <w:rsid w:val="573C1959"/>
    <w:rsid w:val="57554571"/>
    <w:rsid w:val="57F65317"/>
    <w:rsid w:val="57FC2169"/>
    <w:rsid w:val="58024015"/>
    <w:rsid w:val="58096275"/>
    <w:rsid w:val="5819544F"/>
    <w:rsid w:val="582D6D32"/>
    <w:rsid w:val="582E6EF7"/>
    <w:rsid w:val="584E30E6"/>
    <w:rsid w:val="58546EFD"/>
    <w:rsid w:val="5881703E"/>
    <w:rsid w:val="588717C9"/>
    <w:rsid w:val="58DD2546"/>
    <w:rsid w:val="58E26731"/>
    <w:rsid w:val="58EB1371"/>
    <w:rsid w:val="59091D98"/>
    <w:rsid w:val="590E4A97"/>
    <w:rsid w:val="591250FF"/>
    <w:rsid w:val="5920012C"/>
    <w:rsid w:val="593700E7"/>
    <w:rsid w:val="595578DE"/>
    <w:rsid w:val="597B384D"/>
    <w:rsid w:val="59996DA8"/>
    <w:rsid w:val="59C30F1B"/>
    <w:rsid w:val="59CE4759"/>
    <w:rsid w:val="59D90B78"/>
    <w:rsid w:val="5A814766"/>
    <w:rsid w:val="5A8C20D0"/>
    <w:rsid w:val="5ABC29E4"/>
    <w:rsid w:val="5AC7121C"/>
    <w:rsid w:val="5AD90B8D"/>
    <w:rsid w:val="5AE12927"/>
    <w:rsid w:val="5AE35472"/>
    <w:rsid w:val="5AF41CF3"/>
    <w:rsid w:val="5AF87CC9"/>
    <w:rsid w:val="5B07329F"/>
    <w:rsid w:val="5B4E1A44"/>
    <w:rsid w:val="5B873201"/>
    <w:rsid w:val="5B967767"/>
    <w:rsid w:val="5B9D1624"/>
    <w:rsid w:val="5BAB7AEF"/>
    <w:rsid w:val="5BBF73E2"/>
    <w:rsid w:val="5BEE5378"/>
    <w:rsid w:val="5C0C2FF6"/>
    <w:rsid w:val="5C1241CC"/>
    <w:rsid w:val="5C286807"/>
    <w:rsid w:val="5C34339E"/>
    <w:rsid w:val="5C355656"/>
    <w:rsid w:val="5C370E72"/>
    <w:rsid w:val="5C446BC8"/>
    <w:rsid w:val="5C4B56E1"/>
    <w:rsid w:val="5C7146B1"/>
    <w:rsid w:val="5C7C2768"/>
    <w:rsid w:val="5CAD3BC1"/>
    <w:rsid w:val="5CAE62DC"/>
    <w:rsid w:val="5CB23AE6"/>
    <w:rsid w:val="5CED5863"/>
    <w:rsid w:val="5D0D6DF5"/>
    <w:rsid w:val="5D4A5E05"/>
    <w:rsid w:val="5D580A8A"/>
    <w:rsid w:val="5D7E6D71"/>
    <w:rsid w:val="5D893B14"/>
    <w:rsid w:val="5DB42C29"/>
    <w:rsid w:val="5E1219F7"/>
    <w:rsid w:val="5E18541D"/>
    <w:rsid w:val="5E291636"/>
    <w:rsid w:val="5E48511F"/>
    <w:rsid w:val="5E655B72"/>
    <w:rsid w:val="5E6C5807"/>
    <w:rsid w:val="5E895E64"/>
    <w:rsid w:val="5E8B0770"/>
    <w:rsid w:val="5EA06921"/>
    <w:rsid w:val="5EBA259F"/>
    <w:rsid w:val="5EE1082B"/>
    <w:rsid w:val="5EE97BB4"/>
    <w:rsid w:val="5EF55BC9"/>
    <w:rsid w:val="5F085DDA"/>
    <w:rsid w:val="5F2E2D52"/>
    <w:rsid w:val="5F54198B"/>
    <w:rsid w:val="5F6C74C2"/>
    <w:rsid w:val="5F9D1350"/>
    <w:rsid w:val="5FA44AD1"/>
    <w:rsid w:val="5FBE370A"/>
    <w:rsid w:val="5FC61F2E"/>
    <w:rsid w:val="5FC83407"/>
    <w:rsid w:val="5FD56E87"/>
    <w:rsid w:val="5FF0558C"/>
    <w:rsid w:val="5FFE6E0D"/>
    <w:rsid w:val="60015A45"/>
    <w:rsid w:val="601A27F4"/>
    <w:rsid w:val="60292845"/>
    <w:rsid w:val="606F2632"/>
    <w:rsid w:val="6071543B"/>
    <w:rsid w:val="607921FE"/>
    <w:rsid w:val="607E12CC"/>
    <w:rsid w:val="608F62AE"/>
    <w:rsid w:val="60B9251B"/>
    <w:rsid w:val="60E236C1"/>
    <w:rsid w:val="60E37983"/>
    <w:rsid w:val="61260B6B"/>
    <w:rsid w:val="612B3ABB"/>
    <w:rsid w:val="612E1A5D"/>
    <w:rsid w:val="614E5D7E"/>
    <w:rsid w:val="61816046"/>
    <w:rsid w:val="61BD04E4"/>
    <w:rsid w:val="61C81AB1"/>
    <w:rsid w:val="620B0059"/>
    <w:rsid w:val="62391564"/>
    <w:rsid w:val="624A22BE"/>
    <w:rsid w:val="62571DD5"/>
    <w:rsid w:val="6263230B"/>
    <w:rsid w:val="626E235A"/>
    <w:rsid w:val="626F60D5"/>
    <w:rsid w:val="627B5AC3"/>
    <w:rsid w:val="62816669"/>
    <w:rsid w:val="6282086D"/>
    <w:rsid w:val="629007F7"/>
    <w:rsid w:val="62AB4D99"/>
    <w:rsid w:val="62B36CD7"/>
    <w:rsid w:val="62BA0953"/>
    <w:rsid w:val="62D03A7C"/>
    <w:rsid w:val="62F42FAE"/>
    <w:rsid w:val="62F648FE"/>
    <w:rsid w:val="63167A4F"/>
    <w:rsid w:val="631D2BD6"/>
    <w:rsid w:val="635356F3"/>
    <w:rsid w:val="63553E8B"/>
    <w:rsid w:val="637D5B70"/>
    <w:rsid w:val="63825E77"/>
    <w:rsid w:val="63A10995"/>
    <w:rsid w:val="63A54F6C"/>
    <w:rsid w:val="63C23EFA"/>
    <w:rsid w:val="63D255DA"/>
    <w:rsid w:val="63E50971"/>
    <w:rsid w:val="63EB2168"/>
    <w:rsid w:val="63F854C1"/>
    <w:rsid w:val="63FB5857"/>
    <w:rsid w:val="64076B79"/>
    <w:rsid w:val="640B7654"/>
    <w:rsid w:val="64116D46"/>
    <w:rsid w:val="643A070A"/>
    <w:rsid w:val="64410A96"/>
    <w:rsid w:val="644C573D"/>
    <w:rsid w:val="64507EFB"/>
    <w:rsid w:val="65032F85"/>
    <w:rsid w:val="651304A7"/>
    <w:rsid w:val="65136B50"/>
    <w:rsid w:val="6531690D"/>
    <w:rsid w:val="65320485"/>
    <w:rsid w:val="655A12F3"/>
    <w:rsid w:val="657E2A35"/>
    <w:rsid w:val="65A94E9D"/>
    <w:rsid w:val="65B96B3F"/>
    <w:rsid w:val="65BE1071"/>
    <w:rsid w:val="65C60A92"/>
    <w:rsid w:val="65DB19DF"/>
    <w:rsid w:val="660451CE"/>
    <w:rsid w:val="664B3BEB"/>
    <w:rsid w:val="665346B7"/>
    <w:rsid w:val="66720F9F"/>
    <w:rsid w:val="667C7CCE"/>
    <w:rsid w:val="66A12460"/>
    <w:rsid w:val="66BE2423"/>
    <w:rsid w:val="66DD6702"/>
    <w:rsid w:val="66E856F1"/>
    <w:rsid w:val="66FB0BAD"/>
    <w:rsid w:val="671B1623"/>
    <w:rsid w:val="671E6EBA"/>
    <w:rsid w:val="6731269C"/>
    <w:rsid w:val="675352AA"/>
    <w:rsid w:val="67542D87"/>
    <w:rsid w:val="6759400B"/>
    <w:rsid w:val="675E528D"/>
    <w:rsid w:val="676C598C"/>
    <w:rsid w:val="67966EFB"/>
    <w:rsid w:val="679E7FA1"/>
    <w:rsid w:val="67A32389"/>
    <w:rsid w:val="67B768D0"/>
    <w:rsid w:val="67C779FD"/>
    <w:rsid w:val="67C85DAF"/>
    <w:rsid w:val="68281CFE"/>
    <w:rsid w:val="682A2352"/>
    <w:rsid w:val="682A2630"/>
    <w:rsid w:val="682E4A5B"/>
    <w:rsid w:val="682E7AFD"/>
    <w:rsid w:val="68707071"/>
    <w:rsid w:val="687A4379"/>
    <w:rsid w:val="687B015C"/>
    <w:rsid w:val="687E3889"/>
    <w:rsid w:val="6884222C"/>
    <w:rsid w:val="68A957C8"/>
    <w:rsid w:val="68AD17BB"/>
    <w:rsid w:val="68D6620B"/>
    <w:rsid w:val="68D94D22"/>
    <w:rsid w:val="68F06F2B"/>
    <w:rsid w:val="69011241"/>
    <w:rsid w:val="692B2E4A"/>
    <w:rsid w:val="696A0B34"/>
    <w:rsid w:val="69821807"/>
    <w:rsid w:val="698D6A17"/>
    <w:rsid w:val="699026E3"/>
    <w:rsid w:val="699E0BED"/>
    <w:rsid w:val="699F0522"/>
    <w:rsid w:val="69D37590"/>
    <w:rsid w:val="69F954C1"/>
    <w:rsid w:val="6A177E9C"/>
    <w:rsid w:val="6A1E1E73"/>
    <w:rsid w:val="6A2031B6"/>
    <w:rsid w:val="6A2F57D7"/>
    <w:rsid w:val="6A3924BB"/>
    <w:rsid w:val="6A3C1D40"/>
    <w:rsid w:val="6A6432E1"/>
    <w:rsid w:val="6AA23DFF"/>
    <w:rsid w:val="6AAA6F38"/>
    <w:rsid w:val="6AC61F6F"/>
    <w:rsid w:val="6AD34E53"/>
    <w:rsid w:val="6AD83EA1"/>
    <w:rsid w:val="6ADE74F0"/>
    <w:rsid w:val="6B1D62E8"/>
    <w:rsid w:val="6B723594"/>
    <w:rsid w:val="6B805156"/>
    <w:rsid w:val="6B945E48"/>
    <w:rsid w:val="6B974A7B"/>
    <w:rsid w:val="6BD50977"/>
    <w:rsid w:val="6BE450D3"/>
    <w:rsid w:val="6BE60C84"/>
    <w:rsid w:val="6C355AB1"/>
    <w:rsid w:val="6C4F0900"/>
    <w:rsid w:val="6C6C32E1"/>
    <w:rsid w:val="6C6E3E15"/>
    <w:rsid w:val="6C8B1F5D"/>
    <w:rsid w:val="6C8C2E23"/>
    <w:rsid w:val="6CA85D3A"/>
    <w:rsid w:val="6CAA3931"/>
    <w:rsid w:val="6CE2512E"/>
    <w:rsid w:val="6CEA06D7"/>
    <w:rsid w:val="6CF70607"/>
    <w:rsid w:val="6D06067F"/>
    <w:rsid w:val="6D325918"/>
    <w:rsid w:val="6D3933CA"/>
    <w:rsid w:val="6D401810"/>
    <w:rsid w:val="6D6261FE"/>
    <w:rsid w:val="6D6D5995"/>
    <w:rsid w:val="6D7B222A"/>
    <w:rsid w:val="6D7B61EC"/>
    <w:rsid w:val="6D8E03AA"/>
    <w:rsid w:val="6DBB089F"/>
    <w:rsid w:val="6DC63038"/>
    <w:rsid w:val="6DDC5608"/>
    <w:rsid w:val="6DE30DE0"/>
    <w:rsid w:val="6DE6130A"/>
    <w:rsid w:val="6E09491E"/>
    <w:rsid w:val="6E0D3655"/>
    <w:rsid w:val="6E1A437E"/>
    <w:rsid w:val="6E3A144E"/>
    <w:rsid w:val="6E4B5383"/>
    <w:rsid w:val="6E5606D3"/>
    <w:rsid w:val="6E5F4465"/>
    <w:rsid w:val="6E8B1663"/>
    <w:rsid w:val="6E8C54DA"/>
    <w:rsid w:val="6EB752BD"/>
    <w:rsid w:val="6EF11E03"/>
    <w:rsid w:val="6EF1241D"/>
    <w:rsid w:val="6EF82916"/>
    <w:rsid w:val="6F0B2DE7"/>
    <w:rsid w:val="6F111C62"/>
    <w:rsid w:val="6F2176E5"/>
    <w:rsid w:val="6F3A2A5F"/>
    <w:rsid w:val="6F4F7F03"/>
    <w:rsid w:val="6F5523A2"/>
    <w:rsid w:val="6F592303"/>
    <w:rsid w:val="6F5F5B74"/>
    <w:rsid w:val="6F682400"/>
    <w:rsid w:val="6F9600A4"/>
    <w:rsid w:val="6F98032D"/>
    <w:rsid w:val="6F9B1C65"/>
    <w:rsid w:val="6FA44937"/>
    <w:rsid w:val="6FAD3FB9"/>
    <w:rsid w:val="6FE82C9C"/>
    <w:rsid w:val="6FFB146E"/>
    <w:rsid w:val="70160742"/>
    <w:rsid w:val="7030610F"/>
    <w:rsid w:val="70612DB4"/>
    <w:rsid w:val="706516C3"/>
    <w:rsid w:val="70660714"/>
    <w:rsid w:val="70896E68"/>
    <w:rsid w:val="708A4844"/>
    <w:rsid w:val="709A00CB"/>
    <w:rsid w:val="70C94DCA"/>
    <w:rsid w:val="70E05E9D"/>
    <w:rsid w:val="71073061"/>
    <w:rsid w:val="711A201F"/>
    <w:rsid w:val="71215AE9"/>
    <w:rsid w:val="712864E5"/>
    <w:rsid w:val="71396ACC"/>
    <w:rsid w:val="715B60E9"/>
    <w:rsid w:val="716F0EE9"/>
    <w:rsid w:val="7196674D"/>
    <w:rsid w:val="719E245E"/>
    <w:rsid w:val="71BA3FE5"/>
    <w:rsid w:val="71CE2A46"/>
    <w:rsid w:val="71EA1FED"/>
    <w:rsid w:val="72165C6B"/>
    <w:rsid w:val="722021E3"/>
    <w:rsid w:val="72290340"/>
    <w:rsid w:val="722C6DDA"/>
    <w:rsid w:val="72515945"/>
    <w:rsid w:val="729243CB"/>
    <w:rsid w:val="72E661B1"/>
    <w:rsid w:val="730313F6"/>
    <w:rsid w:val="730E4732"/>
    <w:rsid w:val="73370D24"/>
    <w:rsid w:val="73397FB3"/>
    <w:rsid w:val="73472C84"/>
    <w:rsid w:val="7359268C"/>
    <w:rsid w:val="735F327A"/>
    <w:rsid w:val="7366631C"/>
    <w:rsid w:val="736C263C"/>
    <w:rsid w:val="73723640"/>
    <w:rsid w:val="737311F5"/>
    <w:rsid w:val="739503EB"/>
    <w:rsid w:val="73A05B28"/>
    <w:rsid w:val="73C07D69"/>
    <w:rsid w:val="73C979D4"/>
    <w:rsid w:val="73DC335B"/>
    <w:rsid w:val="740B60EC"/>
    <w:rsid w:val="745E7D35"/>
    <w:rsid w:val="7465362D"/>
    <w:rsid w:val="7475188D"/>
    <w:rsid w:val="749E16A8"/>
    <w:rsid w:val="74B42AE4"/>
    <w:rsid w:val="74C54993"/>
    <w:rsid w:val="74EB68F6"/>
    <w:rsid w:val="750A429D"/>
    <w:rsid w:val="752739E7"/>
    <w:rsid w:val="75474B47"/>
    <w:rsid w:val="75533AB0"/>
    <w:rsid w:val="75614792"/>
    <w:rsid w:val="75761866"/>
    <w:rsid w:val="75784473"/>
    <w:rsid w:val="75B10995"/>
    <w:rsid w:val="75B161B3"/>
    <w:rsid w:val="75DC6C44"/>
    <w:rsid w:val="75F05CC0"/>
    <w:rsid w:val="762F6A19"/>
    <w:rsid w:val="76341B33"/>
    <w:rsid w:val="76736B32"/>
    <w:rsid w:val="76807C04"/>
    <w:rsid w:val="76AF35EE"/>
    <w:rsid w:val="76C27A74"/>
    <w:rsid w:val="76C726A5"/>
    <w:rsid w:val="76E3765E"/>
    <w:rsid w:val="76FC2AFA"/>
    <w:rsid w:val="77527424"/>
    <w:rsid w:val="77653671"/>
    <w:rsid w:val="77707007"/>
    <w:rsid w:val="778546CC"/>
    <w:rsid w:val="778B6B46"/>
    <w:rsid w:val="77A337B9"/>
    <w:rsid w:val="77B551B3"/>
    <w:rsid w:val="77B56730"/>
    <w:rsid w:val="77B92EBE"/>
    <w:rsid w:val="77C04A8B"/>
    <w:rsid w:val="77D85DB3"/>
    <w:rsid w:val="77EB1B74"/>
    <w:rsid w:val="782A3EA3"/>
    <w:rsid w:val="78490703"/>
    <w:rsid w:val="78A50513"/>
    <w:rsid w:val="78C43087"/>
    <w:rsid w:val="78D37FAF"/>
    <w:rsid w:val="78EF7AB5"/>
    <w:rsid w:val="790D6849"/>
    <w:rsid w:val="790E6D33"/>
    <w:rsid w:val="795767E3"/>
    <w:rsid w:val="79586707"/>
    <w:rsid w:val="796518DD"/>
    <w:rsid w:val="79724BEF"/>
    <w:rsid w:val="797264AC"/>
    <w:rsid w:val="79AA0532"/>
    <w:rsid w:val="79FA22BC"/>
    <w:rsid w:val="79FE1DDD"/>
    <w:rsid w:val="7A075767"/>
    <w:rsid w:val="7A0C15B3"/>
    <w:rsid w:val="7A212062"/>
    <w:rsid w:val="7A2522C9"/>
    <w:rsid w:val="7A282A11"/>
    <w:rsid w:val="7A3A59B8"/>
    <w:rsid w:val="7A5D0F75"/>
    <w:rsid w:val="7A715CD2"/>
    <w:rsid w:val="7A921E9A"/>
    <w:rsid w:val="7A9E53BF"/>
    <w:rsid w:val="7AA914B9"/>
    <w:rsid w:val="7ABF2475"/>
    <w:rsid w:val="7AC21562"/>
    <w:rsid w:val="7AD474A4"/>
    <w:rsid w:val="7AFC38DE"/>
    <w:rsid w:val="7B303E8C"/>
    <w:rsid w:val="7B7D6B6D"/>
    <w:rsid w:val="7B865D50"/>
    <w:rsid w:val="7B8D34C3"/>
    <w:rsid w:val="7B971D84"/>
    <w:rsid w:val="7BAB0CB7"/>
    <w:rsid w:val="7BB4028F"/>
    <w:rsid w:val="7BC1107E"/>
    <w:rsid w:val="7BF32F03"/>
    <w:rsid w:val="7BF50D2C"/>
    <w:rsid w:val="7C066F4E"/>
    <w:rsid w:val="7C1724A5"/>
    <w:rsid w:val="7C5906C2"/>
    <w:rsid w:val="7C6C5F2D"/>
    <w:rsid w:val="7C8561DF"/>
    <w:rsid w:val="7CA54112"/>
    <w:rsid w:val="7CA553D9"/>
    <w:rsid w:val="7CAB27F5"/>
    <w:rsid w:val="7CAF438A"/>
    <w:rsid w:val="7CCE726D"/>
    <w:rsid w:val="7CD71EA3"/>
    <w:rsid w:val="7CE50CE4"/>
    <w:rsid w:val="7CE94EE1"/>
    <w:rsid w:val="7CF877E9"/>
    <w:rsid w:val="7D134762"/>
    <w:rsid w:val="7D244CB3"/>
    <w:rsid w:val="7D2E5ABF"/>
    <w:rsid w:val="7D4A45B8"/>
    <w:rsid w:val="7D535AC7"/>
    <w:rsid w:val="7D964A74"/>
    <w:rsid w:val="7DFA7CBD"/>
    <w:rsid w:val="7DFB43EA"/>
    <w:rsid w:val="7E007625"/>
    <w:rsid w:val="7E0737C8"/>
    <w:rsid w:val="7E131C51"/>
    <w:rsid w:val="7E176B90"/>
    <w:rsid w:val="7E2142A2"/>
    <w:rsid w:val="7E240411"/>
    <w:rsid w:val="7E48335A"/>
    <w:rsid w:val="7E564950"/>
    <w:rsid w:val="7E797DE5"/>
    <w:rsid w:val="7E7B0BF2"/>
    <w:rsid w:val="7E8D75B6"/>
    <w:rsid w:val="7E8E672B"/>
    <w:rsid w:val="7EA27DDF"/>
    <w:rsid w:val="7EC67BB0"/>
    <w:rsid w:val="7ED809AD"/>
    <w:rsid w:val="7EF760EE"/>
    <w:rsid w:val="7F2536B5"/>
    <w:rsid w:val="7F2C3CE7"/>
    <w:rsid w:val="7F5A01CA"/>
    <w:rsid w:val="7F75661B"/>
    <w:rsid w:val="7F9D7069"/>
    <w:rsid w:val="7FB17429"/>
    <w:rsid w:val="7FC237CA"/>
    <w:rsid w:val="7FF127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2">
    <w:name w:val="heading 1"/>
    <w:basedOn w:val="1"/>
    <w:next w:val="1"/>
    <w:link w:val="74"/>
    <w:qFormat/>
    <w:uiPriority w:val="9"/>
    <w:pPr>
      <w:keepNext/>
      <w:keepLines/>
      <w:spacing w:before="340" w:after="330" w:line="576" w:lineRule="auto"/>
      <w:outlineLvl w:val="0"/>
    </w:pPr>
    <w:rPr>
      <w:b/>
      <w:kern w:val="44"/>
      <w:sz w:val="44"/>
    </w:rPr>
  </w:style>
  <w:style w:type="paragraph" w:styleId="3">
    <w:name w:val="heading 2"/>
    <w:basedOn w:val="1"/>
    <w:next w:val="1"/>
    <w:link w:val="4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3"/>
    <w:unhideWhenUsed/>
    <w:qFormat/>
    <w:uiPriority w:val="9"/>
    <w:pPr>
      <w:keepNext/>
      <w:keepLines/>
      <w:outlineLvl w:val="3"/>
    </w:pPr>
    <w:rPr>
      <w:rFonts w:asciiTheme="majorHAnsi" w:hAnsiTheme="majorHAnsi" w:cstheme="majorBidi"/>
      <w:b/>
      <w:bCs/>
      <w:sz w:val="24"/>
      <w:szCs w:val="28"/>
    </w:rPr>
  </w:style>
  <w:style w:type="paragraph" w:styleId="6">
    <w:name w:val="heading 5"/>
    <w:basedOn w:val="1"/>
    <w:next w:val="1"/>
    <w:link w:val="73"/>
    <w:semiHidden/>
    <w:unhideWhenUsed/>
    <w:qFormat/>
    <w:uiPriority w:val="9"/>
    <w:pPr>
      <w:keepNext/>
      <w:keepLines/>
      <w:spacing w:before="280" w:after="290" w:line="372" w:lineRule="auto"/>
      <w:outlineLvl w:val="4"/>
    </w:pPr>
    <w:rPr>
      <w:b/>
      <w:sz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widowControl w:val="0"/>
      <w:adjustRightInd/>
      <w:snapToGrid/>
      <w:spacing w:line="240" w:lineRule="auto"/>
      <w:ind w:left="2520" w:leftChars="1200"/>
      <w:jc w:val="both"/>
    </w:pPr>
    <w:rPr>
      <w:rFonts w:asciiTheme="minorHAnsi" w:hAnsiTheme="minorHAnsi" w:eastAsiaTheme="minorEastAsia"/>
      <w:kern w:val="2"/>
    </w:rPr>
  </w:style>
  <w:style w:type="paragraph" w:styleId="8">
    <w:name w:val="annotation text"/>
    <w:basedOn w:val="1"/>
    <w:link w:val="62"/>
    <w:unhideWhenUsed/>
    <w:qFormat/>
    <w:uiPriority w:val="99"/>
  </w:style>
  <w:style w:type="paragraph" w:styleId="9">
    <w:name w:val="Body Text"/>
    <w:basedOn w:val="1"/>
    <w:next w:val="10"/>
    <w:link w:val="65"/>
    <w:qFormat/>
    <w:uiPriority w:val="1"/>
    <w:pPr>
      <w:spacing w:before="161"/>
      <w:ind w:left="120"/>
    </w:pPr>
    <w:rPr>
      <w:rFonts w:ascii="宋体" w:hAnsi="宋体" w:cs="宋体"/>
      <w:sz w:val="24"/>
      <w:lang w:val="zh-CN" w:bidi="zh-CN"/>
    </w:rPr>
  </w:style>
  <w:style w:type="paragraph" w:styleId="10">
    <w:name w:val="Body Text First Indent"/>
    <w:basedOn w:val="9"/>
    <w:qFormat/>
    <w:uiPriority w:val="0"/>
    <w:pPr>
      <w:spacing w:after="120"/>
      <w:ind w:firstLine="420" w:firstLineChars="100"/>
    </w:pPr>
    <w:rPr>
      <w:bCs/>
      <w:szCs w:val="21"/>
    </w:rPr>
  </w:style>
  <w:style w:type="paragraph" w:styleId="11">
    <w:name w:val="Body Text Indent"/>
    <w:basedOn w:val="1"/>
    <w:next w:val="12"/>
    <w:qFormat/>
    <w:uiPriority w:val="0"/>
    <w:pPr>
      <w:ind w:left="359" w:leftChars="171" w:firstLine="179" w:firstLineChars="85"/>
    </w:pPr>
    <w:rPr>
      <w:rFonts w:ascii="宋体" w:hAnsi="宋体"/>
      <w:b/>
      <w:bCs/>
      <w:szCs w:val="26"/>
    </w:rPr>
  </w:style>
  <w:style w:type="paragraph" w:styleId="12">
    <w:name w:val="envelope return"/>
    <w:basedOn w:val="1"/>
    <w:qFormat/>
    <w:uiPriority w:val="0"/>
  </w:style>
  <w:style w:type="paragraph" w:styleId="13">
    <w:name w:val="toc 5"/>
    <w:basedOn w:val="1"/>
    <w:next w:val="1"/>
    <w:unhideWhenUsed/>
    <w:qFormat/>
    <w:uiPriority w:val="39"/>
    <w:pPr>
      <w:widowControl w:val="0"/>
      <w:adjustRightInd/>
      <w:snapToGrid/>
      <w:spacing w:line="240" w:lineRule="auto"/>
      <w:ind w:left="1680" w:leftChars="800"/>
      <w:jc w:val="both"/>
    </w:pPr>
    <w:rPr>
      <w:rFonts w:asciiTheme="minorHAnsi" w:hAnsiTheme="minorHAnsi" w:eastAsiaTheme="minorEastAsia"/>
      <w:kern w:val="2"/>
    </w:rPr>
  </w:style>
  <w:style w:type="paragraph" w:styleId="14">
    <w:name w:val="toc 3"/>
    <w:basedOn w:val="1"/>
    <w:next w:val="1"/>
    <w:unhideWhenUsed/>
    <w:qFormat/>
    <w:uiPriority w:val="39"/>
    <w:pPr>
      <w:tabs>
        <w:tab w:val="right" w:leader="dot" w:pos="8296"/>
      </w:tabs>
      <w:ind w:left="838" w:leftChars="381"/>
    </w:pPr>
    <w:rPr>
      <w:szCs w:val="21"/>
    </w:rPr>
  </w:style>
  <w:style w:type="paragraph" w:styleId="15">
    <w:name w:val="Plain Text"/>
    <w:basedOn w:val="1"/>
    <w:link w:val="54"/>
    <w:qFormat/>
    <w:uiPriority w:val="0"/>
    <w:pPr>
      <w:widowControl w:val="0"/>
      <w:adjustRightInd/>
      <w:snapToGrid/>
      <w:jc w:val="both"/>
    </w:pPr>
    <w:rPr>
      <w:rFonts w:ascii="宋体" w:hAnsi="Courier New" w:cs="Times New Roman"/>
      <w:b/>
      <w:kern w:val="2"/>
      <w:szCs w:val="20"/>
    </w:rPr>
  </w:style>
  <w:style w:type="paragraph" w:styleId="16">
    <w:name w:val="toc 8"/>
    <w:basedOn w:val="1"/>
    <w:next w:val="1"/>
    <w:unhideWhenUsed/>
    <w:qFormat/>
    <w:uiPriority w:val="39"/>
    <w:pPr>
      <w:widowControl w:val="0"/>
      <w:adjustRightInd/>
      <w:snapToGrid/>
      <w:spacing w:line="240" w:lineRule="auto"/>
      <w:ind w:left="2940" w:leftChars="1400"/>
      <w:jc w:val="both"/>
    </w:pPr>
    <w:rPr>
      <w:rFonts w:asciiTheme="minorHAnsi" w:hAnsiTheme="minorHAnsi" w:eastAsiaTheme="minorEastAsia"/>
      <w:kern w:val="2"/>
    </w:rPr>
  </w:style>
  <w:style w:type="paragraph" w:styleId="17">
    <w:name w:val="Balloon Text"/>
    <w:basedOn w:val="1"/>
    <w:link w:val="57"/>
    <w:semiHidden/>
    <w:unhideWhenUsed/>
    <w:qFormat/>
    <w:uiPriority w:val="99"/>
    <w:rPr>
      <w:sz w:val="18"/>
      <w:szCs w:val="18"/>
    </w:rPr>
  </w:style>
  <w:style w:type="paragraph" w:styleId="18">
    <w:name w:val="footer"/>
    <w:basedOn w:val="1"/>
    <w:link w:val="56"/>
    <w:unhideWhenUsed/>
    <w:qFormat/>
    <w:uiPriority w:val="99"/>
    <w:pPr>
      <w:tabs>
        <w:tab w:val="center" w:pos="4153"/>
        <w:tab w:val="right" w:pos="8306"/>
      </w:tabs>
    </w:pPr>
    <w:rPr>
      <w:sz w:val="18"/>
      <w:szCs w:val="18"/>
    </w:rPr>
  </w:style>
  <w:style w:type="paragraph" w:styleId="19">
    <w:name w:val="header"/>
    <w:basedOn w:val="1"/>
    <w:link w:val="55"/>
    <w:unhideWhenUsed/>
    <w:qFormat/>
    <w:uiPriority w:val="99"/>
    <w:pPr>
      <w:pBdr>
        <w:bottom w:val="single" w:color="auto" w:sz="6" w:space="1"/>
      </w:pBdr>
      <w:tabs>
        <w:tab w:val="center" w:pos="4153"/>
        <w:tab w:val="right" w:pos="8306"/>
      </w:tabs>
      <w:jc w:val="center"/>
    </w:pPr>
    <w:rPr>
      <w:sz w:val="18"/>
      <w:szCs w:val="18"/>
    </w:rPr>
  </w:style>
  <w:style w:type="paragraph" w:styleId="20">
    <w:name w:val="toc 1"/>
    <w:basedOn w:val="1"/>
    <w:next w:val="1"/>
    <w:unhideWhenUsed/>
    <w:qFormat/>
    <w:uiPriority w:val="39"/>
  </w:style>
  <w:style w:type="paragraph" w:styleId="21">
    <w:name w:val="toc 4"/>
    <w:basedOn w:val="1"/>
    <w:next w:val="1"/>
    <w:unhideWhenUsed/>
    <w:qFormat/>
    <w:uiPriority w:val="39"/>
    <w:pPr>
      <w:tabs>
        <w:tab w:val="right" w:leader="dot" w:pos="8296"/>
      </w:tabs>
      <w:spacing w:after="120"/>
      <w:ind w:left="1320" w:leftChars="600"/>
    </w:pPr>
  </w:style>
  <w:style w:type="paragraph" w:styleId="22">
    <w:name w:val="footnote text"/>
    <w:basedOn w:val="1"/>
    <w:semiHidden/>
    <w:unhideWhenUsed/>
    <w:qFormat/>
    <w:uiPriority w:val="99"/>
    <w:rPr>
      <w:sz w:val="18"/>
    </w:rPr>
  </w:style>
  <w:style w:type="paragraph" w:styleId="23">
    <w:name w:val="toc 6"/>
    <w:basedOn w:val="1"/>
    <w:next w:val="1"/>
    <w:qFormat/>
    <w:uiPriority w:val="39"/>
    <w:pPr>
      <w:ind w:left="1200"/>
    </w:pPr>
    <w:rPr>
      <w:rFonts w:ascii="Calibri" w:cs="Calibri"/>
      <w:sz w:val="18"/>
      <w:szCs w:val="18"/>
    </w:rPr>
  </w:style>
  <w:style w:type="paragraph" w:styleId="24">
    <w:name w:val="Body Text Indent 3"/>
    <w:basedOn w:val="1"/>
    <w:qFormat/>
    <w:uiPriority w:val="0"/>
    <w:pPr>
      <w:spacing w:after="120"/>
      <w:ind w:left="420" w:leftChars="200"/>
    </w:pPr>
    <w:rPr>
      <w:sz w:val="16"/>
      <w:szCs w:val="16"/>
    </w:rPr>
  </w:style>
  <w:style w:type="paragraph" w:styleId="25">
    <w:name w:val="toc 2"/>
    <w:basedOn w:val="1"/>
    <w:next w:val="1"/>
    <w:unhideWhenUsed/>
    <w:qFormat/>
    <w:uiPriority w:val="39"/>
    <w:pPr>
      <w:tabs>
        <w:tab w:val="right" w:leader="dot" w:pos="8296"/>
      </w:tabs>
      <w:ind w:left="440" w:leftChars="200"/>
      <w:jc w:val="center"/>
    </w:pPr>
    <w:rPr>
      <w:rFonts w:ascii="宋体" w:hAnsi="宋体"/>
      <w:sz w:val="30"/>
      <w:szCs w:val="30"/>
    </w:rPr>
  </w:style>
  <w:style w:type="paragraph" w:styleId="26">
    <w:name w:val="toc 9"/>
    <w:basedOn w:val="1"/>
    <w:next w:val="1"/>
    <w:unhideWhenUsed/>
    <w:qFormat/>
    <w:uiPriority w:val="39"/>
    <w:pPr>
      <w:widowControl w:val="0"/>
      <w:adjustRightInd/>
      <w:snapToGrid/>
      <w:spacing w:line="240" w:lineRule="auto"/>
      <w:ind w:left="3360" w:leftChars="1600"/>
      <w:jc w:val="both"/>
    </w:pPr>
    <w:rPr>
      <w:rFonts w:asciiTheme="minorHAnsi" w:hAnsiTheme="minorHAnsi" w:eastAsiaTheme="minorEastAsia"/>
      <w:kern w:val="2"/>
    </w:rPr>
  </w:style>
  <w:style w:type="paragraph" w:styleId="27">
    <w:name w:val="Normal (Web)"/>
    <w:basedOn w:val="1"/>
    <w:link w:val="59"/>
    <w:qFormat/>
    <w:uiPriority w:val="0"/>
    <w:pPr>
      <w:widowControl w:val="0"/>
      <w:adjustRightInd/>
      <w:snapToGrid/>
      <w:jc w:val="both"/>
    </w:pPr>
    <w:rPr>
      <w:rFonts w:asciiTheme="minorHAnsi" w:hAnsiTheme="minorHAnsi"/>
      <w:kern w:val="2"/>
      <w:sz w:val="24"/>
      <w:szCs w:val="24"/>
    </w:rPr>
  </w:style>
  <w:style w:type="paragraph" w:styleId="28">
    <w:name w:val="annotation subject"/>
    <w:basedOn w:val="8"/>
    <w:next w:val="8"/>
    <w:link w:val="63"/>
    <w:semiHidden/>
    <w:unhideWhenUsed/>
    <w:qFormat/>
    <w:uiPriority w:val="99"/>
    <w:rPr>
      <w:b/>
      <w:bCs/>
    </w:rPr>
  </w:style>
  <w:style w:type="paragraph" w:styleId="29">
    <w:name w:val="Body Text First Indent 2"/>
    <w:basedOn w:val="11"/>
    <w:qFormat/>
    <w:uiPriority w:val="0"/>
    <w:pPr>
      <w:ind w:firstLine="420" w:firstLineChars="200"/>
    </w:pPr>
    <w:rPr>
      <w:rFonts w:ascii="Calibri" w:hAnsi="Calibri"/>
    </w:r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qFormat/>
    <w:uiPriority w:val="0"/>
  </w:style>
  <w:style w:type="character" w:styleId="34">
    <w:name w:val="Emphasis"/>
    <w:basedOn w:val="32"/>
    <w:qFormat/>
    <w:uiPriority w:val="20"/>
    <w:rPr>
      <w:i/>
      <w:iCs/>
    </w:rPr>
  </w:style>
  <w:style w:type="character" w:styleId="35">
    <w:name w:val="Hyperlink"/>
    <w:basedOn w:val="32"/>
    <w:qFormat/>
    <w:uiPriority w:val="99"/>
    <w:rPr>
      <w:rFonts w:hint="eastAsia" w:ascii="宋体" w:hAnsi="宋体" w:eastAsia="宋体" w:cs="宋体"/>
      <w:b/>
      <w:color w:val="0031C1"/>
      <w:kern w:val="0"/>
      <w:sz w:val="18"/>
      <w:szCs w:val="18"/>
      <w:u w:val="none"/>
      <w:lang w:eastAsia="en-US"/>
    </w:rPr>
  </w:style>
  <w:style w:type="character" w:styleId="36">
    <w:name w:val="annotation reference"/>
    <w:basedOn w:val="32"/>
    <w:semiHidden/>
    <w:unhideWhenUsed/>
    <w:qFormat/>
    <w:uiPriority w:val="99"/>
    <w:rPr>
      <w:sz w:val="21"/>
      <w:szCs w:val="21"/>
    </w:rPr>
  </w:style>
  <w:style w:type="character" w:styleId="37">
    <w:name w:val="footnote reference"/>
    <w:basedOn w:val="32"/>
    <w:semiHidden/>
    <w:unhideWhenUsed/>
    <w:qFormat/>
    <w:uiPriority w:val="99"/>
    <w:rPr>
      <w:vertAlign w:val="superscript"/>
    </w:rPr>
  </w:style>
  <w:style w:type="paragraph" w:customStyle="1" w:styleId="38">
    <w:name w:val="样式 正文首行缩进 + 首行缩进:  1 字符"/>
    <w:basedOn w:val="1"/>
    <w:next w:val="1"/>
    <w:qFormat/>
    <w:uiPriority w:val="0"/>
    <w:pPr>
      <w:ind w:firstLine="200" w:firstLineChars="200"/>
    </w:pPr>
    <w:rPr>
      <w:rFonts w:cs="宋体"/>
      <w:szCs w:val="20"/>
    </w:rPr>
  </w:style>
  <w:style w:type="paragraph" w:customStyle="1" w:styleId="39">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 w:type="character" w:customStyle="1" w:styleId="40">
    <w:name w:val="标题 2 字符"/>
    <w:basedOn w:val="32"/>
    <w:link w:val="3"/>
    <w:qFormat/>
    <w:uiPriority w:val="9"/>
    <w:rPr>
      <w:rFonts w:asciiTheme="majorHAnsi" w:hAnsiTheme="majorHAnsi" w:eastAsiaTheme="majorEastAsia" w:cstheme="majorBidi"/>
      <w:b/>
      <w:bCs/>
      <w:sz w:val="32"/>
      <w:szCs w:val="32"/>
    </w:rPr>
  </w:style>
  <w:style w:type="character" w:customStyle="1" w:styleId="41">
    <w:name w:val="标题 3 字符"/>
    <w:basedOn w:val="32"/>
    <w:link w:val="4"/>
    <w:qFormat/>
    <w:uiPriority w:val="9"/>
    <w:rPr>
      <w:rFonts w:ascii="Tahoma" w:hAnsi="Tahoma"/>
      <w:b/>
      <w:bCs/>
      <w:sz w:val="32"/>
      <w:szCs w:val="32"/>
    </w:rPr>
  </w:style>
  <w:style w:type="paragraph" w:styleId="42">
    <w:name w:val="List Paragraph"/>
    <w:basedOn w:val="1"/>
    <w:link w:val="64"/>
    <w:qFormat/>
    <w:uiPriority w:val="0"/>
    <w:pPr>
      <w:ind w:firstLine="420" w:firstLineChars="200"/>
    </w:pPr>
  </w:style>
  <w:style w:type="character" w:customStyle="1" w:styleId="43">
    <w:name w:val="标题 4 字符"/>
    <w:basedOn w:val="32"/>
    <w:link w:val="5"/>
    <w:qFormat/>
    <w:uiPriority w:val="9"/>
    <w:rPr>
      <w:rFonts w:eastAsia="宋体" w:asciiTheme="majorHAnsi" w:hAnsiTheme="majorHAnsi" w:cstheme="majorBidi"/>
      <w:b/>
      <w:bCs/>
      <w:sz w:val="24"/>
      <w:szCs w:val="28"/>
    </w:rPr>
  </w:style>
  <w:style w:type="character" w:customStyle="1" w:styleId="44">
    <w:name w:val="正文缩进2格 Char"/>
    <w:link w:val="45"/>
    <w:qFormat/>
    <w:uiPriority w:val="0"/>
    <w:rPr>
      <w:rFonts w:ascii="仿宋_GB2312" w:hAnsi="宋体" w:eastAsia="仿宋_GB2312"/>
      <w:kern w:val="2"/>
      <w:sz w:val="31"/>
    </w:rPr>
  </w:style>
  <w:style w:type="paragraph" w:customStyle="1" w:styleId="45">
    <w:name w:val="正文缩进2格"/>
    <w:basedOn w:val="1"/>
    <w:link w:val="44"/>
    <w:qFormat/>
    <w:uiPriority w:val="0"/>
    <w:pPr>
      <w:widowControl w:val="0"/>
      <w:adjustRightInd/>
      <w:snapToGrid/>
      <w:spacing w:line="600" w:lineRule="exact"/>
      <w:ind w:firstLine="639" w:firstLineChars="206"/>
      <w:jc w:val="both"/>
    </w:pPr>
    <w:rPr>
      <w:rFonts w:ascii="仿宋_GB2312" w:hAnsi="宋体" w:eastAsia="仿宋_GB2312"/>
      <w:kern w:val="2"/>
      <w:sz w:val="31"/>
    </w:rPr>
  </w:style>
  <w:style w:type="paragraph" w:customStyle="1" w:styleId="46">
    <w:name w:val="正文缩进4格"/>
    <w:basedOn w:val="45"/>
    <w:qFormat/>
    <w:uiPriority w:val="0"/>
    <w:pPr>
      <w:ind w:left="2" w:firstLine="538" w:firstLineChars="192"/>
    </w:pPr>
    <w:rPr>
      <w:color w:val="0000FF"/>
      <w:sz w:val="28"/>
    </w:rPr>
  </w:style>
  <w:style w:type="character" w:customStyle="1" w:styleId="47">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48">
    <w:name w:val="_Style 3"/>
    <w:basedOn w:val="1"/>
    <w:qFormat/>
    <w:uiPriority w:val="0"/>
    <w:pPr>
      <w:widowControl w:val="0"/>
      <w:adjustRightInd/>
      <w:snapToGrid/>
      <w:ind w:firstLine="420" w:firstLineChars="200"/>
      <w:jc w:val="both"/>
    </w:pPr>
    <w:rPr>
      <w:rFonts w:ascii="Times New Roman" w:hAnsi="Times New Roman" w:cs="Times New Roman"/>
      <w:kern w:val="2"/>
      <w:szCs w:val="24"/>
    </w:rPr>
  </w:style>
  <w:style w:type="character" w:customStyle="1" w:styleId="49">
    <w:name w:val="标题1"/>
    <w:qFormat/>
    <w:uiPriority w:val="0"/>
    <w:rPr>
      <w:rFonts w:ascii="Times New Roman" w:hAnsi="Times New Roman" w:eastAsia="宋体" w:cs="Times New Roman"/>
      <w:b/>
      <w:kern w:val="0"/>
      <w:sz w:val="24"/>
      <w:szCs w:val="20"/>
      <w:lang w:eastAsia="en-US"/>
    </w:rPr>
  </w:style>
  <w:style w:type="character" w:customStyle="1" w:styleId="50">
    <w:name w:val="标题 3.1 Char"/>
    <w:link w:val="51"/>
    <w:qFormat/>
    <w:uiPriority w:val="0"/>
    <w:rPr>
      <w:rFonts w:ascii="宋体" w:hAnsi="宋体" w:eastAsia="宋体"/>
      <w:b/>
      <w:color w:val="FF0000"/>
      <w:kern w:val="2"/>
      <w:sz w:val="32"/>
    </w:rPr>
  </w:style>
  <w:style w:type="paragraph" w:customStyle="1" w:styleId="51">
    <w:name w:val="标题 3.1"/>
    <w:basedOn w:val="4"/>
    <w:link w:val="50"/>
    <w:qFormat/>
    <w:uiPriority w:val="0"/>
    <w:pPr>
      <w:widowControl w:val="0"/>
      <w:tabs>
        <w:tab w:val="left" w:pos="1440"/>
        <w:tab w:val="left" w:pos="1620"/>
      </w:tabs>
      <w:adjustRightInd/>
      <w:snapToGrid/>
      <w:spacing w:line="600" w:lineRule="exact"/>
      <w:jc w:val="both"/>
    </w:pPr>
    <w:rPr>
      <w:rFonts w:ascii="宋体" w:hAnsi="宋体"/>
      <w:bCs w:val="0"/>
      <w:color w:val="FF0000"/>
      <w:kern w:val="2"/>
      <w:szCs w:val="22"/>
    </w:rPr>
  </w:style>
  <w:style w:type="character" w:customStyle="1" w:styleId="52">
    <w:name w:val="样式 楷体_GB2312 小四"/>
    <w:qFormat/>
    <w:uiPriority w:val="0"/>
    <w:rPr>
      <w:rFonts w:ascii="楷体_GB2312" w:hAnsi="楷体_GB2312" w:eastAsia="仿宋_GB2312"/>
      <w:sz w:val="24"/>
    </w:rPr>
  </w:style>
  <w:style w:type="character" w:customStyle="1" w:styleId="53">
    <w:name w:val="纯文本 Char"/>
    <w:qFormat/>
    <w:uiPriority w:val="0"/>
    <w:rPr>
      <w:rFonts w:ascii="宋体" w:hAnsi="Courier New" w:eastAsia="宋体" w:cs="Times New Roman"/>
      <w:b/>
      <w:kern w:val="2"/>
      <w:sz w:val="21"/>
      <w:szCs w:val="20"/>
    </w:rPr>
  </w:style>
  <w:style w:type="character" w:customStyle="1" w:styleId="54">
    <w:name w:val="纯文本 字符"/>
    <w:basedOn w:val="32"/>
    <w:link w:val="15"/>
    <w:semiHidden/>
    <w:qFormat/>
    <w:uiPriority w:val="99"/>
    <w:rPr>
      <w:rFonts w:ascii="宋体" w:hAnsi="Courier New" w:eastAsia="宋体" w:cs="Courier New"/>
      <w:sz w:val="21"/>
      <w:szCs w:val="21"/>
    </w:rPr>
  </w:style>
  <w:style w:type="character" w:customStyle="1" w:styleId="55">
    <w:name w:val="页眉 字符"/>
    <w:basedOn w:val="32"/>
    <w:link w:val="19"/>
    <w:qFormat/>
    <w:uiPriority w:val="99"/>
    <w:rPr>
      <w:rFonts w:ascii="Tahoma" w:hAnsi="Tahoma"/>
      <w:sz w:val="18"/>
      <w:szCs w:val="18"/>
    </w:rPr>
  </w:style>
  <w:style w:type="character" w:customStyle="1" w:styleId="56">
    <w:name w:val="页脚 字符"/>
    <w:basedOn w:val="32"/>
    <w:link w:val="18"/>
    <w:qFormat/>
    <w:uiPriority w:val="99"/>
    <w:rPr>
      <w:rFonts w:ascii="Tahoma" w:hAnsi="Tahoma"/>
      <w:sz w:val="18"/>
      <w:szCs w:val="18"/>
    </w:rPr>
  </w:style>
  <w:style w:type="character" w:customStyle="1" w:styleId="57">
    <w:name w:val="批注框文本 字符"/>
    <w:basedOn w:val="32"/>
    <w:link w:val="17"/>
    <w:semiHidden/>
    <w:qFormat/>
    <w:uiPriority w:val="99"/>
    <w:rPr>
      <w:rFonts w:ascii="Tahoma" w:hAnsi="Tahoma"/>
      <w:sz w:val="18"/>
      <w:szCs w:val="18"/>
    </w:rPr>
  </w:style>
  <w:style w:type="paragraph" w:customStyle="1" w:styleId="58">
    <w:name w:val="Char Char2 Char"/>
    <w:basedOn w:val="1"/>
    <w:qFormat/>
    <w:uiPriority w:val="0"/>
    <w:pPr>
      <w:widowControl w:val="0"/>
      <w:adjustRightInd/>
      <w:snapToGrid/>
      <w:jc w:val="both"/>
    </w:pPr>
    <w:rPr>
      <w:rFonts w:ascii="宋体" w:hAnsi="宋体" w:cs="Times New Roman"/>
      <w:b/>
      <w:kern w:val="2"/>
      <w:sz w:val="28"/>
      <w:szCs w:val="28"/>
    </w:rPr>
  </w:style>
  <w:style w:type="character" w:customStyle="1" w:styleId="59">
    <w:name w:val="普通(网站) 字符"/>
    <w:link w:val="27"/>
    <w:qFormat/>
    <w:uiPriority w:val="0"/>
    <w:rPr>
      <w:rFonts w:eastAsia="宋体"/>
      <w:kern w:val="2"/>
      <w:sz w:val="24"/>
      <w:szCs w:val="24"/>
    </w:rPr>
  </w:style>
  <w:style w:type="paragraph" w:customStyle="1" w:styleId="60">
    <w:name w:val="列出段落1"/>
    <w:basedOn w:val="1"/>
    <w:qFormat/>
    <w:uiPriority w:val="99"/>
    <w:pPr>
      <w:widowControl w:val="0"/>
      <w:adjustRightInd/>
      <w:snapToGrid/>
      <w:ind w:firstLine="420" w:firstLineChars="200"/>
      <w:jc w:val="both"/>
    </w:pPr>
    <w:rPr>
      <w:rFonts w:ascii="Times New Roman" w:hAnsi="Times New Roman" w:cs="Times New Roman"/>
      <w:kern w:val="2"/>
      <w:sz w:val="24"/>
      <w:szCs w:val="24"/>
    </w:rPr>
  </w:style>
  <w:style w:type="character" w:customStyle="1" w:styleId="61">
    <w:name w:val="p141"/>
    <w:qFormat/>
    <w:uiPriority w:val="0"/>
    <w:rPr>
      <w:sz w:val="21"/>
      <w:szCs w:val="21"/>
    </w:rPr>
  </w:style>
  <w:style w:type="character" w:customStyle="1" w:styleId="62">
    <w:name w:val="批注文字 字符"/>
    <w:basedOn w:val="32"/>
    <w:link w:val="8"/>
    <w:qFormat/>
    <w:uiPriority w:val="99"/>
    <w:rPr>
      <w:rFonts w:ascii="Tahoma" w:hAnsi="Tahoma" w:eastAsia="微软雅黑" w:cstheme="minorBidi"/>
      <w:sz w:val="22"/>
      <w:szCs w:val="22"/>
    </w:rPr>
  </w:style>
  <w:style w:type="character" w:customStyle="1" w:styleId="63">
    <w:name w:val="批注主题 字符"/>
    <w:basedOn w:val="62"/>
    <w:link w:val="28"/>
    <w:semiHidden/>
    <w:qFormat/>
    <w:uiPriority w:val="99"/>
    <w:rPr>
      <w:rFonts w:ascii="Tahoma" w:hAnsi="Tahoma" w:eastAsia="微软雅黑" w:cstheme="minorBidi"/>
      <w:b/>
      <w:bCs/>
      <w:sz w:val="22"/>
      <w:szCs w:val="22"/>
    </w:rPr>
  </w:style>
  <w:style w:type="character" w:customStyle="1" w:styleId="64">
    <w:name w:val="列表段落 字符"/>
    <w:link w:val="42"/>
    <w:qFormat/>
    <w:uiPriority w:val="0"/>
    <w:rPr>
      <w:rFonts w:ascii="Tahoma" w:hAnsi="Tahoma" w:eastAsia="微软雅黑" w:cstheme="minorBidi"/>
      <w:sz w:val="22"/>
      <w:szCs w:val="22"/>
    </w:rPr>
  </w:style>
  <w:style w:type="character" w:customStyle="1" w:styleId="65">
    <w:name w:val="正文文本 字符"/>
    <w:basedOn w:val="32"/>
    <w:link w:val="9"/>
    <w:qFormat/>
    <w:uiPriority w:val="1"/>
    <w:rPr>
      <w:rFonts w:ascii="宋体" w:hAnsi="宋体" w:cs="宋体"/>
      <w:sz w:val="24"/>
      <w:szCs w:val="22"/>
      <w:lang w:val="zh-CN" w:bidi="zh-CN"/>
    </w:rPr>
  </w:style>
  <w:style w:type="paragraph" w:customStyle="1" w:styleId="6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7">
    <w:name w:val="_Style 1"/>
    <w:basedOn w:val="1"/>
    <w:qFormat/>
    <w:uiPriority w:val="0"/>
    <w:pPr>
      <w:ind w:firstLine="420" w:firstLineChars="200"/>
    </w:pPr>
  </w:style>
  <w:style w:type="paragraph" w:customStyle="1" w:styleId="68">
    <w:name w:val="列出段落2"/>
    <w:basedOn w:val="1"/>
    <w:qFormat/>
    <w:uiPriority w:val="0"/>
    <w:pPr>
      <w:ind w:firstLine="420" w:firstLineChars="200"/>
    </w:pPr>
  </w:style>
  <w:style w:type="paragraph" w:customStyle="1" w:styleId="69">
    <w:name w:val="p0"/>
    <w:basedOn w:val="1"/>
    <w:qFormat/>
    <w:uiPriority w:val="0"/>
    <w:rPr>
      <w:szCs w:val="21"/>
    </w:rPr>
  </w:style>
  <w:style w:type="paragraph" w:customStyle="1" w:styleId="70">
    <w:name w:val="正文文本缩进 21"/>
    <w:basedOn w:val="1"/>
    <w:qFormat/>
    <w:uiPriority w:val="0"/>
    <w:pPr>
      <w:spacing w:line="480" w:lineRule="auto"/>
      <w:ind w:firstLine="540"/>
    </w:pPr>
    <w:rPr>
      <w:rFonts w:ascii="Calibri" w:hAnsi="Calibri"/>
      <w:sz w:val="20"/>
      <w:szCs w:val="20"/>
    </w:rPr>
  </w:style>
  <w:style w:type="paragraph" w:customStyle="1" w:styleId="71">
    <w:name w:val="_Style 2"/>
    <w:basedOn w:val="1"/>
    <w:qFormat/>
    <w:uiPriority w:val="0"/>
    <w:pPr>
      <w:ind w:firstLine="420" w:firstLineChars="200"/>
    </w:pPr>
  </w:style>
  <w:style w:type="paragraph" w:customStyle="1" w:styleId="72">
    <w:name w:val="msolistparagraph"/>
    <w:basedOn w:val="1"/>
    <w:qFormat/>
    <w:uiPriority w:val="0"/>
    <w:pPr>
      <w:ind w:firstLine="420" w:firstLineChars="200"/>
    </w:pPr>
    <w:rPr>
      <w:rFonts w:hint="eastAsia" w:hAnsi="宋体"/>
    </w:rPr>
  </w:style>
  <w:style w:type="character" w:customStyle="1" w:styleId="73">
    <w:name w:val="标题 5 字符"/>
    <w:link w:val="6"/>
    <w:qFormat/>
    <w:uiPriority w:val="0"/>
    <w:rPr>
      <w:b/>
      <w:sz w:val="28"/>
    </w:rPr>
  </w:style>
  <w:style w:type="character" w:customStyle="1" w:styleId="74">
    <w:name w:val="标题 1 字符"/>
    <w:link w:val="2"/>
    <w:qFormat/>
    <w:uiPriority w:val="9"/>
    <w:rPr>
      <w:b/>
      <w:kern w:val="44"/>
      <w:sz w:val="44"/>
    </w:rPr>
  </w:style>
  <w:style w:type="paragraph" w:customStyle="1" w:styleId="75">
    <w:name w:val="修订1"/>
    <w:hidden/>
    <w:semiHidden/>
    <w:qFormat/>
    <w:uiPriority w:val="99"/>
    <w:rPr>
      <w:rFonts w:ascii="Tahoma" w:hAnsi="Tahoma" w:eastAsia="宋体" w:cstheme="minorBidi"/>
      <w:sz w:val="21"/>
      <w:szCs w:val="22"/>
      <w:lang w:val="en-US" w:eastAsia="zh-CN" w:bidi="ar-SA"/>
    </w:rPr>
  </w:style>
  <w:style w:type="paragraph" w:customStyle="1" w:styleId="76">
    <w:name w:val="表格文字"/>
    <w:basedOn w:val="1"/>
    <w:qFormat/>
    <w:uiPriority w:val="0"/>
    <w:pPr>
      <w:adjustRightInd/>
      <w:spacing w:before="25" w:after="25"/>
    </w:pPr>
    <w:rPr>
      <w:rFonts w:ascii="Times New Roman"/>
      <w:bCs/>
      <w:spacing w:val="10"/>
      <w:szCs w:val="20"/>
    </w:rPr>
  </w:style>
  <w:style w:type="paragraph" w:customStyle="1" w:styleId="77">
    <w:name w:val="纯文本1"/>
    <w:basedOn w:val="78"/>
    <w:qFormat/>
    <w:uiPriority w:val="0"/>
    <w:rPr>
      <w:rFonts w:ascii="宋体" w:hAnsi="Courier New"/>
      <w:szCs w:val="20"/>
    </w:rPr>
  </w:style>
  <w:style w:type="paragraph" w:customStyle="1" w:styleId="78">
    <w:name w:val="正文 New"/>
    <w:qFormat/>
    <w:uiPriority w:val="99"/>
    <w:pPr>
      <w:widowControl w:val="0"/>
      <w:spacing w:line="360" w:lineRule="auto"/>
      <w:jc w:val="both"/>
    </w:pPr>
    <w:rPr>
      <w:rFonts w:ascii="Times New Roman" w:hAnsi="Times New Roman" w:eastAsia="宋体" w:cs="黑体"/>
      <w:kern w:val="2"/>
      <w:sz w:val="21"/>
      <w:szCs w:val="22"/>
      <w:lang w:val="en-US" w:eastAsia="zh-CN" w:bidi="ar-SA"/>
    </w:rPr>
  </w:style>
  <w:style w:type="paragraph" w:customStyle="1" w:styleId="79">
    <w:name w:val="正文2"/>
    <w:qFormat/>
    <w:uiPriority w:val="0"/>
    <w:pPr>
      <w:jc w:val="both"/>
    </w:pPr>
    <w:rPr>
      <w:rFonts w:ascii="Times New Roman" w:hAnsi="Times New Roman" w:eastAsia="宋体" w:cs="Times New Roman"/>
      <w:kern w:val="2"/>
      <w:sz w:val="21"/>
      <w:szCs w:val="21"/>
      <w:lang w:val="en-US" w:eastAsia="zh-CN" w:bidi="ar-SA"/>
    </w:rPr>
  </w:style>
  <w:style w:type="table" w:customStyle="1" w:styleId="80">
    <w:name w:val="Table Normal"/>
    <w:semiHidden/>
    <w:unhideWhenUsed/>
    <w:qFormat/>
    <w:uiPriority w:val="2"/>
    <w:tblPr>
      <w:tblCellMar>
        <w:top w:w="0" w:type="dxa"/>
        <w:left w:w="0" w:type="dxa"/>
        <w:bottom w:w="0" w:type="dxa"/>
        <w:right w:w="0" w:type="dxa"/>
      </w:tblCellMar>
    </w:tblPr>
  </w:style>
  <w:style w:type="paragraph" w:customStyle="1" w:styleId="81">
    <w:name w:val="Table Paragraph"/>
    <w:basedOn w:val="1"/>
    <w:qFormat/>
    <w:uiPriority w:val="1"/>
  </w:style>
  <w:style w:type="paragraph" w:customStyle="1" w:styleId="82">
    <w:name w:val="正文文本缩进1"/>
    <w:basedOn w:val="78"/>
    <w:qFormat/>
    <w:uiPriority w:val="0"/>
    <w:pPr>
      <w:spacing w:after="120"/>
      <w:ind w:left="420" w:leftChars="200"/>
    </w:pPr>
  </w:style>
  <w:style w:type="paragraph" w:customStyle="1" w:styleId="83">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84">
    <w:name w:val="纯文本2"/>
    <w:basedOn w:val="78"/>
    <w:qFormat/>
    <w:uiPriority w:val="0"/>
    <w:rPr>
      <w:rFonts w:ascii="宋体" w:hAnsi="Courier New"/>
      <w:szCs w:val="20"/>
    </w:rPr>
  </w:style>
  <w:style w:type="character" w:customStyle="1" w:styleId="85">
    <w:name w:val="font141"/>
    <w:qFormat/>
    <w:uiPriority w:val="0"/>
    <w:rPr>
      <w:rFonts w:hint="default" w:ascii="Times New Roman" w:hAnsi="Times New Roman" w:cs="Times New Roman"/>
      <w:color w:val="000000"/>
      <w:sz w:val="18"/>
      <w:szCs w:val="18"/>
      <w:u w:val="none"/>
    </w:rPr>
  </w:style>
  <w:style w:type="character" w:customStyle="1" w:styleId="86">
    <w:name w:val="font7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100"/>
    <customShpInfo spid="_x0000_s4101"/>
    <customShpInfo spid="_x0000_s1026" textRotate="1"/>
    <customShpInfo spid="_x0000_s4102"/>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100</Pages>
  <Words>7244</Words>
  <Characters>7970</Characters>
  <Lines>66</Lines>
  <Paragraphs>65</Paragraphs>
  <TotalTime>4</TotalTime>
  <ScaleCrop>false</ScaleCrop>
  <LinksUpToDate>false</LinksUpToDate>
  <CharactersWithSpaces>8200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2022-10-28T09:19:00Z</dcterms:created>
  <dc:creator>MyPC</dc:creator>
  <cp:lastModifiedBy>1</cp:lastModifiedBy>
  <cp:lastPrinted>2022-12-01T06:09:00Z</cp:lastPrinted>
  <dcterms:modified xsi:type="dcterms:W3CDTF">2024-12-27T03:19:51Z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D056A7EAB8B24F18A203DC019FCB58E3_13</vt:lpwstr>
  </property>
</Properties>
</file>