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GDZT2024176C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2025年度东莞市场采购贸易方式试点广告宣传牌租赁服务采购项目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东莞市大朗市场采购贸易服务中心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bookmarkStart w:id="321" w:name="_GoBack"/>
      <w:bookmarkEnd w:id="321"/>
      <w:r>
        <w:rPr>
          <w:rFonts w:hint="eastAsia" w:ascii="宋体" w:hAnsi="宋体" w:cs="宋体"/>
          <w:b/>
          <w:color w:val="auto"/>
          <w:szCs w:val="21"/>
          <w:highlight w:val="none"/>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6"/>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7"/>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东莞市大朗市场采购贸易服务中心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2025年度东莞市场采购贸易方式试点广告宣传牌租赁服务采购项目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GDZT2024176C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2025年度东莞市场采购贸易方式试点广告宣传牌租赁服务采购项目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0"/>
        <w:gridCol w:w="3543"/>
        <w:gridCol w:w="147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114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2025年度东莞市场采购贸易方式试点广告宣传牌租赁服务采购项目</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1家</w:t>
            </w:r>
          </w:p>
        </w:tc>
        <w:tc>
          <w:tcPr>
            <w:tcW w:w="1142" w:type="pct"/>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bidi="ar-SA"/>
              </w:rPr>
            </w:pPr>
            <w:r>
              <w:rPr>
                <w:rFonts w:hint="eastAsia" w:ascii="宋体" w:hAnsi="宋体" w:cs="宋体"/>
                <w:b/>
                <w:bCs/>
                <w:color w:val="auto"/>
                <w:sz w:val="21"/>
                <w:szCs w:val="21"/>
                <w:highlight w:val="none"/>
                <w:u w:val="none"/>
                <w:lang w:val="en-US" w:eastAsia="zh-CN"/>
              </w:rPr>
              <w:t>291,800.00元</w:t>
            </w:r>
          </w:p>
        </w:tc>
      </w:tr>
    </w:tbl>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13</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13</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采购人联系人：陈工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cs="宋体"/>
          <w:color w:val="auto"/>
          <w:szCs w:val="21"/>
          <w:highlight w:val="none"/>
        </w:rPr>
        <w:t>东莞市</w:t>
      </w:r>
      <w:r>
        <w:rPr>
          <w:rFonts w:hint="eastAsia" w:ascii="宋体" w:hAnsi="宋体" w:cs="宋体"/>
          <w:color w:val="auto"/>
          <w:szCs w:val="21"/>
          <w:highlight w:val="none"/>
          <w:lang w:eastAsia="zh-CN"/>
        </w:rPr>
        <w:t>大朗镇</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0769-83136222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p>
    <w:p>
      <w:pPr>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br w:type="page"/>
      </w:r>
    </w:p>
    <w:p>
      <w:pPr>
        <w:pStyle w:val="6"/>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37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37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cs="宋体"/>
                <w:color w:val="auto"/>
                <w:sz w:val="21"/>
                <w:szCs w:val="21"/>
                <w:highlight w:val="none"/>
                <w:lang w:val="en-US" w:eastAsia="zh-CN"/>
              </w:rPr>
              <w:t>不需要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Toc5749"/>
      <w:bookmarkStart w:id="9" w:name="_Hlk55300595"/>
      <w:bookmarkStart w:id="10" w:name="_Toc13473"/>
      <w:bookmarkStart w:id="11" w:name="_Toc9572"/>
    </w:p>
    <w:p>
      <w:pPr>
        <w:pStyle w:val="6"/>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7"/>
        <w:spacing w:before="0" w:after="0" w:line="240" w:lineRule="auto"/>
        <w:jc w:val="center"/>
        <w:rPr>
          <w:rFonts w:hint="eastAsia"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投标人具有</w:t>
            </w:r>
            <w:r>
              <w:rPr>
                <w:rFonts w:hint="eastAsia" w:ascii="宋体" w:eastAsia="宋体" w:cs="宋体"/>
                <w:color w:val="auto"/>
                <w:sz w:val="21"/>
                <w:szCs w:val="21"/>
                <w:highlight w:val="none"/>
                <w:lang w:val="en-US" w:eastAsia="zh-CN"/>
              </w:rPr>
              <w:t>广告发布或</w:t>
            </w:r>
            <w:r>
              <w:rPr>
                <w:rFonts w:hint="eastAsia" w:ascii="宋体" w:hAnsi="宋体" w:eastAsia="宋体" w:cs="宋体"/>
                <w:color w:val="auto"/>
                <w:sz w:val="21"/>
                <w:szCs w:val="21"/>
                <w:highlight w:val="none"/>
                <w:lang w:val="zh-CN"/>
              </w:rPr>
              <w:t>广告牌</w:t>
            </w:r>
            <w:r>
              <w:rPr>
                <w:rFonts w:hint="eastAsia" w:ascii="宋体" w:hAnsi="宋体" w:eastAsia="宋体" w:cs="宋体"/>
                <w:color w:val="auto"/>
                <w:sz w:val="21"/>
                <w:szCs w:val="21"/>
                <w:highlight w:val="none"/>
              </w:rPr>
              <w:t>运营维护或广告牌制作或</w:t>
            </w:r>
            <w:r>
              <w:rPr>
                <w:rFonts w:hint="eastAsia" w:ascii="宋体" w:eastAsia="宋体" w:cs="宋体"/>
                <w:color w:val="auto"/>
                <w:sz w:val="21"/>
                <w:szCs w:val="21"/>
                <w:highlight w:val="none"/>
                <w:lang w:val="en-US" w:eastAsia="zh-CN"/>
              </w:rPr>
              <w:t>广告</w:t>
            </w:r>
            <w:r>
              <w:rPr>
                <w:rFonts w:hint="eastAsia" w:ascii="宋体" w:hAnsi="宋体" w:eastAsia="宋体" w:cs="宋体"/>
                <w:color w:val="auto"/>
                <w:sz w:val="21"/>
                <w:szCs w:val="21"/>
                <w:highlight w:val="none"/>
              </w:rPr>
              <w:t>升级改造</w:t>
            </w:r>
            <w:r>
              <w:rPr>
                <w:rFonts w:hint="eastAsia" w:ascii="宋体" w:hAnsi="宋体" w:eastAsia="宋体" w:cs="宋体"/>
                <w:color w:val="auto"/>
                <w:sz w:val="21"/>
                <w:szCs w:val="21"/>
                <w:highlight w:val="none"/>
                <w:lang w:val="en-US" w:eastAsia="zh-CN"/>
              </w:rPr>
              <w:t>类业绩</w:t>
            </w:r>
            <w:r>
              <w:rPr>
                <w:rFonts w:hint="eastAsia" w:ascii="宋体" w:hAnsi="宋体" w:eastAsia="宋体" w:cs="宋体"/>
                <w:color w:val="auto"/>
                <w:sz w:val="21"/>
                <w:szCs w:val="21"/>
                <w:highlight w:val="none"/>
                <w:lang w:val="zh-CN"/>
              </w:rPr>
              <w:t>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w:t>
            </w:r>
            <w:r>
              <w:rPr>
                <w:rFonts w:hint="eastAsia" w:ascii="宋体" w:hAnsi="宋体" w:eastAsia="宋体" w:cs="宋体"/>
                <w:color w:val="auto"/>
                <w:sz w:val="21"/>
                <w:szCs w:val="21"/>
                <w:highlight w:val="none"/>
                <w:lang w:val="en-US" w:eastAsia="zh-CN"/>
              </w:rPr>
              <w:t>合同业绩</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CN"/>
              </w:rPr>
              <w:t>合同复印件</w:t>
            </w:r>
            <w:r>
              <w:rPr>
                <w:rFonts w:hint="eastAsia" w:ascii="宋体" w:hAnsi="宋体" w:eastAsia="宋体" w:cs="宋体"/>
                <w:color w:val="auto"/>
                <w:sz w:val="21"/>
                <w:szCs w:val="21"/>
                <w:highlight w:val="none"/>
                <w:lang w:val="en-US" w:eastAsia="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根据投标人对本项目编制的安全作业措施方案进行综合评审：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30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rFonts w:hint="eastAsia" w:ascii="宋体" w:hAnsi="宋体" w:eastAsia="宋体" w:cs="宋体"/>
          <w:color w:val="auto"/>
          <w:sz w:val="24"/>
          <w:szCs w:val="24"/>
          <w:highlight w:val="none"/>
        </w:rPr>
      </w:pPr>
    </w:p>
    <w:p>
      <w:pPr>
        <w:bidi w:val="0"/>
        <w:rPr>
          <w:rFonts w:hint="eastAsia"/>
          <w:color w:val="auto"/>
          <w:highlight w:val="none"/>
        </w:rPr>
      </w:pPr>
    </w:p>
    <w:p>
      <w:pPr>
        <w:bidi w:val="0"/>
        <w:rPr>
          <w:rFonts w:hint="eastAsia"/>
          <w:color w:val="auto"/>
          <w:highlight w:val="none"/>
        </w:rPr>
      </w:pPr>
    </w:p>
    <w:p>
      <w:pPr>
        <w:pStyle w:val="6"/>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7"/>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309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8"/>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18488"/>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1530"/>
      <w:bookmarkStart w:id="31" w:name="_Toc298847174"/>
      <w:bookmarkStart w:id="32" w:name="_Toc382049092"/>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val="en-US" w:eastAsia="zh-CN"/>
        </w:rPr>
        <w:t>东莞市大朗市场采购贸易服务中心</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2996"/>
      <w:bookmarkStart w:id="36" w:name="_Toc3780"/>
      <w:r>
        <w:rPr>
          <w:rFonts w:hint="eastAsia" w:ascii="宋体" w:hAnsi="宋体" w:eastAsia="宋体"/>
          <w:color w:val="auto"/>
          <w:sz w:val="21"/>
          <w:szCs w:val="21"/>
          <w:highlight w:val="none"/>
        </w:rPr>
        <w:t>3.货物和服务</w:t>
      </w:r>
      <w:bookmarkEnd w:id="34"/>
      <w:bookmarkEnd w:id="35"/>
      <w:bookmarkEnd w:id="36"/>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37" w:name="_Toc13909"/>
      <w:bookmarkStart w:id="38" w:name="_Toc12536"/>
      <w:bookmarkStart w:id="39" w:name="_Toc15945"/>
      <w:r>
        <w:rPr>
          <w:rFonts w:hint="eastAsia" w:ascii="宋体" w:hAnsi="宋体" w:eastAsia="宋体"/>
          <w:color w:val="auto"/>
          <w:sz w:val="21"/>
          <w:szCs w:val="21"/>
          <w:highlight w:val="none"/>
        </w:rPr>
        <w:t>4.投标费用</w:t>
      </w:r>
      <w:bookmarkEnd w:id="37"/>
      <w:bookmarkEnd w:id="38"/>
      <w:bookmarkEnd w:id="39"/>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25040"/>
      <w:bookmarkStart w:id="42" w:name="_Toc19532"/>
      <w:r>
        <w:rPr>
          <w:rFonts w:hint="eastAsia" w:ascii="宋体" w:hAnsi="宋体" w:eastAsia="宋体"/>
          <w:color w:val="auto"/>
          <w:sz w:val="21"/>
          <w:szCs w:val="21"/>
          <w:highlight w:val="none"/>
        </w:rPr>
        <w:t>5.知识产权</w:t>
      </w:r>
      <w:bookmarkEnd w:id="40"/>
      <w:bookmarkEnd w:id="41"/>
      <w:bookmarkEnd w:id="42"/>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3233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8"/>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423"/>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14217"/>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4773"/>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0623"/>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28866"/>
      <w:bookmarkStart w:id="66" w:name="_Toc303084256"/>
      <w:bookmarkStart w:id="67" w:name="_Toc18999"/>
      <w:bookmarkStart w:id="68" w:name="_Toc307934854"/>
      <w:bookmarkStart w:id="69" w:name="_Toc382049103"/>
      <w:bookmarkStart w:id="70" w:name="_Toc12145"/>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21747"/>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17188"/>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27724"/>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30815"/>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30257"/>
      <w:bookmarkStart w:id="88" w:name="_Toc2581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82049111"/>
      <w:bookmarkStart w:id="95" w:name="_Toc303084264"/>
      <w:bookmarkStart w:id="96" w:name="_Toc24997"/>
      <w:bookmarkStart w:id="97" w:name="_Toc29590"/>
      <w:bookmarkStart w:id="98" w:name="_Toc473"/>
      <w:bookmarkStart w:id="99" w:name="_Toc23678"/>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17417"/>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3212"/>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23477"/>
      <w:bookmarkStart w:id="107" w:name="_Toc303084265"/>
      <w:bookmarkStart w:id="108" w:name="_Toc9777"/>
      <w:bookmarkStart w:id="109" w:name="_Toc7689"/>
      <w:bookmarkStart w:id="110" w:name="_Toc5900"/>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113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9574"/>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597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hAnsi="宋体"/>
          <w:color w:val="auto"/>
          <w:szCs w:val="21"/>
          <w:highlight w:val="none"/>
          <w:lang w:eastAsia="zh-CN"/>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8436"/>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9184"/>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12115"/>
      <w:bookmarkStart w:id="135" w:name="_Toc20328"/>
      <w:bookmarkStart w:id="136" w:name="_Toc31141"/>
      <w:bookmarkStart w:id="137" w:name="_Toc22591"/>
      <w:bookmarkStart w:id="138" w:name="_Toc382049120"/>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39" w:name="_Toc29310"/>
      <w:bookmarkStart w:id="140" w:name="_Toc5528"/>
      <w:bookmarkStart w:id="141"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6696"/>
      <w:bookmarkStart w:id="143" w:name="_Toc17778"/>
      <w:bookmarkStart w:id="144" w:name="_Toc27817"/>
      <w:bookmarkStart w:id="145" w:name="_Toc50828401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23136"/>
      <w:bookmarkStart w:id="147" w:name="_Toc29283"/>
      <w:bookmarkStart w:id="148" w:name="_Toc12440"/>
      <w:bookmarkStart w:id="149" w:name="_Toc508284013"/>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2451"/>
      <w:bookmarkStart w:id="151" w:name="_Toc27279"/>
      <w:bookmarkStart w:id="152" w:name="_Toc2226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303084277"/>
      <w:bookmarkStart w:id="154" w:name="_Toc2744"/>
      <w:bookmarkStart w:id="155" w:name="_Toc25756"/>
      <w:bookmarkStart w:id="156" w:name="_Toc29009"/>
      <w:bookmarkStart w:id="157" w:name="_Toc382049124"/>
      <w:bookmarkStart w:id="158" w:name="_Toc7405"/>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13694"/>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17974"/>
      <w:bookmarkStart w:id="163" w:name="_Toc25498"/>
      <w:bookmarkStart w:id="164" w:name="_Toc22900"/>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767"/>
      <w:bookmarkStart w:id="166" w:name="_Toc11264"/>
      <w:bookmarkStart w:id="167" w:name="_Toc823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68" w:name="_Toc24383"/>
      <w:bookmarkStart w:id="169" w:name="_Toc5690"/>
      <w:bookmarkStart w:id="170"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10082"/>
      <w:bookmarkStart w:id="172" w:name="_Toc6548"/>
      <w:bookmarkStart w:id="173" w:name="_Toc2118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6"/>
        <w:spacing w:before="0" w:after="0" w:line="240" w:lineRule="auto"/>
        <w:rPr>
          <w:rFonts w:hint="eastAsia"/>
          <w:color w:val="auto"/>
          <w:sz w:val="28"/>
          <w:szCs w:val="28"/>
          <w:highlight w:val="none"/>
        </w:rPr>
      </w:pPr>
      <w:bookmarkStart w:id="174" w:name="_Toc7011"/>
      <w:bookmarkStart w:id="175" w:name="_Toc31854"/>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4"/>
        <w:tblW w:w="507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80"/>
        <w:gridCol w:w="67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color w:val="auto"/>
                <w:szCs w:val="21"/>
                <w:highlight w:val="none"/>
                <w:lang w:val="en-US" w:eastAsia="zh-CN"/>
              </w:rPr>
              <w:t>租赁</w:t>
            </w:r>
            <w:r>
              <w:rPr>
                <w:rFonts w:hint="eastAsia" w:ascii="宋体" w:hAnsi="宋体" w:eastAsia="宋体"/>
                <w:color w:val="auto"/>
                <w:szCs w:val="21"/>
                <w:highlight w:val="none"/>
                <w:lang w:eastAsia="zh-CN"/>
              </w:rPr>
              <w:t>服务期</w:t>
            </w:r>
          </w:p>
        </w:tc>
        <w:tc>
          <w:tcPr>
            <w:tcW w:w="6748" w:type="dxa"/>
            <w:vAlign w:val="center"/>
          </w:tcPr>
          <w:p>
            <w:pPr>
              <w:keepNext w:val="0"/>
              <w:keepLines w:val="0"/>
              <w:pageBreakBefore w:val="0"/>
              <w:widowControl/>
              <w:kinsoku/>
              <w:wordWrap/>
              <w:overflowPunct/>
              <w:topLinePunct w:val="0"/>
              <w:autoSpaceDE/>
              <w:autoSpaceDN/>
              <w:bidi w:val="0"/>
              <w:spacing w:after="0" w:line="360" w:lineRule="auto"/>
              <w:ind w:firstLine="420" w:firstLineChars="200"/>
              <w:textAlignment w:val="auto"/>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中标供应商须于采购人提出制作要求后</w:t>
            </w:r>
            <w:r>
              <w:rPr>
                <w:rFonts w:hint="eastAsia" w:ascii="宋体" w:hAnsi="宋体" w:cs="宋体"/>
                <w:color w:val="auto"/>
                <w:szCs w:val="21"/>
                <w:highlight w:val="none"/>
                <w:lang w:val="en-US" w:bidi="zh-CN"/>
              </w:rPr>
              <w:t>25</w:t>
            </w:r>
            <w:r>
              <w:rPr>
                <w:rFonts w:hint="eastAsia" w:ascii="宋体" w:hAnsi="宋体" w:cs="宋体"/>
                <w:color w:val="auto"/>
                <w:szCs w:val="21"/>
                <w:highlight w:val="none"/>
                <w:lang w:val="zh-CN" w:bidi="zh-CN"/>
              </w:rPr>
              <w:t>天内完成广告的制作与投放。本项目租赁服务时间为6个月。</w:t>
            </w:r>
          </w:p>
          <w:p>
            <w:pPr>
              <w:keepNext w:val="0"/>
              <w:keepLines w:val="0"/>
              <w:pageBreakBefore w:val="0"/>
              <w:widowControl/>
              <w:kinsoku/>
              <w:wordWrap/>
              <w:overflowPunct/>
              <w:topLinePunct w:val="0"/>
              <w:autoSpaceDE/>
              <w:autoSpaceDN/>
              <w:bidi w:val="0"/>
              <w:spacing w:after="0" w:line="360" w:lineRule="auto"/>
              <w:ind w:firstLine="420" w:firstLineChars="200"/>
              <w:textAlignment w:val="auto"/>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如租赁服务期到期后，经采购人核准及中标人同意后，在同等条件的要求之下，可继续与中标人按6个月一签模式续签合同，延长服务期。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4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1.合同签订后，中标人完成广告牌制作且验收合格后，支付合同金额的100%，在采购人付款前，中标人应开具相应金额的、合法有效的增值税普通发票提供给采购人。因中标人原因或采购人财政请款原因导致付款迟延的，采购人不以违约论。 </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2. 投标报价内容包含完成本次招标所有服务内容的内容，其中包括工人费、劳保费、保险费、材料费、设备使用费、各种税费及合同实施过程中不可预见费用等。</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 根据现行税法规定对中标人或其雇员征收的与本合同有关的一切税费均应由中标人负担。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4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cs="宋体"/>
                <w:color w:val="auto"/>
                <w:szCs w:val="21"/>
                <w:highlight w:val="none"/>
                <w:lang w:val="en-US" w:bidi="zh-CN"/>
              </w:rPr>
            </w:pPr>
            <w:r>
              <w:rPr>
                <w:rFonts w:hint="eastAsia" w:ascii="宋体" w:hAnsi="宋体"/>
                <w:color w:val="auto"/>
                <w:szCs w:val="21"/>
                <w:highlight w:val="none"/>
                <w:lang w:val="en-US" w:eastAsia="zh-CN"/>
              </w:rPr>
              <w:t>采购人指定地点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4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sz w:val="21"/>
                <w:szCs w:val="21"/>
                <w:highlight w:val="none"/>
              </w:rPr>
              <w:t>本项目以人民币为结算单位，实行合同总价包干方式，投标人须对采购范围的全部内容进行报价。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4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供应商</w:t>
            </w:r>
            <w:r>
              <w:rPr>
                <w:rFonts w:ascii="宋体" w:hAnsi="宋体" w:eastAsia="宋体"/>
                <w:color w:val="auto"/>
                <w:szCs w:val="21"/>
                <w:highlight w:val="none"/>
              </w:rPr>
              <w:t>实质响应合同各条款。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其它要求</w:t>
            </w:r>
          </w:p>
        </w:tc>
        <w:tc>
          <w:tcPr>
            <w:tcW w:w="6748"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1、合同履行期间，项目如因政府政策原因而导致合同无法继续下去的，投标人应积极配合，采购人不对此负任何责任。</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lang w:bidi="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bookmarkStart w:id="179" w:name="_Toc31278"/>
      <w:bookmarkStart w:id="180" w:name="_Toc14462"/>
      <w:bookmarkStart w:id="181" w:name="_Toc13112"/>
      <w:bookmarkStart w:id="182" w:name="_Toc24679"/>
      <w:r>
        <w:rPr>
          <w:rFonts w:hint="eastAsia" w:ascii="宋体" w:hAnsi="宋体" w:cs="Arial"/>
          <w:b/>
          <w:bCs/>
          <w:color w:val="auto"/>
          <w:kern w:val="21"/>
          <w:sz w:val="24"/>
          <w:szCs w:val="24"/>
          <w:highlight w:val="none"/>
          <w:lang w:val="en-US" w:eastAsia="zh-CN"/>
        </w:rPr>
        <w:t>一、户外广告牌要求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户外</w:t>
      </w:r>
      <w:r>
        <w:rPr>
          <w:rFonts w:hint="eastAsia" w:ascii="宋体" w:hAnsi="宋体" w:eastAsia="宋体" w:cs="宋体"/>
          <w:color w:val="auto"/>
          <w:sz w:val="21"/>
          <w:szCs w:val="21"/>
          <w:highlight w:val="none"/>
          <w:lang w:eastAsia="zh-CN"/>
        </w:rPr>
        <w:t>广告牌：尺寸大于</w:t>
      </w:r>
      <w:r>
        <w:rPr>
          <w:rFonts w:hint="eastAsia" w:ascii="宋体" w:hAnsi="宋体" w:eastAsia="宋体" w:cs="宋体"/>
          <w:color w:val="auto"/>
          <w:sz w:val="21"/>
          <w:szCs w:val="21"/>
          <w:highlight w:val="none"/>
          <w:lang w:val="en-US" w:eastAsia="zh-CN"/>
        </w:rPr>
        <w:t>110</w:t>
      </w:r>
      <w:r>
        <w:rPr>
          <w:rFonts w:hint="eastAsia" w:ascii="宋体" w:hAnsi="宋体" w:eastAsia="宋体" w:cs="宋体"/>
          <w:color w:val="auto"/>
          <w:sz w:val="21"/>
          <w:szCs w:val="21"/>
          <w:highlight w:val="none"/>
          <w:lang w:eastAsia="zh-CN"/>
        </w:rPr>
        <w:t>平方米；PVC灯箱布，用户外高凊(720dpi) 260g</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520灯布户外灯布（</w:t>
      </w:r>
      <w:r>
        <w:rPr>
          <w:rFonts w:hint="eastAsia" w:ascii="宋体" w:hAnsi="宋体" w:eastAsia="宋体" w:cs="宋体"/>
          <w:color w:val="auto"/>
          <w:sz w:val="21"/>
          <w:szCs w:val="21"/>
          <w:highlight w:val="none"/>
          <w:lang w:val="en-US" w:eastAsia="zh-CN"/>
        </w:rPr>
        <w:t>背胶</w:t>
      </w:r>
      <w:r>
        <w:rPr>
          <w:rFonts w:hint="eastAsia" w:ascii="宋体" w:hAnsi="宋体" w:eastAsia="宋体" w:cs="宋体"/>
          <w:color w:val="auto"/>
          <w:sz w:val="21"/>
          <w:szCs w:val="21"/>
          <w:highlight w:val="none"/>
          <w:lang w:eastAsia="zh-CN"/>
        </w:rPr>
        <w:t>），电脑喷画；钢架抗8级以上风力，以当地气象部门发布风力等级为准；所用材料符合行业标准和安全标准。</w:t>
      </w:r>
      <w:r>
        <w:rPr>
          <w:rFonts w:hint="eastAsia"/>
          <w:color w:val="auto"/>
          <w:highlight w:val="none"/>
          <w:lang w:val="en-US" w:eastAsia="zh-CN"/>
        </w:rPr>
        <w:t>广告牌为单面或双面或三面大广告，广告牌设计图详见附件1；中标人可在设计图的基础上进行改良，经采购人采纳后投放。</w:t>
      </w:r>
    </w:p>
    <w:p>
      <w:pPr>
        <w:pStyle w:val="2"/>
        <w:rPr>
          <w:rFonts w:hint="default"/>
          <w:color w:val="auto"/>
          <w:highlight w:val="none"/>
          <w:lang w:val="en-US" w:eastAsia="zh-CN"/>
        </w:rPr>
      </w:pPr>
      <w:r>
        <w:rPr>
          <w:rFonts w:hint="default"/>
          <w:color w:val="auto"/>
          <w:highlight w:val="none"/>
          <w:lang w:val="en-US" w:eastAsia="zh-CN"/>
        </w:rPr>
        <w:drawing>
          <wp:inline distT="0" distB="0" distL="114300" distR="114300">
            <wp:extent cx="5260340" cy="3621405"/>
            <wp:effectExtent l="0" t="0" r="16510" b="17145"/>
            <wp:docPr id="16" name="图片 16" descr="359b4c35728a78d581173262220e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59b4c35728a78d581173262220edf6"/>
                    <pic:cNvPicPr>
                      <a:picLocks noChangeAspect="1"/>
                    </pic:cNvPicPr>
                  </pic:nvPicPr>
                  <pic:blipFill>
                    <a:blip r:embed="rId16"/>
                    <a:stretch>
                      <a:fillRect/>
                    </a:stretch>
                  </pic:blipFill>
                  <pic:spPr>
                    <a:xfrm>
                      <a:off x="0" y="0"/>
                      <a:ext cx="5260340" cy="3621405"/>
                    </a:xfrm>
                    <a:prstGeom prst="rect">
                      <a:avLst/>
                    </a:prstGeom>
                  </pic:spPr>
                </pic:pic>
              </a:graphicData>
            </a:graphic>
          </wp:inline>
        </w:drawing>
      </w:r>
    </w:p>
    <w:p>
      <w:pPr>
        <w:jc w:val="center"/>
        <w:rPr>
          <w:rFonts w:hint="default"/>
          <w:b/>
          <w:bCs/>
          <w:color w:val="auto"/>
          <w:highlight w:val="none"/>
          <w:lang w:val="en-US" w:eastAsia="zh-CN"/>
        </w:rPr>
      </w:pPr>
      <w:r>
        <w:rPr>
          <w:rFonts w:hint="eastAsia"/>
          <w:b/>
          <w:bCs/>
          <w:color w:val="auto"/>
          <w:highlight w:val="none"/>
          <w:lang w:val="en-US" w:eastAsia="zh-CN"/>
        </w:rPr>
        <w:t>附件1</w:t>
      </w:r>
    </w:p>
    <w:p>
      <w:pPr>
        <w:bidi w:val="0"/>
        <w:rPr>
          <w:rFonts w:hint="eastAsia"/>
          <w:color w:val="auto"/>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r>
        <w:rPr>
          <w:rFonts w:hint="eastAsia" w:ascii="宋体" w:hAnsi="宋体" w:cs="Arial"/>
          <w:b/>
          <w:bCs/>
          <w:color w:val="auto"/>
          <w:kern w:val="21"/>
          <w:sz w:val="24"/>
          <w:szCs w:val="24"/>
          <w:highlight w:val="none"/>
          <w:lang w:val="en-US" w:eastAsia="zh-CN"/>
        </w:rPr>
        <w:t>二、户外广告牌位置</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户外广告牌位置：在东莞市</w:t>
      </w:r>
      <w:r>
        <w:rPr>
          <w:rFonts w:hint="eastAsia" w:ascii="宋体" w:hAnsi="宋体" w:cs="宋体"/>
          <w:color w:val="auto"/>
          <w:sz w:val="21"/>
          <w:szCs w:val="21"/>
          <w:highlight w:val="none"/>
          <w:lang w:val="en-US" w:eastAsia="zh-CN"/>
        </w:rPr>
        <w:t>大朗镇</w:t>
      </w:r>
      <w:r>
        <w:rPr>
          <w:rFonts w:hint="eastAsia" w:ascii="宋体" w:hAnsi="宋体" w:eastAsia="宋体" w:cs="宋体"/>
          <w:color w:val="auto"/>
          <w:sz w:val="21"/>
          <w:szCs w:val="21"/>
          <w:highlight w:val="none"/>
          <w:lang w:val="en-US" w:eastAsia="zh-CN"/>
        </w:rPr>
        <w:t>范围内。广告牌</w:t>
      </w:r>
      <w:r>
        <w:rPr>
          <w:rFonts w:hint="eastAsia" w:ascii="宋体" w:hAnsi="宋体" w:eastAsia="宋体" w:cs="宋体"/>
          <w:color w:val="auto"/>
          <w:sz w:val="21"/>
          <w:szCs w:val="21"/>
          <w:highlight w:val="none"/>
          <w:lang w:eastAsia="zh-CN"/>
        </w:rPr>
        <w:t>纵向200米内不能有其他广告牌遮挡。</w:t>
      </w:r>
    </w:p>
    <w:p>
      <w:pPr>
        <w:bidi w:val="0"/>
        <w:rPr>
          <w:rFonts w:hint="eastAsia"/>
          <w:color w:val="auto"/>
          <w:highlight w:val="none"/>
          <w:lang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r>
        <w:rPr>
          <w:rFonts w:hint="eastAsia" w:ascii="宋体" w:hAnsi="宋体" w:cs="Arial"/>
          <w:b/>
          <w:bCs/>
          <w:color w:val="auto"/>
          <w:kern w:val="21"/>
          <w:sz w:val="24"/>
          <w:szCs w:val="24"/>
          <w:highlight w:val="none"/>
          <w:lang w:val="en-US" w:eastAsia="zh-CN"/>
        </w:rPr>
        <w:t>三、质量保证及售后服务</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人必须严格执行户外广告管理规定，定时检查广告牌版面，不能有破损现象，保持广告版面清洁、字迹清晰，应承诺在画面合同期内如出现破损、残旧及恶劣天气（包括但不限于一至八级台风）等情况导致画面出现损坏的，中标人应在3天内重新安排上画，所涉及费用由中标人在投标报价中一次包干，在合同执行过程不再另行增加费用；广告牌在租赁期间的维护及一切安全责任由中标人负责，租赁期为</w:t>
      </w:r>
      <w:r>
        <w:rPr>
          <w:rFonts w:hint="eastAsia" w:ascii="宋体" w:hAnsi="宋体" w:cs="宋体"/>
          <w:color w:val="auto"/>
          <w:sz w:val="21"/>
          <w:szCs w:val="21"/>
          <w:highlight w:val="none"/>
          <w:lang w:eastAsia="zh-CN"/>
        </w:rPr>
        <w:t>6个月</w:t>
      </w:r>
      <w:r>
        <w:rPr>
          <w:rFonts w:hint="eastAsia" w:ascii="宋体" w:hAnsi="宋体" w:eastAsia="宋体" w:cs="宋体"/>
          <w:color w:val="auto"/>
          <w:sz w:val="21"/>
          <w:szCs w:val="21"/>
          <w:highlight w:val="none"/>
          <w:lang w:eastAsia="zh-CN"/>
        </w:rPr>
        <w:t>（按照实际发布时间算起）。</w:t>
      </w:r>
    </w:p>
    <w:p>
      <w:pPr>
        <w:bidi w:val="0"/>
        <w:rPr>
          <w:rFonts w:hint="eastAsia"/>
          <w:color w:val="auto"/>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rPr>
      </w:pPr>
      <w:r>
        <w:rPr>
          <w:rFonts w:hint="eastAsia" w:ascii="宋体" w:hAnsi="宋体" w:cs="Arial"/>
          <w:b/>
          <w:bCs/>
          <w:color w:val="auto"/>
          <w:kern w:val="21"/>
          <w:sz w:val="24"/>
          <w:szCs w:val="24"/>
          <w:highlight w:val="none"/>
          <w:lang w:val="en-US" w:eastAsia="zh-CN"/>
        </w:rPr>
        <w:t>四、安装、调试及验收</w:t>
      </w:r>
      <w:r>
        <w:rPr>
          <w:rFonts w:hint="eastAsia" w:ascii="宋体" w:hAnsi="宋体" w:cs="Arial"/>
          <w:b/>
          <w:bCs/>
          <w:color w:val="auto"/>
          <w:kern w:val="21"/>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中标人需设该项目专门负责人，主要负责该项目施工前后的计划、协调、人力调配及工程质量、安全管理等工作。安装所需工具设施物料由中标人自备、自费运到现场，完工后自费搬走，并对安装现场进行清理，保证不对建设场地环境造成任何不良影响。安装过程发生的安装费、材料费、人工费、清理费等全部费用由中标人负责。</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2.验收：</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负责在项目验收时将全部货物有关的产品说明书、原厂家安装手册、技术文件、资料、及安装、验收报告等文档汇集成册交付采购人，货物在验收合格前出现损坏的，由供应商负责该损坏货物的免费更换或维修，</w:t>
      </w:r>
      <w:r>
        <w:rPr>
          <w:rFonts w:hint="eastAsia" w:ascii="宋体" w:hAnsi="宋体" w:eastAsia="宋体" w:cs="宋体"/>
          <w:color w:val="auto"/>
          <w:sz w:val="21"/>
          <w:szCs w:val="21"/>
          <w:highlight w:val="none"/>
          <w:lang w:val="en-US" w:eastAsia="zh-CN"/>
        </w:rPr>
        <w:t>货物最终验收须符合相关行业要求</w:t>
      </w:r>
      <w:r>
        <w:rPr>
          <w:rFonts w:hint="eastAsia" w:ascii="宋体" w:hAnsi="宋体" w:eastAsia="宋体" w:cs="宋体"/>
          <w:color w:val="auto"/>
          <w:sz w:val="21"/>
          <w:szCs w:val="21"/>
          <w:highlight w:val="none"/>
          <w:lang w:eastAsia="zh-CN"/>
        </w:rPr>
        <w:t>。 </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采购人有权要求采购的货物在中标人交付使用后邀请具备资质的第三方检测机构对中标人所提供的货物进行检测，由此所产生的一切费用由中标人负责。如出现采购的货物经第三方检测机构出具不合格或与投标文件中的货物不符，采购人有权拒绝验收及索赔。</w:t>
      </w:r>
    </w:p>
    <w:p>
      <w:pPr>
        <w:bidi w:val="0"/>
        <w:rPr>
          <w:rFonts w:hint="eastAsia"/>
          <w:color w:val="auto"/>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rPr>
      </w:pPr>
      <w:r>
        <w:rPr>
          <w:rFonts w:hint="eastAsia" w:ascii="宋体" w:hAnsi="宋体" w:cs="Arial"/>
          <w:b/>
          <w:bCs/>
          <w:color w:val="auto"/>
          <w:kern w:val="21"/>
          <w:sz w:val="24"/>
          <w:szCs w:val="24"/>
          <w:highlight w:val="none"/>
          <w:lang w:val="en-US" w:eastAsia="zh-CN"/>
        </w:rPr>
        <w:t>五</w:t>
      </w:r>
      <w:r>
        <w:rPr>
          <w:rFonts w:hint="eastAsia" w:ascii="宋体" w:hAnsi="宋体" w:cs="Arial"/>
          <w:b/>
          <w:bCs/>
          <w:color w:val="auto"/>
          <w:kern w:val="21"/>
          <w:sz w:val="24"/>
          <w:szCs w:val="24"/>
          <w:highlight w:val="none"/>
        </w:rPr>
        <w:t>、其他要求</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1、中标方保证采购方使用该广告媒体及位置的合法性。</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2、投标人须承诺中标后出具政府的合法审批文件、且为自有媒体，不允许代理。</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3、中标方有义务对广告内容及表现形式的合法性进行核实，有权并应当要求采购方对广告作出合乎法律或法规的修改。</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4、中标方根据采购方提供的广告文案样稿负责办理广告发布、审批手续。</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5、中标方应负责广告牌的维护、保养。广告发布期间，如遇广告牌出现损坏、污染、设备故障等情况，中标应在24（二十四）小时内完成修理或清洗。</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6、中标方负责广告牌的安全。在广告位制作、安装、维修、拆除中因任何因素导致他人财产损失或人身伤害的，均由中标负责。</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7、中标方保证广告在发布期间不受任何物体（现有的林木及市政设施除外）的遮挡。</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8、项目未尽事宜将在采购合同中另行约定，中标单位需无条件同意采购单位基于为顺利完成本项目所提出的各项合理要求。</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投标人应根据项目需求，在投标文件中提供切实可行的服务方案、安全作业措施方案、质量保证措施方案、应急方案等。</w:t>
      </w:r>
    </w:p>
    <w:p>
      <w:pPr>
        <w:bidi w:val="0"/>
        <w:rPr>
          <w:rFonts w:hint="eastAsia"/>
          <w:color w:val="auto"/>
          <w:highlight w:val="none"/>
          <w:lang w:val="en-US" w:eastAsia="zh-CN"/>
        </w:rPr>
      </w:pPr>
    </w:p>
    <w:p>
      <w:pPr>
        <w:spacing w:after="0" w:line="360" w:lineRule="auto"/>
        <w:ind w:firstLine="422" w:firstLineChars="200"/>
        <w:rPr>
          <w:rFonts w:ascii="宋体" w:hAnsi="宋体" w:eastAsia="宋体" w:cs="宋体"/>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bookmarkEnd w:id="179"/>
    <w:bookmarkEnd w:id="180"/>
    <w:bookmarkEnd w:id="181"/>
    <w:bookmarkEnd w:id="182"/>
    <w:p>
      <w:pPr>
        <w:pStyle w:val="6"/>
        <w:spacing w:before="0" w:after="0" w:line="240" w:lineRule="auto"/>
        <w:rPr>
          <w:color w:val="auto"/>
          <w:sz w:val="28"/>
          <w:szCs w:val="28"/>
          <w:highlight w:val="none"/>
        </w:rPr>
      </w:pPr>
      <w:bookmarkStart w:id="183" w:name="_Toc12014"/>
      <w:bookmarkStart w:id="184" w:name="_Toc21448"/>
      <w:bookmarkStart w:id="185" w:name="_Toc12485"/>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21155"/>
      <w:bookmarkStart w:id="187" w:name="_Toc1534"/>
      <w:bookmarkStart w:id="188" w:name="_Toc13430"/>
    </w:p>
    <w:p>
      <w:pPr>
        <w:pStyle w:val="7"/>
        <w:spacing w:before="0" w:after="0" w:line="240" w:lineRule="auto"/>
        <w:jc w:val="center"/>
        <w:rPr>
          <w:rFonts w:ascii="宋体" w:hAnsi="宋体" w:eastAsia="宋体" w:cs="宋体"/>
          <w:color w:val="auto"/>
          <w:highlight w:val="none"/>
        </w:rPr>
      </w:pPr>
      <w:bookmarkStart w:id="189" w:name="_Toc8880"/>
      <w:bookmarkStart w:id="190" w:name="_Toc16730"/>
      <w:bookmarkStart w:id="191" w:name="_Toc19575"/>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6"/>
        <w:spacing w:before="0" w:after="0" w:line="240" w:lineRule="auto"/>
        <w:rPr>
          <w:color w:val="auto"/>
          <w:sz w:val="28"/>
          <w:szCs w:val="28"/>
          <w:highlight w:val="none"/>
        </w:rPr>
      </w:pPr>
      <w:bookmarkStart w:id="195" w:name="_Toc1478"/>
      <w:bookmarkStart w:id="196" w:name="_Toc31587"/>
      <w:bookmarkStart w:id="197"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5794"/>
      <w:bookmarkStart w:id="199" w:name="_Toc6790"/>
      <w:bookmarkStart w:id="200" w:name="_Toc2683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18893"/>
      <w:bookmarkStart w:id="202" w:name="_Toc5670"/>
      <w:bookmarkStart w:id="203" w:name="_Toc25502"/>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8194"/>
      <w:bookmarkStart w:id="205" w:name="_Toc22080"/>
      <w:bookmarkStart w:id="206" w:name="_Toc30640"/>
      <w:r>
        <w:rPr>
          <w:rFonts w:hint="eastAsia"/>
          <w:color w:val="auto"/>
          <w:highlight w:val="none"/>
          <w:lang w:val="en-US" w:eastAsia="zh-CN"/>
        </w:rPr>
        <w:t>第一章价格文件</w:t>
      </w:r>
      <w:bookmarkEnd w:id="204"/>
      <w:bookmarkEnd w:id="205"/>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19750"/>
      <w:bookmarkStart w:id="208" w:name="_Toc4168"/>
      <w:r>
        <w:rPr>
          <w:rFonts w:hint="eastAsia"/>
          <w:color w:val="auto"/>
          <w:highlight w:val="none"/>
          <w:lang w:val="en-US" w:eastAsia="zh-CN"/>
        </w:rPr>
        <w:t>一、唱标一览表</w:t>
      </w:r>
      <w:bookmarkEnd w:id="207"/>
      <w:bookmarkEnd w:id="208"/>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spacing w:after="0" w:line="360" w:lineRule="auto"/>
        <w:ind w:left="357" w:leftChars="170" w:firstLine="359" w:firstLineChars="171"/>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pStyle w:val="3"/>
        <w:rPr>
          <w:rFonts w:ascii="宋体" w:hAnsi="宋体" w:eastAsia="宋体"/>
          <w:color w:val="auto"/>
          <w:sz w:val="21"/>
          <w:szCs w:val="21"/>
          <w:highlight w:val="none"/>
        </w:rPr>
      </w:pPr>
    </w:p>
    <w:p>
      <w:pPr>
        <w:pStyle w:val="4"/>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bidi w:val="0"/>
        <w:rPr>
          <w:color w:val="auto"/>
          <w:highlight w:val="none"/>
        </w:rPr>
      </w:pPr>
    </w:p>
    <w:p>
      <w:pPr>
        <w:rPr>
          <w:rFonts w:ascii="宋体" w:hAnsi="宋体" w:eastAsia="宋体"/>
          <w:color w:val="auto"/>
          <w:sz w:val="21"/>
          <w:szCs w:val="21"/>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062"/>
      <w:bookmarkStart w:id="210" w:name="_Toc31172"/>
      <w:r>
        <w:rPr>
          <w:rFonts w:hint="eastAsia"/>
          <w:color w:val="auto"/>
          <w:highlight w:val="none"/>
          <w:lang w:val="en-US" w:eastAsia="zh-CN"/>
        </w:rPr>
        <w:t>二、报价明细表</w:t>
      </w:r>
      <w:bookmarkEnd w:id="209"/>
      <w:bookmarkEnd w:id="210"/>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23787"/>
      <w:bookmarkStart w:id="214" w:name="_Toc1952"/>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15719"/>
      <w:bookmarkStart w:id="216" w:name="_Toc28616"/>
      <w:r>
        <w:rPr>
          <w:rFonts w:hint="eastAsia"/>
          <w:color w:val="auto"/>
          <w:highlight w:val="none"/>
          <w:lang w:val="en-US" w:eastAsia="zh-CN"/>
        </w:rPr>
        <w:t>二、资格申明函</w:t>
      </w:r>
      <w:bookmarkEnd w:id="215"/>
      <w:bookmarkEnd w:id="21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pStyle w:val="3"/>
        <w:rPr>
          <w:color w:val="auto"/>
          <w:highlight w:val="none"/>
        </w:rPr>
      </w:pPr>
    </w:p>
    <w:p>
      <w:pPr>
        <w:pStyle w:val="4"/>
        <w:rPr>
          <w:color w:val="auto"/>
          <w:highlight w:val="none"/>
        </w:rPr>
      </w:pPr>
    </w:p>
    <w:p>
      <w:pPr>
        <w:rPr>
          <w:color w:val="auto"/>
          <w:highlight w:val="none"/>
        </w:rPr>
      </w:pPr>
    </w:p>
    <w:p>
      <w:pPr>
        <w:pStyle w:val="2"/>
        <w:rPr>
          <w:color w:val="auto"/>
          <w:highlight w:val="none"/>
        </w:rPr>
      </w:pPr>
    </w:p>
    <w:p>
      <w:pPr>
        <w:rPr>
          <w:color w:val="auto"/>
          <w:highlight w:val="none"/>
        </w:rPr>
      </w:pPr>
      <w:bookmarkStart w:id="217" w:name="_Toc16412"/>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1273"/>
      <w:bookmarkStart w:id="219" w:name="_Toc32742"/>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3894"/>
      <w:bookmarkStart w:id="221" w:name="_Toc13243"/>
      <w:r>
        <w:rPr>
          <w:rFonts w:hint="eastAsia"/>
          <w:color w:val="auto"/>
          <w:highlight w:val="none"/>
          <w:lang w:val="en-US" w:eastAsia="zh-CN"/>
        </w:rPr>
        <w:t>四、法定代表人证明书</w:t>
      </w:r>
      <w:bookmarkEnd w:id="220"/>
      <w:bookmarkEnd w:id="221"/>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626"/>
      <w:bookmarkStart w:id="223" w:name="_Toc5918"/>
      <w:r>
        <w:rPr>
          <w:rFonts w:hint="eastAsia"/>
          <w:color w:val="auto"/>
          <w:highlight w:val="none"/>
          <w:lang w:val="en-US" w:eastAsia="zh-CN"/>
        </w:rPr>
        <w:t>五、法定代表人授权书</w:t>
      </w:r>
      <w:bookmarkEnd w:id="222"/>
      <w:bookmarkEnd w:id="223"/>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24013"/>
      <w:bookmarkStart w:id="226" w:name="_Toc18562"/>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28067"/>
      <w:bookmarkStart w:id="228" w:name="_Toc1511"/>
      <w:bookmarkStart w:id="229" w:name="_Toc4926"/>
      <w:bookmarkStart w:id="230" w:name="_Toc24210"/>
      <w:bookmarkStart w:id="231" w:name="_Toc17470"/>
      <w:bookmarkStart w:id="232" w:name="_Toc5919"/>
      <w:bookmarkStart w:id="233" w:name="_Toc29995"/>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9439"/>
      <w:bookmarkStart w:id="235" w:name="_Toc21638"/>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23341"/>
      <w:bookmarkStart w:id="237" w:name="_Toc14263"/>
      <w:r>
        <w:rPr>
          <w:rFonts w:hint="eastAsia"/>
          <w:color w:val="auto"/>
          <w:highlight w:val="none"/>
          <w:lang w:val="en-US" w:eastAsia="zh-CN"/>
        </w:rPr>
        <w:t>九、</w:t>
      </w:r>
      <w:r>
        <w:rPr>
          <w:rFonts w:hint="eastAsia"/>
          <w:color w:val="auto"/>
          <w:highlight w:val="none"/>
        </w:rPr>
        <w:t>承诺书</w:t>
      </w:r>
      <w:bookmarkEnd w:id="236"/>
      <w:bookmarkEnd w:id="237"/>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653"/>
      <w:bookmarkStart w:id="240" w:name="_Toc13955"/>
      <w:r>
        <w:rPr>
          <w:rFonts w:hint="eastAsia"/>
          <w:color w:val="auto"/>
          <w:highlight w:val="none"/>
          <w:lang w:val="en-US" w:eastAsia="zh-CN"/>
        </w:rPr>
        <w:t>十、招标代理服务费承诺书</w:t>
      </w:r>
      <w:bookmarkEnd w:id="239"/>
      <w:bookmarkEnd w:id="24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2598"/>
      <w:bookmarkStart w:id="242" w:name="_Toc1975"/>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9276"/>
      <w:bookmarkStart w:id="245" w:name="_Toc25391"/>
      <w:r>
        <w:rPr>
          <w:rFonts w:hint="eastAsia"/>
          <w:color w:val="auto"/>
          <w:highlight w:val="none"/>
          <w:lang w:val="en-US" w:eastAsia="zh-CN"/>
        </w:rPr>
        <w:t>十二、</w:t>
      </w:r>
      <w:r>
        <w:rPr>
          <w:rFonts w:hint="eastAsia"/>
          <w:color w:val="auto"/>
          <w:highlight w:val="none"/>
        </w:rPr>
        <w:t>业绩表</w:t>
      </w:r>
      <w:bookmarkEnd w:id="244"/>
      <w:bookmarkEnd w:id="24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20520"/>
      <w:bookmarkStart w:id="247" w:name="_Toc14688"/>
      <w:r>
        <w:rPr>
          <w:rFonts w:hint="eastAsia"/>
          <w:color w:val="auto"/>
          <w:highlight w:val="none"/>
          <w:lang w:val="en-US" w:eastAsia="zh-CN"/>
        </w:rPr>
        <w:t>第三章技术文件</w:t>
      </w:r>
      <w:bookmarkEnd w:id="243"/>
      <w:bookmarkEnd w:id="246"/>
      <w:bookmarkEnd w:id="24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3097"/>
      <w:bookmarkStart w:id="249" w:name="_Toc7092"/>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6080"/>
      <w:bookmarkStart w:id="252" w:name="_Toc18668"/>
      <w:bookmarkStart w:id="253" w:name="_Toc1274"/>
      <w:bookmarkStart w:id="254" w:name="_Toc4827"/>
      <w:bookmarkStart w:id="255" w:name="_Toc4464"/>
      <w:bookmarkStart w:id="256" w:name="_Toc26078"/>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3461"/>
      <w:bookmarkStart w:id="258" w:name="_Toc10734"/>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7079"/>
            <w:bookmarkStart w:id="261" w:name="_Toc29642"/>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12049"/>
            <w:bookmarkStart w:id="263" w:name="_Toc15368"/>
            <w:bookmarkStart w:id="264" w:name="_Toc27090"/>
            <w:bookmarkStart w:id="265" w:name="_Toc14815"/>
            <w:bookmarkStart w:id="266" w:name="_Toc16872"/>
            <w:bookmarkStart w:id="267" w:name="_Toc21739"/>
            <w:bookmarkStart w:id="268" w:name="_Toc22448"/>
            <w:bookmarkStart w:id="269" w:name="_Toc10045"/>
            <w:bookmarkStart w:id="270" w:name="_Toc2700"/>
            <w:bookmarkStart w:id="271" w:name="_Toc15903"/>
            <w:bookmarkStart w:id="272" w:name="_Toc26124"/>
            <w:bookmarkStart w:id="273" w:name="_Toc1016"/>
            <w:bookmarkStart w:id="274" w:name="_Toc4304"/>
            <w:bookmarkStart w:id="275" w:name="_Toc22879"/>
            <w:bookmarkStart w:id="276" w:name="_Toc8312"/>
            <w:bookmarkStart w:id="277" w:name="_Toc24662"/>
            <w:bookmarkStart w:id="278" w:name="_Toc8490"/>
            <w:bookmarkStart w:id="279" w:name="_Toc32531"/>
            <w:bookmarkStart w:id="280" w:name="_Toc22917"/>
            <w:bookmarkStart w:id="281" w:name="_Toc19251"/>
            <w:bookmarkStart w:id="282" w:name="_Toc27442"/>
            <w:bookmarkStart w:id="283" w:name="_Toc7333"/>
            <w:bookmarkStart w:id="284"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2408"/>
            <w:bookmarkStart w:id="286" w:name="_Toc22153"/>
            <w:bookmarkStart w:id="287" w:name="_Toc10122"/>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16003"/>
            <w:bookmarkStart w:id="289" w:name="_Toc27285"/>
            <w:bookmarkStart w:id="290" w:name="_Toc29838"/>
            <w:bookmarkStart w:id="291" w:name="_Toc20139"/>
            <w:bookmarkStart w:id="292" w:name="_Toc17296"/>
            <w:bookmarkStart w:id="293" w:name="_Toc5563"/>
            <w:bookmarkStart w:id="294" w:name="_Toc20820"/>
            <w:bookmarkStart w:id="295" w:name="_Toc17642"/>
            <w:bookmarkStart w:id="296" w:name="_Toc5992"/>
            <w:bookmarkStart w:id="297" w:name="_Toc3701"/>
            <w:bookmarkStart w:id="298" w:name="_Toc1912"/>
            <w:bookmarkStart w:id="299" w:name="_Toc1330"/>
            <w:bookmarkStart w:id="300" w:name="_Toc27185"/>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19105"/>
            <w:bookmarkStart w:id="302" w:name="_Toc3520"/>
            <w:bookmarkStart w:id="303" w:name="_Toc857"/>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26880"/>
      <w:bookmarkStart w:id="308" w:name="_Toc16328"/>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15431"/>
      <w:bookmarkStart w:id="310" w:name="_Toc26980"/>
      <w:r>
        <w:rPr>
          <w:rFonts w:hint="eastAsia"/>
          <w:color w:val="auto"/>
          <w:highlight w:val="none"/>
          <w:lang w:val="en-US" w:eastAsia="zh-CN"/>
        </w:rPr>
        <w:t>六、投标货物明细一览表</w:t>
      </w:r>
      <w:bookmarkEnd w:id="309"/>
      <w:bookmarkEnd w:id="31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16710"/>
      <w:bookmarkStart w:id="312" w:name="_Toc21541"/>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4545"/>
      <w:bookmarkStart w:id="314" w:name="_Toc2685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72"/>
      <w:bookmarkStart w:id="317" w:name="_Toc2678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710"/>
      <w:bookmarkStart w:id="320" w:name="_Toc22736"/>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1c352f08-5283-4fae-9574-6cbe59905e1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95544D"/>
    <w:rsid w:val="0AA534D5"/>
    <w:rsid w:val="0AA650EB"/>
    <w:rsid w:val="0AB8066A"/>
    <w:rsid w:val="0AF47339"/>
    <w:rsid w:val="0AFD5AE8"/>
    <w:rsid w:val="0B22594B"/>
    <w:rsid w:val="0B797387"/>
    <w:rsid w:val="0B8B2381"/>
    <w:rsid w:val="0BC03937"/>
    <w:rsid w:val="0BC044BE"/>
    <w:rsid w:val="0BDF26F7"/>
    <w:rsid w:val="0C264099"/>
    <w:rsid w:val="0C2B4952"/>
    <w:rsid w:val="0C7B2220"/>
    <w:rsid w:val="0D890E47"/>
    <w:rsid w:val="0DC64A00"/>
    <w:rsid w:val="0DFC60BA"/>
    <w:rsid w:val="0E4249F1"/>
    <w:rsid w:val="0E7B4FF1"/>
    <w:rsid w:val="0EDC018F"/>
    <w:rsid w:val="0EFF0CDE"/>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11489"/>
    <w:rsid w:val="11F62F4A"/>
    <w:rsid w:val="123346DD"/>
    <w:rsid w:val="1285542E"/>
    <w:rsid w:val="12C60D80"/>
    <w:rsid w:val="131867D4"/>
    <w:rsid w:val="131F7A3A"/>
    <w:rsid w:val="132645D0"/>
    <w:rsid w:val="13455ABC"/>
    <w:rsid w:val="134633D7"/>
    <w:rsid w:val="1370322B"/>
    <w:rsid w:val="13767449"/>
    <w:rsid w:val="13B27845"/>
    <w:rsid w:val="13BE469F"/>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A55BE0"/>
    <w:rsid w:val="1AB16AC1"/>
    <w:rsid w:val="1B034A52"/>
    <w:rsid w:val="1B1F34AD"/>
    <w:rsid w:val="1B7B06D9"/>
    <w:rsid w:val="1B8D5DC6"/>
    <w:rsid w:val="1BFE1D3B"/>
    <w:rsid w:val="1C2775EC"/>
    <w:rsid w:val="1C750ECE"/>
    <w:rsid w:val="1C80603F"/>
    <w:rsid w:val="1CA22168"/>
    <w:rsid w:val="1D0836D7"/>
    <w:rsid w:val="1D196139"/>
    <w:rsid w:val="1D3D70CF"/>
    <w:rsid w:val="1DB85900"/>
    <w:rsid w:val="1DF051AF"/>
    <w:rsid w:val="1E010AF7"/>
    <w:rsid w:val="1E0178EB"/>
    <w:rsid w:val="1E301173"/>
    <w:rsid w:val="1E38333E"/>
    <w:rsid w:val="1E5C7612"/>
    <w:rsid w:val="1EA40BB4"/>
    <w:rsid w:val="1F43381C"/>
    <w:rsid w:val="1F691E82"/>
    <w:rsid w:val="1F724373"/>
    <w:rsid w:val="1FA4148D"/>
    <w:rsid w:val="20121621"/>
    <w:rsid w:val="201A421D"/>
    <w:rsid w:val="20341172"/>
    <w:rsid w:val="203D2AC0"/>
    <w:rsid w:val="204E554F"/>
    <w:rsid w:val="20590035"/>
    <w:rsid w:val="20C35213"/>
    <w:rsid w:val="20FC799E"/>
    <w:rsid w:val="210E6980"/>
    <w:rsid w:val="22154DDD"/>
    <w:rsid w:val="22213E42"/>
    <w:rsid w:val="22336873"/>
    <w:rsid w:val="23175889"/>
    <w:rsid w:val="238C2182"/>
    <w:rsid w:val="239015D1"/>
    <w:rsid w:val="23BB4E7D"/>
    <w:rsid w:val="23C172D6"/>
    <w:rsid w:val="23F04F64"/>
    <w:rsid w:val="23F72C32"/>
    <w:rsid w:val="247051F5"/>
    <w:rsid w:val="24814CBE"/>
    <w:rsid w:val="24AC168B"/>
    <w:rsid w:val="24BF3491"/>
    <w:rsid w:val="25004EF6"/>
    <w:rsid w:val="258C3BEC"/>
    <w:rsid w:val="25E576CC"/>
    <w:rsid w:val="260E3862"/>
    <w:rsid w:val="262569FC"/>
    <w:rsid w:val="26344C98"/>
    <w:rsid w:val="26F56CE2"/>
    <w:rsid w:val="27295937"/>
    <w:rsid w:val="27435D49"/>
    <w:rsid w:val="27A34F71"/>
    <w:rsid w:val="27AA2455"/>
    <w:rsid w:val="27B36A67"/>
    <w:rsid w:val="27EB0D9B"/>
    <w:rsid w:val="286602C8"/>
    <w:rsid w:val="28665C95"/>
    <w:rsid w:val="28A64522"/>
    <w:rsid w:val="28CC5B40"/>
    <w:rsid w:val="290B3EB9"/>
    <w:rsid w:val="290D7423"/>
    <w:rsid w:val="291418C2"/>
    <w:rsid w:val="2950768C"/>
    <w:rsid w:val="29794227"/>
    <w:rsid w:val="297A5FC4"/>
    <w:rsid w:val="2A1113BC"/>
    <w:rsid w:val="2A2D408C"/>
    <w:rsid w:val="2A8B79F9"/>
    <w:rsid w:val="2A8D4F8F"/>
    <w:rsid w:val="2A911082"/>
    <w:rsid w:val="2A917B34"/>
    <w:rsid w:val="2AE3766F"/>
    <w:rsid w:val="2B7E4054"/>
    <w:rsid w:val="2BE91804"/>
    <w:rsid w:val="2BEC2B5B"/>
    <w:rsid w:val="2BF22742"/>
    <w:rsid w:val="2C987C56"/>
    <w:rsid w:val="2CFF149A"/>
    <w:rsid w:val="2D1413BC"/>
    <w:rsid w:val="2D201865"/>
    <w:rsid w:val="2D4B5CEA"/>
    <w:rsid w:val="2D65265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873E85"/>
    <w:rsid w:val="33A3154A"/>
    <w:rsid w:val="33DC2F78"/>
    <w:rsid w:val="3428227C"/>
    <w:rsid w:val="35260F83"/>
    <w:rsid w:val="35602226"/>
    <w:rsid w:val="356B72E7"/>
    <w:rsid w:val="3572424F"/>
    <w:rsid w:val="3584058A"/>
    <w:rsid w:val="35FC3844"/>
    <w:rsid w:val="366061FD"/>
    <w:rsid w:val="36723877"/>
    <w:rsid w:val="36794DEF"/>
    <w:rsid w:val="36AD519D"/>
    <w:rsid w:val="36B57705"/>
    <w:rsid w:val="374F1A0B"/>
    <w:rsid w:val="37A103ED"/>
    <w:rsid w:val="37BC3E39"/>
    <w:rsid w:val="37EA5E6E"/>
    <w:rsid w:val="37F77C8B"/>
    <w:rsid w:val="37FF016F"/>
    <w:rsid w:val="38427C0B"/>
    <w:rsid w:val="38704107"/>
    <w:rsid w:val="387C5ABE"/>
    <w:rsid w:val="389B3A1E"/>
    <w:rsid w:val="389E0191"/>
    <w:rsid w:val="38EB6119"/>
    <w:rsid w:val="394C3792"/>
    <w:rsid w:val="39916975"/>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D9748E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110038E"/>
    <w:rsid w:val="41152661"/>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161BA5"/>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A03882"/>
    <w:rsid w:val="4BFA3C9F"/>
    <w:rsid w:val="4C0E3379"/>
    <w:rsid w:val="4C107F48"/>
    <w:rsid w:val="4C3277BC"/>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86370"/>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693932"/>
    <w:rsid w:val="549A6BFA"/>
    <w:rsid w:val="54CA3D8B"/>
    <w:rsid w:val="54DA0AFD"/>
    <w:rsid w:val="54E72921"/>
    <w:rsid w:val="55806F07"/>
    <w:rsid w:val="55BF31A9"/>
    <w:rsid w:val="55FA2961"/>
    <w:rsid w:val="565E3E0E"/>
    <w:rsid w:val="565E7F4F"/>
    <w:rsid w:val="56775789"/>
    <w:rsid w:val="56857D06"/>
    <w:rsid w:val="56914056"/>
    <w:rsid w:val="569F0E63"/>
    <w:rsid w:val="56DB613D"/>
    <w:rsid w:val="56F5149D"/>
    <w:rsid w:val="56FF7082"/>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B6049E"/>
    <w:rsid w:val="5EBC56A2"/>
    <w:rsid w:val="5ED5006A"/>
    <w:rsid w:val="5EFD4926"/>
    <w:rsid w:val="5F576E4B"/>
    <w:rsid w:val="5F5D4EDE"/>
    <w:rsid w:val="5F7A2C30"/>
    <w:rsid w:val="5FBE370A"/>
    <w:rsid w:val="5FDA3132"/>
    <w:rsid w:val="60292845"/>
    <w:rsid w:val="60B16EF7"/>
    <w:rsid w:val="61027308"/>
    <w:rsid w:val="612E1A5D"/>
    <w:rsid w:val="61816046"/>
    <w:rsid w:val="61C4322D"/>
    <w:rsid w:val="62182687"/>
    <w:rsid w:val="623627B6"/>
    <w:rsid w:val="62391564"/>
    <w:rsid w:val="62816669"/>
    <w:rsid w:val="62BA0953"/>
    <w:rsid w:val="62C111E2"/>
    <w:rsid w:val="62D03A7C"/>
    <w:rsid w:val="62F16BCB"/>
    <w:rsid w:val="62F648FE"/>
    <w:rsid w:val="63341DB1"/>
    <w:rsid w:val="63447612"/>
    <w:rsid w:val="63907004"/>
    <w:rsid w:val="63A10995"/>
    <w:rsid w:val="63C23EFA"/>
    <w:rsid w:val="64255BC3"/>
    <w:rsid w:val="643A070A"/>
    <w:rsid w:val="644C573D"/>
    <w:rsid w:val="648667A7"/>
    <w:rsid w:val="64C00563"/>
    <w:rsid w:val="64DB383A"/>
    <w:rsid w:val="65032F85"/>
    <w:rsid w:val="65136B50"/>
    <w:rsid w:val="65784A67"/>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3B28A9"/>
    <w:rsid w:val="6C9C0875"/>
    <w:rsid w:val="6C9D1F03"/>
    <w:rsid w:val="6CAA3931"/>
    <w:rsid w:val="6CDE1F0E"/>
    <w:rsid w:val="6D3933CA"/>
    <w:rsid w:val="6D7B61EC"/>
    <w:rsid w:val="6DC3266E"/>
    <w:rsid w:val="6DD049FF"/>
    <w:rsid w:val="6DED694C"/>
    <w:rsid w:val="6E09491E"/>
    <w:rsid w:val="6E0D3655"/>
    <w:rsid w:val="6E276B3D"/>
    <w:rsid w:val="6E5D7B7F"/>
    <w:rsid w:val="6E5F4465"/>
    <w:rsid w:val="6E8C54DA"/>
    <w:rsid w:val="6E9C28B4"/>
    <w:rsid w:val="6EF10568"/>
    <w:rsid w:val="6EF11E03"/>
    <w:rsid w:val="6F111C62"/>
    <w:rsid w:val="6F2176E5"/>
    <w:rsid w:val="6F3053CA"/>
    <w:rsid w:val="6F592303"/>
    <w:rsid w:val="6F5F5B74"/>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8F35DE2"/>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E2142A2"/>
    <w:rsid w:val="7E4F5384"/>
    <w:rsid w:val="7E5A6DFA"/>
    <w:rsid w:val="7E7B0BF2"/>
    <w:rsid w:val="7E7C7A78"/>
    <w:rsid w:val="7E8D75B6"/>
    <w:rsid w:val="7EB2417D"/>
    <w:rsid w:val="7EE67601"/>
    <w:rsid w:val="7EF760EE"/>
    <w:rsid w:val="7F257B01"/>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8">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Body Text First Indent"/>
    <w:basedOn w:val="2"/>
    <w:next w:val="4"/>
    <w:unhideWhenUsed/>
    <w:qFormat/>
    <w:uiPriority w:val="99"/>
    <w:pPr>
      <w:ind w:firstLine="420" w:firstLineChars="100"/>
    </w:pPr>
    <w:rPr>
      <w:rFonts w:ascii="Times New Roman" w:hAnsi="Times New Roman" w:cs="Times New Roman"/>
    </w:rPr>
  </w:style>
  <w:style w:type="paragraph" w:styleId="4">
    <w:name w:val="toc 6"/>
    <w:basedOn w:val="1"/>
    <w:next w:val="1"/>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pPr>
      <w:spacing w:after="0"/>
    </w:pPr>
    <w:rPr>
      <w:sz w:val="18"/>
      <w:szCs w:val="18"/>
    </w:rPr>
  </w:style>
  <w:style w:type="paragraph" w:styleId="14">
    <w:name w:val="footer"/>
    <w:basedOn w:val="1"/>
    <w:link w:val="49"/>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pPr>
      <w:snapToGrid w:val="0"/>
      <w:jc w:val="left"/>
    </w:pPr>
    <w:rPr>
      <w:sz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6"/>
    <w:link w:val="6"/>
    <w:qFormat/>
    <w:uiPriority w:val="9"/>
    <w:rPr>
      <w:rFonts w:asciiTheme="majorHAnsi" w:hAnsiTheme="majorHAnsi" w:eastAsiaTheme="majorEastAsia" w:cstheme="majorBidi"/>
      <w:b/>
      <w:bCs/>
      <w:sz w:val="32"/>
      <w:szCs w:val="32"/>
    </w:rPr>
  </w:style>
  <w:style w:type="character" w:customStyle="1" w:styleId="34">
    <w:name w:val="标题 3 Char"/>
    <w:basedOn w:val="26"/>
    <w:link w:val="7"/>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6"/>
    <w:link w:val="8"/>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7"/>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6"/>
    <w:link w:val="11"/>
    <w:semiHidden/>
    <w:qFormat/>
    <w:uiPriority w:val="99"/>
    <w:rPr>
      <w:rFonts w:ascii="宋体" w:hAnsi="Courier New" w:eastAsia="宋体" w:cs="Courier New"/>
      <w:sz w:val="21"/>
      <w:szCs w:val="21"/>
    </w:rPr>
  </w:style>
  <w:style w:type="character" w:customStyle="1" w:styleId="48">
    <w:name w:val="页眉 Char"/>
    <w:basedOn w:val="26"/>
    <w:link w:val="15"/>
    <w:qFormat/>
    <w:uiPriority w:val="99"/>
    <w:rPr>
      <w:rFonts w:ascii="Tahoma" w:hAnsi="Tahoma"/>
      <w:sz w:val="18"/>
      <w:szCs w:val="18"/>
    </w:rPr>
  </w:style>
  <w:style w:type="character" w:customStyle="1" w:styleId="49">
    <w:name w:val="页脚 Char"/>
    <w:basedOn w:val="26"/>
    <w:link w:val="14"/>
    <w:qFormat/>
    <w:uiPriority w:val="99"/>
    <w:rPr>
      <w:rFonts w:ascii="Tahoma" w:hAnsi="Tahoma"/>
      <w:sz w:val="18"/>
      <w:szCs w:val="18"/>
    </w:rPr>
  </w:style>
  <w:style w:type="character" w:customStyle="1" w:styleId="50">
    <w:name w:val="批注框文本 Char"/>
    <w:basedOn w:val="26"/>
    <w:link w:val="13"/>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Table Paragraph"/>
    <w:basedOn w:val="1"/>
    <w:qFormat/>
    <w:uiPriority w:val="1"/>
  </w:style>
  <w:style w:type="paragraph" w:customStyle="1" w:styleId="61">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28450</Words>
  <Characters>29110</Characters>
  <Lines>264</Lines>
  <Paragraphs>74</Paragraphs>
  <TotalTime>0</TotalTime>
  <ScaleCrop>false</ScaleCrop>
  <LinksUpToDate>false</LinksUpToDate>
  <CharactersWithSpaces>31359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2024-12-23T03:29:22Z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EDA76340EDF64C6D9EE0A2B415EB7E0A_13</vt:lpwstr>
  </property>
</Properties>
</file>