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441900036-2024-00645</w:t>
      </w:r>
    </w:p>
    <w:p>
      <w:pPr>
        <w:pStyle w:val="null3"/>
        <w:jc w:val="center"/>
        <w:outlineLvl w:val="3"/>
      </w:pPr>
      <w:r>
        <w:rPr>
          <w:sz w:val="24"/>
          <w:b/>
        </w:rPr>
        <w:t>采购项目编号：</w:t>
      </w:r>
      <w:r>
        <w:rPr>
          <w:sz w:val="24"/>
          <w:b/>
        </w:rPr>
        <w:t>441900036-2024-00645</w:t>
      </w:r>
    </w:p>
    <w:p>
      <w:pPr>
        <w:pStyle w:val="null3"/>
        <w:jc w:val="center"/>
        <w:outlineLvl w:val="3"/>
      </w:pPr>
      <w:r>
        <w:rPr>
          <w:sz w:val="24"/>
          <w:b/>
        </w:rPr>
        <w:t>项目名称：</w:t>
      </w:r>
      <w:r>
        <w:rPr>
          <w:sz w:val="24"/>
          <w:b/>
        </w:rPr>
        <w:t>东莞市公安局交通警察支队高埗大队扣押车场保管服务、拖车服务项目</w:t>
      </w:r>
    </w:p>
    <w:p>
      <w:pPr>
        <w:pStyle w:val="null3"/>
        <w:jc w:val="center"/>
        <w:outlineLvl w:val="3"/>
      </w:pPr>
      <w:r>
        <w:rPr>
          <w:sz w:val="24"/>
          <w:b/>
        </w:rPr>
        <w:t>采购人：</w:t>
      </w:r>
      <w:r>
        <w:rPr>
          <w:sz w:val="24"/>
          <w:b/>
        </w:rPr>
        <w:t>东莞市公安局交通警察支队高埗大队</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东莞市公安局交通警察支队高埗大队</w:t>
      </w:r>
      <w:r>
        <w:rPr/>
        <w:t>的委托，采用</w:t>
      </w:r>
      <w:r>
        <w:rPr/>
        <w:t>公开招标</w:t>
      </w:r>
      <w:r>
        <w:rPr/>
        <w:t>方式组织采购</w:t>
      </w:r>
      <w:r>
        <w:rPr/>
        <w:t>东莞市公安局交通警察支队高埗大队扣押车场保管服务、拖车服务项目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东莞市公安局交通警察支队高埗大队扣押车场保管服务、拖车服务项目</w:t>
      </w:r>
    </w:p>
    <w:p>
      <w:pPr>
        <w:pStyle w:val="null3"/>
        <w:ind w:firstLine="480"/>
      </w:pPr>
      <w:r>
        <w:rPr/>
        <w:t>采购计划编号：</w:t>
      </w:r>
      <w:r>
        <w:rPr/>
        <w:t>441900036-2024-00645</w:t>
      </w:r>
    </w:p>
    <w:p>
      <w:pPr>
        <w:pStyle w:val="null3"/>
        <w:ind w:firstLine="480"/>
      </w:pPr>
      <w:r>
        <w:rPr/>
        <w:t>采购项目编号：</w:t>
      </w:r>
      <w:r>
        <w:rPr/>
        <w:t>441900036-2024-00645</w:t>
      </w:r>
    </w:p>
    <w:p>
      <w:pPr>
        <w:pStyle w:val="null3"/>
        <w:ind w:firstLine="480"/>
      </w:pPr>
      <w:r>
        <w:rPr/>
        <w:t>采购方式：</w:t>
      </w:r>
      <w:r>
        <w:rPr/>
        <w:t>公开招标</w:t>
      </w:r>
    </w:p>
    <w:p>
      <w:pPr>
        <w:pStyle w:val="null3"/>
        <w:ind w:firstLine="480"/>
      </w:pPr>
      <w:r>
        <w:rPr/>
        <w:t>预算金额：</w:t>
      </w:r>
      <w:r>
        <w:rPr/>
        <w:t>1,180,000.00</w:t>
      </w:r>
      <w:r>
        <w:rPr/>
        <w:t>元</w:t>
      </w:r>
    </w:p>
    <w:p>
      <w:pPr>
        <w:pStyle w:val="null3"/>
        <w:outlineLvl w:val="3"/>
      </w:pPr>
      <w:r>
        <w:rPr>
          <w:sz w:val="24"/>
          <w:b/>
        </w:rPr>
        <w:t>2.项目内容及需求情况（采购项目技术规格、参数及要求）</w:t>
      </w:r>
    </w:p>
    <w:p>
      <w:pPr>
        <w:pStyle w:val="null3"/>
      </w:pPr>
      <w:r>
        <w:rPr/>
        <w:t>采购包1(东莞市公安局交通警察支队高埗大队扣押车场保管服务、拖车服务项目):</w:t>
      </w:r>
    </w:p>
    <w:p>
      <w:pPr>
        <w:pStyle w:val="null3"/>
      </w:pPr>
      <w:r>
        <w:rPr/>
        <w:t>采购包预算金额：1,180,000.00元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东莞市公安局交通警察支队高埗大队扣押车场保管服务、拖车服务项目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1,180,000.00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合同履行期限：自合同签订之日起两年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采购包1（东莞市公安局交通警察支队高埗大队扣押车场保管服务、拖车服务项目）：</w:t>
      </w:r>
      <w:r>
        <w:rPr/>
        <w:t>本项目整体专门面向中小企业采购。供应商须符合本项目采购标的对应行业（本项目行业为：租赁和商务服务）的政策划分标准。监狱企业、残疾人福利单位视同小型、微型企业。（注：中小企业以供应商填写的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采购包1（东莞市公安局交通警察支队高埗大队扣押车场保管服务、拖车服务项目）：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东莞市公安局交通警察支队高埗大队</w:t>
      </w:r>
    </w:p>
    <w:p>
      <w:pPr>
        <w:pStyle w:val="null3"/>
        <w:ind w:firstLine="480"/>
      </w:pPr>
      <w:r>
        <w:rPr/>
        <w:t xml:space="preserve"> 地址：</w:t>
      </w:r>
      <w:r>
        <w:rPr/>
        <w:t>东莞市高埗镇高埗大道186号</w:t>
      </w:r>
    </w:p>
    <w:p>
      <w:pPr>
        <w:pStyle w:val="null3"/>
        <w:ind w:firstLine="480"/>
      </w:pPr>
      <w:r>
        <w:rPr/>
        <w:t xml:space="preserve"> 联系方式：</w:t>
      </w:r>
      <w:r>
        <w:rPr/>
        <w:t>0769-88872832</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东莞市公安局交通警察支队高埗大队扣押车场保管服务、拖车服务项目</w:t>
      </w:r>
      <w:r>
        <w:rPr>
          <w:sz w:val="21"/>
        </w:rPr>
        <w:t>。</w:t>
      </w:r>
    </w:p>
    <w:p>
      <w:pPr>
        <w:pStyle w:val="null3"/>
      </w:pPr>
      <w:r>
        <w:rPr/>
        <w:t>采购包1（东莞市公安局交通警察支队高埗大队扣押车场保管服务、拖车服务项目）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自合同签订之日起两年</w:t>
            </w:r>
          </w:p>
        </w:tc>
      </w:tr>
      <w:tr>
        <w:tc>
          <w:tcPr>
            <w:tcW w:type="dxa" w:w="4153"/>
          </w:tcPr>
          <w:p>
            <w:pPr>
              <w:pStyle w:val="null3"/>
            </w:pPr>
            <w:r>
              <w:rPr/>
              <w:t>标的提供的地点</w:t>
            </w:r>
          </w:p>
        </w:tc>
        <w:tc>
          <w:tcPr>
            <w:tcW w:type="dxa" w:w="4153"/>
          </w:tcPr>
          <w:p>
            <w:pPr>
              <w:pStyle w:val="null3"/>
            </w:pPr>
            <w:r>
              <w:rPr/>
              <w:t>东莞市内。</w:t>
            </w:r>
          </w:p>
        </w:tc>
      </w:tr>
      <w:tr>
        <w:tc>
          <w:tcPr>
            <w:tcW w:type="dxa" w:w="4153"/>
          </w:tcPr>
          <w:p>
            <w:pPr>
              <w:pStyle w:val="null3"/>
            </w:pPr>
            <w:r>
              <w:rPr/>
              <w:t>付款方式</w:t>
            </w:r>
          </w:p>
        </w:tc>
        <w:tc>
          <w:tcPr>
            <w:tcW w:type="dxa" w:w="4153"/>
          </w:tcPr>
          <w:p>
            <w:pPr>
              <w:pStyle w:val="null3"/>
            </w:pPr>
            <w:r>
              <w:rPr/>
              <w:t>1期：支付比例100%,1.采购人按季度支付费用给中标人，中标人完成上一季度服务后，采购人根据考核结果于本季度第一个月10日前向中标人结算上一个季度的服务费，如中标人季度考核分数低于考核标准，则按考核标准扣减后的金额计算服务费。2.本项目的服务费用为财政性资金，相关付款应遵守东莞市财政资金支付程序规定，采购人按时向财政办理付款手续即视为完成付款义务。如因执行该程序而使拨款未能及时到位，中标人不得以此为由而不履行本合同规定的义务，也不得以此追究采购人任何形式的违约责任，若中标人以此为由不履行本合同规定的义务的，属于中标人违约。3.在采购人付款前，中标人须提交请款报告及出具有效服务发票，中标人开出的所有发票都须与其的单位名称一致，中标人未及时提交相关资料的，采购人有权顺延付款时间，由此产生的损失和责任由中标人自行承担。</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1期：（1）按国家标准和行业规范及招标文件规定进行验收。 （2）由采购人或采购人指定的单位与中标人共同进行。 （3）在验收时，中标人应向采购人提供服务的相关资料（如《季度服务考核表》等）按用户需求和合同要求验收。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投标报价为包干价，已包括税费（在中国境内、外发生的与本次采购执行有关的一切税费均由中标人负担）、拖车管理服务费用、场地管理服务费用、场地运营维护费用、场地运营人员费用和履行本次采购产生的其他不可预见费用等。</w:t>
            </w:r>
          </w:p>
          <w:p>
            <w:pPr>
              <w:pStyle w:val="null3"/>
            </w:pPr>
            <w:r>
              <w:rPr/>
              <w:t>2，投标人应充分结合本招标文件上下文了解项目招标需求、采购文件未尽事宜，将在合同签订或项目执行过程中双方协商确定，供应商须无条件满足采购单位的合理要求。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东莞市公安局交通警察支队高埗大队扣押车场保管服务、拖车服务项目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1,180,000.00</w:t>
            </w:r>
          </w:p>
        </w:tc>
        <w:tc>
          <w:tcPr>
            <w:tcW w:type="dxa" w:w="933"/>
          </w:tcPr>
          <w:p>
            <w:pPr>
              <w:pStyle w:val="null3"/>
              <w:jc w:val="right"/>
            </w:pPr>
            <w:r>
              <w:rPr/>
              <w:t>1,180,000.00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东莞市公安局交通警察支队高埗大队扣押车场保管服务、拖车服务项目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both"/>
            </w:pPr>
            <w:r>
              <w:rPr>
                <w:sz w:val="21"/>
              </w:rPr>
              <w:t>一、服务要求</w:t>
            </w:r>
          </w:p>
          <w:p>
            <w:pPr>
              <w:pStyle w:val="null3"/>
              <w:ind w:firstLine="420"/>
              <w:jc w:val="both"/>
            </w:pPr>
            <w:r>
              <w:rPr>
                <w:sz w:val="21"/>
              </w:rPr>
              <w:t>1.现有场地配置：</w:t>
            </w:r>
          </w:p>
          <w:p>
            <w:pPr>
              <w:pStyle w:val="null3"/>
              <w:ind w:firstLine="420"/>
              <w:jc w:val="both"/>
            </w:pPr>
            <w:r>
              <w:rPr>
                <w:sz w:val="21"/>
              </w:rPr>
              <w:t>（</w:t>
            </w:r>
            <w:r>
              <w:rPr>
                <w:sz w:val="21"/>
              </w:rPr>
              <w:t>1）场地概况：东莞市公安局交通警察支队</w:t>
            </w:r>
            <w:r>
              <w:rPr>
                <w:sz w:val="21"/>
              </w:rPr>
              <w:t>高埗</w:t>
            </w:r>
            <w:r>
              <w:rPr>
                <w:sz w:val="21"/>
              </w:rPr>
              <w:t>大队涉案车辆扣押场地，用作日常执法查扣违法车辆及交通事故车辆等停放场地。场地位于</w:t>
            </w:r>
            <w:r>
              <w:rPr>
                <w:sz w:val="21"/>
              </w:rPr>
              <w:t>高埗镇振兴二环路快乐时光幼儿园对面地块，产权属高埗镇下江城村民委员会，由</w:t>
            </w:r>
            <w:r>
              <w:rPr>
                <w:sz w:val="21"/>
              </w:rPr>
              <w:t>采购人及中标人与村委会签定租赁协议，停车场地由采购人及中标人双方协商管理场地面积及布局。</w:t>
            </w:r>
          </w:p>
          <w:p>
            <w:pPr>
              <w:pStyle w:val="null3"/>
              <w:ind w:firstLine="420"/>
              <w:jc w:val="both"/>
            </w:pPr>
            <w:r>
              <w:rPr>
                <w:sz w:val="21"/>
              </w:rPr>
              <w:t>（</w:t>
            </w:r>
            <w:r>
              <w:rPr>
                <w:sz w:val="21"/>
              </w:rPr>
              <w:t>2）停车场四周建有封闭式的围墙，进行封闭管理，场内地面需夯实平整，预留排水槽及排水口，防止场内积水。</w:t>
            </w:r>
          </w:p>
          <w:p>
            <w:pPr>
              <w:pStyle w:val="null3"/>
              <w:ind w:firstLine="420"/>
              <w:jc w:val="both"/>
            </w:pPr>
            <w:r>
              <w:rPr>
                <w:sz w:val="21"/>
              </w:rPr>
              <w:t>（</w:t>
            </w:r>
            <w:r>
              <w:rPr>
                <w:sz w:val="21"/>
              </w:rPr>
              <w:t>4</w:t>
            </w:r>
            <w:r>
              <w:rPr>
                <w:sz w:val="21"/>
              </w:rPr>
              <w:t>）停车场必须安装视频监控（监控辐射停车场全方位，不留死角），监控探头的分辨率</w:t>
            </w:r>
            <w:r>
              <w:rPr>
                <w:sz w:val="21"/>
              </w:rPr>
              <w:t>≥1280X720P高清夜视探头，以便监管和及时处理突发事件。监控保存时间至少3个月</w:t>
            </w:r>
            <w:r>
              <w:rPr>
                <w:sz w:val="21"/>
              </w:rPr>
              <w:t>。</w:t>
            </w:r>
          </w:p>
          <w:p>
            <w:pPr>
              <w:pStyle w:val="null3"/>
              <w:ind w:firstLine="420"/>
              <w:jc w:val="both"/>
            </w:pPr>
            <w:r>
              <w:rPr>
                <w:sz w:val="21"/>
              </w:rPr>
              <w:t>（</w:t>
            </w:r>
            <w:r>
              <w:rPr>
                <w:sz w:val="21"/>
              </w:rPr>
              <w:t>5</w:t>
            </w:r>
            <w:r>
              <w:rPr>
                <w:sz w:val="21"/>
              </w:rPr>
              <w:t>）在服务期间信息系统及检测设备符合《东莞市交警支队管理信息系统技术指南》所需要求。</w:t>
            </w:r>
          </w:p>
          <w:p>
            <w:pPr>
              <w:pStyle w:val="null3"/>
              <w:ind w:firstLine="420"/>
              <w:jc w:val="both"/>
            </w:pPr>
            <w:r>
              <w:rPr>
                <w:sz w:val="21"/>
              </w:rPr>
              <w:t>2.中标人提供以下配套运营管理服务：</w:t>
            </w:r>
          </w:p>
          <w:p>
            <w:pPr>
              <w:pStyle w:val="null3"/>
              <w:ind w:firstLine="420"/>
            </w:pPr>
            <w:r>
              <w:rPr>
                <w:sz w:val="21"/>
              </w:rPr>
              <w:t>（</w:t>
            </w:r>
            <w:r>
              <w:rPr>
                <w:sz w:val="21"/>
              </w:rPr>
              <w:t>1</w:t>
            </w:r>
            <w:r>
              <w:rPr>
                <w:sz w:val="21"/>
              </w:rPr>
              <w:t>）</w:t>
            </w:r>
            <w:r>
              <w:rPr>
                <w:sz w:val="21"/>
              </w:rPr>
              <w:t>安排两个停车场管理员及拖车管理员同时值班，</w:t>
            </w:r>
            <w:r>
              <w:rPr>
                <w:sz w:val="21"/>
              </w:rPr>
              <w:t>24小时两班倒服务。</w:t>
            </w:r>
          </w:p>
          <w:p>
            <w:pPr>
              <w:pStyle w:val="null3"/>
              <w:ind w:firstLine="420"/>
            </w:pPr>
            <w:r>
              <w:rPr>
                <w:sz w:val="21"/>
              </w:rPr>
              <w:t>（</w:t>
            </w:r>
            <w:r>
              <w:rPr>
                <w:sz w:val="21"/>
              </w:rPr>
              <w:t>2）采取封闭式管理，做好车辆入场登记，严格按公安机关涉案扣押车场管理规定落实管理措施，根据实际情况和车辆的实际车况做好（车场放行条）的登记，并对登记的情况负责。</w:t>
            </w:r>
          </w:p>
          <w:p>
            <w:pPr>
              <w:pStyle w:val="null3"/>
              <w:ind w:firstLine="420"/>
            </w:pPr>
            <w:r>
              <w:rPr>
                <w:sz w:val="21"/>
              </w:rPr>
              <w:t>（</w:t>
            </w:r>
            <w:r>
              <w:rPr>
                <w:sz w:val="21"/>
              </w:rPr>
              <w:t>3）安排人员每周至少做一次办公区及场地保洁工作，保持室内及场地清洁。</w:t>
            </w:r>
          </w:p>
          <w:p>
            <w:pPr>
              <w:pStyle w:val="null3"/>
              <w:ind w:firstLine="420"/>
            </w:pPr>
            <w:r>
              <w:rPr>
                <w:sz w:val="21"/>
              </w:rPr>
              <w:t>（</w:t>
            </w:r>
            <w:r>
              <w:rPr>
                <w:sz w:val="21"/>
              </w:rPr>
              <w:t>4）把场地内明确划分为停车区、办公区、休息区等，停车场地面应该较平整，且做好地基夯实工程，保证入场车辆在场地内可正常行驶。</w:t>
            </w:r>
          </w:p>
          <w:p>
            <w:pPr>
              <w:pStyle w:val="null3"/>
              <w:ind w:firstLine="420"/>
            </w:pPr>
            <w:r>
              <w:rPr>
                <w:sz w:val="21"/>
              </w:rPr>
              <w:t>（</w:t>
            </w:r>
            <w:r>
              <w:rPr>
                <w:sz w:val="21"/>
              </w:rPr>
              <w:t>5）定期清理杂草，保持场地整洁;配备照明设备，保证24小时能在场地内安全开展工作。</w:t>
            </w:r>
          </w:p>
          <w:p>
            <w:pPr>
              <w:pStyle w:val="null3"/>
              <w:ind w:firstLine="420"/>
            </w:pPr>
            <w:r>
              <w:rPr>
                <w:sz w:val="21"/>
              </w:rPr>
              <w:t>（</w:t>
            </w:r>
            <w:r>
              <w:rPr>
                <w:sz w:val="21"/>
              </w:rPr>
              <w:t>6）每天早、中、晚各一次全场巡逻检查停车场情况，发现情况及时与采购人联系</w:t>
            </w:r>
            <w:r>
              <w:rPr>
                <w:sz w:val="21"/>
              </w:rPr>
              <w:t>。</w:t>
            </w:r>
          </w:p>
          <w:p>
            <w:pPr>
              <w:pStyle w:val="null3"/>
              <w:jc w:val="both"/>
            </w:pPr>
            <w:r>
              <w:rPr>
                <w:sz w:val="21"/>
              </w:rPr>
              <w:t>（</w:t>
            </w:r>
            <w:r>
              <w:rPr>
                <w:sz w:val="21"/>
              </w:rPr>
              <w:t>7）积极履行保管职责诚信经营，妥善保管暂扣的车辆涉案车辆及其车上的物品，严防发生损坏、被盗等事故。车辆及其车上物品发生损坏，停车场应负全部赔偿责任。</w:t>
            </w:r>
          </w:p>
        </w:tc>
      </w:tr>
      <w:tr>
        <w:tc>
          <w:tcPr>
            <w:tcW w:type="dxa" w:w="2076"/>
          </w:tcPr>
          <w:p/>
        </w:tc>
        <w:tc>
          <w:tcPr>
            <w:tcW w:type="dxa" w:w="415"/>
          </w:tcPr>
          <w:p>
            <w:pPr>
              <w:pStyle w:val="null3"/>
            </w:pPr>
            <w:r>
              <w:rPr/>
              <w:t>2</w:t>
            </w:r>
          </w:p>
        </w:tc>
        <w:tc>
          <w:tcPr>
            <w:tcW w:type="dxa" w:w="5814"/>
          </w:tcPr>
          <w:p>
            <w:pPr>
              <w:pStyle w:val="null3"/>
              <w:ind w:firstLine="480"/>
              <w:jc w:val="both"/>
            </w:pPr>
            <w:r>
              <w:rPr>
                <w:sz w:val="21"/>
              </w:rPr>
              <w:t>二、人员及设备要求</w:t>
            </w:r>
          </w:p>
          <w:tbl>
            <w:tblPr>
              <w:tblInd w:type="dxa" w:w="240"/>
              <w:tblBorders>
                <w:top w:val="none" w:color="000000" w:sz="4"/>
                <w:left w:val="none" w:color="000000" w:sz="4"/>
                <w:bottom w:val="none" w:color="000000" w:sz="4"/>
                <w:right w:val="none" w:color="000000" w:sz="4"/>
                <w:insideH w:val="none"/>
                <w:insideV w:val="none"/>
              </w:tblBorders>
            </w:tblPr>
            <w:tblGrid>
              <w:gridCol w:w="562"/>
              <w:gridCol w:w="1870"/>
              <w:gridCol w:w="1138"/>
              <w:gridCol w:w="2027"/>
            </w:tblGrid>
            <w:tr>
              <w:tc>
                <w:tcPr>
                  <w:tcW w:type="dxa" w:w="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8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岗位名称</w:t>
                  </w:r>
                </w:p>
              </w:tc>
              <w:tc>
                <w:tcPr>
                  <w:tcW w:type="dxa" w:w="1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数量（名）</w:t>
                  </w:r>
                </w:p>
              </w:tc>
              <w:tc>
                <w:tcPr>
                  <w:tcW w:type="dxa" w:w="2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拖车司机</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具备</w:t>
                  </w:r>
                  <w:r>
                    <w:rPr>
                      <w:sz w:val="21"/>
                    </w:rPr>
                    <w:t>A2或以上驾驶证</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管理员</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车辆资料统计员</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车辆拓印</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电脑系统工作人员</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保安</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rPr>
              <w:t>1.中标人配备专业的工作人员管理停车场，工作人员必须保持相对的稳定，不频繁流动，无违法犯罪记录。</w:t>
            </w:r>
          </w:p>
          <w:p>
            <w:pPr>
              <w:pStyle w:val="null3"/>
              <w:ind w:firstLine="420"/>
              <w:jc w:val="both"/>
            </w:pPr>
            <w:r>
              <w:rPr>
                <w:sz w:val="21"/>
              </w:rPr>
              <w:t>2.如中标人有违反相关规定及法规的，采购人有权要求更换人员，中标人须在3天内更换新的人员。</w:t>
            </w:r>
          </w:p>
          <w:p>
            <w:pPr>
              <w:pStyle w:val="null3"/>
              <w:ind w:firstLine="420"/>
              <w:jc w:val="both"/>
            </w:pPr>
            <w:r>
              <w:rPr>
                <w:sz w:val="21"/>
              </w:rPr>
              <w:t>3.中标人须提供4辆拖车，且至少一辆拖车能够拖总质量12吨或以上，拖车用于拖拽查扣的交通违法和交通事故车辆进入停车场。</w:t>
            </w:r>
          </w:p>
          <w:p>
            <w:pPr>
              <w:pStyle w:val="null3"/>
              <w:ind w:firstLine="420"/>
              <w:jc w:val="both"/>
            </w:pPr>
            <w:r>
              <w:rPr>
                <w:sz w:val="21"/>
              </w:rPr>
              <w:t>4.中标人须确保所提供的岗位人员具备相关工作经验能够胜任工作，全天候24小时提供服务。</w:t>
            </w:r>
          </w:p>
          <w:p>
            <w:pPr>
              <w:pStyle w:val="null3"/>
              <w:jc w:val="both"/>
            </w:pPr>
            <w:r>
              <w:rPr>
                <w:sz w:val="21"/>
              </w:rPr>
              <w:t>5.如出现事故车辆重量较重，导致中标人配备的拖车无法拖走的，由中标人自行解决相关问题，可委派能够拖较重车辆的第三方服务，由此产生的费用由中标人承担。</w:t>
            </w:r>
          </w:p>
        </w:tc>
      </w:tr>
      <w:tr>
        <w:tc>
          <w:tcPr>
            <w:tcW w:type="dxa" w:w="2076"/>
          </w:tcPr>
          <w:p/>
        </w:tc>
        <w:tc>
          <w:tcPr>
            <w:tcW w:type="dxa" w:w="415"/>
          </w:tcPr>
          <w:p>
            <w:pPr>
              <w:pStyle w:val="null3"/>
            </w:pPr>
            <w:r>
              <w:rPr/>
              <w:t>3</w:t>
            </w:r>
          </w:p>
        </w:tc>
        <w:tc>
          <w:tcPr>
            <w:tcW w:type="dxa" w:w="5814"/>
          </w:tcPr>
          <w:p>
            <w:pPr>
              <w:pStyle w:val="null3"/>
              <w:ind w:firstLine="480"/>
              <w:jc w:val="both"/>
            </w:pPr>
            <w:r>
              <w:rPr>
                <w:sz w:val="21"/>
              </w:rPr>
              <w:t>三、投标人需根据本项目采购需求有关内容和要求在投标文件中提供以下技术方案：</w:t>
            </w:r>
          </w:p>
          <w:p>
            <w:pPr>
              <w:pStyle w:val="null3"/>
              <w:ind w:firstLine="480"/>
              <w:jc w:val="both"/>
            </w:pPr>
            <w:r>
              <w:rPr>
                <w:sz w:val="21"/>
              </w:rPr>
              <w:t xml:space="preserve"> </w:t>
            </w:r>
            <w:r>
              <w:rPr>
                <w:sz w:val="21"/>
              </w:rPr>
              <w:t>1.总体服务方案，包括但不限于日常管理、门卫安排、车辆进出场交接和安排等；</w:t>
            </w:r>
          </w:p>
          <w:p>
            <w:pPr>
              <w:pStyle w:val="null3"/>
              <w:ind w:firstLine="480"/>
              <w:jc w:val="both"/>
            </w:pPr>
            <w:r>
              <w:rPr>
                <w:sz w:val="21"/>
              </w:rPr>
              <w:t xml:space="preserve"> </w:t>
            </w:r>
            <w:r>
              <w:rPr>
                <w:sz w:val="21"/>
              </w:rPr>
              <w:t>2.质量保证措施方案，包括但不限于停车场管理、人员执行能力、场地运转、拖车服务、车辆保管和处置等情况；</w:t>
            </w:r>
          </w:p>
          <w:p>
            <w:pPr>
              <w:pStyle w:val="null3"/>
              <w:ind w:firstLine="480"/>
              <w:jc w:val="both"/>
            </w:pPr>
            <w:r>
              <w:rPr>
                <w:sz w:val="21"/>
              </w:rPr>
              <w:t xml:space="preserve"> </w:t>
            </w:r>
            <w:r>
              <w:rPr>
                <w:sz w:val="21"/>
              </w:rPr>
              <w:t>3.管理制度方案，包括但不限于规章管理制度、档案管理制度、项目管理架构等；</w:t>
            </w:r>
          </w:p>
          <w:p>
            <w:pPr>
              <w:pStyle w:val="null3"/>
              <w:ind w:firstLine="480"/>
              <w:jc w:val="both"/>
            </w:pPr>
            <w:r>
              <w:rPr>
                <w:sz w:val="21"/>
              </w:rPr>
              <w:t xml:space="preserve"> </w:t>
            </w:r>
            <w:r>
              <w:rPr>
                <w:sz w:val="21"/>
              </w:rPr>
              <w:t>4.应急措施预案，应包含应急响应流程、人员职责分工、救援设备和物资清单以及与相关部门的联动机制；</w:t>
            </w:r>
          </w:p>
          <w:p>
            <w:pPr>
              <w:pStyle w:val="null3"/>
              <w:jc w:val="both"/>
            </w:pPr>
            <w:r>
              <w:rPr>
                <w:sz w:val="21"/>
              </w:rPr>
              <w:t xml:space="preserve"> 5.岗位人员配备方案，包括但不限于各岗位人员数量配备、经验、服务时间安排，岗位职责分工等。</w:t>
            </w:r>
          </w:p>
        </w:tc>
      </w:tr>
      <w:tr>
        <w:tc>
          <w:tcPr>
            <w:tcW w:type="dxa" w:w="2076"/>
          </w:tcPr>
          <w:p/>
        </w:tc>
        <w:tc>
          <w:tcPr>
            <w:tcW w:type="dxa" w:w="415"/>
          </w:tcPr>
          <w:p>
            <w:pPr>
              <w:pStyle w:val="null3"/>
            </w:pPr>
            <w:r>
              <w:rPr/>
              <w:t>4</w:t>
            </w:r>
          </w:p>
        </w:tc>
        <w:tc>
          <w:tcPr>
            <w:tcW w:type="dxa" w:w="5814"/>
          </w:tcPr>
          <w:p>
            <w:pPr>
              <w:pStyle w:val="null3"/>
              <w:ind w:firstLine="480"/>
              <w:jc w:val="both"/>
            </w:pPr>
            <w:r>
              <w:rPr>
                <w:sz w:val="21"/>
              </w:rPr>
              <w:t>四、考核要求</w:t>
            </w:r>
          </w:p>
          <w:p>
            <w:pPr>
              <w:pStyle w:val="null3"/>
              <w:ind w:firstLine="420"/>
              <w:jc w:val="both"/>
            </w:pPr>
            <w:r>
              <w:rPr>
                <w:sz w:val="21"/>
              </w:rPr>
              <w:t>根据中标人制定的质量保证措施方案，结合《季度服务考核表》执行情况评价中标人的服务质量：</w:t>
            </w:r>
          </w:p>
          <w:p>
            <w:pPr>
              <w:pStyle w:val="null3"/>
              <w:ind w:firstLine="480"/>
              <w:jc w:val="center"/>
            </w:pPr>
            <w:r>
              <w:rPr>
                <w:sz w:val="21"/>
                <w:b/>
              </w:rPr>
              <w:t>季度服务考核表</w:t>
            </w:r>
          </w:p>
          <w:tbl>
            <w:tblPr>
              <w:tblInd w:type="dxa" w:w="120"/>
              <w:tblBorders>
                <w:top w:val="none" w:color="000000" w:sz="4"/>
                <w:left w:val="none" w:color="000000" w:sz="4"/>
                <w:bottom w:val="none" w:color="000000" w:sz="4"/>
                <w:right w:val="none" w:color="000000" w:sz="4"/>
                <w:insideH w:val="none"/>
                <w:insideV w:val="none"/>
              </w:tblBorders>
            </w:tblPr>
            <w:tblGrid>
              <w:gridCol w:w="633"/>
              <w:gridCol w:w="633"/>
              <w:gridCol w:w="633"/>
              <w:gridCol w:w="1244"/>
              <w:gridCol w:w="1255"/>
              <w:gridCol w:w="526"/>
              <w:gridCol w:w="645"/>
            </w:tblGrid>
            <w:tr>
              <w:tc>
                <w:tcPr>
                  <w:tcW w:type="dxa" w:w="5569"/>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考核单位：</w:t>
                  </w:r>
                  <w:r>
                    <w:rPr>
                      <w:sz w:val="21"/>
                    </w:rPr>
                    <w:t xml:space="preserve">                               </w:t>
                  </w:r>
                  <w:r>
                    <w:rPr>
                      <w:sz w:val="21"/>
                    </w:rPr>
                    <w:t>被考核单位：</w:t>
                  </w: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情况</w:t>
                  </w:r>
                </w:p>
              </w:tc>
              <w:tc>
                <w:tcPr>
                  <w:tcW w:type="dxa" w:w="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分项</w:t>
                  </w:r>
                </w:p>
              </w:tc>
              <w:tc>
                <w:tcPr>
                  <w:tcW w:type="dxa" w:w="1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评价标准</w:t>
                  </w:r>
                </w:p>
              </w:tc>
              <w:tc>
                <w:tcPr>
                  <w:tcW w:type="dxa" w:w="1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评价</w:t>
                  </w:r>
                </w:p>
              </w:tc>
              <w:tc>
                <w:tcPr>
                  <w:tcW w:type="dxa" w:w="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c>
                <w:tcPr>
                  <w:tcW w:type="dxa" w:w="6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6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服务人员情况</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人员配备情况</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停车场管理人员储备数量及在岗在位</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□优秀（5分）</w:t>
                  </w:r>
                </w:p>
                <w:p>
                  <w:pPr>
                    <w:pStyle w:val="null3"/>
                    <w:jc w:val="both"/>
                  </w:pPr>
                  <w:r>
                    <w:rPr>
                      <w:sz w:val="21"/>
                    </w:rPr>
                    <w:t>□良好（3分）</w:t>
                  </w:r>
                </w:p>
                <w:p>
                  <w:pPr>
                    <w:pStyle w:val="null3"/>
                    <w:jc w:val="both"/>
                  </w:pPr>
                  <w:r>
                    <w:rPr>
                      <w:sz w:val="21"/>
                    </w:rPr>
                    <w:t>□一般（1分）</w:t>
                  </w:r>
                </w:p>
                <w:p>
                  <w:pPr>
                    <w:pStyle w:val="null3"/>
                    <w:jc w:val="both"/>
                  </w:pPr>
                  <w:r>
                    <w:rPr>
                      <w:sz w:val="21"/>
                    </w:rPr>
                    <w:t>□差（0分）</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3"/>
                  <w:vMerge/>
                  <w:tcBorders>
                    <w:top w:val="none" w:color="000000" w:sz="4"/>
                    <w:left w:val="single" w:color="000000" w:sz="4"/>
                    <w:bottom w:val="single" w:color="000000" w:sz="4"/>
                    <w:right w:val="single" w:color="000000" w:sz="4"/>
                  </w:tcBorders>
                </w:tcPr>
                <w:p/>
              </w:tc>
              <w:tc>
                <w:tcPr>
                  <w:tcW w:type="dxa" w:w="633"/>
                  <w:vMerge/>
                  <w:tcBorders>
                    <w:top w:val="none" w:color="000000" w:sz="4"/>
                    <w:left w:val="none" w:color="000000" w:sz="4"/>
                    <w:bottom w:val="single" w:color="000000" w:sz="4"/>
                    <w:right w:val="single" w:color="000000" w:sz="4"/>
                  </w:tcBorders>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人员业务能力</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停车场管理人员规范业务处置、业务水平，遵守规章制度</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□优秀（5分）</w:t>
                  </w:r>
                </w:p>
                <w:p>
                  <w:pPr>
                    <w:pStyle w:val="null3"/>
                    <w:jc w:val="both"/>
                  </w:pPr>
                  <w:r>
                    <w:rPr>
                      <w:sz w:val="21"/>
                    </w:rPr>
                    <w:t>□良好（3分）</w:t>
                  </w:r>
                </w:p>
                <w:p>
                  <w:pPr>
                    <w:pStyle w:val="null3"/>
                    <w:jc w:val="both"/>
                  </w:pPr>
                  <w:r>
                    <w:rPr>
                      <w:sz w:val="21"/>
                    </w:rPr>
                    <w:t>□一般（1分）</w:t>
                  </w:r>
                </w:p>
                <w:p>
                  <w:pPr>
                    <w:pStyle w:val="null3"/>
                    <w:jc w:val="both"/>
                  </w:pPr>
                  <w:r>
                    <w:rPr>
                      <w:sz w:val="21"/>
                    </w:rPr>
                    <w:t>□差（0分）</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场地运转情况</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场地基本情况</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场地平整，相关构筑物完好</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□优秀（5分）</w:t>
                  </w:r>
                </w:p>
                <w:p>
                  <w:pPr>
                    <w:pStyle w:val="null3"/>
                    <w:jc w:val="both"/>
                  </w:pPr>
                  <w:r>
                    <w:rPr>
                      <w:sz w:val="21"/>
                    </w:rPr>
                    <w:t>□良好（3分）</w:t>
                  </w:r>
                </w:p>
                <w:p>
                  <w:pPr>
                    <w:pStyle w:val="null3"/>
                    <w:jc w:val="both"/>
                  </w:pPr>
                  <w:r>
                    <w:rPr>
                      <w:sz w:val="21"/>
                    </w:rPr>
                    <w:t>□一般（1分）</w:t>
                  </w:r>
                </w:p>
                <w:p>
                  <w:pPr>
                    <w:pStyle w:val="null3"/>
                    <w:jc w:val="both"/>
                  </w:pPr>
                  <w:r>
                    <w:rPr>
                      <w:sz w:val="21"/>
                    </w:rPr>
                    <w:t>□差（0分）</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3"/>
                  <w:vMerge/>
                  <w:tcBorders>
                    <w:top w:val="none" w:color="000000" w:sz="4"/>
                    <w:left w:val="single" w:color="000000" w:sz="4"/>
                    <w:bottom w:val="single" w:color="000000" w:sz="4"/>
                    <w:right w:val="single" w:color="000000" w:sz="4"/>
                  </w:tcBorders>
                </w:tcPr>
                <w:p/>
              </w:tc>
              <w:tc>
                <w:tcPr>
                  <w:tcW w:type="dxa" w:w="633"/>
                  <w:vMerge/>
                  <w:tcBorders>
                    <w:top w:val="none" w:color="000000" w:sz="4"/>
                    <w:left w:val="none" w:color="000000" w:sz="4"/>
                    <w:bottom w:val="single" w:color="000000" w:sz="4"/>
                    <w:right w:val="single" w:color="000000" w:sz="4"/>
                  </w:tcBorders>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场地消防设施</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场地消防设施的配置及运转</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□优秀（5分）</w:t>
                  </w:r>
                </w:p>
                <w:p>
                  <w:pPr>
                    <w:pStyle w:val="null3"/>
                    <w:jc w:val="both"/>
                  </w:pPr>
                  <w:r>
                    <w:rPr>
                      <w:sz w:val="21"/>
                    </w:rPr>
                    <w:t>□良好（3分）</w:t>
                  </w:r>
                </w:p>
                <w:p>
                  <w:pPr>
                    <w:pStyle w:val="null3"/>
                    <w:jc w:val="both"/>
                  </w:pPr>
                  <w:r>
                    <w:rPr>
                      <w:sz w:val="21"/>
                    </w:rPr>
                    <w:t>□一般（1分）</w:t>
                  </w:r>
                </w:p>
                <w:p>
                  <w:pPr>
                    <w:pStyle w:val="null3"/>
                    <w:jc w:val="both"/>
                  </w:pPr>
                  <w:r>
                    <w:rPr>
                      <w:sz w:val="21"/>
                    </w:rPr>
                    <w:t>□差（0分）</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3"/>
                  <w:vMerge/>
                  <w:tcBorders>
                    <w:top w:val="none" w:color="000000" w:sz="4"/>
                    <w:left w:val="single" w:color="000000" w:sz="4"/>
                    <w:bottom w:val="single" w:color="000000" w:sz="4"/>
                    <w:right w:val="single" w:color="000000" w:sz="4"/>
                  </w:tcBorders>
                </w:tcPr>
                <w:p/>
              </w:tc>
              <w:tc>
                <w:tcPr>
                  <w:tcW w:type="dxa" w:w="633"/>
                  <w:vMerge/>
                  <w:tcBorders>
                    <w:top w:val="none" w:color="000000" w:sz="4"/>
                    <w:left w:val="none" w:color="000000" w:sz="4"/>
                    <w:bottom w:val="single" w:color="000000" w:sz="4"/>
                    <w:right w:val="single" w:color="000000" w:sz="4"/>
                  </w:tcBorders>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场地电子监控设备、照明设施等</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场地监控设备（视频至少保存</w:t>
                  </w:r>
                  <w:r>
                    <w:rPr>
                      <w:sz w:val="21"/>
                    </w:rPr>
                    <w:t>3个月以上）、照明设备（保证24小时安全开展工作）</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□优秀（5分）</w:t>
                  </w:r>
                </w:p>
                <w:p>
                  <w:pPr>
                    <w:pStyle w:val="null3"/>
                    <w:jc w:val="both"/>
                  </w:pPr>
                  <w:r>
                    <w:rPr>
                      <w:sz w:val="21"/>
                    </w:rPr>
                    <w:t>□良好（3分）</w:t>
                  </w:r>
                </w:p>
                <w:p>
                  <w:pPr>
                    <w:pStyle w:val="null3"/>
                    <w:jc w:val="both"/>
                  </w:pPr>
                  <w:r>
                    <w:rPr>
                      <w:sz w:val="21"/>
                    </w:rPr>
                    <w:t>□一般（1分）</w:t>
                  </w:r>
                </w:p>
                <w:p>
                  <w:pPr>
                    <w:pStyle w:val="null3"/>
                    <w:jc w:val="both"/>
                  </w:pPr>
                  <w:r>
                    <w:rPr>
                      <w:sz w:val="21"/>
                    </w:rPr>
                    <w:t>□差（0分）</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拖车服务质量情况</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反应速度</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专业车辆到达作业现场是否及时</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□优秀（10分）</w:t>
                  </w:r>
                </w:p>
                <w:p>
                  <w:pPr>
                    <w:pStyle w:val="null3"/>
                    <w:jc w:val="both"/>
                  </w:pPr>
                  <w:r>
                    <w:rPr>
                      <w:sz w:val="21"/>
                    </w:rPr>
                    <w:t>□良好（7分）</w:t>
                  </w:r>
                </w:p>
                <w:p>
                  <w:pPr>
                    <w:pStyle w:val="null3"/>
                    <w:jc w:val="both"/>
                  </w:pPr>
                  <w:r>
                    <w:rPr>
                      <w:sz w:val="21"/>
                    </w:rPr>
                    <w:t>□一般（3分）</w:t>
                  </w:r>
                </w:p>
                <w:p>
                  <w:pPr>
                    <w:pStyle w:val="null3"/>
                    <w:jc w:val="both"/>
                  </w:pPr>
                  <w:r>
                    <w:rPr>
                      <w:sz w:val="21"/>
                    </w:rPr>
                    <w:t>□差（0分）</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3"/>
                  <w:vMerge/>
                  <w:tcBorders>
                    <w:top w:val="none" w:color="000000" w:sz="4"/>
                    <w:left w:val="single" w:color="000000" w:sz="4"/>
                    <w:bottom w:val="single" w:color="000000" w:sz="4"/>
                    <w:right w:val="single" w:color="000000" w:sz="4"/>
                  </w:tcBorders>
                </w:tcPr>
                <w:p/>
              </w:tc>
              <w:tc>
                <w:tcPr>
                  <w:tcW w:type="dxa" w:w="633"/>
                  <w:vMerge/>
                  <w:tcBorders>
                    <w:top w:val="none" w:color="000000" w:sz="4"/>
                    <w:left w:val="none" w:color="000000" w:sz="4"/>
                    <w:bottom w:val="single" w:color="000000" w:sz="4"/>
                    <w:right w:val="single" w:color="000000" w:sz="4"/>
                  </w:tcBorders>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服务质量</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质量作业及工作人员行为举止规范</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□优秀（5分）</w:t>
                  </w:r>
                </w:p>
                <w:p>
                  <w:pPr>
                    <w:pStyle w:val="null3"/>
                    <w:jc w:val="both"/>
                  </w:pPr>
                  <w:r>
                    <w:rPr>
                      <w:sz w:val="21"/>
                    </w:rPr>
                    <w:t>□良好（3分）</w:t>
                  </w:r>
                </w:p>
                <w:p>
                  <w:pPr>
                    <w:pStyle w:val="null3"/>
                    <w:jc w:val="both"/>
                  </w:pPr>
                  <w:r>
                    <w:rPr>
                      <w:sz w:val="21"/>
                    </w:rPr>
                    <w:t>□一般（1分）</w:t>
                  </w:r>
                </w:p>
                <w:p>
                  <w:pPr>
                    <w:pStyle w:val="null3"/>
                    <w:jc w:val="both"/>
                  </w:pPr>
                  <w:r>
                    <w:rPr>
                      <w:sz w:val="21"/>
                    </w:rPr>
                    <w:t>□差（0分）</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3"/>
                  <w:vMerge/>
                  <w:tcBorders>
                    <w:top w:val="none" w:color="000000" w:sz="4"/>
                    <w:left w:val="single" w:color="000000" w:sz="4"/>
                    <w:bottom w:val="single" w:color="000000" w:sz="4"/>
                    <w:right w:val="single" w:color="000000" w:sz="4"/>
                  </w:tcBorders>
                </w:tcPr>
                <w:p/>
              </w:tc>
              <w:tc>
                <w:tcPr>
                  <w:tcW w:type="dxa" w:w="633"/>
                  <w:vMerge/>
                  <w:tcBorders>
                    <w:top w:val="none" w:color="000000" w:sz="4"/>
                    <w:left w:val="none" w:color="000000" w:sz="4"/>
                    <w:bottom w:val="single" w:color="000000" w:sz="4"/>
                    <w:right w:val="single" w:color="000000" w:sz="4"/>
                  </w:tcBorders>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配套设备数量、质量</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配套设备数量及运转</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□优秀（5分）</w:t>
                  </w:r>
                </w:p>
                <w:p>
                  <w:pPr>
                    <w:pStyle w:val="null3"/>
                    <w:jc w:val="both"/>
                  </w:pPr>
                  <w:r>
                    <w:rPr>
                      <w:sz w:val="21"/>
                    </w:rPr>
                    <w:t>□良好（3分）</w:t>
                  </w:r>
                </w:p>
                <w:p>
                  <w:pPr>
                    <w:pStyle w:val="null3"/>
                    <w:jc w:val="both"/>
                  </w:pPr>
                  <w:r>
                    <w:rPr>
                      <w:sz w:val="21"/>
                    </w:rPr>
                    <w:t>□一般（1分）</w:t>
                  </w:r>
                </w:p>
                <w:p>
                  <w:pPr>
                    <w:pStyle w:val="null3"/>
                    <w:jc w:val="both"/>
                  </w:pPr>
                  <w:r>
                    <w:rPr>
                      <w:sz w:val="21"/>
                    </w:rPr>
                    <w:t>□差（0分）</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车辆保管和处置情况</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车辆数量</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涉案、查扣及事故车辆数量</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此项满分</w:t>
                  </w:r>
                  <w:r>
                    <w:rPr>
                      <w:sz w:val="21"/>
                    </w:rPr>
                    <w:t>15分， 每少一辆车辆扣15分，无下限。</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3"/>
                  <w:vMerge/>
                  <w:tcBorders>
                    <w:top w:val="none" w:color="000000" w:sz="4"/>
                    <w:left w:val="single" w:color="000000" w:sz="4"/>
                    <w:bottom w:val="single" w:color="000000" w:sz="4"/>
                    <w:right w:val="single" w:color="000000" w:sz="4"/>
                  </w:tcBorders>
                </w:tcPr>
                <w:p/>
              </w:tc>
              <w:tc>
                <w:tcPr>
                  <w:tcW w:type="dxa" w:w="633"/>
                  <w:vMerge/>
                  <w:tcBorders>
                    <w:top w:val="none" w:color="000000" w:sz="4"/>
                    <w:left w:val="none" w:color="000000" w:sz="4"/>
                    <w:bottom w:val="single" w:color="000000" w:sz="4"/>
                    <w:right w:val="single" w:color="000000" w:sz="4"/>
                  </w:tcBorders>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车辆保管</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涉案、查扣及事故车辆车况异常变化，车辆外表、零件出现缺损（不可抗力导致的情况除外）</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□优秀（10分）</w:t>
                  </w:r>
                </w:p>
                <w:p>
                  <w:pPr>
                    <w:pStyle w:val="null3"/>
                    <w:jc w:val="both"/>
                  </w:pPr>
                  <w:r>
                    <w:rPr>
                      <w:sz w:val="21"/>
                    </w:rPr>
                    <w:t>□良好（7分）</w:t>
                  </w:r>
                </w:p>
                <w:p>
                  <w:pPr>
                    <w:pStyle w:val="null3"/>
                    <w:jc w:val="both"/>
                  </w:pPr>
                  <w:r>
                    <w:rPr>
                      <w:sz w:val="21"/>
                    </w:rPr>
                    <w:t>□一般（3分）</w:t>
                  </w:r>
                </w:p>
                <w:p>
                  <w:pPr>
                    <w:pStyle w:val="null3"/>
                    <w:jc w:val="both"/>
                  </w:pPr>
                  <w:r>
                    <w:rPr>
                      <w:sz w:val="21"/>
                    </w:rPr>
                    <w:t>□差（0分）</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3"/>
                  <w:vMerge/>
                  <w:tcBorders>
                    <w:top w:val="none" w:color="000000" w:sz="4"/>
                    <w:left w:val="single" w:color="000000" w:sz="4"/>
                    <w:bottom w:val="single" w:color="000000" w:sz="4"/>
                    <w:right w:val="single" w:color="000000" w:sz="4"/>
                  </w:tcBorders>
                </w:tcPr>
                <w:p/>
              </w:tc>
              <w:tc>
                <w:tcPr>
                  <w:tcW w:type="dxa" w:w="633"/>
                  <w:vMerge/>
                  <w:tcBorders>
                    <w:top w:val="none" w:color="000000" w:sz="4"/>
                    <w:left w:val="none" w:color="000000" w:sz="4"/>
                    <w:bottom w:val="single" w:color="000000" w:sz="4"/>
                    <w:right w:val="single" w:color="000000" w:sz="4"/>
                  </w:tcBorders>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车辆处置</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及时配合进行涉案、查扣及事故车辆处置工作</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□优秀（5分）</w:t>
                  </w:r>
                </w:p>
                <w:p>
                  <w:pPr>
                    <w:pStyle w:val="null3"/>
                    <w:jc w:val="both"/>
                  </w:pPr>
                  <w:r>
                    <w:rPr>
                      <w:sz w:val="21"/>
                    </w:rPr>
                    <w:t>□良好（3分）</w:t>
                  </w:r>
                </w:p>
                <w:p>
                  <w:pPr>
                    <w:pStyle w:val="null3"/>
                    <w:jc w:val="both"/>
                  </w:pPr>
                  <w:r>
                    <w:rPr>
                      <w:sz w:val="21"/>
                    </w:rPr>
                    <w:t>□一般（1分）</w:t>
                  </w:r>
                </w:p>
                <w:p>
                  <w:pPr>
                    <w:pStyle w:val="null3"/>
                    <w:jc w:val="both"/>
                  </w:pPr>
                  <w:r>
                    <w:rPr>
                      <w:sz w:val="21"/>
                    </w:rPr>
                    <w:t>□差（0分）</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收费情况</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不按规定乱收车主费用</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此项满分</w:t>
                  </w:r>
                  <w:r>
                    <w:rPr>
                      <w:sz w:val="21"/>
                    </w:rPr>
                    <w:t>15分， 每发现一次扣15分，扣分不设下限。</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2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巡检情况</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按执法部门规定时间、次数、要求进行协助（包括如遇包括针对台风、暴雨等天气影响、突击查处行动等）</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□优秀（5分）</w:t>
                  </w:r>
                </w:p>
                <w:p>
                  <w:pPr>
                    <w:pStyle w:val="null3"/>
                    <w:jc w:val="both"/>
                  </w:pPr>
                  <w:r>
                    <w:rPr>
                      <w:sz w:val="21"/>
                    </w:rPr>
                    <w:t>□良好（3分）</w:t>
                  </w:r>
                </w:p>
                <w:p>
                  <w:pPr>
                    <w:pStyle w:val="null3"/>
                    <w:jc w:val="both"/>
                  </w:pPr>
                  <w:r>
                    <w:rPr>
                      <w:sz w:val="21"/>
                    </w:rPr>
                    <w:t>□一般（1分）</w:t>
                  </w:r>
                </w:p>
                <w:p>
                  <w:pPr>
                    <w:pStyle w:val="null3"/>
                    <w:jc w:val="both"/>
                  </w:pPr>
                  <w:r>
                    <w:rPr>
                      <w:sz w:val="21"/>
                    </w:rPr>
                    <w:t>□差（0分）</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2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地磅服务</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按规定时间、要求进行服务</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□优秀（5分）</w:t>
                  </w:r>
                </w:p>
                <w:p>
                  <w:pPr>
                    <w:pStyle w:val="null3"/>
                    <w:jc w:val="both"/>
                  </w:pPr>
                  <w:r>
                    <w:rPr>
                      <w:sz w:val="21"/>
                    </w:rPr>
                    <w:t>□良好（3分）</w:t>
                  </w:r>
                </w:p>
                <w:p>
                  <w:pPr>
                    <w:pStyle w:val="null3"/>
                    <w:jc w:val="both"/>
                  </w:pPr>
                  <w:r>
                    <w:rPr>
                      <w:sz w:val="21"/>
                    </w:rPr>
                    <w:t>□一般（1分）</w:t>
                  </w:r>
                </w:p>
                <w:p>
                  <w:pPr>
                    <w:pStyle w:val="null3"/>
                    <w:jc w:val="both"/>
                  </w:pPr>
                  <w:r>
                    <w:rPr>
                      <w:sz w:val="21"/>
                    </w:rPr>
                    <w:t>□差（0分）</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2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其他情况</w:t>
                  </w:r>
                </w:p>
              </w:tc>
              <w:tc>
                <w:tcPr>
                  <w:tcW w:type="dxa" w:w="249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合计（满分</w:t>
                  </w:r>
                  <w:r>
                    <w:rPr>
                      <w:sz w:val="21"/>
                    </w:rPr>
                    <w:t>100分）：</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按合同规定本月应付服务费：</w:t>
                  </w:r>
                  <w:r>
                    <w:rPr>
                      <w:sz w:val="21"/>
                    </w:rPr>
                    <w:t xml:space="preserve">   </w:t>
                  </w:r>
                  <w:r>
                    <w:rPr>
                      <w:sz w:val="21"/>
                    </w:rPr>
                    <w:t>元；考评应扣服务费：</w:t>
                  </w:r>
                  <w:r>
                    <w:rPr>
                      <w:sz w:val="21"/>
                    </w:rPr>
                    <w:t xml:space="preserve">   </w:t>
                  </w:r>
                  <w:r>
                    <w:rPr>
                      <w:sz w:val="21"/>
                    </w:rPr>
                    <w:t>元；本月实付服务费：</w:t>
                  </w:r>
                  <w:r>
                    <w:rPr>
                      <w:sz w:val="21"/>
                    </w:rPr>
                    <w:t xml:space="preserve">  </w:t>
                  </w:r>
                  <w:r>
                    <w:rPr>
                      <w:sz w:val="21"/>
                    </w:rPr>
                    <w:t>元。</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考评人员签名：</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考评时段：</w:t>
                  </w:r>
                  <w:r>
                    <w:rPr>
                      <w:sz w:val="21"/>
                    </w:rPr>
                    <w:t>20  年  月  日至20  年  月  日          考评日期：20  年  月  日</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说明：</w:t>
                  </w:r>
                </w:p>
                <w:p>
                  <w:pPr>
                    <w:pStyle w:val="null3"/>
                    <w:jc w:val="both"/>
                  </w:pPr>
                  <w:r>
                    <w:rPr>
                      <w:sz w:val="21"/>
                    </w:rPr>
                    <w:t>①考核期为每一季度服务完成后，具体时间采购人另行通知；</w:t>
                  </w:r>
                </w:p>
                <w:p>
                  <w:pPr>
                    <w:pStyle w:val="null3"/>
                    <w:jc w:val="both"/>
                  </w:pPr>
                  <w:r>
                    <w:rPr>
                      <w:sz w:val="21"/>
                    </w:rPr>
                    <w:t>②考核总分≥90分，全额支付当月服务费；</w:t>
                  </w:r>
                </w:p>
                <w:p>
                  <w:pPr>
                    <w:pStyle w:val="null3"/>
                    <w:jc w:val="both"/>
                  </w:pPr>
                  <w:r>
                    <w:rPr>
                      <w:sz w:val="21"/>
                    </w:rPr>
                    <w:t>③考核总分＜90分，该期按照每低于1分扣减当季服务费总额的0.3%违约金后的费用支付；</w:t>
                  </w:r>
                </w:p>
                <w:p>
                  <w:pPr>
                    <w:pStyle w:val="null3"/>
                    <w:jc w:val="both"/>
                  </w:pPr>
                  <w:r>
                    <w:rPr>
                      <w:sz w:val="21"/>
                    </w:rPr>
                    <w:t>④考核总分≤85分，采购人下达限期整改通知书；</w:t>
                  </w:r>
                </w:p>
                <w:p>
                  <w:pPr>
                    <w:pStyle w:val="null3"/>
                    <w:jc w:val="both"/>
                  </w:pPr>
                  <w:r>
                    <w:rPr>
                      <w:sz w:val="21"/>
                    </w:rPr>
                    <w:t>⑤如一年内有2次以上考核总分≤85分，采购人有权无条件终止合同并按合同条款执行违约责任与赔偿损失 。</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东莞市公安局交通警察支队高埗大队</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公安局交通警察支队高埗大队扣押车场保管服务、拖车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采购包1（东莞市公安局交通警察支队高埗大队扣押车场保管服务、拖车服务项目）：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采购包1（东莞市公安局交通警察支队高埗大队扣押车场保管服务、拖车服务项目）：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本项目整体专门面向中小企业采购。供应商须符合本项目采购标的对应行业（本项目行业为：租赁和商务服务）的政策划分标准。监狱企业、残疾人福利单位视同小型、微型企业。（注：中小企业以供应商填写的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采购包1（东莞市公安局交通警察支队高埗大队扣押车场保管服务、拖车服务项目）：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采购包1(东莞市公安局交通警察支队高埗大队扣押车场保管服务、拖车服务项目):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 (15.0分)</w:t>
            </w:r>
            <w:r>
              <w:rPr/>
              <w:t>，（等次分值选择：</w:t>
            </w:r>
            <w:r>
              <w:rPr/>
              <w:t>0.0;</w:t>
            </w:r>
            <w:r>
              <w:rPr/>
              <w:t>1.0;</w:t>
            </w:r>
            <w:r>
              <w:rPr/>
              <w:t>5.0;</w:t>
            </w:r>
            <w:r>
              <w:rPr/>
              <w:t>10.0;</w:t>
            </w:r>
            <w:r>
              <w:rPr/>
              <w:t>15.0;</w:t>
            </w:r>
            <w:r>
              <w:rPr/>
              <w:t>）</w:t>
            </w:r>
          </w:p>
        </w:tc>
        <w:tc>
          <w:tcPr>
            <w:tcW w:type="dxa" w:w="5076"/>
          </w:tcPr>
          <w:p>
            <w:pPr>
              <w:pStyle w:val="null3"/>
              <w:jc w:val="left"/>
            </w:pPr>
            <w:r>
              <w:rPr/>
              <w:t>根据投标人提供的总体服务方案进行综合评审（包括但不限于日常管理、门卫安排、车辆进出场交接和安排等）： （1）总体服务方案科学具体、可行性高、方案全面周到并优于采购需求的得15分； （2）总体服务方案比较具体、可行性一般、方案基本满足采购需求的得10分； （3）总体服务方案一般、可行性一般、方案基本满足采购需求的得5分； （4）总体服务方案简单、可行性差，方案不能满足采购需求的得1分； （5）未提供相关方案的不得分。</w:t>
            </w:r>
          </w:p>
        </w:tc>
      </w:tr>
      <w:tr>
        <w:tc>
          <w:tcPr>
            <w:tcW w:type="dxa" w:w="922"/>
            <w:gridSpan w:val="2"/>
            <w:vMerge/>
          </w:tcPr>
          <w:p/>
        </w:tc>
        <w:tc>
          <w:tcPr>
            <w:tcW w:type="dxa" w:w="2307"/>
          </w:tcPr>
          <w:p>
            <w:pPr>
              <w:pStyle w:val="null3"/>
              <w:jc w:val="left"/>
            </w:pPr>
            <w:r>
              <w:rPr/>
              <w:t>质量保证措施方案 (12.0分)</w:t>
            </w:r>
            <w:r>
              <w:rPr/>
              <w:t>，（等次分值选择：</w:t>
            </w:r>
            <w:r>
              <w:rPr/>
              <w:t>0.0;</w:t>
            </w:r>
            <w:r>
              <w:rPr/>
              <w:t>1.0;</w:t>
            </w:r>
            <w:r>
              <w:rPr/>
              <w:t>4.0;</w:t>
            </w:r>
            <w:r>
              <w:rPr/>
              <w:t>8.0;</w:t>
            </w:r>
            <w:r>
              <w:rPr/>
              <w:t>12.0;</w:t>
            </w:r>
            <w:r>
              <w:rPr/>
              <w:t>）</w:t>
            </w:r>
          </w:p>
        </w:tc>
        <w:tc>
          <w:tcPr>
            <w:tcW w:type="dxa" w:w="5076"/>
          </w:tcPr>
          <w:p>
            <w:pPr>
              <w:pStyle w:val="null3"/>
              <w:jc w:val="left"/>
            </w:pPr>
            <w:r>
              <w:rPr/>
              <w:t>根据投标人提供的质量保证措施进行综合评审（包括但不限于停车场管理、人员执行能力、场地运转、拖车服务、车辆保管和处置等情况）： （1）质量保证措施详细完整、可操作性强，得12分； （2）质量保证措施较完整、可操作性较强，得8分； （3）质量保证措施基本完整、可操作性一般，得4分； （4）质量保证措施简单、可操作性差，得1分； （5）未提供相关方案的不得分。</w:t>
            </w:r>
          </w:p>
        </w:tc>
      </w:tr>
      <w:tr>
        <w:tc>
          <w:tcPr>
            <w:tcW w:type="dxa" w:w="922"/>
            <w:gridSpan w:val="2"/>
            <w:vMerge/>
          </w:tcPr>
          <w:p/>
        </w:tc>
        <w:tc>
          <w:tcPr>
            <w:tcW w:type="dxa" w:w="2307"/>
          </w:tcPr>
          <w:p>
            <w:pPr>
              <w:pStyle w:val="null3"/>
              <w:jc w:val="left"/>
            </w:pPr>
            <w:r>
              <w:rPr/>
              <w:t>管理制度方案 (12.0分)</w:t>
            </w:r>
            <w:r>
              <w:rPr/>
              <w:t>，（等次分值选择：</w:t>
            </w:r>
            <w:r>
              <w:rPr/>
              <w:t>0.0;</w:t>
            </w:r>
            <w:r>
              <w:rPr/>
              <w:t>1.0;</w:t>
            </w:r>
            <w:r>
              <w:rPr/>
              <w:t>4.0;</w:t>
            </w:r>
            <w:r>
              <w:rPr/>
              <w:t>8.0;</w:t>
            </w:r>
            <w:r>
              <w:rPr/>
              <w:t>12.0;</w:t>
            </w:r>
            <w:r>
              <w:rPr/>
              <w:t>）</w:t>
            </w:r>
          </w:p>
        </w:tc>
        <w:tc>
          <w:tcPr>
            <w:tcW w:type="dxa" w:w="5076"/>
          </w:tcPr>
          <w:p>
            <w:pPr>
              <w:pStyle w:val="null3"/>
              <w:jc w:val="left"/>
            </w:pPr>
            <w:r>
              <w:rPr/>
              <w:t>根据投标人提供的管理制度进行综合评审（包括但不限于规章管理制度、档案管理制度、项目管理架构等）： （1）规章管理制度、档案管理健全完善，项目管理架构完善、具体、合理，得12分； （2）规章管理制度、档案管理比较具体详尽，项目管理架构较为合理，得8分； （3）规章管理制度、档案管理基本完善，项目管理架构基本合理，得4分； （4）规章管理制度、档案管理不完善、及项目管理架构不合理，得1分； （5）未提供相关方案的不得分。</w:t>
            </w:r>
          </w:p>
        </w:tc>
      </w:tr>
      <w:tr>
        <w:tc>
          <w:tcPr>
            <w:tcW w:type="dxa" w:w="922"/>
            <w:gridSpan w:val="2"/>
            <w:vMerge/>
          </w:tcPr>
          <w:p/>
        </w:tc>
        <w:tc>
          <w:tcPr>
            <w:tcW w:type="dxa" w:w="2307"/>
          </w:tcPr>
          <w:p>
            <w:pPr>
              <w:pStyle w:val="null3"/>
              <w:jc w:val="left"/>
            </w:pPr>
            <w:r>
              <w:rPr/>
              <w:t>应急措施预案 (12.0分)</w:t>
            </w:r>
            <w:r>
              <w:rPr/>
              <w:t>，（等次分值选择：</w:t>
            </w:r>
            <w:r>
              <w:rPr/>
              <w:t>0.0;</w:t>
            </w:r>
            <w:r>
              <w:rPr/>
              <w:t>1.0;</w:t>
            </w:r>
            <w:r>
              <w:rPr/>
              <w:t>4.0;</w:t>
            </w:r>
            <w:r>
              <w:rPr/>
              <w:t>8.0;</w:t>
            </w:r>
            <w:r>
              <w:rPr/>
              <w:t>12.0;</w:t>
            </w:r>
            <w:r>
              <w:rPr/>
              <w:t>）</w:t>
            </w:r>
          </w:p>
        </w:tc>
        <w:tc>
          <w:tcPr>
            <w:tcW w:type="dxa" w:w="5076"/>
          </w:tcPr>
          <w:p>
            <w:pPr>
              <w:pStyle w:val="null3"/>
              <w:jc w:val="left"/>
            </w:pPr>
            <w:r>
              <w:rPr/>
              <w:t>根据投标人提供针对火灾、事故、设备故障、突发事件等可能影响停车场安全和正常运营的情况，制定有针对性和可操作性的应急措施预案进行综合评审（包括但不限于应急响应流程、人员职责分工、救援设备和物资清单以及与相关部门的联动机制）： （1）应急措施预案全面完善、针对性及可操作性强，得12分； （2）应急措施预案较完善、针对性及可操作性较强，得8分； （3）应急措施预案基本完善、针对性及可操作性一般，得4分； （4）应急措施预案不完善、针对性及可操作性差，得1分； （5）未提供相关方案的不得分。</w:t>
            </w:r>
          </w:p>
        </w:tc>
      </w:tr>
      <w:tr>
        <w:tc>
          <w:tcPr>
            <w:tcW w:type="dxa" w:w="922"/>
            <w:gridSpan w:val="2"/>
            <w:vMerge/>
          </w:tcPr>
          <w:p/>
        </w:tc>
        <w:tc>
          <w:tcPr>
            <w:tcW w:type="dxa" w:w="2307"/>
          </w:tcPr>
          <w:p>
            <w:pPr>
              <w:pStyle w:val="null3"/>
              <w:jc w:val="left"/>
            </w:pPr>
            <w:r>
              <w:rPr/>
              <w:t>岗位人员配备方案 (9.0分)</w:t>
            </w:r>
            <w:r>
              <w:rPr/>
              <w:t>，（等次分值选择：</w:t>
            </w:r>
            <w:r>
              <w:rPr/>
              <w:t>0.0;</w:t>
            </w:r>
            <w:r>
              <w:rPr/>
              <w:t>1.0;</w:t>
            </w:r>
            <w:r>
              <w:rPr/>
              <w:t>5.0;</w:t>
            </w:r>
            <w:r>
              <w:rPr/>
              <w:t>9.0;</w:t>
            </w:r>
            <w:r>
              <w:rPr/>
              <w:t>）</w:t>
            </w:r>
          </w:p>
        </w:tc>
        <w:tc>
          <w:tcPr>
            <w:tcW w:type="dxa" w:w="5076"/>
          </w:tcPr>
          <w:p>
            <w:pPr>
              <w:pStyle w:val="null3"/>
              <w:jc w:val="left"/>
            </w:pPr>
            <w:r>
              <w:rPr/>
              <w:t>根据投标人提供的岗位人员配备方案进行评审（包括但不限于各岗位人员数量配备、经验、服务时间安排，岗位职责分工等）： （1）岗位人员数量优于项目需求，经验丰富，服务时间安排科学合理，岗位职责分工明确，得9分； （2）岗位人员数量符合项目需求，有一定经验，服务时间安排合理，岗位职责分工基本明确，得5分； （3）岗位人员数量勉强满足项目需求，几乎没有经验，服务时间安排不合理，岗位职责分工比较笼统模糊，得1分； （4）未提供相关方案的不得分。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(12.0分)</w:t>
            </w:r>
          </w:p>
        </w:tc>
        <w:tc>
          <w:tcPr>
            <w:tcW w:type="dxa" w:w="5076"/>
          </w:tcPr>
          <w:p>
            <w:pPr>
              <w:pStyle w:val="null3"/>
              <w:jc w:val="left"/>
            </w:pPr>
            <w:r>
              <w:rPr/>
              <w:t>投标人具有由国家认监委批准设立的认证机构颁发并在有效期内的质量管理体系认证、环境管理体系认证、职业健康安全管理体系认证，每个得4分，最高得12分。 注：须提供有效证书复印件并加盖投标人公章，不符合以上要求的不得分。</w:t>
            </w:r>
          </w:p>
        </w:tc>
      </w:tr>
      <w:tr>
        <w:tc>
          <w:tcPr>
            <w:tcW w:type="dxa" w:w="922"/>
            <w:gridSpan w:val="2"/>
            <w:vMerge/>
          </w:tcPr>
          <w:p/>
        </w:tc>
        <w:tc>
          <w:tcPr>
            <w:tcW w:type="dxa" w:w="2307"/>
          </w:tcPr>
          <w:p>
            <w:pPr>
              <w:pStyle w:val="null3"/>
              <w:jc w:val="left"/>
            </w:pPr>
            <w:r>
              <w:rPr/>
              <w:t>业绩 (8.0分)</w:t>
            </w:r>
          </w:p>
        </w:tc>
        <w:tc>
          <w:tcPr>
            <w:tcW w:type="dxa" w:w="5076"/>
          </w:tcPr>
          <w:p>
            <w:pPr>
              <w:pStyle w:val="null3"/>
              <w:jc w:val="left"/>
            </w:pPr>
            <w:r>
              <w:rPr/>
              <w:t>投标人具有拖车服务类项目业绩，每提供一个业绩得4分，最高得8分。 注：须提供合同复印件加盖投标人公章，不符合以上要求不得分。</w:t>
            </w:r>
          </w:p>
        </w:tc>
      </w:tr>
      <w:tr>
        <w:tc>
          <w:tcPr>
            <w:tcW w:type="dxa" w:w="922"/>
            <w:gridSpan w:val="2"/>
            <w:vMerge/>
          </w:tcPr>
          <w:p/>
        </w:tc>
        <w:tc>
          <w:tcPr>
            <w:tcW w:type="dxa" w:w="2307"/>
          </w:tcPr>
          <w:p>
            <w:pPr>
              <w:pStyle w:val="null3"/>
              <w:jc w:val="left"/>
            </w:pPr>
            <w:r>
              <w:rPr/>
              <w:t>车辆要求 (10.0分)</w:t>
            </w:r>
          </w:p>
        </w:tc>
        <w:tc>
          <w:tcPr>
            <w:tcW w:type="dxa" w:w="5076"/>
          </w:tcPr>
          <w:p>
            <w:pPr>
              <w:pStyle w:val="null3"/>
              <w:jc w:val="left"/>
            </w:pPr>
            <w:r>
              <w:rPr/>
              <w:t>根据投标人拟投入本项目车辆进行评审： 1、投标人提供12吨（或以上）的重型非载货专项作业车（救援随车吊）的，每提供一台得2分，最高得4分； 2、投标人提供25吨（或以上）的重型非载货专项作业车（拖吊一体救援专用重型车）的，每提供一台得2分，最高得2分； 3、投标人提供15吨（或以上）的重型非载货专项作业车的，每提供一台得2分，最高2分； 4、投标人提供7吨（或以上）的中型非载货专项作业车（平板拖）的，每提供一台得1分，最高得2分。 注：（1）如投标人自有车辆：须提供车辆购置发票（或车辆登记证书）及有效车辆行驶证复印件（车辆所有人为投标人或其法人）加盖投标人公章，不符合以上要求的不得分；（2）如投标人租赁车辆：须提供有效租赁合同（若租赁协议未覆盖本项目服务期，需承诺至少续租至本项目服务期结束（提供承诺函并加盖投标人公章））及有效车辆行驶证复印件加盖投标人公章，不符合以上要求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东莞市公安局交通警察支队高埗大队扣押车场保管服务、拖车服务项目</w:t>
      </w:r>
      <w:r>
        <w:rPr>
          <w:sz w:val="44"/>
          <w:b/>
        </w:rPr>
        <w:t>合同</w:t>
      </w:r>
      <w:r>
        <w:rPr>
          <w:sz w:val="44"/>
          <w:b/>
        </w:rPr>
        <w:t>书</w:t>
      </w:r>
    </w:p>
    <w:p>
      <w:pPr>
        <w:pStyle w:val="null3"/>
        <w:jc w:val="both"/>
      </w:pPr>
      <w:r>
        <w:rPr>
          <w:sz w:val="21"/>
          <w:b/>
        </w:rPr>
        <w:t xml:space="preserve">      </w:t>
      </w:r>
    </w:p>
    <w:p>
      <w:pPr>
        <w:pStyle w:val="null3"/>
        <w:jc w:val="both"/>
      </w:pPr>
      <w:r>
        <w:rPr>
          <w:sz w:val="21"/>
          <w:b/>
        </w:rPr>
        <w:t>甲方：</w:t>
      </w:r>
      <w:r>
        <w:rPr>
          <w:sz w:val="21"/>
          <w:b/>
          <w:u w:val="single"/>
        </w:rPr>
        <w:t>东莞市公安局交</w:t>
      </w:r>
      <w:r>
        <w:rPr>
          <w:sz w:val="21"/>
          <w:b/>
          <w:u w:val="single"/>
        </w:rPr>
        <w:t>通</w:t>
      </w:r>
      <w:r>
        <w:rPr>
          <w:sz w:val="21"/>
          <w:b/>
          <w:u w:val="single"/>
        </w:rPr>
        <w:t>警</w:t>
      </w:r>
      <w:r>
        <w:rPr>
          <w:sz w:val="21"/>
          <w:b/>
          <w:u w:val="single"/>
        </w:rPr>
        <w:t>察</w:t>
      </w:r>
      <w:r>
        <w:rPr>
          <w:sz w:val="21"/>
          <w:b/>
          <w:u w:val="single"/>
        </w:rPr>
        <w:t>支队高埗大队</w:t>
      </w:r>
    </w:p>
    <w:p>
      <w:pPr>
        <w:pStyle w:val="null3"/>
        <w:ind w:firstLine="1054"/>
        <w:jc w:val="left"/>
      </w:pPr>
      <w:r>
        <w:rPr>
          <w:sz w:val="21"/>
          <w:b/>
        </w:rPr>
        <w:t>乙方：</w:t>
      </w:r>
      <w:r>
        <w:rPr>
          <w:u w:val="single"/>
        </w:rPr>
        <w:t xml:space="preserve">                                </w:t>
      </w:r>
    </w:p>
    <w:p>
      <w:pPr>
        <w:pStyle w:val="null3"/>
        <w:ind w:firstLine="1050"/>
        <w:jc w:val="left"/>
      </w:pPr>
      <w:r>
        <w:rPr>
          <w:sz w:val="21"/>
        </w:rPr>
        <w:t>甲方：</w:t>
      </w:r>
      <w:r>
        <w:rPr>
          <w:sz w:val="21"/>
        </w:rPr>
        <w:t>东莞市公安局交</w:t>
      </w:r>
      <w:r>
        <w:rPr>
          <w:sz w:val="21"/>
        </w:rPr>
        <w:t>通</w:t>
      </w:r>
      <w:r>
        <w:rPr>
          <w:sz w:val="21"/>
        </w:rPr>
        <w:t>警</w:t>
      </w:r>
      <w:r>
        <w:rPr>
          <w:sz w:val="21"/>
        </w:rPr>
        <w:t>察</w:t>
      </w:r>
      <w:r>
        <w:rPr>
          <w:sz w:val="21"/>
        </w:rPr>
        <w:t>支队</w:t>
      </w:r>
      <w:r>
        <w:rPr>
          <w:sz w:val="21"/>
        </w:rPr>
        <w:t>高埗</w:t>
      </w:r>
      <w:r>
        <w:rPr>
          <w:sz w:val="21"/>
        </w:rPr>
        <w:t>大队</w:t>
      </w:r>
    </w:p>
    <w:p>
      <w:pPr>
        <w:pStyle w:val="null3"/>
        <w:jc w:val="both"/>
      </w:pPr>
      <w:r>
        <w:rPr>
          <w:sz w:val="21"/>
        </w:rPr>
        <w:t>地址</w:t>
      </w:r>
      <w:r>
        <w:rPr>
          <w:sz w:val="21"/>
        </w:rPr>
        <w:t>: 高</w:t>
      </w:r>
      <w:r>
        <w:rPr>
          <w:sz w:val="21"/>
        </w:rPr>
        <w:t>埗镇振兴东五横路</w:t>
      </w:r>
      <w:r>
        <w:rPr>
          <w:sz w:val="21"/>
        </w:rPr>
        <w:t>2号</w:t>
      </w:r>
    </w:p>
    <w:p>
      <w:pPr>
        <w:pStyle w:val="null3"/>
        <w:jc w:val="both"/>
      </w:pPr>
      <w:r>
        <w:rPr>
          <w:sz w:val="21"/>
        </w:rPr>
        <w:t>联系人</w:t>
      </w:r>
      <w:r>
        <w:rPr>
          <w:sz w:val="21"/>
        </w:rPr>
        <w:t>:               电话:</w:t>
      </w:r>
    </w:p>
    <w:p>
      <w:pPr>
        <w:pStyle w:val="null3"/>
        <w:jc w:val="both"/>
      </w:pPr>
      <w:r>
        <w:rPr>
          <w:sz w:val="21"/>
        </w:rPr>
        <w:t>乙方：</w:t>
      </w:r>
    </w:p>
    <w:p>
      <w:pPr>
        <w:pStyle w:val="null3"/>
        <w:jc w:val="both"/>
      </w:pPr>
      <w:r>
        <w:rPr>
          <w:sz w:val="21"/>
        </w:rPr>
        <w:t>地址</w:t>
      </w:r>
      <w:r>
        <w:rPr>
          <w:sz w:val="21"/>
        </w:rPr>
        <w:t xml:space="preserve">:  </w:t>
      </w:r>
    </w:p>
    <w:p>
      <w:pPr>
        <w:pStyle w:val="null3"/>
        <w:jc w:val="both"/>
      </w:pPr>
      <w:r>
        <w:rPr>
          <w:sz w:val="21"/>
        </w:rPr>
        <w:t>联系人</w:t>
      </w:r>
      <w:r>
        <w:rPr>
          <w:sz w:val="21"/>
        </w:rPr>
        <w:t>:</w:t>
      </w:r>
    </w:p>
    <w:p>
      <w:pPr>
        <w:pStyle w:val="null3"/>
        <w:jc w:val="both"/>
      </w:pPr>
      <w:r>
        <w:rPr>
          <w:sz w:val="21"/>
        </w:rPr>
        <w:t>根据《中华人民共和国</w:t>
      </w:r>
      <w:r>
        <w:rPr>
          <w:sz w:val="21"/>
        </w:rPr>
        <w:t>民法典</w:t>
      </w:r>
      <w:r>
        <w:rPr>
          <w:sz w:val="21"/>
        </w:rPr>
        <w:t>》的要求，</w:t>
      </w:r>
      <w:r>
        <w:rPr>
          <w:sz w:val="21"/>
        </w:rPr>
        <w:t>双方就乙方有偿提供甲方执法查扣车辆管理服务及拖车管理服务等停车场地和运营服务事宜，</w:t>
      </w:r>
      <w:r>
        <w:rPr>
          <w:sz w:val="21"/>
        </w:rPr>
        <w:t>本着平等</w:t>
      </w:r>
      <w:r>
        <w:rPr>
          <w:sz w:val="21"/>
        </w:rPr>
        <w:t>合</w:t>
      </w:r>
      <w:r>
        <w:rPr>
          <w:sz w:val="21"/>
        </w:rPr>
        <w:t>作，互相信赖，有偿使用，共同发展的原则，经</w:t>
      </w:r>
      <w:r>
        <w:rPr>
          <w:sz w:val="21"/>
        </w:rPr>
        <w:t>协商一致签订本合同</w:t>
      </w:r>
      <w:r>
        <w:rPr>
          <w:sz w:val="21"/>
        </w:rPr>
        <w:t>，</w:t>
      </w:r>
      <w:r>
        <w:rPr>
          <w:sz w:val="21"/>
        </w:rPr>
        <w:t>共同遵守如下条款：</w:t>
      </w:r>
    </w:p>
    <w:p>
      <w:pPr>
        <w:pStyle w:val="null3"/>
      </w:pPr>
      <w:r>
        <w:rPr>
          <w:sz w:val="21"/>
          <w:b/>
        </w:rPr>
        <w:t>一、</w:t>
      </w:r>
      <w:r>
        <w:rPr>
          <w:sz w:val="21"/>
          <w:b/>
        </w:rPr>
        <w:t>合同金额</w:t>
      </w:r>
    </w:p>
    <w:p>
      <w:pPr>
        <w:pStyle w:val="null3"/>
        <w:ind w:firstLine="420"/>
        <w:jc w:val="both"/>
      </w:pPr>
      <w:r>
        <w:rPr>
          <w:sz w:val="21"/>
        </w:rPr>
        <w:t>合同金额为（大写）：</w:t>
      </w:r>
      <w:r>
        <w:rPr>
          <w:sz w:val="21"/>
        </w:rPr>
        <w:t>_____________元（￥_________元）人民币。合同金额包括税费（在中国境内、外发生的与本次采购执行有关的一切税费均由中标人负担）、拖车管理服务费用、场地管理服务费用、场地运营维护费用、场地运营人员费用和履行本次采购产生的其他不可预见费用等。</w:t>
      </w:r>
    </w:p>
    <w:p>
      <w:pPr>
        <w:pStyle w:val="null3"/>
      </w:pPr>
      <w:r>
        <w:rPr>
          <w:sz w:val="21"/>
          <w:b/>
        </w:rPr>
        <w:t>二</w:t>
      </w:r>
      <w:r>
        <w:rPr>
          <w:sz w:val="21"/>
          <w:b/>
        </w:rPr>
        <w:t>、服务期间及服务地点（项目完成期限）</w:t>
      </w:r>
    </w:p>
    <w:p>
      <w:pPr>
        <w:pStyle w:val="null3"/>
        <w:ind w:firstLine="420"/>
        <w:jc w:val="both"/>
      </w:pPr>
      <w:r>
        <w:rPr>
          <w:sz w:val="21"/>
        </w:rPr>
        <w:t>1.服务期限：</w:t>
      </w:r>
      <w:r>
        <w:rPr>
          <w:sz w:val="21"/>
        </w:rPr>
        <w:t>自合同签订之日起两年</w:t>
      </w:r>
      <w:r>
        <w:rPr>
          <w:sz w:val="21"/>
        </w:rPr>
        <w:t>。</w:t>
      </w:r>
    </w:p>
    <w:p>
      <w:pPr>
        <w:pStyle w:val="null3"/>
        <w:ind w:firstLine="420"/>
        <w:jc w:val="both"/>
      </w:pPr>
      <w:r>
        <w:rPr>
          <w:sz w:val="21"/>
        </w:rPr>
        <w:t>2.服务地点：</w:t>
      </w:r>
      <w:r>
        <w:rPr>
          <w:sz w:val="21"/>
        </w:rPr>
        <w:t>东莞市内</w:t>
      </w:r>
      <w:r>
        <w:rPr>
          <w:sz w:val="21"/>
        </w:rPr>
        <w:t>。</w:t>
      </w:r>
    </w:p>
    <w:p>
      <w:pPr>
        <w:pStyle w:val="null3"/>
        <w:ind w:firstLine="420"/>
        <w:jc w:val="both"/>
      </w:pPr>
      <w:r>
        <w:rPr>
          <w:sz w:val="21"/>
        </w:rPr>
        <w:t>3.委托服务期间自______年______月______日至______年______月______日止。</w:t>
      </w:r>
    </w:p>
    <w:p>
      <w:pPr>
        <w:pStyle w:val="null3"/>
      </w:pPr>
      <w:r>
        <w:rPr>
          <w:sz w:val="21"/>
          <w:b/>
        </w:rPr>
        <w:t>三</w:t>
      </w:r>
      <w:r>
        <w:rPr>
          <w:sz w:val="21"/>
          <w:b/>
        </w:rPr>
        <w:t>、</w:t>
      </w:r>
      <w:r>
        <w:rPr>
          <w:sz w:val="21"/>
          <w:b/>
        </w:rPr>
        <w:t>验收要求</w:t>
      </w:r>
    </w:p>
    <w:p>
      <w:pPr>
        <w:pStyle w:val="null3"/>
        <w:ind w:firstLine="420"/>
        <w:jc w:val="both"/>
      </w:pPr>
      <w:r>
        <w:rPr>
          <w:sz w:val="21"/>
        </w:rPr>
        <w:t>（</w:t>
      </w:r>
      <w:r>
        <w:rPr>
          <w:sz w:val="21"/>
        </w:rPr>
        <w:t>1）按国家标准和行业规范及招标文件规定进行验收。</w:t>
      </w:r>
    </w:p>
    <w:p>
      <w:pPr>
        <w:pStyle w:val="null3"/>
        <w:ind w:firstLine="420"/>
        <w:jc w:val="both"/>
      </w:pPr>
      <w:r>
        <w:rPr>
          <w:sz w:val="21"/>
        </w:rPr>
        <w:t>（</w:t>
      </w:r>
      <w:r>
        <w:rPr>
          <w:sz w:val="21"/>
        </w:rPr>
        <w:t>2）由甲方或甲方指定的单位与乙方共同进行。</w:t>
      </w:r>
    </w:p>
    <w:p>
      <w:pPr>
        <w:pStyle w:val="null3"/>
        <w:ind w:firstLine="420"/>
        <w:jc w:val="both"/>
      </w:pPr>
      <w:r>
        <w:rPr>
          <w:sz w:val="21"/>
        </w:rPr>
        <w:t>（</w:t>
      </w:r>
      <w:r>
        <w:rPr>
          <w:sz w:val="21"/>
        </w:rPr>
        <w:t>3）在验收时，乙方应向甲方提供服务的相关资料（如《季度服务考核表》等）按用户需求和合同要求验收。</w:t>
      </w:r>
    </w:p>
    <w:p>
      <w:pPr>
        <w:pStyle w:val="null3"/>
      </w:pPr>
      <w:r>
        <w:rPr>
          <w:sz w:val="21"/>
          <w:b/>
        </w:rPr>
        <w:t>四、</w:t>
      </w:r>
      <w:r>
        <w:rPr>
          <w:sz w:val="21"/>
          <w:b/>
        </w:rPr>
        <w:t>服务范围</w:t>
      </w:r>
      <w:r>
        <w:rPr>
          <w:b/>
        </w:rPr>
        <w:t xml:space="preserve"> </w:t>
      </w:r>
    </w:p>
    <w:p>
      <w:pPr>
        <w:pStyle w:val="null3"/>
        <w:ind w:firstLine="422"/>
        <w:jc w:val="both"/>
      </w:pPr>
      <w:r>
        <w:rPr>
          <w:sz w:val="21"/>
          <w:b/>
        </w:rPr>
        <w:t>1．</w:t>
      </w:r>
      <w:r>
        <w:rPr>
          <w:sz w:val="21"/>
          <w:b/>
        </w:rPr>
        <w:t>甲</w:t>
      </w:r>
      <w:r>
        <w:rPr>
          <w:sz w:val="21"/>
          <w:b/>
        </w:rPr>
        <w:t>方提供</w:t>
      </w:r>
      <w:r>
        <w:rPr>
          <w:sz w:val="21"/>
          <w:b/>
        </w:rPr>
        <w:t>符合以下扣押车辆的停放场地：</w:t>
      </w:r>
    </w:p>
    <w:p>
      <w:pPr>
        <w:pStyle w:val="null3"/>
        <w:ind w:firstLine="420"/>
        <w:jc w:val="both"/>
      </w:pPr>
      <w:r>
        <w:rPr>
          <w:sz w:val="21"/>
        </w:rPr>
        <w:t>（</w:t>
      </w:r>
      <w:r>
        <w:rPr>
          <w:sz w:val="21"/>
        </w:rPr>
        <w:t>1）场地概况：东莞市公安局交通警察支队</w:t>
      </w:r>
      <w:r>
        <w:rPr>
          <w:sz w:val="21"/>
        </w:rPr>
        <w:t>高埗</w:t>
      </w:r>
      <w:r>
        <w:rPr>
          <w:sz w:val="21"/>
        </w:rPr>
        <w:t>大队涉案车辆扣押场地，用作日常执法查扣违法车辆及交通事故车辆等停放场地。场地位于</w:t>
      </w:r>
      <w:r>
        <w:rPr>
          <w:sz w:val="21"/>
        </w:rPr>
        <w:t>高埗镇振兴二环路快乐时光幼儿园对面地块，产权属高埗镇下江城村民委员会，由</w:t>
      </w:r>
      <w:r>
        <w:rPr>
          <w:sz w:val="21"/>
        </w:rPr>
        <w:t>甲乙与村委会签定租赁协议，停车场地由甲乙双方协商管理场地面积及布局。</w:t>
      </w:r>
    </w:p>
    <w:p>
      <w:pPr>
        <w:pStyle w:val="null3"/>
        <w:ind w:firstLine="420"/>
        <w:jc w:val="both"/>
      </w:pPr>
      <w:r>
        <w:rPr>
          <w:sz w:val="21"/>
        </w:rPr>
        <w:t>（</w:t>
      </w:r>
      <w:r>
        <w:rPr>
          <w:sz w:val="21"/>
        </w:rPr>
        <w:t>2）停车场四周建有封闭式的围墙，进行封闭管理，场内地面需夯实平整，预留排水槽及排水口，防止场内积水。</w:t>
      </w:r>
    </w:p>
    <w:p>
      <w:pPr>
        <w:pStyle w:val="null3"/>
        <w:ind w:firstLine="420"/>
        <w:jc w:val="both"/>
      </w:pPr>
      <w:r>
        <w:rPr>
          <w:sz w:val="21"/>
        </w:rPr>
        <w:t>（</w:t>
      </w:r>
      <w:r>
        <w:rPr>
          <w:sz w:val="21"/>
        </w:rPr>
        <w:t>4</w:t>
      </w:r>
      <w:r>
        <w:rPr>
          <w:sz w:val="21"/>
        </w:rPr>
        <w:t>）停车场必须安装视频监控（监控辐射停车场全方位，不留死角），监控探头的分辨率</w:t>
      </w:r>
      <w:r>
        <w:rPr>
          <w:sz w:val="21"/>
        </w:rPr>
        <w:t>≥1280X720P高清夜视探头，以便监管和及时处理突发事件。监控保存时间至少3个月</w:t>
      </w:r>
      <w:r>
        <w:rPr>
          <w:sz w:val="21"/>
        </w:rPr>
        <w:t>。</w:t>
      </w:r>
    </w:p>
    <w:p>
      <w:pPr>
        <w:pStyle w:val="null3"/>
        <w:ind w:firstLine="420"/>
        <w:jc w:val="both"/>
      </w:pPr>
      <w:r>
        <w:rPr>
          <w:sz w:val="21"/>
        </w:rPr>
        <w:t>（</w:t>
      </w:r>
      <w:r>
        <w:rPr>
          <w:sz w:val="21"/>
        </w:rPr>
        <w:t>5</w:t>
      </w:r>
      <w:r>
        <w:rPr>
          <w:sz w:val="21"/>
        </w:rPr>
        <w:t>）在服务期间信息系统及检测设备符合《东莞市交警支队管理信息系统技术指南》所需要求。</w:t>
      </w:r>
    </w:p>
    <w:p>
      <w:pPr>
        <w:pStyle w:val="null3"/>
        <w:ind w:firstLine="422"/>
        <w:jc w:val="both"/>
      </w:pPr>
      <w:r>
        <w:rPr>
          <w:sz w:val="21"/>
          <w:b/>
        </w:rPr>
        <w:t>2.乙方提供以下停放场地要求的配套运营管理服务</w:t>
      </w:r>
      <w:r>
        <w:rPr>
          <w:sz w:val="21"/>
          <w:b/>
        </w:rPr>
        <w:t>：</w:t>
      </w:r>
      <w:r>
        <w:rPr>
          <w:sz w:val="21"/>
          <w:b/>
        </w:rPr>
        <w:t xml:space="preserve"> </w:t>
      </w:r>
    </w:p>
    <w:p>
      <w:pPr>
        <w:pStyle w:val="null3"/>
        <w:ind w:firstLine="420"/>
      </w:pPr>
      <w:r>
        <w:rPr>
          <w:sz w:val="21"/>
        </w:rPr>
        <w:t>（</w:t>
      </w:r>
      <w:r>
        <w:rPr>
          <w:sz w:val="21"/>
        </w:rPr>
        <w:t>1</w:t>
      </w:r>
      <w:r>
        <w:rPr>
          <w:sz w:val="21"/>
        </w:rPr>
        <w:t>）</w:t>
      </w:r>
      <w:r>
        <w:rPr>
          <w:sz w:val="21"/>
        </w:rPr>
        <w:t>安排两个停车场管理员及拖车管理员同时值班，</w:t>
      </w:r>
      <w:r>
        <w:rPr>
          <w:sz w:val="21"/>
        </w:rPr>
        <w:t>24小时两班倒服务。</w:t>
      </w:r>
    </w:p>
    <w:p>
      <w:pPr>
        <w:pStyle w:val="null3"/>
        <w:ind w:firstLine="420"/>
      </w:pPr>
      <w:r>
        <w:rPr>
          <w:sz w:val="21"/>
        </w:rPr>
        <w:t>（</w:t>
      </w:r>
      <w:r>
        <w:rPr>
          <w:sz w:val="21"/>
        </w:rPr>
        <w:t>2）采取封闭式管理，做好车辆入场登记，严格按公安机关涉案扣押车场管理规定落实管理措施，根据实际情况和车辆的实际车况做好（车场放行条）的登记，并对登记的情况负责。</w:t>
      </w:r>
    </w:p>
    <w:p>
      <w:pPr>
        <w:pStyle w:val="null3"/>
        <w:ind w:firstLine="420"/>
      </w:pPr>
      <w:r>
        <w:rPr>
          <w:sz w:val="21"/>
        </w:rPr>
        <w:t>（</w:t>
      </w:r>
      <w:r>
        <w:rPr>
          <w:sz w:val="21"/>
        </w:rPr>
        <w:t>3）安排人员每周至少做一次办公区及场地保洁工作，保持室内及场地清洁。</w:t>
      </w:r>
    </w:p>
    <w:p>
      <w:pPr>
        <w:pStyle w:val="null3"/>
        <w:ind w:firstLine="420"/>
      </w:pPr>
      <w:r>
        <w:rPr>
          <w:sz w:val="21"/>
        </w:rPr>
        <w:t>（</w:t>
      </w:r>
      <w:r>
        <w:rPr>
          <w:sz w:val="21"/>
        </w:rPr>
        <w:t>4）把场地内明确划分为停车区、办公区、休息区等，停车场地面应该较平整，且做好地基夯实工程，保证入场车辆在场地内可正常行驶。</w:t>
      </w:r>
    </w:p>
    <w:p>
      <w:pPr>
        <w:pStyle w:val="null3"/>
        <w:ind w:firstLine="420"/>
      </w:pPr>
      <w:r>
        <w:rPr>
          <w:sz w:val="21"/>
        </w:rPr>
        <w:t>（</w:t>
      </w:r>
      <w:r>
        <w:rPr>
          <w:sz w:val="21"/>
        </w:rPr>
        <w:t>5）定期清理杂草，保持场地整洁;配备照明设备，保证24小时能在场地内安全开展工作。</w:t>
      </w:r>
    </w:p>
    <w:p>
      <w:pPr>
        <w:pStyle w:val="null3"/>
        <w:ind w:firstLine="420"/>
      </w:pPr>
      <w:r>
        <w:rPr>
          <w:sz w:val="21"/>
        </w:rPr>
        <w:t>（</w:t>
      </w:r>
      <w:r>
        <w:rPr>
          <w:sz w:val="21"/>
        </w:rPr>
        <w:t>6）每天早、中、晚各一次全场巡逻检查停车场情况，发现情况及时与甲方联系</w:t>
      </w:r>
      <w:r>
        <w:rPr>
          <w:sz w:val="21"/>
        </w:rPr>
        <w:t>。</w:t>
      </w:r>
    </w:p>
    <w:p>
      <w:pPr>
        <w:pStyle w:val="null3"/>
        <w:ind w:firstLine="420"/>
      </w:pPr>
      <w:r>
        <w:rPr>
          <w:sz w:val="21"/>
        </w:rPr>
        <w:t>（</w:t>
      </w:r>
      <w:r>
        <w:rPr>
          <w:sz w:val="21"/>
        </w:rPr>
        <w:t>7）积极履行保管职责诚信经营，妥善保管暂扣的车辆涉案车辆及其车上的物品，严防发生损坏、被盗等事故。车辆及其车上物品发生损坏，停车场应负全部赔偿责任。</w:t>
      </w:r>
    </w:p>
    <w:p>
      <w:pPr>
        <w:pStyle w:val="null3"/>
        <w:ind w:firstLine="422"/>
      </w:pPr>
      <w:r>
        <w:rPr>
          <w:sz w:val="21"/>
          <w:b/>
        </w:rPr>
        <w:t>3、乙方应确保在  年 月 日前将停放场地按上述要求准备好并通知甲方检查验收，具体验收情况以甲方书面意见为准。未经甲方书面验收合格的，不得视为乙方准备好了符合条件的停放场地。</w:t>
      </w:r>
      <w:r>
        <w:rPr>
          <w:sz w:val="21"/>
          <w:b/>
        </w:rPr>
        <w:t>甲方确认验收合格的，并不免除乙方后续维护及修缮责任。</w:t>
      </w:r>
    </w:p>
    <w:p>
      <w:pPr>
        <w:pStyle w:val="null3"/>
      </w:pPr>
      <w:r>
        <w:rPr>
          <w:sz w:val="21"/>
          <w:b/>
        </w:rPr>
        <w:t>五、甲方</w:t>
      </w:r>
      <w:r>
        <w:rPr>
          <w:sz w:val="21"/>
          <w:b/>
        </w:rPr>
        <w:t>、</w:t>
      </w:r>
      <w:r>
        <w:rPr>
          <w:sz w:val="21"/>
          <w:b/>
        </w:rPr>
        <w:t>乙方的权利和义务</w:t>
      </w:r>
    </w:p>
    <w:p>
      <w:pPr>
        <w:pStyle w:val="null3"/>
        <w:ind w:firstLine="422"/>
      </w:pPr>
      <w:r>
        <w:rPr>
          <w:sz w:val="21"/>
          <w:b/>
        </w:rPr>
        <w:t>1.甲方的权利义务：</w:t>
      </w:r>
    </w:p>
    <w:p>
      <w:pPr>
        <w:pStyle w:val="null3"/>
        <w:ind w:firstLine="420"/>
        <w:jc w:val="both"/>
      </w:pPr>
      <w:r>
        <w:rPr>
          <w:sz w:val="21"/>
        </w:rPr>
        <w:t>（</w:t>
      </w:r>
      <w:r>
        <w:rPr>
          <w:sz w:val="21"/>
        </w:rPr>
        <w:t>1</w:t>
      </w:r>
      <w:r>
        <w:rPr>
          <w:sz w:val="21"/>
        </w:rPr>
        <w:t>）</w:t>
      </w:r>
      <w:r>
        <w:rPr>
          <w:sz w:val="21"/>
        </w:rPr>
        <w:t>甲方有权对停车场停车设施不完善的地方要求</w:t>
      </w:r>
      <w:r>
        <w:rPr>
          <w:sz w:val="21"/>
        </w:rPr>
        <w:t>提出合理</w:t>
      </w:r>
      <w:r>
        <w:rPr>
          <w:sz w:val="21"/>
        </w:rPr>
        <w:t>整改</w:t>
      </w:r>
      <w:r>
        <w:rPr>
          <w:sz w:val="21"/>
        </w:rPr>
        <w:t>要求</w:t>
      </w:r>
      <w:r>
        <w:rPr>
          <w:sz w:val="21"/>
        </w:rPr>
        <w:t>，</w:t>
      </w:r>
      <w:r>
        <w:rPr>
          <w:sz w:val="21"/>
        </w:rPr>
        <w:t>乙方</w:t>
      </w:r>
      <w:r>
        <w:rPr>
          <w:sz w:val="21"/>
        </w:rPr>
        <w:t>必须</w:t>
      </w:r>
      <w:r>
        <w:rPr>
          <w:sz w:val="21"/>
        </w:rPr>
        <w:t>无条件</w:t>
      </w:r>
      <w:r>
        <w:rPr>
          <w:sz w:val="21"/>
        </w:rPr>
        <w:t>配合。</w:t>
      </w:r>
    </w:p>
    <w:p>
      <w:pPr>
        <w:pStyle w:val="null3"/>
        <w:ind w:firstLine="420"/>
        <w:jc w:val="both"/>
      </w:pPr>
      <w:r>
        <w:rPr>
          <w:sz w:val="21"/>
        </w:rPr>
        <w:t>（</w:t>
      </w:r>
      <w:r>
        <w:rPr>
          <w:sz w:val="21"/>
        </w:rPr>
        <w:t>2</w:t>
      </w:r>
      <w:r>
        <w:rPr>
          <w:sz w:val="21"/>
        </w:rPr>
        <w:t>）</w:t>
      </w:r>
      <w:r>
        <w:rPr>
          <w:sz w:val="21"/>
        </w:rPr>
        <w:t>甲方查扣的违法车辆及交通事故车辆需要报废时，乙方须配合甲方的报废相关工作。</w:t>
      </w:r>
    </w:p>
    <w:p>
      <w:pPr>
        <w:pStyle w:val="null3"/>
        <w:ind w:firstLine="420"/>
        <w:jc w:val="both"/>
      </w:pPr>
      <w:r>
        <w:rPr>
          <w:sz w:val="21"/>
        </w:rPr>
        <w:t>（</w:t>
      </w:r>
      <w:r>
        <w:rPr>
          <w:sz w:val="21"/>
        </w:rPr>
        <w:t>3</w:t>
      </w:r>
      <w:r>
        <w:rPr>
          <w:sz w:val="21"/>
        </w:rPr>
        <w:t>）</w:t>
      </w:r>
      <w:r>
        <w:rPr>
          <w:sz w:val="21"/>
        </w:rPr>
        <w:t>乙方在提供服务期间，</w:t>
      </w:r>
      <w:r>
        <w:rPr>
          <w:sz w:val="21"/>
        </w:rPr>
        <w:t>因乙方原因导致</w:t>
      </w:r>
      <w:r>
        <w:rPr>
          <w:sz w:val="21"/>
        </w:rPr>
        <w:t>车辆损毁，甲方有权要求乙方作出实际的赔偿损失，具体情况根据损毁车辆</w:t>
      </w:r>
      <w:r>
        <w:rPr>
          <w:sz w:val="21"/>
        </w:rPr>
        <w:t>财损情况</w:t>
      </w:r>
      <w:r>
        <w:rPr>
          <w:sz w:val="21"/>
        </w:rPr>
        <w:t>及产生的影响双方核算为准</w:t>
      </w:r>
      <w:r>
        <w:rPr>
          <w:sz w:val="21"/>
        </w:rPr>
        <w:t>。因乙方原因导致甲方遭受损失或声誉受损的，甲方有权解除本合同，追究乙方的违约责任，并追偿乙方给甲方造成的全部损失和相关费用</w:t>
      </w:r>
    </w:p>
    <w:p>
      <w:pPr>
        <w:pStyle w:val="null3"/>
        <w:ind w:firstLine="420"/>
        <w:jc w:val="both"/>
      </w:pPr>
      <w:r>
        <w:rPr>
          <w:sz w:val="21"/>
        </w:rPr>
        <w:t>（</w:t>
      </w:r>
      <w:r>
        <w:rPr>
          <w:sz w:val="21"/>
        </w:rPr>
        <w:t>4</w:t>
      </w:r>
      <w:r>
        <w:rPr>
          <w:sz w:val="21"/>
        </w:rPr>
        <w:t>）</w:t>
      </w:r>
      <w:r>
        <w:rPr>
          <w:sz w:val="21"/>
        </w:rPr>
        <w:t>甲方有权监督乙方履行合同约定的各项义务。</w:t>
      </w:r>
    </w:p>
    <w:p>
      <w:pPr>
        <w:pStyle w:val="null3"/>
        <w:ind w:firstLine="420"/>
        <w:jc w:val="both"/>
      </w:pPr>
      <w:r>
        <w:rPr>
          <w:sz w:val="21"/>
        </w:rPr>
        <w:t>（</w:t>
      </w:r>
      <w:r>
        <w:rPr>
          <w:sz w:val="21"/>
        </w:rPr>
        <w:t>5）甲方不定期对停车场管理开展检查，乙方提供的服务如违反甲方要求，每发现一次，扣减服务费一千元人民币，涉违反法律法规或合同约定的情况，甲方有权依法追究乙方法律责任。</w:t>
      </w:r>
    </w:p>
    <w:p>
      <w:pPr>
        <w:pStyle w:val="null3"/>
        <w:ind w:firstLine="420"/>
        <w:jc w:val="both"/>
      </w:pPr>
      <w:r>
        <w:rPr>
          <w:sz w:val="21"/>
        </w:rPr>
        <w:t>（</w:t>
      </w:r>
      <w:r>
        <w:rPr>
          <w:sz w:val="21"/>
        </w:rPr>
        <w:t>6）甲方</w:t>
      </w:r>
      <w:r>
        <w:rPr>
          <w:sz w:val="21"/>
        </w:rPr>
        <w:t>行使本合同项下法定或约定解除权的行使期限为：自</w:t>
      </w:r>
      <w:r>
        <w:rPr>
          <w:sz w:val="21"/>
        </w:rPr>
        <w:t>甲方</w:t>
      </w:r>
      <w:r>
        <w:rPr>
          <w:sz w:val="21"/>
        </w:rPr>
        <w:t>知道或应当知道解除事由之日起三年内。</w:t>
      </w:r>
      <w:r>
        <w:rPr>
          <w:sz w:val="21"/>
        </w:rPr>
        <w:t>甲方</w:t>
      </w:r>
      <w:r>
        <w:rPr>
          <w:sz w:val="21"/>
        </w:rPr>
        <w:t>有权单方解除合同的，亦有权要求</w:t>
      </w:r>
      <w:r>
        <w:rPr>
          <w:sz w:val="21"/>
        </w:rPr>
        <w:t>乙方</w:t>
      </w:r>
      <w:r>
        <w:rPr>
          <w:sz w:val="21"/>
        </w:rPr>
        <w:t>继续履行合同，要求继续履行合同的，不免除</w:t>
      </w:r>
      <w:r>
        <w:rPr>
          <w:sz w:val="21"/>
        </w:rPr>
        <w:t>乙方</w:t>
      </w:r>
      <w:r>
        <w:rPr>
          <w:sz w:val="21"/>
        </w:rPr>
        <w:t>的违约责任。</w:t>
      </w:r>
    </w:p>
    <w:p>
      <w:pPr>
        <w:pStyle w:val="null3"/>
        <w:ind w:firstLine="420"/>
        <w:jc w:val="both"/>
      </w:pPr>
      <w:r>
        <w:rPr>
          <w:sz w:val="21"/>
        </w:rPr>
        <w:t>（</w:t>
      </w:r>
      <w:r>
        <w:rPr>
          <w:sz w:val="21"/>
        </w:rPr>
        <w:t>7）乙方</w:t>
      </w:r>
      <w:r>
        <w:rPr>
          <w:sz w:val="21"/>
        </w:rPr>
        <w:t>不及时履行合同义务的，</w:t>
      </w:r>
      <w:r>
        <w:rPr>
          <w:sz w:val="21"/>
        </w:rPr>
        <w:t>甲方</w:t>
      </w:r>
      <w:r>
        <w:rPr>
          <w:sz w:val="21"/>
        </w:rPr>
        <w:t>有权立即委托第三方代为履行，由此产生的费用由</w:t>
      </w:r>
      <w:r>
        <w:rPr>
          <w:sz w:val="21"/>
        </w:rPr>
        <w:t>乙方</w:t>
      </w:r>
      <w:r>
        <w:rPr>
          <w:sz w:val="21"/>
        </w:rPr>
        <w:t>承担，</w:t>
      </w:r>
      <w:r>
        <w:rPr>
          <w:sz w:val="21"/>
        </w:rPr>
        <w:t>甲方</w:t>
      </w:r>
      <w:r>
        <w:rPr>
          <w:sz w:val="21"/>
        </w:rPr>
        <w:t>有权从对</w:t>
      </w:r>
      <w:r>
        <w:rPr>
          <w:sz w:val="21"/>
        </w:rPr>
        <w:t>乙方</w:t>
      </w:r>
      <w:r>
        <w:rPr>
          <w:sz w:val="21"/>
        </w:rPr>
        <w:t>的应付款项中扣除。</w:t>
      </w:r>
    </w:p>
    <w:p>
      <w:pPr>
        <w:pStyle w:val="null3"/>
        <w:ind w:firstLine="420"/>
        <w:jc w:val="both"/>
      </w:pPr>
      <w:r>
        <w:rPr>
          <w:sz w:val="21"/>
        </w:rPr>
        <w:t>（</w:t>
      </w:r>
      <w:r>
        <w:rPr>
          <w:sz w:val="21"/>
        </w:rPr>
        <w:t>8）</w:t>
      </w:r>
      <w:r>
        <w:rPr>
          <w:sz w:val="21"/>
        </w:rPr>
        <w:t>严禁</w:t>
      </w:r>
      <w:r>
        <w:rPr>
          <w:sz w:val="21"/>
        </w:rPr>
        <w:t>乙方</w:t>
      </w:r>
      <w:r>
        <w:rPr>
          <w:sz w:val="21"/>
        </w:rPr>
        <w:t>转包，未经</w:t>
      </w:r>
      <w:r>
        <w:rPr>
          <w:sz w:val="21"/>
        </w:rPr>
        <w:t>甲方</w:t>
      </w:r>
      <w:r>
        <w:rPr>
          <w:sz w:val="21"/>
        </w:rPr>
        <w:t>书面同意不得分包，否则</w:t>
      </w:r>
      <w:r>
        <w:rPr>
          <w:sz w:val="21"/>
        </w:rPr>
        <w:t>甲方</w:t>
      </w:r>
      <w:r>
        <w:rPr>
          <w:sz w:val="21"/>
        </w:rPr>
        <w:t>有权单方解除合同。</w:t>
      </w:r>
    </w:p>
    <w:p>
      <w:pPr>
        <w:pStyle w:val="null3"/>
        <w:ind w:firstLine="420"/>
        <w:jc w:val="both"/>
      </w:pPr>
      <w:r>
        <w:rPr>
          <w:sz w:val="21"/>
        </w:rPr>
        <w:t>（</w:t>
      </w:r>
      <w:r>
        <w:rPr>
          <w:sz w:val="21"/>
        </w:rPr>
        <w:t>9）乙方</w:t>
      </w:r>
      <w:r>
        <w:rPr>
          <w:sz w:val="21"/>
        </w:rPr>
        <w:t>应确保在履行合同过程中所使用的技术、设备免受第三方主张权利，否则因此产生的费用索赔等法律责任（包括但不限于向第三方的赔偿款、因此产生的诉讼费、律师费等）由</w:t>
      </w:r>
      <w:r>
        <w:rPr>
          <w:sz w:val="21"/>
        </w:rPr>
        <w:t>乙方</w:t>
      </w:r>
      <w:r>
        <w:rPr>
          <w:sz w:val="21"/>
        </w:rPr>
        <w:t>承担。</w:t>
      </w:r>
    </w:p>
    <w:p>
      <w:pPr>
        <w:pStyle w:val="null3"/>
        <w:ind w:firstLine="422"/>
      </w:pPr>
      <w:r>
        <w:rPr>
          <w:sz w:val="21"/>
          <w:b/>
        </w:rPr>
        <w:t xml:space="preserve">2. 乙方的权利和义务 </w:t>
      </w:r>
      <w:r>
        <w:rPr>
          <w:sz w:val="21"/>
          <w:b/>
        </w:rPr>
        <w:t>：</w:t>
      </w:r>
    </w:p>
    <w:p>
      <w:pPr>
        <w:pStyle w:val="null3"/>
        <w:ind w:firstLine="420"/>
        <w:jc w:val="both"/>
      </w:pPr>
      <w:r>
        <w:rPr>
          <w:sz w:val="21"/>
        </w:rPr>
        <w:t>（</w:t>
      </w:r>
      <w:r>
        <w:rPr>
          <w:sz w:val="21"/>
        </w:rPr>
        <w:t>1）乙方应严格遵守国家法律、法规，做好停车场地维护和管理工作，乙方应向保险公司购买与管理有关的财产（包含涉案扣押车辆）、人员等停车管理的相关保险，场地运营过程中造成的人员和财产损失，由</w:t>
      </w:r>
      <w:r>
        <w:rPr>
          <w:sz w:val="21"/>
        </w:rPr>
        <w:t>乙方责任</w:t>
      </w:r>
      <w:r>
        <w:rPr>
          <w:sz w:val="21"/>
        </w:rPr>
        <w:t>承担。若甲方因此承担相关责任的，有权全额向乙方追偿。</w:t>
      </w:r>
    </w:p>
    <w:p>
      <w:pPr>
        <w:pStyle w:val="null3"/>
        <w:ind w:firstLine="420"/>
        <w:jc w:val="both"/>
      </w:pPr>
      <w:r>
        <w:rPr>
          <w:sz w:val="21"/>
        </w:rPr>
        <w:t>（</w:t>
      </w:r>
      <w:r>
        <w:rPr>
          <w:sz w:val="21"/>
        </w:rPr>
        <w:t>2）乙方依法制定有关治安、消防、卫生、用电等方面的各项规章制度并负责监督实施。若乙方员工在履行场地管理过程中有违法乱纪的行为，由乙方承担一切经济责任和法律责任。</w:t>
      </w:r>
    </w:p>
    <w:p>
      <w:pPr>
        <w:pStyle w:val="null3"/>
        <w:ind w:firstLine="420"/>
        <w:jc w:val="both"/>
      </w:pPr>
      <w:r>
        <w:rPr>
          <w:sz w:val="21"/>
        </w:rPr>
        <w:t>（</w:t>
      </w:r>
      <w:r>
        <w:rPr>
          <w:sz w:val="21"/>
        </w:rPr>
        <w:t>3）乙方应当与场地运营人员签订劳动合同，为其足额购买相关保险，乙方所有工作人员发生工伤由乙方负责，提供包括护具在内履行合同所需的安全保障措施等进行合理管理。</w:t>
      </w:r>
    </w:p>
    <w:p>
      <w:pPr>
        <w:pStyle w:val="null3"/>
        <w:ind w:firstLine="420"/>
        <w:jc w:val="both"/>
      </w:pPr>
      <w:r>
        <w:rPr>
          <w:sz w:val="21"/>
        </w:rPr>
        <w:t>（</w:t>
      </w:r>
      <w:r>
        <w:rPr>
          <w:sz w:val="21"/>
        </w:rPr>
        <w:t>4）乙方及其场地运营人员不得向所有入场车辆或人员收取费用</w:t>
      </w:r>
      <w:r>
        <w:rPr>
          <w:sz w:val="21"/>
        </w:rPr>
        <w:t>（含</w:t>
      </w:r>
      <w:r>
        <w:rPr>
          <w:sz w:val="21"/>
        </w:rPr>
        <w:t>入场费、停车费、货物堆放费等费用</w:t>
      </w:r>
      <w:r>
        <w:rPr>
          <w:sz w:val="21"/>
        </w:rPr>
        <w:t>）</w:t>
      </w:r>
      <w:r>
        <w:rPr>
          <w:sz w:val="21"/>
        </w:rPr>
        <w:t>，不得有私自使用和非法占有暂扣车辆及车上物品等违法行为。一切违法车辆进场后须凭放行凭证才能放行。</w:t>
      </w:r>
    </w:p>
    <w:p>
      <w:pPr>
        <w:pStyle w:val="null3"/>
        <w:ind w:firstLine="420"/>
        <w:jc w:val="both"/>
      </w:pPr>
      <w:r>
        <w:rPr>
          <w:sz w:val="21"/>
        </w:rPr>
        <w:t>（</w:t>
      </w:r>
      <w:r>
        <w:rPr>
          <w:sz w:val="21"/>
        </w:rPr>
        <w:t>5</w:t>
      </w:r>
      <w:r>
        <w:rPr>
          <w:sz w:val="21"/>
        </w:rPr>
        <w:t>）乙方人员在履行本合同的过失或故意行为，造成甲方经济损失的，由乙方负责赔偿。</w:t>
      </w:r>
      <w:r>
        <w:rPr>
          <w:sz w:val="21"/>
        </w:rPr>
        <w:t>造成甲方损失的，甲方有权就全部损失和相关费用向乙方追偿。</w:t>
      </w:r>
    </w:p>
    <w:p>
      <w:pPr>
        <w:pStyle w:val="null3"/>
        <w:ind w:firstLine="420"/>
        <w:jc w:val="both"/>
      </w:pPr>
      <w:r>
        <w:rPr>
          <w:sz w:val="21"/>
        </w:rPr>
        <w:t>（</w:t>
      </w:r>
      <w:r>
        <w:rPr>
          <w:sz w:val="21"/>
        </w:rPr>
        <w:t>6）合同期满或合同提前解除，甲方不再选择乙方提供相关服务的，乙方应当无条件配合甲方的相关安排。</w:t>
      </w:r>
    </w:p>
    <w:p>
      <w:pPr>
        <w:pStyle w:val="null3"/>
      </w:pPr>
      <w:r>
        <w:rPr>
          <w:sz w:val="21"/>
          <w:b/>
        </w:rPr>
        <w:t>六、</w:t>
      </w:r>
      <w:r>
        <w:rPr>
          <w:sz w:val="21"/>
          <w:b/>
        </w:rPr>
        <w:t>付款方式</w:t>
      </w:r>
    </w:p>
    <w:p>
      <w:pPr>
        <w:pStyle w:val="null3"/>
        <w:ind w:firstLine="420"/>
      </w:pPr>
      <w:r>
        <w:rPr>
          <w:sz w:val="21"/>
        </w:rPr>
        <w:t>1</w:t>
      </w:r>
      <w:r>
        <w:rPr>
          <w:sz w:val="21"/>
        </w:rPr>
        <w:t>.甲方按季度支付费用给乙方，乙方完成上一季度服务后，甲方根据考核结果于本季度第一个月10日前向乙方结算上一个季度的服务费，如乙方季度考核分数低于考核标准，则按考核标准扣减后的金额计算服务费</w:t>
      </w:r>
      <w:r>
        <w:rPr>
          <w:sz w:val="21"/>
        </w:rPr>
        <w:t>。</w:t>
      </w:r>
      <w:r>
        <w:rPr>
          <w:sz w:val="21"/>
        </w:rPr>
        <w:t>乙方指定收款账户如下</w:t>
      </w:r>
      <w:r>
        <w:rPr>
          <w:sz w:val="21"/>
        </w:rPr>
        <w:t>:</w:t>
      </w:r>
    </w:p>
    <w:p>
      <w:pPr>
        <w:pStyle w:val="null3"/>
        <w:ind w:firstLine="420"/>
        <w:jc w:val="both"/>
      </w:pPr>
      <w:r>
        <w:rPr>
          <w:sz w:val="21"/>
        </w:rPr>
        <w:t>帐户名称：</w:t>
      </w:r>
    </w:p>
    <w:p>
      <w:pPr>
        <w:pStyle w:val="null3"/>
        <w:ind w:firstLine="420"/>
        <w:jc w:val="both"/>
      </w:pPr>
      <w:r>
        <w:rPr>
          <w:sz w:val="21"/>
        </w:rPr>
        <w:t>帐户号码：</w:t>
      </w:r>
    </w:p>
    <w:p>
      <w:pPr>
        <w:pStyle w:val="null3"/>
        <w:ind w:firstLine="420"/>
        <w:jc w:val="both"/>
      </w:pPr>
      <w:r>
        <w:rPr>
          <w:sz w:val="21"/>
        </w:rPr>
        <w:t>开户银行：</w:t>
      </w:r>
    </w:p>
    <w:p>
      <w:pPr>
        <w:pStyle w:val="null3"/>
        <w:ind w:firstLine="420"/>
        <w:jc w:val="both"/>
      </w:pPr>
      <w:r>
        <w:rPr>
          <w:sz w:val="21"/>
        </w:rPr>
        <w:t>2.</w:t>
      </w:r>
      <w:r>
        <w:rPr>
          <w:sz w:val="21"/>
        </w:rPr>
        <w:t>本项目的服务费用为财政性资金，相关付款应遵守东莞市财政资金支付程序规定，</w:t>
      </w:r>
      <w:r>
        <w:rPr>
          <w:sz w:val="21"/>
        </w:rPr>
        <w:t>甲方</w:t>
      </w:r>
      <w:r>
        <w:rPr>
          <w:sz w:val="21"/>
        </w:rPr>
        <w:t>按时向财政办理付款手续即视为完成付款义务。如因执行该程序而使拨款未能及时到位，</w:t>
      </w:r>
      <w:r>
        <w:rPr>
          <w:sz w:val="21"/>
        </w:rPr>
        <w:t>乙方</w:t>
      </w:r>
      <w:r>
        <w:rPr>
          <w:sz w:val="21"/>
        </w:rPr>
        <w:t>不得以此为由而不履行本合同规定的义务，也不得以此追究</w:t>
      </w:r>
      <w:r>
        <w:rPr>
          <w:sz w:val="21"/>
        </w:rPr>
        <w:t>甲方</w:t>
      </w:r>
      <w:r>
        <w:rPr>
          <w:sz w:val="21"/>
        </w:rPr>
        <w:t>任何形式的违约责任，若</w:t>
      </w:r>
      <w:r>
        <w:rPr>
          <w:sz w:val="21"/>
        </w:rPr>
        <w:t>乙方</w:t>
      </w:r>
      <w:r>
        <w:rPr>
          <w:sz w:val="21"/>
        </w:rPr>
        <w:t>以此为由不履行本合同规定的义务的，属于</w:t>
      </w:r>
      <w:r>
        <w:rPr>
          <w:sz w:val="21"/>
        </w:rPr>
        <w:t>乙方</w:t>
      </w:r>
      <w:r>
        <w:rPr>
          <w:sz w:val="21"/>
        </w:rPr>
        <w:t>违约。</w:t>
      </w:r>
    </w:p>
    <w:p>
      <w:pPr>
        <w:pStyle w:val="null3"/>
        <w:ind w:firstLine="420"/>
        <w:jc w:val="both"/>
      </w:pPr>
      <w:r>
        <w:rPr>
          <w:sz w:val="21"/>
        </w:rPr>
        <w:t>3.</w:t>
      </w:r>
      <w:r>
        <w:rPr>
          <w:sz w:val="21"/>
        </w:rPr>
        <w:t>在</w:t>
      </w:r>
      <w:r>
        <w:rPr>
          <w:sz w:val="21"/>
        </w:rPr>
        <w:t>甲方</w:t>
      </w:r>
      <w:r>
        <w:rPr>
          <w:sz w:val="21"/>
        </w:rPr>
        <w:t>付款前，</w:t>
      </w:r>
      <w:r>
        <w:rPr>
          <w:sz w:val="21"/>
        </w:rPr>
        <w:t>乙方</w:t>
      </w:r>
      <w:r>
        <w:rPr>
          <w:sz w:val="21"/>
        </w:rPr>
        <w:t>须提交请款报告及出具有效服务发票，</w:t>
      </w:r>
      <w:r>
        <w:rPr>
          <w:sz w:val="21"/>
        </w:rPr>
        <w:t>乙方</w:t>
      </w:r>
      <w:r>
        <w:rPr>
          <w:sz w:val="21"/>
        </w:rPr>
        <w:t>开出的所有发票都须与其的单位名称一致，</w:t>
      </w:r>
      <w:r>
        <w:rPr>
          <w:sz w:val="21"/>
        </w:rPr>
        <w:t>乙方</w:t>
      </w:r>
      <w:r>
        <w:rPr>
          <w:sz w:val="21"/>
        </w:rPr>
        <w:t>未及时提交相关资料的，</w:t>
      </w:r>
      <w:r>
        <w:rPr>
          <w:sz w:val="21"/>
        </w:rPr>
        <w:t>甲方</w:t>
      </w:r>
      <w:r>
        <w:rPr>
          <w:sz w:val="21"/>
        </w:rPr>
        <w:t>有权顺延付款时间，由此产生的损失和责任由</w:t>
      </w:r>
      <w:r>
        <w:rPr>
          <w:sz w:val="21"/>
        </w:rPr>
        <w:t>乙方</w:t>
      </w:r>
      <w:r>
        <w:rPr>
          <w:sz w:val="21"/>
        </w:rPr>
        <w:t>自行承担。</w:t>
      </w:r>
    </w:p>
    <w:p>
      <w:pPr>
        <w:pStyle w:val="null3"/>
      </w:pPr>
      <w:r>
        <w:rPr>
          <w:sz w:val="21"/>
          <w:b/>
        </w:rPr>
        <w:t>七、</w:t>
      </w:r>
      <w:r>
        <w:rPr>
          <w:sz w:val="21"/>
          <w:b/>
        </w:rPr>
        <w:t>保密</w:t>
      </w:r>
      <w:r>
        <w:rPr>
          <w:sz w:val="21"/>
          <w:b/>
        </w:rPr>
        <w:t>协议</w:t>
      </w:r>
    </w:p>
    <w:p>
      <w:pPr>
        <w:pStyle w:val="null3"/>
        <w:ind w:firstLine="420"/>
      </w:pPr>
      <w:r>
        <w:rPr>
          <w:sz w:val="21"/>
        </w:rPr>
        <w:t>1. 任何一方未经对方书面同意，不得转让本协议项下的任何一项权利和义务。</w:t>
      </w:r>
    </w:p>
    <w:p>
      <w:pPr>
        <w:pStyle w:val="null3"/>
        <w:ind w:firstLine="420"/>
      </w:pPr>
      <w:r>
        <w:rPr>
          <w:sz w:val="21"/>
        </w:rPr>
        <w:t>2.未经甲方书面许可，乙方不得向第三方泄露车辆及有关当事人的信息</w:t>
      </w:r>
      <w:r>
        <w:rPr>
          <w:sz w:val="21"/>
        </w:rPr>
        <w:t>,乙方应采取有力措施保障相关秘密不泄露</w:t>
      </w:r>
      <w:r>
        <w:rPr>
          <w:sz w:val="21"/>
        </w:rPr>
        <w:t>。乙方</w:t>
      </w:r>
      <w:r>
        <w:rPr>
          <w:sz w:val="21"/>
        </w:rPr>
        <w:t>也</w:t>
      </w:r>
      <w:r>
        <w:rPr>
          <w:sz w:val="21"/>
        </w:rPr>
        <w:t>不得向任何人或机构提供涉案人员、车辆的任何信息，涉违反法律法规的情况，移送公安机关处理。</w:t>
      </w:r>
    </w:p>
    <w:p>
      <w:pPr>
        <w:pStyle w:val="null3"/>
      </w:pPr>
      <w:r>
        <w:rPr>
          <w:sz w:val="21"/>
          <w:b/>
        </w:rPr>
        <w:t>八、</w:t>
      </w:r>
      <w:r>
        <w:rPr>
          <w:sz w:val="21"/>
          <w:b/>
        </w:rPr>
        <w:t>违约责任与赔偿损失</w:t>
      </w:r>
      <w:r>
        <w:rPr>
          <w:sz w:val="21"/>
          <w:b/>
        </w:rPr>
        <w:t>和合同解除</w:t>
      </w:r>
    </w:p>
    <w:p>
      <w:pPr>
        <w:pStyle w:val="null3"/>
        <w:ind w:firstLine="420"/>
      </w:pPr>
      <w:r>
        <w:rPr>
          <w:sz w:val="21"/>
        </w:rPr>
        <w:t>1.乙方提供的服务不符合本合同规定的，甲方有权要求乙方作出整改，如整改内容（内容可同或者不同）不符合甲方要求三次或以上，乙方向甲方偿付</w:t>
      </w:r>
      <w:r>
        <w:rPr>
          <w:sz w:val="21"/>
        </w:rPr>
        <w:t>合同总价</w:t>
      </w:r>
      <w:r>
        <w:rPr>
          <w:sz w:val="21"/>
        </w:rPr>
        <w:t>5%的</w:t>
      </w:r>
      <w:r>
        <w:rPr>
          <w:sz w:val="21"/>
        </w:rPr>
        <w:t>数额</w:t>
      </w:r>
      <w:r>
        <w:rPr>
          <w:sz w:val="21"/>
        </w:rPr>
        <w:t>违约金，并赔偿甲方的经济损失，甲方亦有权单方</w:t>
      </w:r>
      <w:r>
        <w:rPr>
          <w:sz w:val="21"/>
        </w:rPr>
        <w:t>解除</w:t>
      </w:r>
      <w:r>
        <w:rPr>
          <w:sz w:val="21"/>
        </w:rPr>
        <w:t>合同。</w:t>
      </w:r>
    </w:p>
    <w:p>
      <w:pPr>
        <w:pStyle w:val="null3"/>
        <w:ind w:firstLine="420"/>
      </w:pPr>
      <w:r>
        <w:rPr>
          <w:sz w:val="21"/>
        </w:rPr>
        <w:t>2.乙方未能按本合同规定的时间要求提供场地服务</w:t>
      </w:r>
      <w:r>
        <w:rPr>
          <w:sz w:val="21"/>
        </w:rPr>
        <w:t>及拖车服务</w:t>
      </w:r>
      <w:r>
        <w:rPr>
          <w:sz w:val="21"/>
        </w:rPr>
        <w:t>，从逾期之日起每日按本合同总价</w:t>
      </w:r>
      <w:r>
        <w:rPr>
          <w:sz w:val="21"/>
        </w:rPr>
        <w:t>3‰的数额向甲方支付违约金；逾期半个月以上的，</w:t>
      </w:r>
      <w:r>
        <w:rPr>
          <w:sz w:val="21"/>
        </w:rPr>
        <w:t>甲方有权单方解除</w:t>
      </w:r>
      <w:r>
        <w:rPr>
          <w:sz w:val="21"/>
        </w:rPr>
        <w:t>合同</w:t>
      </w:r>
      <w:r>
        <w:rPr>
          <w:sz w:val="21"/>
        </w:rPr>
        <w:t>，</w:t>
      </w:r>
      <w:r>
        <w:rPr>
          <w:sz w:val="21"/>
        </w:rPr>
        <w:t>乙方向甲方偿付</w:t>
      </w:r>
      <w:r>
        <w:rPr>
          <w:sz w:val="21"/>
        </w:rPr>
        <w:t>合同总价</w:t>
      </w:r>
      <w:r>
        <w:rPr>
          <w:sz w:val="21"/>
        </w:rPr>
        <w:t>5%的</w:t>
      </w:r>
      <w:r>
        <w:rPr>
          <w:sz w:val="21"/>
        </w:rPr>
        <w:t>数额</w:t>
      </w:r>
      <w:r>
        <w:rPr>
          <w:sz w:val="21"/>
        </w:rPr>
        <w:t>违约金，并赔偿甲方的经济损失。</w:t>
      </w:r>
    </w:p>
    <w:p>
      <w:pPr>
        <w:pStyle w:val="null3"/>
        <w:ind w:firstLine="420"/>
      </w:pPr>
      <w:r>
        <w:rPr>
          <w:sz w:val="21"/>
        </w:rPr>
        <w:t>3</w:t>
      </w:r>
      <w:r>
        <w:rPr>
          <w:sz w:val="21"/>
        </w:rPr>
        <w:t>.乙方</w:t>
      </w:r>
      <w:r>
        <w:rPr>
          <w:sz w:val="21"/>
        </w:rPr>
        <w:t>不</w:t>
      </w:r>
      <w:r>
        <w:rPr>
          <w:sz w:val="21"/>
        </w:rPr>
        <w:t>按合同约定履行保密义务的，应向甲方偿付</w:t>
      </w:r>
      <w:r>
        <w:rPr>
          <w:sz w:val="21"/>
        </w:rPr>
        <w:t>合同总价</w:t>
      </w:r>
      <w:r>
        <w:rPr>
          <w:sz w:val="21"/>
        </w:rPr>
        <w:t>1</w:t>
      </w:r>
      <w:r>
        <w:rPr>
          <w:sz w:val="21"/>
        </w:rPr>
        <w:t>%的</w:t>
      </w:r>
      <w:r>
        <w:rPr>
          <w:sz w:val="21"/>
        </w:rPr>
        <w:t>数额</w:t>
      </w:r>
      <w:r>
        <w:rPr>
          <w:sz w:val="21"/>
        </w:rPr>
        <w:t>违约金，并赔偿</w:t>
      </w:r>
      <w:r>
        <w:rPr>
          <w:sz w:val="21"/>
        </w:rPr>
        <w:t>由此造成</w:t>
      </w:r>
      <w:r>
        <w:rPr>
          <w:sz w:val="21"/>
        </w:rPr>
        <w:t>甲方的经济损失，甲方有权单方</w:t>
      </w:r>
      <w:r>
        <w:rPr>
          <w:sz w:val="21"/>
        </w:rPr>
        <w:t>解除</w:t>
      </w:r>
      <w:r>
        <w:rPr>
          <w:sz w:val="21"/>
        </w:rPr>
        <w:t>合同。</w:t>
      </w:r>
    </w:p>
    <w:p>
      <w:pPr>
        <w:pStyle w:val="null3"/>
        <w:ind w:firstLine="420"/>
      </w:pPr>
      <w:r>
        <w:rPr>
          <w:sz w:val="21"/>
        </w:rPr>
        <w:t>4</w:t>
      </w:r>
      <w:r>
        <w:rPr>
          <w:sz w:val="21"/>
        </w:rPr>
        <w:t>.</w:t>
      </w:r>
      <w:r>
        <w:rPr>
          <w:sz w:val="21"/>
        </w:rPr>
        <w:t>乙方不得将场地擅自转租、转让、转借给第三人，或和其他租户交换场地，违反规定的，乙方应向甲方偿付合同总价</w:t>
      </w:r>
      <w:r>
        <w:rPr>
          <w:sz w:val="21"/>
        </w:rPr>
        <w:t>5%的数额违约金，并赔偿甲方的经济损失，甲方有权单方解除</w:t>
      </w:r>
      <w:r>
        <w:rPr>
          <w:sz w:val="21"/>
        </w:rPr>
        <w:t>合同</w:t>
      </w:r>
      <w:r>
        <w:rPr>
          <w:sz w:val="21"/>
        </w:rPr>
        <w:t>。</w:t>
      </w:r>
    </w:p>
    <w:p>
      <w:pPr>
        <w:pStyle w:val="null3"/>
        <w:ind w:firstLine="420"/>
      </w:pPr>
      <w:r>
        <w:rPr>
          <w:sz w:val="21"/>
        </w:rPr>
        <w:t>5.乙方违约行为致使甲方本合同目的不能履行的，甲方有权单方解除</w:t>
      </w:r>
      <w:r>
        <w:rPr>
          <w:sz w:val="21"/>
        </w:rPr>
        <w:t>合同</w:t>
      </w:r>
      <w:r>
        <w:rPr>
          <w:sz w:val="21"/>
        </w:rPr>
        <w:t>。</w:t>
      </w:r>
    </w:p>
    <w:p>
      <w:pPr>
        <w:pStyle w:val="null3"/>
        <w:ind w:firstLine="420"/>
      </w:pPr>
      <w:r>
        <w:rPr>
          <w:sz w:val="21"/>
        </w:rPr>
        <w:t>6.乙方服务期间存在弄虚作假行为的，每车每次罚款</w:t>
      </w:r>
      <w:r>
        <w:rPr>
          <w:sz w:val="21"/>
          <w:u w:val="single"/>
        </w:rPr>
        <w:t>贰仟元</w:t>
      </w:r>
      <w:r>
        <w:rPr>
          <w:sz w:val="21"/>
        </w:rPr>
        <w:t>人民币，并赔偿由此造成甲方的经济损失，甲方有权单方解除</w:t>
      </w:r>
      <w:r>
        <w:rPr>
          <w:sz w:val="21"/>
        </w:rPr>
        <w:t>合同</w:t>
      </w:r>
      <w:r>
        <w:rPr>
          <w:sz w:val="21"/>
        </w:rPr>
        <w:t>。</w:t>
      </w:r>
    </w:p>
    <w:p>
      <w:pPr>
        <w:pStyle w:val="null3"/>
        <w:ind w:firstLine="420"/>
      </w:pPr>
      <w:r>
        <w:rPr>
          <w:sz w:val="21"/>
        </w:rPr>
        <w:t>7.</w:t>
      </w:r>
      <w:r>
        <w:rPr>
          <w:sz w:val="21"/>
        </w:rPr>
        <w:t>合同生效后，如因</w:t>
      </w:r>
      <w:r>
        <w:rPr>
          <w:sz w:val="21"/>
        </w:rPr>
        <w:t>乙方</w:t>
      </w:r>
      <w:r>
        <w:rPr>
          <w:sz w:val="21"/>
        </w:rPr>
        <w:t>原因导致合同提前解除或终止的（包括但不限于</w:t>
      </w:r>
      <w:r>
        <w:rPr>
          <w:sz w:val="21"/>
        </w:rPr>
        <w:t>甲方</w:t>
      </w:r>
      <w:r>
        <w:rPr>
          <w:sz w:val="21"/>
        </w:rPr>
        <w:t>有权单方解除合同的情况），</w:t>
      </w:r>
      <w:r>
        <w:rPr>
          <w:sz w:val="21"/>
        </w:rPr>
        <w:t>乙方</w:t>
      </w:r>
      <w:r>
        <w:rPr>
          <w:sz w:val="21"/>
        </w:rPr>
        <w:t>应向</w:t>
      </w:r>
      <w:r>
        <w:rPr>
          <w:sz w:val="21"/>
        </w:rPr>
        <w:t>甲方</w:t>
      </w:r>
      <w:r>
        <w:rPr>
          <w:sz w:val="21"/>
        </w:rPr>
        <w:t>支付合同总价款</w:t>
      </w:r>
      <w:r>
        <w:rPr>
          <w:sz w:val="21"/>
        </w:rPr>
        <w:t xml:space="preserve">  </w:t>
      </w:r>
      <w:r>
        <w:rPr>
          <w:sz w:val="21"/>
        </w:rPr>
        <w:t>%的违约金，</w:t>
      </w:r>
      <w:r>
        <w:rPr>
          <w:sz w:val="21"/>
        </w:rPr>
        <w:t>甲方</w:t>
      </w:r>
      <w:r>
        <w:rPr>
          <w:sz w:val="21"/>
        </w:rPr>
        <w:t>与</w:t>
      </w:r>
      <w:r>
        <w:rPr>
          <w:sz w:val="21"/>
        </w:rPr>
        <w:t>乙方</w:t>
      </w:r>
      <w:r>
        <w:rPr>
          <w:sz w:val="21"/>
        </w:rPr>
        <w:t>按经</w:t>
      </w:r>
      <w:r>
        <w:rPr>
          <w:sz w:val="21"/>
        </w:rPr>
        <w:t>甲方</w:t>
      </w:r>
      <w:r>
        <w:rPr>
          <w:sz w:val="21"/>
        </w:rPr>
        <w:t>及财政审核确认</w:t>
      </w:r>
      <w:r>
        <w:rPr>
          <w:sz w:val="21"/>
        </w:rPr>
        <w:t>乙方</w:t>
      </w:r>
      <w:r>
        <w:rPr>
          <w:sz w:val="21"/>
        </w:rPr>
        <w:t>实际工作量与</w:t>
      </w:r>
      <w:r>
        <w:rPr>
          <w:sz w:val="21"/>
        </w:rPr>
        <w:t>乙方</w:t>
      </w:r>
      <w:r>
        <w:rPr>
          <w:sz w:val="21"/>
        </w:rPr>
        <w:t>结算。违约金不足以弥补</w:t>
      </w:r>
      <w:r>
        <w:rPr>
          <w:sz w:val="21"/>
        </w:rPr>
        <w:t>甲方</w:t>
      </w:r>
      <w:r>
        <w:rPr>
          <w:sz w:val="21"/>
        </w:rPr>
        <w:t>损失的，</w:t>
      </w:r>
      <w:r>
        <w:rPr>
          <w:sz w:val="21"/>
        </w:rPr>
        <w:t>甲方</w:t>
      </w:r>
      <w:r>
        <w:rPr>
          <w:sz w:val="21"/>
        </w:rPr>
        <w:t>有权向</w:t>
      </w:r>
      <w:r>
        <w:rPr>
          <w:sz w:val="21"/>
        </w:rPr>
        <w:t>乙方</w:t>
      </w:r>
      <w:r>
        <w:rPr>
          <w:sz w:val="21"/>
        </w:rPr>
        <w:t>追偿。</w:t>
      </w:r>
      <w:r>
        <w:rPr>
          <w:sz w:val="21"/>
        </w:rPr>
        <w:t>乙方</w:t>
      </w:r>
      <w:r>
        <w:rPr>
          <w:sz w:val="21"/>
        </w:rPr>
        <w:t>因此而遭受的损失，将由</w:t>
      </w:r>
      <w:r>
        <w:rPr>
          <w:sz w:val="21"/>
        </w:rPr>
        <w:t>乙方</w:t>
      </w:r>
      <w:r>
        <w:rPr>
          <w:sz w:val="21"/>
        </w:rPr>
        <w:t>独立承担，</w:t>
      </w:r>
      <w:r>
        <w:rPr>
          <w:sz w:val="21"/>
        </w:rPr>
        <w:t>甲方</w:t>
      </w:r>
      <w:r>
        <w:rPr>
          <w:sz w:val="21"/>
        </w:rPr>
        <w:t>对此不负任何责任，也不作任何赔偿。此条款与该违法行为在本合同中已有的违约责任同时适用。</w:t>
      </w:r>
    </w:p>
    <w:p>
      <w:pPr>
        <w:pStyle w:val="null3"/>
        <w:ind w:firstLine="420"/>
      </w:pPr>
      <w:r>
        <w:rPr>
          <w:sz w:val="21"/>
        </w:rPr>
        <w:t>8</w:t>
      </w:r>
      <w:r>
        <w:rPr>
          <w:sz w:val="21"/>
        </w:rPr>
        <w:t>.</w:t>
      </w:r>
      <w:r>
        <w:rPr>
          <w:sz w:val="21"/>
        </w:rPr>
        <w:t>由于</w:t>
      </w:r>
      <w:r>
        <w:rPr>
          <w:sz w:val="21"/>
        </w:rPr>
        <w:t>乙方</w:t>
      </w:r>
      <w:r>
        <w:rPr>
          <w:sz w:val="21"/>
        </w:rPr>
        <w:t>的原因，导致双方签订的合同终止，</w:t>
      </w:r>
      <w:r>
        <w:rPr>
          <w:sz w:val="21"/>
        </w:rPr>
        <w:t>乙方</w:t>
      </w:r>
      <w:r>
        <w:rPr>
          <w:sz w:val="21"/>
        </w:rPr>
        <w:t>因此而遭受的损失，将由</w:t>
      </w:r>
      <w:r>
        <w:rPr>
          <w:sz w:val="21"/>
        </w:rPr>
        <w:t>乙方</w:t>
      </w:r>
      <w:r>
        <w:rPr>
          <w:sz w:val="21"/>
        </w:rPr>
        <w:t>独立承担，</w:t>
      </w:r>
      <w:r>
        <w:rPr>
          <w:sz w:val="21"/>
        </w:rPr>
        <w:t>甲方</w:t>
      </w:r>
      <w:r>
        <w:rPr>
          <w:sz w:val="21"/>
        </w:rPr>
        <w:t>对此不负任何责任，也不作任何赔偿。</w:t>
      </w:r>
    </w:p>
    <w:p>
      <w:pPr>
        <w:pStyle w:val="null3"/>
        <w:ind w:firstLine="420"/>
      </w:pPr>
      <w:r>
        <w:rPr>
          <w:sz w:val="21"/>
        </w:rPr>
        <w:t>9</w:t>
      </w:r>
      <w:r>
        <w:rPr>
          <w:sz w:val="21"/>
        </w:rPr>
        <w:t>.</w:t>
      </w:r>
      <w:r>
        <w:rPr>
          <w:sz w:val="21"/>
        </w:rPr>
        <w:t>乙方</w:t>
      </w:r>
      <w:r>
        <w:rPr>
          <w:sz w:val="21"/>
        </w:rPr>
        <w:t>违约的，还应承担</w:t>
      </w:r>
      <w:r>
        <w:rPr>
          <w:sz w:val="21"/>
        </w:rPr>
        <w:t>甲方</w:t>
      </w:r>
      <w:r>
        <w:rPr>
          <w:sz w:val="21"/>
        </w:rPr>
        <w:t>为了维护合法权益所支出的律师费、保全费、公证费、财产保全担保费、鉴定费、专家论证费等全部费用以及在争议期间为了协调各方所支出的费用。</w:t>
      </w:r>
    </w:p>
    <w:p>
      <w:pPr>
        <w:pStyle w:val="null3"/>
        <w:ind w:firstLine="420"/>
      </w:pPr>
      <w:r>
        <w:rPr>
          <w:sz w:val="21"/>
        </w:rPr>
        <w:t>10.其他违约责任按《中国人民共和国民法典》的相关法律规定处理</w:t>
      </w:r>
    </w:p>
    <w:p>
      <w:pPr>
        <w:pStyle w:val="null3"/>
      </w:pPr>
      <w:r>
        <w:rPr>
          <w:sz w:val="21"/>
          <w:b/>
        </w:rPr>
        <w:t>九、附则</w:t>
      </w:r>
    </w:p>
    <w:p>
      <w:pPr>
        <w:pStyle w:val="null3"/>
        <w:ind w:firstLine="420"/>
        <w:jc w:val="both"/>
      </w:pPr>
      <w:r>
        <w:rPr>
          <w:sz w:val="21"/>
        </w:rPr>
        <w:t>1.</w:t>
      </w:r>
      <w:r>
        <w:rPr>
          <w:sz w:val="21"/>
        </w:rPr>
        <w:t>凡因本合同或与本合同有关的一切争议</w:t>
      </w:r>
      <w:r>
        <w:rPr>
          <w:sz w:val="21"/>
        </w:rPr>
        <w:t>,甲乙双方应友好协商,如协商不成,提交甲方所在地法院</w:t>
      </w:r>
      <w:r>
        <w:rPr>
          <w:sz w:val="21"/>
        </w:rPr>
        <w:t>仲裁</w:t>
      </w:r>
      <w:r>
        <w:rPr>
          <w:sz w:val="21"/>
        </w:rPr>
        <w:t>。</w:t>
      </w:r>
    </w:p>
    <w:p>
      <w:pPr>
        <w:pStyle w:val="null3"/>
        <w:ind w:firstLine="420"/>
        <w:jc w:val="both"/>
      </w:pPr>
      <w:r>
        <w:rPr>
          <w:sz w:val="21"/>
        </w:rPr>
        <w:t>2.</w:t>
      </w:r>
      <w:r>
        <w:rPr>
          <w:sz w:val="21"/>
        </w:rPr>
        <w:t>经协商一致</w:t>
      </w:r>
      <w:r>
        <w:rPr>
          <w:sz w:val="21"/>
        </w:rPr>
        <w:t>,甲乙双方可以</w:t>
      </w:r>
      <w:r>
        <w:rPr>
          <w:sz w:val="21"/>
        </w:rPr>
        <w:t>以书面形式</w:t>
      </w:r>
      <w:r>
        <w:rPr>
          <w:sz w:val="21"/>
        </w:rPr>
        <w:t>修改本协议或对未尽事宜进行</w:t>
      </w:r>
      <w:r>
        <w:rPr>
          <w:sz w:val="21"/>
        </w:rPr>
        <w:t>书面</w:t>
      </w:r>
      <w:r>
        <w:rPr>
          <w:sz w:val="21"/>
        </w:rPr>
        <w:t>补充</w:t>
      </w:r>
      <w:r>
        <w:rPr>
          <w:sz w:val="21"/>
        </w:rPr>
        <w:t>;补充、修改内容与本合同相冲突的,以补充、修改后的内容为准。</w:t>
      </w:r>
    </w:p>
    <w:p>
      <w:pPr>
        <w:pStyle w:val="null3"/>
        <w:ind w:firstLine="420"/>
      </w:pPr>
      <w:r>
        <w:rPr>
          <w:sz w:val="21"/>
        </w:rPr>
        <w:t>3</w:t>
      </w:r>
      <w:r>
        <w:rPr>
          <w:sz w:val="21"/>
        </w:rPr>
        <w:t>.本合同一式</w:t>
      </w:r>
      <w:r>
        <w:rPr>
          <w:sz w:val="21"/>
        </w:rPr>
        <w:t>肆</w:t>
      </w:r>
      <w:r>
        <w:rPr>
          <w:sz w:val="21"/>
        </w:rPr>
        <w:t>份，</w:t>
      </w:r>
      <w:r>
        <w:rPr>
          <w:sz w:val="21"/>
        </w:rPr>
        <w:t>具有同等的法律效力，</w:t>
      </w:r>
      <w:r>
        <w:rPr>
          <w:sz w:val="21"/>
        </w:rPr>
        <w:t>甲方</w:t>
      </w:r>
      <w:r>
        <w:rPr>
          <w:sz w:val="21"/>
        </w:rPr>
        <w:t>贰</w:t>
      </w:r>
      <w:r>
        <w:rPr>
          <w:sz w:val="21"/>
        </w:rPr>
        <w:t>份，乙方</w:t>
      </w:r>
      <w:r>
        <w:rPr>
          <w:sz w:val="21"/>
        </w:rPr>
        <w:t>贰</w:t>
      </w:r>
      <w:r>
        <w:rPr>
          <w:sz w:val="21"/>
        </w:rPr>
        <w:t>份。自甲乙双方法定代表人或授权代表签字并加盖公章之日起生效。</w:t>
      </w:r>
    </w:p>
    <w:p>
      <w:pPr>
        <w:pStyle w:val="null3"/>
        <w:ind w:firstLine="420"/>
      </w:pPr>
      <w:r>
        <w:rPr>
          <w:sz w:val="21"/>
        </w:rPr>
        <w:t>4. 双方确认本合同所述的住所用于接收双方的通知及其他相关材料，亦作为发生纠纷时人民法院向合同方送达诉讼文书等材料的地址，如上述地址变更，变更方应在变更后的三个工作日内书面通知对方或告知人民法院。如因合同当事方提供的地址不准确、地址变更后未能及时依程序告知对方或者法院，合同当事方或指定的接收人拒绝签收等原因，导致文件材料、通知或者诉讼材料未能被合同当事方实际接收的，则邮寄送达，以文件退回之日视为送达之日；直接送达的，以送达人当场在送达回证上记明情况之日视为送达之日。乙方的联系方式及地址如下：</w:t>
      </w:r>
    </w:p>
    <w:p>
      <w:pPr>
        <w:pStyle w:val="null3"/>
        <w:ind w:firstLine="420"/>
      </w:pPr>
      <w:r>
        <w:rPr>
          <w:sz w:val="21"/>
        </w:rPr>
        <w:t>乙方联系人：</w:t>
      </w:r>
      <w:r>
        <w:rPr>
          <w:sz w:val="21"/>
        </w:rPr>
        <w:t xml:space="preserve">           </w:t>
      </w:r>
      <w:r>
        <w:rPr>
          <w:sz w:val="21"/>
        </w:rPr>
        <w:t>联系电话：</w:t>
      </w:r>
      <w:r>
        <w:rPr>
          <w:sz w:val="21"/>
        </w:rPr>
        <w:t xml:space="preserve">          </w:t>
      </w:r>
      <w:r>
        <w:rPr>
          <w:sz w:val="21"/>
        </w:rPr>
        <w:t>邮箱：</w:t>
      </w:r>
      <w:r>
        <w:rPr>
          <w:sz w:val="21"/>
        </w:rPr>
        <w:t xml:space="preserve">        </w:t>
      </w:r>
      <w:r>
        <w:rPr>
          <w:sz w:val="21"/>
        </w:rPr>
        <w:t>送达地址：</w:t>
      </w:r>
    </w:p>
    <w:tbl>
      <w:tblPr>
        <w:tblW w:w="0" w:type="auto"/>
        <w:tblBorders>
          <w:top w:val="none" w:color="000000" w:sz="4"/>
          <w:left w:val="none" w:color="000000" w:sz="4"/>
          <w:bottom w:val="none" w:color="000000" w:sz="4"/>
          <w:right w:val="none" w:color="000000" w:sz="4"/>
          <w:insideH w:val="none"/>
          <w:insideV w:val="none"/>
        </w:tblBorders>
      </w:tblPr>
      <w:tblGrid>
        <w:gridCol w:w="4145"/>
        <w:gridCol w:w="4145"/>
      </w:tblGrid>
      <w:tr>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甲方（公章）：</w:t>
            </w: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乙方（公章）：</w:t>
            </w:r>
          </w:p>
        </w:tc>
      </w:tr>
      <w:tr>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w:t>
            </w:r>
          </w:p>
          <w:p>
            <w:pPr>
              <w:pStyle w:val="null3"/>
              <w:jc w:val="both"/>
            </w:pPr>
            <w:r>
              <w:rPr>
                <w:sz w:val="21"/>
              </w:rPr>
              <w:t>授权代表（签字）：</w:t>
            </w:r>
          </w:p>
          <w:p>
            <w:pPr>
              <w:pStyle w:val="null3"/>
              <w:jc w:val="both"/>
            </w:pP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w:t>
            </w:r>
          </w:p>
          <w:p>
            <w:pPr>
              <w:pStyle w:val="null3"/>
              <w:jc w:val="both"/>
            </w:pPr>
            <w:r>
              <w:rPr>
                <w:sz w:val="21"/>
              </w:rPr>
              <w:t>授权代表（签字）：</w:t>
            </w:r>
          </w:p>
        </w:tc>
      </w:tr>
      <w:tr>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p>
            <w:pPr>
              <w:pStyle w:val="null3"/>
              <w:jc w:val="both"/>
            </w:pP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p>
            <w:pPr>
              <w:pStyle w:val="null3"/>
              <w:jc w:val="both"/>
            </w:pPr>
          </w:p>
        </w:tc>
      </w:tr>
      <w:tr>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r>
      <w:tr>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签约时间：</w:t>
            </w: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签约时间：</w:t>
            </w:r>
          </w:p>
        </w:tc>
      </w:tr>
    </w:tbl>
    <w:p>
      <w:pPr>
        <w:pStyle w:val="null3"/>
        <w:jc w:val="left"/>
      </w:pPr>
      <w:r>
        <w:rPr>
          <w:sz w:val="21"/>
          <w:b/>
        </w:rPr>
        <w:t>附件：</w:t>
      </w:r>
    </w:p>
    <w:p>
      <w:pPr>
        <w:pStyle w:val="null3"/>
        <w:ind w:firstLine="480"/>
        <w:jc w:val="center"/>
      </w:pPr>
      <w:r>
        <w:rPr>
          <w:sz w:val="21"/>
          <w:b/>
        </w:rPr>
        <w:t>季度服务考核表</w:t>
      </w:r>
    </w:p>
    <w:tbl>
      <w:tblPr>
        <w:tblW w:w="0" w:type="auto"/>
        <w:tblBorders>
          <w:top w:val="none" w:color="000000" w:sz="4"/>
          <w:left w:val="none" w:color="000000" w:sz="4"/>
          <w:bottom w:val="none" w:color="000000" w:sz="4"/>
          <w:right w:val="none" w:color="000000" w:sz="4"/>
          <w:insideH w:val="none"/>
          <w:insideV w:val="none"/>
        </w:tblBorders>
      </w:tblPr>
      <w:tblGrid>
        <w:gridCol w:w="795"/>
        <w:gridCol w:w="795"/>
        <w:gridCol w:w="795"/>
        <w:gridCol w:w="1560"/>
        <w:gridCol w:w="1575"/>
        <w:gridCol w:w="1290"/>
        <w:gridCol w:w="1395"/>
      </w:tblGrid>
      <w:tr>
        <w:tc>
          <w:tcPr>
            <w:tcW w:type="dxa" w:w="8205"/>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考核单位：</w:t>
            </w:r>
            <w:r>
              <w:rPr>
                <w:sz w:val="21"/>
              </w:rPr>
              <w:t xml:space="preserve">                               </w:t>
            </w:r>
            <w:r>
              <w:rPr>
                <w:sz w:val="21"/>
              </w:rPr>
              <w:t>被考核单位：</w:t>
            </w: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7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情况</w:t>
            </w:r>
          </w:p>
        </w:tc>
        <w:tc>
          <w:tcPr>
            <w:tcW w:type="dxa" w:w="7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分项</w:t>
            </w:r>
          </w:p>
        </w:tc>
        <w:tc>
          <w:tcPr>
            <w:tcW w:type="dxa" w:w="1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评价标准</w:t>
            </w:r>
          </w:p>
        </w:tc>
        <w:tc>
          <w:tcPr>
            <w:tcW w:type="dxa" w:w="1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评价</w:t>
            </w:r>
          </w:p>
        </w:tc>
        <w:tc>
          <w:tcPr>
            <w:tcW w:type="dxa" w:w="1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c>
          <w:tcPr>
            <w:tcW w:type="dxa" w:w="1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7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服务人员情况</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人员配备情况</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停车场管理人员储备数量及在岗在位</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□优秀（5分）</w:t>
            </w:r>
          </w:p>
          <w:p>
            <w:pPr>
              <w:pStyle w:val="null3"/>
              <w:jc w:val="both"/>
            </w:pPr>
            <w:r>
              <w:rPr>
                <w:sz w:val="21"/>
              </w:rPr>
              <w:t>□良好（3分）</w:t>
            </w:r>
          </w:p>
          <w:p>
            <w:pPr>
              <w:pStyle w:val="null3"/>
              <w:jc w:val="both"/>
            </w:pPr>
            <w:r>
              <w:rPr>
                <w:sz w:val="21"/>
              </w:rPr>
              <w:t>□一般（1分）</w:t>
            </w:r>
          </w:p>
          <w:p>
            <w:pPr>
              <w:pStyle w:val="null3"/>
              <w:jc w:val="both"/>
            </w:pPr>
            <w:r>
              <w:rPr>
                <w:sz w:val="21"/>
              </w:rPr>
              <w:t>□差（0分）</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5"/>
            <w:vMerge/>
            <w:tcBorders>
              <w:top w:val="none" w:color="000000" w:sz="4"/>
              <w:left w:val="singl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人员业务能力</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停车场管理人员规范业务处置、业务水平，遵守规章制度</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□优秀（5分）</w:t>
            </w:r>
          </w:p>
          <w:p>
            <w:pPr>
              <w:pStyle w:val="null3"/>
              <w:jc w:val="both"/>
            </w:pPr>
            <w:r>
              <w:rPr>
                <w:sz w:val="21"/>
              </w:rPr>
              <w:t>□良好（3分）</w:t>
            </w:r>
          </w:p>
          <w:p>
            <w:pPr>
              <w:pStyle w:val="null3"/>
              <w:jc w:val="both"/>
            </w:pPr>
            <w:r>
              <w:rPr>
                <w:sz w:val="21"/>
              </w:rPr>
              <w:t>□一般（1分）</w:t>
            </w:r>
          </w:p>
          <w:p>
            <w:pPr>
              <w:pStyle w:val="null3"/>
              <w:jc w:val="both"/>
            </w:pPr>
            <w:r>
              <w:rPr>
                <w:sz w:val="21"/>
              </w:rPr>
              <w:t>□差（0分）</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场地运转情况</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场地基本情况</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场地平整，相关构筑物完好</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□优秀（5分）</w:t>
            </w:r>
          </w:p>
          <w:p>
            <w:pPr>
              <w:pStyle w:val="null3"/>
              <w:jc w:val="both"/>
            </w:pPr>
            <w:r>
              <w:rPr>
                <w:sz w:val="21"/>
              </w:rPr>
              <w:t>□良好（3分）</w:t>
            </w:r>
          </w:p>
          <w:p>
            <w:pPr>
              <w:pStyle w:val="null3"/>
              <w:jc w:val="both"/>
            </w:pPr>
            <w:r>
              <w:rPr>
                <w:sz w:val="21"/>
              </w:rPr>
              <w:t>□一般（1分）</w:t>
            </w:r>
          </w:p>
          <w:p>
            <w:pPr>
              <w:pStyle w:val="null3"/>
              <w:jc w:val="both"/>
            </w:pPr>
            <w:r>
              <w:rPr>
                <w:sz w:val="21"/>
              </w:rPr>
              <w:t>□差（0分）</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5"/>
            <w:vMerge/>
            <w:tcBorders>
              <w:top w:val="none" w:color="000000" w:sz="4"/>
              <w:left w:val="singl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场地消防设施</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场地消防设施的配置及运转</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□优秀（5分）</w:t>
            </w:r>
          </w:p>
          <w:p>
            <w:pPr>
              <w:pStyle w:val="null3"/>
              <w:jc w:val="both"/>
            </w:pPr>
            <w:r>
              <w:rPr>
                <w:sz w:val="21"/>
              </w:rPr>
              <w:t>□良好（3分）</w:t>
            </w:r>
          </w:p>
          <w:p>
            <w:pPr>
              <w:pStyle w:val="null3"/>
              <w:jc w:val="both"/>
            </w:pPr>
            <w:r>
              <w:rPr>
                <w:sz w:val="21"/>
              </w:rPr>
              <w:t>□一般（1分）</w:t>
            </w:r>
          </w:p>
          <w:p>
            <w:pPr>
              <w:pStyle w:val="null3"/>
              <w:jc w:val="both"/>
            </w:pPr>
            <w:r>
              <w:rPr>
                <w:sz w:val="21"/>
              </w:rPr>
              <w:t>□差（0分）</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5"/>
            <w:vMerge/>
            <w:tcBorders>
              <w:top w:val="none" w:color="000000" w:sz="4"/>
              <w:left w:val="singl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场地电子监控设备、照明设施等</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场地监控设备（视频至少保存</w:t>
            </w:r>
            <w:r>
              <w:rPr>
                <w:sz w:val="21"/>
              </w:rPr>
              <w:t>3个月以上）、照明设备（保证24小时安全开展工作）</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□优秀（5分）</w:t>
            </w:r>
          </w:p>
          <w:p>
            <w:pPr>
              <w:pStyle w:val="null3"/>
              <w:jc w:val="both"/>
            </w:pPr>
            <w:r>
              <w:rPr>
                <w:sz w:val="21"/>
              </w:rPr>
              <w:t>□良好（3分）</w:t>
            </w:r>
          </w:p>
          <w:p>
            <w:pPr>
              <w:pStyle w:val="null3"/>
              <w:jc w:val="both"/>
            </w:pPr>
            <w:r>
              <w:rPr>
                <w:sz w:val="21"/>
              </w:rPr>
              <w:t>□一般（1分）</w:t>
            </w:r>
          </w:p>
          <w:p>
            <w:pPr>
              <w:pStyle w:val="null3"/>
              <w:jc w:val="both"/>
            </w:pPr>
            <w:r>
              <w:rPr>
                <w:sz w:val="21"/>
              </w:rPr>
              <w:t>□差（0分）</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拖车服务质量情况</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反应速度</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专业车辆到达作业现场是否及时</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□优秀（10分）</w:t>
            </w:r>
          </w:p>
          <w:p>
            <w:pPr>
              <w:pStyle w:val="null3"/>
              <w:jc w:val="both"/>
            </w:pPr>
            <w:r>
              <w:rPr>
                <w:sz w:val="21"/>
              </w:rPr>
              <w:t>□良好（7分）</w:t>
            </w:r>
          </w:p>
          <w:p>
            <w:pPr>
              <w:pStyle w:val="null3"/>
              <w:jc w:val="both"/>
            </w:pPr>
            <w:r>
              <w:rPr>
                <w:sz w:val="21"/>
              </w:rPr>
              <w:t>□一般（3分）</w:t>
            </w:r>
          </w:p>
          <w:p>
            <w:pPr>
              <w:pStyle w:val="null3"/>
              <w:jc w:val="both"/>
            </w:pPr>
            <w:r>
              <w:rPr>
                <w:sz w:val="21"/>
              </w:rPr>
              <w:t>□差（0分）</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5"/>
            <w:vMerge/>
            <w:tcBorders>
              <w:top w:val="none" w:color="000000" w:sz="4"/>
              <w:left w:val="singl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服务质量</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质量作业及工作人员行为举止规范</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□优秀（5分）</w:t>
            </w:r>
          </w:p>
          <w:p>
            <w:pPr>
              <w:pStyle w:val="null3"/>
              <w:jc w:val="both"/>
            </w:pPr>
            <w:r>
              <w:rPr>
                <w:sz w:val="21"/>
              </w:rPr>
              <w:t>□良好（3分）</w:t>
            </w:r>
          </w:p>
          <w:p>
            <w:pPr>
              <w:pStyle w:val="null3"/>
              <w:jc w:val="both"/>
            </w:pPr>
            <w:r>
              <w:rPr>
                <w:sz w:val="21"/>
              </w:rPr>
              <w:t>□一般（1分）</w:t>
            </w:r>
          </w:p>
          <w:p>
            <w:pPr>
              <w:pStyle w:val="null3"/>
              <w:jc w:val="both"/>
            </w:pPr>
            <w:r>
              <w:rPr>
                <w:sz w:val="21"/>
              </w:rPr>
              <w:t>□差（0分）</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5"/>
            <w:vMerge/>
            <w:tcBorders>
              <w:top w:val="none" w:color="000000" w:sz="4"/>
              <w:left w:val="singl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配套设备数量、质量</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配套设备数量及运转</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□优秀（5分）</w:t>
            </w:r>
          </w:p>
          <w:p>
            <w:pPr>
              <w:pStyle w:val="null3"/>
              <w:jc w:val="both"/>
            </w:pPr>
            <w:r>
              <w:rPr>
                <w:sz w:val="21"/>
              </w:rPr>
              <w:t>□良好（3分）</w:t>
            </w:r>
          </w:p>
          <w:p>
            <w:pPr>
              <w:pStyle w:val="null3"/>
              <w:jc w:val="both"/>
            </w:pPr>
            <w:r>
              <w:rPr>
                <w:sz w:val="21"/>
              </w:rPr>
              <w:t>□一般（1分）</w:t>
            </w:r>
          </w:p>
          <w:p>
            <w:pPr>
              <w:pStyle w:val="null3"/>
              <w:jc w:val="both"/>
            </w:pPr>
            <w:r>
              <w:rPr>
                <w:sz w:val="21"/>
              </w:rPr>
              <w:t>□差（0分）</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车辆保管和处置情况</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车辆数量</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涉案、查扣及事故车辆数量</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此项满分</w:t>
            </w:r>
            <w:r>
              <w:rPr>
                <w:sz w:val="21"/>
              </w:rPr>
              <w:t>15分， 每少一辆车辆扣15分，无下限。</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5"/>
            <w:vMerge/>
            <w:tcBorders>
              <w:top w:val="none" w:color="000000" w:sz="4"/>
              <w:left w:val="singl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车辆保管</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涉案、查扣及事故车辆车况异常变化，车辆外表、零件出现缺损（不可抗力导致的情况除外）</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□优秀（10分）</w:t>
            </w:r>
          </w:p>
          <w:p>
            <w:pPr>
              <w:pStyle w:val="null3"/>
              <w:jc w:val="both"/>
            </w:pPr>
            <w:r>
              <w:rPr>
                <w:sz w:val="21"/>
              </w:rPr>
              <w:t>□良好（7分）</w:t>
            </w:r>
          </w:p>
          <w:p>
            <w:pPr>
              <w:pStyle w:val="null3"/>
              <w:jc w:val="both"/>
            </w:pPr>
            <w:r>
              <w:rPr>
                <w:sz w:val="21"/>
              </w:rPr>
              <w:t>□一般（3分）</w:t>
            </w:r>
          </w:p>
          <w:p>
            <w:pPr>
              <w:pStyle w:val="null3"/>
              <w:jc w:val="both"/>
            </w:pPr>
            <w:r>
              <w:rPr>
                <w:sz w:val="21"/>
              </w:rPr>
              <w:t>□差（0分）</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5"/>
            <w:vMerge/>
            <w:tcBorders>
              <w:top w:val="none" w:color="000000" w:sz="4"/>
              <w:left w:val="singl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车辆处置</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及时配合进行涉案、查扣及事故车辆处置工作</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□优秀（5分）</w:t>
            </w:r>
          </w:p>
          <w:p>
            <w:pPr>
              <w:pStyle w:val="null3"/>
              <w:jc w:val="both"/>
            </w:pPr>
            <w:r>
              <w:rPr>
                <w:sz w:val="21"/>
              </w:rPr>
              <w:t>□良好（3分）</w:t>
            </w:r>
          </w:p>
          <w:p>
            <w:pPr>
              <w:pStyle w:val="null3"/>
              <w:jc w:val="both"/>
            </w:pPr>
            <w:r>
              <w:rPr>
                <w:sz w:val="21"/>
              </w:rPr>
              <w:t>□一般（1分）</w:t>
            </w:r>
          </w:p>
          <w:p>
            <w:pPr>
              <w:pStyle w:val="null3"/>
              <w:jc w:val="both"/>
            </w:pPr>
            <w:r>
              <w:rPr>
                <w:sz w:val="21"/>
              </w:rPr>
              <w:t>□差（0分）</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收费情况</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不按规定乱收车主费用</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此项满分</w:t>
            </w:r>
            <w:r>
              <w:rPr>
                <w:sz w:val="21"/>
              </w:rPr>
              <w:t>15分， 每发现一次扣15分，扣分不设下限。</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巡检情况</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按执法部门规定时间、次数、要求进行协助（包括如遇包括针对台风、暴雨等天气影响、突击查处行动等）</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□优秀（5分）</w:t>
            </w:r>
          </w:p>
          <w:p>
            <w:pPr>
              <w:pStyle w:val="null3"/>
              <w:jc w:val="both"/>
            </w:pPr>
            <w:r>
              <w:rPr>
                <w:sz w:val="21"/>
              </w:rPr>
              <w:t>□良好（3分）</w:t>
            </w:r>
          </w:p>
          <w:p>
            <w:pPr>
              <w:pStyle w:val="null3"/>
              <w:jc w:val="both"/>
            </w:pPr>
            <w:r>
              <w:rPr>
                <w:sz w:val="21"/>
              </w:rPr>
              <w:t>□一般（1分）</w:t>
            </w:r>
          </w:p>
          <w:p>
            <w:pPr>
              <w:pStyle w:val="null3"/>
              <w:jc w:val="both"/>
            </w:pPr>
            <w:r>
              <w:rPr>
                <w:sz w:val="21"/>
              </w:rPr>
              <w:t>□差（0分）</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地磅服务</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按规定时间、要求进行服务</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□优秀（5分）</w:t>
            </w:r>
          </w:p>
          <w:p>
            <w:pPr>
              <w:pStyle w:val="null3"/>
              <w:jc w:val="both"/>
            </w:pPr>
            <w:r>
              <w:rPr>
                <w:sz w:val="21"/>
              </w:rPr>
              <w:t>□良好（3分）</w:t>
            </w:r>
          </w:p>
          <w:p>
            <w:pPr>
              <w:pStyle w:val="null3"/>
              <w:jc w:val="both"/>
            </w:pPr>
            <w:r>
              <w:rPr>
                <w:sz w:val="21"/>
              </w:rPr>
              <w:t>□一般（1分）</w:t>
            </w:r>
          </w:p>
          <w:p>
            <w:pPr>
              <w:pStyle w:val="null3"/>
              <w:jc w:val="both"/>
            </w:pPr>
            <w:r>
              <w:rPr>
                <w:sz w:val="21"/>
              </w:rPr>
              <w:t>□差（0分）</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其他情况</w:t>
            </w:r>
          </w:p>
        </w:tc>
        <w:tc>
          <w:tcPr>
            <w:tcW w:type="dxa" w:w="31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2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合计（满分</w:t>
            </w:r>
            <w:r>
              <w:rPr>
                <w:sz w:val="21"/>
              </w:rPr>
              <w:t>100分）：</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按合同规定本月应付服务费：</w:t>
            </w:r>
            <w:r>
              <w:rPr>
                <w:sz w:val="21"/>
              </w:rPr>
              <w:t xml:space="preserve">   </w:t>
            </w:r>
            <w:r>
              <w:rPr>
                <w:sz w:val="21"/>
              </w:rPr>
              <w:t>元；考评应扣服务费：</w:t>
            </w:r>
            <w:r>
              <w:rPr>
                <w:sz w:val="21"/>
              </w:rPr>
              <w:t xml:space="preserve">   </w:t>
            </w:r>
            <w:r>
              <w:rPr>
                <w:sz w:val="21"/>
              </w:rPr>
              <w:t>元；本月实付服务费：</w:t>
            </w:r>
            <w:r>
              <w:rPr>
                <w:sz w:val="21"/>
              </w:rPr>
              <w:t xml:space="preserve">  </w:t>
            </w:r>
            <w:r>
              <w:rPr>
                <w:sz w:val="21"/>
              </w:rPr>
              <w:t>元。</w:t>
            </w:r>
          </w:p>
        </w:tc>
      </w:tr>
      <w:tr>
        <w:tc>
          <w:tcPr>
            <w:tcW w:type="dxa" w:w="82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考评人员签名：</w:t>
            </w:r>
          </w:p>
        </w:tc>
      </w:tr>
      <w:tr>
        <w:tc>
          <w:tcPr>
            <w:tcW w:type="dxa" w:w="82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考评时段：</w:t>
            </w:r>
            <w:r>
              <w:rPr>
                <w:sz w:val="21"/>
              </w:rPr>
              <w:t>20  年  月  日至20  年  月  日          考评日期：20  年  月  日</w:t>
            </w:r>
          </w:p>
        </w:tc>
      </w:tr>
      <w:tr>
        <w:tc>
          <w:tcPr>
            <w:tcW w:type="dxa" w:w="82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说明：</w:t>
            </w:r>
          </w:p>
          <w:p>
            <w:pPr>
              <w:pStyle w:val="null3"/>
              <w:jc w:val="both"/>
            </w:pPr>
            <w:r>
              <w:rPr>
                <w:sz w:val="21"/>
              </w:rPr>
              <w:t>①考核期为每一季度服务完成后，具体时间采购人另行通知；</w:t>
            </w:r>
          </w:p>
          <w:p>
            <w:pPr>
              <w:pStyle w:val="null3"/>
              <w:jc w:val="both"/>
            </w:pPr>
            <w:r>
              <w:rPr>
                <w:sz w:val="21"/>
              </w:rPr>
              <w:t>②考核总分≥90分，全额支付当月服务费；</w:t>
            </w:r>
          </w:p>
          <w:p>
            <w:pPr>
              <w:pStyle w:val="null3"/>
              <w:jc w:val="both"/>
            </w:pPr>
            <w:r>
              <w:rPr>
                <w:sz w:val="21"/>
              </w:rPr>
              <w:t>③考核总分＜90分，该期按照每低于1分扣减当季服务费总额的0.3%违约金后的费用支付；</w:t>
            </w:r>
          </w:p>
          <w:p>
            <w:pPr>
              <w:pStyle w:val="null3"/>
              <w:jc w:val="both"/>
            </w:pPr>
            <w:r>
              <w:rPr>
                <w:sz w:val="21"/>
              </w:rPr>
              <w:t>④考核总分≤85分，采购人下达限期整改通知书；</w:t>
            </w:r>
          </w:p>
          <w:p>
            <w:pPr>
              <w:pStyle w:val="null3"/>
              <w:jc w:val="both"/>
            </w:pPr>
            <w:r>
              <w:rPr>
                <w:sz w:val="21"/>
              </w:rPr>
              <w:t>⑤如一年内有2次以上考核总分≤85分，采购人有权无条件终止合同并按合同条款执行违约责任与赔偿损失 。</w:t>
            </w:r>
          </w:p>
        </w:tc>
      </w:tr>
    </w:tbl>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441900036-2024-00645</w:t>
      </w:r>
    </w:p>
    <w:p>
      <w:pPr>
        <w:pStyle w:val="null3"/>
        <w:jc w:val="center"/>
        <w:outlineLvl w:val="3"/>
      </w:pPr>
      <w:r>
        <w:rPr>
          <w:sz w:val="24"/>
          <w:b/>
        </w:rPr>
        <w:t>采购项目编号：</w:t>
      </w:r>
      <w:r>
        <w:rPr>
          <w:sz w:val="24"/>
          <w:b/>
        </w:rPr>
        <w:t>441900036-2024-00645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东莞市公安局交通警察支队高埗大队扣押车场保管服务、拖车服务项目</w:t>
      </w:r>
      <w:r>
        <w:rPr>
          <w:u w:val="single"/>
        </w:rPr>
        <w:t>”</w:t>
      </w:r>
      <w:r>
        <w:rPr/>
        <w:t>项目的招标[采购项目编号为：</w:t>
      </w:r>
      <w:r>
        <w:rPr>
          <w:u w:val="single"/>
        </w:rPr>
        <w:t>441900036-2024-00645</w:t>
      </w:r>
      <w:r>
        <w:rPr/>
        <w:t>]，我方愿参与投标。</w:t>
      </w:r>
    </w:p>
    <w:p>
      <w:pPr>
        <w:pStyle w:val="null3"/>
        <w:ind w:firstLine="480"/>
      </w:pPr>
      <w:r>
        <w:rPr/>
        <w:t>我方确认收到贵方提供的</w:t>
      </w:r>
      <w:r>
        <w:rPr>
          <w:u w:val="single"/>
        </w:rPr>
        <w:t>“</w:t>
      </w:r>
      <w:r>
        <w:rPr>
          <w:u w:val="single"/>
        </w:rPr>
        <w:t>东莞市公安局交通警察支队高埗大队扣押车场保管服务、拖车服务项目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东莞市公安局交通警察支队高埗大队扣押车场保管服务、拖车服务项目</w:t>
      </w:r>
      <w:r>
        <w:rPr/>
        <w:t>”项目采购[采购项目编号为</w:t>
      </w:r>
      <w:r>
        <w:rPr/>
        <w:t>441900036-2024-00645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东莞市公安局交通警察支队高埗大队</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东莞市公安局交通警察支队高埗大队扣押车场保管服务、拖车服务项目</w:t>
      </w:r>
      <w:r>
        <w:rPr/>
        <w:t>招标中获中标（采购项目编号：</w:t>
      </w:r>
      <w:r>
        <w:rPr/>
        <w:t>441900036-2024-00645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东莞市公安局交通警察支队高埗大队扣押车场保管服务、拖车服务项目</w:t>
      </w:r>
      <w:r>
        <w:rPr/>
        <w:t>”项目（采购项目编号：</w:t>
      </w:r>
      <w:r>
        <w:rPr/>
        <w:t>441900036-2024-00645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