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rPr>
        <w:t>国内采购</w:t>
      </w:r>
    </w:p>
    <w:p>
      <w:pPr>
        <w:pStyle w:val="10"/>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6"/>
        <w:ind w:firstLine="240"/>
        <w:rPr>
          <w:rFonts w:ascii="黑体" w:eastAsia="黑体"/>
          <w:color w:val="auto"/>
          <w:szCs w:val="21"/>
          <w:highlight w:val="none"/>
        </w:rPr>
      </w:pPr>
    </w:p>
    <w:p>
      <w:pPr>
        <w:pStyle w:val="26"/>
        <w:ind w:left="0" w:firstLine="0" w:firstLineChars="0"/>
        <w:rPr>
          <w:rFonts w:ascii="黑体" w:eastAsia="黑体"/>
          <w:color w:val="auto"/>
          <w:szCs w:val="21"/>
          <w:highlight w:val="none"/>
        </w:rPr>
      </w:pPr>
    </w:p>
    <w:tbl>
      <w:tblPr>
        <w:tblStyle w:val="28"/>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GDZT2024166A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厚街镇新围社区居委会旧楼三楼会议室采购项目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东莞市厚街镇新围股份经济联合社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3"/>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pPr>
        <w:pStyle w:val="23"/>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pPr>
        <w:pStyle w:val="23"/>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pPr>
        <w:pStyle w:val="23"/>
        <w:ind w:left="0" w:leftChars="0"/>
        <w:rPr>
          <w:color w:val="auto"/>
          <w:sz w:val="40"/>
          <w:szCs w:val="40"/>
          <w:highlight w:val="none"/>
        </w:rPr>
      </w:pPr>
      <w:r>
        <w:rPr>
          <w:rFonts w:hint="eastAsia"/>
          <w:color w:val="auto"/>
          <w:sz w:val="40"/>
          <w:szCs w:val="40"/>
          <w:highlight w:val="none"/>
        </w:rPr>
        <w:t>目录</w:t>
      </w:r>
    </w:p>
    <w:p>
      <w:pPr>
        <w:pStyle w:val="23"/>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62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65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75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75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77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78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79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80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81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82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83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84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85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86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87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87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88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89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90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91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92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93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95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96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3"/>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pPr>
        <w:pStyle w:val="4"/>
        <w:jc w:val="center"/>
        <w:rPr>
          <w:rFonts w:ascii="宋体" w:hAnsi="宋体" w:cs="宋体"/>
          <w:color w:val="auto"/>
          <w:highlight w:val="none"/>
        </w:rPr>
      </w:pPr>
      <w:bookmarkStart w:id="2" w:name="_Toc8850"/>
      <w:bookmarkStart w:id="3" w:name="_Toc1420"/>
      <w:bookmarkStart w:id="4" w:name="_Toc7123"/>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东莞市厚街镇新围股份经济联合社</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厚街镇新围社区居委会旧楼三楼会议室采购项目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GDZT2024166A</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厚街镇新围社区居委会旧楼三楼会议室采购项目</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7"/>
        <w:tblW w:w="45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
        <w:gridCol w:w="4623"/>
        <w:gridCol w:w="826"/>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99"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07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549"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078"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299"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1</w:t>
            </w:r>
          </w:p>
        </w:tc>
        <w:tc>
          <w:tcPr>
            <w:tcW w:w="3073" w:type="pct"/>
            <w:noWrap/>
            <w:tcMar>
              <w:top w:w="15" w:type="dxa"/>
              <w:left w:w="15" w:type="dxa"/>
              <w:right w:w="15" w:type="dxa"/>
            </w:tcMar>
            <w:vAlign w:val="center"/>
          </w:tcPr>
          <w:p>
            <w:pPr>
              <w:spacing w:line="24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厚街镇新围社区居委会旧楼三楼会议室采购项目</w:t>
            </w:r>
          </w:p>
        </w:tc>
        <w:tc>
          <w:tcPr>
            <w:tcW w:w="549"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1项</w:t>
            </w:r>
          </w:p>
        </w:tc>
        <w:tc>
          <w:tcPr>
            <w:tcW w:w="1078" w:type="pct"/>
            <w:noWrap/>
            <w:tcMar>
              <w:top w:w="15" w:type="dxa"/>
              <w:left w:w="15" w:type="dxa"/>
              <w:right w:w="15" w:type="dxa"/>
            </w:tcMar>
            <w:vAlign w:val="center"/>
          </w:tcPr>
          <w:p>
            <w:pPr>
              <w:spacing w:line="240" w:lineRule="auto"/>
              <w:jc w:val="center"/>
              <w:textAlignment w:val="center"/>
              <w:rPr>
                <w:rFonts w:ascii="宋体" w:hAnsi="宋体"/>
                <w:color w:val="auto"/>
                <w:szCs w:val="21"/>
                <w:highlight w:val="none"/>
              </w:rPr>
            </w:pPr>
            <w:r>
              <w:rPr>
                <w:rFonts w:hint="eastAsia" w:ascii="宋体" w:hAnsi="宋体"/>
                <w:color w:val="auto"/>
                <w:szCs w:val="21"/>
                <w:highlight w:val="none"/>
                <w:lang w:val="en-US" w:eastAsia="zh-CN"/>
              </w:rPr>
              <w:t>565,553.16</w:t>
            </w:r>
            <w:r>
              <w:rPr>
                <w:rFonts w:hint="eastAsia" w:ascii="宋体" w:hAnsi="宋体"/>
                <w:color w:val="auto"/>
                <w:szCs w:val="21"/>
                <w:highlight w:val="none"/>
              </w:rPr>
              <w:t>元</w:t>
            </w:r>
          </w:p>
        </w:tc>
      </w:tr>
    </w:tbl>
    <w:p>
      <w:pPr>
        <w:pStyle w:val="10"/>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（1）须符合《中华人民共和国政府采购法》第二十二条规定（提供书面承诺）；</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11</w:t>
      </w:r>
      <w:r>
        <w:rPr>
          <w:rFonts w:hint="eastAsia" w:ascii="宋体" w:hAnsi="宋体"/>
          <w:color w:val="auto"/>
          <w:szCs w:val="21"/>
          <w:highlight w:val="none"/>
        </w:rPr>
        <w:t>月</w:t>
      </w:r>
      <w:r>
        <w:rPr>
          <w:rFonts w:hint="eastAsia" w:ascii="宋体" w:hAnsi="宋体"/>
          <w:color w:val="auto"/>
          <w:szCs w:val="21"/>
          <w:highlight w:val="none"/>
          <w:lang w:val="en-US" w:eastAsia="zh-CN"/>
        </w:rPr>
        <w:t>13</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11</w:t>
      </w:r>
      <w:r>
        <w:rPr>
          <w:rFonts w:hint="eastAsia" w:ascii="宋体" w:hAnsi="宋体"/>
          <w:color w:val="auto"/>
          <w:szCs w:val="21"/>
          <w:highlight w:val="none"/>
        </w:rPr>
        <w:t>月</w:t>
      </w:r>
      <w:r>
        <w:rPr>
          <w:rFonts w:hint="eastAsia" w:ascii="宋体" w:hAnsi="宋体"/>
          <w:color w:val="auto"/>
          <w:szCs w:val="21"/>
          <w:highlight w:val="none"/>
          <w:lang w:val="en-US" w:eastAsia="zh-CN"/>
        </w:rPr>
        <w:t>20</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rPr>
        <w:t xml:space="preserve">2024年11月13日起至2024年11月20日（节假日除外），上午9：00～12：00，下午14：30～17：30（北京时间）。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梁先生</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梁先生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12</w:t>
      </w:r>
      <w:r>
        <w:rPr>
          <w:rFonts w:hint="eastAsia" w:ascii="宋体" w:hAnsi="宋体"/>
          <w:bCs/>
          <w:color w:val="auto"/>
          <w:szCs w:val="21"/>
          <w:highlight w:val="none"/>
        </w:rPr>
        <w:t>月</w:t>
      </w:r>
      <w:r>
        <w:rPr>
          <w:rFonts w:hint="eastAsia" w:ascii="宋体" w:hAnsi="宋体"/>
          <w:bCs/>
          <w:color w:val="auto"/>
          <w:szCs w:val="21"/>
          <w:highlight w:val="none"/>
          <w:lang w:val="en-US" w:eastAsia="zh-CN"/>
        </w:rPr>
        <w:t>4</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：00～</w:t>
      </w:r>
      <w:r>
        <w:rPr>
          <w:rFonts w:hint="eastAsia" w:ascii="宋体" w:hAnsi="宋体"/>
          <w:bCs/>
          <w:color w:val="auto"/>
          <w:szCs w:val="21"/>
          <w:highlight w:val="none"/>
          <w:lang w:val="en-US" w:eastAsia="zh-CN"/>
        </w:rPr>
        <w:t>9</w:t>
      </w:r>
      <w:r>
        <w:rPr>
          <w:rFonts w:hint="eastAsia" w:ascii="宋体" w:hAnsi="宋体"/>
          <w:bCs/>
          <w:color w:val="auto"/>
          <w:szCs w:val="21"/>
          <w:highlight w:val="none"/>
        </w:rPr>
        <w:t>：30。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12</w:t>
      </w:r>
      <w:r>
        <w:rPr>
          <w:rFonts w:hint="eastAsia" w:ascii="宋体" w:hAnsi="宋体"/>
          <w:bCs/>
          <w:color w:val="auto"/>
          <w:szCs w:val="21"/>
          <w:highlight w:val="none"/>
        </w:rPr>
        <w:t>月</w:t>
      </w:r>
      <w:r>
        <w:rPr>
          <w:rFonts w:hint="eastAsia" w:ascii="宋体" w:hAnsi="宋体"/>
          <w:bCs/>
          <w:color w:val="auto"/>
          <w:szCs w:val="21"/>
          <w:highlight w:val="none"/>
          <w:lang w:val="en-US" w:eastAsia="zh-CN"/>
        </w:rPr>
        <w:t>4</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时30分。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采购人联系人：</w:t>
      </w:r>
      <w:r>
        <w:rPr>
          <w:rFonts w:hint="eastAsia" w:ascii="宋体" w:hAnsi="宋体"/>
          <w:bCs/>
          <w:color w:val="auto"/>
          <w:szCs w:val="21"/>
          <w:highlight w:val="none"/>
          <w:lang w:val="en-US" w:eastAsia="zh-CN"/>
        </w:rPr>
        <w:t>刘工</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地址：</w:t>
      </w:r>
      <w:r>
        <w:rPr>
          <w:rFonts w:hint="eastAsia" w:ascii="宋体" w:hAnsi="宋体"/>
          <w:bCs/>
          <w:color w:val="auto"/>
          <w:szCs w:val="21"/>
          <w:highlight w:val="none"/>
          <w:lang w:val="en-US" w:eastAsia="zh-CN"/>
        </w:rPr>
        <w:t>东莞市厚街镇</w:t>
      </w:r>
    </w:p>
    <w:p>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联系电话：</w:t>
      </w:r>
      <w:r>
        <w:rPr>
          <w:rFonts w:hint="eastAsia" w:ascii="宋体" w:hAnsi="宋体"/>
          <w:bCs/>
          <w:color w:val="auto"/>
          <w:szCs w:val="21"/>
          <w:highlight w:val="none"/>
          <w:lang w:val="en-US" w:eastAsia="zh-CN"/>
        </w:rPr>
        <w:t>0769-81717138</w:t>
      </w:r>
    </w:p>
    <w:p>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lang w:val="en-US" w:eastAsia="zh-CN"/>
        </w:rPr>
        <w:t xml:space="preserve"> </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2024年</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月</w:t>
      </w:r>
    </w:p>
    <w:p>
      <w:pPr>
        <w:pStyle w:val="10"/>
        <w:rPr>
          <w:color w:val="auto"/>
          <w:sz w:val="21"/>
          <w:szCs w:val="21"/>
          <w:highlight w:val="none"/>
        </w:rPr>
      </w:pPr>
    </w:p>
    <w:p>
      <w:pPr>
        <w:pStyle w:val="3"/>
        <w:spacing w:before="0" w:after="0" w:line="240" w:lineRule="auto"/>
        <w:rPr>
          <w:color w:val="auto"/>
          <w:sz w:val="28"/>
          <w:szCs w:val="28"/>
          <w:highlight w:val="none"/>
        </w:rPr>
      </w:pPr>
      <w:bookmarkStart w:id="5" w:name="_Toc24505"/>
      <w:bookmarkStart w:id="6" w:name="_Toc28550"/>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7"/>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Cs/>
                <w:color w:val="auto"/>
                <w:szCs w:val="21"/>
                <w:highlight w:val="none"/>
              </w:rPr>
            </w:pPr>
            <w:r>
              <w:rPr>
                <w:rFonts w:hint="eastAsia" w:ascii="宋体" w:hAnsi="宋体"/>
                <w:bCs/>
                <w:color w:val="auto"/>
                <w:szCs w:val="21"/>
                <w:highlight w:val="none"/>
              </w:rPr>
              <w:t>所属行业：工业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lang w:eastAsia="zh-CN"/>
              </w:rPr>
              <w:t>自筹资金</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pPr>
              <w:jc w:val="center"/>
              <w:rPr>
                <w:rFonts w:ascii="宋体" w:hAnsi="宋体"/>
                <w:b/>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8"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565"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4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1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rPr>
          <w:color w:val="auto"/>
          <w:highlight w:val="none"/>
        </w:rPr>
      </w:pPr>
    </w:p>
    <w:p>
      <w:pPr>
        <w:pStyle w:val="3"/>
        <w:spacing w:before="0" w:after="0" w:line="360" w:lineRule="auto"/>
        <w:rPr>
          <w:color w:val="auto"/>
          <w:highlight w:val="none"/>
        </w:rPr>
      </w:pPr>
      <w:bookmarkStart w:id="8" w:name="_Toc13473"/>
      <w:bookmarkStart w:id="9" w:name="_Hlk55300595"/>
      <w:bookmarkStart w:id="10" w:name="_Toc5749"/>
      <w:bookmarkStart w:id="11" w:name="_Toc9572"/>
      <w:r>
        <w:rPr>
          <w:rFonts w:hint="eastAsia"/>
          <w:color w:val="auto"/>
          <w:sz w:val="28"/>
          <w:szCs w:val="28"/>
          <w:highlight w:val="none"/>
        </w:rPr>
        <w:t xml:space="preserve">第三部分 </w:t>
      </w:r>
      <w:bookmarkStart w:id="12" w:name="_Hlk55300643"/>
      <w:bookmarkStart w:id="13" w:name="_Toc7113352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4"/>
        <w:spacing w:line="240" w:lineRule="auto"/>
        <w:jc w:val="center"/>
        <w:rPr>
          <w:rFonts w:ascii="宋体" w:hAnsi="宋体" w:cs="宋体"/>
          <w:color w:val="auto"/>
          <w:sz w:val="24"/>
          <w:szCs w:val="24"/>
          <w:highlight w:val="none"/>
        </w:rPr>
      </w:pPr>
      <w:bookmarkStart w:id="15" w:name="_Toc18413"/>
      <w:bookmarkStart w:id="16" w:name="_Toc21613"/>
      <w:r>
        <w:rPr>
          <w:rFonts w:hint="eastAsia" w:ascii="宋体" w:hAnsi="宋体" w:cs="宋体"/>
          <w:color w:val="auto"/>
          <w:sz w:val="24"/>
          <w:szCs w:val="24"/>
          <w:highlight w:val="none"/>
        </w:rPr>
        <w:t>价格及商务技术评分权重细则表</w:t>
      </w:r>
      <w:bookmarkEnd w:id="11"/>
      <w:bookmarkEnd w:id="15"/>
      <w:bookmarkEnd w:id="16"/>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bookmarkStart w:id="17" w:name="_Toc30638"/>
            <w:bookmarkStart w:id="18" w:name="_Toc29685"/>
            <w:bookmarkStart w:id="19" w:name="_Toc2479"/>
            <w:bookmarkStart w:id="20" w:name="_Toc14146"/>
            <w:r>
              <w:rPr>
                <w:rFonts w:hint="eastAsia" w:ascii="宋体" w:hAnsi="宋体" w:eastAsia="宋体" w:cs="宋体"/>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762"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商务评审（15分）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90" w:type="dxa"/>
            <w:tcBorders>
              <w:top w:val="single" w:color="auto" w:sz="4" w:space="0"/>
              <w:left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业绩</w:t>
            </w:r>
          </w:p>
        </w:tc>
        <w:tc>
          <w:tcPr>
            <w:tcW w:w="762"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12</w:t>
            </w:r>
          </w:p>
        </w:tc>
        <w:tc>
          <w:tcPr>
            <w:tcW w:w="5463"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投标人具有</w:t>
            </w:r>
            <w:r>
              <w:rPr>
                <w:rFonts w:hint="eastAsia" w:ascii="宋体" w:hAnsi="宋体" w:eastAsia="宋体" w:cs="宋体"/>
                <w:bCs/>
                <w:color w:val="auto"/>
                <w:sz w:val="21"/>
                <w:szCs w:val="21"/>
                <w:highlight w:val="none"/>
                <w:lang w:val="en-US" w:eastAsia="zh-CN"/>
              </w:rPr>
              <w:t>家具供货</w:t>
            </w:r>
            <w:r>
              <w:rPr>
                <w:rFonts w:hint="eastAsia" w:ascii="宋体" w:eastAsia="宋体" w:cs="宋体"/>
                <w:bCs/>
                <w:color w:val="auto"/>
                <w:sz w:val="21"/>
                <w:szCs w:val="21"/>
                <w:highlight w:val="none"/>
                <w:lang w:val="en-US" w:eastAsia="zh-CN"/>
              </w:rPr>
              <w:t>（或系统设备供货）</w:t>
            </w:r>
            <w:r>
              <w:rPr>
                <w:rFonts w:hint="eastAsia" w:ascii="宋体" w:hAnsi="宋体" w:eastAsia="宋体" w:cs="宋体"/>
                <w:bCs/>
                <w:color w:val="auto"/>
                <w:sz w:val="21"/>
                <w:szCs w:val="21"/>
                <w:highlight w:val="none"/>
                <w:lang w:val="zh-CN" w:eastAsia="zh-CN"/>
              </w:rPr>
              <w:t>类</w:t>
            </w:r>
            <w:r>
              <w:rPr>
                <w:rFonts w:hint="eastAsia" w:ascii="宋体" w:hAnsi="宋体" w:eastAsia="宋体" w:cs="宋体"/>
                <w:bCs/>
                <w:color w:val="auto"/>
                <w:sz w:val="21"/>
                <w:szCs w:val="21"/>
                <w:highlight w:val="none"/>
                <w:lang w:val="en-US" w:eastAsia="zh-CN"/>
              </w:rPr>
              <w:t>项目业绩的</w:t>
            </w:r>
            <w:r>
              <w:rPr>
                <w:rFonts w:hint="eastAsia" w:ascii="宋体" w:hAnsi="宋体" w:eastAsia="宋体" w:cs="宋体"/>
                <w:bCs/>
                <w:color w:val="auto"/>
                <w:sz w:val="21"/>
                <w:szCs w:val="21"/>
                <w:highlight w:val="none"/>
                <w:lang w:val="zh-CN"/>
              </w:rPr>
              <w:t>，每提供一个合同业绩得</w:t>
            </w:r>
            <w:r>
              <w:rPr>
                <w:rFonts w:hint="eastAsia" w:asci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zh-CN"/>
              </w:rPr>
              <w:t>分，本项最高得</w:t>
            </w:r>
            <w:r>
              <w:rPr>
                <w:rFonts w:hint="eastAsia" w:ascii="宋体" w:eastAsia="宋体" w:cs="宋体"/>
                <w:bCs/>
                <w:color w:val="auto"/>
                <w:sz w:val="21"/>
                <w:szCs w:val="21"/>
                <w:highlight w:val="none"/>
                <w:lang w:val="en-US" w:eastAsia="zh-CN"/>
              </w:rPr>
              <w:t>12</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zh-CN"/>
              </w:rPr>
              <w:t>注：须提供合同复印件加盖投标人公章，</w:t>
            </w:r>
            <w:r>
              <w:rPr>
                <w:rFonts w:hint="eastAsia" w:ascii="宋体" w:hAnsi="宋体" w:eastAsia="宋体" w:cs="宋体"/>
                <w:bCs/>
                <w:color w:val="auto"/>
                <w:sz w:val="21"/>
                <w:szCs w:val="21"/>
                <w:highlight w:val="none"/>
              </w:rPr>
              <w:t>否则不得分</w:t>
            </w:r>
            <w:r>
              <w:rPr>
                <w:rFonts w:hint="eastAsia" w:ascii="宋体" w:hAnsi="宋体" w:eastAsia="宋体" w:cs="宋体"/>
                <w:bCs/>
                <w:color w:val="auto"/>
                <w:sz w:val="21"/>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90" w:type="dxa"/>
            <w:tcBorders>
              <w:top w:val="single" w:color="auto" w:sz="4" w:space="0"/>
              <w:left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服务便利性</w:t>
            </w:r>
          </w:p>
        </w:tc>
        <w:tc>
          <w:tcPr>
            <w:tcW w:w="762"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提供的服务承诺响应时间进行评审：</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承诺在接到采购人通知后1小时（含）内到现场，得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承诺在接到采购人通知后2小时（含）内到现场，得</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承诺在接到采购人通知后4小时（含）内到现场，得1分；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未承诺或</w:t>
            </w:r>
            <w:r>
              <w:rPr>
                <w:rFonts w:hint="eastAsia" w:ascii="宋体" w:hAnsi="宋体" w:eastAsia="宋体" w:cs="宋体"/>
                <w:bCs/>
                <w:color w:val="auto"/>
                <w:sz w:val="21"/>
                <w:szCs w:val="21"/>
                <w:highlight w:val="none"/>
              </w:rPr>
              <w:t>其它不得分。</w:t>
            </w:r>
          </w:p>
          <w:p>
            <w:pPr>
              <w:keepNext w:val="0"/>
              <w:keepLines w:val="0"/>
              <w:pageBreakBefore w:val="0"/>
              <w:kinsoku/>
              <w:wordWrap/>
              <w:overflowPunct/>
              <w:topLinePunct w:val="0"/>
              <w:autoSpaceDE/>
              <w:autoSpaceDN/>
              <w:bidi w:val="0"/>
              <w:spacing w:after="0" w:line="240" w:lineRule="auto"/>
              <w:ind w:left="0" w:lef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注：须提供服务承诺书，并加盖</w:t>
            </w:r>
            <w:r>
              <w:rPr>
                <w:rFonts w:hint="eastAsia" w:ascii="宋体" w:hAns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公章</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不符合以上要求不得分</w:t>
            </w: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技术评审（55分）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olor w:val="auto"/>
                <w:szCs w:val="21"/>
                <w:highlight w:val="none"/>
                <w:lang w:val="en-US"/>
              </w:rPr>
              <w:t>投标样品</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pPr>
              <w:pStyle w:val="41"/>
              <w:spacing w:line="240" w:lineRule="auto"/>
              <w:ind w:firstLine="420" w:firstLineChars="200"/>
              <w:rPr>
                <w:rFonts w:hint="eastAsia" w:ascii="宋体" w:eastAsia="宋体" w:cs="宋体"/>
                <w:color w:val="auto"/>
                <w:sz w:val="21"/>
                <w:szCs w:val="21"/>
                <w:highlight w:val="none"/>
              </w:rPr>
            </w:pPr>
            <w:r>
              <w:rPr>
                <w:rFonts w:hint="eastAsia" w:ascii="宋体" w:eastAsia="宋体" w:cs="宋体"/>
                <w:color w:val="auto"/>
                <w:sz w:val="21"/>
                <w:szCs w:val="21"/>
                <w:highlight w:val="none"/>
              </w:rPr>
              <w:t xml:space="preserve">根据投标人提供样品的材料、质量、工艺、外观等进行评分： </w:t>
            </w:r>
          </w:p>
          <w:p>
            <w:pPr>
              <w:pStyle w:val="41"/>
              <w:spacing w:line="240" w:lineRule="auto"/>
              <w:ind w:firstLine="420" w:firstLineChars="200"/>
              <w:rPr>
                <w:rFonts w:hint="eastAsia" w:ascii="宋体" w:eastAsia="宋体" w:cs="宋体"/>
                <w:color w:val="auto"/>
                <w:sz w:val="21"/>
                <w:szCs w:val="21"/>
                <w:highlight w:val="none"/>
              </w:rPr>
            </w:pPr>
            <w:r>
              <w:rPr>
                <w:rFonts w:hint="eastAsia" w:ascii="宋体" w:eastAsia="宋体" w:cs="宋体"/>
                <w:color w:val="auto"/>
                <w:sz w:val="21"/>
                <w:szCs w:val="21"/>
                <w:highlight w:val="none"/>
              </w:rPr>
              <w:t>质量可靠耐用、耐用性优越、工艺科学、外形美观合理、款式精美、色泽整体非常均匀的得</w:t>
            </w:r>
            <w:r>
              <w:rPr>
                <w:rFonts w:hint="eastAsia" w:ascii="宋体" w:eastAsia="宋体" w:cs="宋体"/>
                <w:color w:val="auto"/>
                <w:sz w:val="21"/>
                <w:szCs w:val="21"/>
                <w:highlight w:val="none"/>
                <w:lang w:val="en-US" w:eastAsia="zh-CN"/>
              </w:rPr>
              <w:t>10</w:t>
            </w:r>
            <w:r>
              <w:rPr>
                <w:rFonts w:hint="eastAsia" w:ascii="宋体" w:eastAsia="宋体" w:cs="宋体"/>
                <w:color w:val="auto"/>
                <w:sz w:val="21"/>
                <w:szCs w:val="21"/>
                <w:highlight w:val="none"/>
              </w:rPr>
              <w:t xml:space="preserve">分； </w:t>
            </w:r>
          </w:p>
          <w:p>
            <w:pPr>
              <w:pStyle w:val="41"/>
              <w:spacing w:line="240" w:lineRule="auto"/>
              <w:ind w:firstLine="420" w:firstLineChars="200"/>
              <w:rPr>
                <w:rFonts w:hint="eastAsia" w:ascii="宋体" w:eastAsia="宋体" w:cs="宋体"/>
                <w:color w:val="auto"/>
                <w:sz w:val="21"/>
                <w:szCs w:val="21"/>
                <w:highlight w:val="none"/>
              </w:rPr>
            </w:pPr>
            <w:r>
              <w:rPr>
                <w:rFonts w:hint="eastAsia" w:ascii="宋体" w:eastAsia="宋体" w:cs="宋体"/>
                <w:color w:val="auto"/>
                <w:sz w:val="21"/>
                <w:szCs w:val="21"/>
                <w:highlight w:val="none"/>
              </w:rPr>
              <w:t>质量较为可靠、耐用性良好、工艺较为合理、外形较为合理、款式一般、色泽良好的得</w:t>
            </w:r>
            <w:r>
              <w:rPr>
                <w:rFonts w:hint="eastAsia" w:ascii="宋体" w:eastAsia="宋体" w:cs="宋体"/>
                <w:color w:val="auto"/>
                <w:sz w:val="21"/>
                <w:szCs w:val="21"/>
                <w:highlight w:val="none"/>
                <w:lang w:val="en-US" w:eastAsia="zh-CN"/>
              </w:rPr>
              <w:t>6</w:t>
            </w:r>
            <w:r>
              <w:rPr>
                <w:rFonts w:hint="eastAsia" w:ascii="宋体" w:eastAsia="宋体" w:cs="宋体"/>
                <w:color w:val="auto"/>
                <w:sz w:val="21"/>
                <w:szCs w:val="21"/>
                <w:highlight w:val="none"/>
              </w:rPr>
              <w:t xml:space="preserve">分； </w:t>
            </w:r>
          </w:p>
          <w:p>
            <w:pPr>
              <w:pStyle w:val="41"/>
              <w:spacing w:line="240" w:lineRule="auto"/>
              <w:ind w:firstLine="420" w:firstLineChars="200"/>
              <w:rPr>
                <w:rFonts w:hint="eastAsia" w:ascii="宋体" w:eastAsia="宋体" w:cs="宋体"/>
                <w:color w:val="auto"/>
                <w:sz w:val="21"/>
                <w:szCs w:val="21"/>
                <w:highlight w:val="none"/>
              </w:rPr>
            </w:pPr>
            <w:r>
              <w:rPr>
                <w:rFonts w:hint="eastAsia" w:ascii="宋体" w:eastAsia="宋体" w:cs="宋体"/>
                <w:color w:val="auto"/>
                <w:sz w:val="21"/>
                <w:szCs w:val="21"/>
                <w:highlight w:val="none"/>
              </w:rPr>
              <w:t xml:space="preserve">质量较差、耐用性一般、工艺基本合理、外形基本合理、款式一般、色泽一般的得3分； </w:t>
            </w:r>
          </w:p>
          <w:p>
            <w:pPr>
              <w:pStyle w:val="41"/>
              <w:spacing w:line="240" w:lineRule="auto"/>
              <w:ind w:firstLine="420" w:firstLineChars="200"/>
              <w:rPr>
                <w:rFonts w:hint="eastAsia" w:ascii="宋体" w:eastAsia="宋体" w:cs="宋体"/>
                <w:color w:val="auto"/>
                <w:sz w:val="21"/>
                <w:szCs w:val="21"/>
                <w:highlight w:val="none"/>
              </w:rPr>
            </w:pPr>
            <w:r>
              <w:rPr>
                <w:rFonts w:hint="eastAsia" w:ascii="宋体" w:eastAsia="宋体" w:cs="宋体"/>
                <w:color w:val="auto"/>
                <w:sz w:val="21"/>
                <w:szCs w:val="21"/>
                <w:highlight w:val="none"/>
              </w:rPr>
              <w:t xml:space="preserve">质量较差、耐用性差、工艺落后外形、款式普通、色泽有较多瑕疵或明显不均匀的得1分； </w:t>
            </w:r>
          </w:p>
          <w:p>
            <w:pPr>
              <w:pStyle w:val="41"/>
              <w:spacing w:line="240" w:lineRule="auto"/>
              <w:ind w:firstLine="420" w:firstLineChars="200"/>
              <w:rPr>
                <w:rFonts w:hint="eastAsia" w:ascii="宋体" w:hAnsi="宋体" w:eastAsia="宋体" w:cs="宋体"/>
                <w:bCs/>
                <w:color w:val="auto"/>
                <w:kern w:val="2"/>
                <w:sz w:val="21"/>
                <w:szCs w:val="21"/>
                <w:highlight w:val="none"/>
                <w:lang w:val="zh-CN"/>
              </w:rPr>
            </w:pPr>
            <w:r>
              <w:rPr>
                <w:rFonts w:hint="eastAsia" w:ascii="宋体" w:eastAsia="宋体" w:cs="宋体"/>
                <w:color w:val="auto"/>
                <w:sz w:val="21"/>
                <w:szCs w:val="21"/>
                <w:highlight w:val="none"/>
              </w:rPr>
              <w:t>未按招标文件要求提供样品的不得分。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供货方案</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vAlign w:val="center"/>
          </w:tcPr>
          <w:p>
            <w:pPr>
              <w:pStyle w:val="41"/>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根据投标人提供的供货方案</w:t>
            </w:r>
            <w:r>
              <w:rPr>
                <w:rFonts w:hint="eastAsia" w:ascii="宋体" w:hAnsi="宋体" w:eastAsia="宋体" w:cs="宋体"/>
                <w:bCs/>
                <w:color w:val="auto"/>
                <w:sz w:val="21"/>
                <w:szCs w:val="21"/>
                <w:highlight w:val="none"/>
                <w:lang w:val="zh-CN"/>
              </w:rPr>
              <w:t>（包括但不限于供货</w:t>
            </w:r>
            <w:r>
              <w:rPr>
                <w:rFonts w:hint="eastAsia" w:ascii="宋体" w:hAnsi="宋体" w:eastAsia="宋体" w:cs="宋体"/>
                <w:bCs/>
                <w:color w:val="auto"/>
                <w:sz w:val="21"/>
                <w:szCs w:val="21"/>
                <w:highlight w:val="none"/>
                <w:lang w:val="en-US" w:eastAsia="zh-CN"/>
              </w:rPr>
              <w:t>时间安排、进度计划、运输、安装调试</w:t>
            </w:r>
            <w:r>
              <w:rPr>
                <w:rFonts w:hint="eastAsia" w:ascii="宋体" w:hAnsi="宋体" w:eastAsia="宋体" w:cs="宋体"/>
                <w:bCs/>
                <w:color w:val="auto"/>
                <w:sz w:val="21"/>
                <w:szCs w:val="21"/>
                <w:highlight w:val="none"/>
                <w:lang w:val="zh-CN"/>
              </w:rPr>
              <w:t>等）</w:t>
            </w:r>
            <w:r>
              <w:rPr>
                <w:rFonts w:hint="eastAsia" w:ascii="宋体" w:eastAsia="宋体" w:cs="宋体"/>
                <w:color w:val="auto"/>
                <w:sz w:val="21"/>
                <w:szCs w:val="21"/>
                <w:highlight w:val="none"/>
              </w:rPr>
              <w:t>进行综合评审：</w:t>
            </w:r>
          </w:p>
          <w:p>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rPr>
              <w:t>供货方案科学完整、合理、可行，得15分</w:t>
            </w:r>
            <w:r>
              <w:rPr>
                <w:rFonts w:hint="eastAsia" w:ascii="宋体" w:eastAsia="宋体" w:cs="宋体"/>
                <w:color w:val="auto"/>
                <w:sz w:val="21"/>
                <w:szCs w:val="21"/>
                <w:highlight w:val="none"/>
                <w:lang w:eastAsia="zh-CN"/>
              </w:rPr>
              <w:t>；</w:t>
            </w:r>
          </w:p>
          <w:p>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rPr>
              <w:t>供货方案较完整、较合理、较可行，得10分</w:t>
            </w:r>
            <w:r>
              <w:rPr>
                <w:rFonts w:hint="eastAsia" w:ascii="宋体" w:eastAsia="宋体" w:cs="宋体"/>
                <w:color w:val="auto"/>
                <w:sz w:val="21"/>
                <w:szCs w:val="21"/>
                <w:highlight w:val="none"/>
                <w:lang w:eastAsia="zh-CN"/>
              </w:rPr>
              <w:t>；</w:t>
            </w:r>
          </w:p>
          <w:p>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rPr>
              <w:t>供货方案基本完整、基本合理、基本可行，得5分</w:t>
            </w:r>
            <w:r>
              <w:rPr>
                <w:rFonts w:hint="eastAsia" w:ascii="宋体" w:eastAsia="宋体" w:cs="宋体"/>
                <w:color w:val="auto"/>
                <w:sz w:val="21"/>
                <w:szCs w:val="21"/>
                <w:highlight w:val="none"/>
                <w:lang w:eastAsia="zh-CN"/>
              </w:rPr>
              <w:t>；</w:t>
            </w:r>
          </w:p>
          <w:p>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rPr>
              <w:t>供货方案简单，可行性差，得1分</w:t>
            </w:r>
            <w:r>
              <w:rPr>
                <w:rFonts w:hint="eastAsia" w:ascii="宋体" w:eastAsia="宋体" w:cs="宋体"/>
                <w:color w:val="auto"/>
                <w:sz w:val="21"/>
                <w:szCs w:val="21"/>
                <w:highlight w:val="none"/>
                <w:lang w:eastAsia="zh-CN"/>
              </w:rPr>
              <w:t>；</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kern w:val="2"/>
                <w:sz w:val="21"/>
                <w:szCs w:val="21"/>
                <w:highlight w:val="none"/>
                <w:lang w:val="zh-CN"/>
              </w:rPr>
              <w:t>未提供对应方案的不得分。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质量保障措施</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rPr>
              <w:t>1</w:t>
            </w:r>
            <w:r>
              <w:rPr>
                <w:rFonts w:hint="eastAsia" w:ascii="宋体" w:hAnsi="宋体" w:cs="宋体"/>
                <w:color w:val="auto"/>
                <w:kern w:val="2"/>
                <w:sz w:val="21"/>
                <w:szCs w:val="21"/>
                <w:highlight w:val="none"/>
                <w:lang w:val="en-US" w:eastAsia="zh-CN"/>
              </w:rPr>
              <w:t>0</w:t>
            </w:r>
          </w:p>
        </w:tc>
        <w:tc>
          <w:tcPr>
            <w:tcW w:w="5463"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根据投标人提供质量保障措施方案（包括但不限于质量目标、项目质量的控制）进行评审：</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质量目标非常明确、项目质量的控制非常详细、检验手段非常科学，得</w:t>
            </w:r>
            <w:r>
              <w:rPr>
                <w:rFonts w:hint="eastAsia" w:ascii="宋体" w:hAnsi="宋体" w:eastAsia="宋体" w:cs="宋体"/>
                <w:bCs/>
                <w:color w:val="auto"/>
                <w:kern w:val="2"/>
                <w:sz w:val="21"/>
                <w:szCs w:val="21"/>
                <w:highlight w:val="none"/>
                <w:lang w:val="en-US" w:eastAsia="zh-CN"/>
              </w:rPr>
              <w:t>1</w:t>
            </w:r>
            <w:r>
              <w:rPr>
                <w:rFonts w:hint="eastAsia" w:ascii="宋体" w:hAnsi="宋体" w:cs="宋体"/>
                <w:bCs/>
                <w:color w:val="auto"/>
                <w:kern w:val="2"/>
                <w:sz w:val="21"/>
                <w:szCs w:val="21"/>
                <w:highlight w:val="none"/>
                <w:lang w:val="en-US" w:eastAsia="zh-CN"/>
              </w:rPr>
              <w:t>0</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质量目标比较明确、项目质量的控制较为详细、检验手段比较科学，得</w:t>
            </w:r>
            <w:r>
              <w:rPr>
                <w:rFonts w:hint="eastAsia" w:ascii="宋体" w:hAnsi="宋体" w:cs="宋体"/>
                <w:bCs/>
                <w:color w:val="auto"/>
                <w:kern w:val="2"/>
                <w:sz w:val="21"/>
                <w:szCs w:val="21"/>
                <w:highlight w:val="none"/>
                <w:lang w:val="en-US" w:eastAsia="zh-CN"/>
              </w:rPr>
              <w:t>6</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质量目标基本明确、项目质量的控制一般、检验手段一般，得</w:t>
            </w:r>
            <w:r>
              <w:rPr>
                <w:rFonts w:hint="eastAsia" w:ascii="宋体" w:hAnsi="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质量目标不够明确、项目质量的控制不够可行、检验手段一般，得1分；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kern w:val="2"/>
                <w:sz w:val="21"/>
                <w:szCs w:val="21"/>
                <w:highlight w:val="none"/>
                <w:lang w:val="zh-CN"/>
              </w:rPr>
              <w:t>未提供对应方案的不得分。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产品使用培训方案</w:t>
            </w:r>
          </w:p>
        </w:tc>
        <w:tc>
          <w:tcPr>
            <w:tcW w:w="762"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 xml:space="preserve">根据投标人提供的产品使用培训方案进行综合评审： </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方案科学合理完整，可操作性强，针对性强，得1</w:t>
            </w:r>
            <w:r>
              <w:rPr>
                <w:rFonts w:hint="eastAsia" w:ascii="宋体" w:hAnsi="宋体" w:cs="宋体"/>
                <w:bCs/>
                <w:color w:val="auto"/>
                <w:sz w:val="21"/>
                <w:szCs w:val="21"/>
                <w:highlight w:val="none"/>
                <w:lang w:val="en-US" w:eastAsia="zh-CN"/>
              </w:rPr>
              <w:t>0</w:t>
            </w:r>
            <w:r>
              <w:rPr>
                <w:rFonts w:hint="eastAsia" w:ascii="宋体" w:hAnsi="宋体" w:eastAsia="宋体" w:cs="宋体"/>
                <w:bCs/>
                <w:color w:val="auto"/>
                <w:sz w:val="21"/>
                <w:szCs w:val="21"/>
                <w:highlight w:val="none"/>
                <w:lang w:val="zh-CN" w:eastAsia="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方案科学较合理完整，可操作性较强，针对性较强，得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eastAsia="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方案基本完整，可操作性一般，针对性一般，得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eastAsia="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 xml:space="preserve">方案不完整，可操作性差，针对性差，得1分； </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eastAsia="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lang w:val="en-US" w:eastAsia="zh-CN"/>
              </w:rPr>
              <w:t>5</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0</w:t>
            </w:r>
          </w:p>
        </w:tc>
        <w:tc>
          <w:tcPr>
            <w:tcW w:w="5463" w:type="dxa"/>
            <w:tcBorders>
              <w:top w:val="single" w:color="auto" w:sz="4" w:space="0"/>
              <w:left w:val="single" w:color="auto" w:sz="4" w:space="0"/>
              <w:bottom w:val="single" w:color="auto" w:sz="4" w:space="0"/>
              <w:right w:val="single" w:color="auto" w:sz="4" w:space="0"/>
            </w:tcBorders>
            <w:vAlign w:val="center"/>
          </w:tcPr>
          <w:p>
            <w:pPr>
              <w:pStyle w:val="41"/>
              <w:spacing w:line="240" w:lineRule="auto"/>
              <w:ind w:left="1" w:firstLine="420" w:firstLineChars="200"/>
              <w:rPr>
                <w:rFonts w:ascii="宋体" w:eastAsia="宋体"/>
                <w:color w:val="auto"/>
                <w:sz w:val="21"/>
                <w:szCs w:val="21"/>
                <w:highlight w:val="none"/>
              </w:rPr>
            </w:pPr>
            <w:r>
              <w:rPr>
                <w:rFonts w:hint="eastAsia" w:ascii="宋体" w:eastAsia="宋体"/>
                <w:color w:val="auto"/>
                <w:sz w:val="21"/>
                <w:szCs w:val="21"/>
                <w:highlight w:val="none"/>
              </w:rPr>
              <w:t>根据售后服务方案、售后点技术力量</w:t>
            </w:r>
            <w:r>
              <w:rPr>
                <w:rFonts w:hint="eastAsia" w:ascii="宋体" w:eastAsia="宋体"/>
                <w:color w:val="auto"/>
                <w:sz w:val="21"/>
                <w:szCs w:val="21"/>
                <w:highlight w:val="none"/>
                <w:lang w:eastAsia="zh-CN"/>
              </w:rPr>
              <w:t>、</w:t>
            </w:r>
            <w:r>
              <w:rPr>
                <w:rFonts w:hint="eastAsia" w:ascii="宋体" w:eastAsia="宋体"/>
                <w:color w:val="auto"/>
                <w:sz w:val="21"/>
                <w:szCs w:val="21"/>
                <w:highlight w:val="none"/>
              </w:rPr>
              <w:t>出现紧急情况时的服务措施等进行</w:t>
            </w:r>
            <w:r>
              <w:rPr>
                <w:rFonts w:hint="eastAsia" w:ascii="宋体" w:eastAsia="宋体" w:cs="宋体"/>
                <w:color w:val="auto"/>
                <w:sz w:val="21"/>
                <w:szCs w:val="21"/>
                <w:highlight w:val="none"/>
              </w:rPr>
              <w:t>综合评审：</w:t>
            </w:r>
          </w:p>
          <w:p>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hAnsi="宋体" w:eastAsia="宋体" w:cs="宋体"/>
                <w:color w:val="auto"/>
                <w:sz w:val="21"/>
                <w:szCs w:val="21"/>
                <w:highlight w:val="none"/>
              </w:rPr>
              <w:t>售后服务方案</w:t>
            </w:r>
            <w:r>
              <w:rPr>
                <w:rFonts w:hint="eastAsia" w:ascii="宋体" w:eastAsia="宋体" w:cs="宋体"/>
                <w:color w:val="auto"/>
                <w:sz w:val="21"/>
                <w:szCs w:val="21"/>
                <w:highlight w:val="none"/>
              </w:rPr>
              <w:t>科学完整、合理、可行，得</w:t>
            </w:r>
            <w:r>
              <w:rPr>
                <w:rFonts w:hint="eastAsia" w:ascii="宋体" w:eastAsia="宋体" w:cs="宋体"/>
                <w:color w:val="auto"/>
                <w:sz w:val="21"/>
                <w:szCs w:val="21"/>
                <w:highlight w:val="none"/>
                <w:lang w:val="en-US" w:eastAsia="zh-CN"/>
              </w:rPr>
              <w:t>10</w:t>
            </w:r>
            <w:r>
              <w:rPr>
                <w:rFonts w:hint="eastAsia" w:ascii="宋体" w:eastAsia="宋体" w:cs="宋体"/>
                <w:color w:val="auto"/>
                <w:sz w:val="21"/>
                <w:szCs w:val="21"/>
                <w:highlight w:val="none"/>
              </w:rPr>
              <w:t>分</w:t>
            </w:r>
            <w:r>
              <w:rPr>
                <w:rFonts w:hint="eastAsia" w:ascii="宋体" w:eastAsia="宋体" w:cs="宋体"/>
                <w:color w:val="auto"/>
                <w:sz w:val="21"/>
                <w:szCs w:val="21"/>
                <w:highlight w:val="none"/>
                <w:lang w:eastAsia="zh-CN"/>
              </w:rPr>
              <w:t>；</w:t>
            </w:r>
          </w:p>
          <w:p>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hAnsi="宋体" w:eastAsia="宋体" w:cs="宋体"/>
                <w:color w:val="auto"/>
                <w:sz w:val="21"/>
                <w:szCs w:val="21"/>
                <w:highlight w:val="none"/>
              </w:rPr>
              <w:t>售后服务方案</w:t>
            </w:r>
            <w:r>
              <w:rPr>
                <w:rFonts w:hint="eastAsia" w:ascii="宋体" w:eastAsia="宋体" w:cs="宋体"/>
                <w:color w:val="auto"/>
                <w:sz w:val="21"/>
                <w:szCs w:val="21"/>
                <w:highlight w:val="none"/>
              </w:rPr>
              <w:t>较完整、较合理、较可行，得</w:t>
            </w:r>
            <w:r>
              <w:rPr>
                <w:rFonts w:hint="eastAsia" w:ascii="宋体" w:eastAsia="宋体" w:cs="宋体"/>
                <w:color w:val="auto"/>
                <w:sz w:val="21"/>
                <w:szCs w:val="21"/>
                <w:highlight w:val="none"/>
                <w:lang w:val="en-US" w:eastAsia="zh-CN"/>
              </w:rPr>
              <w:t>6</w:t>
            </w:r>
            <w:r>
              <w:rPr>
                <w:rFonts w:hint="eastAsia" w:ascii="宋体" w:eastAsia="宋体" w:cs="宋体"/>
                <w:color w:val="auto"/>
                <w:sz w:val="21"/>
                <w:szCs w:val="21"/>
                <w:highlight w:val="none"/>
              </w:rPr>
              <w:t>分</w:t>
            </w:r>
            <w:r>
              <w:rPr>
                <w:rFonts w:hint="eastAsia" w:ascii="宋体" w:eastAsia="宋体" w:cs="宋体"/>
                <w:color w:val="auto"/>
                <w:sz w:val="21"/>
                <w:szCs w:val="21"/>
                <w:highlight w:val="none"/>
                <w:lang w:eastAsia="zh-CN"/>
              </w:rPr>
              <w:t>；</w:t>
            </w:r>
          </w:p>
          <w:p>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hAnsi="宋体" w:eastAsia="宋体" w:cs="宋体"/>
                <w:color w:val="auto"/>
                <w:sz w:val="21"/>
                <w:szCs w:val="21"/>
                <w:highlight w:val="none"/>
              </w:rPr>
              <w:t>售后服务方案</w:t>
            </w:r>
            <w:r>
              <w:rPr>
                <w:rFonts w:hint="eastAsia" w:ascii="宋体" w:eastAsia="宋体" w:cs="宋体"/>
                <w:color w:val="auto"/>
                <w:sz w:val="21"/>
                <w:szCs w:val="21"/>
                <w:highlight w:val="none"/>
              </w:rPr>
              <w:t>基本完整、基本合理、基本可行，得</w:t>
            </w:r>
            <w:r>
              <w:rPr>
                <w:rFonts w:hint="eastAsia" w:ascii="宋体" w:eastAsia="宋体" w:cs="宋体"/>
                <w:color w:val="auto"/>
                <w:sz w:val="21"/>
                <w:szCs w:val="21"/>
                <w:highlight w:val="none"/>
                <w:lang w:val="en-US" w:eastAsia="zh-CN"/>
              </w:rPr>
              <w:t>3</w:t>
            </w:r>
            <w:r>
              <w:rPr>
                <w:rFonts w:hint="eastAsia" w:ascii="宋体" w:eastAsia="宋体" w:cs="宋体"/>
                <w:color w:val="auto"/>
                <w:sz w:val="21"/>
                <w:szCs w:val="21"/>
                <w:highlight w:val="none"/>
              </w:rPr>
              <w:t>分</w:t>
            </w:r>
            <w:r>
              <w:rPr>
                <w:rFonts w:hint="eastAsia" w:ascii="宋体" w:eastAsia="宋体" w:cs="宋体"/>
                <w:color w:val="auto"/>
                <w:sz w:val="21"/>
                <w:szCs w:val="21"/>
                <w:highlight w:val="none"/>
                <w:lang w:eastAsia="zh-CN"/>
              </w:rPr>
              <w:t>；</w:t>
            </w:r>
          </w:p>
          <w:p>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hAnsi="宋体" w:eastAsia="宋体" w:cs="宋体"/>
                <w:color w:val="auto"/>
                <w:sz w:val="21"/>
                <w:szCs w:val="21"/>
                <w:highlight w:val="none"/>
              </w:rPr>
              <w:t>售后服务方案</w:t>
            </w:r>
            <w:r>
              <w:rPr>
                <w:rFonts w:hint="eastAsia" w:ascii="宋体" w:eastAsia="宋体" w:cs="宋体"/>
                <w:color w:val="auto"/>
                <w:sz w:val="21"/>
                <w:szCs w:val="21"/>
                <w:highlight w:val="none"/>
              </w:rPr>
              <w:t>简单，可行性差，得1分</w:t>
            </w:r>
            <w:r>
              <w:rPr>
                <w:rFonts w:hint="eastAsia" w:ascii="宋体" w:eastAsia="宋体" w:cs="宋体"/>
                <w:color w:val="auto"/>
                <w:sz w:val="21"/>
                <w:szCs w:val="21"/>
                <w:highlight w:val="none"/>
                <w:lang w:eastAsia="zh-CN"/>
              </w:rPr>
              <w:t>；</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kern w:val="2"/>
                <w:sz w:val="21"/>
                <w:szCs w:val="21"/>
                <w:highlight w:val="none"/>
                <w:lang w:val="zh-CN"/>
              </w:rPr>
              <w:t>未提供对应方案的不得分。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lef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line="240" w:lineRule="auto"/>
              <w:ind w:lef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（1）无特殊说明外，以上评审项，同一证明文件不重复计分。</w:t>
            </w:r>
          </w:p>
          <w:p>
            <w:pPr>
              <w:keepNext w:val="0"/>
              <w:keepLines w:val="0"/>
              <w:pageBreakBefore w:val="0"/>
              <w:tabs>
                <w:tab w:val="left" w:pos="907"/>
              </w:tabs>
              <w:kinsoku/>
              <w:wordWrap/>
              <w:overflowPunct/>
              <w:topLinePunct w:val="0"/>
              <w:autoSpaceDE/>
              <w:autoSpaceDN/>
              <w:bidi w:val="0"/>
              <w:spacing w:line="240" w:lineRule="auto"/>
              <w:ind w:lef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（2）投标人根据以上评分要求提供的投标材料因模糊不清导致评标委员会无法清晰辨认进行评审的，视为无效材料。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价格评审（30分）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83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投标报价得分=(评标基准价／投标报价)×价格权值</w:t>
            </w:r>
          </w:p>
        </w:tc>
      </w:tr>
    </w:tbl>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3"/>
        <w:spacing w:before="0" w:after="0" w:line="240" w:lineRule="auto"/>
        <w:rPr>
          <w:color w:val="auto"/>
          <w:sz w:val="24"/>
          <w:szCs w:val="24"/>
          <w:highlight w:val="none"/>
        </w:rPr>
      </w:pPr>
      <w:r>
        <w:rPr>
          <w:rFonts w:hint="eastAsia"/>
          <w:color w:val="auto"/>
          <w:sz w:val="28"/>
          <w:szCs w:val="28"/>
          <w:highlight w:val="none"/>
        </w:rPr>
        <w:t>第四部分 投标人须知</w:t>
      </w:r>
      <w:bookmarkEnd w:id="17"/>
      <w:bookmarkEnd w:id="18"/>
      <w:bookmarkEnd w:id="19"/>
    </w:p>
    <w:p>
      <w:pPr>
        <w:pStyle w:val="4"/>
        <w:spacing w:line="480" w:lineRule="auto"/>
        <w:jc w:val="center"/>
        <w:rPr>
          <w:rFonts w:ascii="宋体" w:hAnsi="宋体"/>
          <w:color w:val="auto"/>
          <w:highlight w:val="none"/>
        </w:rPr>
      </w:pPr>
      <w:bookmarkStart w:id="21" w:name="_Toc3095"/>
      <w:bookmarkStart w:id="22" w:name="_Toc11105"/>
      <w:bookmarkStart w:id="23" w:name="_Toc19746"/>
      <w:r>
        <w:rPr>
          <w:rFonts w:hint="eastAsia" w:ascii="宋体" w:hAnsi="宋体"/>
          <w:color w:val="auto"/>
          <w:highlight w:val="none"/>
        </w:rPr>
        <w:t>第一章说明</w:t>
      </w:r>
      <w:bookmarkEnd w:id="21"/>
      <w:bookmarkEnd w:id="22"/>
      <w:bookmarkEnd w:id="23"/>
    </w:p>
    <w:p>
      <w:pPr>
        <w:pStyle w:val="5"/>
        <w:widowControl w:val="0"/>
        <w:overflowPunct w:val="0"/>
        <w:spacing w:line="240" w:lineRule="auto"/>
        <w:rPr>
          <w:rFonts w:ascii="宋体" w:hAnsi="宋体"/>
          <w:color w:val="auto"/>
          <w:sz w:val="21"/>
          <w:szCs w:val="21"/>
          <w:highlight w:val="none"/>
        </w:rPr>
      </w:pPr>
      <w:bookmarkStart w:id="24" w:name="_Toc22803"/>
      <w:bookmarkStart w:id="25" w:name="_Toc18488"/>
      <w:bookmarkStart w:id="26" w:name="_Toc22847"/>
      <w:r>
        <w:rPr>
          <w:rFonts w:hint="eastAsia" w:ascii="宋体" w:hAnsi="宋体"/>
          <w:color w:val="auto"/>
          <w:sz w:val="21"/>
          <w:szCs w:val="21"/>
          <w:highlight w:val="none"/>
        </w:rPr>
        <w:t>1.适用范围</w:t>
      </w:r>
      <w:bookmarkEnd w:id="24"/>
      <w:bookmarkEnd w:id="25"/>
      <w:bookmarkEnd w:id="2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27" w:name="_Toc16848"/>
      <w:bookmarkStart w:id="28" w:name="_Toc13400"/>
      <w:bookmarkStart w:id="29" w:name="_Toc21002"/>
      <w:r>
        <w:rPr>
          <w:rFonts w:hint="eastAsia" w:ascii="宋体" w:hAnsi="宋体"/>
          <w:color w:val="auto"/>
          <w:sz w:val="21"/>
          <w:szCs w:val="21"/>
          <w:highlight w:val="none"/>
        </w:rPr>
        <w:t>2.</w:t>
      </w:r>
      <w:bookmarkStart w:id="30" w:name="_Toc303084246"/>
      <w:bookmarkStart w:id="31" w:name="_Toc382049092"/>
      <w:bookmarkStart w:id="32" w:name="_Toc298847174"/>
      <w:bookmarkStart w:id="33" w:name="_Toc1530"/>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34" w:name="_Toc3780"/>
      <w:bookmarkStart w:id="35" w:name="_Toc2996"/>
      <w:bookmarkStart w:id="36" w:name="_Toc9710"/>
      <w:r>
        <w:rPr>
          <w:rFonts w:hint="eastAsia" w:ascii="宋体" w:hAnsi="宋体"/>
          <w:color w:val="auto"/>
          <w:sz w:val="21"/>
          <w:szCs w:val="21"/>
          <w:highlight w:val="none"/>
        </w:rPr>
        <w:t>3.货物和服务</w:t>
      </w:r>
      <w:bookmarkEnd w:id="34"/>
      <w:bookmarkEnd w:id="35"/>
      <w:bookmarkEnd w:id="36"/>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37" w:name="_Toc15945"/>
      <w:bookmarkStart w:id="38" w:name="_Toc13909"/>
      <w:bookmarkStart w:id="39" w:name="_Toc12536"/>
      <w:r>
        <w:rPr>
          <w:rFonts w:hint="eastAsia" w:ascii="宋体" w:hAnsi="宋体"/>
          <w:color w:val="auto"/>
          <w:sz w:val="21"/>
          <w:szCs w:val="21"/>
          <w:highlight w:val="none"/>
        </w:rPr>
        <w:t>4.投标费用</w:t>
      </w:r>
      <w:bookmarkEnd w:id="37"/>
      <w:bookmarkEnd w:id="38"/>
      <w:bookmarkEnd w:id="39"/>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0" w:name="_Toc25040"/>
      <w:bookmarkStart w:id="41" w:name="_Toc19532"/>
      <w:bookmarkStart w:id="42" w:name="_Toc19094"/>
      <w:r>
        <w:rPr>
          <w:rFonts w:hint="eastAsia" w:ascii="宋体" w:hAnsi="宋体"/>
          <w:color w:val="auto"/>
          <w:sz w:val="21"/>
          <w:szCs w:val="21"/>
          <w:highlight w:val="none"/>
        </w:rPr>
        <w:t>5.知识产权</w:t>
      </w:r>
      <w:bookmarkEnd w:id="40"/>
      <w:bookmarkEnd w:id="41"/>
      <w:bookmarkEnd w:id="42"/>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3" w:name="_Toc8432"/>
      <w:bookmarkStart w:id="44" w:name="_Toc21930"/>
      <w:bookmarkStart w:id="45" w:name="_Toc31885"/>
      <w:r>
        <w:rPr>
          <w:rFonts w:hint="eastAsia" w:ascii="宋体" w:hAnsi="宋体"/>
          <w:color w:val="auto"/>
          <w:sz w:val="21"/>
          <w:szCs w:val="21"/>
          <w:highlight w:val="none"/>
        </w:rPr>
        <w:t>6.关于联合体投标</w:t>
      </w:r>
      <w:bookmarkEnd w:id="43"/>
      <w:bookmarkEnd w:id="44"/>
      <w:bookmarkEnd w:id="45"/>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6" w:name="_Toc32331"/>
      <w:bookmarkStart w:id="47" w:name="_Toc16571"/>
      <w:bookmarkStart w:id="48" w:name="_Toc13811"/>
      <w:bookmarkStart w:id="49" w:name="_Toc17879"/>
      <w:r>
        <w:rPr>
          <w:rFonts w:hint="eastAsia" w:ascii="宋体" w:hAnsi="宋体"/>
          <w:color w:val="auto"/>
          <w:sz w:val="21"/>
          <w:szCs w:val="21"/>
          <w:highlight w:val="none"/>
        </w:rPr>
        <w:t>7.关于分支机构投标</w:t>
      </w:r>
      <w:bookmarkEnd w:id="46"/>
      <w:bookmarkEnd w:id="47"/>
      <w:bookmarkEnd w:id="48"/>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4"/>
        <w:spacing w:line="480" w:lineRule="auto"/>
        <w:jc w:val="center"/>
        <w:rPr>
          <w:rFonts w:ascii="宋体" w:hAnsi="宋体"/>
          <w:color w:val="auto"/>
          <w:highlight w:val="none"/>
        </w:rPr>
      </w:pPr>
      <w:bookmarkStart w:id="51" w:name="_Toc27045"/>
      <w:bookmarkStart w:id="52" w:name="_Toc18115"/>
      <w:r>
        <w:rPr>
          <w:rFonts w:hint="eastAsia" w:ascii="宋体" w:hAnsi="宋体"/>
          <w:color w:val="auto"/>
          <w:highlight w:val="none"/>
        </w:rPr>
        <w:t>第二章招标文件</w:t>
      </w:r>
      <w:bookmarkEnd w:id="49"/>
      <w:bookmarkEnd w:id="51"/>
      <w:bookmarkEnd w:id="52"/>
    </w:p>
    <w:p>
      <w:pPr>
        <w:pStyle w:val="5"/>
        <w:widowControl w:val="0"/>
        <w:overflowPunct w:val="0"/>
        <w:spacing w:line="240" w:lineRule="auto"/>
        <w:rPr>
          <w:rFonts w:ascii="宋体" w:hAnsi="宋体"/>
          <w:color w:val="auto"/>
          <w:sz w:val="21"/>
          <w:szCs w:val="21"/>
          <w:highlight w:val="none"/>
        </w:rPr>
      </w:pPr>
      <w:bookmarkStart w:id="53" w:name="_Toc13494"/>
      <w:bookmarkStart w:id="54" w:name="_Toc21771"/>
      <w:bookmarkStart w:id="55" w:name="_Toc1423"/>
      <w:r>
        <w:rPr>
          <w:rFonts w:hint="eastAsia" w:ascii="宋体" w:hAnsi="宋体"/>
          <w:color w:val="auto"/>
          <w:sz w:val="21"/>
          <w:szCs w:val="21"/>
          <w:highlight w:val="none"/>
        </w:rPr>
        <w:t>8.招标文件的组成</w:t>
      </w:r>
      <w:bookmarkEnd w:id="53"/>
      <w:bookmarkEnd w:id="54"/>
      <w:bookmarkEnd w:id="55"/>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5"/>
        <w:widowControl w:val="0"/>
        <w:overflowPunct w:val="0"/>
        <w:rPr>
          <w:rFonts w:ascii="宋体" w:hAnsi="宋体"/>
          <w:color w:val="auto"/>
          <w:sz w:val="21"/>
          <w:szCs w:val="21"/>
          <w:highlight w:val="none"/>
        </w:rPr>
      </w:pPr>
      <w:bookmarkStart w:id="56" w:name="_Toc17274"/>
      <w:bookmarkStart w:id="57" w:name="_Toc7997"/>
      <w:bookmarkStart w:id="58" w:name="_Toc14217"/>
      <w:r>
        <w:rPr>
          <w:rFonts w:hint="eastAsia" w:ascii="宋体" w:hAnsi="宋体"/>
          <w:color w:val="auto"/>
          <w:sz w:val="21"/>
          <w:szCs w:val="21"/>
          <w:highlight w:val="none"/>
        </w:rPr>
        <w:t>9.招标文件的澄清或修改</w:t>
      </w:r>
      <w:bookmarkEnd w:id="56"/>
      <w:bookmarkEnd w:id="57"/>
      <w:bookmarkEnd w:id="58"/>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4"/>
        <w:spacing w:line="480" w:lineRule="auto"/>
        <w:jc w:val="center"/>
        <w:rPr>
          <w:rFonts w:ascii="宋体" w:hAnsi="宋体"/>
          <w:color w:val="auto"/>
          <w:highlight w:val="none"/>
        </w:rPr>
      </w:pPr>
      <w:bookmarkStart w:id="59" w:name="_Toc23726"/>
      <w:bookmarkStart w:id="60" w:name="_Toc16712"/>
      <w:bookmarkStart w:id="61" w:name="_Toc4773"/>
      <w:r>
        <w:rPr>
          <w:rFonts w:hint="eastAsia" w:ascii="宋体" w:hAnsi="宋体"/>
          <w:color w:val="auto"/>
          <w:highlight w:val="none"/>
        </w:rPr>
        <w:t>第三章投标文件的编制</w:t>
      </w:r>
      <w:bookmarkEnd w:id="59"/>
      <w:bookmarkEnd w:id="60"/>
      <w:bookmarkEnd w:id="61"/>
    </w:p>
    <w:p>
      <w:pPr>
        <w:pStyle w:val="5"/>
        <w:widowControl w:val="0"/>
        <w:overflowPunct w:val="0"/>
        <w:rPr>
          <w:rFonts w:ascii="宋体" w:hAnsi="宋体"/>
          <w:color w:val="auto"/>
          <w:sz w:val="21"/>
          <w:szCs w:val="21"/>
          <w:highlight w:val="none"/>
        </w:rPr>
      </w:pPr>
      <w:bookmarkStart w:id="62" w:name="_Toc20623"/>
      <w:bookmarkStart w:id="63" w:name="_Toc7434"/>
      <w:bookmarkStart w:id="64" w:name="_Toc28092"/>
      <w:r>
        <w:rPr>
          <w:rFonts w:hint="eastAsia" w:ascii="宋体" w:hAnsi="宋体"/>
          <w:color w:val="auto"/>
          <w:sz w:val="21"/>
          <w:szCs w:val="21"/>
          <w:highlight w:val="none"/>
        </w:rPr>
        <w:t>10.投标文件的语言及度量衡单位</w:t>
      </w:r>
      <w:bookmarkEnd w:id="62"/>
      <w:bookmarkEnd w:id="63"/>
      <w:bookmarkEnd w:id="64"/>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65" w:name="_Toc303084256"/>
      <w:bookmarkStart w:id="66" w:name="_Toc382049103"/>
      <w:bookmarkStart w:id="67" w:name="_Toc307934854"/>
      <w:bookmarkStart w:id="68" w:name="_Toc18999"/>
      <w:bookmarkStart w:id="69" w:name="_Toc28866"/>
      <w:bookmarkStart w:id="70" w:name="_Toc12145"/>
      <w:bookmarkStart w:id="71" w:name="_Toc7728"/>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5"/>
        <w:widowControl w:val="0"/>
        <w:overflowPunct w:val="0"/>
        <w:rPr>
          <w:rFonts w:ascii="宋体" w:hAnsi="宋体"/>
          <w:color w:val="auto"/>
          <w:sz w:val="21"/>
          <w:szCs w:val="21"/>
          <w:highlight w:val="none"/>
        </w:rPr>
      </w:pPr>
      <w:bookmarkStart w:id="72" w:name="_Toc3882"/>
      <w:bookmarkStart w:id="73" w:name="_Toc30189"/>
      <w:bookmarkStart w:id="74" w:name="_Toc21747"/>
      <w:r>
        <w:rPr>
          <w:rFonts w:hint="eastAsia" w:ascii="宋体" w:hAnsi="宋体"/>
          <w:color w:val="auto"/>
          <w:sz w:val="21"/>
          <w:szCs w:val="21"/>
          <w:highlight w:val="none"/>
        </w:rPr>
        <w:t>12.投标文件编制</w:t>
      </w:r>
      <w:bookmarkEnd w:id="72"/>
      <w:bookmarkEnd w:id="73"/>
      <w:bookmarkEnd w:id="74"/>
    </w:p>
    <w:p>
      <w:pPr>
        <w:pStyle w:val="38"/>
        <w:widowControl w:val="0"/>
        <w:numPr>
          <w:ilvl w:val="0"/>
          <w:numId w:val="3"/>
        </w:numPr>
        <w:adjustRightInd/>
        <w:snapToGrid/>
        <w:ind w:firstLineChars="0"/>
        <w:jc w:val="both"/>
        <w:rPr>
          <w:rFonts w:ascii="宋体" w:hAnsi="宋体"/>
          <w:vanish/>
          <w:color w:val="auto"/>
          <w:szCs w:val="21"/>
          <w:highlight w:val="none"/>
        </w:rPr>
      </w:pPr>
      <w:bookmarkStart w:id="75"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38"/>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38"/>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5"/>
        <w:widowControl w:val="0"/>
        <w:overflowPunct w:val="0"/>
        <w:rPr>
          <w:rFonts w:ascii="宋体" w:hAnsi="宋体"/>
          <w:color w:val="auto"/>
          <w:sz w:val="21"/>
          <w:szCs w:val="21"/>
          <w:highlight w:val="none"/>
        </w:rPr>
      </w:pPr>
      <w:bookmarkStart w:id="76" w:name="_Toc17188"/>
      <w:bookmarkStart w:id="77" w:name="_Toc259"/>
      <w:bookmarkStart w:id="78" w:name="_Toc7847"/>
      <w:r>
        <w:rPr>
          <w:rFonts w:hint="eastAsia" w:ascii="宋体" w:hAnsi="宋体"/>
          <w:color w:val="auto"/>
          <w:sz w:val="21"/>
          <w:szCs w:val="21"/>
          <w:highlight w:val="none"/>
        </w:rPr>
        <w:t>13.投标报价说明</w:t>
      </w:r>
      <w:bookmarkEnd w:id="76"/>
      <w:bookmarkEnd w:id="77"/>
      <w:bookmarkEnd w:id="78"/>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5"/>
        <w:widowControl w:val="0"/>
        <w:overflowPunct w:val="0"/>
        <w:rPr>
          <w:rFonts w:ascii="宋体" w:hAnsi="宋体"/>
          <w:color w:val="auto"/>
          <w:sz w:val="21"/>
          <w:szCs w:val="21"/>
          <w:highlight w:val="none"/>
        </w:rPr>
      </w:pPr>
      <w:bookmarkStart w:id="79" w:name="_Toc18911"/>
      <w:bookmarkStart w:id="80" w:name="_Toc16535"/>
      <w:bookmarkStart w:id="81" w:name="_Toc27724"/>
      <w:r>
        <w:rPr>
          <w:rFonts w:hint="eastAsia" w:ascii="宋体" w:hAnsi="宋体"/>
          <w:color w:val="auto"/>
          <w:sz w:val="21"/>
          <w:szCs w:val="21"/>
          <w:highlight w:val="none"/>
        </w:rPr>
        <w:t>14.投标人所提供的服务或货物的证明文件</w:t>
      </w:r>
      <w:bookmarkEnd w:id="79"/>
      <w:bookmarkEnd w:id="80"/>
      <w:bookmarkEnd w:id="81"/>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82" w:name="_Hlt107925668"/>
      <w:bookmarkEnd w:id="82"/>
      <w:bookmarkStart w:id="83" w:name="_Hlt10792563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8"/>
        <w:widowControl w:val="0"/>
        <w:adjustRightInd/>
        <w:snapToGrid/>
        <w:ind w:left="425" w:firstLine="0" w:firstLineChars="0"/>
        <w:jc w:val="both"/>
        <w:rPr>
          <w:color w:val="auto"/>
          <w:highlight w:val="none"/>
        </w:rPr>
      </w:pPr>
    </w:p>
    <w:p>
      <w:pPr>
        <w:pStyle w:val="5"/>
        <w:widowControl w:val="0"/>
        <w:overflowPunct w:val="0"/>
        <w:rPr>
          <w:rFonts w:ascii="宋体" w:hAnsi="宋体"/>
          <w:color w:val="auto"/>
          <w:sz w:val="21"/>
          <w:szCs w:val="21"/>
          <w:highlight w:val="none"/>
        </w:rPr>
      </w:pPr>
      <w:bookmarkStart w:id="84" w:name="_Toc22169"/>
      <w:bookmarkStart w:id="85" w:name="_Toc30815"/>
      <w:bookmarkStart w:id="86" w:name="_Toc19520"/>
      <w:r>
        <w:rPr>
          <w:rFonts w:hint="eastAsia" w:ascii="宋体" w:hAnsi="宋体"/>
          <w:color w:val="auto"/>
          <w:sz w:val="21"/>
          <w:szCs w:val="21"/>
          <w:highlight w:val="none"/>
        </w:rPr>
        <w:t>15.★投标有效期</w:t>
      </w:r>
      <w:bookmarkEnd w:id="84"/>
      <w:bookmarkEnd w:id="85"/>
      <w:bookmarkEnd w:id="86"/>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87" w:name="_Toc12456"/>
      <w:bookmarkStart w:id="88" w:name="_Toc25817"/>
      <w:bookmarkStart w:id="89" w:name="_Toc30257"/>
      <w:r>
        <w:rPr>
          <w:rFonts w:hint="eastAsia" w:ascii="宋体" w:hAnsi="宋体"/>
          <w:color w:val="auto"/>
          <w:sz w:val="21"/>
          <w:szCs w:val="21"/>
          <w:highlight w:val="none"/>
        </w:rPr>
        <w:t>16.投标保证金</w:t>
      </w:r>
      <w:bookmarkEnd w:id="87"/>
      <w:bookmarkEnd w:id="88"/>
      <w:bookmarkEnd w:id="89"/>
      <w:r>
        <w:rPr>
          <w:rFonts w:hint="eastAsia" w:ascii="宋体" w:hAnsi="宋体"/>
          <w:color w:val="auto"/>
          <w:sz w:val="21"/>
          <w:szCs w:val="21"/>
          <w:highlight w:val="none"/>
        </w:rPr>
        <w:t>（本项目不需提供投标保证金）</w:t>
      </w:r>
    </w:p>
    <w:p>
      <w:pPr>
        <w:pStyle w:val="38"/>
        <w:widowControl w:val="0"/>
        <w:numPr>
          <w:ilvl w:val="0"/>
          <w:numId w:val="3"/>
        </w:numPr>
        <w:adjustRightInd/>
        <w:snapToGrid/>
        <w:ind w:firstLineChars="0"/>
        <w:jc w:val="both"/>
        <w:rPr>
          <w:rFonts w:ascii="宋体" w:hAnsi="宋体"/>
          <w:vanish/>
          <w:color w:val="auto"/>
          <w:szCs w:val="21"/>
          <w:highlight w:val="none"/>
        </w:rPr>
      </w:pPr>
      <w:bookmarkStart w:id="9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4"/>
        <w:spacing w:line="480" w:lineRule="auto"/>
        <w:jc w:val="center"/>
        <w:rPr>
          <w:rFonts w:ascii="宋体" w:hAnsi="宋体"/>
          <w:color w:val="auto"/>
          <w:highlight w:val="none"/>
        </w:rPr>
      </w:pPr>
      <w:bookmarkStart w:id="91" w:name="_Toc3200"/>
      <w:bookmarkStart w:id="92" w:name="_Toc31124"/>
      <w:bookmarkStart w:id="93" w:name="_Toc24109"/>
      <w:r>
        <w:rPr>
          <w:rFonts w:hint="eastAsia" w:ascii="宋体" w:hAnsi="宋体"/>
          <w:color w:val="auto"/>
          <w:highlight w:val="none"/>
        </w:rPr>
        <w:t>第四章投标文件的递交</w:t>
      </w:r>
      <w:bookmarkEnd w:id="91"/>
      <w:bookmarkEnd w:id="92"/>
      <w:bookmarkEnd w:id="93"/>
    </w:p>
    <w:p>
      <w:pPr>
        <w:pStyle w:val="5"/>
        <w:widowControl w:val="0"/>
        <w:overflowPunct w:val="0"/>
        <w:rPr>
          <w:rFonts w:ascii="宋体" w:hAnsi="宋体"/>
          <w:color w:val="auto"/>
          <w:sz w:val="21"/>
          <w:szCs w:val="21"/>
          <w:highlight w:val="none"/>
        </w:rPr>
      </w:pPr>
      <w:bookmarkStart w:id="94" w:name="_Toc382049111"/>
      <w:bookmarkStart w:id="95" w:name="_Toc29590"/>
      <w:bookmarkStart w:id="96" w:name="_Toc23678"/>
      <w:bookmarkStart w:id="97" w:name="_Toc24997"/>
      <w:bookmarkStart w:id="98" w:name="_Toc303084264"/>
      <w:bookmarkStart w:id="99" w:name="_Toc473"/>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5"/>
        <w:widowControl w:val="0"/>
        <w:overflowPunct w:val="0"/>
        <w:rPr>
          <w:rFonts w:ascii="宋体" w:hAnsi="宋体"/>
          <w:color w:val="auto"/>
          <w:sz w:val="21"/>
          <w:szCs w:val="21"/>
          <w:highlight w:val="none"/>
        </w:rPr>
      </w:pPr>
      <w:bookmarkStart w:id="100" w:name="_Toc17417"/>
      <w:bookmarkStart w:id="101" w:name="_Toc8628"/>
      <w:bookmarkStart w:id="102" w:name="_Toc7473"/>
      <w:r>
        <w:rPr>
          <w:rFonts w:hint="eastAsia" w:ascii="宋体" w:hAnsi="宋体"/>
          <w:color w:val="auto"/>
          <w:sz w:val="21"/>
          <w:szCs w:val="21"/>
          <w:highlight w:val="none"/>
        </w:rPr>
        <w:t>18.迟交的投标文件</w:t>
      </w:r>
      <w:bookmarkEnd w:id="100"/>
      <w:bookmarkEnd w:id="101"/>
      <w:bookmarkEnd w:id="102"/>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5"/>
        <w:widowControl w:val="0"/>
        <w:overflowPunct w:val="0"/>
        <w:rPr>
          <w:rFonts w:ascii="宋体" w:hAnsi="宋体"/>
          <w:color w:val="auto"/>
          <w:sz w:val="21"/>
          <w:szCs w:val="21"/>
          <w:highlight w:val="none"/>
        </w:rPr>
      </w:pPr>
      <w:bookmarkStart w:id="103" w:name="_Toc8526"/>
      <w:bookmarkStart w:id="104" w:name="_Toc13212"/>
      <w:bookmarkStart w:id="105" w:name="_Toc19649"/>
      <w:r>
        <w:rPr>
          <w:rFonts w:hint="eastAsia" w:ascii="宋体" w:hAnsi="宋体"/>
          <w:color w:val="auto"/>
          <w:sz w:val="21"/>
          <w:szCs w:val="21"/>
          <w:highlight w:val="none"/>
        </w:rPr>
        <w:t>19.投标样品（如需提交）</w:t>
      </w:r>
      <w:bookmarkEnd w:id="103"/>
      <w:bookmarkEnd w:id="104"/>
      <w:bookmarkEnd w:id="105"/>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5"/>
        <w:widowControl w:val="0"/>
        <w:overflowPunct w:val="0"/>
        <w:rPr>
          <w:rFonts w:ascii="宋体" w:hAnsi="宋体"/>
          <w:color w:val="auto"/>
          <w:sz w:val="21"/>
          <w:szCs w:val="21"/>
          <w:highlight w:val="none"/>
        </w:rPr>
      </w:pPr>
      <w:bookmarkStart w:id="106" w:name="_Toc23477"/>
      <w:bookmarkStart w:id="107" w:name="_Toc9777"/>
      <w:bookmarkStart w:id="108" w:name="_Toc382049112"/>
      <w:bookmarkStart w:id="109" w:name="_Toc5900"/>
      <w:bookmarkStart w:id="110" w:name="_Toc303084265"/>
      <w:bookmarkStart w:id="111" w:name="_Toc7689"/>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5"/>
        <w:widowControl w:val="0"/>
        <w:overflowPunct w:val="0"/>
        <w:rPr>
          <w:rFonts w:ascii="宋体" w:hAnsi="宋体"/>
          <w:color w:val="auto"/>
          <w:sz w:val="21"/>
          <w:szCs w:val="21"/>
          <w:highlight w:val="none"/>
        </w:rPr>
      </w:pPr>
      <w:bookmarkStart w:id="112" w:name="_Toc15569"/>
      <w:bookmarkStart w:id="113" w:name="_Toc11133"/>
      <w:bookmarkStart w:id="114" w:name="_Toc6003"/>
      <w:r>
        <w:rPr>
          <w:rFonts w:hint="eastAsia" w:ascii="宋体" w:hAnsi="宋体"/>
          <w:color w:val="auto"/>
          <w:sz w:val="21"/>
          <w:szCs w:val="21"/>
          <w:highlight w:val="none"/>
        </w:rPr>
        <w:t>21.投标文件的补充、修改与撤回</w:t>
      </w:r>
      <w:bookmarkEnd w:id="112"/>
      <w:bookmarkEnd w:id="113"/>
      <w:bookmarkEnd w:id="114"/>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10"/>
        <w:rPr>
          <w:color w:val="auto"/>
          <w:highlight w:val="none"/>
        </w:rPr>
      </w:pPr>
    </w:p>
    <w:p>
      <w:pPr>
        <w:pStyle w:val="4"/>
        <w:spacing w:line="480" w:lineRule="auto"/>
        <w:jc w:val="center"/>
        <w:rPr>
          <w:rFonts w:ascii="宋体" w:hAnsi="宋体"/>
          <w:color w:val="auto"/>
          <w:highlight w:val="none"/>
        </w:rPr>
      </w:pPr>
      <w:bookmarkStart w:id="115" w:name="_Toc29574"/>
      <w:bookmarkStart w:id="116" w:name="_Toc23466"/>
      <w:bookmarkStart w:id="117" w:name="_Toc5049"/>
      <w:r>
        <w:rPr>
          <w:rFonts w:hint="eastAsia" w:ascii="宋体" w:hAnsi="宋体"/>
          <w:color w:val="auto"/>
          <w:highlight w:val="none"/>
        </w:rPr>
        <w:t>第五章开标与评标</w:t>
      </w:r>
      <w:bookmarkEnd w:id="115"/>
      <w:bookmarkEnd w:id="116"/>
      <w:bookmarkEnd w:id="117"/>
    </w:p>
    <w:p>
      <w:pPr>
        <w:pStyle w:val="5"/>
        <w:widowControl w:val="0"/>
        <w:overflowPunct w:val="0"/>
        <w:rPr>
          <w:rFonts w:ascii="宋体" w:hAnsi="宋体"/>
          <w:color w:val="auto"/>
          <w:sz w:val="21"/>
          <w:szCs w:val="21"/>
          <w:highlight w:val="none"/>
        </w:rPr>
      </w:pPr>
      <w:bookmarkStart w:id="118" w:name="_Toc28458"/>
      <w:bookmarkStart w:id="119" w:name="_Toc24251"/>
      <w:bookmarkStart w:id="120" w:name="_Toc27700"/>
      <w:r>
        <w:rPr>
          <w:rFonts w:hint="eastAsia" w:ascii="宋体" w:hAnsi="宋体"/>
          <w:color w:val="auto"/>
          <w:sz w:val="21"/>
          <w:szCs w:val="21"/>
          <w:highlight w:val="none"/>
        </w:rPr>
        <w:t>22.开标</w:t>
      </w:r>
      <w:bookmarkEnd w:id="118"/>
      <w:bookmarkEnd w:id="119"/>
      <w:bookmarkEnd w:id="120"/>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121" w:name="_Toc5524"/>
      <w:bookmarkStart w:id="122" w:name="_Toc5974"/>
      <w:bookmarkStart w:id="123" w:name="_Toc4921"/>
      <w:r>
        <w:rPr>
          <w:rFonts w:hint="eastAsia" w:ascii="宋体" w:hAnsi="宋体"/>
          <w:color w:val="auto"/>
          <w:sz w:val="21"/>
          <w:szCs w:val="21"/>
          <w:highlight w:val="none"/>
        </w:rPr>
        <w:t>23.评标委员会及评标方法</w:t>
      </w:r>
      <w:bookmarkEnd w:id="121"/>
      <w:bookmarkEnd w:id="122"/>
      <w:bookmarkEnd w:id="123"/>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5"/>
        <w:widowControl w:val="0"/>
        <w:overflowPunct w:val="0"/>
        <w:rPr>
          <w:rFonts w:ascii="宋体" w:hAnsi="宋体"/>
          <w:color w:val="auto"/>
          <w:sz w:val="21"/>
          <w:szCs w:val="21"/>
          <w:highlight w:val="none"/>
        </w:rPr>
      </w:pPr>
      <w:bookmarkStart w:id="124" w:name="_Toc26402"/>
      <w:bookmarkStart w:id="125" w:name="_Toc15231"/>
      <w:bookmarkStart w:id="126" w:name="_Toc32730"/>
      <w:r>
        <w:rPr>
          <w:rFonts w:hint="eastAsia" w:ascii="宋体" w:hAnsi="宋体"/>
          <w:color w:val="auto"/>
          <w:sz w:val="21"/>
          <w:szCs w:val="21"/>
          <w:highlight w:val="none"/>
        </w:rPr>
        <w:t>24.评审原则及评标过程的保密</w:t>
      </w:r>
      <w:bookmarkEnd w:id="124"/>
      <w:bookmarkEnd w:id="125"/>
      <w:bookmarkEnd w:id="126"/>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5"/>
        <w:widowControl w:val="0"/>
        <w:overflowPunct w:val="0"/>
        <w:rPr>
          <w:rFonts w:ascii="宋体" w:hAnsi="宋体"/>
          <w:color w:val="auto"/>
          <w:sz w:val="21"/>
          <w:szCs w:val="21"/>
          <w:highlight w:val="none"/>
        </w:rPr>
      </w:pPr>
      <w:bookmarkStart w:id="127" w:name="_Toc16745"/>
      <w:bookmarkStart w:id="128" w:name="_Toc18436"/>
      <w:bookmarkStart w:id="129" w:name="_Toc3762"/>
      <w:r>
        <w:rPr>
          <w:rFonts w:hint="eastAsia" w:ascii="宋体" w:hAnsi="宋体"/>
          <w:color w:val="auto"/>
          <w:sz w:val="21"/>
          <w:szCs w:val="21"/>
          <w:highlight w:val="none"/>
        </w:rPr>
        <w:t>25.投标文件的初审</w:t>
      </w:r>
      <w:bookmarkEnd w:id="127"/>
      <w:bookmarkEnd w:id="128"/>
      <w:bookmarkEnd w:id="129"/>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5"/>
        <w:widowControl w:val="0"/>
        <w:overflowPunct w:val="0"/>
        <w:rPr>
          <w:rFonts w:ascii="宋体" w:hAnsi="宋体"/>
          <w:color w:val="auto"/>
          <w:sz w:val="21"/>
          <w:szCs w:val="21"/>
          <w:highlight w:val="none"/>
        </w:rPr>
      </w:pPr>
      <w:bookmarkStart w:id="130" w:name="_Toc27673"/>
      <w:bookmarkStart w:id="131" w:name="_Toc21742"/>
      <w:bookmarkStart w:id="132" w:name="_Toc29184"/>
      <w:r>
        <w:rPr>
          <w:rFonts w:hint="eastAsia" w:ascii="宋体" w:hAnsi="宋体"/>
          <w:color w:val="auto"/>
          <w:sz w:val="21"/>
          <w:szCs w:val="21"/>
          <w:highlight w:val="none"/>
        </w:rPr>
        <w:t>26.商务、技术、价格评审（具体评审项目详见投标资料表）</w:t>
      </w:r>
      <w:bookmarkEnd w:id="130"/>
      <w:bookmarkEnd w:id="131"/>
      <w:bookmarkEnd w:id="132"/>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33" w:name="_Toc7593"/>
      <w:bookmarkStart w:id="134" w:name="_Toc22192"/>
      <w:bookmarkStart w:id="135" w:name="_Toc17683"/>
      <w:r>
        <w:rPr>
          <w:rFonts w:hint="eastAsia" w:ascii="宋体" w:hAnsi="宋体"/>
          <w:color w:val="auto"/>
          <w:sz w:val="21"/>
          <w:szCs w:val="21"/>
          <w:highlight w:val="none"/>
        </w:rPr>
        <w:t>27.优惠政策</w:t>
      </w:r>
      <w:bookmarkEnd w:id="133"/>
      <w:bookmarkEnd w:id="134"/>
      <w:bookmarkEnd w:id="135"/>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36" w:name="_Toc316375620"/>
      <w:bookmarkStart w:id="137" w:name="_Toc22591"/>
      <w:bookmarkStart w:id="138" w:name="_Toc12115"/>
      <w:bookmarkStart w:id="139" w:name="_Toc31141"/>
      <w:bookmarkStart w:id="140" w:name="_Toc20328"/>
      <w:bookmarkStart w:id="141" w:name="_Toc382049120"/>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4"/>
        <w:spacing w:line="480" w:lineRule="auto"/>
        <w:jc w:val="center"/>
        <w:rPr>
          <w:rFonts w:ascii="宋体" w:hAnsi="宋体"/>
          <w:color w:val="auto"/>
          <w:highlight w:val="none"/>
        </w:rPr>
      </w:pPr>
      <w:bookmarkStart w:id="142" w:name="_Toc5528"/>
      <w:bookmarkStart w:id="143" w:name="_Toc29310"/>
      <w:bookmarkStart w:id="144" w:name="_Toc12251"/>
      <w:r>
        <w:rPr>
          <w:rFonts w:hint="eastAsia" w:ascii="宋体" w:hAnsi="宋体"/>
          <w:color w:val="auto"/>
          <w:highlight w:val="none"/>
        </w:rPr>
        <w:t>第六章授予合同</w:t>
      </w:r>
      <w:bookmarkEnd w:id="142"/>
      <w:bookmarkEnd w:id="143"/>
      <w:bookmarkEnd w:id="144"/>
    </w:p>
    <w:p>
      <w:pPr>
        <w:pStyle w:val="5"/>
        <w:widowControl w:val="0"/>
        <w:overflowPunct w:val="0"/>
        <w:rPr>
          <w:rFonts w:ascii="宋体" w:hAnsi="宋体"/>
          <w:color w:val="auto"/>
          <w:sz w:val="21"/>
          <w:szCs w:val="21"/>
          <w:highlight w:val="none"/>
        </w:rPr>
      </w:pPr>
      <w:bookmarkStart w:id="145" w:name="_Toc6696"/>
      <w:bookmarkStart w:id="146" w:name="_Toc508284011"/>
      <w:bookmarkStart w:id="147" w:name="_Toc27817"/>
      <w:bookmarkStart w:id="148" w:name="_Toc17778"/>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5"/>
        <w:widowControl w:val="0"/>
        <w:overflowPunct w:val="0"/>
        <w:rPr>
          <w:rFonts w:ascii="宋体" w:hAnsi="宋体"/>
          <w:color w:val="auto"/>
          <w:sz w:val="21"/>
          <w:szCs w:val="21"/>
          <w:highlight w:val="none"/>
        </w:rPr>
      </w:pPr>
      <w:bookmarkStart w:id="149" w:name="_Toc508284013"/>
      <w:bookmarkStart w:id="150" w:name="_Toc29283"/>
      <w:bookmarkStart w:id="151" w:name="_Toc23136"/>
      <w:bookmarkStart w:id="152" w:name="_Toc12440"/>
      <w:r>
        <w:rPr>
          <w:rFonts w:hint="eastAsia" w:ascii="宋体" w:hAnsi="宋体"/>
          <w:color w:val="auto"/>
          <w:sz w:val="21"/>
          <w:szCs w:val="21"/>
          <w:highlight w:val="none"/>
        </w:rPr>
        <w:t>30.发布采购结果</w:t>
      </w:r>
      <w:bookmarkEnd w:id="149"/>
      <w:bookmarkEnd w:id="150"/>
      <w:bookmarkEnd w:id="151"/>
      <w:bookmarkEnd w:id="152"/>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5"/>
        <w:widowControl w:val="0"/>
        <w:overflowPunct w:val="0"/>
        <w:rPr>
          <w:rFonts w:ascii="宋体" w:hAnsi="宋体"/>
          <w:color w:val="auto"/>
          <w:sz w:val="21"/>
          <w:szCs w:val="21"/>
          <w:highlight w:val="none"/>
        </w:rPr>
      </w:pPr>
      <w:bookmarkStart w:id="153" w:name="_Toc27279"/>
      <w:bookmarkStart w:id="154" w:name="_Toc22451"/>
      <w:bookmarkStart w:id="155" w:name="_Toc22262"/>
      <w:r>
        <w:rPr>
          <w:rFonts w:hint="eastAsia" w:ascii="宋体" w:hAnsi="宋体"/>
          <w:color w:val="auto"/>
          <w:sz w:val="21"/>
          <w:szCs w:val="21"/>
          <w:highlight w:val="none"/>
        </w:rPr>
        <w:t>31.合同的签订与履行</w:t>
      </w:r>
      <w:bookmarkEnd w:id="153"/>
      <w:bookmarkEnd w:id="154"/>
      <w:bookmarkEnd w:id="155"/>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5"/>
        <w:widowControl w:val="0"/>
        <w:overflowPunct w:val="0"/>
        <w:rPr>
          <w:rFonts w:ascii="宋体" w:hAnsi="宋体"/>
          <w:color w:val="auto"/>
          <w:sz w:val="21"/>
          <w:szCs w:val="21"/>
          <w:highlight w:val="none"/>
        </w:rPr>
      </w:pPr>
      <w:bookmarkStart w:id="156" w:name="_Toc29009"/>
      <w:bookmarkStart w:id="157" w:name="_Toc7405"/>
      <w:bookmarkStart w:id="158" w:name="_Toc2744"/>
      <w:bookmarkStart w:id="159" w:name="_Toc303084277"/>
      <w:bookmarkStart w:id="160" w:name="_Toc25756"/>
      <w:bookmarkStart w:id="161" w:name="_Toc382049124"/>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4"/>
        <w:spacing w:line="480" w:lineRule="auto"/>
        <w:jc w:val="center"/>
        <w:rPr>
          <w:rFonts w:ascii="宋体" w:hAnsi="宋体"/>
          <w:color w:val="auto"/>
          <w:highlight w:val="none"/>
        </w:rPr>
      </w:pPr>
      <w:bookmarkStart w:id="162" w:name="_Toc13694"/>
      <w:bookmarkStart w:id="163" w:name="_Toc7360"/>
      <w:bookmarkStart w:id="164" w:name="_Toc20699"/>
      <w:r>
        <w:rPr>
          <w:rFonts w:hint="eastAsia" w:ascii="宋体" w:hAnsi="宋体"/>
          <w:color w:val="auto"/>
          <w:highlight w:val="none"/>
        </w:rPr>
        <w:t>第七章询问或质疑</w:t>
      </w:r>
      <w:bookmarkEnd w:id="162"/>
      <w:bookmarkEnd w:id="163"/>
      <w:bookmarkEnd w:id="164"/>
    </w:p>
    <w:p>
      <w:pPr>
        <w:pStyle w:val="5"/>
        <w:widowControl w:val="0"/>
        <w:overflowPunct w:val="0"/>
        <w:rPr>
          <w:rFonts w:ascii="宋体" w:hAnsi="宋体"/>
          <w:color w:val="auto"/>
          <w:sz w:val="21"/>
          <w:szCs w:val="21"/>
          <w:highlight w:val="none"/>
        </w:rPr>
      </w:pPr>
      <w:bookmarkStart w:id="165" w:name="_Toc17974"/>
      <w:bookmarkStart w:id="166" w:name="_Toc25498"/>
      <w:bookmarkStart w:id="167" w:name="_Toc22900"/>
      <w:r>
        <w:rPr>
          <w:rFonts w:hint="eastAsia" w:ascii="宋体" w:hAnsi="宋体"/>
          <w:color w:val="auto"/>
          <w:sz w:val="21"/>
          <w:szCs w:val="21"/>
          <w:highlight w:val="none"/>
        </w:rPr>
        <w:t>33.询问</w:t>
      </w:r>
      <w:bookmarkEnd w:id="165"/>
      <w:bookmarkEnd w:id="166"/>
      <w:bookmarkEnd w:id="167"/>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68" w:name="_Toc11264"/>
      <w:bookmarkStart w:id="169" w:name="_Toc2767"/>
      <w:bookmarkStart w:id="170" w:name="_Toc8234"/>
      <w:r>
        <w:rPr>
          <w:rFonts w:hint="eastAsia" w:ascii="宋体" w:hAnsi="宋体"/>
          <w:color w:val="auto"/>
          <w:sz w:val="21"/>
          <w:szCs w:val="21"/>
          <w:highlight w:val="none"/>
        </w:rPr>
        <w:t>34.质疑</w:t>
      </w:r>
      <w:bookmarkEnd w:id="168"/>
      <w:bookmarkEnd w:id="169"/>
      <w:bookmarkEnd w:id="170"/>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4"/>
        <w:spacing w:line="480" w:lineRule="auto"/>
        <w:jc w:val="center"/>
        <w:rPr>
          <w:rFonts w:ascii="宋体" w:hAnsi="宋体"/>
          <w:color w:val="auto"/>
          <w:highlight w:val="none"/>
        </w:rPr>
      </w:pPr>
      <w:bookmarkStart w:id="171" w:name="_Toc8919"/>
      <w:bookmarkStart w:id="172" w:name="_Toc5690"/>
      <w:bookmarkStart w:id="173" w:name="_Toc24383"/>
      <w:r>
        <w:rPr>
          <w:rFonts w:hint="eastAsia" w:ascii="宋体" w:hAnsi="宋体"/>
          <w:color w:val="auto"/>
          <w:highlight w:val="none"/>
        </w:rPr>
        <w:t>第八章其他</w:t>
      </w:r>
      <w:bookmarkEnd w:id="171"/>
      <w:bookmarkEnd w:id="172"/>
      <w:bookmarkEnd w:id="173"/>
    </w:p>
    <w:p>
      <w:pPr>
        <w:pStyle w:val="5"/>
        <w:widowControl w:val="0"/>
        <w:overflowPunct w:val="0"/>
        <w:rPr>
          <w:rFonts w:ascii="宋体" w:hAnsi="宋体"/>
          <w:color w:val="auto"/>
          <w:sz w:val="21"/>
          <w:szCs w:val="21"/>
          <w:highlight w:val="none"/>
        </w:rPr>
      </w:pPr>
      <w:bookmarkStart w:id="174" w:name="_Toc10082"/>
      <w:bookmarkStart w:id="175" w:name="_Toc6548"/>
      <w:bookmarkStart w:id="176" w:name="_Toc21187"/>
      <w:r>
        <w:rPr>
          <w:rFonts w:hint="eastAsia" w:ascii="宋体" w:hAnsi="宋体"/>
          <w:color w:val="auto"/>
          <w:sz w:val="21"/>
          <w:szCs w:val="21"/>
          <w:highlight w:val="none"/>
        </w:rPr>
        <w:t>35.招标文件的解释权</w:t>
      </w:r>
      <w:bookmarkEnd w:id="174"/>
      <w:bookmarkEnd w:id="175"/>
      <w:bookmarkEnd w:id="176"/>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20"/>
    <w:p>
      <w:pPr>
        <w:jc w:val="center"/>
        <w:rPr>
          <w:color w:val="auto"/>
          <w:highlight w:val="none"/>
        </w:rPr>
      </w:pPr>
      <w:r>
        <w:rPr>
          <w:rFonts w:hint="eastAsia"/>
          <w:color w:val="auto"/>
          <w:highlight w:val="none"/>
        </w:rPr>
        <w:br w:type="page"/>
      </w:r>
    </w:p>
    <w:p>
      <w:pPr>
        <w:pStyle w:val="3"/>
        <w:spacing w:before="0" w:after="0" w:line="240" w:lineRule="auto"/>
        <w:rPr>
          <w:color w:val="auto"/>
          <w:sz w:val="28"/>
          <w:szCs w:val="28"/>
          <w:highlight w:val="none"/>
        </w:rPr>
      </w:pPr>
      <w:bookmarkStart w:id="177" w:name="_Toc382"/>
      <w:bookmarkStart w:id="178" w:name="_Toc31854"/>
      <w:bookmarkStart w:id="179" w:name="_Toc7011"/>
      <w:r>
        <w:rPr>
          <w:rFonts w:hint="eastAsia"/>
          <w:color w:val="auto"/>
          <w:sz w:val="28"/>
          <w:szCs w:val="28"/>
          <w:highlight w:val="none"/>
        </w:rPr>
        <w:t>第五部分 用户需求书</w:t>
      </w:r>
      <w:bookmarkEnd w:id="177"/>
      <w:bookmarkEnd w:id="178"/>
      <w:bookmarkEnd w:id="179"/>
    </w:p>
    <w:p>
      <w:pPr>
        <w:pStyle w:val="4"/>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7"/>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8"/>
              <w:keepNext w:val="0"/>
              <w:keepLines w:val="0"/>
              <w:pageBreakBefore w:val="0"/>
              <w:widowControl/>
              <w:kinsoku/>
              <w:wordWrap/>
              <w:overflowPunct/>
              <w:topLinePunct w:val="0"/>
              <w:autoSpaceDE/>
              <w:autoSpaceDN/>
              <w:bidi w:val="0"/>
              <w:adjustRightInd w:val="0"/>
              <w:snapToGrid w:val="0"/>
              <w:spacing w:after="0" w:line="360" w:lineRule="auto"/>
              <w:ind w:left="210" w:leftChars="0" w:right="0" w:rightChars="0" w:firstLine="420" w:firstLineChars="2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供货</w:t>
            </w:r>
            <w:r>
              <w:rPr>
                <w:rFonts w:hint="eastAsia" w:ascii="宋体" w:hAnsi="宋体" w:eastAsia="宋体" w:cs="宋体"/>
                <w:color w:val="auto"/>
                <w:sz w:val="21"/>
                <w:szCs w:val="21"/>
                <w:highlight w:val="none"/>
              </w:rPr>
              <w:t>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kern w:val="44"/>
                <w:sz w:val="21"/>
                <w:szCs w:val="21"/>
                <w:highlight w:val="none"/>
              </w:rPr>
              <w:t>自合同签订之日起</w:t>
            </w:r>
            <w:r>
              <w:rPr>
                <w:rFonts w:hint="eastAsia" w:ascii="宋体" w:hAnsi="宋体" w:cs="宋体"/>
                <w:bCs/>
                <w:color w:val="auto"/>
                <w:kern w:val="44"/>
                <w:sz w:val="21"/>
                <w:szCs w:val="21"/>
                <w:highlight w:val="none"/>
                <w:lang w:val="en-US" w:eastAsia="zh-CN"/>
              </w:rPr>
              <w:t>30</w:t>
            </w:r>
            <w:r>
              <w:rPr>
                <w:rFonts w:hint="eastAsia" w:ascii="宋体" w:hAnsi="宋体" w:eastAsia="宋体" w:cs="宋体"/>
                <w:bCs/>
                <w:color w:val="auto"/>
                <w:kern w:val="44"/>
                <w:sz w:val="21"/>
                <w:szCs w:val="21"/>
                <w:highlight w:val="none"/>
              </w:rPr>
              <w:t>天</w:t>
            </w:r>
            <w:r>
              <w:rPr>
                <w:rFonts w:hint="eastAsia" w:ascii="宋体" w:hAnsi="宋体" w:eastAsia="宋体" w:cs="宋体"/>
                <w:bCs/>
                <w:color w:val="auto"/>
                <w:kern w:val="44"/>
                <w:sz w:val="21"/>
                <w:szCs w:val="21"/>
                <w:highlight w:val="none"/>
                <w:lang w:val="en-US" w:eastAsia="zh-CN"/>
              </w:rPr>
              <w:t>内完成供货、安装、调试</w:t>
            </w:r>
            <w:r>
              <w:rPr>
                <w:rFonts w:hint="eastAsia" w:ascii="宋体" w:hAnsi="宋体" w:eastAsia="宋体" w:cs="宋体"/>
                <w:bCs/>
                <w:color w:val="auto"/>
                <w:kern w:val="44"/>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3"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质保期</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8"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widowControl w:val="0"/>
              <w:autoSpaceDE w:val="0"/>
              <w:autoSpaceDN w:val="0"/>
              <w:adjustRightInd/>
              <w:snapToGrid/>
              <w:spacing w:after="0" w:line="288" w:lineRule="auto"/>
              <w:ind w:firstLine="420" w:firstLineChars="200"/>
              <w:rPr>
                <w:rFonts w:ascii="宋体" w:hAnsi="宋体" w:eastAsia="宋体" w:cs="宋体"/>
                <w:color w:val="auto"/>
                <w:sz w:val="21"/>
                <w:szCs w:val="21"/>
                <w:highlight w:val="none"/>
                <w:lang w:val="zh-CN" w:bidi="zh-CN"/>
              </w:rPr>
            </w:pPr>
            <w:r>
              <w:rPr>
                <w:rFonts w:hint="eastAsia" w:ascii="宋体" w:hAnsi="宋体" w:eastAsia="宋体" w:cs="宋体"/>
                <w:color w:val="auto"/>
                <w:sz w:val="21"/>
                <w:szCs w:val="21"/>
                <w:highlight w:val="none"/>
                <w:lang w:val="zh-CN" w:bidi="zh-CN"/>
              </w:rPr>
              <w:t>（</w:t>
            </w:r>
            <w:r>
              <w:rPr>
                <w:rFonts w:hint="eastAsia" w:ascii="宋体" w:hAnsi="宋体" w:eastAsia="宋体" w:cs="宋体"/>
                <w:color w:val="auto"/>
                <w:sz w:val="21"/>
                <w:szCs w:val="21"/>
                <w:highlight w:val="none"/>
                <w:lang w:bidi="zh-CN"/>
              </w:rPr>
              <w:t>1</w:t>
            </w:r>
            <w:r>
              <w:rPr>
                <w:rFonts w:hint="eastAsia" w:ascii="宋体" w:hAnsi="宋体" w:eastAsia="宋体" w:cs="宋体"/>
                <w:color w:val="auto"/>
                <w:sz w:val="21"/>
                <w:szCs w:val="21"/>
                <w:highlight w:val="none"/>
                <w:lang w:val="zh-CN" w:bidi="zh-CN"/>
              </w:rPr>
              <w:t>）签订合同后，支付合同总价的30%；</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cs="宋体"/>
                <w:color w:val="auto"/>
                <w:sz w:val="21"/>
                <w:szCs w:val="21"/>
                <w:highlight w:val="none"/>
                <w:lang w:eastAsia="zh-CN"/>
              </w:rPr>
            </w:pPr>
            <w:r>
              <w:rPr>
                <w:rFonts w:hint="eastAsia" w:ascii="宋体" w:hAnsi="宋体" w:eastAsia="宋体" w:cs="宋体"/>
                <w:color w:val="auto"/>
                <w:sz w:val="21"/>
                <w:szCs w:val="21"/>
                <w:highlight w:val="none"/>
                <w:lang w:val="zh-CN" w:bidi="zh-CN"/>
              </w:rPr>
              <w:t>（</w:t>
            </w:r>
            <w:r>
              <w:rPr>
                <w:rFonts w:hint="eastAsia" w:ascii="宋体" w:hAnsi="宋体" w:eastAsia="宋体" w:cs="宋体"/>
                <w:color w:val="auto"/>
                <w:sz w:val="21"/>
                <w:szCs w:val="21"/>
                <w:highlight w:val="none"/>
                <w:lang w:bidi="zh-CN"/>
              </w:rPr>
              <w:t>2</w:t>
            </w:r>
            <w:r>
              <w:rPr>
                <w:rFonts w:hint="eastAsia" w:ascii="宋体" w:hAnsi="宋体" w:eastAsia="宋体" w:cs="宋体"/>
                <w:color w:val="auto"/>
                <w:sz w:val="21"/>
                <w:szCs w:val="21"/>
                <w:highlight w:val="none"/>
                <w:lang w:val="zh-CN" w:bidi="zh-CN"/>
              </w:rPr>
              <w:t>）</w:t>
            </w:r>
            <w:r>
              <w:rPr>
                <w:rFonts w:hint="eastAsia" w:ascii="宋体" w:hAnsi="宋体" w:eastAsia="宋体" w:cs="宋体"/>
                <w:color w:val="auto"/>
                <w:sz w:val="21"/>
                <w:szCs w:val="21"/>
                <w:highlight w:val="none"/>
                <w:lang w:bidi="zh-CN"/>
              </w:rPr>
              <w:t>供货</w:t>
            </w:r>
            <w:r>
              <w:rPr>
                <w:rFonts w:hint="eastAsia" w:ascii="宋体" w:hAnsi="宋体" w:eastAsia="宋体" w:cs="宋体"/>
                <w:color w:val="auto"/>
                <w:sz w:val="21"/>
                <w:szCs w:val="21"/>
                <w:highlight w:val="none"/>
                <w:lang w:val="zh-CN" w:bidi="zh-CN"/>
              </w:rPr>
              <w:t>安装</w:t>
            </w:r>
            <w:r>
              <w:rPr>
                <w:rFonts w:hint="eastAsia" w:ascii="宋体" w:hAnsi="宋体" w:eastAsia="宋体" w:cs="宋体"/>
                <w:color w:val="auto"/>
                <w:sz w:val="21"/>
                <w:szCs w:val="21"/>
                <w:highlight w:val="none"/>
                <w:lang w:bidi="zh-CN"/>
              </w:rPr>
              <w:t>及</w:t>
            </w:r>
            <w:r>
              <w:rPr>
                <w:rFonts w:hint="eastAsia" w:ascii="宋体" w:hAnsi="宋体" w:eastAsia="宋体" w:cs="宋体"/>
                <w:color w:val="auto"/>
                <w:sz w:val="21"/>
                <w:szCs w:val="21"/>
                <w:highlight w:val="none"/>
                <w:lang w:val="zh-CN" w:bidi="zh-CN"/>
              </w:rPr>
              <w:t>调试结束，提交全部报告材料，并验收合格后，支付</w:t>
            </w:r>
            <w:r>
              <w:rPr>
                <w:rFonts w:hint="eastAsia" w:ascii="宋体" w:hAnsi="宋体" w:cs="宋体"/>
                <w:color w:val="auto"/>
                <w:sz w:val="21"/>
                <w:szCs w:val="21"/>
                <w:highlight w:val="none"/>
                <w:lang w:val="en-US" w:bidi="zh-CN"/>
              </w:rPr>
              <w:t>至</w:t>
            </w:r>
            <w:r>
              <w:rPr>
                <w:rFonts w:hint="eastAsia" w:ascii="宋体" w:hAnsi="宋体" w:eastAsia="宋体" w:cs="宋体"/>
                <w:color w:val="auto"/>
                <w:sz w:val="21"/>
                <w:szCs w:val="21"/>
                <w:highlight w:val="none"/>
                <w:lang w:val="zh-CN" w:bidi="zh-CN"/>
              </w:rPr>
              <w:t>合同总价的</w:t>
            </w:r>
            <w:r>
              <w:rPr>
                <w:rFonts w:hint="eastAsia" w:ascii="宋体" w:hAnsi="宋体" w:cs="宋体"/>
                <w:color w:val="auto"/>
                <w:sz w:val="21"/>
                <w:szCs w:val="21"/>
                <w:highlight w:val="none"/>
                <w:lang w:val="en-US" w:bidi="zh-CN"/>
              </w:rPr>
              <w:t>100</w:t>
            </w:r>
            <w:r>
              <w:rPr>
                <w:rFonts w:hint="eastAsia" w:ascii="宋体" w:hAnsi="宋体" w:eastAsia="宋体" w:cs="宋体"/>
                <w:color w:val="auto"/>
                <w:sz w:val="21"/>
                <w:szCs w:val="21"/>
                <w:highlight w:val="none"/>
                <w:lang w:val="zh-CN" w:bidi="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rPr>
          <w:color w:val="auto"/>
          <w:highlight w:val="none"/>
        </w:rPr>
      </w:pPr>
    </w:p>
    <w:p>
      <w:pPr>
        <w:pStyle w:val="10"/>
        <w:rPr>
          <w:color w:val="auto"/>
          <w:highlight w:val="none"/>
          <w:lang w:val="en-US"/>
        </w:rPr>
      </w:pPr>
    </w:p>
    <w:p>
      <w:pPr>
        <w:pStyle w:val="26"/>
        <w:ind w:left="0" w:leftChars="0" w:firstLine="0" w:firstLineChars="0"/>
        <w:rPr>
          <w:color w:val="auto"/>
          <w:highlight w:val="none"/>
          <w:lang w:val="en-US"/>
        </w:rPr>
      </w:pPr>
    </w:p>
    <w:p>
      <w:pPr>
        <w:pStyle w:val="26"/>
        <w:ind w:left="0" w:leftChars="0" w:firstLine="0" w:firstLineChars="0"/>
        <w:rPr>
          <w:color w:val="auto"/>
          <w:highlight w:val="none"/>
          <w:lang w:val="en-US"/>
        </w:rPr>
      </w:pPr>
    </w:p>
    <w:p>
      <w:pPr>
        <w:pStyle w:val="26"/>
        <w:ind w:left="0" w:leftChars="0" w:firstLine="0" w:firstLineChars="0"/>
        <w:rPr>
          <w:color w:val="auto"/>
          <w:highlight w:val="none"/>
          <w:lang w:val="en-US"/>
        </w:rPr>
      </w:pPr>
    </w:p>
    <w:p>
      <w:pPr>
        <w:pStyle w:val="26"/>
        <w:ind w:left="0" w:leftChars="0" w:firstLine="0" w:firstLineChars="0"/>
        <w:rPr>
          <w:color w:val="auto"/>
          <w:highlight w:val="none"/>
          <w:lang w:val="en-US"/>
        </w:rPr>
      </w:pPr>
    </w:p>
    <w:p>
      <w:pPr>
        <w:pStyle w:val="26"/>
        <w:ind w:left="0" w:leftChars="0" w:firstLine="0" w:firstLineChars="0"/>
        <w:rPr>
          <w:color w:val="auto"/>
          <w:highlight w:val="none"/>
          <w:lang w:val="en-US"/>
        </w:rPr>
      </w:pPr>
    </w:p>
    <w:p>
      <w:pPr>
        <w:pStyle w:val="26"/>
        <w:ind w:left="0" w:leftChars="0" w:firstLine="0" w:firstLineChars="0"/>
        <w:rPr>
          <w:color w:val="auto"/>
          <w:highlight w:val="none"/>
          <w:lang w:val="en-US"/>
        </w:rPr>
      </w:pPr>
    </w:p>
    <w:p>
      <w:pPr>
        <w:pStyle w:val="4"/>
        <w:numPr>
          <w:ilvl w:val="0"/>
          <w:numId w:val="9"/>
        </w:numPr>
        <w:jc w:val="center"/>
        <w:rPr>
          <w:rFonts w:ascii="宋体" w:hAnsi="宋体"/>
          <w:color w:val="auto"/>
          <w:highlight w:val="none"/>
        </w:rPr>
      </w:pPr>
      <w:bookmarkStart w:id="181" w:name="_Toc19316"/>
      <w:r>
        <w:rPr>
          <w:rFonts w:hint="eastAsia" w:ascii="宋体" w:hAnsi="宋体"/>
          <w:color w:val="auto"/>
          <w:highlight w:val="none"/>
        </w:rPr>
        <w:t>技术需求书</w:t>
      </w:r>
      <w:bookmarkEnd w:id="181"/>
    </w:p>
    <w:p>
      <w:pPr>
        <w:pStyle w:val="5"/>
        <w:bidi w:val="0"/>
        <w:rPr>
          <w:rFonts w:hint="eastAsia" w:eastAsia="宋体"/>
          <w:color w:val="auto"/>
          <w:highlight w:val="none"/>
          <w:lang w:val="en-US" w:eastAsia="zh-CN"/>
        </w:rPr>
      </w:pPr>
      <w:bookmarkStart w:id="182" w:name="_Toc14462"/>
      <w:bookmarkStart w:id="183" w:name="_Toc24679"/>
      <w:bookmarkStart w:id="184" w:name="_Toc31278"/>
      <w:bookmarkStart w:id="185" w:name="_Toc13112"/>
      <w:r>
        <w:rPr>
          <w:rFonts w:hint="eastAsia" w:eastAsia="宋体"/>
          <w:color w:val="auto"/>
          <w:highlight w:val="none"/>
          <w:lang w:val="en-US" w:eastAsia="zh-CN"/>
        </w:rPr>
        <w:t>一、项目基本要求</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1、投标人须提供厂商原装、全新的、符合用户提出的有关质量标准的设备、货物。 </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2、所有货物在开箱检验时必须完好，无破损，配置与装箱单相符。货物外观清洁，标记编号以及盘面显示等字体清晰明确。 </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3、对于影响货物正常工作的必要组成部分，无论在技术规范中指出与否，投标人都应提供并在投标文件中明确列出。 </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4、投标人须保证产品符合相关验收标准，并通过验收后，再移交采购人。 </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5、投标人所投设备应符合中华人民共和国有关规范和安全要求。</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6</w:t>
      </w:r>
      <w:r>
        <w:rPr>
          <w:rFonts w:hint="eastAsia"/>
          <w:color w:val="auto"/>
          <w:sz w:val="21"/>
          <w:szCs w:val="21"/>
          <w:highlight w:val="none"/>
          <w:lang w:val="en-US"/>
        </w:rPr>
        <w:t>、投标</w:t>
      </w:r>
      <w:r>
        <w:rPr>
          <w:rFonts w:hint="eastAsia"/>
          <w:color w:val="auto"/>
          <w:sz w:val="21"/>
          <w:szCs w:val="21"/>
          <w:highlight w:val="none"/>
          <w:lang w:val="en-US" w:eastAsia="zh-CN"/>
        </w:rPr>
        <w:t>人</w:t>
      </w:r>
      <w:r>
        <w:rPr>
          <w:rFonts w:hint="eastAsia"/>
          <w:color w:val="auto"/>
          <w:sz w:val="21"/>
          <w:szCs w:val="21"/>
          <w:highlight w:val="none"/>
          <w:lang w:val="en-US"/>
        </w:rPr>
        <w:t xml:space="preserve">须负责投标货物的运输、验收、试运行和售后服务、培训等。 </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7</w:t>
      </w:r>
      <w:r>
        <w:rPr>
          <w:rFonts w:hint="eastAsia"/>
          <w:color w:val="auto"/>
          <w:sz w:val="21"/>
          <w:szCs w:val="21"/>
          <w:highlight w:val="none"/>
          <w:lang w:val="en-US"/>
        </w:rPr>
        <w:t>、本项目产品技术参数及功能要求仅供投标人参考，涉及具体品牌、型号、产地的产品，仅作为项目质量水平与配置的参考，在不低于此基准的前提下，投标人可以选用同档次或更优的同类产品替代。</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8</w:t>
      </w:r>
      <w:r>
        <w:rPr>
          <w:rFonts w:hint="eastAsia"/>
          <w:color w:val="auto"/>
          <w:sz w:val="21"/>
          <w:szCs w:val="21"/>
          <w:highlight w:val="none"/>
          <w:lang w:val="en-US"/>
        </w:rPr>
        <w:t>、本项目为一个整体，投标人必须对本项目整体进行投标，不能只对其中一部分货物进行投标，且要提供详细的技术资料。</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9</w:t>
      </w:r>
      <w:r>
        <w:rPr>
          <w:rFonts w:hint="eastAsia"/>
          <w:color w:val="auto"/>
          <w:sz w:val="21"/>
          <w:szCs w:val="21"/>
          <w:highlight w:val="none"/>
          <w:lang w:val="en-US"/>
        </w:rPr>
        <w:t>、投标人提供的产品必须符合招标文件要求的技术参数及功能要求。</w:t>
      </w:r>
    </w:p>
    <w:p>
      <w:pPr>
        <w:pStyle w:val="10"/>
        <w:spacing w:before="0" w:after="0" w:line="360" w:lineRule="auto"/>
        <w:ind w:left="0" w:firstLine="420" w:firstLineChars="200"/>
        <w:rPr>
          <w:rFonts w:hint="eastAsia"/>
          <w:color w:val="auto"/>
          <w:sz w:val="21"/>
          <w:szCs w:val="21"/>
          <w:highlight w:val="none"/>
          <w:lang w:val="en-US"/>
        </w:rPr>
      </w:pPr>
      <w:r>
        <w:rPr>
          <w:rFonts w:hint="eastAsia"/>
          <w:color w:val="auto"/>
          <w:sz w:val="21"/>
          <w:szCs w:val="21"/>
          <w:highlight w:val="none"/>
          <w:lang w:val="en-US" w:eastAsia="zh-CN"/>
        </w:rPr>
        <w:t>10</w:t>
      </w:r>
      <w:r>
        <w:rPr>
          <w:rFonts w:hint="eastAsia"/>
          <w:color w:val="auto"/>
          <w:sz w:val="21"/>
          <w:szCs w:val="21"/>
          <w:highlight w:val="none"/>
          <w:lang w:val="en-US"/>
        </w:rPr>
        <w:t>、本项目主要标的的名称（即核心产品）为：</w:t>
      </w:r>
      <w:r>
        <w:rPr>
          <w:rFonts w:hint="eastAsia" w:ascii="宋体" w:hAnsi="宋体" w:eastAsia="宋体" w:cs="宋体"/>
          <w:i w:val="0"/>
          <w:iCs w:val="0"/>
          <w:color w:val="auto"/>
          <w:kern w:val="0"/>
          <w:sz w:val="21"/>
          <w:szCs w:val="21"/>
          <w:highlight w:val="none"/>
          <w:u w:val="none"/>
          <w:lang w:val="en-US" w:eastAsia="zh-CN" w:bidi="ar"/>
        </w:rPr>
        <w:t>高清终端</w:t>
      </w:r>
      <w:r>
        <w:rPr>
          <w:rFonts w:hint="eastAsia"/>
          <w:color w:val="auto"/>
          <w:sz w:val="21"/>
          <w:szCs w:val="21"/>
          <w:highlight w:val="none"/>
          <w:lang w:val="en-US"/>
        </w:rPr>
        <w:t>。</w:t>
      </w:r>
    </w:p>
    <w:p>
      <w:pPr>
        <w:rPr>
          <w:color w:val="auto"/>
          <w:highlight w:val="none"/>
          <w:lang w:val="en-US"/>
        </w:rPr>
      </w:pPr>
    </w:p>
    <w:p>
      <w:pPr>
        <w:pStyle w:val="5"/>
        <w:keepNext/>
        <w:keepLines/>
        <w:pageBreakBefore w:val="0"/>
        <w:widowControl/>
        <w:kinsoku/>
        <w:wordWrap/>
        <w:overflowPunct/>
        <w:topLinePunct w:val="0"/>
        <w:autoSpaceDE/>
        <w:autoSpaceDN/>
        <w:bidi w:val="0"/>
        <w:adjustRightInd w:val="0"/>
        <w:snapToGrid w:val="0"/>
        <w:textAlignment w:val="auto"/>
        <w:rPr>
          <w:rFonts w:hint="eastAsia" w:eastAsia="宋体"/>
          <w:color w:val="auto"/>
          <w:highlight w:val="none"/>
          <w:lang w:val="en-US" w:eastAsia="zh-CN"/>
        </w:rPr>
      </w:pPr>
      <w:r>
        <w:rPr>
          <w:rFonts w:hint="eastAsia"/>
          <w:color w:val="auto"/>
          <w:highlight w:val="none"/>
          <w:lang w:val="en-US" w:eastAsia="zh-CN"/>
        </w:rPr>
        <w:t>二</w:t>
      </w:r>
      <w:r>
        <w:rPr>
          <w:rFonts w:hint="eastAsia" w:eastAsia="宋体"/>
          <w:color w:val="auto"/>
          <w:highlight w:val="none"/>
          <w:lang w:val="en-US" w:eastAsia="zh-CN"/>
        </w:rPr>
        <w:t>、项目清单</w:t>
      </w:r>
      <w:bookmarkStart w:id="385" w:name="_GoBack"/>
      <w:bookmarkEnd w:id="385"/>
    </w:p>
    <w:p>
      <w:pPr>
        <w:pStyle w:val="5"/>
        <w:bidi w:val="0"/>
        <w:rPr>
          <w:rFonts w:hint="eastAsia"/>
          <w:color w:val="auto"/>
          <w:highlight w:val="none"/>
          <w:lang w:eastAsia="zh-CN"/>
        </w:rPr>
      </w:pPr>
      <w:r>
        <w:rPr>
          <w:rFonts w:hint="eastAsia"/>
          <w:color w:val="auto"/>
          <w:highlight w:val="none"/>
          <w:lang w:val="en-US" w:eastAsia="zh-CN"/>
        </w:rPr>
        <w:t>1、会议桌椅清单</w:t>
      </w:r>
    </w:p>
    <w:tbl>
      <w:tblPr>
        <w:tblStyle w:val="27"/>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8"/>
        <w:gridCol w:w="1200"/>
        <w:gridCol w:w="5235"/>
        <w:gridCol w:w="690"/>
        <w:gridCol w:w="5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20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名称</w:t>
            </w:r>
          </w:p>
        </w:tc>
        <w:tc>
          <w:tcPr>
            <w:tcW w:w="523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特征描述</w:t>
            </w:r>
          </w:p>
        </w:tc>
        <w:tc>
          <w:tcPr>
            <w:tcW w:w="69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计量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单位</w:t>
            </w:r>
          </w:p>
        </w:tc>
        <w:tc>
          <w:tcPr>
            <w:tcW w:w="53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120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523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69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53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折叠椅子【88cm*49cm*55cm】</w:t>
            </w:r>
          </w:p>
        </w:tc>
        <w:tc>
          <w:tcPr>
            <w:tcW w:w="52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1、黑色框架靠背 时尚设计 简约大方 靠背比市场常规尺寸高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2、靠背进口特网 透气舒适高弹力 不易磨损 靠背铝合金连接件 功能可逍遥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3、足1.5内管壁厚 不易变形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4、5分的纯净海绵，带坐壳，两条钢丝绳，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5、10张带写字板的</w:t>
            </w: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5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折叠台(多层实木夹板）【240CM*40CM*75CM】</w:t>
            </w:r>
          </w:p>
        </w:tc>
        <w:tc>
          <w:tcPr>
            <w:tcW w:w="52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 、饰面 ：纯三聚氰胺浸胶简称 MFC ，高克重且覆盖力强 ，确保耐磨抗划 、耐高温 、耐酸碱 、易清洁；纹理自然 ，颜色一致 ，环保性能指标完全达到 GB 18580-2017；</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 、基材 ：采用符合国家E0级三聚氰胺板 ，板材内甲醛及有害物质释放量达到国家 E1标准， 甲醛释放量≤0. 124mg/m3,环保性能指标完全达到 GB 18580-2017；</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 、封边 ：2mm厚激光封边 。采用高温封边热溶胶 ，经全自动封边机热压与板材粘连无丝无缝 ，在不同地区气温、湿度的变化中不受影响 ，能长期不变形 、不开裂；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 、胶粘剂 ：采用胶粘剂 ，色泽美观 ，不变色 ，光滑耐磨 ，油漆硬度达2H ，达到不变色 、不含铅 ，抗冲力、耐热和耐缩涨 ，胶合剂采用环保胶合剂 。环保性能指标完全符合 GB 18583-2008；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 、导轨 ：符合QB/T 2454-2013《家具五金抽屉导轨》标准 ，下沉量不超过抽屉导轨拉出长度 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 、门铰 ：采用连接件 、内置阻力铰链 ,具有三维调整功能 ，静音、自关闭 ，缓冲装置的三节无声滑轨 ，静音， 门铰可开合不少于40000次 ，性能指标完全符合QB/T 2454-2013；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 、钢架 ：采用冷轧钢 ，表面经脱脂 、清洗 、酸洗 、磷化 、表调 、清洗 、烘干 、喷塑 ，经200℃高温固化，铁钉刺击无痕迹 ，不脱落 ，不开裂 ，抗腐蚀性强 ，涂层牢固 ，美观大方。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 、五金配件 ：采用五金配件 ，所有五金件作防锈 、防腐处理；</w:t>
            </w: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5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主席台（10个位）【800CM*60CM*75CM】</w:t>
            </w:r>
          </w:p>
        </w:tc>
        <w:tc>
          <w:tcPr>
            <w:tcW w:w="52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1、基材：采用多层实木夹板胶贴热压制而成，符合国际E1级环保标准，含水率≤9%，经防潮、防虫、防腐处理，抗弯力强，不易变形；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2、封边：2mm厚激光封边。采用高温封边热溶胶，经全自动封边机热压与板材粘连无丝无缝，在不同地区气温、湿度的变化中不受影响，能长期不变形、不开裂；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3、封边胶：采用高温封边热溶胶，热稳定好，抗高低温性能好；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4、贴面胶：采用环保胶水，符合国际E1级环保标准；</w:t>
            </w: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5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主席台椅子【100CM*58CM*47CM】</w:t>
            </w:r>
          </w:p>
        </w:tc>
        <w:tc>
          <w:tcPr>
            <w:tcW w:w="52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1、西皮，背为内置木架，坐板为成型环保板，高密度切割绵，四脚木架为橡木，环保油漆</w:t>
            </w: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5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移动讲台【60cm*42cm*124H cm】</w:t>
            </w:r>
          </w:p>
        </w:tc>
        <w:tc>
          <w:tcPr>
            <w:tcW w:w="52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 、饰面 ：纯三聚氰胺浸胶简称 MFC ，高克重且覆盖力强 ，确保耐磨抗划 、耐高温 、耐酸碱 、易清洁；  纹理自</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然 ，颜色一致 ，环保性能指标完全达到GB 18580-2017；</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 、基材 ：采用符合国家E0级三聚氰胺板 ，板材内甲醛及有害物质释放量达到国家 E1标准， 甲醛释放量≤0. 124mg/m3,环保性能指标完全达到 GB 18580-2017；</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 、封边 ：2mm厚激光封边 。采用高温封边热溶胶 ，经全自动封边机热压与板材粘连无丝无缝 ，在不同地区气温、湿度的变化中不受影响 ，能长期不变形 、不开裂；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 、胶粘剂 ：采用胶粘剂 ，色泽美观 ，不变色 ，光滑耐磨 ，油漆硬度达2H ，达到不变色 、不含铅 ，抗冲力、耐热和耐缩涨 ，胶合剂采用环保胶合剂 。环保性能指标完全符合 GB 18583-2008；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 、导轨 ：符合QB/T 2454-2013《家具五金抽屉导轨》标准 ，下沉量不超过抽屉导轨拉出长度 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 、门铰 ：采用连接件 、内置阻力铰链 ,具有三维调整功能 ，静音 、  自关闭 ，缓冲装置的三节无声滑轨 ，静音， 门铰可开合不少于40000次 ，性能指标完全符合QB/T 2454-2013；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 、钢架 ：采用冷轧钢 ，表面经脱脂 、清洗 、酸洗 、磷化 、表调 、清洗 、烘干 、喷塑 ，经200℃高温固化，铁钉刺击无痕迹 ，不脱落 ，不开裂 ，抗腐蚀性强 ，涂层牢固 ，美观大方。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 、五金配件 ：采用五金配件 ，所有五金件作防锈 、防腐处理；</w:t>
            </w: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5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bl>
    <w:p>
      <w:pPr>
        <w:pStyle w:val="5"/>
        <w:bidi w:val="0"/>
        <w:rPr>
          <w:rFonts w:hint="eastAsia"/>
          <w:color w:val="auto"/>
          <w:highlight w:val="none"/>
        </w:rPr>
      </w:pPr>
      <w:r>
        <w:rPr>
          <w:rFonts w:hint="eastAsia"/>
          <w:color w:val="auto"/>
          <w:highlight w:val="none"/>
          <w:lang w:val="en-US" w:eastAsia="zh-CN"/>
        </w:rPr>
        <w:t>2、其他设备清单</w:t>
      </w:r>
    </w:p>
    <w:tbl>
      <w:tblPr>
        <w:tblStyle w:val="27"/>
        <w:tblW w:w="867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8"/>
        <w:gridCol w:w="1200"/>
        <w:gridCol w:w="5188"/>
        <w:gridCol w:w="722"/>
        <w:gridCol w:w="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20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名称</w:t>
            </w:r>
          </w:p>
        </w:tc>
        <w:tc>
          <w:tcPr>
            <w:tcW w:w="518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特征描述</w:t>
            </w:r>
          </w:p>
        </w:tc>
        <w:tc>
          <w:tcPr>
            <w:tcW w:w="72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计量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单位</w:t>
            </w:r>
          </w:p>
        </w:tc>
        <w:tc>
          <w:tcPr>
            <w:tcW w:w="91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120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518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72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9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63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LED显示屏</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全彩LED屏（嵌入式靠墙）</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1.显示尺寸：4.48m(H)*1.44m(W)；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2.像素点间距：≤1.86mm；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3.像素构成：1R1G1B；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4.像素密度：≥288906Dots/㎡；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5.亮度：0-1500cd/㎡可调，具有蓝光抑制功能；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6.亮度均匀性：≥98%；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7.刷新率：≥3840Hz；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8.整屏平整度：0.1mm；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9.色温：1000-10000K可调；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10.色度均匀性：±0.002Cx,Cy之内；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11.水平/垂直视角：≥160°；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12.像素点失效率：≤0.00001，出厂时为0；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13.对比度：≥5000:1；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14.画面延时：≤2ms；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15.峰值功耗：≤800W/㎡，平均功耗≤300W/㎡；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16.灰度等级：≥16bit；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17.箱体后盖设置自检按钮，按下箱体按钮后，自动跑完灰度测试、网格线测试功能，并在软件输出自检结果报告，精确定位x行x列箱体需要排查问题。</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8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接收卡</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 单卡支持16组和24组数据输出模式；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 单卡自带12个HUB75  16P接口；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 单卡带载像素128*1024/256*512。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 支持逐点亮色度校正、多批次、亮暗线调节和显示屏效果调节等功能，与3D控制器搭配支持3D效果；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 支持灯板flash管理；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 支持5pin液晶模块；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 支持接收卡参数及程序包回读；8. 接收卡具有与灯板一致的电源接口；</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开关电源</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1.种类:开关电源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2.规格:200W 40A 5V</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LED显示屏控制系统（多画面播放）</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1.支持主流视频格式：MPG、AVI、MP4、RMVB、MKV、MOV。</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2.支持主流图片格式：JPG、PNG、GIF、BMP、JPEG。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3.支持主流文档格式：PDF、PPT、WORD、EXCEL。</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多媒体发送器</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1.名称:多媒体发送器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2.类别:TB2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3.CPU核心数量不少于八核，运行主频不少于1.5GHz</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视频处理器</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1.采用1U标准机箱；</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2.具备液晶面板和功能快捷操作按钮；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3.支持5路视频输入+1路U盘播放：2路HDMI1.4、1路DVI、1路VGA、1路CVBS；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4.支持最大视频信号输入：1920×1080@60Hz；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5.具备4路千兆网口输出，支持单机或双机冗余备份；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6.单台最大带载：260万像素点，最宽3840像素、或最高2000像素；</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小电箱</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1.名称：小电箱</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边框支架</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1.材质:前维护方式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保证承重、固装、平整美观。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材料:镀锡方通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背条材料为镀芯方管40*20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无边框支架</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户内会标屏</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1.名称:户内会标屏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2.显示尺寸：6.94m(H)*0.354m(W)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点间距： 3.75 mm                                        像素组成:1R（SMD 3535）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单元板尺寸:  304*152mm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输入电压:AC 220V /50 Hz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亮度:≧1200nit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防护等级： IP30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可视角度水平≧160°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平均功耗＜300W/ 最大功耗＜700w/㎡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控制方式：异步控制</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控制卡</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1.名称:板载100M网络接口+USB接口，可定制RS232或RS485，U盘稳定上传距离≤7.5米；单双色512K点：宽度≤8192点，高度≤256点</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边框支架</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1.材质:采用前维护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包边：黑色铝合金包边，每边25MM包边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主架构：方通40mm*20mm</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投屏器</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1.类别:HDMI无线投屏器 高清办公会议家用同屏器 适用笔记本电脑台式机连接电视显示器投影仪 50米传输器</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HDMI延长器</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1.名称:HDMI延长器</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配线</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1.规格:4mm2线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2.材质:铜芯</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电箱</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1.名称:漏电保护</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网线</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1.名称:六类网线 无氧铜千兆网线100米/箱</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2.规格:CAT6</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电缆</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1.名称：电缆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2.规格：3*5mm2</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配管</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1.名称：配管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2.配置方式：综合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3.规格：PC20</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线槽</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1.名称：线槽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2.配置方式：综合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3.规格：1寸</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嵌入式背景墙整体加厚13公分</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1.构件类型:嵌入式背景墙整体加厚13公分</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电视机木饰面背景墙</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1.构件类型:电视机木饰面背景墙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2.含安装含原有的背板拆除含清理垃圾</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63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【LED显示屏】分部小计</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63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电视</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电视</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1.规格:尺寸 85寸</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分辨率 4K</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亮度 350nits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屏幕比例 16：9</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运行内存 3GB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存储内存 64GB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CPU核心数 4核</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图形处理器</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1.视频编码格式至少支持MPEG-1，MPEG-2，MPEG-4，H.263， H.264，AVS， VC-1， VP8，MVC ；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2.支持4K高清视频H265解码;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3.千兆网络输出接口；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 具备USB接口，USB接口支持数据存储，数据导入；</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支架</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1.名称:支架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2.规格:可旋转前后伸缩移动</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HDMI延长器</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1.名称:HDMI延长器</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配线</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1.规格:4mm2线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2.材质:铜芯</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网线</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1.名称:六类网线 无氧铜千兆网线100米/箱</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2.规格:CAT6</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配管</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1.名称：配管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2.配置方式：综合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3.规格：PC20</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63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【电视】分部小计</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63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会议音响系统及视频会议终端</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扬声器、音柱</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1.单元配置：4x3”（81mm)  顶级铁氧体全频喇叭单元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  2.频率响应（-10dB)：110Hz–20kHz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3.额定功率(AES)：80W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4.灵敏度：(1W/1m）:93dB±3dB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5.最大声压级（SPL)：114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  6.标准阻抗：8Ω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  7.辐射角度：100°x 30°-50°(角度可调）、音乐/语言两种模式可选.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  8.连接插座：1x凤凰插，1x Speakon</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  9.尺寸（WxHxD):127x380x157 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  10.净重（Kg):4.5</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线阵音柱壁挂安装支架</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1.钢材品种、规格:线阵音柱壁挂安装支架</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背景音乐系统设备</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后面板采用独特的凤凰插座输入接口端；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自动调速冷却系统，前后无极调速散热从后往前通风系统含有空气过滤器使功放运行更加稳定可靠；</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过载与短路保护:此功放全部采用自恢复式短路保护，动作时不用跳继电器，短路故障解除后电路自动恢复工作状态。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智能削峰限幅器:此功放设有智能削峰限幅器，当音乐信号过大，出现削峰时，该电路动作，自动将音乐信号压小，以防损坏音箱与伤害听众；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高效率准谐振开关电源；开机软启动,此功放设有开机软启动电路，防止开机时向电网吸收大电流干扰其他用电设备，并保护机器电源开关。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过压/欠压保护电路，当电压高于250V或低于180V，电源自动进入保护状态，停止工作使整机性能更加稳定；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过热保护,此功放内设有自动过热保护，当此放大器的通风受阻或环境温度过高导致机内温度过高时，过热保护电路动作，音乐被断开，当温度降下时，机器恢复工作状态；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智能控制散热，主动式后前流通的风道设计。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技术参数：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立体声输出功率 2×300w/8Ω、2×500w/4Ω；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桥接1000W/8Ω；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频率响应 20Hz-20KHz(±0.5dB)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信噪比≥100dB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声道分离度≥70dB；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电源电压;220v~50/60Hz;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尺寸（H*W*D):88*483*354mm ；</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6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6.5寸专业会议音箱</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这是一款多用途小型全频音箱。</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采用高效率的纸胴体复合低音单元，配合高效能的丝膜球顶号角高音，使得中高音纤细通透而又温润柔和、低音浑厚饱满且下潜极深。高强度多层复合夹板箱体，多重喷涂制作。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整个产品外形精致，造形美观，专业吊挂件设计，安装方便快捷 。用于语音会议系统、学校教室、宴会厅、多功能厅、休闲吧、影吧、咖啡厅、高级酒店会所等。类型:全频音箱.                                     技术参数：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1.低音配置:6.5"X1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2.高音配置:1"X1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  3.频率响应:60~20KHZ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  4.额定阻抗:8Ω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5.额定功率(AES):90W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6.灵敏度:96dB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7.最大声压级:123dB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  8.尺寸:188X200X312mm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  9.净重:6.5Kg                                                                                       10.提供第三方检测报告复印件；</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背景音乐系统设备</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高效率功放D类线路设计，音质和性能绝佳。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开关电源供电效率极高，具有无噪音，瞬态响应好，低功耗的特点。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集成限幅器，输出电平过大，设有可靠的过载保护功能。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电源、信号及限幅指示灯可令使用者对当前状况了如指掌。</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专业卡侬信号输入输出接线端子，确保工程安装连接线牢固可靠。</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每个通道均设有独立的DC及过热保护，可自动保护功放及喇叭，而无需停止演出就可以自动恢复工作。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“从前往后”通风系统含有空气过滤器，使运行更加可靠。</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设计有LOW  FREQ.  ENHANCED低频提升选择功能，，可以增强低频重放效果。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电源线接插式设计，更换安装设备更方便。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技术参数：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输出功率：4×300W/8Ω、 4×450W/4Ω、 4×650W/2Ω；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桥接功率：2×900W/8Ω、2×1200W/4Ω。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频率响应：20Hz～20kHz ±0.5dB；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输入阻抗：20KΩ（平衡）、10KΩ（不平衡）；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灵敏度：0.7V/1V/1.4V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谐波失真：THD&lt;0. 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信噪比：≥98dB；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阻尼系数：＞250；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电压增益： 35dB ；                                                                       提供第三方检测3C、CQC认证证书复印件。</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扩声系统设备</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输入通道：单声道：6；单/立体声道：1；立体声：2 ；INSERT输入：6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输出通道：立体声2；监听输出1；耳机输出1；辅助输出4；编组输出4；INSERT输出6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母线：音体声：1，编组：4，辅助：4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输入通道功能：INSERT：让压限器，反馈器，或其他处理器插入信号</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LOW CUT：80Hz，12 dB/ 倍频程(仅MIC)</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COMP：单旋钮压缩器(阈值/比例/增益) 阈值：+22 dBu 到-8 dBu，比例:1:1 到4:1,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输出电平:0 dB 到7 dB ，起音时间 : 约25 msec, 释音时间 : 约300 msec</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EQ：HIGH：增益：+15 dB/-15 dB, 频率 :10 kHz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MID:增益:+15 dB/-15 dB, 频率可调范围 :Mono :250 Hz -6 kHz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Stereo ：固定2.5 kHz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PEAK LED：LOW ：增益： +15 dB/-15 dB, 频率 :100 Hz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电平表：监听输出电平：当通道输入信号达到削峰失真以下3dB时亮起</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内建数字效果器：2X11  LED电平表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USB音频：联接电脑播放：24 种效果 , PARAMETER 控制 ，FOOT SW:1开关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蓝牙/MP3：U盘播放/录音：USB 2.0兼容，采样率：48 kHz,  Bit深度：16-bit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幻象电源电压：支持：MP3/WMA/WAV等文件。录音：MP3格式，256kbps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电源电压/功耗：48V</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AC 100 – 240 V, 50 / 60 Hz；30W。尺寸（W×D×H）mm：480×375×120.                                  提供第三方检测报告及CQC认证证书复印件。</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背景音乐系统设备</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模拟输入通道：8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模拟输出通道：8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处理器:ADI SHARC 21489@450 MHz SIMD；</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DSP处理能力:400 MIPS，1.6 GFLOPS;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采样率:48 kHz，± 100 ppm;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THD+N:&lt;-100dB @17dBu</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输入动态范围：110dB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输出动态范围：112dB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4路GIPO</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1路RS232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1路RS485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内置USB声卡，支持音乐播放、录制和软视频会议（如：ZOOM，腾讯会议，钉钉会议等）;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总线式AEC，尾长时间：512ms，收敛率：60dB/S, 回声消除幅度：60dB；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独立通道的AFC（反馈抑制），采用陷波式算法，传声增益提升幅度：10dB;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噪声抑制（ANS），信噪比提升18dB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8段英式参量均衡，提供5种滤波器选择：Parametric,Lowshelf,Highshelf,Lowpass,Highpass；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提供终端用户订制操作界面，最大支持30台设备同一个界面管理；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具有中央控制功能，可对系统中的电源、信号切换、环境控制、音频等整体控制，实现一键开启系统所需要的功能。</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背景音乐系统设备</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功能说明：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1U机箱，带电压显示。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按顺序开启或关闭8路受控设备的电源。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每通道可以单独受控。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电压适应范围 交流245V—90V, 50Hz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有5V工程灯，USB插口。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单机工作，可级联工作，级联255台。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可外接线控。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有中控接口RS232，可通过RS232接口联电脑控制。                                                             提供第三方检测报告证书复印件。</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背景音乐系统设备</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全自动反馈侦测器，可用在双频道或单声道模式。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这个反馈系统首先分析信号线上的所有频率，找出LARSEN效应的导因，然后启动12颗含有-45dB衰减度的陷波器把它消除掉。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这个系统可以分为15个步骤来调整，让使用者可以改变它的反馈灵敏度去适应环境状况的要求。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每个频段的12个陷波虑器的参数设定都可以被储存RAM的记忆体中。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假如它们将来要做参考用，必须把它们储存在使用者记忆中。关机前请务必将其保存以防止数据丢失。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有20个可用的记忆，4个是可在工厂预设，16个供使用者设定。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可用USB连接计算机，通过远程PC软件对机器进行设置、监测和控制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这台机器有个在模拟（Analog）状态下设下的直通（bypass）系统，［经也可以通过MIDI、USB介面由外部控制双向的信息。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功能与规格参数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处理器：数字反馈抑制器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使用者可用记忆：16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可恢复（Recall）记忆体：20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输入：XLR-F平衡／JACK×2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输出：XLR-M平衡／JACK×2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**输入电平：9 dBu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**输出电平：9 dBu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S／N比：＞90 dBA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频率响应：20 Hz 20 KHz＋／-0.25 dB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A／D和D／A的解析度：20比特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处理解析度：24×32比特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显示：2×20数字字母LCD显示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外加连接：MIDI／USB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尺寸：19英寸×1U</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扩声系统设备</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接收机特征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1.真正分集接收，采用双天线、双接收线路，纯自动选讯(True Diversity)接收方式,全新单通道数字自动选迅远距离话筒，有lD号加密，不易受干扰，不会窜频，自动搜干净频率，自设开关锁，智能反馈，自设面板功能锁，安全使用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2.全新显示LCD液晶屏显示，特显产品的艺术感及科技感，接收机通道具有独立的2000个频道可调面板显示，7位LED灯显示RF/AF信号强度，LCD液晶显示，发射器未开机状态时黄绿色，使用状态时篮色，设置状态时白色。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3.主机独特自动选讯信号、频道、频率、发射器电池电量接收灵敏度静音位准等多项功能。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4.采用独特的CPU控制开关机，发射或接收不管处于何种状态，开关机都无冲击声·采用专业二次变频和多级射频滤波技术，多套使用互不干扰,音码和射频强度双重静噪杜绝干扰.发射机锁定模式避免错误关机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5.主机前面板采用铝合金磨砂精车工艺加工而成，能在各种恶劣的使用环境下保持表面的美观耐用。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6.独特圆弧边缘设计，符合人体工程学，相比普通产品的更有档次，更易于单手持握。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7.还原性好，真分集，接收距离达200米远，适用于大型多功能厅，演出，及一些高端会场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发射机特征：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1．频率控制：锁相环（PLL）电路合成器，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2．频率范围:  530-580 MHz，630-680 MHZ, 740-790 MHz,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3．使用带宽:  max. 50MHz,通道 16,频率间隔 25 kHz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4．射频功率: ANT 30 mW, -3 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5．调制技术: FM,调制频偏 1 kHz NF ±24 kHz,最大调制频偏1 kHz NF ±48 kHz,音频,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6．音频频率响应:（ 60 Hz ... 18 kHz; -3dB,失真度在1 kHz和典型值&lt; 0,9% (0,5%),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7．信噪比S / N比: ≥ 100 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8．工作电压: 3 V,功率在额定电流 ≤ 150mA ,待机  ≤ 100 µA,电池1.5V碱性*2,使用 ≥ 8 小时,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9．接收机技术数据: 频率范围:530-580MHZ,630-680MHZ,740-790MHZ.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10．真分集使用带宽: 50MHZ,接收频率通道数 2000,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11．频率间隔: 25KHZ,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12．中频频率:243.950MHZ 振荡器频率233.250MHZ,10.7MHZ,调制技术,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13．宽带调频:调制频偏 ， 24KHZ, 48KHZ最大值,S/N=80 dB  &lt; 10 µV (6 µV),S/N max &gt; 110 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14．天线 : 4x BNC 50 ΩNF部分,输出电压 500mv ,失真度在1 kHz和典型值  ＜1%（0.3 %）NF</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15．频率响应 50赫兹--18千赫；3dB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16．输出： 6.35毫米合并输出 ,独立XLR  A B 两路单独输出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17．输入电压  12V DC,电流  650MA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18．电压范围  11.5V-16V                                                                  提供第三方检测报告证书复印件</w:t>
            </w:r>
            <w:r>
              <w:rPr>
                <w:rFonts w:hint="eastAsia" w:ascii="宋体" w:hAnsi="宋体" w:cs="宋体"/>
                <w:i w:val="0"/>
                <w:iCs w:val="0"/>
                <w:color w:val="auto"/>
                <w:kern w:val="0"/>
                <w:sz w:val="21"/>
                <w:szCs w:val="21"/>
                <w:highlight w:val="none"/>
                <w:u w:val="none"/>
                <w:lang w:val="en-US" w:eastAsia="zh-CN" w:bidi="ar"/>
              </w:rPr>
              <w:t>。</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扩声系统设备</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1.本系统为双频段传输与控制的无线会议系统，语音信号与控制信号分频段工作，且内置无线信号两级增强电路，信号更稳定。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2.系统主机具有4种会议模式：先进先出；限时发言；限制发言；主席专用模式。每一台系统主机可根据应用场景设置1-4个同时发言人数，最多可以支持256个单元在线待机。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3.系统采用教字与模拟电路技术结合，声音信号传输，高保真，信噪比高，无声音延时。且具有可以连接中控功能，整个系统菜单全中文大彩屏可视，且可以通过彩屏界面控制视像头设置。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4.系统已实现内置频率编组功能，内置20编组，每编组里4个独立工作无线电频率. 在遇到射频干忧时,可轻松调取内置编组频率，避开干忧。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5.针对会议应用独立研发的数据通信算法，使信号范围内，系统响应速度不受列席单元多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少影响。用户可在系统容量内灵活增减列席单元。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6.系统主机具有一键关闭所有单元电源的功能，在日常使用中,会议完毕后无需人工关闭单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元电源的操作，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7.系统主机可直接连接摄像机，原厂提供的摄像机位点控制软件为全中文界面,可容易实现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会场列席单元的视像跟踪功能。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8.超低功耗，列席单元采用3节高性能碱性电池供电，能持续10小时的发言时间和约28小时的待机时间。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9.音频信道和控制信道皆采用无线方式传送，无需铺设电缆，信号覆盖范园内可任意移动，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使会场布置便捷灵活，系统标配带延长线的外置信号天线，可以安装到金属机柜中。</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10.系统实现USB直插播放与会议语音全程录音功能，更可以切换到蓝牙连接模式，为会议议程内容提供更多播放音源的选择。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数据通讯方式：UHF无线方式(双向通信）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频率范围：422.4MHz - 438.4MHz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调制方式：FSK</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接收灵敏度：-100dBm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辐射功率：≤+6dBm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频率偏差：&lt;0.002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数据速率：100KBPS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语音通讯频率：640-700MHz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调制方式：FM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频率响应：50Hz-15KHz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信号源灵数度：-104dBm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声音输出大小：6.35混合输出250mV，卡龙平衡输出140mV</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失真度：&lt;1%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信噪比：90dB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工作电压：DC12-18V</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工作电流：500mA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工作温度：-10℃ - 45℃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工作距离：40-80米(视使用环境)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主控机尺寸( W×H×D )：485mm×100mm×355mm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主控机重量：5.5 kg</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扩声系统设备</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麦克风音给取发言者的声音输入至系统进行放大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麦克风调节杆 发言过程中，可以根据个人需求上下调节高度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优先/菜单按键:主席单元享有优先权开关，按一下此开关可关闭所有代表表克风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电源开关/发言按键关闭园规不用发结束发言显示屏"聆听"字样点亮，进入静音待材状态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使用频率：640-700MHz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WIFI频率：430-490MHz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频率响应：50Hz-15MHz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频率精度要求：±10MHz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发射功率：10mW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工作电压：DC4.5V</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工作电流：120mA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参考讲话距离：20cm-40cm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工作温度：-10°-40°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会议座尺寸：130*115*52mm</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6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扩声系统设备</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麦克风音给取发言者的声音输入至系统进行放大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麦克风调节杆 发言过程中，可以根据个人需求上下调节高度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优先/菜单按键:主席单元享有优先权开关，按一下此开关可关闭所有代表表克风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电源开关/发言按键关闭园规不用发结束发言显示屏"聆听"字样点亮，进入静音待材状态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使用频率：640-700MHz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WIFI频率：430-490MHz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频率响应：50Hz-15MHz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频率精度要求：±10MHz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发射功率：10mW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工作电压：DC4.5V</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工作电流：120mA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参考讲话距离：20cm-40cm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工作温度：-10°-40°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会议座尺寸：130*115*52mm</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增益天线</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1.名称:无线会议话筒增益天线</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2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olor w:val="auto"/>
                <w:szCs w:val="21"/>
                <w:highlight w:val="none"/>
              </w:rPr>
              <w:t>●</w:t>
            </w:r>
            <w:r>
              <w:rPr>
                <w:rFonts w:hint="eastAsia" w:ascii="宋体" w:hAnsi="宋体" w:eastAsia="宋体" w:cs="宋体"/>
                <w:i w:val="0"/>
                <w:iCs w:val="0"/>
                <w:color w:val="auto"/>
                <w:kern w:val="0"/>
                <w:sz w:val="21"/>
                <w:szCs w:val="21"/>
                <w:highlight w:val="none"/>
                <w:u w:val="none"/>
                <w:lang w:val="en-US" w:eastAsia="zh-CN" w:bidi="ar"/>
              </w:rPr>
              <w:t>高清终端</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1、采用嵌入式操作系统，非Windows系统，非PC架构，非工控机架构。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2、支持IP接入速率64Kbps-8Mbps。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3、支持ITU-T H.323、IETF SIP协议。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4、支持1080P60fps、1080P30fps、720P60fps、720P30fps等分辨率；本次配置1080P30 fps。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5、提供至少3路高清视频输入、至少4路高清视频输出接口,支持5路音频输入输出接口，具有标准的卡农头麦克风接口，具备至少2个千兆网口。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6、支持H.239和BFCP双流协议，具有良好的兼容性和开放性。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7、视频支持H.265、H.264 HP、H.264 BP等编解码协议。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8、支持AAC-LD、Opus、G.711、G.722、G.722.1C、G.729A等音频协议，支持双声道立体声功能。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9、支持H.239和BFCP双流协议，具备在主流1080P30fps的情况下，辅流支持1080P30fps。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10、支持IP网络抗丢包性能，要求20%网络丢包时，语音清晰连续，视频清晰流畅，无卡顿。</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摄像机</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1、支持图像倒转功能，方便摄像机安装在天花板上。</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2、支持不小于850万像素1/2.5英寸CMOS成像芯片。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3、支持4K30fps、1080P60fps、1080P50fps等视频输出格式。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4、支持≥12倍光学变焦，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5、最大水平视角：80°，水平转动范围：≥+/-110°，垂直转动范围：≥+/- 30°。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6、支持不少于254个预置位。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7、支持不少于2路高清视频输出接口。</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麦克风</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1.数字阵列麦克风，支持360°全向拾音，最大拾音距离不小于6米。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2.支持终端供电，不需要额外电源。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3.支持回声抵消、自动增益控制、自动噪声抑制。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4.采样率不小于48KHZ。</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支架</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1.钢材品种、规格:铁材质</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63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【会议音响系统及视频会议终端】分部小计</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63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其它辅助设备</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连接线</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1.名称:连接线[2米卡侬头（母）--卡侬头（公）]</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2.规格:AC-RG2</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莲花-话筒插头</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1.名称:莲花-话筒插头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2.类别:1.2M莲花（RCA）-6.35话筒插头</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音响专用机柜</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1.名称:音响专用机柜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2.规格:600MM*1200MM材料：标准9mm多层胶合板外贴1mm防火板；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加厚12mm轮板 30mm防震棉；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标准的前后U条/有方孔和功牙（配有相应数量的螺丝、垫片、螺母等）；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(1U=45mm.机箱标准U板孔距为465mm.板距为500mm,中深500mm.刚好装下功放等标准音响产品）。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外观颜色：黑色</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3.5转双6.35大二芯</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1.名称:3.5转双6.35大二芯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2.类别:1.2M莲花（RCA）-6.35话筒插头</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多媒体桌插</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1.名称:多媒体插座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2.规格:1个电源、1个HDMI、1个3.5音频、1个网络接口等</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卡侬公母头</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1.名称:卡侬公母头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2.规格:XLR</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对</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音箱线</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1.名称:HIFI音响线，300芯蓝色透明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2.规格:RVH300P</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音频线</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1.名称:音频线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2.型号、规格:RVVP2*0.3</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视频线</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1.名称:纯铜视频线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2.规格:HDMI</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话筒线</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1.名称:话筒线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2.规格:RVPE2*0.5</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网线</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1.名称:六类网线 无氧铜千兆网线100米/箱</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2.规格:CAT6</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水晶头</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1.名称:六类网络水晶头6类8芯Cat6电脑网线RJ45连接器8P8C可搭配安普网线 工程级六类水晶头（100个/盒）1盒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2.规格:CAT6-RJ45</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电源线</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1.配线形式:电源线RVVP电线电缆 国标纯铜环保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2.型号、规格:RVV3*1.5</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镀锌线管</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1.名称:DN=25/32mm，厚度：1.8mm，每支钢管通常定尺长度为3000mm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2.配置形式:暗配</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接口</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1.名称:VGA接头、电源两脚插头、电源三脚插头、6.35单插头、3.5单插头、RCA莲花头、卡农头（公、母）、9针公与母串口接头、音箱欧姆头等辅材</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批</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63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【其它辅助设备】分部小计</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63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网络集成设备</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交换机</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1.名称:交换机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2.功能:S1730S(16个10/100/1000BASE-T以太网端口,2个千兆SFP,PoE+,交流供电)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交换容量32Gbps，包转发率26.78Mpps，桌面式，8K MAC，POE功率247W，默认含挂耳</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网线</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1.名称:六类网线 无氧铜千兆网线100米/箱</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2.规格:CAT6</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机柜、机架</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1.名称:42U机柜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2.规格:G26642 600*600*2055 42u黑色，玻璃前门钣金后门，配3块层板，1个8位排插，2只风机，40套螺钉，4个支架，4个脚轮。增加一个滑动板</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电脑</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1.名称:图形工作站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2.类别:I5 32G 1000GSSD 专业图形显卡4G带4口输出 ，支持全天24小时工作，工业级主机。显示器≧24寸宽屏液晶显示器；键盘、鼠标：USB接口，防水抗菌键盘，光电鼠标操作系统：正版Windows10操作系统；附带软件：拼接屏控制软件及信息屏控制软件，可实施画面控制、信息播放（多页面轮流显示）。</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配管</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1.名称：配管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2.配置方式：综合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3.规格：PC25</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63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【网络集成设备】分部小计</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63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照明设备</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LED条形灯</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CCC认证，节能认证，无蓝光危害，符合国家采光标准4000K 中性光</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吊架</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1.钢材品种、规格:铁材质</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照明开关</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1.名称:公牛开关</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配管</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1.名称：配管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2.配置方式：综合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3.规格：PC25</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配线</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1.名称:配线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2.规格:RVV-2*1.0</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63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【照明设备】分部小计</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63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空调</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5匹定频冷暖天花机</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1.名称:5匹定频冷暖天花机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2.型号:KFR-120TW/(12550S)Nhca-2主体系列:天井机定频二级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颜色:白色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面板材质:ABS塑料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认证型号：KFR-120TW/(12550S)NhCa-2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产品型号：KFR-120TW/(12550S)NhCa-2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 内机机身尺寸(宽&lt;高x深)mm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840x290X840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外机机身尺寸(宽&lt;高x深)mm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950X1250x340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电压/频率:220V/50Hz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制冷剂:R32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功能内机噪音(dB(A)49</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变频/定频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定频能效等级:二级能效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制冷功率(W)3600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产品匹数:5匹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冷暖类型:冷暖</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智能APP远程操控:不支持智能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外机噪音(dB(A)58</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铜管</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1.安装部位:室内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2.介质:铜管</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74</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塑料管</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1.材质、规格:PVC冷凝排水管 DN25</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电缆</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1.名称：电缆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2.规格：3*5mm2</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开孔</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1.类型:机械钻孔</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2.规格:φ65</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不锈钢支架</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1.钢材品种、规格:不锈钢支架</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bl>
    <w:p>
      <w:pPr>
        <w:pStyle w:val="5"/>
        <w:keepNext/>
        <w:keepLines/>
        <w:pageBreakBefore w:val="0"/>
        <w:widowControl/>
        <w:kinsoku/>
        <w:wordWrap/>
        <w:overflowPunct/>
        <w:topLinePunct w:val="0"/>
        <w:autoSpaceDE/>
        <w:autoSpaceDN/>
        <w:bidi w:val="0"/>
        <w:adjustRightInd w:val="0"/>
        <w:snapToGrid w:val="0"/>
        <w:spacing w:after="0"/>
        <w:textAlignment w:val="auto"/>
        <w:rPr>
          <w:rFonts w:hint="eastAsia" w:cs="Times New Roman"/>
          <w:color w:val="auto"/>
          <w:highlight w:val="none"/>
          <w:lang w:val="en-US" w:eastAsia="zh-CN"/>
        </w:rPr>
      </w:pPr>
      <w:r>
        <w:rPr>
          <w:rFonts w:hint="eastAsia" w:cs="Times New Roman"/>
          <w:color w:val="auto"/>
          <w:highlight w:val="none"/>
          <w:lang w:val="en-US" w:eastAsia="zh-CN"/>
        </w:rPr>
        <w:t>三、投标样品</w:t>
      </w:r>
    </w:p>
    <w:p>
      <w:pPr>
        <w:ind w:firstLine="420"/>
        <w:jc w:val="left"/>
        <w:rPr>
          <w:rFonts w:hint="default" w:eastAsiaTheme="minorEastAsia"/>
          <w:b/>
          <w:bCs/>
          <w:color w:val="auto"/>
          <w:highlight w:val="none"/>
          <w:lang w:val="en-US" w:eastAsia="zh-CN"/>
        </w:rPr>
      </w:pPr>
      <w:r>
        <w:rPr>
          <w:b/>
          <w:bCs/>
          <w:color w:val="auto"/>
          <w:sz w:val="21"/>
          <w:highlight w:val="none"/>
        </w:rPr>
        <w:t>投标</w:t>
      </w:r>
      <w:r>
        <w:rPr>
          <w:rFonts w:hint="eastAsia"/>
          <w:b/>
          <w:bCs/>
          <w:color w:val="auto"/>
          <w:sz w:val="21"/>
          <w:highlight w:val="none"/>
          <w:lang w:val="en-US" w:eastAsia="zh-CN"/>
        </w:rPr>
        <w:t>人</w:t>
      </w:r>
      <w:r>
        <w:rPr>
          <w:b/>
          <w:bCs/>
          <w:color w:val="auto"/>
          <w:sz w:val="21"/>
          <w:highlight w:val="none"/>
        </w:rPr>
        <w:t>须提</w:t>
      </w:r>
      <w:r>
        <w:rPr>
          <w:rFonts w:hint="eastAsia"/>
          <w:b/>
          <w:bCs/>
          <w:color w:val="auto"/>
          <w:sz w:val="21"/>
          <w:highlight w:val="none"/>
          <w:lang w:val="en-US" w:eastAsia="zh-CN"/>
        </w:rPr>
        <w:t>供《会议桌椅清单》中“折叠椅子”</w:t>
      </w:r>
      <w:r>
        <w:rPr>
          <w:b/>
          <w:bCs/>
          <w:color w:val="auto"/>
          <w:sz w:val="21"/>
          <w:highlight w:val="none"/>
        </w:rPr>
        <w:t>实物样品</w:t>
      </w:r>
      <w:r>
        <w:rPr>
          <w:rFonts w:hint="eastAsia"/>
          <w:b/>
          <w:bCs/>
          <w:color w:val="auto"/>
          <w:sz w:val="21"/>
          <w:highlight w:val="none"/>
          <w:lang w:eastAsia="zh-CN"/>
        </w:rPr>
        <w:t>，</w:t>
      </w:r>
      <w:r>
        <w:rPr>
          <w:rFonts w:hint="eastAsia"/>
          <w:b/>
          <w:bCs/>
          <w:color w:val="auto"/>
          <w:sz w:val="21"/>
          <w:highlight w:val="none"/>
          <w:lang w:val="en-US" w:eastAsia="zh-CN"/>
        </w:rPr>
        <w:t>只需提供一套（张）即可。样品制作的标准和要求详见《会议桌椅清单》中的技术参数要求。</w:t>
      </w:r>
    </w:p>
    <w:p>
      <w:pPr>
        <w:pStyle w:val="10"/>
        <w:spacing w:before="0" w:after="0" w:line="360" w:lineRule="auto"/>
        <w:ind w:left="0" w:firstLine="420" w:firstLineChars="200"/>
        <w:rPr>
          <w:rFonts w:hint="eastAsia"/>
          <w:color w:val="auto"/>
          <w:sz w:val="21"/>
          <w:szCs w:val="21"/>
          <w:highlight w:val="none"/>
          <w:lang w:val="en-US"/>
        </w:rPr>
      </w:pPr>
      <w:r>
        <w:rPr>
          <w:rFonts w:hint="eastAsia"/>
          <w:color w:val="auto"/>
          <w:sz w:val="21"/>
          <w:szCs w:val="21"/>
          <w:highlight w:val="none"/>
          <w:lang w:val="en-US"/>
        </w:rPr>
        <w:t>1、注意事项：投标人应将投标样品在投标截止时间前送达开标地点，否则，采购人或采购代理机构应当拒收。</w:t>
      </w:r>
    </w:p>
    <w:p>
      <w:pPr>
        <w:pStyle w:val="10"/>
        <w:spacing w:before="0" w:after="0" w:line="360" w:lineRule="auto"/>
        <w:ind w:left="0" w:firstLine="420" w:firstLineChars="200"/>
        <w:rPr>
          <w:rFonts w:hint="eastAsia"/>
          <w:color w:val="auto"/>
          <w:sz w:val="21"/>
          <w:szCs w:val="21"/>
          <w:highlight w:val="none"/>
          <w:lang w:val="en-US"/>
        </w:rPr>
      </w:pPr>
      <w:r>
        <w:rPr>
          <w:rFonts w:hint="eastAsia"/>
          <w:color w:val="auto"/>
          <w:sz w:val="21"/>
          <w:szCs w:val="21"/>
          <w:highlight w:val="none"/>
          <w:lang w:val="en-US"/>
        </w:rPr>
        <w:t>2、样品必须与投标文件分开，每个样品必须按招标文件要求标识清楚。</w:t>
      </w:r>
    </w:p>
    <w:p>
      <w:pPr>
        <w:pStyle w:val="10"/>
        <w:spacing w:before="0" w:after="0" w:line="360" w:lineRule="auto"/>
        <w:ind w:left="0" w:firstLine="420" w:firstLineChars="200"/>
        <w:rPr>
          <w:rFonts w:hint="eastAsia"/>
          <w:color w:val="auto"/>
          <w:sz w:val="21"/>
          <w:szCs w:val="21"/>
          <w:highlight w:val="none"/>
          <w:lang w:val="en-US"/>
        </w:rPr>
      </w:pPr>
      <w:r>
        <w:rPr>
          <w:rFonts w:hint="eastAsia"/>
          <w:color w:val="auto"/>
          <w:sz w:val="21"/>
          <w:szCs w:val="21"/>
          <w:highlight w:val="none"/>
          <w:lang w:val="en-US"/>
        </w:rPr>
        <w:t>3、投标人未提供样品或提供样品不齐全的，投标人在“投标样品”评分项不得分。</w:t>
      </w:r>
    </w:p>
    <w:p>
      <w:pPr>
        <w:pStyle w:val="10"/>
        <w:spacing w:before="0" w:after="0" w:line="360" w:lineRule="auto"/>
        <w:ind w:left="0" w:firstLine="420" w:firstLineChars="200"/>
        <w:rPr>
          <w:rFonts w:hint="eastAsia"/>
          <w:color w:val="auto"/>
          <w:sz w:val="21"/>
          <w:szCs w:val="21"/>
          <w:highlight w:val="none"/>
          <w:lang w:val="en-US"/>
        </w:rPr>
      </w:pPr>
      <w:r>
        <w:rPr>
          <w:color w:val="auto"/>
          <w:sz w:val="21"/>
          <w:highlight w:val="none"/>
        </w:rPr>
        <w:t>4、采购人及采购代理机构对投标人所递交样品的破损或质量不负任何责任。</w:t>
      </w:r>
    </w:p>
    <w:p>
      <w:pPr>
        <w:rPr>
          <w:rFonts w:hint="eastAsia" w:ascii="宋体" w:hAnsi="宋体" w:cs="Times New Roman"/>
          <w:b/>
          <w:bCs/>
          <w:color w:val="auto"/>
          <w:szCs w:val="21"/>
          <w:highlight w:val="none"/>
        </w:rPr>
      </w:pPr>
    </w:p>
    <w:p>
      <w:pPr>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186" w:name="_Toc12485"/>
      <w:bookmarkStart w:id="187" w:name="_Toc21448"/>
    </w:p>
    <w:p>
      <w:pPr>
        <w:rPr>
          <w:rFonts w:hint="eastAsia"/>
          <w:color w:val="auto"/>
          <w:sz w:val="28"/>
          <w:szCs w:val="28"/>
          <w:highlight w:val="none"/>
        </w:rPr>
      </w:pPr>
      <w:bookmarkStart w:id="188" w:name="_Toc12014"/>
      <w:r>
        <w:rPr>
          <w:rFonts w:hint="eastAsia"/>
          <w:color w:val="auto"/>
          <w:sz w:val="28"/>
          <w:szCs w:val="28"/>
          <w:highlight w:val="none"/>
        </w:rPr>
        <w:br w:type="page"/>
      </w:r>
    </w:p>
    <w:p>
      <w:pPr>
        <w:pStyle w:val="3"/>
        <w:spacing w:before="0" w:after="0" w:line="240" w:lineRule="auto"/>
        <w:rPr>
          <w:color w:val="auto"/>
          <w:sz w:val="28"/>
          <w:szCs w:val="28"/>
          <w:highlight w:val="none"/>
        </w:rPr>
      </w:pPr>
      <w:r>
        <w:rPr>
          <w:rFonts w:hint="eastAsia"/>
          <w:color w:val="auto"/>
          <w:sz w:val="28"/>
          <w:szCs w:val="28"/>
          <w:highlight w:val="none"/>
        </w:rPr>
        <w:t>第六部分 合同格式（仅供参考）</w:t>
      </w:r>
      <w:bookmarkEnd w:id="186"/>
      <w:bookmarkEnd w:id="187"/>
      <w:bookmarkEnd w:id="188"/>
      <w:bookmarkStart w:id="189" w:name="_Toc13430"/>
      <w:bookmarkStart w:id="190" w:name="_Toc21155"/>
      <w:bookmarkStart w:id="191" w:name="_Toc1534"/>
    </w:p>
    <w:p>
      <w:pPr>
        <w:pStyle w:val="4"/>
        <w:spacing w:line="240" w:lineRule="auto"/>
        <w:jc w:val="center"/>
        <w:rPr>
          <w:rFonts w:ascii="宋体" w:hAnsi="宋体" w:cs="宋体"/>
          <w:color w:val="auto"/>
          <w:highlight w:val="none"/>
        </w:rPr>
      </w:pPr>
      <w:bookmarkStart w:id="192" w:name="_Toc8880"/>
      <w:bookmarkStart w:id="193" w:name="_Toc19575"/>
      <w:bookmarkStart w:id="194" w:name="_Toc16730"/>
      <w:r>
        <w:rPr>
          <w:rFonts w:hint="eastAsia" w:ascii="宋体" w:hAnsi="宋体" w:cs="宋体"/>
          <w:color w:val="auto"/>
          <w:highlight w:val="none"/>
        </w:rPr>
        <w:t>合同格式</w:t>
      </w:r>
      <w:bookmarkEnd w:id="189"/>
      <w:bookmarkEnd w:id="190"/>
      <w:bookmarkEnd w:id="191"/>
      <w:bookmarkEnd w:id="192"/>
      <w:bookmarkEnd w:id="193"/>
      <w:bookmarkEnd w:id="194"/>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4"/>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4"/>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4"/>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4"/>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4"/>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4"/>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4"/>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4"/>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3"/>
        <w:spacing w:before="0" w:after="0" w:line="240" w:lineRule="auto"/>
        <w:rPr>
          <w:color w:val="auto"/>
          <w:sz w:val="28"/>
          <w:szCs w:val="28"/>
          <w:highlight w:val="none"/>
        </w:rPr>
      </w:pPr>
      <w:bookmarkStart w:id="198" w:name="_Toc23749"/>
      <w:bookmarkStart w:id="199" w:name="_Toc31587"/>
      <w:bookmarkStart w:id="200" w:name="_Toc1478"/>
      <w:r>
        <w:rPr>
          <w:rFonts w:hint="eastAsia"/>
          <w:color w:val="auto"/>
          <w:sz w:val="28"/>
          <w:szCs w:val="28"/>
          <w:highlight w:val="none"/>
        </w:rPr>
        <w:t>第七部分  投标文件格式</w:t>
      </w:r>
      <w:bookmarkEnd w:id="198"/>
      <w:bookmarkEnd w:id="199"/>
      <w:bookmarkEnd w:id="200"/>
    </w:p>
    <w:p>
      <w:pPr>
        <w:rPr>
          <w:color w:val="auto"/>
          <w:highlight w:val="none"/>
        </w:rPr>
      </w:pPr>
    </w:p>
    <w:p>
      <w:pPr>
        <w:pStyle w:val="4"/>
        <w:rPr>
          <w:color w:val="auto"/>
          <w:highlight w:val="none"/>
        </w:rPr>
      </w:pPr>
      <w:bookmarkStart w:id="201" w:name="_Toc26830"/>
      <w:bookmarkStart w:id="202" w:name="_Toc5794"/>
      <w:bookmarkStart w:id="203" w:name="_Toc6790"/>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rPr>
          <w:color w:val="auto"/>
          <w:highlight w:val="none"/>
        </w:rPr>
      </w:pPr>
      <w:bookmarkStart w:id="204" w:name="_Toc5670"/>
      <w:bookmarkStart w:id="205" w:name="_Toc18893"/>
      <w:bookmarkStart w:id="206" w:name="_Toc25502"/>
      <w:r>
        <w:rPr>
          <w:rFonts w:hint="eastAsia"/>
          <w:color w:val="auto"/>
          <w:highlight w:val="none"/>
        </w:rPr>
        <w:t>评分标准索引表</w:t>
      </w:r>
      <w:bookmarkEnd w:id="204"/>
      <w:bookmarkEnd w:id="205"/>
      <w:bookmarkEnd w:id="206"/>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7"/>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5"/>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19"/>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10"/>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10"/>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jc w:val="center"/>
        <w:rPr>
          <w:color w:val="auto"/>
          <w:highlight w:val="none"/>
        </w:rPr>
      </w:pPr>
      <w:bookmarkStart w:id="207" w:name="_Toc8194"/>
      <w:bookmarkStart w:id="208" w:name="_Toc22080"/>
      <w:bookmarkStart w:id="209" w:name="_Toc30640"/>
      <w:r>
        <w:rPr>
          <w:rFonts w:hint="eastAsia"/>
          <w:color w:val="auto"/>
          <w:highlight w:val="none"/>
        </w:rPr>
        <w:t>第一章价格文件</w:t>
      </w:r>
      <w:bookmarkEnd w:id="207"/>
      <w:bookmarkEnd w:id="208"/>
    </w:p>
    <w:p>
      <w:pPr>
        <w:pStyle w:val="4"/>
        <w:jc w:val="center"/>
        <w:rPr>
          <w:color w:val="auto"/>
          <w:highlight w:val="none"/>
        </w:rPr>
      </w:pPr>
      <w:bookmarkStart w:id="210" w:name="_Toc4168"/>
      <w:bookmarkStart w:id="211" w:name="_Toc19750"/>
      <w:r>
        <w:rPr>
          <w:rFonts w:hint="eastAsia"/>
          <w:color w:val="auto"/>
          <w:highlight w:val="none"/>
        </w:rPr>
        <w:t>一、唱标一览表</w:t>
      </w:r>
      <w:bookmarkEnd w:id="210"/>
      <w:bookmarkEnd w:id="211"/>
    </w:p>
    <w:p>
      <w:pPr>
        <w:rPr>
          <w:color w:val="auto"/>
          <w:highlight w:val="none"/>
        </w:rPr>
      </w:pPr>
    </w:p>
    <w:tbl>
      <w:tblPr>
        <w:tblStyle w:val="27"/>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2、此表应按投标人须知的规定密封标记并与《授权委托书》一同密封单独提交。</w:t>
      </w:r>
    </w:p>
    <w:p>
      <w:pPr>
        <w:rPr>
          <w:color w:val="auto"/>
          <w:highlight w:val="none"/>
        </w:rPr>
      </w:pPr>
    </w:p>
    <w:p>
      <w:pPr>
        <w:pStyle w:val="10"/>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
        <w:rPr>
          <w:color w:val="auto"/>
          <w:highlight w:val="none"/>
        </w:rPr>
      </w:pPr>
    </w:p>
    <w:p>
      <w:pPr>
        <w:pStyle w:val="26"/>
        <w:rPr>
          <w:color w:val="auto"/>
          <w:highlight w:val="none"/>
        </w:rPr>
      </w:pPr>
    </w:p>
    <w:p>
      <w:pPr>
        <w:rPr>
          <w:color w:val="auto"/>
          <w:highlight w:val="none"/>
        </w:rPr>
      </w:pPr>
    </w:p>
    <w:p>
      <w:pPr>
        <w:pStyle w:val="4"/>
        <w:jc w:val="center"/>
        <w:rPr>
          <w:color w:val="auto"/>
          <w:highlight w:val="none"/>
        </w:rPr>
      </w:pPr>
      <w:bookmarkStart w:id="212" w:name="_Toc31172"/>
      <w:bookmarkStart w:id="213" w:name="_Toc31062"/>
      <w:r>
        <w:rPr>
          <w:rFonts w:hint="eastAsia"/>
          <w:color w:val="auto"/>
          <w:highlight w:val="none"/>
        </w:rPr>
        <w:t>二、报价明细表</w:t>
      </w:r>
      <w:bookmarkEnd w:id="212"/>
      <w:bookmarkEnd w:id="213"/>
    </w:p>
    <w:p>
      <w:pPr>
        <w:pStyle w:val="35"/>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5"/>
        <w:rPr>
          <w:rFonts w:ascii="黑体" w:eastAsia="黑体"/>
          <w:color w:val="auto"/>
          <w:sz w:val="32"/>
          <w:szCs w:val="32"/>
          <w:highlight w:val="none"/>
        </w:rPr>
      </w:pPr>
    </w:p>
    <w:p>
      <w:pPr>
        <w:pStyle w:val="35"/>
        <w:rPr>
          <w:rFonts w:ascii="黑体" w:eastAsia="黑体"/>
          <w:color w:val="auto"/>
          <w:sz w:val="32"/>
          <w:szCs w:val="32"/>
          <w:highlight w:val="none"/>
        </w:rPr>
      </w:pPr>
    </w:p>
    <w:p>
      <w:pPr>
        <w:pStyle w:val="4"/>
        <w:jc w:val="center"/>
        <w:rPr>
          <w:color w:val="auto"/>
          <w:highlight w:val="none"/>
        </w:rPr>
      </w:pPr>
      <w:bookmarkStart w:id="214" w:name="_Toc20974"/>
      <w:bookmarkStart w:id="215" w:name="_Toc23355"/>
      <w:r>
        <w:rPr>
          <w:rFonts w:hint="eastAsia"/>
          <w:color w:val="auto"/>
          <w:highlight w:val="none"/>
        </w:rPr>
        <w:t>三、小型或微型企业（货物/服务/承担的工程）明细表</w:t>
      </w:r>
      <w:bookmarkEnd w:id="214"/>
      <w:bookmarkEnd w:id="215"/>
    </w:p>
    <w:tbl>
      <w:tblPr>
        <w:tblStyle w:val="27"/>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38"/>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注：</w:t>
      </w:r>
    </w:p>
    <w:p>
      <w:pPr>
        <w:ind w:firstLine="422" w:firstLineChars="200"/>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7"/>
          <w:rFonts w:hint="eastAsia" w:ascii="宋体" w:hAnsi="宋体" w:eastAsia="宋体" w:cs="宋体"/>
          <w:b/>
          <w:color w:val="auto"/>
          <w:sz w:val="21"/>
          <w:szCs w:val="21"/>
          <w:highlight w:val="none"/>
        </w:rPr>
        <w:t>；</w:t>
      </w:r>
    </w:p>
    <w:p>
      <w:pPr>
        <w:pStyle w:val="38"/>
        <w:ind w:firstLine="422"/>
        <w:rPr>
          <w:rFonts w:ascii="黑体" w:eastAsia="黑体"/>
          <w:color w:val="auto"/>
          <w:sz w:val="32"/>
          <w:szCs w:val="32"/>
          <w:highlight w:val="none"/>
        </w:rPr>
      </w:pPr>
      <w:r>
        <w:rPr>
          <w:rStyle w:val="47"/>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4"/>
        <w:jc w:val="center"/>
        <w:rPr>
          <w:color w:val="auto"/>
          <w:highlight w:val="none"/>
        </w:rPr>
      </w:pPr>
      <w:bookmarkStart w:id="216" w:name="_Toc16718"/>
      <w:bookmarkStart w:id="217" w:name="_Toc13970"/>
      <w:r>
        <w:rPr>
          <w:rFonts w:hint="eastAsia"/>
          <w:color w:val="auto"/>
          <w:highlight w:val="none"/>
        </w:rPr>
        <w:t>四、节能产品或环境标志产品明细表</w:t>
      </w:r>
      <w:bookmarkEnd w:id="216"/>
      <w:bookmarkEnd w:id="217"/>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5"/>
        <w:rPr>
          <w:color w:val="auto"/>
          <w:highlight w:val="none"/>
        </w:rPr>
      </w:pPr>
    </w:p>
    <w:p>
      <w:pPr>
        <w:tabs>
          <w:tab w:val="left" w:pos="284"/>
        </w:tabs>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注：</w:t>
      </w:r>
    </w:p>
    <w:p>
      <w:pPr>
        <w:tabs>
          <w:tab w:val="left" w:pos="284"/>
        </w:tabs>
        <w:ind w:firstLine="422" w:firstLineChars="200"/>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7"/>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4"/>
        <w:jc w:val="center"/>
        <w:rPr>
          <w:color w:val="auto"/>
          <w:highlight w:val="none"/>
        </w:rPr>
      </w:pPr>
      <w:bookmarkStart w:id="218" w:name="_Toc17482"/>
      <w:bookmarkStart w:id="219" w:name="_Toc10853"/>
      <w:r>
        <w:rPr>
          <w:rFonts w:hint="eastAsia"/>
          <w:color w:val="auto"/>
          <w:highlight w:val="none"/>
        </w:rPr>
        <w:t>五、中小企业声明函</w:t>
      </w:r>
      <w:bookmarkEnd w:id="218"/>
      <w:bookmarkEnd w:id="219"/>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3"/>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10"/>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3"/>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10"/>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220" w:name="_Toc7959"/>
      <w:bookmarkStart w:id="221" w:name="_Toc8560"/>
      <w:r>
        <w:rPr>
          <w:rFonts w:hint="eastAsia"/>
          <w:color w:val="auto"/>
          <w:highlight w:val="none"/>
        </w:rPr>
        <w:t>六、残疾人福利性单位声明函</w:t>
      </w:r>
      <w:bookmarkEnd w:id="220"/>
      <w:bookmarkEnd w:id="221"/>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22" w:name="_Toc22970"/>
      <w:bookmarkStart w:id="223" w:name="_Toc508958703"/>
      <w:bookmarkStart w:id="224" w:name="_Toc17761"/>
      <w:bookmarkStart w:id="225" w:name="_Toc30247"/>
      <w:bookmarkStart w:id="226" w:name="_Toc508960153"/>
      <w:bookmarkStart w:id="227" w:name="_Toc30277"/>
      <w:bookmarkStart w:id="228" w:name="_Toc509479530"/>
      <w:bookmarkStart w:id="229" w:name="_Toc509927455"/>
      <w:bookmarkStart w:id="230" w:name="_Toc508898066"/>
      <w:bookmarkStart w:id="231" w:name="_Toc509844825"/>
      <w:bookmarkStart w:id="232" w:name="_Toc20910"/>
      <w:bookmarkStart w:id="233" w:name="_Toc510171693"/>
    </w:p>
    <w:p>
      <w:pPr>
        <w:jc w:val="center"/>
        <w:rPr>
          <w:rFonts w:ascii="宋体" w:hAnsi="宋体"/>
          <w:color w:val="auto"/>
          <w:szCs w:val="21"/>
          <w:highlight w:val="none"/>
        </w:rPr>
      </w:pPr>
      <w:r>
        <w:rPr>
          <w:rFonts w:hint="eastAsia" w:ascii="宋体" w:hAnsi="宋体"/>
          <w:color w:val="auto"/>
          <w:szCs w:val="21"/>
          <w:highlight w:val="none"/>
        </w:rPr>
        <w:t xml:space="preserve">                   日  期：</w:t>
      </w:r>
      <w:bookmarkEnd w:id="222"/>
      <w:bookmarkEnd w:id="223"/>
      <w:bookmarkEnd w:id="224"/>
      <w:bookmarkEnd w:id="225"/>
      <w:bookmarkEnd w:id="226"/>
      <w:bookmarkEnd w:id="227"/>
      <w:bookmarkEnd w:id="228"/>
      <w:bookmarkEnd w:id="229"/>
      <w:bookmarkEnd w:id="230"/>
      <w:bookmarkEnd w:id="231"/>
      <w:bookmarkEnd w:id="232"/>
      <w:bookmarkEnd w:id="233"/>
    </w:p>
    <w:p>
      <w:pPr>
        <w:pStyle w:val="10"/>
        <w:rPr>
          <w:color w:val="auto"/>
          <w:highlight w:val="none"/>
        </w:rPr>
      </w:pPr>
    </w:p>
    <w:p>
      <w:pPr>
        <w:ind w:firstLine="420" w:firstLineChars="200"/>
        <w:rPr>
          <w:rFonts w:ascii="宋体" w:hAnsi="宋体"/>
          <w:color w:val="auto"/>
          <w:szCs w:val="21"/>
          <w:highlight w:val="none"/>
        </w:rPr>
      </w:pPr>
      <w:bookmarkStart w:id="234" w:name="_Toc21053"/>
      <w:bookmarkStart w:id="235" w:name="_Toc509479531"/>
      <w:bookmarkStart w:id="236" w:name="_Toc28527"/>
      <w:bookmarkStart w:id="237" w:name="_Toc508958704"/>
      <w:bookmarkStart w:id="238" w:name="_Toc508960154"/>
      <w:bookmarkStart w:id="239" w:name="_Toc31520"/>
      <w:bookmarkStart w:id="240" w:name="_Toc5447"/>
      <w:bookmarkStart w:id="241" w:name="_Toc510171694"/>
      <w:bookmarkStart w:id="242" w:name="_Toc509927456"/>
      <w:bookmarkStart w:id="243" w:name="_Toc508898067"/>
      <w:bookmarkStart w:id="244" w:name="_Toc26216"/>
      <w:bookmarkStart w:id="245" w:name="_Toc509844826"/>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ind w:firstLine="420" w:firstLineChars="200"/>
        <w:rPr>
          <w:rFonts w:ascii="宋体" w:hAnsi="宋体"/>
          <w:color w:val="auto"/>
          <w:szCs w:val="21"/>
          <w:highlight w:val="none"/>
        </w:rPr>
      </w:pPr>
      <w:bookmarkStart w:id="246" w:name="_Toc14653"/>
      <w:bookmarkStart w:id="247" w:name="_Toc508898068"/>
      <w:bookmarkStart w:id="248" w:name="_Toc9148"/>
      <w:bookmarkStart w:id="249" w:name="_Toc24848"/>
      <w:bookmarkStart w:id="250" w:name="_Toc508960155"/>
      <w:bookmarkStart w:id="251" w:name="_Toc509479532"/>
      <w:bookmarkStart w:id="252" w:name="_Toc510171695"/>
      <w:bookmarkStart w:id="253" w:name="_Toc28126"/>
      <w:bookmarkStart w:id="254" w:name="_Toc28626"/>
      <w:bookmarkStart w:id="255" w:name="_Toc509927457"/>
      <w:bookmarkStart w:id="256" w:name="_Toc508958705"/>
      <w:bookmarkStart w:id="257" w:name="_Toc509844827"/>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ind w:firstLine="420" w:firstLineChars="200"/>
        <w:rPr>
          <w:rFonts w:ascii="宋体" w:hAnsi="宋体"/>
          <w:color w:val="auto"/>
          <w:szCs w:val="21"/>
          <w:highlight w:val="none"/>
        </w:rPr>
      </w:pPr>
      <w:bookmarkStart w:id="258" w:name="_Toc9837"/>
      <w:bookmarkStart w:id="259" w:name="_Toc509479533"/>
      <w:bookmarkStart w:id="260" w:name="_Toc7858"/>
      <w:bookmarkStart w:id="261" w:name="_Toc508898069"/>
      <w:bookmarkStart w:id="262" w:name="_Toc28044"/>
      <w:bookmarkStart w:id="263" w:name="_Toc28686"/>
      <w:bookmarkStart w:id="264" w:name="_Toc509844828"/>
      <w:bookmarkStart w:id="265" w:name="_Toc508960156"/>
      <w:bookmarkStart w:id="266" w:name="_Toc508958706"/>
      <w:bookmarkStart w:id="267" w:name="_Toc509927458"/>
      <w:bookmarkStart w:id="268" w:name="_Toc22981"/>
      <w:bookmarkStart w:id="269" w:name="_Toc510171696"/>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ind w:firstLine="420" w:firstLineChars="200"/>
        <w:rPr>
          <w:rFonts w:ascii="宋体" w:hAnsi="宋体"/>
          <w:color w:val="auto"/>
          <w:szCs w:val="21"/>
          <w:highlight w:val="none"/>
        </w:rPr>
      </w:pPr>
      <w:bookmarkStart w:id="270" w:name="_Toc510171697"/>
      <w:bookmarkStart w:id="271" w:name="_Toc508960157"/>
      <w:bookmarkStart w:id="272" w:name="_Toc509927459"/>
      <w:bookmarkStart w:id="273" w:name="_Toc509479534"/>
      <w:bookmarkStart w:id="274" w:name="_Toc508958707"/>
      <w:bookmarkStart w:id="275" w:name="_Toc508898070"/>
      <w:bookmarkStart w:id="276" w:name="_Toc18843"/>
      <w:bookmarkStart w:id="277" w:name="_Toc509844829"/>
      <w:bookmarkStart w:id="278" w:name="_Toc5289"/>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4"/>
        <w:jc w:val="center"/>
        <w:rPr>
          <w:color w:val="auto"/>
          <w:highlight w:val="none"/>
        </w:rPr>
      </w:pPr>
      <w:bookmarkStart w:id="279" w:name="_Toc6471"/>
      <w:bookmarkStart w:id="280" w:name="_Toc23948"/>
      <w:r>
        <w:rPr>
          <w:rFonts w:hint="eastAsia"/>
          <w:color w:val="auto"/>
          <w:highlight w:val="none"/>
        </w:rPr>
        <w:t>第二章商务文件</w:t>
      </w:r>
      <w:bookmarkEnd w:id="279"/>
      <w:bookmarkEnd w:id="280"/>
    </w:p>
    <w:bookmarkEnd w:id="209"/>
    <w:p>
      <w:pPr>
        <w:pStyle w:val="4"/>
        <w:jc w:val="center"/>
        <w:rPr>
          <w:color w:val="auto"/>
          <w:highlight w:val="none"/>
        </w:rPr>
      </w:pPr>
      <w:bookmarkStart w:id="281" w:name="_Toc1952"/>
      <w:bookmarkStart w:id="282" w:name="_Toc23787"/>
      <w:r>
        <w:rPr>
          <w:rFonts w:hint="eastAsia"/>
          <w:color w:val="auto"/>
          <w:highlight w:val="none"/>
        </w:rPr>
        <w:t>一、投标函</w:t>
      </w:r>
      <w:bookmarkEnd w:id="281"/>
      <w:bookmarkEnd w:id="282"/>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4"/>
        <w:jc w:val="center"/>
        <w:rPr>
          <w:color w:val="auto"/>
          <w:highlight w:val="none"/>
        </w:rPr>
      </w:pPr>
      <w:bookmarkStart w:id="283" w:name="_Toc28616"/>
      <w:bookmarkStart w:id="284" w:name="_Toc15719"/>
      <w:r>
        <w:rPr>
          <w:rFonts w:hint="eastAsia"/>
          <w:color w:val="auto"/>
          <w:highlight w:val="none"/>
        </w:rPr>
        <w:t>二、资格申明函</w:t>
      </w:r>
      <w:bookmarkEnd w:id="283"/>
      <w:bookmarkEnd w:id="284"/>
    </w:p>
    <w:p>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41"/>
        <w:spacing w:line="500" w:lineRule="atLeast"/>
        <w:ind w:firstLine="3517" w:firstLineChars="1675"/>
        <w:rPr>
          <w:rFonts w:ascii="宋体" w:eastAsia="宋体"/>
          <w:color w:val="auto"/>
          <w:sz w:val="21"/>
          <w:szCs w:val="21"/>
          <w:highlight w:val="none"/>
        </w:rPr>
      </w:pPr>
    </w:p>
    <w:p>
      <w:pPr>
        <w:pStyle w:val="41"/>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10"/>
        <w:rPr>
          <w:color w:val="auto"/>
          <w:sz w:val="21"/>
          <w:szCs w:val="21"/>
          <w:highlight w:val="none"/>
        </w:rPr>
      </w:pPr>
    </w:p>
    <w:p>
      <w:pPr>
        <w:rPr>
          <w:rFonts w:ascii="宋体" w:hAnsi="宋体"/>
          <w:color w:val="auto"/>
          <w:szCs w:val="21"/>
          <w:highlight w:val="none"/>
        </w:rPr>
      </w:pPr>
    </w:p>
    <w:p>
      <w:pPr>
        <w:pStyle w:val="10"/>
        <w:rPr>
          <w:color w:val="auto"/>
          <w:sz w:val="21"/>
          <w:szCs w:val="21"/>
          <w:highlight w:val="none"/>
        </w:rPr>
      </w:pPr>
    </w:p>
    <w:p>
      <w:pPr>
        <w:rPr>
          <w:rFonts w:ascii="宋体" w:hAnsi="宋体"/>
          <w:color w:val="auto"/>
          <w:szCs w:val="21"/>
          <w:highlight w:val="none"/>
        </w:rPr>
      </w:pPr>
    </w:p>
    <w:p>
      <w:pPr>
        <w:pStyle w:val="10"/>
        <w:rPr>
          <w:color w:val="auto"/>
          <w:sz w:val="21"/>
          <w:szCs w:val="21"/>
          <w:highlight w:val="none"/>
        </w:rPr>
      </w:pPr>
    </w:p>
    <w:p>
      <w:pPr>
        <w:rPr>
          <w:rFonts w:ascii="宋体" w:hAnsi="宋体"/>
          <w:color w:val="auto"/>
          <w:szCs w:val="21"/>
          <w:highlight w:val="none"/>
        </w:rPr>
      </w:pPr>
    </w:p>
    <w:p>
      <w:pPr>
        <w:pStyle w:val="10"/>
        <w:rPr>
          <w:color w:val="auto"/>
          <w:highlight w:val="none"/>
        </w:rPr>
      </w:pPr>
    </w:p>
    <w:p>
      <w:pPr>
        <w:rPr>
          <w:color w:val="auto"/>
          <w:highlight w:val="none"/>
        </w:rPr>
      </w:pPr>
      <w:bookmarkStart w:id="285" w:name="_Toc16412"/>
    </w:p>
    <w:p>
      <w:pPr>
        <w:pStyle w:val="4"/>
        <w:jc w:val="center"/>
        <w:rPr>
          <w:color w:val="auto"/>
          <w:highlight w:val="none"/>
        </w:rPr>
      </w:pPr>
      <w:bookmarkStart w:id="286" w:name="_Toc21273"/>
      <w:bookmarkStart w:id="287" w:name="_Toc32742"/>
      <w:r>
        <w:rPr>
          <w:rFonts w:hint="eastAsia"/>
          <w:color w:val="auto"/>
          <w:highlight w:val="none"/>
        </w:rPr>
        <w:t>三、在参与政府采购活动前三年未有重大违法记录、没有不良信用记录的声明函</w:t>
      </w:r>
      <w:bookmarkEnd w:id="286"/>
      <w:bookmarkEnd w:id="287"/>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4"/>
        <w:jc w:val="center"/>
        <w:rPr>
          <w:color w:val="auto"/>
          <w:highlight w:val="none"/>
        </w:rPr>
      </w:pPr>
      <w:bookmarkStart w:id="288" w:name="_Toc13243"/>
      <w:bookmarkStart w:id="289" w:name="_Toc3894"/>
      <w:r>
        <w:rPr>
          <w:rFonts w:hint="eastAsia"/>
          <w:color w:val="auto"/>
          <w:highlight w:val="none"/>
        </w:rPr>
        <w:t>四、法定代表人证明书</w:t>
      </w:r>
      <w:bookmarkEnd w:id="288"/>
      <w:bookmarkEnd w:id="289"/>
    </w:p>
    <w:p>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1"/>
        <w:spacing w:line="420" w:lineRule="atLeast"/>
        <w:ind w:firstLine="433"/>
        <w:rPr>
          <w:rFonts w:ascii="宋体" w:eastAsia="宋体"/>
          <w:color w:val="auto"/>
          <w:sz w:val="21"/>
          <w:szCs w:val="21"/>
          <w:highlight w:val="none"/>
        </w:rPr>
      </w:pPr>
    </w:p>
    <w:p>
      <w:pPr>
        <w:pStyle w:val="41"/>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41"/>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7"/>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41"/>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290" w:name="_Toc5626"/>
      <w:bookmarkStart w:id="291" w:name="_Toc5918"/>
      <w:r>
        <w:rPr>
          <w:rFonts w:hint="eastAsia"/>
          <w:color w:val="auto"/>
          <w:highlight w:val="none"/>
        </w:rPr>
        <w:t>五、法定代表人授权书</w:t>
      </w:r>
      <w:bookmarkEnd w:id="290"/>
      <w:bookmarkEnd w:id="291"/>
    </w:p>
    <w:p>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1"/>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41"/>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41"/>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7"/>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4"/>
        <w:jc w:val="center"/>
        <w:rPr>
          <w:color w:val="auto"/>
          <w:highlight w:val="none"/>
        </w:rPr>
      </w:pPr>
      <w:bookmarkStart w:id="293" w:name="_Toc24013"/>
      <w:bookmarkStart w:id="294" w:name="_Toc18562"/>
      <w:r>
        <w:rPr>
          <w:rFonts w:hint="eastAsia"/>
          <w:color w:val="auto"/>
          <w:highlight w:val="none"/>
        </w:rPr>
        <w:t>六、投标人基本情况说明</w:t>
      </w:r>
      <w:bookmarkEnd w:id="293"/>
      <w:bookmarkEnd w:id="294"/>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10"/>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
        <w:jc w:val="center"/>
        <w:rPr>
          <w:color w:val="auto"/>
          <w:highlight w:val="none"/>
        </w:rPr>
      </w:pPr>
      <w:bookmarkStart w:id="295" w:name="_Toc1511"/>
      <w:bookmarkStart w:id="296" w:name="_Toc29995"/>
      <w:bookmarkStart w:id="297" w:name="_Toc24210"/>
      <w:bookmarkStart w:id="298" w:name="_Toc5919"/>
      <w:bookmarkStart w:id="299" w:name="_Toc28067"/>
      <w:bookmarkStart w:id="300" w:name="_Toc17470"/>
      <w:bookmarkStart w:id="301" w:name="_Toc4926"/>
      <w:r>
        <w:rPr>
          <w:rFonts w:hint="eastAsia"/>
          <w:color w:val="auto"/>
          <w:highlight w:val="none"/>
        </w:rPr>
        <w:t>七、营业执照</w:t>
      </w:r>
      <w:bookmarkEnd w:id="295"/>
      <w:bookmarkEnd w:id="296"/>
      <w:bookmarkEnd w:id="297"/>
      <w:bookmarkEnd w:id="298"/>
      <w:bookmarkEnd w:id="299"/>
      <w:bookmarkEnd w:id="300"/>
      <w:bookmarkEnd w:id="301"/>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2"/>
    <w:p>
      <w:pPr>
        <w:pStyle w:val="4"/>
        <w:jc w:val="center"/>
        <w:rPr>
          <w:color w:val="auto"/>
          <w:highlight w:val="none"/>
        </w:rPr>
      </w:pPr>
      <w:bookmarkStart w:id="302" w:name="_Toc21638"/>
      <w:bookmarkStart w:id="303" w:name="_Toc29439"/>
      <w:r>
        <w:rPr>
          <w:rFonts w:hint="eastAsia"/>
          <w:color w:val="auto"/>
          <w:highlight w:val="none"/>
        </w:rPr>
        <w:t>八、特殊资格要求证明文件</w:t>
      </w:r>
      <w:bookmarkEnd w:id="302"/>
      <w:bookmarkEnd w:id="303"/>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highlight w:val="none"/>
        </w:rPr>
      </w:pPr>
    </w:p>
    <w:p>
      <w:pPr>
        <w:pStyle w:val="4"/>
        <w:jc w:val="center"/>
        <w:rPr>
          <w:color w:val="auto"/>
          <w:highlight w:val="none"/>
        </w:rPr>
      </w:pPr>
      <w:bookmarkStart w:id="304" w:name="_Toc14263"/>
      <w:bookmarkStart w:id="305" w:name="_Toc23341"/>
      <w:r>
        <w:rPr>
          <w:rFonts w:hint="eastAsia"/>
          <w:color w:val="auto"/>
          <w:highlight w:val="none"/>
        </w:rPr>
        <w:t>九、承诺书</w:t>
      </w:r>
      <w:bookmarkEnd w:id="304"/>
      <w:bookmarkEnd w:id="305"/>
    </w:p>
    <w:p>
      <w:pPr>
        <w:pStyle w:val="41"/>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41"/>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pPr>
        <w:pStyle w:val="41"/>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4"/>
        <w:jc w:val="center"/>
        <w:rPr>
          <w:color w:val="auto"/>
          <w:highlight w:val="none"/>
        </w:rPr>
      </w:pPr>
      <w:bookmarkStart w:id="307" w:name="_Toc13955"/>
      <w:bookmarkStart w:id="308" w:name="_Toc13653"/>
      <w:r>
        <w:rPr>
          <w:rFonts w:hint="eastAsia"/>
          <w:color w:val="auto"/>
          <w:highlight w:val="none"/>
        </w:rPr>
        <w:t>十、招标代理服务费承诺书</w:t>
      </w:r>
      <w:bookmarkEnd w:id="307"/>
      <w:bookmarkEnd w:id="308"/>
    </w:p>
    <w:p>
      <w:pPr>
        <w:pStyle w:val="41"/>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2"/>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jc w:val="center"/>
        <w:rPr>
          <w:color w:val="auto"/>
          <w:highlight w:val="none"/>
        </w:rPr>
      </w:pPr>
      <w:bookmarkStart w:id="309" w:name="_Toc1975"/>
      <w:bookmarkStart w:id="310" w:name="_Toc12598"/>
      <w:r>
        <w:rPr>
          <w:rFonts w:hint="eastAsia"/>
          <w:color w:val="auto"/>
          <w:highlight w:val="none"/>
        </w:rPr>
        <w:t>十一、商务条款偏离表</w:t>
      </w:r>
      <w:bookmarkEnd w:id="309"/>
      <w:bookmarkEnd w:id="310"/>
    </w:p>
    <w:tbl>
      <w:tblPr>
        <w:tblStyle w:val="27"/>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11" w:name="_Toc32183"/>
    </w:p>
    <w:p>
      <w:pPr>
        <w:pStyle w:val="4"/>
        <w:jc w:val="center"/>
        <w:rPr>
          <w:color w:val="auto"/>
          <w:highlight w:val="none"/>
        </w:rPr>
      </w:pPr>
      <w:bookmarkStart w:id="312" w:name="_Toc19276"/>
      <w:bookmarkStart w:id="313" w:name="_Toc25391"/>
      <w:r>
        <w:rPr>
          <w:rFonts w:hint="eastAsia"/>
          <w:color w:val="auto"/>
          <w:highlight w:val="none"/>
        </w:rPr>
        <w:t>十二、业绩表</w:t>
      </w:r>
      <w:bookmarkEnd w:id="312"/>
      <w:bookmarkEnd w:id="313"/>
    </w:p>
    <w:tbl>
      <w:tblPr>
        <w:tblStyle w:val="27"/>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bl>
    <w:p>
      <w:pPr>
        <w:pStyle w:val="38"/>
        <w:rPr>
          <w:rFonts w:ascii="宋体" w:hAnsi="宋体"/>
          <w:color w:val="auto"/>
          <w:szCs w:val="21"/>
          <w:highlight w:val="none"/>
        </w:rPr>
      </w:pPr>
    </w:p>
    <w:p>
      <w:pPr>
        <w:pStyle w:val="38"/>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
        <w:rPr>
          <w:color w:val="auto"/>
          <w:highlight w:val="none"/>
        </w:rPr>
      </w:pPr>
    </w:p>
    <w:p>
      <w:pPr>
        <w:pStyle w:val="10"/>
        <w:ind w:left="0"/>
        <w:rPr>
          <w:color w:val="auto"/>
          <w:highlight w:val="none"/>
        </w:rPr>
      </w:pPr>
    </w:p>
    <w:p>
      <w:pPr>
        <w:pStyle w:val="4"/>
        <w:jc w:val="center"/>
        <w:rPr>
          <w:rFonts w:ascii="黑体" w:eastAsia="黑体"/>
          <w:color w:val="auto"/>
          <w:szCs w:val="28"/>
          <w:highlight w:val="none"/>
        </w:rPr>
      </w:pPr>
      <w:bookmarkStart w:id="314" w:name="_Toc14688"/>
      <w:bookmarkStart w:id="315" w:name="_Toc20520"/>
      <w:r>
        <w:rPr>
          <w:rFonts w:hint="eastAsia"/>
          <w:color w:val="auto"/>
          <w:highlight w:val="none"/>
        </w:rPr>
        <w:t>第三章技术文件</w:t>
      </w:r>
      <w:bookmarkEnd w:id="311"/>
      <w:bookmarkEnd w:id="314"/>
      <w:bookmarkEnd w:id="315"/>
    </w:p>
    <w:p>
      <w:pPr>
        <w:pStyle w:val="4"/>
        <w:jc w:val="center"/>
        <w:rPr>
          <w:color w:val="auto"/>
          <w:highlight w:val="none"/>
        </w:rPr>
      </w:pPr>
      <w:bookmarkStart w:id="316" w:name="_Toc13097"/>
      <w:bookmarkStart w:id="317" w:name="_Toc7092"/>
      <w:r>
        <w:rPr>
          <w:rFonts w:hint="eastAsia"/>
          <w:color w:val="auto"/>
          <w:highlight w:val="none"/>
        </w:rPr>
        <w:t>一、技术规格偏离表</w:t>
      </w:r>
      <w:bookmarkEnd w:id="316"/>
      <w:bookmarkEnd w:id="317"/>
    </w:p>
    <w:tbl>
      <w:tblPr>
        <w:tblStyle w:val="27"/>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4827"/>
      <w:bookmarkStart w:id="320" w:name="_Toc18668"/>
      <w:bookmarkStart w:id="321" w:name="_Toc26078"/>
      <w:bookmarkStart w:id="322" w:name="_Toc4464"/>
      <w:bookmarkStart w:id="323" w:name="_Toc1274"/>
      <w:bookmarkStart w:id="324" w:name="_Toc6080"/>
    </w:p>
    <w:p>
      <w:pPr>
        <w:pStyle w:val="4"/>
        <w:jc w:val="center"/>
        <w:rPr>
          <w:color w:val="auto"/>
          <w:highlight w:val="none"/>
        </w:rPr>
      </w:pPr>
      <w:bookmarkStart w:id="325" w:name="_Toc10734"/>
      <w:bookmarkStart w:id="326" w:name="_Toc13461"/>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2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27" w:name="_Toc29642"/>
            <w:bookmarkStart w:id="328" w:name="_Toc29560"/>
            <w:bookmarkStart w:id="329" w:name="_Toc27079"/>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30" w:name="_Toc26124"/>
            <w:bookmarkStart w:id="331" w:name="_Toc14815"/>
            <w:bookmarkStart w:id="332" w:name="_Toc22448"/>
            <w:bookmarkStart w:id="333" w:name="_Toc1016"/>
            <w:bookmarkStart w:id="334" w:name="_Toc16872"/>
            <w:bookmarkStart w:id="335" w:name="_Toc15368"/>
            <w:bookmarkStart w:id="336" w:name="_Toc21739"/>
            <w:bookmarkStart w:id="337" w:name="_Toc27090"/>
            <w:bookmarkStart w:id="338" w:name="_Toc15903"/>
            <w:bookmarkStart w:id="339" w:name="_Toc4304"/>
            <w:bookmarkStart w:id="340" w:name="_Toc10045"/>
            <w:bookmarkStart w:id="341" w:name="_Toc12049"/>
            <w:bookmarkStart w:id="342" w:name="_Toc2700"/>
            <w:bookmarkStart w:id="343" w:name="_Toc8490"/>
            <w:bookmarkStart w:id="344" w:name="_Toc8312"/>
            <w:bookmarkStart w:id="345" w:name="_Toc32531"/>
            <w:bookmarkStart w:id="346" w:name="_Toc22917"/>
            <w:bookmarkStart w:id="347" w:name="_Toc19251"/>
            <w:bookmarkStart w:id="348" w:name="_Toc22879"/>
            <w:bookmarkStart w:id="349" w:name="_Toc7333"/>
            <w:bookmarkStart w:id="350" w:name="_Toc27442"/>
            <w:bookmarkStart w:id="351" w:name="_Toc21809"/>
            <w:bookmarkStart w:id="352" w:name="_Toc24662"/>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53" w:name="_Toc22153"/>
            <w:bookmarkStart w:id="354" w:name="_Toc2408"/>
            <w:bookmarkStart w:id="355" w:name="_Toc10122"/>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56" w:name="_Toc29838"/>
            <w:bookmarkStart w:id="357" w:name="_Toc16003"/>
            <w:bookmarkStart w:id="358" w:name="_Toc27285"/>
            <w:bookmarkStart w:id="359" w:name="_Toc17296"/>
            <w:bookmarkStart w:id="360" w:name="_Toc17642"/>
            <w:bookmarkStart w:id="361" w:name="_Toc27185"/>
            <w:bookmarkStart w:id="362" w:name="_Toc5563"/>
            <w:bookmarkStart w:id="363" w:name="_Toc1330"/>
            <w:bookmarkStart w:id="364" w:name="_Toc1912"/>
            <w:bookmarkStart w:id="365" w:name="_Toc20820"/>
            <w:bookmarkStart w:id="366" w:name="_Toc5992"/>
            <w:bookmarkStart w:id="367" w:name="_Toc20139"/>
            <w:bookmarkStart w:id="368" w:name="_Toc3701"/>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69" w:name="_Toc19105"/>
            <w:bookmarkStart w:id="370" w:name="_Toc3520"/>
            <w:bookmarkStart w:id="371" w:name="_Toc857"/>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38"/>
        <w:rPr>
          <w:rFonts w:ascii="宋体" w:hAnsi="宋体"/>
          <w:color w:val="auto"/>
          <w:szCs w:val="21"/>
          <w:highlight w:val="none"/>
        </w:rPr>
      </w:pPr>
    </w:p>
    <w:p>
      <w:pPr>
        <w:pStyle w:val="38"/>
        <w:rPr>
          <w:rFonts w:ascii="宋体" w:hAnsi="宋体"/>
          <w:color w:val="auto"/>
          <w:szCs w:val="21"/>
          <w:highlight w:val="none"/>
        </w:rPr>
      </w:pPr>
      <w:r>
        <w:rPr>
          <w:rFonts w:hint="eastAsia" w:ascii="宋体" w:hAnsi="宋体"/>
          <w:color w:val="auto"/>
          <w:szCs w:val="21"/>
          <w:highlight w:val="none"/>
        </w:rPr>
        <w:t>注：</w:t>
      </w:r>
    </w:p>
    <w:p>
      <w:pPr>
        <w:pStyle w:val="38"/>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38"/>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8"/>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8"/>
        <w:rPr>
          <w:rFonts w:ascii="宋体" w:hAnsi="宋体"/>
          <w:color w:val="auto"/>
          <w:szCs w:val="21"/>
          <w:highlight w:val="none"/>
        </w:rPr>
      </w:pPr>
    </w:p>
    <w:p>
      <w:pPr>
        <w:pStyle w:val="38"/>
        <w:numPr>
          <w:ilvl w:val="0"/>
          <w:numId w:val="12"/>
        </w:numPr>
        <w:rPr>
          <w:rFonts w:ascii="黑体" w:eastAsia="黑体"/>
          <w:color w:val="auto"/>
          <w:sz w:val="32"/>
          <w:szCs w:val="32"/>
          <w:highlight w:val="none"/>
        </w:rPr>
      </w:pPr>
      <w:r>
        <w:rPr>
          <w:rFonts w:hint="eastAsia" w:ascii="宋体" w:hAnsi="宋体"/>
          <w:color w:val="auto"/>
          <w:szCs w:val="21"/>
          <w:highlight w:val="none"/>
        </w:rPr>
        <w:br w:type="page"/>
      </w:r>
    </w:p>
    <w:p>
      <w:pPr>
        <w:pStyle w:val="4"/>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4"/>
        <w:jc w:val="center"/>
        <w:rPr>
          <w:color w:val="auto"/>
          <w:highlight w:val="none"/>
        </w:rPr>
      </w:pPr>
      <w:bookmarkStart w:id="374" w:name="_Toc21519"/>
      <w:r>
        <w:rPr>
          <w:rFonts w:hint="eastAsia"/>
          <w:color w:val="auto"/>
          <w:highlight w:val="none"/>
        </w:rPr>
        <w:t>四、项目技术方案</w:t>
      </w:r>
      <w:bookmarkEnd w:id="373"/>
      <w:bookmarkEnd w:id="374"/>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4"/>
        <w:jc w:val="center"/>
        <w:rPr>
          <w:color w:val="auto"/>
          <w:highlight w:val="none"/>
        </w:rPr>
      </w:pPr>
      <w:bookmarkStart w:id="375" w:name="_Toc16328"/>
      <w:bookmarkStart w:id="376" w:name="_Toc26880"/>
      <w:r>
        <w:rPr>
          <w:rFonts w:hint="eastAsia"/>
          <w:color w:val="auto"/>
          <w:highlight w:val="none"/>
        </w:rPr>
        <w:t>五、项目负责人及团队成员资料表</w:t>
      </w:r>
      <w:bookmarkEnd w:id="375"/>
      <w:bookmarkEnd w:id="376"/>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10"/>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4"/>
        <w:jc w:val="center"/>
        <w:rPr>
          <w:color w:val="auto"/>
          <w:highlight w:val="none"/>
        </w:rPr>
      </w:pPr>
      <w:bookmarkStart w:id="377" w:name="_Toc15431"/>
      <w:bookmarkStart w:id="378" w:name="_Toc26980"/>
      <w:r>
        <w:rPr>
          <w:rFonts w:hint="eastAsia"/>
          <w:color w:val="auto"/>
          <w:highlight w:val="none"/>
        </w:rPr>
        <w:t>六、投标货物明细一览表</w:t>
      </w:r>
      <w:bookmarkEnd w:id="377"/>
      <w:bookmarkEnd w:id="378"/>
    </w:p>
    <w:tbl>
      <w:tblPr>
        <w:tblStyle w:val="27"/>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4"/>
        <w:jc w:val="center"/>
        <w:rPr>
          <w:color w:val="auto"/>
          <w:highlight w:val="none"/>
        </w:rPr>
      </w:pPr>
      <w:bookmarkStart w:id="379" w:name="_Toc6961"/>
      <w:r>
        <w:rPr>
          <w:rFonts w:hint="eastAsia"/>
          <w:color w:val="auto"/>
          <w:highlight w:val="none"/>
        </w:rPr>
        <w:t>七、政府采购履约担保函</w:t>
      </w:r>
      <w:bookmarkEnd w:id="379"/>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10"/>
        <w:rPr>
          <w:color w:val="auto"/>
          <w:highlight w:val="none"/>
        </w:rPr>
      </w:pPr>
    </w:p>
    <w:p>
      <w:pPr>
        <w:rPr>
          <w:color w:val="auto"/>
          <w:highlight w:val="none"/>
        </w:rPr>
      </w:pPr>
      <w:r>
        <w:rPr>
          <w:color w:val="auto"/>
          <w:highlight w:val="none"/>
        </w:rPr>
        <w:br w:type="page"/>
      </w:r>
    </w:p>
    <w:p>
      <w:pPr>
        <w:pStyle w:val="4"/>
        <w:jc w:val="center"/>
        <w:rPr>
          <w:color w:val="auto"/>
          <w:highlight w:val="none"/>
        </w:rPr>
      </w:pPr>
      <w:bookmarkStart w:id="380" w:name="_Toc26772"/>
      <w:bookmarkStart w:id="381" w:name="_Toc26782"/>
      <w:r>
        <w:rPr>
          <w:rFonts w:hint="eastAsia"/>
          <w:color w:val="auto"/>
          <w:highlight w:val="none"/>
        </w:rPr>
        <w:t>第四章唱标信封（单独封装）</w:t>
      </w:r>
      <w:bookmarkEnd w:id="380"/>
      <w:bookmarkEnd w:id="381"/>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82"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
        <w:rPr>
          <w:color w:val="auto"/>
          <w:highlight w:val="none"/>
        </w:rPr>
      </w:pPr>
    </w:p>
    <w:p>
      <w:pPr>
        <w:rPr>
          <w:color w:val="auto"/>
          <w:highlight w:val="none"/>
        </w:rPr>
      </w:pPr>
    </w:p>
    <w:p>
      <w:pPr>
        <w:pStyle w:val="10"/>
        <w:rPr>
          <w:color w:val="auto"/>
          <w:highlight w:val="none"/>
        </w:rPr>
      </w:pPr>
    </w:p>
    <w:p>
      <w:pPr>
        <w:rPr>
          <w:color w:val="auto"/>
          <w:highlight w:val="none"/>
        </w:rPr>
      </w:pPr>
    </w:p>
    <w:p>
      <w:pPr>
        <w:pStyle w:val="10"/>
        <w:rPr>
          <w:color w:val="auto"/>
          <w:highlight w:val="none"/>
        </w:rPr>
      </w:pPr>
    </w:p>
    <w:p>
      <w:pPr>
        <w:rPr>
          <w:color w:val="auto"/>
          <w:highlight w:val="none"/>
        </w:rPr>
      </w:pPr>
    </w:p>
    <w:p>
      <w:pPr>
        <w:pStyle w:val="10"/>
        <w:rPr>
          <w:color w:val="auto"/>
          <w:highlight w:val="none"/>
        </w:rPr>
      </w:pPr>
    </w:p>
    <w:p>
      <w:pPr>
        <w:rPr>
          <w:color w:val="auto"/>
          <w:highlight w:val="none"/>
        </w:rPr>
      </w:pPr>
    </w:p>
    <w:p>
      <w:pPr>
        <w:rPr>
          <w:color w:val="auto"/>
          <w:highlight w:val="none"/>
        </w:rPr>
      </w:pPr>
    </w:p>
    <w:p>
      <w:pPr>
        <w:rPr>
          <w:color w:val="auto"/>
          <w:highlight w:val="none"/>
        </w:rPr>
      </w:pPr>
    </w:p>
    <w:p>
      <w:pPr>
        <w:pStyle w:val="4"/>
        <w:jc w:val="center"/>
        <w:rPr>
          <w:color w:val="auto"/>
          <w:highlight w:val="none"/>
        </w:rPr>
      </w:pPr>
      <w:bookmarkStart w:id="383" w:name="_Toc22736"/>
      <w:bookmarkStart w:id="384" w:name="_Toc2710"/>
      <w:r>
        <w:rPr>
          <w:rFonts w:hint="eastAsia"/>
          <w:color w:val="auto"/>
          <w:highlight w:val="none"/>
        </w:rPr>
        <w:t>第五章联合体共同投标协议书（如有需要）</w:t>
      </w:r>
      <w:bookmarkEnd w:id="383"/>
      <w:bookmarkEnd w:id="384"/>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2"/>
    <w:p>
      <w:pPr>
        <w:pStyle w:val="10"/>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r>
        <w:rPr>
          <w:rFonts w:hint="eastAsia" w:ascii="宋体" w:hAnsi="宋体" w:cs="宋体"/>
          <w:color w:val="auto"/>
          <w:szCs w:val="21"/>
          <w:highlight w:val="none"/>
        </w:rPr>
        <w:t xml:space="preserve">   </w:t>
      </w:r>
    </w:p>
    <w:p>
      <w:pPr>
        <w:pStyle w:val="10"/>
        <w:rPr>
          <w:color w:val="auto"/>
          <w:sz w:val="21"/>
          <w:szCs w:val="21"/>
          <w:highlight w:val="none"/>
        </w:rPr>
      </w:pPr>
    </w:p>
    <w:p>
      <w:pPr>
        <w:rPr>
          <w:rFonts w:ascii="宋体" w:hAnsi="宋体" w:cs="宋体"/>
          <w:color w:val="auto"/>
          <w:szCs w:val="21"/>
          <w:highlight w:val="none"/>
        </w:rPr>
      </w:pPr>
    </w:p>
    <w:p>
      <w:pPr>
        <w:pStyle w:val="10"/>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10"/>
        <w:rPr>
          <w:color w:val="auto"/>
          <w:highlight w:val="none"/>
        </w:rPr>
      </w:pPr>
    </w:p>
    <w:p>
      <w:pPr>
        <w:rPr>
          <w:color w:val="auto"/>
          <w:highlight w:val="none"/>
        </w:rPr>
      </w:pPr>
    </w:p>
    <w:p>
      <w:pPr>
        <w:pStyle w:val="1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7"/>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pPr>
        <w:pStyle w:val="26"/>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15"/>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5"/>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5"/>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5"/>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2"/>
        <w:rPr>
          <w:rFonts w:eastAsia="微软雅黑"/>
        </w:rPr>
      </w:pPr>
      <w:r>
        <w:rPr>
          <w:rStyle w:val="33"/>
        </w:rPr>
        <w:footnoteRef/>
      </w:r>
      <w:r>
        <w:t xml:space="preserve"> </w:t>
      </w:r>
      <w:r>
        <w:rPr>
          <w:rFonts w:hint="eastAsia"/>
        </w:rPr>
        <w:t>从业人员、营业人员、资产总额填报上一年度数据，无上一年度数据的新成立企业可不填报。</w:t>
      </w:r>
    </w:p>
  </w:footnote>
  <w:footnote w:id="1">
    <w:p>
      <w:pPr>
        <w:pStyle w:val="22"/>
      </w:pPr>
      <w:r>
        <w:rPr>
          <w:rStyle w:val="33"/>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554753B"/>
    <w:multiLevelType w:val="singleLevel"/>
    <w:tmpl w:val="6554753B"/>
    <w:lvl w:ilvl="0" w:tentative="0">
      <w:start w:val="2"/>
      <w:numFmt w:val="chineseCounting"/>
      <w:suff w:val="space"/>
      <w:lvlText w:val="第%1章"/>
      <w:lvlJc w:val="left"/>
      <w:rPr>
        <w:rFonts w:hint="eastAsia"/>
      </w:rPr>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12"/>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11"/>
  </w:num>
  <w:num w:numId="10">
    <w:abstractNumId w:val="2"/>
  </w:num>
  <w:num w:numId="11">
    <w:abstractNumId w:val="5"/>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5NDZlYWM2ZDg1OGVjMjM0MzI1ZTkzNzNlOTYxYmMifQ=="/>
    <w:docVar w:name="KSO_WPS_MARK_KEY" w:val="cd920a33-cc3f-4a8f-aae1-fca8880c6f46"/>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A14D0"/>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10EC3"/>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1C626C"/>
    <w:rsid w:val="018023CE"/>
    <w:rsid w:val="01881AD6"/>
    <w:rsid w:val="01B40242"/>
    <w:rsid w:val="01B938AA"/>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C41BE8"/>
    <w:rsid w:val="04DF1036"/>
    <w:rsid w:val="050F6021"/>
    <w:rsid w:val="05A97DEC"/>
    <w:rsid w:val="05C81981"/>
    <w:rsid w:val="05C9779C"/>
    <w:rsid w:val="064E6EC7"/>
    <w:rsid w:val="065A32ED"/>
    <w:rsid w:val="06BC41F2"/>
    <w:rsid w:val="06DF3DBD"/>
    <w:rsid w:val="06EA08AE"/>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9F1700"/>
    <w:rsid w:val="08A276E5"/>
    <w:rsid w:val="09061A75"/>
    <w:rsid w:val="09182241"/>
    <w:rsid w:val="09242E62"/>
    <w:rsid w:val="093C069F"/>
    <w:rsid w:val="09417888"/>
    <w:rsid w:val="096332E7"/>
    <w:rsid w:val="09855177"/>
    <w:rsid w:val="09870F93"/>
    <w:rsid w:val="099E0D79"/>
    <w:rsid w:val="09D658E4"/>
    <w:rsid w:val="09F1637C"/>
    <w:rsid w:val="0A25628F"/>
    <w:rsid w:val="0AA534D5"/>
    <w:rsid w:val="0AA650EB"/>
    <w:rsid w:val="0AB8066A"/>
    <w:rsid w:val="0AC255B8"/>
    <w:rsid w:val="0AF47339"/>
    <w:rsid w:val="0B22594B"/>
    <w:rsid w:val="0B797387"/>
    <w:rsid w:val="0B8B2381"/>
    <w:rsid w:val="0BC044BE"/>
    <w:rsid w:val="0BDF26F7"/>
    <w:rsid w:val="0BE34502"/>
    <w:rsid w:val="0BF027CF"/>
    <w:rsid w:val="0C264099"/>
    <w:rsid w:val="0C2B4952"/>
    <w:rsid w:val="0C436DE4"/>
    <w:rsid w:val="0C552CAB"/>
    <w:rsid w:val="0C7B2220"/>
    <w:rsid w:val="0D890E47"/>
    <w:rsid w:val="0DBD266C"/>
    <w:rsid w:val="0DC64A00"/>
    <w:rsid w:val="0DFC60BA"/>
    <w:rsid w:val="0E1243D2"/>
    <w:rsid w:val="0E4249F1"/>
    <w:rsid w:val="0E7A447D"/>
    <w:rsid w:val="0E8417B5"/>
    <w:rsid w:val="0F0623D7"/>
    <w:rsid w:val="0F6C5A53"/>
    <w:rsid w:val="0F7C5FF6"/>
    <w:rsid w:val="0FC63FBD"/>
    <w:rsid w:val="101645B3"/>
    <w:rsid w:val="106C564D"/>
    <w:rsid w:val="107B7B8F"/>
    <w:rsid w:val="107C67CE"/>
    <w:rsid w:val="1080523F"/>
    <w:rsid w:val="108F06C9"/>
    <w:rsid w:val="109D68CB"/>
    <w:rsid w:val="10A949B8"/>
    <w:rsid w:val="10C54639"/>
    <w:rsid w:val="10DD5A17"/>
    <w:rsid w:val="11200D07"/>
    <w:rsid w:val="11DA73AF"/>
    <w:rsid w:val="11DF733C"/>
    <w:rsid w:val="11E903EC"/>
    <w:rsid w:val="11F2417A"/>
    <w:rsid w:val="1267657C"/>
    <w:rsid w:val="12C60D80"/>
    <w:rsid w:val="131867D4"/>
    <w:rsid w:val="131F7A3A"/>
    <w:rsid w:val="132645D0"/>
    <w:rsid w:val="13455ABC"/>
    <w:rsid w:val="13626B8E"/>
    <w:rsid w:val="1370322B"/>
    <w:rsid w:val="13A21329"/>
    <w:rsid w:val="13B27845"/>
    <w:rsid w:val="13B33EF4"/>
    <w:rsid w:val="13BE469F"/>
    <w:rsid w:val="13F87121"/>
    <w:rsid w:val="141A03E1"/>
    <w:rsid w:val="143B2E0B"/>
    <w:rsid w:val="14672B11"/>
    <w:rsid w:val="1470209B"/>
    <w:rsid w:val="14892735"/>
    <w:rsid w:val="14CC769D"/>
    <w:rsid w:val="157D38E3"/>
    <w:rsid w:val="15D359D7"/>
    <w:rsid w:val="15D81E0F"/>
    <w:rsid w:val="161771F3"/>
    <w:rsid w:val="16222D6D"/>
    <w:rsid w:val="16343551"/>
    <w:rsid w:val="163C77BE"/>
    <w:rsid w:val="164E22D4"/>
    <w:rsid w:val="16632F86"/>
    <w:rsid w:val="1679588C"/>
    <w:rsid w:val="16994962"/>
    <w:rsid w:val="16A71041"/>
    <w:rsid w:val="16AA24BF"/>
    <w:rsid w:val="16F72341"/>
    <w:rsid w:val="17095F55"/>
    <w:rsid w:val="17407617"/>
    <w:rsid w:val="17680CAB"/>
    <w:rsid w:val="176E4128"/>
    <w:rsid w:val="1783371F"/>
    <w:rsid w:val="17CF7BDC"/>
    <w:rsid w:val="17D54E75"/>
    <w:rsid w:val="17E62B67"/>
    <w:rsid w:val="180C0192"/>
    <w:rsid w:val="180F4499"/>
    <w:rsid w:val="18221ECE"/>
    <w:rsid w:val="18FA62DC"/>
    <w:rsid w:val="190B7894"/>
    <w:rsid w:val="19302282"/>
    <w:rsid w:val="19A2789F"/>
    <w:rsid w:val="19F0243E"/>
    <w:rsid w:val="1A2C3A27"/>
    <w:rsid w:val="1A460CF5"/>
    <w:rsid w:val="1A7F297D"/>
    <w:rsid w:val="1AB16AC1"/>
    <w:rsid w:val="1B034A52"/>
    <w:rsid w:val="1B1F34AD"/>
    <w:rsid w:val="1B8D5DC6"/>
    <w:rsid w:val="1BFE1D3B"/>
    <w:rsid w:val="1C153208"/>
    <w:rsid w:val="1C2775EC"/>
    <w:rsid w:val="1C750ECE"/>
    <w:rsid w:val="1CA22168"/>
    <w:rsid w:val="1CD40CA8"/>
    <w:rsid w:val="1CE03EE3"/>
    <w:rsid w:val="1D0836D7"/>
    <w:rsid w:val="1D196139"/>
    <w:rsid w:val="1D301EE7"/>
    <w:rsid w:val="1DB85900"/>
    <w:rsid w:val="1DF051AF"/>
    <w:rsid w:val="1E010AF7"/>
    <w:rsid w:val="1E0178EB"/>
    <w:rsid w:val="1E301173"/>
    <w:rsid w:val="1E38333E"/>
    <w:rsid w:val="1E5C7612"/>
    <w:rsid w:val="1E6B76B3"/>
    <w:rsid w:val="1EA40BB4"/>
    <w:rsid w:val="1F43381C"/>
    <w:rsid w:val="1F6170AE"/>
    <w:rsid w:val="1FA4148D"/>
    <w:rsid w:val="20121621"/>
    <w:rsid w:val="201A421D"/>
    <w:rsid w:val="202F0AD2"/>
    <w:rsid w:val="20341172"/>
    <w:rsid w:val="204E554F"/>
    <w:rsid w:val="20590035"/>
    <w:rsid w:val="20C35213"/>
    <w:rsid w:val="20FC799E"/>
    <w:rsid w:val="21CD5F4F"/>
    <w:rsid w:val="22154DDD"/>
    <w:rsid w:val="22213E42"/>
    <w:rsid w:val="22336873"/>
    <w:rsid w:val="226A41D4"/>
    <w:rsid w:val="23175889"/>
    <w:rsid w:val="23675953"/>
    <w:rsid w:val="238C2182"/>
    <w:rsid w:val="239015D1"/>
    <w:rsid w:val="23BB4E7D"/>
    <w:rsid w:val="23C172D6"/>
    <w:rsid w:val="23F04F64"/>
    <w:rsid w:val="24270557"/>
    <w:rsid w:val="24814CBE"/>
    <w:rsid w:val="24AC168B"/>
    <w:rsid w:val="258C3BEC"/>
    <w:rsid w:val="25E576CC"/>
    <w:rsid w:val="260E3862"/>
    <w:rsid w:val="262569FC"/>
    <w:rsid w:val="26344C98"/>
    <w:rsid w:val="26F56CE2"/>
    <w:rsid w:val="271316D3"/>
    <w:rsid w:val="27435D49"/>
    <w:rsid w:val="279D7544"/>
    <w:rsid w:val="27A34F71"/>
    <w:rsid w:val="27B36A67"/>
    <w:rsid w:val="27E35D14"/>
    <w:rsid w:val="27EB0D9B"/>
    <w:rsid w:val="286602C8"/>
    <w:rsid w:val="28665C95"/>
    <w:rsid w:val="289B6312"/>
    <w:rsid w:val="28A64522"/>
    <w:rsid w:val="28A84CCD"/>
    <w:rsid w:val="28CC5B40"/>
    <w:rsid w:val="290B3EB9"/>
    <w:rsid w:val="291418C2"/>
    <w:rsid w:val="2950768C"/>
    <w:rsid w:val="295E3AFD"/>
    <w:rsid w:val="297A5FC4"/>
    <w:rsid w:val="2A1113BC"/>
    <w:rsid w:val="2A8D4F8F"/>
    <w:rsid w:val="2A911082"/>
    <w:rsid w:val="2A917B34"/>
    <w:rsid w:val="2AE3766F"/>
    <w:rsid w:val="2B101552"/>
    <w:rsid w:val="2B174B96"/>
    <w:rsid w:val="2B242199"/>
    <w:rsid w:val="2B7E4054"/>
    <w:rsid w:val="2BF22742"/>
    <w:rsid w:val="2C4A4550"/>
    <w:rsid w:val="2C987C56"/>
    <w:rsid w:val="2CC7419D"/>
    <w:rsid w:val="2CFF149A"/>
    <w:rsid w:val="2D113745"/>
    <w:rsid w:val="2D201865"/>
    <w:rsid w:val="2D4B5CEA"/>
    <w:rsid w:val="2D652658"/>
    <w:rsid w:val="2DC80C49"/>
    <w:rsid w:val="2DCA6355"/>
    <w:rsid w:val="2DF0699F"/>
    <w:rsid w:val="2E166748"/>
    <w:rsid w:val="2E556F01"/>
    <w:rsid w:val="2E8E20B4"/>
    <w:rsid w:val="2EB9239F"/>
    <w:rsid w:val="2ED06066"/>
    <w:rsid w:val="2ED1223D"/>
    <w:rsid w:val="2EE470F7"/>
    <w:rsid w:val="2EF223E2"/>
    <w:rsid w:val="2F000139"/>
    <w:rsid w:val="2F111253"/>
    <w:rsid w:val="2F561B8A"/>
    <w:rsid w:val="2F9F42DC"/>
    <w:rsid w:val="2FE04319"/>
    <w:rsid w:val="2FE449B6"/>
    <w:rsid w:val="2FF37AB3"/>
    <w:rsid w:val="304A650F"/>
    <w:rsid w:val="30890978"/>
    <w:rsid w:val="308C7755"/>
    <w:rsid w:val="30DE36F9"/>
    <w:rsid w:val="30FF27D2"/>
    <w:rsid w:val="31170995"/>
    <w:rsid w:val="31264A30"/>
    <w:rsid w:val="31612810"/>
    <w:rsid w:val="31884E67"/>
    <w:rsid w:val="318D51AD"/>
    <w:rsid w:val="31A0275E"/>
    <w:rsid w:val="31B7357A"/>
    <w:rsid w:val="31ED6B08"/>
    <w:rsid w:val="31F915C9"/>
    <w:rsid w:val="320D643F"/>
    <w:rsid w:val="3236546E"/>
    <w:rsid w:val="32427519"/>
    <w:rsid w:val="32610CE6"/>
    <w:rsid w:val="32631A32"/>
    <w:rsid w:val="328464CE"/>
    <w:rsid w:val="32AB70C5"/>
    <w:rsid w:val="32B95807"/>
    <w:rsid w:val="32DC33E0"/>
    <w:rsid w:val="330C1F7A"/>
    <w:rsid w:val="335D0AF5"/>
    <w:rsid w:val="3370088C"/>
    <w:rsid w:val="33A3154A"/>
    <w:rsid w:val="33DC2F78"/>
    <w:rsid w:val="3428227C"/>
    <w:rsid w:val="342C5935"/>
    <w:rsid w:val="35260F83"/>
    <w:rsid w:val="35602226"/>
    <w:rsid w:val="356B72E7"/>
    <w:rsid w:val="357065AB"/>
    <w:rsid w:val="3572424F"/>
    <w:rsid w:val="35DE1E08"/>
    <w:rsid w:val="35FC3844"/>
    <w:rsid w:val="366061FD"/>
    <w:rsid w:val="36621B40"/>
    <w:rsid w:val="366B5A1C"/>
    <w:rsid w:val="36794DEF"/>
    <w:rsid w:val="36AD519D"/>
    <w:rsid w:val="36B57705"/>
    <w:rsid w:val="36E75B41"/>
    <w:rsid w:val="373563ED"/>
    <w:rsid w:val="374F1A0B"/>
    <w:rsid w:val="3778009F"/>
    <w:rsid w:val="37A103ED"/>
    <w:rsid w:val="37A358C5"/>
    <w:rsid w:val="37EA5E6E"/>
    <w:rsid w:val="37FA0B59"/>
    <w:rsid w:val="37FF016F"/>
    <w:rsid w:val="38427C0B"/>
    <w:rsid w:val="387C5ABE"/>
    <w:rsid w:val="38865AC7"/>
    <w:rsid w:val="389B3A1E"/>
    <w:rsid w:val="38EB6119"/>
    <w:rsid w:val="39DE33DA"/>
    <w:rsid w:val="39FA5B4A"/>
    <w:rsid w:val="39FE0BE9"/>
    <w:rsid w:val="3A3C1AAF"/>
    <w:rsid w:val="3A424C25"/>
    <w:rsid w:val="3A4B7CC1"/>
    <w:rsid w:val="3A51228C"/>
    <w:rsid w:val="3A552E60"/>
    <w:rsid w:val="3A5D642F"/>
    <w:rsid w:val="3AB210FC"/>
    <w:rsid w:val="3ACE216B"/>
    <w:rsid w:val="3AD95C13"/>
    <w:rsid w:val="3B253532"/>
    <w:rsid w:val="3B261E51"/>
    <w:rsid w:val="3B973F88"/>
    <w:rsid w:val="3BCD72F7"/>
    <w:rsid w:val="3C0E4B06"/>
    <w:rsid w:val="3C414142"/>
    <w:rsid w:val="3CE114D9"/>
    <w:rsid w:val="3CF737A2"/>
    <w:rsid w:val="3CF7509A"/>
    <w:rsid w:val="3D10295A"/>
    <w:rsid w:val="3DED21B5"/>
    <w:rsid w:val="3E0572FD"/>
    <w:rsid w:val="3E1A5292"/>
    <w:rsid w:val="3E5A7FE7"/>
    <w:rsid w:val="3EC8179E"/>
    <w:rsid w:val="3EF66B2E"/>
    <w:rsid w:val="3F217914"/>
    <w:rsid w:val="3F942B76"/>
    <w:rsid w:val="3FD70BB0"/>
    <w:rsid w:val="3FFB55AC"/>
    <w:rsid w:val="401C5F9D"/>
    <w:rsid w:val="401C690C"/>
    <w:rsid w:val="401D7195"/>
    <w:rsid w:val="405F1BE4"/>
    <w:rsid w:val="40905BAD"/>
    <w:rsid w:val="40A51286"/>
    <w:rsid w:val="40CE3DC0"/>
    <w:rsid w:val="40D7455A"/>
    <w:rsid w:val="40E743E5"/>
    <w:rsid w:val="4110038E"/>
    <w:rsid w:val="41734CBA"/>
    <w:rsid w:val="41C01B53"/>
    <w:rsid w:val="41DD7057"/>
    <w:rsid w:val="420F7A65"/>
    <w:rsid w:val="4216611A"/>
    <w:rsid w:val="422D4870"/>
    <w:rsid w:val="423E300F"/>
    <w:rsid w:val="425656C8"/>
    <w:rsid w:val="4257273C"/>
    <w:rsid w:val="425D7213"/>
    <w:rsid w:val="42605346"/>
    <w:rsid w:val="42677B61"/>
    <w:rsid w:val="42756DB0"/>
    <w:rsid w:val="42B21AD2"/>
    <w:rsid w:val="42EB15FB"/>
    <w:rsid w:val="42FD694D"/>
    <w:rsid w:val="434A6D8F"/>
    <w:rsid w:val="43FA5777"/>
    <w:rsid w:val="44044D92"/>
    <w:rsid w:val="441C1611"/>
    <w:rsid w:val="443C440B"/>
    <w:rsid w:val="443F7DBF"/>
    <w:rsid w:val="44514F52"/>
    <w:rsid w:val="448965CB"/>
    <w:rsid w:val="44C5497E"/>
    <w:rsid w:val="44FA2D53"/>
    <w:rsid w:val="4571374F"/>
    <w:rsid w:val="458B1BB0"/>
    <w:rsid w:val="4611075B"/>
    <w:rsid w:val="46214818"/>
    <w:rsid w:val="467A0297"/>
    <w:rsid w:val="468B7125"/>
    <w:rsid w:val="46C4691F"/>
    <w:rsid w:val="46E004E6"/>
    <w:rsid w:val="47841568"/>
    <w:rsid w:val="479D1D34"/>
    <w:rsid w:val="47B609C0"/>
    <w:rsid w:val="47CF543E"/>
    <w:rsid w:val="482D31EA"/>
    <w:rsid w:val="485970A0"/>
    <w:rsid w:val="48847961"/>
    <w:rsid w:val="48A41906"/>
    <w:rsid w:val="48B65C71"/>
    <w:rsid w:val="48F303D7"/>
    <w:rsid w:val="492837FF"/>
    <w:rsid w:val="492E6A57"/>
    <w:rsid w:val="49894B84"/>
    <w:rsid w:val="49B86103"/>
    <w:rsid w:val="49F306B0"/>
    <w:rsid w:val="4A0030EE"/>
    <w:rsid w:val="4AC36065"/>
    <w:rsid w:val="4B1A0A44"/>
    <w:rsid w:val="4B560086"/>
    <w:rsid w:val="4B7501F5"/>
    <w:rsid w:val="4B813110"/>
    <w:rsid w:val="4B8C2DEB"/>
    <w:rsid w:val="4BFA3C9F"/>
    <w:rsid w:val="4C0E3379"/>
    <w:rsid w:val="4C107F48"/>
    <w:rsid w:val="4C3277BC"/>
    <w:rsid w:val="4C686851"/>
    <w:rsid w:val="4CB25875"/>
    <w:rsid w:val="4CC353EB"/>
    <w:rsid w:val="4CEA1028"/>
    <w:rsid w:val="4CF36F3C"/>
    <w:rsid w:val="4D4433CA"/>
    <w:rsid w:val="4D4F67BA"/>
    <w:rsid w:val="4D603399"/>
    <w:rsid w:val="4D867EE1"/>
    <w:rsid w:val="4DBC4C65"/>
    <w:rsid w:val="4DC84BDF"/>
    <w:rsid w:val="4DF6568D"/>
    <w:rsid w:val="4E2E1A80"/>
    <w:rsid w:val="4E550010"/>
    <w:rsid w:val="4E5F14CB"/>
    <w:rsid w:val="4E7F5FBD"/>
    <w:rsid w:val="4F3705F8"/>
    <w:rsid w:val="4F651D09"/>
    <w:rsid w:val="4FAC3540"/>
    <w:rsid w:val="4FBB12F4"/>
    <w:rsid w:val="4FCF1583"/>
    <w:rsid w:val="4FFA7625"/>
    <w:rsid w:val="50026D7D"/>
    <w:rsid w:val="501B0BF9"/>
    <w:rsid w:val="50484E27"/>
    <w:rsid w:val="50533F76"/>
    <w:rsid w:val="507D2599"/>
    <w:rsid w:val="5096229D"/>
    <w:rsid w:val="50B44FCE"/>
    <w:rsid w:val="50DC4184"/>
    <w:rsid w:val="51475B39"/>
    <w:rsid w:val="514C3EA7"/>
    <w:rsid w:val="519849E5"/>
    <w:rsid w:val="51B36892"/>
    <w:rsid w:val="524311E2"/>
    <w:rsid w:val="52506DA7"/>
    <w:rsid w:val="533B2B84"/>
    <w:rsid w:val="537A7243"/>
    <w:rsid w:val="539C1B81"/>
    <w:rsid w:val="53AA6184"/>
    <w:rsid w:val="53AE750F"/>
    <w:rsid w:val="53EB0895"/>
    <w:rsid w:val="53F263AD"/>
    <w:rsid w:val="54141A4D"/>
    <w:rsid w:val="54693932"/>
    <w:rsid w:val="549A6BFA"/>
    <w:rsid w:val="54E72921"/>
    <w:rsid w:val="553F3C8C"/>
    <w:rsid w:val="55806F07"/>
    <w:rsid w:val="55FA2961"/>
    <w:rsid w:val="565E3E0E"/>
    <w:rsid w:val="565E7F4F"/>
    <w:rsid w:val="56775789"/>
    <w:rsid w:val="56857D06"/>
    <w:rsid w:val="56914056"/>
    <w:rsid w:val="569F0E63"/>
    <w:rsid w:val="56DB613D"/>
    <w:rsid w:val="573810DA"/>
    <w:rsid w:val="577675F9"/>
    <w:rsid w:val="57F13760"/>
    <w:rsid w:val="57FC2169"/>
    <w:rsid w:val="58096275"/>
    <w:rsid w:val="580E4560"/>
    <w:rsid w:val="581C04F1"/>
    <w:rsid w:val="582E6EF7"/>
    <w:rsid w:val="58434392"/>
    <w:rsid w:val="584E30E6"/>
    <w:rsid w:val="59014D02"/>
    <w:rsid w:val="59577976"/>
    <w:rsid w:val="597B384D"/>
    <w:rsid w:val="59996DA8"/>
    <w:rsid w:val="59AC3CE9"/>
    <w:rsid w:val="59C30F1B"/>
    <w:rsid w:val="5A0D5854"/>
    <w:rsid w:val="5A20156F"/>
    <w:rsid w:val="5A8E5D27"/>
    <w:rsid w:val="5A9847F3"/>
    <w:rsid w:val="5AAB640A"/>
    <w:rsid w:val="5AC7121C"/>
    <w:rsid w:val="5AD90B8D"/>
    <w:rsid w:val="5AE12927"/>
    <w:rsid w:val="5B2243E9"/>
    <w:rsid w:val="5B4E1A44"/>
    <w:rsid w:val="5B4E2617"/>
    <w:rsid w:val="5B595A64"/>
    <w:rsid w:val="5B666742"/>
    <w:rsid w:val="5B6919B0"/>
    <w:rsid w:val="5B873201"/>
    <w:rsid w:val="5B89551D"/>
    <w:rsid w:val="5B967767"/>
    <w:rsid w:val="5B9D7D10"/>
    <w:rsid w:val="5B9E55DE"/>
    <w:rsid w:val="5BA6181A"/>
    <w:rsid w:val="5C1D18D2"/>
    <w:rsid w:val="5C286807"/>
    <w:rsid w:val="5C446BC8"/>
    <w:rsid w:val="5C4C687B"/>
    <w:rsid w:val="5C7C2768"/>
    <w:rsid w:val="5CB23AE6"/>
    <w:rsid w:val="5CE36E2C"/>
    <w:rsid w:val="5CEA6A1D"/>
    <w:rsid w:val="5CF55792"/>
    <w:rsid w:val="5CF75FDD"/>
    <w:rsid w:val="5CFD533A"/>
    <w:rsid w:val="5D1B5066"/>
    <w:rsid w:val="5D562DA3"/>
    <w:rsid w:val="5D893B14"/>
    <w:rsid w:val="5D9F3D30"/>
    <w:rsid w:val="5E2810D5"/>
    <w:rsid w:val="5E2B7D62"/>
    <w:rsid w:val="5E71411E"/>
    <w:rsid w:val="5EA06921"/>
    <w:rsid w:val="5ED5006A"/>
    <w:rsid w:val="5F576E4B"/>
    <w:rsid w:val="5F5D4EDE"/>
    <w:rsid w:val="5F7A2C30"/>
    <w:rsid w:val="5F7E5DBD"/>
    <w:rsid w:val="5FBE370A"/>
    <w:rsid w:val="5FDA503D"/>
    <w:rsid w:val="60292845"/>
    <w:rsid w:val="608544E6"/>
    <w:rsid w:val="60A4258E"/>
    <w:rsid w:val="61014BB6"/>
    <w:rsid w:val="61027308"/>
    <w:rsid w:val="612E1A5D"/>
    <w:rsid w:val="61816046"/>
    <w:rsid w:val="61C55CA9"/>
    <w:rsid w:val="61D10445"/>
    <w:rsid w:val="61FF417F"/>
    <w:rsid w:val="62182687"/>
    <w:rsid w:val="62391564"/>
    <w:rsid w:val="626D6B63"/>
    <w:rsid w:val="62816669"/>
    <w:rsid w:val="62BA0953"/>
    <w:rsid w:val="62D03A7C"/>
    <w:rsid w:val="62F16BCB"/>
    <w:rsid w:val="62F648FE"/>
    <w:rsid w:val="632B573B"/>
    <w:rsid w:val="63341DB1"/>
    <w:rsid w:val="63447612"/>
    <w:rsid w:val="63907004"/>
    <w:rsid w:val="63A10995"/>
    <w:rsid w:val="63C23EFA"/>
    <w:rsid w:val="63FC0BD9"/>
    <w:rsid w:val="643A070A"/>
    <w:rsid w:val="644C573D"/>
    <w:rsid w:val="648667A7"/>
    <w:rsid w:val="64D448DB"/>
    <w:rsid w:val="64DB383A"/>
    <w:rsid w:val="65032F85"/>
    <w:rsid w:val="65136B50"/>
    <w:rsid w:val="653D3504"/>
    <w:rsid w:val="657E2A35"/>
    <w:rsid w:val="65A94E9D"/>
    <w:rsid w:val="65AF3FB6"/>
    <w:rsid w:val="65C60A92"/>
    <w:rsid w:val="662203DD"/>
    <w:rsid w:val="666B723B"/>
    <w:rsid w:val="6678045A"/>
    <w:rsid w:val="66A229F3"/>
    <w:rsid w:val="66AD08B8"/>
    <w:rsid w:val="66DD6702"/>
    <w:rsid w:val="66EB5152"/>
    <w:rsid w:val="67183E60"/>
    <w:rsid w:val="674D780C"/>
    <w:rsid w:val="6793776F"/>
    <w:rsid w:val="679406CB"/>
    <w:rsid w:val="67AB52F1"/>
    <w:rsid w:val="67C35C0B"/>
    <w:rsid w:val="681233D2"/>
    <w:rsid w:val="681D5EE5"/>
    <w:rsid w:val="68652AB3"/>
    <w:rsid w:val="6867777C"/>
    <w:rsid w:val="6895578E"/>
    <w:rsid w:val="689F1926"/>
    <w:rsid w:val="68AD17BB"/>
    <w:rsid w:val="68D94D22"/>
    <w:rsid w:val="692B2E4A"/>
    <w:rsid w:val="694303FB"/>
    <w:rsid w:val="696A0B34"/>
    <w:rsid w:val="698D6A17"/>
    <w:rsid w:val="69A233E7"/>
    <w:rsid w:val="69BF6AA1"/>
    <w:rsid w:val="69DC55BC"/>
    <w:rsid w:val="69E00BFE"/>
    <w:rsid w:val="69EE3535"/>
    <w:rsid w:val="69F954C1"/>
    <w:rsid w:val="6A2031B6"/>
    <w:rsid w:val="6A2C5BE9"/>
    <w:rsid w:val="6A38592B"/>
    <w:rsid w:val="6A440C53"/>
    <w:rsid w:val="6A5D554D"/>
    <w:rsid w:val="6AC61F6F"/>
    <w:rsid w:val="6ADE74F0"/>
    <w:rsid w:val="6B1002C0"/>
    <w:rsid w:val="6B1F5CFA"/>
    <w:rsid w:val="6B723594"/>
    <w:rsid w:val="6B805156"/>
    <w:rsid w:val="6BD50977"/>
    <w:rsid w:val="6BEA2A9B"/>
    <w:rsid w:val="6BFC3A16"/>
    <w:rsid w:val="6C174144"/>
    <w:rsid w:val="6C187AE1"/>
    <w:rsid w:val="6C9C0875"/>
    <w:rsid w:val="6C9D1F03"/>
    <w:rsid w:val="6CAA3931"/>
    <w:rsid w:val="6D3933CA"/>
    <w:rsid w:val="6D7B61EC"/>
    <w:rsid w:val="6DC3266E"/>
    <w:rsid w:val="6DD049FF"/>
    <w:rsid w:val="6DDB72FC"/>
    <w:rsid w:val="6DED73B5"/>
    <w:rsid w:val="6E09491E"/>
    <w:rsid w:val="6E0D3655"/>
    <w:rsid w:val="6E146808"/>
    <w:rsid w:val="6E5F4465"/>
    <w:rsid w:val="6E8C54DA"/>
    <w:rsid w:val="6E914FF3"/>
    <w:rsid w:val="6E9C2C58"/>
    <w:rsid w:val="6EF11E03"/>
    <w:rsid w:val="6F111C62"/>
    <w:rsid w:val="6F2176E5"/>
    <w:rsid w:val="6F3053CA"/>
    <w:rsid w:val="6F4742F2"/>
    <w:rsid w:val="6F592303"/>
    <w:rsid w:val="6F5F5B74"/>
    <w:rsid w:val="6F9B1C65"/>
    <w:rsid w:val="6FBC5308"/>
    <w:rsid w:val="6FD47A25"/>
    <w:rsid w:val="6FE77107"/>
    <w:rsid w:val="6FF44026"/>
    <w:rsid w:val="6FFB146E"/>
    <w:rsid w:val="70180A92"/>
    <w:rsid w:val="701A5C74"/>
    <w:rsid w:val="706516C3"/>
    <w:rsid w:val="707B510C"/>
    <w:rsid w:val="70864A71"/>
    <w:rsid w:val="70896E68"/>
    <w:rsid w:val="70D35446"/>
    <w:rsid w:val="714556B4"/>
    <w:rsid w:val="715B60E9"/>
    <w:rsid w:val="71E96309"/>
    <w:rsid w:val="71EA1FED"/>
    <w:rsid w:val="72284A0C"/>
    <w:rsid w:val="722853DA"/>
    <w:rsid w:val="72C16204"/>
    <w:rsid w:val="72CC29CD"/>
    <w:rsid w:val="730313F6"/>
    <w:rsid w:val="731E1007"/>
    <w:rsid w:val="73370D24"/>
    <w:rsid w:val="7359268C"/>
    <w:rsid w:val="73676C3F"/>
    <w:rsid w:val="739503EB"/>
    <w:rsid w:val="73A05B28"/>
    <w:rsid w:val="73C07D69"/>
    <w:rsid w:val="749E2255"/>
    <w:rsid w:val="74A82DB5"/>
    <w:rsid w:val="74AB340D"/>
    <w:rsid w:val="74B42AE4"/>
    <w:rsid w:val="74D430B7"/>
    <w:rsid w:val="750A429D"/>
    <w:rsid w:val="75167F59"/>
    <w:rsid w:val="754D77D2"/>
    <w:rsid w:val="755948DD"/>
    <w:rsid w:val="755D38A7"/>
    <w:rsid w:val="755D72AA"/>
    <w:rsid w:val="755F5A0F"/>
    <w:rsid w:val="75614792"/>
    <w:rsid w:val="75784473"/>
    <w:rsid w:val="757E044C"/>
    <w:rsid w:val="75977BC3"/>
    <w:rsid w:val="75B161B3"/>
    <w:rsid w:val="75C56F82"/>
    <w:rsid w:val="75E470E3"/>
    <w:rsid w:val="762F7BAA"/>
    <w:rsid w:val="76736B32"/>
    <w:rsid w:val="76E3765E"/>
    <w:rsid w:val="76FC2AFA"/>
    <w:rsid w:val="773F0836"/>
    <w:rsid w:val="77653671"/>
    <w:rsid w:val="778546CC"/>
    <w:rsid w:val="77B56730"/>
    <w:rsid w:val="77C04A8B"/>
    <w:rsid w:val="77D85DB3"/>
    <w:rsid w:val="780252A0"/>
    <w:rsid w:val="78027772"/>
    <w:rsid w:val="78A50513"/>
    <w:rsid w:val="793B7339"/>
    <w:rsid w:val="794A31D9"/>
    <w:rsid w:val="796518DD"/>
    <w:rsid w:val="796E0C55"/>
    <w:rsid w:val="79AA0532"/>
    <w:rsid w:val="79BA2F1D"/>
    <w:rsid w:val="79F70999"/>
    <w:rsid w:val="79FE1DDD"/>
    <w:rsid w:val="7A075767"/>
    <w:rsid w:val="7A212062"/>
    <w:rsid w:val="7A282A11"/>
    <w:rsid w:val="7A354279"/>
    <w:rsid w:val="7AB90FF6"/>
    <w:rsid w:val="7ABA2E36"/>
    <w:rsid w:val="7AC21562"/>
    <w:rsid w:val="7AD474A4"/>
    <w:rsid w:val="7B115232"/>
    <w:rsid w:val="7B416BDC"/>
    <w:rsid w:val="7B5350AD"/>
    <w:rsid w:val="7B6867EB"/>
    <w:rsid w:val="7B697C89"/>
    <w:rsid w:val="7B8D34C3"/>
    <w:rsid w:val="7B971D84"/>
    <w:rsid w:val="7BA9508D"/>
    <w:rsid w:val="7BF32F03"/>
    <w:rsid w:val="7C1724A5"/>
    <w:rsid w:val="7C8E3CCF"/>
    <w:rsid w:val="7CA54112"/>
    <w:rsid w:val="7CE50CE4"/>
    <w:rsid w:val="7D2177E3"/>
    <w:rsid w:val="7D2E5ABF"/>
    <w:rsid w:val="7DC82AB7"/>
    <w:rsid w:val="7DF103ED"/>
    <w:rsid w:val="7E2142A2"/>
    <w:rsid w:val="7E4C3614"/>
    <w:rsid w:val="7E4F5384"/>
    <w:rsid w:val="7E5A6DFA"/>
    <w:rsid w:val="7E7B0BF2"/>
    <w:rsid w:val="7E7C7A78"/>
    <w:rsid w:val="7E8D75B6"/>
    <w:rsid w:val="7EB2417D"/>
    <w:rsid w:val="7EF760EE"/>
    <w:rsid w:val="7F2A21E7"/>
    <w:rsid w:val="7F796066"/>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7"/>
    <w:unhideWhenUsed/>
    <w:qFormat/>
    <w:uiPriority w:val="9"/>
    <w:pPr>
      <w:keepNext/>
      <w:keepLines/>
      <w:outlineLvl w:val="2"/>
    </w:pPr>
    <w:rPr>
      <w:b/>
      <w:bCs/>
      <w:sz w:val="28"/>
      <w:szCs w:val="32"/>
    </w:rPr>
  </w:style>
  <w:style w:type="paragraph" w:styleId="5">
    <w:name w:val="heading 4"/>
    <w:basedOn w:val="1"/>
    <w:next w:val="1"/>
    <w:link w:val="39"/>
    <w:unhideWhenUsed/>
    <w:qFormat/>
    <w:uiPriority w:val="9"/>
    <w:pPr>
      <w:keepNext/>
      <w:keepLines/>
      <w:outlineLvl w:val="3"/>
    </w:pPr>
    <w:rPr>
      <w:rFonts w:asciiTheme="majorHAnsi" w:hAnsiTheme="majorHAnsi" w:cstheme="majorBidi"/>
      <w:b/>
      <w:bCs/>
      <w:sz w:val="24"/>
      <w:szCs w:val="28"/>
    </w:rPr>
  </w:style>
  <w:style w:type="paragraph" w:styleId="6">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7">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8">
    <w:name w:val="Normal Indent"/>
    <w:basedOn w:val="1"/>
    <w:qFormat/>
    <w:uiPriority w:val="0"/>
    <w:pPr>
      <w:autoSpaceDE w:val="0"/>
      <w:autoSpaceDN w:val="0"/>
      <w:adjustRightInd w:val="0"/>
      <w:ind w:firstLine="420"/>
      <w:jc w:val="left"/>
      <w:textAlignment w:val="baseline"/>
    </w:pPr>
    <w:rPr>
      <w:rFonts w:ascii="宋体"/>
      <w:kern w:val="0"/>
      <w:sz w:val="34"/>
      <w:szCs w:val="20"/>
    </w:rPr>
  </w:style>
  <w:style w:type="paragraph" w:styleId="9">
    <w:name w:val="annotation text"/>
    <w:basedOn w:val="1"/>
    <w:semiHidden/>
    <w:unhideWhenUsed/>
    <w:qFormat/>
    <w:uiPriority w:val="99"/>
  </w:style>
  <w:style w:type="paragraph" w:styleId="10">
    <w:name w:val="Body Text"/>
    <w:basedOn w:val="1"/>
    <w:next w:val="1"/>
    <w:qFormat/>
    <w:uiPriority w:val="1"/>
    <w:pPr>
      <w:spacing w:before="161"/>
      <w:ind w:left="120"/>
    </w:pPr>
    <w:rPr>
      <w:rFonts w:ascii="宋体" w:hAnsi="宋体" w:cs="宋体"/>
      <w:sz w:val="24"/>
      <w:lang w:val="zh-CN" w:bidi="zh-CN"/>
    </w:rPr>
  </w:style>
  <w:style w:type="paragraph" w:styleId="11">
    <w:name w:val="toc 3"/>
    <w:basedOn w:val="1"/>
    <w:next w:val="1"/>
    <w:unhideWhenUsed/>
    <w:qFormat/>
    <w:uiPriority w:val="39"/>
    <w:pPr>
      <w:tabs>
        <w:tab w:val="right" w:leader="dot" w:pos="8296"/>
      </w:tabs>
      <w:ind w:left="838" w:leftChars="381"/>
    </w:pPr>
    <w:rPr>
      <w:szCs w:val="21"/>
    </w:rPr>
  </w:style>
  <w:style w:type="paragraph" w:styleId="12">
    <w:name w:val="Plain Text"/>
    <w:basedOn w:val="1"/>
    <w:link w:val="49"/>
    <w:qFormat/>
    <w:uiPriority w:val="0"/>
    <w:pPr>
      <w:widowControl w:val="0"/>
      <w:adjustRightInd/>
      <w:snapToGrid/>
      <w:jc w:val="both"/>
    </w:pPr>
    <w:rPr>
      <w:rFonts w:ascii="宋体" w:hAnsi="Courier New" w:cs="Times New Roman"/>
      <w:b/>
      <w:kern w:val="2"/>
      <w:szCs w:val="20"/>
    </w:rPr>
  </w:style>
  <w:style w:type="paragraph" w:styleId="13">
    <w:name w:val="Body Text Indent 2"/>
    <w:basedOn w:val="1"/>
    <w:qFormat/>
    <w:uiPriority w:val="0"/>
    <w:pPr>
      <w:ind w:firstLine="539" w:firstLineChars="174"/>
    </w:pPr>
    <w:rPr>
      <w:rFonts w:ascii="仿宋_GB2312" w:eastAsia="仿宋_GB2312"/>
      <w:sz w:val="31"/>
    </w:rPr>
  </w:style>
  <w:style w:type="paragraph" w:styleId="14">
    <w:name w:val="Balloon Text"/>
    <w:basedOn w:val="1"/>
    <w:link w:val="52"/>
    <w:semiHidden/>
    <w:unhideWhenUsed/>
    <w:qFormat/>
    <w:uiPriority w:val="99"/>
    <w:rPr>
      <w:sz w:val="18"/>
      <w:szCs w:val="18"/>
    </w:rPr>
  </w:style>
  <w:style w:type="paragraph" w:styleId="15">
    <w:name w:val="footer"/>
    <w:basedOn w:val="1"/>
    <w:link w:val="51"/>
    <w:unhideWhenUsed/>
    <w:qFormat/>
    <w:uiPriority w:val="99"/>
    <w:pPr>
      <w:tabs>
        <w:tab w:val="center" w:pos="4153"/>
        <w:tab w:val="right" w:pos="8306"/>
      </w:tabs>
    </w:pPr>
    <w:rPr>
      <w:sz w:val="18"/>
      <w:szCs w:val="18"/>
    </w:rPr>
  </w:style>
  <w:style w:type="paragraph" w:styleId="16">
    <w:name w:val="header"/>
    <w:basedOn w:val="1"/>
    <w:link w:val="50"/>
    <w:unhideWhenUsed/>
    <w:qFormat/>
    <w:uiPriority w:val="99"/>
    <w:pPr>
      <w:pBdr>
        <w:bottom w:val="single" w:color="auto" w:sz="6" w:space="1"/>
      </w:pBdr>
      <w:tabs>
        <w:tab w:val="center" w:pos="4153"/>
        <w:tab w:val="right" w:pos="8306"/>
      </w:tabs>
      <w:jc w:val="center"/>
    </w:pPr>
    <w:rPr>
      <w:sz w:val="18"/>
      <w:szCs w:val="18"/>
    </w:rPr>
  </w:style>
  <w:style w:type="paragraph" w:styleId="17">
    <w:name w:val="toc 1"/>
    <w:basedOn w:val="1"/>
    <w:next w:val="1"/>
    <w:semiHidden/>
    <w:unhideWhenUsed/>
    <w:qFormat/>
    <w:uiPriority w:val="39"/>
  </w:style>
  <w:style w:type="paragraph" w:styleId="18">
    <w:name w:val="toc 4"/>
    <w:basedOn w:val="1"/>
    <w:next w:val="1"/>
    <w:unhideWhenUsed/>
    <w:qFormat/>
    <w:uiPriority w:val="39"/>
    <w:pPr>
      <w:tabs>
        <w:tab w:val="right" w:leader="dot" w:pos="8296"/>
      </w:tabs>
      <w:spacing w:after="120"/>
      <w:ind w:left="1320" w:leftChars="600"/>
    </w:pPr>
  </w:style>
  <w:style w:type="paragraph" w:styleId="19">
    <w:name w:val="index heading"/>
    <w:basedOn w:val="1"/>
    <w:next w:val="20"/>
    <w:qFormat/>
    <w:uiPriority w:val="0"/>
    <w:rPr>
      <w:rFonts w:ascii="Times New Roman" w:hAnsi="Times New Roman"/>
      <w:szCs w:val="20"/>
    </w:rPr>
  </w:style>
  <w:style w:type="paragraph" w:styleId="20">
    <w:name w:val="index 1"/>
    <w:basedOn w:val="1"/>
    <w:next w:val="1"/>
    <w:unhideWhenUsed/>
    <w:qFormat/>
    <w:uiPriority w:val="99"/>
  </w:style>
  <w:style w:type="paragraph" w:styleId="21">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2">
    <w:name w:val="footnote text"/>
    <w:basedOn w:val="1"/>
    <w:semiHidden/>
    <w:unhideWhenUsed/>
    <w:qFormat/>
    <w:uiPriority w:val="99"/>
    <w:rPr>
      <w:sz w:val="18"/>
    </w:rPr>
  </w:style>
  <w:style w:type="paragraph" w:styleId="23">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4">
    <w:name w:val="Normal (Web)"/>
    <w:basedOn w:val="1"/>
    <w:link w:val="54"/>
    <w:qFormat/>
    <w:uiPriority w:val="0"/>
    <w:pPr>
      <w:widowControl w:val="0"/>
      <w:adjustRightInd/>
      <w:snapToGrid/>
      <w:jc w:val="both"/>
    </w:pPr>
    <w:rPr>
      <w:rFonts w:asciiTheme="minorHAnsi" w:hAnsiTheme="minorHAnsi"/>
      <w:kern w:val="2"/>
      <w:sz w:val="24"/>
      <w:szCs w:val="24"/>
    </w:rPr>
  </w:style>
  <w:style w:type="paragraph" w:styleId="25">
    <w:name w:val="Title"/>
    <w:basedOn w:val="1"/>
    <w:next w:val="1"/>
    <w:qFormat/>
    <w:uiPriority w:val="0"/>
    <w:pPr>
      <w:spacing w:before="240" w:after="60"/>
      <w:jc w:val="center"/>
      <w:outlineLvl w:val="0"/>
    </w:pPr>
    <w:rPr>
      <w:rFonts w:ascii="Calibri Light" w:hAnsi="Calibri Light" w:cs="Times New Roman"/>
      <w:b/>
      <w:bCs/>
      <w:sz w:val="32"/>
      <w:szCs w:val="32"/>
    </w:rPr>
  </w:style>
  <w:style w:type="paragraph" w:styleId="26">
    <w:name w:val="Body Text First Indent"/>
    <w:basedOn w:val="10"/>
    <w:unhideWhenUsed/>
    <w:qFormat/>
    <w:uiPriority w:val="99"/>
    <w:pPr>
      <w:ind w:firstLine="420" w:firstLineChars="100"/>
    </w:pPr>
    <w:rPr>
      <w:rFonts w:ascii="Times New Roman" w:hAnsi="Times New Roman" w:cs="Times New Roman"/>
    </w:rPr>
  </w:style>
  <w:style w:type="table" w:styleId="28">
    <w:name w:val="Table Grid"/>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Emphasis"/>
    <w:basedOn w:val="29"/>
    <w:qFormat/>
    <w:uiPriority w:val="20"/>
    <w:rPr>
      <w:i/>
      <w:iCs/>
    </w:rPr>
  </w:style>
  <w:style w:type="character" w:styleId="31">
    <w:name w:val="Hyperlink"/>
    <w:qFormat/>
    <w:uiPriority w:val="99"/>
    <w:rPr>
      <w:rFonts w:hint="eastAsia" w:ascii="宋体" w:hAnsi="宋体" w:eastAsia="宋体" w:cs="宋体"/>
      <w:b/>
      <w:color w:val="0031C1"/>
      <w:kern w:val="0"/>
      <w:sz w:val="18"/>
      <w:szCs w:val="18"/>
      <w:u w:val="none"/>
      <w:lang w:eastAsia="en-US"/>
    </w:rPr>
  </w:style>
  <w:style w:type="character" w:styleId="32">
    <w:name w:val="annotation reference"/>
    <w:basedOn w:val="29"/>
    <w:semiHidden/>
    <w:unhideWhenUsed/>
    <w:qFormat/>
    <w:uiPriority w:val="99"/>
    <w:rPr>
      <w:sz w:val="21"/>
      <w:szCs w:val="21"/>
    </w:rPr>
  </w:style>
  <w:style w:type="character" w:styleId="33">
    <w:name w:val="footnote reference"/>
    <w:basedOn w:val="29"/>
    <w:semiHidden/>
    <w:unhideWhenUsed/>
    <w:qFormat/>
    <w:uiPriority w:val="99"/>
    <w:rPr>
      <w:vertAlign w:val="superscript"/>
    </w:rPr>
  </w:style>
  <w:style w:type="paragraph" w:customStyle="1" w:styleId="34">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5">
    <w:name w:val="表格文字"/>
    <w:basedOn w:val="1"/>
    <w:qFormat/>
    <w:uiPriority w:val="0"/>
    <w:pPr>
      <w:adjustRightInd/>
      <w:spacing w:before="25" w:after="25"/>
    </w:pPr>
    <w:rPr>
      <w:rFonts w:ascii="Times New Roman"/>
      <w:bCs/>
      <w:spacing w:val="10"/>
      <w:szCs w:val="20"/>
    </w:rPr>
  </w:style>
  <w:style w:type="character" w:customStyle="1" w:styleId="36">
    <w:name w:val="标题 2 Char"/>
    <w:basedOn w:val="29"/>
    <w:link w:val="3"/>
    <w:qFormat/>
    <w:uiPriority w:val="9"/>
    <w:rPr>
      <w:rFonts w:asciiTheme="majorHAnsi" w:hAnsiTheme="majorHAnsi" w:eastAsiaTheme="majorEastAsia" w:cstheme="majorBidi"/>
      <w:b/>
      <w:bCs/>
      <w:sz w:val="32"/>
      <w:szCs w:val="32"/>
    </w:rPr>
  </w:style>
  <w:style w:type="character" w:customStyle="1" w:styleId="37">
    <w:name w:val="标题 3 Char"/>
    <w:basedOn w:val="29"/>
    <w:link w:val="4"/>
    <w:qFormat/>
    <w:uiPriority w:val="9"/>
    <w:rPr>
      <w:rFonts w:ascii="Tahoma" w:hAnsi="Tahoma" w:eastAsia="宋体"/>
      <w:b/>
      <w:bCs/>
      <w:sz w:val="28"/>
      <w:szCs w:val="32"/>
    </w:rPr>
  </w:style>
  <w:style w:type="paragraph" w:styleId="38">
    <w:name w:val="List Paragraph"/>
    <w:basedOn w:val="1"/>
    <w:qFormat/>
    <w:uiPriority w:val="34"/>
    <w:pPr>
      <w:ind w:firstLine="420" w:firstLineChars="200"/>
    </w:pPr>
  </w:style>
  <w:style w:type="character" w:customStyle="1" w:styleId="39">
    <w:name w:val="标题 4 Char"/>
    <w:basedOn w:val="29"/>
    <w:link w:val="5"/>
    <w:qFormat/>
    <w:uiPriority w:val="9"/>
    <w:rPr>
      <w:rFonts w:eastAsia="宋体" w:asciiTheme="majorHAnsi" w:hAnsiTheme="majorHAnsi" w:cstheme="majorBidi"/>
      <w:b/>
      <w:bCs/>
      <w:sz w:val="24"/>
      <w:szCs w:val="28"/>
    </w:rPr>
  </w:style>
  <w:style w:type="character" w:customStyle="1" w:styleId="40">
    <w:name w:val="正文缩进2格 Char"/>
    <w:link w:val="41"/>
    <w:qFormat/>
    <w:uiPriority w:val="0"/>
    <w:rPr>
      <w:rFonts w:ascii="仿宋_GB2312" w:hAnsi="宋体" w:eastAsia="仿宋_GB2312"/>
      <w:kern w:val="2"/>
      <w:sz w:val="31"/>
    </w:rPr>
  </w:style>
  <w:style w:type="paragraph" w:customStyle="1" w:styleId="41">
    <w:name w:val="正文缩进2格"/>
    <w:basedOn w:val="1"/>
    <w:next w:val="1"/>
    <w:link w:val="40"/>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2">
    <w:name w:val="正文缩进4格"/>
    <w:basedOn w:val="41"/>
    <w:qFormat/>
    <w:uiPriority w:val="0"/>
    <w:pPr>
      <w:ind w:left="2" w:firstLine="538" w:firstLineChars="192"/>
    </w:pPr>
    <w:rPr>
      <w:color w:val="0000FF"/>
      <w:sz w:val="28"/>
    </w:rPr>
  </w:style>
  <w:style w:type="character" w:customStyle="1" w:styleId="43">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4">
    <w:name w:val="标题1"/>
    <w:qFormat/>
    <w:uiPriority w:val="0"/>
    <w:rPr>
      <w:rFonts w:ascii="Times New Roman" w:hAnsi="Times New Roman" w:eastAsia="宋体" w:cs="Times New Roman"/>
      <w:b/>
      <w:kern w:val="0"/>
      <w:sz w:val="24"/>
      <w:szCs w:val="20"/>
      <w:lang w:eastAsia="en-US"/>
    </w:rPr>
  </w:style>
  <w:style w:type="character" w:customStyle="1" w:styleId="45">
    <w:name w:val="标题 3.1 Char"/>
    <w:link w:val="46"/>
    <w:qFormat/>
    <w:uiPriority w:val="0"/>
    <w:rPr>
      <w:rFonts w:ascii="宋体" w:hAnsi="宋体" w:eastAsia="宋体"/>
      <w:b/>
      <w:color w:val="FF0000"/>
      <w:kern w:val="2"/>
      <w:sz w:val="32"/>
    </w:rPr>
  </w:style>
  <w:style w:type="paragraph" w:customStyle="1" w:styleId="46">
    <w:name w:val="标题 3.1"/>
    <w:basedOn w:val="4"/>
    <w:link w:val="45"/>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7">
    <w:name w:val="样式 楷体_GB2312 小四"/>
    <w:qFormat/>
    <w:uiPriority w:val="0"/>
    <w:rPr>
      <w:rFonts w:ascii="楷体_GB2312" w:hAnsi="楷体_GB2312" w:eastAsia="仿宋_GB2312"/>
      <w:sz w:val="24"/>
    </w:rPr>
  </w:style>
  <w:style w:type="character" w:customStyle="1" w:styleId="48">
    <w:name w:val="纯文本 Char"/>
    <w:qFormat/>
    <w:uiPriority w:val="0"/>
    <w:rPr>
      <w:rFonts w:ascii="宋体" w:hAnsi="Courier New" w:eastAsia="宋体" w:cs="Times New Roman"/>
      <w:b/>
      <w:kern w:val="2"/>
      <w:sz w:val="21"/>
      <w:szCs w:val="20"/>
    </w:rPr>
  </w:style>
  <w:style w:type="character" w:customStyle="1" w:styleId="49">
    <w:name w:val="纯文本 Char1"/>
    <w:basedOn w:val="29"/>
    <w:link w:val="12"/>
    <w:semiHidden/>
    <w:qFormat/>
    <w:uiPriority w:val="99"/>
    <w:rPr>
      <w:rFonts w:ascii="宋体" w:hAnsi="Courier New" w:eastAsia="宋体" w:cs="Courier New"/>
      <w:sz w:val="21"/>
      <w:szCs w:val="21"/>
    </w:rPr>
  </w:style>
  <w:style w:type="character" w:customStyle="1" w:styleId="50">
    <w:name w:val="页眉 Char"/>
    <w:basedOn w:val="29"/>
    <w:link w:val="16"/>
    <w:qFormat/>
    <w:uiPriority w:val="99"/>
    <w:rPr>
      <w:rFonts w:ascii="Tahoma" w:hAnsi="Tahoma"/>
      <w:sz w:val="18"/>
      <w:szCs w:val="18"/>
    </w:rPr>
  </w:style>
  <w:style w:type="character" w:customStyle="1" w:styleId="51">
    <w:name w:val="页脚 Char"/>
    <w:basedOn w:val="29"/>
    <w:link w:val="15"/>
    <w:qFormat/>
    <w:uiPriority w:val="99"/>
    <w:rPr>
      <w:rFonts w:ascii="Tahoma" w:hAnsi="Tahoma"/>
      <w:sz w:val="18"/>
      <w:szCs w:val="18"/>
    </w:rPr>
  </w:style>
  <w:style w:type="character" w:customStyle="1" w:styleId="52">
    <w:name w:val="批注框文本 Char"/>
    <w:basedOn w:val="29"/>
    <w:link w:val="14"/>
    <w:semiHidden/>
    <w:qFormat/>
    <w:uiPriority w:val="99"/>
    <w:rPr>
      <w:rFonts w:ascii="Tahoma" w:hAnsi="Tahoma"/>
      <w:sz w:val="18"/>
      <w:szCs w:val="18"/>
    </w:rPr>
  </w:style>
  <w:style w:type="paragraph" w:customStyle="1" w:styleId="53">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4">
    <w:name w:val="普通(网站) Char"/>
    <w:link w:val="24"/>
    <w:qFormat/>
    <w:uiPriority w:val="0"/>
    <w:rPr>
      <w:rFonts w:eastAsia="宋体"/>
      <w:kern w:val="2"/>
      <w:sz w:val="24"/>
      <w:szCs w:val="24"/>
    </w:rPr>
  </w:style>
  <w:style w:type="paragraph" w:customStyle="1" w:styleId="55">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6">
    <w:name w:val="p141"/>
    <w:qFormat/>
    <w:uiPriority w:val="0"/>
    <w:rPr>
      <w:sz w:val="21"/>
      <w:szCs w:val="21"/>
    </w:rPr>
  </w:style>
  <w:style w:type="paragraph" w:customStyle="1" w:styleId="57">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8">
    <w:name w:val="正文无缩进"/>
    <w:basedOn w:val="41"/>
    <w:qFormat/>
    <w:uiPriority w:val="0"/>
    <w:pPr>
      <w:ind w:firstLine="0" w:firstLineChars="0"/>
    </w:pPr>
  </w:style>
  <w:style w:type="paragraph" w:customStyle="1" w:styleId="59">
    <w:name w:val="一级条标题"/>
    <w:basedOn w:val="60"/>
    <w:next w:val="61"/>
    <w:qFormat/>
    <w:uiPriority w:val="0"/>
    <w:pPr>
      <w:tabs>
        <w:tab w:val="left" w:pos="720"/>
      </w:tabs>
      <w:spacing w:beforeLines="0" w:afterLines="0"/>
      <w:outlineLvl w:val="2"/>
    </w:pPr>
  </w:style>
  <w:style w:type="paragraph" w:customStyle="1" w:styleId="60">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1">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2">
    <w:name w:val="font212"/>
    <w:basedOn w:val="29"/>
    <w:qFormat/>
    <w:uiPriority w:val="0"/>
    <w:rPr>
      <w:rFonts w:ascii="宋体" w:hAnsi="宋体" w:eastAsia="宋体" w:cs="宋体"/>
      <w:color w:val="000000"/>
      <w:sz w:val="22"/>
      <w:szCs w:val="22"/>
      <w:u w:val="none"/>
    </w:rPr>
  </w:style>
  <w:style w:type="character" w:customStyle="1" w:styleId="63">
    <w:name w:val="font41"/>
    <w:basedOn w:val="29"/>
    <w:qFormat/>
    <w:uiPriority w:val="0"/>
    <w:rPr>
      <w:rFonts w:hint="eastAsia" w:ascii="宋体" w:hAnsi="宋体" w:eastAsia="宋体" w:cs="宋体"/>
      <w:color w:val="000000"/>
      <w:sz w:val="22"/>
      <w:szCs w:val="22"/>
      <w:u w:val="none"/>
    </w:rPr>
  </w:style>
  <w:style w:type="character" w:customStyle="1" w:styleId="64">
    <w:name w:val="font181"/>
    <w:basedOn w:val="29"/>
    <w:qFormat/>
    <w:uiPriority w:val="0"/>
    <w:rPr>
      <w:rFonts w:hint="default" w:ascii="Times New Roman" w:hAnsi="Times New Roman" w:cs="Times New Roman"/>
      <w:color w:val="000000"/>
      <w:sz w:val="22"/>
      <w:szCs w:val="22"/>
      <w:u w:val="none"/>
    </w:rPr>
  </w:style>
  <w:style w:type="character" w:customStyle="1" w:styleId="65">
    <w:name w:val="font221"/>
    <w:basedOn w:val="29"/>
    <w:qFormat/>
    <w:uiPriority w:val="0"/>
    <w:rPr>
      <w:rFonts w:hint="eastAsia" w:ascii="宋体" w:hAnsi="宋体" w:eastAsia="宋体" w:cs="宋体"/>
      <w:color w:val="000000"/>
      <w:sz w:val="22"/>
      <w:szCs w:val="22"/>
      <w:u w:val="none"/>
      <w:vertAlign w:val="superscript"/>
    </w:rPr>
  </w:style>
  <w:style w:type="character" w:customStyle="1" w:styleId="66">
    <w:name w:val="font161"/>
    <w:basedOn w:val="29"/>
    <w:qFormat/>
    <w:uiPriority w:val="0"/>
    <w:rPr>
      <w:rFonts w:hint="eastAsia" w:ascii="宋体" w:hAnsi="宋体" w:eastAsia="宋体" w:cs="宋体"/>
      <w:color w:val="000000"/>
      <w:sz w:val="22"/>
      <w:szCs w:val="22"/>
      <w:u w:val="none"/>
    </w:rPr>
  </w:style>
  <w:style w:type="character" w:customStyle="1" w:styleId="67">
    <w:name w:val="font131"/>
    <w:basedOn w:val="29"/>
    <w:qFormat/>
    <w:uiPriority w:val="0"/>
    <w:rPr>
      <w:rFonts w:hint="eastAsia" w:ascii="微软雅黑" w:hAnsi="微软雅黑" w:eastAsia="微软雅黑" w:cs="微软雅黑"/>
      <w:color w:val="000000"/>
      <w:sz w:val="22"/>
      <w:szCs w:val="22"/>
      <w:u w:val="none"/>
    </w:rPr>
  </w:style>
  <w:style w:type="paragraph" w:customStyle="1" w:styleId="68">
    <w:name w:val="*正文"/>
    <w:basedOn w:val="1"/>
    <w:qFormat/>
    <w:uiPriority w:val="0"/>
    <w:pPr>
      <w:spacing w:after="200"/>
      <w:ind w:firstLine="200"/>
    </w:pPr>
    <w:rPr>
      <w:rFonts w:ascii="宋体" w:hAnsi="宋体"/>
      <w:sz w:val="24"/>
      <w:szCs w:val="24"/>
    </w:rPr>
  </w:style>
  <w:style w:type="paragraph" w:customStyle="1" w:styleId="69">
    <w:name w:val="列出段落2"/>
    <w:basedOn w:val="1"/>
    <w:qFormat/>
    <w:uiPriority w:val="0"/>
    <w:pPr>
      <w:ind w:firstLine="420" w:firstLineChars="200"/>
    </w:pPr>
    <w:rPr>
      <w:rFonts w:ascii="Calibri" w:hAnsi="Calibri" w:cs="Times New Roman"/>
    </w:rPr>
  </w:style>
  <w:style w:type="paragraph" w:customStyle="1" w:styleId="70">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99</Pages>
  <Words>39248</Words>
  <Characters>43101</Characters>
  <Lines>392</Lines>
  <Paragraphs>110</Paragraphs>
  <TotalTime>0</TotalTime>
  <ScaleCrop>false</ScaleCrop>
  <LinksUpToDate>false</LinksUpToDate>
  <CharactersWithSpaces>46242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2024-11-06T09:05:00Z</cp:lastPrinted>
  <dcterms:modified xsi:type="dcterms:W3CDTF">2024-11-19T01:14:02Z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E5362C52FB8747C0B1A23A30DFF4ADE7</vt:lpwstr>
  </property>
</Properties>
</file>