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441900014-2024-00515</w:t>
      </w:r>
    </w:p>
    <w:p>
      <w:pPr>
        <w:pStyle w:val="null3"/>
        <w:jc w:val="center"/>
        <w:outlineLvl w:val="3"/>
      </w:pPr>
      <w:r>
        <w:rPr>
          <w:sz w:val="24"/>
          <w:b/>
        </w:rPr>
        <w:t>采购项目编号：</w:t>
      </w:r>
      <w:r>
        <w:rPr>
          <w:sz w:val="24"/>
          <w:b/>
        </w:rPr>
        <w:t>441900014-2024-00515</w:t>
      </w:r>
    </w:p>
    <w:p>
      <w:pPr>
        <w:pStyle w:val="null3"/>
        <w:jc w:val="center"/>
        <w:outlineLvl w:val="3"/>
      </w:pPr>
      <w:r>
        <w:rPr>
          <w:sz w:val="24"/>
          <w:b/>
        </w:rPr>
        <w:t>项目名称：</w:t>
      </w:r>
      <w:r>
        <w:rPr>
          <w:sz w:val="24"/>
          <w:b/>
        </w:rPr>
        <w:t>横沥镇2024-2026年中心区病媒生物消杀服务项目</w:t>
      </w:r>
    </w:p>
    <w:p>
      <w:pPr>
        <w:pStyle w:val="null3"/>
        <w:jc w:val="center"/>
        <w:outlineLvl w:val="3"/>
      </w:pPr>
      <w:r>
        <w:rPr>
          <w:sz w:val="24"/>
          <w:b/>
        </w:rPr>
        <w:t>采购人：</w:t>
      </w:r>
      <w:r>
        <w:rPr>
          <w:sz w:val="24"/>
          <w:b/>
        </w:rPr>
        <w:t>东莞市横沥镇公用事业服务中心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东莞市横沥镇公用事业服务中心</w:t>
      </w:r>
      <w:r>
        <w:rPr/>
        <w:t>的委托，采用</w:t>
      </w:r>
      <w:r>
        <w:rPr/>
        <w:t>公开招标</w:t>
      </w:r>
      <w:r>
        <w:rPr/>
        <w:t>方式组织采购</w:t>
      </w:r>
      <w:r>
        <w:rPr/>
        <w:t>横沥镇2024-2026年中心区病媒生物消杀服务项目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横沥镇2024-2026年中心区病媒生物消杀服务项目</w:t>
      </w:r>
    </w:p>
    <w:p>
      <w:pPr>
        <w:pStyle w:val="null3"/>
        <w:ind w:firstLine="480"/>
      </w:pPr>
      <w:r>
        <w:rPr/>
        <w:t>采购计划编号：</w:t>
      </w:r>
      <w:r>
        <w:rPr/>
        <w:t>441900014-2024-00515</w:t>
      </w:r>
    </w:p>
    <w:p>
      <w:pPr>
        <w:pStyle w:val="null3"/>
        <w:ind w:firstLine="480"/>
      </w:pPr>
      <w:r>
        <w:rPr/>
        <w:t>采购项目编号：</w:t>
      </w:r>
      <w:r>
        <w:rPr/>
        <w:t>441900014-2024-00515</w:t>
      </w:r>
    </w:p>
    <w:p>
      <w:pPr>
        <w:pStyle w:val="null3"/>
        <w:ind w:firstLine="480"/>
      </w:pPr>
      <w:r>
        <w:rPr/>
        <w:t>采购方式：</w:t>
      </w:r>
      <w:r>
        <w:rPr/>
        <w:t>公开招标</w:t>
      </w:r>
    </w:p>
    <w:p>
      <w:pPr>
        <w:pStyle w:val="null3"/>
        <w:ind w:firstLine="480"/>
      </w:pPr>
      <w:r>
        <w:rPr/>
        <w:t>预算金额：</w:t>
      </w:r>
      <w:r>
        <w:rPr/>
        <w:t>1,212,472.80</w:t>
      </w:r>
      <w:r>
        <w:rPr/>
        <w:t>元</w:t>
      </w:r>
    </w:p>
    <w:p>
      <w:pPr>
        <w:pStyle w:val="null3"/>
        <w:outlineLvl w:val="3"/>
      </w:pPr>
      <w:r>
        <w:rPr>
          <w:sz w:val="24"/>
          <w:b/>
        </w:rPr>
        <w:t>2.项目内容及需求情况（采购项目技术规格、参数及要求）</w:t>
      </w:r>
    </w:p>
    <w:p>
      <w:pPr>
        <w:pStyle w:val="null3"/>
      </w:pPr>
      <w:r>
        <w:rPr/>
        <w:t>采购包1(横沥镇2024-2026年中心区病媒生物消杀服务项目):</w:t>
      </w:r>
    </w:p>
    <w:p>
      <w:pPr>
        <w:pStyle w:val="null3"/>
      </w:pPr>
      <w:r>
        <w:rPr/>
        <w:t>采购包预算金额：1,212,472.80元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其他城镇公共卫生服务</w:t>
            </w:r>
          </w:p>
        </w:tc>
        <w:tc>
          <w:tcPr>
            <w:tcW w:type="dxa" w:w="2052"/>
          </w:tcPr>
          <w:p>
            <w:pPr>
              <w:pStyle w:val="null3"/>
            </w:pPr>
            <w:r>
              <w:rPr/>
              <w:t>横沥镇2024-2026年中心区病媒生物消杀服务项目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1,212,472.80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采购包1（横沥镇2024-2026年中心区病媒生物消杀服务项目）：</w:t>
      </w:r>
      <w:r>
        <w:rPr/>
        <w:t>本项目不属于专门面向中小企业采购项目。</w:t>
      </w:r>
    </w:p>
    <w:p>
      <w:pPr>
        <w:pStyle w:val="null3"/>
        <w:outlineLvl w:val="3"/>
      </w:pPr>
      <w:r>
        <w:rPr>
          <w:sz w:val="24"/>
          <w:b/>
        </w:rPr>
        <w:t>3.本项目特定的资格要求：</w:t>
      </w:r>
    </w:p>
    <w:p>
      <w:pPr>
        <w:pStyle w:val="null3"/>
      </w:pPr>
      <w:r>
        <w:rPr/>
        <w:t>采购包1（横沥镇2024-2026年中心区病媒生物消杀服务项目）：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东莞市横沥镇公用事业服务中心</w:t>
      </w:r>
    </w:p>
    <w:p>
      <w:pPr>
        <w:pStyle w:val="null3"/>
        <w:ind w:firstLine="480"/>
      </w:pPr>
      <w:r>
        <w:rPr/>
        <w:t xml:space="preserve"> 地址：</w:t>
      </w:r>
      <w:r>
        <w:rPr/>
        <w:t>东莞市横沥镇常乐路26号</w:t>
      </w:r>
    </w:p>
    <w:p>
      <w:pPr>
        <w:pStyle w:val="null3"/>
        <w:ind w:firstLine="480"/>
      </w:pPr>
      <w:r>
        <w:rPr/>
        <w:t xml:space="preserve"> 联系方式：</w:t>
      </w:r>
      <w:r>
        <w:rPr/>
        <w:t>0769-83371790</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横沥镇</w:t>
      </w:r>
      <w:r>
        <w:rPr>
          <w:sz w:val="21"/>
        </w:rPr>
        <w:t>2024-2026年中心区病媒生物消杀服务项目</w:t>
      </w:r>
      <w:r>
        <w:rPr>
          <w:sz w:val="21"/>
        </w:rPr>
        <w:t>。</w:t>
      </w:r>
    </w:p>
    <w:p>
      <w:pPr>
        <w:pStyle w:val="null3"/>
      </w:pPr>
      <w:r>
        <w:rPr/>
        <w:t>采购包1（横沥镇2024-2026年中心区病媒生物消杀服务项目）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自合同签订之日起2年。（具体以合同签订时间为准）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1期：支付比例100%,1、合同生效后，服务费用按季度支付，每季度结束后20日内，中标人提交书面申请，待采购人办理完相关请款手续后，向中标人支付上季的承包费。 2、每月服务费根据采购人组织现场考核评分后根据评分结果支付。 3、本项目的服务经费由镇政府拨款，如因特殊情况的影响，拨款未能及时到位，中标人不得以此为由而不履行本合同规定的义务，否则采购人按规定扣罚。</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1、报价要求，报价应包含完成本次招标所有服务内容的费用，包含各种税费以及合同实施过程中的不可预见等全部费用。</w:t>
            </w:r>
          </w:p>
          <w:p>
            <w:pPr>
              <w:pStyle w:val="null3"/>
            </w:pPr>
            <w:r>
              <w:rPr/>
              <w:t>2、合同条款，投标人响应合同各条款。</w:t>
            </w:r>
          </w:p>
          <w:p>
            <w:pPr>
              <w:pStyle w:val="null3"/>
            </w:pPr>
            <w:r>
              <w:rPr/>
              <w:t>3、其他要求，投标人应充分结合本招标文件上下文了解项目招标需求、采购文件未尽事宜，将在合同签订或项目执行过程中双方协商确定，供应商须无条件满足采购人的合理要求。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其他城镇公共卫生服务</w:t>
            </w:r>
          </w:p>
        </w:tc>
        <w:tc>
          <w:tcPr>
            <w:tcW w:type="dxa" w:w="933"/>
          </w:tcPr>
          <w:p>
            <w:pPr>
              <w:pStyle w:val="null3"/>
              <w:jc w:val="left"/>
            </w:pPr>
            <w:r>
              <w:rPr/>
              <w:t>横沥镇2024-2026年中心区病媒生物消杀服务项目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1,212,472.80</w:t>
            </w:r>
          </w:p>
        </w:tc>
        <w:tc>
          <w:tcPr>
            <w:tcW w:type="dxa" w:w="933"/>
          </w:tcPr>
          <w:p>
            <w:pPr>
              <w:pStyle w:val="null3"/>
              <w:jc w:val="right"/>
            </w:pPr>
            <w:r>
              <w:rPr/>
              <w:t>1,212,472.80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横沥镇2024-2026年中心区病媒生物消杀服务项目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一、项目内容</w:t>
            </w:r>
          </w:p>
          <w:p>
            <w:pPr>
              <w:pStyle w:val="null3"/>
              <w:ind w:firstLine="420"/>
              <w:jc w:val="both"/>
            </w:pPr>
            <w:r>
              <w:rPr>
                <w:sz w:val="21"/>
              </w:rPr>
              <w:t>为巩固国家卫生镇达标工作，为搞好爱国卫生运动，提高环境质量、保障人民群众身体健康，把四害密度控制在标准之内，促进横沥镇的环境卫生上一个新台阶。</w:t>
            </w:r>
          </w:p>
          <w:p>
            <w:pPr>
              <w:pStyle w:val="null3"/>
              <w:jc w:val="both"/>
              <w:outlineLvl w:val="3"/>
            </w:pPr>
            <w:r>
              <w:rPr>
                <w:sz w:val="24"/>
                <w:b/>
              </w:rPr>
              <w:t>二、病媒生物防制项目内容</w:t>
            </w:r>
          </w:p>
          <w:p>
            <w:pPr>
              <w:pStyle w:val="null3"/>
              <w:ind w:firstLine="315"/>
              <w:jc w:val="both"/>
            </w:pPr>
            <w:r>
              <w:rPr>
                <w:sz w:val="21"/>
              </w:rPr>
              <w:t>1、服务区域</w:t>
            </w:r>
          </w:p>
          <w:p>
            <w:pPr>
              <w:pStyle w:val="null3"/>
              <w:ind w:firstLine="315"/>
              <w:jc w:val="both"/>
            </w:pPr>
            <w:r>
              <w:rPr>
                <w:sz w:val="21"/>
              </w:rPr>
              <w:t>镇中心辖区内所有机关单位、居民住宅区、医院、学校、公园、公厕、道路、广场、河岸周边等，下水道等中心区红线图范围的公用面积、绿化草地等；红线范围外，镇内重点场所包括：汽车总站、屠宰场（肉联厂）、粮所，大型建筑工地。面积约为</w:t>
            </w:r>
            <w:r>
              <w:rPr>
                <w:sz w:val="21"/>
              </w:rPr>
              <w:t>2.98平方公里。</w:t>
            </w:r>
          </w:p>
          <w:p>
            <w:pPr>
              <w:pStyle w:val="null3"/>
              <w:ind w:firstLine="420"/>
              <w:jc w:val="both"/>
            </w:pPr>
            <w:r>
              <w:rPr>
                <w:sz w:val="21"/>
              </w:rPr>
              <w:t>2、项目内容</w:t>
            </w:r>
          </w:p>
          <w:p>
            <w:pPr>
              <w:pStyle w:val="null3"/>
              <w:ind w:firstLine="420"/>
              <w:jc w:val="both"/>
            </w:pPr>
            <w:r>
              <w:rPr>
                <w:sz w:val="21"/>
              </w:rPr>
              <w:t>2.1红线范围内重点开展工作场所包括：镇政府内及周边，中转站，农贸市场内及周边，医院，住宅区的内街小巷，大型建筑工地等重点检查场所。红线范围外，镇内重点场所包括：汽车总站，屠宰场（肉联厂），粮所，大型建筑工地。</w:t>
            </w:r>
          </w:p>
          <w:p>
            <w:pPr>
              <w:pStyle w:val="null3"/>
              <w:ind w:firstLine="420"/>
              <w:jc w:val="both"/>
            </w:pPr>
            <w:r>
              <w:rPr>
                <w:sz w:val="21"/>
              </w:rPr>
              <w:t>2.2承包范围内收集动物尸体工作（含老鼠、蟑螂等收集清理工作），并将尸体做无害化处理。</w:t>
            </w:r>
          </w:p>
          <w:p>
            <w:pPr>
              <w:pStyle w:val="null3"/>
              <w:ind w:firstLine="315"/>
              <w:jc w:val="both"/>
            </w:pPr>
            <w:r>
              <w:rPr>
                <w:sz w:val="21"/>
              </w:rPr>
              <w:t xml:space="preserve"> </w:t>
            </w:r>
            <w:r>
              <w:rPr>
                <w:sz w:val="21"/>
              </w:rPr>
              <w:t>3、项目的具体要求</w:t>
            </w:r>
          </w:p>
          <w:p>
            <w:pPr>
              <w:pStyle w:val="null3"/>
              <w:ind w:firstLine="420"/>
              <w:jc w:val="both"/>
            </w:pPr>
            <w:r>
              <w:rPr>
                <w:sz w:val="21"/>
              </w:rPr>
              <w:t xml:space="preserve">3.1 </w:t>
            </w:r>
            <w:r>
              <w:rPr>
                <w:sz w:val="21"/>
              </w:rPr>
              <w:t>中标人</w:t>
            </w:r>
            <w:r>
              <w:rPr>
                <w:sz w:val="21"/>
              </w:rPr>
              <w:t>投入本项目专业人员不少于</w:t>
            </w:r>
            <w:r>
              <w:rPr>
                <w:sz w:val="21"/>
              </w:rPr>
              <w:t>6人。</w:t>
            </w:r>
          </w:p>
          <w:p>
            <w:pPr>
              <w:pStyle w:val="null3"/>
              <w:ind w:firstLine="420"/>
              <w:jc w:val="both"/>
            </w:pPr>
            <w:r>
              <w:rPr>
                <w:sz w:val="21"/>
              </w:rPr>
              <w:t>3.2用药标准：</w:t>
            </w:r>
            <w:r>
              <w:rPr>
                <w:sz w:val="21"/>
              </w:rPr>
              <w:t>中标人</w:t>
            </w:r>
            <w:r>
              <w:rPr>
                <w:sz w:val="21"/>
              </w:rPr>
              <w:t>必须注重科学合理用药，不能使用假药、国家禁用的药物。使用的药物必须达到</w:t>
            </w:r>
            <w:r>
              <w:rPr>
                <w:sz w:val="21"/>
              </w:rPr>
              <w:t>“安全、有效、环保”的要求。所使用的药品必须三证齐全。“三证”即农业部的农药登记证、工信部农药生产许可证、质量技术监督部门的药品质量标准证。</w:t>
            </w:r>
          </w:p>
          <w:p>
            <w:pPr>
              <w:pStyle w:val="null3"/>
              <w:ind w:firstLine="420"/>
              <w:jc w:val="both"/>
            </w:pPr>
            <w:r>
              <w:rPr>
                <w:sz w:val="21"/>
              </w:rPr>
              <w:t>3.3 服务频次</w:t>
            </w:r>
          </w:p>
          <w:p>
            <w:pPr>
              <w:pStyle w:val="null3"/>
              <w:ind w:firstLine="315"/>
              <w:jc w:val="both"/>
            </w:pPr>
            <w:r>
              <w:rPr>
                <w:sz w:val="21"/>
              </w:rPr>
              <w:t>（</w:t>
            </w:r>
            <w:r>
              <w:rPr>
                <w:sz w:val="21"/>
              </w:rPr>
              <w:t>1）必须选择国家规定的低毒、低残留的药物，灭鼠每月投放鼠药至少一次，投药后及时清理死鼠，及时检查鼠饵取食情况并进行补充，灭蚊、蝇、蟑螂高峰期4-6月，9-11月每月灭杀4次，其他时间每月灭杀3次，如遇节假日或上级检查，适当增加人次和频率，确保除四害密度达标。</w:t>
            </w:r>
          </w:p>
          <w:p>
            <w:pPr>
              <w:pStyle w:val="null3"/>
              <w:ind w:firstLine="315"/>
              <w:jc w:val="both"/>
            </w:pPr>
            <w:r>
              <w:rPr>
                <w:sz w:val="21"/>
              </w:rPr>
              <w:t>（</w:t>
            </w:r>
            <w:r>
              <w:rPr>
                <w:sz w:val="21"/>
              </w:rPr>
              <w:t>2）所投放药物位置需谨慎并做好警示标识，避免幼儿、儿童容易触摸、误食的地方。</w:t>
            </w:r>
          </w:p>
          <w:p>
            <w:pPr>
              <w:pStyle w:val="null3"/>
              <w:ind w:firstLine="315"/>
              <w:jc w:val="both"/>
            </w:pPr>
            <w:r>
              <w:rPr>
                <w:sz w:val="21"/>
              </w:rPr>
              <w:t>4、质量要求</w:t>
            </w:r>
          </w:p>
          <w:p>
            <w:pPr>
              <w:pStyle w:val="null3"/>
              <w:ind w:firstLine="315"/>
              <w:jc w:val="both"/>
            </w:pPr>
            <w:r>
              <w:rPr>
                <w:sz w:val="21"/>
              </w:rPr>
              <w:t>确保服务区域内</w:t>
            </w:r>
            <w:r>
              <w:rPr>
                <w:sz w:val="21"/>
              </w:rPr>
              <w:t>“四害”密度不超标，工作要求必须符合国家卫生镇相关文件要求，达到国家标准病媒生物密度控制水平的C等级或以上行业标准:</w:t>
            </w:r>
          </w:p>
          <w:p>
            <w:pPr>
              <w:pStyle w:val="null3"/>
              <w:ind w:firstLine="315"/>
              <w:jc w:val="both"/>
            </w:pPr>
            <w:r>
              <w:rPr>
                <w:sz w:val="21"/>
              </w:rPr>
              <w:t>灭鼠：</w:t>
            </w:r>
            <w:r>
              <w:rPr>
                <w:sz w:val="21"/>
              </w:rPr>
              <w:t>GBT 27770-2011 《病媒生物密度控制水平 鼠类》；</w:t>
            </w:r>
          </w:p>
          <w:p>
            <w:pPr>
              <w:pStyle w:val="null3"/>
              <w:ind w:firstLine="315"/>
              <w:jc w:val="both"/>
            </w:pPr>
            <w:r>
              <w:rPr>
                <w:sz w:val="21"/>
              </w:rPr>
              <w:t>灭蚊：</w:t>
            </w:r>
            <w:r>
              <w:rPr>
                <w:sz w:val="21"/>
              </w:rPr>
              <w:t>GBT 27771-2011 《病媒生物密度控制水平 蚊虫》；</w:t>
            </w:r>
          </w:p>
          <w:p>
            <w:pPr>
              <w:pStyle w:val="null3"/>
              <w:ind w:firstLine="315"/>
              <w:jc w:val="both"/>
            </w:pPr>
            <w:r>
              <w:rPr>
                <w:sz w:val="21"/>
              </w:rPr>
              <w:t>灭蝇：</w:t>
            </w:r>
            <w:r>
              <w:rPr>
                <w:sz w:val="21"/>
              </w:rPr>
              <w:t>GBT 27772-2011 《病媒生物密度控制水平 蝇类》；</w:t>
            </w:r>
          </w:p>
          <w:p>
            <w:pPr>
              <w:pStyle w:val="null3"/>
              <w:ind w:firstLine="315"/>
              <w:jc w:val="both"/>
            </w:pPr>
            <w:r>
              <w:rPr>
                <w:sz w:val="21"/>
              </w:rPr>
              <w:t>灭蟑螂：</w:t>
            </w:r>
            <w:r>
              <w:rPr>
                <w:sz w:val="21"/>
              </w:rPr>
              <w:t>GBT 27773-2011 《病媒生物密度控制水平 蜚蠊》。</w:t>
            </w:r>
          </w:p>
          <w:p>
            <w:pPr>
              <w:pStyle w:val="null3"/>
              <w:jc w:val="both"/>
              <w:outlineLvl w:val="3"/>
            </w:pPr>
            <w:r>
              <w:rPr>
                <w:sz w:val="24"/>
                <w:b/>
              </w:rPr>
              <w:t>三</w:t>
            </w:r>
            <w:r>
              <w:rPr>
                <w:sz w:val="24"/>
                <w:b/>
              </w:rPr>
              <w:t>、其他要求</w:t>
            </w:r>
          </w:p>
          <w:p>
            <w:pPr>
              <w:pStyle w:val="null3"/>
              <w:ind w:firstLine="495"/>
              <w:jc w:val="both"/>
            </w:pPr>
            <w:r>
              <w:rPr>
                <w:sz w:val="21"/>
              </w:rPr>
              <w:t>1、本项目服务质量不符合要求或服务质量不合格者，</w:t>
            </w:r>
            <w:r>
              <w:rPr>
                <w:sz w:val="21"/>
              </w:rPr>
              <w:t>采购人</w:t>
            </w:r>
            <w:r>
              <w:rPr>
                <w:sz w:val="21"/>
              </w:rPr>
              <w:t>有权要求</w:t>
            </w:r>
            <w:r>
              <w:rPr>
                <w:sz w:val="21"/>
              </w:rPr>
              <w:t>中标人</w:t>
            </w:r>
            <w:r>
              <w:rPr>
                <w:sz w:val="21"/>
              </w:rPr>
              <w:t>停工或返工，返工费用由</w:t>
            </w:r>
            <w:r>
              <w:rPr>
                <w:sz w:val="21"/>
              </w:rPr>
              <w:t>中标人</w:t>
            </w:r>
            <w:r>
              <w:rPr>
                <w:sz w:val="21"/>
              </w:rPr>
              <w:t>承诺自行承担，投标人需就必做出承诺。</w:t>
            </w:r>
          </w:p>
          <w:p>
            <w:pPr>
              <w:pStyle w:val="null3"/>
              <w:ind w:firstLine="495"/>
              <w:jc w:val="both"/>
            </w:pPr>
            <w:r>
              <w:rPr>
                <w:sz w:val="21"/>
              </w:rPr>
              <w:t>2、</w:t>
            </w:r>
            <w:r>
              <w:rPr>
                <w:sz w:val="21"/>
              </w:rPr>
              <w:t>中标人</w:t>
            </w:r>
            <w:r>
              <w:rPr>
                <w:sz w:val="21"/>
              </w:rPr>
              <w:t>在服务期间，须严格遵守当地政府职能部门的各项规章制度，做好防火、安全生产等工作。违返规章制度所发生的费用及损失</w:t>
            </w:r>
            <w:r>
              <w:rPr>
                <w:sz w:val="21"/>
              </w:rPr>
              <w:t>中标人</w:t>
            </w:r>
            <w:r>
              <w:rPr>
                <w:sz w:val="21"/>
              </w:rPr>
              <w:t>必须承诺自行承担。</w:t>
            </w:r>
          </w:p>
          <w:p>
            <w:pPr>
              <w:pStyle w:val="null3"/>
              <w:ind w:firstLine="424"/>
              <w:jc w:val="both"/>
            </w:pPr>
            <w:r>
              <w:rPr>
                <w:sz w:val="21"/>
              </w:rPr>
              <w:t>3、中标人必须依据国家和地方政府颁布的法律法规的规定处理与员工的雇佣关系，中标人与员工之间各种纠纷或诉讼与采购人无关。</w:t>
            </w:r>
          </w:p>
          <w:p>
            <w:pPr>
              <w:pStyle w:val="null3"/>
              <w:ind w:firstLine="424"/>
              <w:jc w:val="both"/>
            </w:pPr>
            <w:r>
              <w:rPr>
                <w:sz w:val="21"/>
              </w:rPr>
              <w:t>4、中标人在承包本项目过程中发生的安全事故及与第三方发生纠纷、诉讼的，相关责任须由中标人承担。</w:t>
            </w:r>
          </w:p>
          <w:p>
            <w:pPr>
              <w:pStyle w:val="null3"/>
              <w:ind w:firstLine="424"/>
              <w:jc w:val="both"/>
            </w:pPr>
            <w:r>
              <w:rPr>
                <w:sz w:val="21"/>
              </w:rPr>
              <w:t>5、中标人未按要求配备工作人员和设备，采购人要求中标人整改，经整改后仍未达到合同要求的，采购人有权终止合同。</w:t>
            </w:r>
          </w:p>
          <w:p>
            <w:pPr>
              <w:pStyle w:val="null3"/>
              <w:ind w:firstLine="487"/>
              <w:jc w:val="both"/>
            </w:pPr>
            <w:r>
              <w:rPr>
                <w:sz w:val="21"/>
              </w:rPr>
              <w:t>6、中标人使用的药品必须三证齐全，严禁使用禁用药品，一经发现，每次处罚5000元，违规达3次以上（含3次）的，采购人有权终止合同。</w:t>
            </w:r>
          </w:p>
          <w:p>
            <w:pPr>
              <w:pStyle w:val="null3"/>
              <w:ind w:firstLine="487"/>
              <w:jc w:val="both"/>
            </w:pPr>
            <w:r>
              <w:rPr>
                <w:sz w:val="21"/>
              </w:rPr>
              <w:t>7、投标人应根据本项目的采购需求，在投标文件中提供切实可行的项目实施的重点、难点和解决方案、技术方案、针对本项目的培训方案、质量保证措施、应急方案、服务承诺 等。</w:t>
            </w:r>
          </w:p>
          <w:p>
            <w:pPr>
              <w:pStyle w:val="null3"/>
              <w:jc w:val="both"/>
              <w:outlineLvl w:val="3"/>
            </w:pPr>
            <w:r>
              <w:rPr>
                <w:sz w:val="24"/>
                <w:b/>
              </w:rPr>
              <w:t>四</w:t>
            </w:r>
            <w:r>
              <w:rPr>
                <w:sz w:val="24"/>
                <w:b/>
              </w:rPr>
              <w:t>、考核办法</w:t>
            </w:r>
          </w:p>
          <w:p>
            <w:pPr>
              <w:pStyle w:val="null3"/>
              <w:ind w:firstLine="420"/>
              <w:jc w:val="both"/>
            </w:pPr>
            <w:r>
              <w:rPr>
                <w:sz w:val="21"/>
              </w:rPr>
              <w:t>1、</w:t>
            </w:r>
            <w:r>
              <w:rPr>
                <w:sz w:val="21"/>
              </w:rPr>
              <w:t>采购人</w:t>
            </w:r>
            <w:r>
              <w:rPr>
                <w:sz w:val="21"/>
              </w:rPr>
              <w:t>根据</w:t>
            </w:r>
            <w:r>
              <w:rPr>
                <w:sz w:val="21"/>
              </w:rPr>
              <w:t>中标人</w:t>
            </w:r>
            <w:r>
              <w:rPr>
                <w:sz w:val="21"/>
              </w:rPr>
              <w:t>每月实际除</w:t>
            </w:r>
            <w:r>
              <w:rPr>
                <w:sz w:val="21"/>
              </w:rPr>
              <w:t>“四害”工作开展情况及“四害”消杀成效，对</w:t>
            </w:r>
            <w:r>
              <w:rPr>
                <w:sz w:val="21"/>
              </w:rPr>
              <w:t>中标人</w:t>
            </w:r>
            <w:r>
              <w:rPr>
                <w:sz w:val="21"/>
              </w:rPr>
              <w:t>进行综合评分。（附件</w:t>
            </w:r>
            <w:r>
              <w:rPr>
                <w:sz w:val="21"/>
              </w:rPr>
              <w:t>1）</w:t>
            </w:r>
          </w:p>
          <w:p>
            <w:pPr>
              <w:pStyle w:val="null3"/>
              <w:ind w:firstLine="420"/>
              <w:jc w:val="both"/>
            </w:pPr>
            <w:r>
              <w:rPr>
                <w:sz w:val="21"/>
              </w:rPr>
              <w:t>2、</w:t>
            </w:r>
            <w:r>
              <w:rPr>
                <w:sz w:val="21"/>
              </w:rPr>
              <w:t>采购人</w:t>
            </w:r>
            <w:r>
              <w:rPr>
                <w:sz w:val="21"/>
              </w:rPr>
              <w:t>每月按照评分情况向</w:t>
            </w:r>
            <w:r>
              <w:rPr>
                <w:sz w:val="21"/>
              </w:rPr>
              <w:t>中标人</w:t>
            </w:r>
            <w:r>
              <w:rPr>
                <w:sz w:val="21"/>
              </w:rPr>
              <w:t>支付承包款项，每月的扣分罚款从当月承包款中扣除。</w:t>
            </w:r>
          </w:p>
          <w:p>
            <w:pPr>
              <w:pStyle w:val="null3"/>
              <w:ind w:firstLine="420"/>
              <w:jc w:val="both"/>
            </w:pPr>
            <w:r>
              <w:rPr>
                <w:sz w:val="21"/>
              </w:rPr>
              <w:t>3、考核评分办法</w:t>
            </w:r>
          </w:p>
          <w:p>
            <w:pPr>
              <w:pStyle w:val="null3"/>
              <w:ind w:firstLine="420"/>
              <w:jc w:val="both"/>
            </w:pPr>
            <w:r>
              <w:rPr>
                <w:sz w:val="21"/>
              </w:rPr>
              <w:t>除</w:t>
            </w:r>
            <w:r>
              <w:rPr>
                <w:sz w:val="21"/>
              </w:rPr>
              <w:t>“四害”评分考核采用百分制，满分为100分，分好（100分—90分），中（89分—80分），差（80分以下）三个档次。</w:t>
            </w:r>
          </w:p>
          <w:p>
            <w:pPr>
              <w:pStyle w:val="null3"/>
              <w:ind w:firstLine="420"/>
              <w:jc w:val="both"/>
            </w:pPr>
            <w:r>
              <w:rPr>
                <w:sz w:val="21"/>
              </w:rPr>
              <w:t>得分低于</w:t>
            </w:r>
            <w:r>
              <w:rPr>
                <w:sz w:val="21"/>
              </w:rPr>
              <w:t>90分（不含90分），以90分为基数，每减少1分，扣减当月承包款￥1000.00元；</w:t>
            </w:r>
          </w:p>
          <w:p>
            <w:pPr>
              <w:pStyle w:val="null3"/>
              <w:ind w:firstLine="420"/>
              <w:jc w:val="both"/>
            </w:pPr>
            <w:r>
              <w:rPr>
                <w:sz w:val="21"/>
              </w:rPr>
              <w:t>得分在</w:t>
            </w:r>
            <w:r>
              <w:rPr>
                <w:sz w:val="21"/>
              </w:rPr>
              <w:t>80分以下（不含80分），以80分为基数，每减少1分，扣减当月承包款￥2000.00元。</w:t>
            </w:r>
          </w:p>
          <w:p>
            <w:pPr>
              <w:pStyle w:val="null3"/>
              <w:ind w:firstLine="420"/>
              <w:jc w:val="both"/>
            </w:pPr>
            <w:r>
              <w:rPr>
                <w:sz w:val="21"/>
              </w:rPr>
              <w:t>得分在</w:t>
            </w:r>
            <w:r>
              <w:rPr>
                <w:sz w:val="21"/>
              </w:rPr>
              <w:t>70分以下（不含70分），以70分为基数，每减少1分，扣减当月承包款￥3000.00元。</w:t>
            </w:r>
          </w:p>
          <w:p>
            <w:pPr>
              <w:pStyle w:val="null3"/>
              <w:jc w:val="both"/>
            </w:pPr>
            <w:r>
              <w:rPr>
                <w:sz w:val="21"/>
              </w:rPr>
              <w:t>合同期内连续出现</w:t>
            </w:r>
            <w:r>
              <w:rPr>
                <w:sz w:val="21"/>
              </w:rPr>
              <w:t>3次检查评分在70以下的，除按规定扣款外，</w:t>
            </w:r>
            <w:r>
              <w:rPr>
                <w:sz w:val="21"/>
              </w:rPr>
              <w:t>采购人</w:t>
            </w:r>
            <w:r>
              <w:rPr>
                <w:sz w:val="21"/>
              </w:rPr>
              <w:t>有权中止合同。</w:t>
            </w:r>
          </w:p>
        </w:tc>
      </w:tr>
      <w:tr>
        <w:tc>
          <w:tcPr>
            <w:tcW w:type="dxa" w:w="2076"/>
          </w:tcPr>
          <w:p/>
        </w:tc>
        <w:tc>
          <w:tcPr>
            <w:tcW w:type="dxa" w:w="415"/>
          </w:tcPr>
          <w:p>
            <w:pPr>
              <w:pStyle w:val="null3"/>
            </w:pPr>
            <w:r>
              <w:rPr/>
              <w:t>2</w:t>
            </w:r>
          </w:p>
        </w:tc>
        <w:tc>
          <w:tcPr>
            <w:tcW w:type="dxa" w:w="5814"/>
          </w:tcPr>
          <w:p>
            <w:pPr>
              <w:pStyle w:val="null3"/>
              <w:jc w:val="both"/>
            </w:pPr>
            <w:r>
              <w:rPr>
                <w:sz w:val="28"/>
                <w:b/>
              </w:rPr>
              <w:t>附件</w:t>
            </w:r>
            <w:r>
              <w:rPr>
                <w:sz w:val="28"/>
                <w:b/>
              </w:rPr>
              <w:t>1横沥镇中心区</w:t>
            </w:r>
            <w:r>
              <w:rPr>
                <w:sz w:val="28"/>
                <w:b/>
              </w:rPr>
              <w:t>除</w:t>
            </w:r>
            <w:r>
              <w:rPr>
                <w:sz w:val="28"/>
                <w:b/>
              </w:rPr>
              <w:t xml:space="preserve">“四害”日常巡查评分表  </w:t>
            </w:r>
          </w:p>
          <w:tbl>
            <w:tblPr>
              <w:tblBorders>
                <w:top w:val="none" w:color="000000" w:sz="4"/>
                <w:left w:val="none" w:color="000000" w:sz="4"/>
                <w:bottom w:val="none" w:color="000000" w:sz="4"/>
                <w:right w:val="none" w:color="000000" w:sz="4"/>
                <w:insideH w:val="none"/>
                <w:insideV w:val="none"/>
              </w:tblBorders>
            </w:tblPr>
            <w:tblGrid>
              <w:gridCol w:w="277"/>
              <w:gridCol w:w="254"/>
              <w:gridCol w:w="2702"/>
              <w:gridCol w:w="1801"/>
              <w:gridCol w:w="277"/>
              <w:gridCol w:w="277"/>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总</w:t>
                  </w:r>
                </w:p>
                <w:p>
                  <w:pPr>
                    <w:pStyle w:val="null3"/>
                    <w:jc w:val="both"/>
                  </w:pPr>
                  <w:r>
                    <w:rPr>
                      <w:sz w:val="18"/>
                      <w:b/>
                    </w:rPr>
                    <w:t>分</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项</w:t>
                  </w:r>
                </w:p>
                <w:p>
                  <w:pPr>
                    <w:pStyle w:val="null3"/>
                    <w:jc w:val="both"/>
                  </w:pPr>
                  <w:r>
                    <w:rPr>
                      <w:sz w:val="18"/>
                      <w:b/>
                    </w:rPr>
                    <w:t>目</w:t>
                  </w:r>
                </w:p>
              </w:tc>
              <w:tc>
                <w:tcPr>
                  <w:tcW w:type="dxa" w:w="2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考核检查方法及评价依据</w:t>
                  </w:r>
                </w:p>
              </w:tc>
              <w:tc>
                <w:tcPr>
                  <w:tcW w:type="dxa" w:w="18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扣分方法</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应</w:t>
                  </w:r>
                </w:p>
                <w:p>
                  <w:pPr>
                    <w:pStyle w:val="null3"/>
                    <w:jc w:val="center"/>
                  </w:pPr>
                  <w:r>
                    <w:rPr>
                      <w:sz w:val="18"/>
                      <w:b/>
                    </w:rPr>
                    <w:t>得</w:t>
                  </w:r>
                </w:p>
                <w:p>
                  <w:pPr>
                    <w:pStyle w:val="null3"/>
                    <w:jc w:val="center"/>
                  </w:pPr>
                  <w:r>
                    <w:rPr>
                      <w:sz w:val="18"/>
                      <w:b/>
                    </w:rPr>
                    <w:t>分</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实</w:t>
                  </w:r>
                </w:p>
                <w:p>
                  <w:pPr>
                    <w:pStyle w:val="null3"/>
                    <w:jc w:val="center"/>
                  </w:pPr>
                  <w:r>
                    <w:rPr>
                      <w:sz w:val="18"/>
                      <w:b/>
                    </w:rPr>
                    <w:t>得</w:t>
                  </w:r>
                </w:p>
                <w:p>
                  <w:pPr>
                    <w:pStyle w:val="null3"/>
                    <w:jc w:val="center"/>
                  </w:pPr>
                  <w:r>
                    <w:rPr>
                      <w:sz w:val="18"/>
                      <w:b/>
                    </w:rPr>
                    <w:t>分</w:t>
                  </w: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right="120"/>
                    <w:jc w:val="both"/>
                  </w:pPr>
                  <w:r>
                    <w:rPr>
                      <w:sz w:val="18"/>
                    </w:rPr>
                    <w:t xml:space="preserve">                                                         100</w:t>
                  </w:r>
                  <w:r>
                    <w:rPr>
                      <w:sz w:val="18"/>
                    </w:rPr>
                    <w:t>分</w:t>
                  </w: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灭</w:t>
                  </w:r>
                </w:p>
                <w:p>
                  <w:pPr>
                    <w:pStyle w:val="null3"/>
                    <w:jc w:val="both"/>
                  </w:pPr>
                  <w:r>
                    <w:rPr>
                      <w:sz w:val="18"/>
                    </w:rPr>
                    <w:t>鼠</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、粉迹法（每</w:t>
                  </w:r>
                  <w:r>
                    <w:rPr>
                      <w:sz w:val="18"/>
                    </w:rPr>
                    <w:t>15</w:t>
                  </w:r>
                  <w:r>
                    <w:rPr>
                      <w:sz w:val="18"/>
                    </w:rPr>
                    <w:t>平方米房间布放</w:t>
                  </w:r>
                  <w:r>
                    <w:rPr>
                      <w:sz w:val="18"/>
                    </w:rPr>
                    <w:t>20*20</w:t>
                  </w:r>
                  <w:r>
                    <w:rPr>
                      <w:sz w:val="18"/>
                    </w:rPr>
                    <w:t>厘米粉板两块）监测鼠足印阳率低于</w:t>
                  </w:r>
                  <w:r>
                    <w:rPr>
                      <w:sz w:val="18"/>
                    </w:rPr>
                    <w:t>3%</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、每超出</w:t>
                  </w:r>
                  <w:r>
                    <w:rPr>
                      <w:sz w:val="18"/>
                    </w:rPr>
                    <w:t>0.1%</w:t>
                  </w:r>
                  <w:r>
                    <w:rPr>
                      <w:sz w:val="18"/>
                    </w:rPr>
                    <w:t>扣</w:t>
                  </w:r>
                  <w:r>
                    <w:rPr>
                      <w:sz w:val="18"/>
                    </w:rPr>
                    <w:t>1</w:t>
                  </w:r>
                  <w:r>
                    <w:rPr>
                      <w:sz w:val="18"/>
                    </w:rPr>
                    <w:t>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w:t>
                  </w:r>
                  <w:r>
                    <w:rPr>
                      <w:sz w:val="18"/>
                    </w:rPr>
                    <w:t>、鼠迹（鼠洞、鼠粪、鼠路、鼠咬痕），有鼠迹房间不超过</w:t>
                  </w:r>
                  <w:r>
                    <w:rPr>
                      <w:sz w:val="18"/>
                    </w:rPr>
                    <w:t>2%</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w:t>
                  </w:r>
                  <w:r>
                    <w:rPr>
                      <w:sz w:val="18"/>
                    </w:rPr>
                    <w:t>、每超出</w:t>
                  </w:r>
                  <w:r>
                    <w:rPr>
                      <w:sz w:val="18"/>
                    </w:rPr>
                    <w:t>0.1%</w:t>
                  </w:r>
                  <w:r>
                    <w:rPr>
                      <w:sz w:val="18"/>
                    </w:rPr>
                    <w:t>扣</w:t>
                  </w:r>
                  <w:r>
                    <w:rPr>
                      <w:sz w:val="18"/>
                    </w:rPr>
                    <w:t>1</w:t>
                  </w:r>
                  <w:r>
                    <w:rPr>
                      <w:sz w:val="18"/>
                    </w:rPr>
                    <w:t>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w:t>
                  </w:r>
                  <w:r>
                    <w:rPr>
                      <w:sz w:val="18"/>
                    </w:rPr>
                    <w:t>、</w:t>
                  </w:r>
                  <w:r>
                    <w:rPr>
                      <w:sz w:val="18"/>
                    </w:rPr>
                    <w:t>2000</w:t>
                  </w:r>
                  <w:r>
                    <w:rPr>
                      <w:sz w:val="18"/>
                    </w:rPr>
                    <w:t>米外环境鼠迹不超过</w:t>
                  </w:r>
                  <w:r>
                    <w:rPr>
                      <w:sz w:val="18"/>
                    </w:rPr>
                    <w:t>5</w:t>
                  </w:r>
                  <w:r>
                    <w:rPr>
                      <w:sz w:val="18"/>
                    </w:rPr>
                    <w:t>处</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w:t>
                  </w:r>
                  <w:r>
                    <w:rPr>
                      <w:sz w:val="18"/>
                    </w:rPr>
                    <w:t>、每超过</w:t>
                  </w:r>
                  <w:r>
                    <w:rPr>
                      <w:sz w:val="18"/>
                    </w:rPr>
                    <w:t>1</w:t>
                  </w:r>
                  <w:r>
                    <w:rPr>
                      <w:sz w:val="18"/>
                    </w:rPr>
                    <w:t>处扣</w:t>
                  </w:r>
                  <w:r>
                    <w:rPr>
                      <w:sz w:val="18"/>
                    </w:rPr>
                    <w:t>2</w:t>
                  </w:r>
                  <w:r>
                    <w:rPr>
                      <w:sz w:val="18"/>
                    </w:rPr>
                    <w:t>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灭蚊</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、居民区、单位内外环境各种存水容器和积水中的幼蚊及蛹，阳性率低于</w:t>
                  </w:r>
                  <w:r>
                    <w:rPr>
                      <w:sz w:val="18"/>
                    </w:rPr>
                    <w:t>3%</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、每超出</w:t>
                  </w:r>
                  <w:r>
                    <w:rPr>
                      <w:sz w:val="18"/>
                    </w:rPr>
                    <w:t>0.1%</w:t>
                  </w:r>
                  <w:r>
                    <w:rPr>
                      <w:sz w:val="18"/>
                    </w:rPr>
                    <w:t>扣</w:t>
                  </w:r>
                  <w:r>
                    <w:rPr>
                      <w:sz w:val="18"/>
                    </w:rPr>
                    <w:t>1</w:t>
                  </w:r>
                  <w:r>
                    <w:rPr>
                      <w:sz w:val="18"/>
                    </w:rPr>
                    <w:t>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w:t>
                  </w:r>
                  <w:r>
                    <w:rPr>
                      <w:sz w:val="18"/>
                    </w:rPr>
                    <w:t>、用</w:t>
                  </w:r>
                  <w:r>
                    <w:rPr>
                      <w:sz w:val="18"/>
                    </w:rPr>
                    <w:t>500ML</w:t>
                  </w:r>
                  <w:r>
                    <w:rPr>
                      <w:sz w:val="18"/>
                    </w:rPr>
                    <w:t>收集勺采集城区内大中型水体中的蚊幼虫或蛹，阳性率低于</w:t>
                  </w:r>
                  <w:r>
                    <w:rPr>
                      <w:sz w:val="18"/>
                    </w:rPr>
                    <w:t>3%</w:t>
                  </w:r>
                  <w:r>
                    <w:rPr>
                      <w:sz w:val="18"/>
                    </w:rPr>
                    <w:t>，阳性勺内幼虫或蛹的平均数不超过</w:t>
                  </w:r>
                  <w:r>
                    <w:rPr>
                      <w:sz w:val="18"/>
                    </w:rPr>
                    <w:t>5</w:t>
                  </w:r>
                  <w:r>
                    <w:rPr>
                      <w:sz w:val="18"/>
                    </w:rPr>
                    <w:t>只</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w:t>
                  </w:r>
                  <w:r>
                    <w:rPr>
                      <w:sz w:val="18"/>
                    </w:rPr>
                    <w:t>、每超出</w:t>
                  </w:r>
                  <w:r>
                    <w:rPr>
                      <w:sz w:val="18"/>
                    </w:rPr>
                    <w:t>1</w:t>
                  </w:r>
                  <w:r>
                    <w:rPr>
                      <w:sz w:val="18"/>
                    </w:rPr>
                    <w:t>只扣</w:t>
                  </w:r>
                  <w:r>
                    <w:rPr>
                      <w:sz w:val="18"/>
                    </w:rPr>
                    <w:t>1</w:t>
                  </w:r>
                  <w:r>
                    <w:rPr>
                      <w:sz w:val="18"/>
                    </w:rPr>
                    <w:t>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w:t>
                  </w:r>
                  <w:r>
                    <w:rPr>
                      <w:sz w:val="18"/>
                    </w:rPr>
                    <w:t>、在特殊场所白天人诱蚊</w:t>
                  </w:r>
                  <w:r>
                    <w:rPr>
                      <w:sz w:val="18"/>
                    </w:rPr>
                    <w:t>30</w:t>
                  </w:r>
                  <w:r>
                    <w:rPr>
                      <w:sz w:val="18"/>
                    </w:rPr>
                    <w:t>分钟，平均诱获成蚊不超过</w:t>
                  </w:r>
                  <w:r>
                    <w:rPr>
                      <w:sz w:val="18"/>
                    </w:rPr>
                    <w:t>1</w:t>
                  </w:r>
                  <w:r>
                    <w:rPr>
                      <w:sz w:val="18"/>
                    </w:rPr>
                    <w:t>只</w:t>
                  </w:r>
                  <w:r>
                    <w:rPr>
                      <w:sz w:val="18"/>
                    </w:rPr>
                    <w:t>/</w:t>
                  </w:r>
                  <w:r>
                    <w:rPr>
                      <w:sz w:val="18"/>
                    </w:rPr>
                    <w:t>人次</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w:t>
                  </w:r>
                  <w:r>
                    <w:rPr>
                      <w:sz w:val="18"/>
                    </w:rPr>
                    <w:t>、每超过</w:t>
                  </w:r>
                  <w:r>
                    <w:rPr>
                      <w:sz w:val="18"/>
                    </w:rPr>
                    <w:t>1</w:t>
                  </w:r>
                  <w:r>
                    <w:rPr>
                      <w:sz w:val="18"/>
                    </w:rPr>
                    <w:t>只</w:t>
                  </w:r>
                  <w:r>
                    <w:rPr>
                      <w:sz w:val="18"/>
                    </w:rPr>
                    <w:t>/</w:t>
                  </w:r>
                  <w:r>
                    <w:rPr>
                      <w:sz w:val="18"/>
                    </w:rPr>
                    <w:t>人次扣</w:t>
                  </w:r>
                  <w:r>
                    <w:rPr>
                      <w:sz w:val="18"/>
                    </w:rPr>
                    <w:t>1</w:t>
                  </w:r>
                  <w:r>
                    <w:rPr>
                      <w:sz w:val="18"/>
                    </w:rPr>
                    <w:t>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灭蝇</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1、检查绿化带内或附近的果皮箱、垃圾桶、厕所或菜市场周边的苍蝇密度</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1、每发现3只苍蝇扣1分，扣完为止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2、蝇类孳生地（外环境、垃圾容器、垃圾存放地等），得到有效治理，幼虫和蛹的检出率不超过</w:t>
                  </w:r>
                  <w:r>
                    <w:rPr>
                      <w:sz w:val="18"/>
                    </w:rPr>
                    <w:t>3%</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、每超出</w:t>
                  </w:r>
                  <w:r>
                    <w:rPr>
                      <w:sz w:val="18"/>
                    </w:rPr>
                    <w:t>0.1%</w:t>
                  </w:r>
                  <w:r>
                    <w:rPr>
                      <w:sz w:val="18"/>
                    </w:rPr>
                    <w:t>扣</w:t>
                  </w:r>
                  <w:r>
                    <w:rPr>
                      <w:sz w:val="18"/>
                    </w:rPr>
                    <w:t>1</w:t>
                  </w:r>
                  <w:r>
                    <w:rPr>
                      <w:sz w:val="18"/>
                    </w:rPr>
                    <w:t>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灭</w:t>
                  </w:r>
                </w:p>
                <w:p>
                  <w:pPr>
                    <w:pStyle w:val="null3"/>
                    <w:jc w:val="both"/>
                  </w:pPr>
                  <w:r>
                    <w:rPr>
                      <w:sz w:val="18"/>
                    </w:rPr>
                    <w:t>蟑</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、检查室内蟑螂成虫或幼虫，阳性房间不超过</w:t>
                  </w:r>
                  <w:r>
                    <w:rPr>
                      <w:sz w:val="18"/>
                    </w:rPr>
                    <w:t>3%</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、每超出</w:t>
                  </w:r>
                  <w:r>
                    <w:rPr>
                      <w:sz w:val="18"/>
                    </w:rPr>
                    <w:t>0.1%</w:t>
                  </w:r>
                  <w:r>
                    <w:rPr>
                      <w:sz w:val="18"/>
                    </w:rPr>
                    <w:t>扣</w:t>
                  </w:r>
                  <w:r>
                    <w:rPr>
                      <w:sz w:val="18"/>
                    </w:rPr>
                    <w:t>1</w:t>
                  </w:r>
                  <w:r>
                    <w:rPr>
                      <w:sz w:val="18"/>
                    </w:rPr>
                    <w:t>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w:t>
                  </w:r>
                  <w:r>
                    <w:rPr>
                      <w:sz w:val="18"/>
                    </w:rPr>
                    <w:t>、有活蟑螂卵鞘房间，阳性房间不超过</w:t>
                  </w:r>
                  <w:r>
                    <w:rPr>
                      <w:sz w:val="18"/>
                    </w:rPr>
                    <w:t>2%</w:t>
                  </w:r>
                  <w:r>
                    <w:rPr>
                      <w:sz w:val="18"/>
                    </w:rPr>
                    <w:t>，平均每间房不超过</w:t>
                  </w:r>
                  <w:r>
                    <w:rPr>
                      <w:sz w:val="18"/>
                    </w:rPr>
                    <w:t>4</w:t>
                  </w:r>
                  <w:r>
                    <w:rPr>
                      <w:sz w:val="18"/>
                    </w:rPr>
                    <w:t>只</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w:t>
                  </w:r>
                  <w:r>
                    <w:rPr>
                      <w:sz w:val="18"/>
                    </w:rPr>
                    <w:t>、每超出</w:t>
                  </w:r>
                  <w:r>
                    <w:rPr>
                      <w:sz w:val="18"/>
                    </w:rPr>
                    <w:t>0.1%</w:t>
                  </w:r>
                  <w:r>
                    <w:rPr>
                      <w:sz w:val="18"/>
                    </w:rPr>
                    <w:t>扣</w:t>
                  </w:r>
                  <w:r>
                    <w:rPr>
                      <w:sz w:val="18"/>
                    </w:rPr>
                    <w:t>1</w:t>
                  </w:r>
                  <w:r>
                    <w:rPr>
                      <w:sz w:val="18"/>
                    </w:rPr>
                    <w:t>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w:t>
                  </w:r>
                  <w:r>
                    <w:rPr>
                      <w:sz w:val="18"/>
                    </w:rPr>
                    <w:t>、蟑螂孳生栖息场所的清理，查墙的孔洞、缝隙蟑迹：粪便、蜕皮、蟑尸、空卵鞘等，阳性房间不超过</w:t>
                  </w:r>
                  <w:r>
                    <w:rPr>
                      <w:sz w:val="18"/>
                    </w:rPr>
                    <w:t>5%</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w:t>
                  </w:r>
                  <w:r>
                    <w:rPr>
                      <w:sz w:val="18"/>
                    </w:rPr>
                    <w:t>、每超出</w:t>
                  </w:r>
                  <w:r>
                    <w:rPr>
                      <w:sz w:val="18"/>
                    </w:rPr>
                    <w:t>0.1%</w:t>
                  </w:r>
                  <w:r>
                    <w:rPr>
                      <w:sz w:val="18"/>
                    </w:rPr>
                    <w:t>扣</w:t>
                  </w:r>
                  <w:r>
                    <w:rPr>
                      <w:sz w:val="18"/>
                    </w:rPr>
                    <w:t>1</w:t>
                  </w:r>
                  <w:r>
                    <w:rPr>
                      <w:sz w:val="18"/>
                    </w:rPr>
                    <w:t>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其</w:t>
                  </w:r>
                </w:p>
                <w:p>
                  <w:pPr>
                    <w:pStyle w:val="null3"/>
                    <w:jc w:val="both"/>
                  </w:pPr>
                  <w:r>
                    <w:rPr>
                      <w:sz w:val="18"/>
                    </w:rPr>
                    <w:t>他</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、工作人员要持证上岗，并要与群众保持良好关系</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r>
                    <w:rPr>
                      <w:sz w:val="18"/>
                    </w:rPr>
                    <w:t>、没有持证上岗的，每人次扣</w:t>
                  </w:r>
                  <w:r>
                    <w:rPr>
                      <w:sz w:val="18"/>
                    </w:rPr>
                    <w:t>2分，被群众投诉，情况属实的，每次扣2分，扣完为止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w:t>
                  </w:r>
                  <w:r>
                    <w:rPr>
                      <w:sz w:val="18"/>
                    </w:rPr>
                    <w:t>、每月除</w:t>
                  </w:r>
                  <w:r>
                    <w:rPr>
                      <w:sz w:val="18"/>
                    </w:rPr>
                    <w:t>“四害”消杀行动要按合同所规定的次数</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w:t>
                  </w:r>
                  <w:r>
                    <w:rPr>
                      <w:sz w:val="18"/>
                    </w:rPr>
                    <w:t>、达不到要求的，每少</w:t>
                  </w:r>
                  <w:r>
                    <w:rPr>
                      <w:sz w:val="18"/>
                    </w:rPr>
                    <w:t>1</w:t>
                  </w:r>
                  <w:r>
                    <w:rPr>
                      <w:sz w:val="18"/>
                    </w:rPr>
                    <w:t>次扣</w:t>
                  </w:r>
                  <w:r>
                    <w:rPr>
                      <w:sz w:val="18"/>
                    </w:rPr>
                    <w:t>2</w:t>
                  </w:r>
                  <w:r>
                    <w:rPr>
                      <w:sz w:val="18"/>
                    </w:rPr>
                    <w:t>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w:t>
                  </w:r>
                  <w:r>
                    <w:rPr>
                      <w:sz w:val="18"/>
                    </w:rPr>
                    <w:t>、除</w:t>
                  </w:r>
                  <w:r>
                    <w:rPr>
                      <w:sz w:val="18"/>
                    </w:rPr>
                    <w:t>“四害”工作要确保使用的药物有质量合格证明，作业方式正确</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w:t>
                  </w:r>
                  <w:r>
                    <w:rPr>
                      <w:sz w:val="18"/>
                    </w:rPr>
                    <w:t>、达不到要求的，每次扣</w:t>
                  </w:r>
                  <w:r>
                    <w:rPr>
                      <w:sz w:val="18"/>
                    </w:rPr>
                    <w:t>1</w:t>
                  </w:r>
                  <w:r>
                    <w:rPr>
                      <w:sz w:val="18"/>
                    </w:rPr>
                    <w:t>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4、定期汇报施工情况，每月定期提交的施工汇报资料和其他除四害工作相关的资料</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4、不按要求制作、提交汇报资料的，每次扣2分，扣完为止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5、配合甲方做好相关的检查工作，能及时处理突发事件。不发生被市、区领导批评或被媒体曝光情况。</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w:t>
                  </w:r>
                  <w:r>
                    <w:rPr>
                      <w:sz w:val="18"/>
                    </w:rPr>
                    <w:t>、未按要求配合的，或出现批评、投诉、曝光情况属实的每次扣</w:t>
                  </w:r>
                  <w:r>
                    <w:rPr>
                      <w:sz w:val="18"/>
                    </w:rPr>
                    <w:t>2分，扣完为止</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18"/>
                <w:b/>
              </w:rPr>
              <w:t>按百分制打分，好（</w:t>
            </w:r>
            <w:r>
              <w:rPr>
                <w:sz w:val="18"/>
                <w:b/>
              </w:rPr>
              <w:t>100-90分），合格（89-80分），不合格（80分以下）</w:t>
            </w:r>
          </w:p>
          <w:p>
            <w:pPr>
              <w:pStyle w:val="null3"/>
              <w:jc w:val="both"/>
            </w:pPr>
            <w:r>
              <w:rPr>
                <w:sz w:val="18"/>
                <w:b/>
              </w:rPr>
              <w:t>合计：实际得分（</w:t>
            </w:r>
            <w:r>
              <w:rPr>
                <w:sz w:val="21"/>
                <w:b/>
              </w:rPr>
              <w:t xml:space="preserve">      </w:t>
            </w:r>
            <w:r>
              <w:rPr>
                <w:sz w:val="18"/>
                <w:b/>
              </w:rPr>
              <w:t>）</w:t>
            </w:r>
            <w:r>
              <w:rPr>
                <w:sz w:val="18"/>
                <w:b/>
              </w:rPr>
              <w:t>=</w:t>
            </w:r>
            <w:r>
              <w:rPr>
                <w:sz w:val="18"/>
                <w:b/>
              </w:rPr>
              <w:t>总分（</w:t>
            </w:r>
            <w:r>
              <w:rPr>
                <w:sz w:val="18"/>
                <w:b/>
              </w:rPr>
              <w:t>100</w:t>
            </w:r>
            <w:r>
              <w:rPr>
                <w:sz w:val="18"/>
                <w:b/>
              </w:rPr>
              <w:t>）－检查扣分（</w:t>
            </w:r>
            <w:r>
              <w:rPr>
                <w:sz w:val="21"/>
                <w:b/>
              </w:rPr>
              <w:t xml:space="preserve">       </w:t>
            </w:r>
            <w:r>
              <w:rPr>
                <w:sz w:val="18"/>
                <w:b/>
              </w:rPr>
              <w:t>）</w:t>
            </w:r>
          </w:p>
          <w:p>
            <w:pPr>
              <w:pStyle w:val="null3"/>
              <w:jc w:val="both"/>
            </w:pPr>
            <w:r>
              <w:rPr>
                <w:sz w:val="21"/>
              </w:rPr>
              <w:t xml:space="preserve">      </w:t>
            </w:r>
          </w:p>
          <w:p>
            <w:pPr>
              <w:pStyle w:val="null3"/>
              <w:jc w:val="both"/>
            </w:pPr>
            <w:r>
              <w:rPr>
                <w:sz w:val="18"/>
              </w:rPr>
              <w:t xml:space="preserve"> </w:t>
            </w:r>
            <w:r>
              <w:rPr>
                <w:sz w:val="18"/>
              </w:rPr>
              <w:t>检查单位人员签名</w:t>
            </w:r>
            <w:r>
              <w:rPr>
                <w:sz w:val="18"/>
              </w:rPr>
              <w:t xml:space="preserve">:                    </w:t>
            </w:r>
            <w:r>
              <w:rPr>
                <w:sz w:val="21"/>
              </w:rPr>
              <w:t xml:space="preserve">      </w:t>
            </w:r>
            <w:r>
              <w:rPr>
                <w:sz w:val="18"/>
              </w:rPr>
              <w:t>承包单位责任人签名：</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横沥镇2024-2026年中心区病媒生物消杀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采购包1（横沥镇2024-2026年中心区病媒生物消杀服务项目）：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采购包1（横沥镇2024-2026年中心区病媒生物消杀服务项目）：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采购包1（横沥镇2024-2026年中心区病媒生物消杀服务项目）：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采购包1(横沥镇2024-2026年中心区病媒生物消杀服务项目):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项目实施的重点、难点和解决方案 (10.0分)</w:t>
            </w:r>
            <w:r>
              <w:rPr/>
              <w:t>，（等次分值选择：</w:t>
            </w:r>
            <w:r>
              <w:rPr/>
              <w:t>0.0;</w:t>
            </w:r>
            <w:r>
              <w:rPr/>
              <w:t>1.0;</w:t>
            </w:r>
            <w:r>
              <w:rPr/>
              <w:t>5.0;</w:t>
            </w:r>
            <w:r>
              <w:rPr/>
              <w:t>10.0;</w:t>
            </w:r>
            <w:r>
              <w:rPr/>
              <w:t>）</w:t>
            </w:r>
          </w:p>
        </w:tc>
        <w:tc>
          <w:tcPr>
            <w:tcW w:type="dxa" w:w="5076"/>
          </w:tcPr>
          <w:p>
            <w:pPr>
              <w:pStyle w:val="null3"/>
              <w:jc w:val="left"/>
            </w:pPr>
            <w:r>
              <w:rPr/>
              <w:t>根据投标人对本项目的基础调查、实施的重点、难点和解决方案分析进行综合评审： ①针对本项目基础调查全面、深入、细致，对项目的重点难点分析透彻者得10分； ②针对本项目基础数据有全面的调查，对重点难点情况有一定了解者得5分； ③针对本项目有基础调查，但不够全面和细致，重点难点情况缺乏了解者得1分； ④无提供相应方案不得分。</w:t>
            </w:r>
          </w:p>
        </w:tc>
      </w:tr>
      <w:tr>
        <w:tc>
          <w:tcPr>
            <w:tcW w:type="dxa" w:w="922"/>
            <w:gridSpan w:val="2"/>
            <w:vMerge/>
          </w:tcPr>
          <w:p/>
        </w:tc>
        <w:tc>
          <w:tcPr>
            <w:tcW w:type="dxa" w:w="2307"/>
          </w:tcPr>
          <w:p>
            <w:pPr>
              <w:pStyle w:val="null3"/>
              <w:jc w:val="left"/>
            </w:pPr>
            <w:r>
              <w:rPr/>
              <w:t>技术方案 (10.0分)</w:t>
            </w:r>
            <w:r>
              <w:rPr/>
              <w:t>，（等次分值选择：</w:t>
            </w:r>
            <w:r>
              <w:rPr/>
              <w:t>0.0;</w:t>
            </w:r>
            <w:r>
              <w:rPr/>
              <w:t>1.0;</w:t>
            </w:r>
            <w:r>
              <w:rPr/>
              <w:t>5.0;</w:t>
            </w:r>
            <w:r>
              <w:rPr/>
              <w:t>10.0;</w:t>
            </w:r>
            <w:r>
              <w:rPr/>
              <w:t>）</w:t>
            </w:r>
          </w:p>
        </w:tc>
        <w:tc>
          <w:tcPr>
            <w:tcW w:type="dxa" w:w="5076"/>
          </w:tcPr>
          <w:p>
            <w:pPr>
              <w:pStyle w:val="null3"/>
              <w:jc w:val="left"/>
            </w:pPr>
            <w:r>
              <w:rPr/>
              <w:t>根据投标人拟投入本项目的技术方案科学，依据充分，措施明确、合理，施工组织严密，运作流程清晰进行综合评审： ①技术方案科学，依据十分充分，措施非常明确、合理，施工组织十分严密，运作流程十分清晰的，得10分； ②技术方案科学，现场调查资料详细，依据充分，措施明确、合理，施工组织严密，运作流程清晰的，得5分； ③技术方案科学，现场调查资料简单，依据勉强，措施含糊，施工组织松弛，运作流程含混的，得1分； ④无提供相应方案不得分。</w:t>
            </w:r>
          </w:p>
        </w:tc>
      </w:tr>
      <w:tr>
        <w:tc>
          <w:tcPr>
            <w:tcW w:type="dxa" w:w="922"/>
            <w:gridSpan w:val="2"/>
            <w:vMerge/>
          </w:tcPr>
          <w:p/>
        </w:tc>
        <w:tc>
          <w:tcPr>
            <w:tcW w:type="dxa" w:w="2307"/>
          </w:tcPr>
          <w:p>
            <w:pPr>
              <w:pStyle w:val="null3"/>
              <w:jc w:val="left"/>
            </w:pPr>
            <w:r>
              <w:rPr/>
              <w:t>针对本项目的培训方案 (6.0分)</w:t>
            </w:r>
            <w:r>
              <w:rPr/>
              <w:t>，（等次分值选择：</w:t>
            </w:r>
            <w:r>
              <w:rPr/>
              <w:t>0.0;</w:t>
            </w:r>
            <w:r>
              <w:rPr/>
              <w:t>1.0;</w:t>
            </w:r>
            <w:r>
              <w:rPr/>
              <w:t>3.0;</w:t>
            </w:r>
            <w:r>
              <w:rPr/>
              <w:t>6.0;</w:t>
            </w:r>
            <w:r>
              <w:rPr/>
              <w:t>）</w:t>
            </w:r>
          </w:p>
        </w:tc>
        <w:tc>
          <w:tcPr>
            <w:tcW w:type="dxa" w:w="5076"/>
          </w:tcPr>
          <w:p>
            <w:pPr>
              <w:pStyle w:val="null3"/>
              <w:jc w:val="left"/>
            </w:pPr>
            <w:r>
              <w:rPr/>
              <w:t>根据投标人提供针对本项目制定的项目服务人员培训方案进行综合评审： ①投标人提供针对本项目制定的项目服务人员培训方案明确、清晰、合理的，得6分； ②投标人提供针对本项目制定的项目服务人员培训方案基本明确、清晰、合理的，得3分； ③投标人提供针对本项目制定的项目服务人员培训方案明确性、合理性一般的，得1分； ④无提供相应方案不得分。</w:t>
            </w:r>
          </w:p>
        </w:tc>
      </w:tr>
      <w:tr>
        <w:tc>
          <w:tcPr>
            <w:tcW w:type="dxa" w:w="922"/>
            <w:gridSpan w:val="2"/>
            <w:vMerge/>
          </w:tcPr>
          <w:p/>
        </w:tc>
        <w:tc>
          <w:tcPr>
            <w:tcW w:type="dxa" w:w="2307"/>
          </w:tcPr>
          <w:p>
            <w:pPr>
              <w:pStyle w:val="null3"/>
              <w:jc w:val="left"/>
            </w:pPr>
            <w:r>
              <w:rPr/>
              <w:t>质量保证措施 (8.0分)</w:t>
            </w:r>
            <w:r>
              <w:rPr/>
              <w:t>，（等次分值选择：</w:t>
            </w:r>
            <w:r>
              <w:rPr/>
              <w:t>0.0;</w:t>
            </w:r>
            <w:r>
              <w:rPr/>
              <w:t>1.0;</w:t>
            </w:r>
            <w:r>
              <w:rPr/>
              <w:t>4.0;</w:t>
            </w:r>
            <w:r>
              <w:rPr/>
              <w:t>8.0;</w:t>
            </w:r>
            <w:r>
              <w:rPr/>
              <w:t>）</w:t>
            </w:r>
          </w:p>
        </w:tc>
        <w:tc>
          <w:tcPr>
            <w:tcW w:type="dxa" w:w="5076"/>
          </w:tcPr>
          <w:p>
            <w:pPr>
              <w:pStyle w:val="null3"/>
              <w:jc w:val="left"/>
            </w:pPr>
            <w:r>
              <w:rPr/>
              <w:t>根据投标人对现场作业过程的管理方案及质量保证措施进行综合评审： ①投标人对现场作业过程严谨，管理方案十分清晰及质量保证措施十分明确、合理的，得8分； ②投标人对现场作业过程周祥，管理方案较清晰及质量保证措施较明确、合理的，得4分； ③投标人对现场作业过程随便，管理方案含糊及质量保证措施含糊的，得1分； ④无提供相应方案不得分。</w:t>
            </w:r>
          </w:p>
        </w:tc>
      </w:tr>
      <w:tr>
        <w:tc>
          <w:tcPr>
            <w:tcW w:type="dxa" w:w="922"/>
            <w:gridSpan w:val="2"/>
            <w:vMerge/>
          </w:tcPr>
          <w:p/>
        </w:tc>
        <w:tc>
          <w:tcPr>
            <w:tcW w:type="dxa" w:w="2307"/>
          </w:tcPr>
          <w:p>
            <w:pPr>
              <w:pStyle w:val="null3"/>
              <w:jc w:val="left"/>
            </w:pPr>
            <w:r>
              <w:rPr/>
              <w:t>应急方案 (8.0分)</w:t>
            </w:r>
            <w:r>
              <w:rPr/>
              <w:t>，（等次分值选择：</w:t>
            </w:r>
            <w:r>
              <w:rPr/>
              <w:t>0.0;</w:t>
            </w:r>
            <w:r>
              <w:rPr/>
              <w:t>1.0;</w:t>
            </w:r>
            <w:r>
              <w:rPr/>
              <w:t>4.0;</w:t>
            </w:r>
            <w:r>
              <w:rPr/>
              <w:t>8.0;</w:t>
            </w:r>
            <w:r>
              <w:rPr/>
              <w:t>）</w:t>
            </w:r>
          </w:p>
        </w:tc>
        <w:tc>
          <w:tcPr>
            <w:tcW w:type="dxa" w:w="5076"/>
          </w:tcPr>
          <w:p>
            <w:pPr>
              <w:pStyle w:val="null3"/>
              <w:jc w:val="left"/>
            </w:pPr>
            <w:r>
              <w:rPr/>
              <w:t>据投标人所提供针对台风、暴风等天气影响，重大接待任务，重大节假日或活动，四害疫情等特殊情况制定应急处置方案，包括传达机制、人员和设备调配、责任分工等应急事件做出的应急方案进行综合评审： ①应急方案明确、清晰，传达机制完善、人员和设备调配明确、合理，责任分工明确的，得8分； ②应急方案基本明确、清晰，传达机制完善、人员和设备调配明确、合理，责任分工基本明确的，得4分； ③应急方案基本明确,传达机制简单、人员和设备调配合理性一般，责任分工明确性一般的，得1分； ④无提供相应方案不得分。</w:t>
            </w:r>
          </w:p>
        </w:tc>
      </w:tr>
      <w:tr>
        <w:tc>
          <w:tcPr>
            <w:tcW w:type="dxa" w:w="922"/>
            <w:gridSpan w:val="2"/>
            <w:vMerge/>
          </w:tcPr>
          <w:p/>
        </w:tc>
        <w:tc>
          <w:tcPr>
            <w:tcW w:type="dxa" w:w="2307"/>
          </w:tcPr>
          <w:p>
            <w:pPr>
              <w:pStyle w:val="null3"/>
              <w:jc w:val="left"/>
            </w:pPr>
            <w:r>
              <w:rPr/>
              <w:t>服务承诺 (6.0分)</w:t>
            </w:r>
            <w:r>
              <w:rPr/>
              <w:t>，（等次分值选择：</w:t>
            </w:r>
            <w:r>
              <w:rPr/>
              <w:t>0.0;</w:t>
            </w:r>
            <w:r>
              <w:rPr/>
              <w:t>1.0;</w:t>
            </w:r>
            <w:r>
              <w:rPr/>
              <w:t>3.0;</w:t>
            </w:r>
            <w:r>
              <w:rPr/>
              <w:t>6.0;</w:t>
            </w:r>
            <w:r>
              <w:rPr/>
              <w:t>）</w:t>
            </w:r>
          </w:p>
        </w:tc>
        <w:tc>
          <w:tcPr>
            <w:tcW w:type="dxa" w:w="5076"/>
          </w:tcPr>
          <w:p>
            <w:pPr>
              <w:pStyle w:val="null3"/>
              <w:jc w:val="left"/>
            </w:pPr>
            <w:r>
              <w:rPr/>
              <w:t>根据各投标人提供的服务承诺合理、明确，响应时间是否合理、处理措施是否完善等方案进行综合评审： ①服务承诺非常合理、明确，响应时间快速合理，处理措施十分完善的，得6分； ②服务承诺合理、明确，响应时间快速合理，处理措施完善的，得3分； ③服务承诺一般，响应时间合理,处理措施简单的，得1分； ④无提供服务承诺不得分。</w:t>
            </w:r>
          </w:p>
        </w:tc>
      </w:tr>
      <w:tr>
        <w:tc>
          <w:tcPr>
            <w:tcW w:type="dxa" w:w="922"/>
            <w:gridSpan w:val="2"/>
            <w:vMerge/>
          </w:tcPr>
          <w:p/>
        </w:tc>
        <w:tc>
          <w:tcPr>
            <w:tcW w:type="dxa" w:w="2307"/>
          </w:tcPr>
          <w:p>
            <w:pPr>
              <w:pStyle w:val="null3"/>
              <w:jc w:val="left"/>
            </w:pPr>
            <w:r>
              <w:rPr/>
              <w:t>技术力量 (12.0分)</w:t>
            </w:r>
          </w:p>
        </w:tc>
        <w:tc>
          <w:tcPr>
            <w:tcW w:type="dxa" w:w="5076"/>
          </w:tcPr>
          <w:p>
            <w:pPr>
              <w:pStyle w:val="null3"/>
              <w:jc w:val="left"/>
            </w:pPr>
            <w:r>
              <w:rPr/>
              <w:t>根据投标人拟投入人员情况进行评审： 1.项目负责人（仅一人）：具有有害生物员高级/三级（或以上）证书的得3分，本项最高得3分。 2.技术负责人（项目负责人除外）：具有高级职称（专业范围至少包含其中一项：公共卫生、预防医药、昆虫学、流行病学、微生物学、环境科学专业）的得3分，本项最高得3分。 3.项目团队（不含项目负责人和技术负责人）：具有有害生物防制员中级/四级（或以上）证书的，每提供一人得1分，本项最高得6分。 注：①同一人员具有多项证书不重复计分；②以上人员须提供有效证书复印件及距开标前6个月（不含开标当月）中任意1个月投标人为其购买的社保证明复印件加盖投标人公章，否则不得分。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公司实力 (6.0分)</w:t>
            </w:r>
          </w:p>
        </w:tc>
        <w:tc>
          <w:tcPr>
            <w:tcW w:type="dxa" w:w="5076"/>
          </w:tcPr>
          <w:p>
            <w:pPr>
              <w:pStyle w:val="null3"/>
              <w:jc w:val="left"/>
            </w:pPr>
            <w:r>
              <w:rPr/>
              <w:t>投标人具有国家认证认可监督管理部门批准设立的认证机构颁发并在有效期内的质量管理体系认证证书、环境管理体系认证证书、职业健康安全管理体系认证证书、售后服务认证证书，每个得1.5分，最高得6分。 注：须提供有效证书复印件加盖投标人公章，否则不得分。</w:t>
            </w:r>
          </w:p>
        </w:tc>
      </w:tr>
      <w:tr>
        <w:tc>
          <w:tcPr>
            <w:tcW w:type="dxa" w:w="922"/>
            <w:gridSpan w:val="2"/>
            <w:vMerge/>
          </w:tcPr>
          <w:p/>
        </w:tc>
        <w:tc>
          <w:tcPr>
            <w:tcW w:type="dxa" w:w="2307"/>
          </w:tcPr>
          <w:p>
            <w:pPr>
              <w:pStyle w:val="null3"/>
              <w:jc w:val="left"/>
            </w:pPr>
            <w:r>
              <w:rPr/>
              <w:t>项目业绩 (14.0分)</w:t>
            </w:r>
          </w:p>
        </w:tc>
        <w:tc>
          <w:tcPr>
            <w:tcW w:type="dxa" w:w="5076"/>
          </w:tcPr>
          <w:p>
            <w:pPr>
              <w:pStyle w:val="null3"/>
              <w:jc w:val="left"/>
            </w:pPr>
            <w:r>
              <w:rPr/>
              <w:t>投标人具有公共外环境灭（除）四害类项目业绩的，每个业绩得2分，最高得14分。 注：须提供业绩合同复印件加盖投标人公章，否则不得分。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441900014-2024-00515</w:t>
      </w:r>
    </w:p>
    <w:p>
      <w:pPr>
        <w:pStyle w:val="null3"/>
        <w:jc w:val="center"/>
        <w:outlineLvl w:val="3"/>
      </w:pPr>
      <w:r>
        <w:rPr>
          <w:sz w:val="24"/>
          <w:b/>
        </w:rPr>
        <w:t>采购项目编号：</w:t>
      </w:r>
      <w:r>
        <w:rPr>
          <w:sz w:val="24"/>
          <w:b/>
        </w:rPr>
        <w:t>441900014-2024-00515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横沥镇2024-2026年中心区病媒生物消杀服务项目</w:t>
      </w:r>
      <w:r>
        <w:rPr>
          <w:u w:val="single"/>
        </w:rPr>
        <w:t>”</w:t>
      </w:r>
      <w:r>
        <w:rPr/>
        <w:t>项目的招标[采购项目编号为：</w:t>
      </w:r>
      <w:r>
        <w:rPr>
          <w:u w:val="single"/>
        </w:rPr>
        <w:t>441900014-2024-00515</w:t>
      </w:r>
      <w:r>
        <w:rPr/>
        <w:t>]，我方愿参与投标。</w:t>
      </w:r>
    </w:p>
    <w:p>
      <w:pPr>
        <w:pStyle w:val="null3"/>
        <w:ind w:firstLine="480"/>
      </w:pPr>
      <w:r>
        <w:rPr/>
        <w:t>我方确认收到贵方提供的</w:t>
      </w:r>
      <w:r>
        <w:rPr>
          <w:u w:val="single"/>
        </w:rPr>
        <w:t>“</w:t>
      </w:r>
      <w:r>
        <w:rPr>
          <w:u w:val="single"/>
        </w:rPr>
        <w:t>横沥镇2024-2026年中心区病媒生物消杀服务项目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横沥镇2024-2026年中心区病媒生物消杀服务项目</w:t>
      </w:r>
      <w:r>
        <w:rPr/>
        <w:t>”项目采购[采购项目编号为</w:t>
      </w:r>
      <w:r>
        <w:rPr/>
        <w:t>441900014-2024-00515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横沥镇2024-2026年中心区病媒生物消杀服务项目</w:t>
      </w:r>
      <w:r>
        <w:rPr/>
        <w:t>招标中获中标（采购项目编号：</w:t>
      </w:r>
      <w:r>
        <w:rPr/>
        <w:t>441900014-2024-00515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横沥镇2024-2026年中心区病媒生物消杀服务项目</w:t>
      </w:r>
      <w:r>
        <w:rPr/>
        <w:t>”项目（采购项目编号：</w:t>
      </w:r>
      <w:r>
        <w:rPr/>
        <w:t>441900014-2024-00515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