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3E1F4">
      <w:pPr>
        <w:pStyle w:val="2"/>
        <w:keepNext/>
        <w:keepLines/>
        <w:pageBreakBefore/>
        <w:numPr>
          <w:ilvl w:val="0"/>
          <w:numId w:val="0"/>
        </w:numPr>
        <w:shd w:val="clear"/>
        <w:tabs>
          <w:tab w:val="left" w:pos="1080"/>
        </w:tabs>
        <w:spacing w:line="360" w:lineRule="auto"/>
        <w:jc w:val="center"/>
        <w:rPr>
          <w:rFonts w:hint="eastAsia" w:ascii="宋体" w:hAnsi="宋体" w:eastAsia="宋体" w:cs="宋体"/>
          <w:b/>
          <w:bCs/>
          <w:color w:val="auto"/>
          <w:kern w:val="44"/>
          <w:sz w:val="32"/>
          <w:szCs w:val="32"/>
          <w:highlight w:val="none"/>
          <w:lang w:val="en-US" w:eastAsia="zh-CN"/>
        </w:rPr>
      </w:pPr>
      <w:bookmarkStart w:id="0" w:name="_Toc3573"/>
      <w:bookmarkStart w:id="1" w:name="_Toc16379"/>
      <w:r>
        <w:rPr>
          <w:rFonts w:hint="eastAsia" w:ascii="宋体" w:hAnsi="宋体" w:eastAsia="宋体" w:cs="宋体"/>
          <w:b/>
          <w:bCs/>
          <w:color w:val="auto"/>
          <w:kern w:val="44"/>
          <w:sz w:val="32"/>
          <w:szCs w:val="32"/>
          <w:highlight w:val="none"/>
        </w:rPr>
        <w:t>万江新村保障性住房项目施工用电（1x630KVA+ 1x500KVA)变配电工程磋商</w:t>
      </w:r>
      <w:bookmarkEnd w:id="0"/>
      <w:bookmarkEnd w:id="1"/>
      <w:r>
        <w:rPr>
          <w:rFonts w:hint="eastAsia" w:ascii="宋体" w:hAnsi="宋体" w:eastAsia="宋体" w:cs="宋体"/>
          <w:b/>
          <w:bCs/>
          <w:color w:val="auto"/>
          <w:kern w:val="44"/>
          <w:sz w:val="32"/>
          <w:szCs w:val="32"/>
          <w:highlight w:val="none"/>
          <w:lang w:val="en-US" w:eastAsia="zh-CN"/>
        </w:rPr>
        <w:t>公告</w:t>
      </w:r>
    </w:p>
    <w:p w14:paraId="0CA675D9">
      <w:pPr>
        <w:keepNext w:val="0"/>
        <w:keepLines w:val="0"/>
        <w:pageBreakBefore w:val="0"/>
        <w:widowControl/>
        <w:shd w:val="clear"/>
        <w:tabs>
          <w:tab w:val="left" w:pos="-360"/>
        </w:tabs>
        <w:kinsoku/>
        <w:overflowPunct/>
        <w:topLinePunct w:val="0"/>
        <w:bidi w:val="0"/>
        <w:adjustRightInd/>
        <w:snapToGrid/>
        <w:spacing w:line="360" w:lineRule="auto"/>
        <w:ind w:right="-34" w:firstLine="420" w:firstLineChars="200"/>
        <w:jc w:val="both"/>
        <w:textAlignment w:val="bottom"/>
        <w:rPr>
          <w:rFonts w:hint="eastAsia" w:ascii="宋体" w:hAnsi="宋体" w:eastAsia="宋体" w:cs="宋体"/>
          <w:color w:val="auto"/>
          <w:sz w:val="21"/>
          <w:szCs w:val="21"/>
          <w:highlight w:val="none"/>
          <w:lang w:eastAsia="zh-CN"/>
        </w:rPr>
      </w:pPr>
    </w:p>
    <w:p w14:paraId="77DAD0CD">
      <w:pPr>
        <w:keepNext w:val="0"/>
        <w:keepLines w:val="0"/>
        <w:pageBreakBefore w:val="0"/>
        <w:widowControl/>
        <w:shd w:val="clear"/>
        <w:tabs>
          <w:tab w:val="left" w:pos="-360"/>
        </w:tabs>
        <w:kinsoku/>
        <w:overflowPunct/>
        <w:topLinePunct w:val="0"/>
        <w:bidi w:val="0"/>
        <w:adjustRightInd/>
        <w:snapToGrid/>
        <w:spacing w:line="360" w:lineRule="auto"/>
        <w:ind w:right="-34" w:firstLine="420" w:firstLineChars="200"/>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（以下简称“采购代理机构”）受</w:t>
      </w:r>
      <w:r>
        <w:rPr>
          <w:rFonts w:hint="eastAsia" w:ascii="宋体" w:hAnsi="宋体" w:eastAsia="宋体" w:cs="宋体"/>
          <w:color w:val="auto"/>
          <w:sz w:val="21"/>
          <w:szCs w:val="21"/>
          <w:highlight w:val="none"/>
          <w:lang w:eastAsia="zh-CN"/>
        </w:rPr>
        <w:t>东莞市旗万安居建设有限公司</w:t>
      </w:r>
      <w:r>
        <w:rPr>
          <w:rFonts w:hint="eastAsia" w:ascii="宋体" w:hAnsi="宋体" w:eastAsia="宋体" w:cs="宋体"/>
          <w:color w:val="auto"/>
          <w:sz w:val="21"/>
          <w:szCs w:val="21"/>
          <w:highlight w:val="none"/>
        </w:rPr>
        <w:t>（以下简称“采购人”）的委托，为</w:t>
      </w:r>
      <w:r>
        <w:rPr>
          <w:rFonts w:hint="eastAsia" w:ascii="宋体" w:hAnsi="宋体" w:eastAsia="宋体" w:cs="宋体"/>
          <w:color w:val="auto"/>
          <w:sz w:val="21"/>
          <w:szCs w:val="21"/>
          <w:highlight w:val="none"/>
          <w:lang w:eastAsia="zh-CN"/>
        </w:rPr>
        <w:t>万江新村保障性住房项目施工用电（1x630KVA+1x500KVA)变配电工程</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DGQS-WJB-01-002-009(2024)）</w:t>
      </w:r>
      <w:r>
        <w:rPr>
          <w:rFonts w:hint="eastAsia" w:ascii="宋体" w:hAnsi="宋体" w:eastAsia="宋体" w:cs="宋体"/>
          <w:color w:val="auto"/>
          <w:sz w:val="21"/>
          <w:szCs w:val="21"/>
          <w:highlight w:val="none"/>
        </w:rPr>
        <w:t>采购所需的服务。本项目采用竞争性磋商采购方式，欢迎合格供应商就本项目提交密封磋商。</w:t>
      </w:r>
    </w:p>
    <w:p w14:paraId="2D168E38">
      <w:pPr>
        <w:keepNext w:val="0"/>
        <w:keepLines w:val="0"/>
        <w:pageBreakBefore w:val="0"/>
        <w:shd w:val="clear"/>
        <w:kinsoku/>
        <w:overflowPunct/>
        <w:topLinePunct w:val="0"/>
        <w:bidi w:val="0"/>
        <w:snapToGrid/>
        <w:spacing w:line="360" w:lineRule="auto"/>
        <w:rPr>
          <w:rFonts w:hint="eastAsia" w:ascii="宋体" w:hAnsi="宋体" w:eastAsia="宋体" w:cs="宋体"/>
          <w:b/>
          <w:color w:val="auto"/>
          <w:sz w:val="21"/>
          <w:szCs w:val="21"/>
          <w:highlight w:val="none"/>
        </w:rPr>
      </w:pPr>
      <w:bookmarkStart w:id="2" w:name="_Toc4600"/>
      <w:r>
        <w:rPr>
          <w:rFonts w:hint="eastAsia" w:ascii="宋体" w:hAnsi="宋体" w:eastAsia="宋体" w:cs="宋体"/>
          <w:b/>
          <w:color w:val="auto"/>
          <w:sz w:val="21"/>
          <w:szCs w:val="21"/>
          <w:highlight w:val="none"/>
        </w:rPr>
        <w:t>一、采购项目概况</w:t>
      </w:r>
    </w:p>
    <w:p w14:paraId="57BED16D">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u w:val="single"/>
          <w:lang w:eastAsia="zh-CN"/>
        </w:rPr>
        <w:t>万江新村保障性住房项目施工用电（1x630KVA+</w:t>
      </w:r>
      <w:bookmarkStart w:id="8" w:name="_GoBack"/>
      <w:bookmarkEnd w:id="8"/>
      <w:r>
        <w:rPr>
          <w:rFonts w:hint="eastAsia" w:ascii="宋体" w:hAnsi="宋体" w:eastAsia="宋体" w:cs="宋体"/>
          <w:b/>
          <w:color w:val="auto"/>
          <w:sz w:val="21"/>
          <w:szCs w:val="21"/>
          <w:highlight w:val="none"/>
          <w:u w:val="single"/>
          <w:lang w:eastAsia="zh-CN"/>
        </w:rPr>
        <w:t>1x500KVA)变配电工程</w:t>
      </w:r>
    </w:p>
    <w:p w14:paraId="43D7919D">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：699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085.65元（</w:t>
      </w:r>
      <w:r>
        <w:rPr>
          <w:rFonts w:hint="eastAsia" w:ascii="宋体" w:hAnsi="宋体" w:eastAsia="宋体" w:cs="宋体"/>
          <w:color w:val="auto"/>
          <w:sz w:val="21"/>
          <w:szCs w:val="21"/>
          <w:highlight w:val="none"/>
          <w:lang w:eastAsia="zh-CN"/>
        </w:rPr>
        <w:t>大写：</w:t>
      </w:r>
      <w:r>
        <w:rPr>
          <w:rFonts w:hint="eastAsia" w:ascii="宋体" w:hAnsi="宋体" w:eastAsia="宋体" w:cs="宋体"/>
          <w:color w:val="auto"/>
          <w:sz w:val="21"/>
          <w:szCs w:val="21"/>
          <w:highlight w:val="none"/>
          <w:lang w:val="en-US" w:eastAsia="zh-CN"/>
        </w:rPr>
        <w:t>人民币陆拾玖万玖仟零捌拾伍元陆角伍分</w:t>
      </w:r>
      <w:r>
        <w:rPr>
          <w:rFonts w:hint="eastAsia" w:ascii="宋体" w:hAnsi="宋体" w:eastAsia="宋体" w:cs="宋体"/>
          <w:color w:val="auto"/>
          <w:sz w:val="21"/>
          <w:szCs w:val="21"/>
          <w:highlight w:val="none"/>
        </w:rPr>
        <w:t>）</w:t>
      </w:r>
    </w:p>
    <w:p w14:paraId="4D92EDFC">
      <w:pPr>
        <w:keepNext w:val="0"/>
        <w:keepLines w:val="0"/>
        <w:pageBreakBefore w:val="0"/>
        <w:shd w:val="clear"/>
        <w:kinsoku/>
        <w:overflowPunct/>
        <w:topLinePunct w:val="0"/>
        <w:bidi w:val="0"/>
        <w:snapToGrid/>
        <w:spacing w:line="360" w:lineRule="auto"/>
        <w:ind w:firstLine="630" w:firstLineChars="300"/>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lang w:eastAsia="zh-CN"/>
        </w:rPr>
        <w:t>最高限价（元）：635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863.95</w:t>
      </w:r>
      <w:r>
        <w:rPr>
          <w:rFonts w:hint="eastAsia" w:ascii="宋体" w:hAnsi="宋体" w:eastAsia="宋体" w:cs="宋体"/>
          <w:color w:val="auto"/>
          <w:sz w:val="21"/>
          <w:szCs w:val="21"/>
          <w:highlight w:val="none"/>
          <w:u w:val="none"/>
          <w:lang w:eastAsia="zh-CN"/>
        </w:rPr>
        <w:t>元（大写：人民币</w:t>
      </w:r>
      <w:r>
        <w:rPr>
          <w:rFonts w:hint="eastAsia" w:ascii="宋体" w:hAnsi="宋体" w:eastAsia="宋体" w:cs="宋体"/>
          <w:color w:val="auto"/>
          <w:sz w:val="21"/>
          <w:szCs w:val="21"/>
          <w:highlight w:val="none"/>
          <w:u w:val="none"/>
          <w:lang w:val="en-US" w:eastAsia="zh-CN"/>
        </w:rPr>
        <w:t>陆拾叁万伍仟捌佰陆拾叁元玖角伍分</w:t>
      </w:r>
      <w:r>
        <w:rPr>
          <w:rFonts w:hint="eastAsia" w:ascii="宋体" w:hAnsi="宋体" w:eastAsia="宋体" w:cs="宋体"/>
          <w:color w:val="auto"/>
          <w:sz w:val="21"/>
          <w:szCs w:val="21"/>
          <w:highlight w:val="none"/>
          <w:u w:val="none"/>
          <w:lang w:eastAsia="zh-CN"/>
        </w:rPr>
        <w:t>）按东莞市公共资源交易中心2024年1月19日发布的上一年度同类招标工程中标价的平均下浮率</w:t>
      </w:r>
      <w:r>
        <w:rPr>
          <w:rFonts w:hint="eastAsia" w:ascii="宋体" w:hAnsi="宋体" w:eastAsia="宋体" w:cs="宋体"/>
          <w:color w:val="auto"/>
          <w:sz w:val="21"/>
          <w:szCs w:val="21"/>
          <w:highlight w:val="none"/>
          <w:u w:val="none"/>
          <w:lang w:val="en-US" w:eastAsia="zh-CN"/>
        </w:rPr>
        <w:t>9.35</w:t>
      </w:r>
      <w:r>
        <w:rPr>
          <w:rFonts w:hint="eastAsia" w:ascii="宋体" w:hAnsi="宋体" w:eastAsia="宋体" w:cs="宋体"/>
          <w:color w:val="auto"/>
          <w:sz w:val="21"/>
          <w:szCs w:val="21"/>
          <w:highlight w:val="none"/>
          <w:u w:val="none"/>
          <w:lang w:eastAsia="zh-CN"/>
        </w:rPr>
        <w:t>%下浮。</w:t>
      </w:r>
    </w:p>
    <w:p w14:paraId="6BB0ECEB">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tbl>
      <w:tblPr>
        <w:tblStyle w:val="3"/>
        <w:tblW w:w="42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6"/>
        <w:gridCol w:w="1921"/>
      </w:tblGrid>
      <w:tr w14:paraId="7015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83" w:type="pct"/>
            <w:vAlign w:val="center"/>
          </w:tcPr>
          <w:p w14:paraId="48943467">
            <w:pPr>
              <w:keepNext w:val="0"/>
              <w:keepLines w:val="0"/>
              <w:pageBreakBefore w:val="0"/>
              <w:shd w:val="clear"/>
              <w:kinsoku/>
              <w:overflowPunct/>
              <w:topLinePunct w:val="0"/>
              <w:bidi w:val="0"/>
              <w:snapToGrid/>
              <w:spacing w:line="360" w:lineRule="auto"/>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项目内容</w:t>
            </w:r>
          </w:p>
        </w:tc>
        <w:tc>
          <w:tcPr>
            <w:tcW w:w="1316" w:type="pct"/>
            <w:vAlign w:val="center"/>
          </w:tcPr>
          <w:p w14:paraId="155804FD">
            <w:pPr>
              <w:keepNext w:val="0"/>
              <w:keepLines w:val="0"/>
              <w:pageBreakBefore w:val="0"/>
              <w:shd w:val="clear"/>
              <w:kinsoku/>
              <w:overflowPunct/>
              <w:topLinePunct w:val="0"/>
              <w:bidi w:val="0"/>
              <w:snapToGrid/>
              <w:spacing w:line="360" w:lineRule="auto"/>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采购服务单位数量</w:t>
            </w:r>
          </w:p>
        </w:tc>
      </w:tr>
      <w:tr w14:paraId="6ABA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83" w:type="pct"/>
            <w:vAlign w:val="center"/>
          </w:tcPr>
          <w:p w14:paraId="78AA9634">
            <w:pPr>
              <w:keepNext w:val="0"/>
              <w:keepLines w:val="0"/>
              <w:pageBreakBefore w:val="0"/>
              <w:shd w:val="clear"/>
              <w:kinsoku/>
              <w:overflowPunct/>
              <w:topLinePunct w:val="0"/>
              <w:bidi w:val="0"/>
              <w:snapToGri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万江新村保障性住房项目施工用电（1x630KVA+1x500KVA)变配电工程</w:t>
            </w:r>
          </w:p>
        </w:tc>
        <w:tc>
          <w:tcPr>
            <w:tcW w:w="1316" w:type="pct"/>
            <w:vAlign w:val="center"/>
          </w:tcPr>
          <w:p w14:paraId="2DFEF4E4">
            <w:pPr>
              <w:keepNext w:val="0"/>
              <w:keepLines w:val="0"/>
              <w:pageBreakBefore w:val="0"/>
              <w:shd w:val="clear"/>
              <w:kinsoku/>
              <w:overflowPunct/>
              <w:topLinePunct w:val="0"/>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14:paraId="180600FE">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、项目需求</w:t>
      </w:r>
    </w:p>
    <w:p w14:paraId="267DD135">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详细内容请参阅采购文件第三部分《用户需求书》。</w:t>
      </w:r>
    </w:p>
    <w:p w14:paraId="7D441BB5">
      <w:pPr>
        <w:keepNext w:val="0"/>
        <w:keepLines w:val="0"/>
        <w:pageBreakBefore w:val="0"/>
        <w:widowControl/>
        <w:shd w:val="clear"/>
        <w:kinsoku/>
        <w:overflowPunct/>
        <w:topLinePunct w:val="0"/>
        <w:bidi w:val="0"/>
        <w:adjustRightInd/>
        <w:snapToGrid/>
        <w:spacing w:line="360" w:lineRule="auto"/>
        <w:outlineLvl w:val="0"/>
        <w:rPr>
          <w:rFonts w:hint="eastAsia" w:ascii="宋体" w:hAnsi="宋体" w:eastAsia="宋体" w:cs="宋体"/>
          <w:b/>
          <w:bCs/>
          <w:color w:val="auto"/>
          <w:kern w:val="28"/>
          <w:sz w:val="21"/>
          <w:szCs w:val="21"/>
          <w:highlight w:val="none"/>
        </w:rPr>
      </w:pPr>
      <w:bookmarkStart w:id="3" w:name="_Toc3973"/>
      <w:r>
        <w:rPr>
          <w:rFonts w:hint="eastAsia" w:ascii="宋体" w:hAnsi="宋体" w:eastAsia="宋体" w:cs="宋体"/>
          <w:b/>
          <w:bCs/>
          <w:color w:val="auto"/>
          <w:kern w:val="28"/>
          <w:sz w:val="21"/>
          <w:szCs w:val="21"/>
          <w:highlight w:val="none"/>
          <w:lang w:val="zh-CN"/>
        </w:rPr>
        <w:t>二、供应商须满足以下资格条件</w:t>
      </w:r>
      <w:r>
        <w:rPr>
          <w:rFonts w:hint="eastAsia" w:ascii="宋体" w:hAnsi="宋体" w:eastAsia="宋体" w:cs="宋体"/>
          <w:b/>
          <w:bCs/>
          <w:color w:val="auto"/>
          <w:kern w:val="28"/>
          <w:sz w:val="21"/>
          <w:szCs w:val="21"/>
          <w:highlight w:val="none"/>
        </w:rPr>
        <w:t>：</w:t>
      </w:r>
      <w:bookmarkEnd w:id="2"/>
      <w:bookmarkEnd w:id="3"/>
    </w:p>
    <w:p w14:paraId="6E6EBA06">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bookmarkStart w:id="4" w:name="_Toc8581"/>
      <w:r>
        <w:rPr>
          <w:rFonts w:hint="eastAsia" w:ascii="宋体" w:hAnsi="宋体" w:eastAsia="宋体" w:cs="宋体"/>
          <w:color w:val="auto"/>
          <w:sz w:val="21"/>
          <w:szCs w:val="21"/>
          <w:highlight w:val="none"/>
        </w:rPr>
        <w:t>1、供应商须为在中华人民共和国境内登记注册的具有独立承担民事责任能力的法人或其他组织。</w:t>
      </w:r>
    </w:p>
    <w:p w14:paraId="6C03AADE">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2、供应商的单位负责人为同一人或者存在直接控股、管理关系的不同供应商，不得参加同一合同项下的采购活动。</w:t>
      </w:r>
    </w:p>
    <w:p w14:paraId="2D83C530">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参加采购活动前3年内，在经营活动中没有重大违法记录（提供书面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1579D2A">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未被列入“信用中国”网站(www.creditchina.gov.cn)“失信被执行人或重大税收违法失信主体或政府采购严重违法失信行为记录名单”（以采购代理机构磋商截止日当天在“信用中国”网站（www.creditchina.gov.cn）查询结果为准，如相关失信记录已失效，供应商需提供相关证明资料）。</w:t>
      </w:r>
    </w:p>
    <w:p w14:paraId="06FA809C">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5、供应商未被列入东实集团及下属企业工程建设领域黑名单【以东莞实业投资控股集团有限公司发文（东实通〔2021〕44号）、（东实通〔2021〕98号）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（东实通〔202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（东实通〔202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号）为准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如有最新发文通知，按最新文件执行</w:t>
      </w:r>
      <w:r>
        <w:rPr>
          <w:rFonts w:hint="eastAsia" w:ascii="宋体" w:hAnsi="宋体" w:eastAsia="宋体" w:cs="宋体"/>
          <w:color w:val="auto"/>
          <w:sz w:val="21"/>
          <w:szCs w:val="21"/>
          <w:highlight w:val="none"/>
        </w:rPr>
        <w:t>】。</w:t>
      </w:r>
    </w:p>
    <w:p w14:paraId="76B41CC9">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其他资格要求：（1）供应商须具备有效的电力工程施工总承包三级（乙级）或以上资质，或输变电工程专业承包三级（乙级）或以上资质；（2）供应商须具备有效的承装（修、试）电力设施许可证承装类五级（或以上）许可；（3）供应商须具备有效的安全生产许可证；（4）供应商在项目所在地政府及中国南方电网有限责任公司、广东电网有限责任公司无处于限制投标资格的处罚（在响应文件中须提供单独的承诺函加盖公章）。注：由各级主管部门审批的企业资质资格的有效期于投标截止日已过期的供应商，如能提供对应主管部门有关资质资格有效期顺延的文件且供应商企业、人员资质资格情况符合文件规定，则视为仍然有效。</w:t>
      </w:r>
    </w:p>
    <w:p w14:paraId="4A2B2731">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7、本项目不接受联合体磋商。</w:t>
      </w:r>
    </w:p>
    <w:p w14:paraId="21CED5B1">
      <w:pPr>
        <w:keepNext w:val="0"/>
        <w:keepLines w:val="0"/>
        <w:pageBreakBefore w:val="0"/>
        <w:shd w:val="clear"/>
        <w:kinsoku/>
        <w:overflowPunct/>
        <w:topLinePunct w:val="0"/>
        <w:bidi w:val="0"/>
        <w:snapToGrid/>
        <w:spacing w:line="360" w:lineRule="auto"/>
        <w:outlineLvl w:val="0"/>
        <w:rPr>
          <w:rFonts w:hint="eastAsia" w:ascii="宋体" w:hAnsi="宋体" w:eastAsia="宋体" w:cs="宋体"/>
          <w:b/>
          <w:bCs/>
          <w:color w:val="auto"/>
          <w:sz w:val="21"/>
          <w:szCs w:val="21"/>
          <w:highlight w:val="none"/>
        </w:rPr>
      </w:pPr>
      <w:bookmarkStart w:id="5" w:name="_Toc18279"/>
      <w:r>
        <w:rPr>
          <w:rFonts w:hint="eastAsia" w:ascii="宋体" w:hAnsi="宋体" w:eastAsia="宋体" w:cs="宋体"/>
          <w:b/>
          <w:bCs/>
          <w:color w:val="auto"/>
          <w:sz w:val="21"/>
          <w:szCs w:val="21"/>
          <w:highlight w:val="none"/>
        </w:rPr>
        <w:t>三、获取磋商文件：</w:t>
      </w:r>
      <w:bookmarkEnd w:id="4"/>
      <w:bookmarkEnd w:id="5"/>
    </w:p>
    <w:p w14:paraId="4DFC8488">
      <w:pPr>
        <w:keepNext w:val="0"/>
        <w:keepLines w:val="0"/>
        <w:pageBreakBefore w:val="0"/>
        <w:widowControl/>
        <w:shd w:val="clear"/>
        <w:kinsoku/>
        <w:overflowPunct/>
        <w:topLinePunct w:val="0"/>
        <w:bidi w:val="0"/>
        <w:adjustRightInd/>
        <w:snapToGrid/>
        <w:spacing w:line="360" w:lineRule="auto"/>
        <w:ind w:left="0" w:right="0" w:firstLine="420" w:firstLineChars="200"/>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本项目不进行实名登记报名，拟参加磋商的供应商于磋商截止时间前自行网上下载采购文件。采购文件下载地址：中国招标投标公共服务平台（http://www.cebpubservice.com/）、</w:t>
      </w:r>
      <w:r>
        <w:rPr>
          <w:rFonts w:hint="eastAsia" w:ascii="宋体" w:hAnsi="宋体" w:eastAsia="宋体" w:cs="宋体"/>
          <w:strike w:val="0"/>
          <w:color w:val="auto"/>
          <w:kern w:val="2"/>
          <w:sz w:val="21"/>
          <w:szCs w:val="21"/>
          <w:highlight w:val="none"/>
        </w:rPr>
        <w:t>东莞实业投资控股集团有限公司-招标采购栏目（http://www.dgsy.com.cn/）、</w:t>
      </w:r>
      <w:r>
        <w:rPr>
          <w:rFonts w:hint="eastAsia" w:ascii="宋体" w:hAnsi="宋体" w:eastAsia="宋体" w:cs="宋体"/>
          <w:color w:val="auto"/>
          <w:kern w:val="2"/>
          <w:sz w:val="21"/>
          <w:szCs w:val="21"/>
          <w:highlight w:val="none"/>
          <w:lang w:eastAsia="zh-CN"/>
        </w:rPr>
        <w:t>广东政通招标有限公司</w:t>
      </w:r>
      <w:r>
        <w:rPr>
          <w:rFonts w:hint="eastAsia" w:ascii="宋体" w:hAnsi="宋体" w:eastAsia="宋体" w:cs="宋体"/>
          <w:color w:val="auto"/>
          <w:kern w:val="2"/>
          <w:sz w:val="21"/>
          <w:szCs w:val="21"/>
          <w:highlight w:val="none"/>
        </w:rPr>
        <w:t>官网（</w:t>
      </w:r>
      <w:r>
        <w:rPr>
          <w:rFonts w:hint="eastAsia" w:ascii="宋体" w:hAnsi="宋体" w:eastAsia="宋体" w:cs="宋体"/>
          <w:color w:val="auto"/>
          <w:kern w:val="2"/>
          <w:sz w:val="21"/>
          <w:szCs w:val="21"/>
          <w:highlight w:val="none"/>
          <w:lang w:eastAsia="zh-CN"/>
        </w:rPr>
        <w:t>http://www.zttendering.com/</w:t>
      </w:r>
      <w:r>
        <w:rPr>
          <w:rFonts w:hint="eastAsia" w:ascii="宋体" w:hAnsi="宋体" w:eastAsia="宋体" w:cs="宋体"/>
          <w:color w:val="auto"/>
          <w:kern w:val="2"/>
          <w:sz w:val="21"/>
          <w:szCs w:val="21"/>
          <w:highlight w:val="none"/>
        </w:rPr>
        <w:t>）。</w:t>
      </w:r>
    </w:p>
    <w:p w14:paraId="20844B67">
      <w:pPr>
        <w:pStyle w:val="5"/>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rPr>
        <w:t>采购结果公告发布媒介：</w:t>
      </w:r>
      <w:r>
        <w:rPr>
          <w:rFonts w:hint="eastAsia" w:ascii="宋体" w:hAnsi="宋体" w:eastAsia="宋体" w:cs="宋体"/>
          <w:color w:val="auto"/>
          <w:sz w:val="21"/>
          <w:szCs w:val="21"/>
          <w:highlight w:val="none"/>
        </w:rPr>
        <w:t>东莞实业投资控股集团有限公司-招标采购栏目（http://www.dgsy.com.cn/）。</w:t>
      </w:r>
    </w:p>
    <w:p w14:paraId="2E633D88">
      <w:pPr>
        <w:keepNext w:val="0"/>
        <w:keepLines w:val="0"/>
        <w:pageBreakBefore w:val="0"/>
        <w:widowControl/>
        <w:shd w:val="clear"/>
        <w:kinsoku/>
        <w:overflowPunct/>
        <w:topLinePunct w:val="0"/>
        <w:bidi w:val="0"/>
        <w:snapToGrid/>
        <w:spacing w:line="360" w:lineRule="auto"/>
        <w:ind w:firstLine="482"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四、接收响应文件的时间、地点、截止时间，开启响应文件时间、地点</w:t>
      </w:r>
      <w:r>
        <w:rPr>
          <w:rFonts w:hint="eastAsia" w:ascii="宋体" w:hAnsi="宋体" w:eastAsia="宋体" w:cs="宋体"/>
          <w:b/>
          <w:color w:val="auto"/>
          <w:szCs w:val="21"/>
          <w:highlight w:val="none"/>
        </w:rPr>
        <w:t>：</w:t>
      </w:r>
    </w:p>
    <w:p w14:paraId="5E1648C1">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1、接收响应文件的时间：</w:t>
      </w:r>
      <w:r>
        <w:rPr>
          <w:rFonts w:hint="eastAsia" w:ascii="宋体" w:hAnsi="宋体" w:eastAsia="宋体" w:cs="宋体"/>
          <w:color w:val="auto"/>
          <w:sz w:val="21"/>
          <w:szCs w:val="21"/>
          <w:highlight w:val="none"/>
          <w:lang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下午</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:30。</w:t>
      </w:r>
    </w:p>
    <w:p w14:paraId="5150649E">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2、接收响应文件截止时间及开启响应文件时间：2024年8月2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下午</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:30。</w:t>
      </w:r>
    </w:p>
    <w:p w14:paraId="74F3A72F">
      <w:pPr>
        <w:keepNext w:val="0"/>
        <w:keepLines w:val="0"/>
        <w:pageBreakBefore w:val="0"/>
        <w:shd w:val="clear"/>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3、接收响应文件地点：</w:t>
      </w:r>
      <w:r>
        <w:rPr>
          <w:rFonts w:hint="eastAsia" w:ascii="宋体" w:hAnsi="宋体" w:eastAsia="宋体" w:cs="宋体"/>
          <w:color w:val="auto"/>
          <w:sz w:val="21"/>
          <w:szCs w:val="21"/>
          <w:highlight w:val="none"/>
          <w:lang w:eastAsia="zh-CN"/>
        </w:rPr>
        <w:t>东莞市南城街道鸿福路199号（市民服务中心）411室</w:t>
      </w:r>
      <w:r>
        <w:rPr>
          <w:rFonts w:hint="eastAsia" w:ascii="宋体" w:hAnsi="宋体" w:eastAsia="宋体" w:cs="宋体"/>
          <w:color w:val="auto"/>
          <w:sz w:val="21"/>
          <w:szCs w:val="21"/>
          <w:highlight w:val="none"/>
        </w:rPr>
        <w:t>。</w:t>
      </w:r>
    </w:p>
    <w:p w14:paraId="3E6EA8D3">
      <w:pPr>
        <w:keepNext w:val="0"/>
        <w:keepLines w:val="0"/>
        <w:pageBreakBefore w:val="0"/>
        <w:shd w:val="clear"/>
        <w:kinsoku/>
        <w:overflowPunct/>
        <w:topLinePunct w:val="0"/>
        <w:bidi w:val="0"/>
        <w:snapToGrid/>
        <w:spacing w:line="360" w:lineRule="auto"/>
        <w:outlineLvl w:val="0"/>
        <w:rPr>
          <w:rFonts w:hint="eastAsia" w:ascii="宋体" w:hAnsi="宋体" w:eastAsia="宋体" w:cs="宋体"/>
          <w:b/>
          <w:bCs/>
          <w:color w:val="auto"/>
          <w:sz w:val="21"/>
          <w:szCs w:val="21"/>
          <w:highlight w:val="none"/>
        </w:rPr>
      </w:pPr>
      <w:bookmarkStart w:id="6" w:name="_Toc26926"/>
      <w:bookmarkStart w:id="7" w:name="_Toc16689"/>
      <w:r>
        <w:rPr>
          <w:rFonts w:hint="eastAsia" w:ascii="宋体" w:hAnsi="宋体" w:eastAsia="宋体" w:cs="宋体"/>
          <w:b/>
          <w:bCs/>
          <w:color w:val="auto"/>
          <w:sz w:val="21"/>
          <w:szCs w:val="21"/>
          <w:highlight w:val="none"/>
        </w:rPr>
        <w:t>五、</w:t>
      </w:r>
      <w:r>
        <w:rPr>
          <w:rFonts w:hint="eastAsia" w:ascii="宋体" w:hAnsi="宋体" w:eastAsia="宋体" w:cs="宋体"/>
          <w:b/>
          <w:color w:val="auto"/>
          <w:sz w:val="21"/>
          <w:szCs w:val="21"/>
          <w:highlight w:val="none"/>
        </w:rPr>
        <w:t>采购代理机构</w:t>
      </w:r>
      <w:r>
        <w:rPr>
          <w:rFonts w:hint="eastAsia" w:ascii="宋体" w:hAnsi="宋体" w:eastAsia="宋体" w:cs="宋体"/>
          <w:b/>
          <w:bCs/>
          <w:color w:val="auto"/>
          <w:sz w:val="21"/>
          <w:szCs w:val="21"/>
          <w:highlight w:val="none"/>
        </w:rPr>
        <w:t>及采购人</w:t>
      </w:r>
      <w:r>
        <w:rPr>
          <w:rFonts w:hint="eastAsia" w:ascii="宋体" w:hAnsi="宋体" w:eastAsia="宋体" w:cs="宋体"/>
          <w:b/>
          <w:color w:val="auto"/>
          <w:sz w:val="21"/>
          <w:szCs w:val="21"/>
          <w:highlight w:val="none"/>
        </w:rPr>
        <w:t>的地址和联系方式</w:t>
      </w:r>
      <w:r>
        <w:rPr>
          <w:rFonts w:hint="eastAsia" w:ascii="宋体" w:hAnsi="宋体" w:eastAsia="宋体" w:cs="宋体"/>
          <w:b/>
          <w:bCs/>
          <w:color w:val="auto"/>
          <w:sz w:val="21"/>
          <w:szCs w:val="21"/>
          <w:highlight w:val="none"/>
        </w:rPr>
        <w:t>：</w:t>
      </w:r>
      <w:bookmarkEnd w:id="6"/>
      <w:bookmarkEnd w:id="7"/>
    </w:p>
    <w:p w14:paraId="447D25F3">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广东政通招标有限公司</w:t>
      </w:r>
    </w:p>
    <w:p w14:paraId="1BF3D97E">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东莞市南城街道鸿福路199号（市民服务中心）411室</w:t>
      </w:r>
    </w:p>
    <w:p w14:paraId="7E065B3E">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杨先生</w:t>
      </w:r>
    </w:p>
    <w:p w14:paraId="58634C05">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0769-22881803</w:t>
      </w:r>
    </w:p>
    <w:p w14:paraId="63E84B80">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    箱</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471539976@qq.com</w:t>
      </w:r>
    </w:p>
    <w:p w14:paraId="072ED689">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lang w:eastAsia="zh-CN"/>
        </w:rPr>
        <w:t xml:space="preserve">东莞市旗万安居建设有限公司 </w:t>
      </w:r>
    </w:p>
    <w:p w14:paraId="112C1AB6">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东莞市东城区八一路1号机关二号大院9号楼103室</w:t>
      </w:r>
    </w:p>
    <w:p w14:paraId="566116D0">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曾小姐</w:t>
      </w:r>
    </w:p>
    <w:p w14:paraId="1967AE56">
      <w:pPr>
        <w:keepNext w:val="0"/>
        <w:keepLines w:val="0"/>
        <w:pageBreakBefore w:val="0"/>
        <w:shd w:val="clear"/>
        <w:kinsoku/>
        <w:overflowPunct/>
        <w:topLinePunct w:val="0"/>
        <w:bidi w:val="0"/>
        <w:snapToGrid/>
        <w:spacing w:line="360" w:lineRule="auto"/>
        <w:ind w:right="-34" w:firstLine="424" w:firstLineChars="202"/>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电    话：0769-28681293 </w:t>
      </w:r>
      <w:r>
        <w:rPr>
          <w:rFonts w:hint="eastAsia" w:ascii="宋体" w:hAnsi="宋体" w:eastAsia="宋体" w:cs="宋体"/>
          <w:b/>
          <w:color w:val="auto"/>
          <w:sz w:val="21"/>
          <w:szCs w:val="21"/>
          <w:highlight w:val="none"/>
        </w:rPr>
        <w:t xml:space="preserve">                                         </w:t>
      </w:r>
    </w:p>
    <w:p w14:paraId="5C29E243">
      <w:pPr>
        <w:keepNext w:val="0"/>
        <w:keepLines w:val="0"/>
        <w:pageBreakBefore w:val="0"/>
        <w:shd w:val="clear"/>
        <w:kinsoku/>
        <w:overflowPunct/>
        <w:topLinePunct w:val="0"/>
        <w:bidi w:val="0"/>
        <w:snapToGrid/>
        <w:spacing w:line="360" w:lineRule="auto"/>
        <w:ind w:firstLine="422" w:firstLineChars="200"/>
        <w:jc w:val="right"/>
        <w:rPr>
          <w:rFonts w:hint="eastAsia" w:ascii="宋体" w:hAnsi="宋体" w:eastAsia="宋体" w:cs="宋体"/>
          <w:b/>
          <w:color w:val="auto"/>
          <w:sz w:val="21"/>
          <w:szCs w:val="21"/>
          <w:highlight w:val="none"/>
        </w:rPr>
      </w:pPr>
    </w:p>
    <w:p w14:paraId="212FB731">
      <w:pPr>
        <w:keepNext w:val="0"/>
        <w:keepLines w:val="0"/>
        <w:pageBreakBefore w:val="0"/>
        <w:shd w:val="clear"/>
        <w:kinsoku/>
        <w:overflowPunct/>
        <w:topLinePunct w:val="0"/>
        <w:bidi w:val="0"/>
        <w:snapToGrid/>
        <w:spacing w:line="360" w:lineRule="auto"/>
        <w:ind w:firstLine="422" w:firstLineChars="200"/>
        <w:jc w:val="righ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东莞市旗万安居建设有限公司 </w:t>
      </w:r>
    </w:p>
    <w:p w14:paraId="05716E21">
      <w:pPr>
        <w:keepNext w:val="0"/>
        <w:keepLines w:val="0"/>
        <w:pageBreakBefore w:val="0"/>
        <w:shd w:val="clear"/>
        <w:kinsoku/>
        <w:overflowPunct/>
        <w:topLinePunct w:val="0"/>
        <w:bidi w:val="0"/>
        <w:snapToGrid/>
        <w:spacing w:line="360" w:lineRule="auto"/>
        <w:ind w:firstLine="422" w:firstLineChars="200"/>
        <w:jc w:val="righ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广东政通招标有限公司</w:t>
      </w:r>
    </w:p>
    <w:p w14:paraId="05CCF34B">
      <w:pPr>
        <w:jc w:val="right"/>
        <w:rPr>
          <w:rFonts w:hint="eastAsia" w:ascii="宋体" w:hAnsi="宋体" w:eastAsia="宋体" w:cs="宋体"/>
        </w:rPr>
      </w:pPr>
      <w:r>
        <w:rPr>
          <w:rFonts w:hint="eastAsia" w:ascii="宋体" w:hAnsi="宋体" w:eastAsia="宋体" w:cs="宋体"/>
          <w:b/>
          <w:color w:val="auto"/>
          <w:sz w:val="21"/>
          <w:szCs w:val="21"/>
          <w:highlight w:val="none"/>
          <w:lang w:eastAsia="zh-CN"/>
        </w:rPr>
        <w:t>2024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YWM2YjFjM2NjMjgwNTJhZTk4ZmQ4MjE1NDdmZTEifQ=="/>
  </w:docVars>
  <w:rsids>
    <w:rsidRoot w:val="4BE53DB1"/>
    <w:rsid w:val="06F57380"/>
    <w:rsid w:val="07C94DF8"/>
    <w:rsid w:val="0D4B16DA"/>
    <w:rsid w:val="2A201482"/>
    <w:rsid w:val="4BE53DB1"/>
    <w:rsid w:val="53D33B35"/>
    <w:rsid w:val="54915746"/>
    <w:rsid w:val="618B5A4F"/>
    <w:rsid w:val="683055A2"/>
    <w:rsid w:val="68955405"/>
    <w:rsid w:val="694806C9"/>
    <w:rsid w:val="780879A1"/>
    <w:rsid w:val="7A350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styleId="2">
    <w:name w:val="heading 1"/>
    <w:basedOn w:val="1"/>
    <w:next w:val="1"/>
    <w:qFormat/>
    <w:uiPriority w:val="0"/>
    <w:pPr>
      <w:outlineLvl w:val="0"/>
    </w:p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1617</Words>
  <Characters>1971</Characters>
  <Lines>0</Lines>
  <Paragraphs>0</Paragraphs>
  <TotalTime>97</TotalTime>
  <ScaleCrop>false</ScaleCrop>
  <LinksUpToDate>false</LinksUpToDate>
  <CharactersWithSpaces>2046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2024-08-13T01:09:00Z</dcterms:created>
  <dc:creator>Windowns</dc:creator>
  <cp:lastModifiedBy>Windowns</cp:lastModifiedBy>
  <cp:lastPrinted>2024-08-13T02:49:00Z</cp:lastPrinted>
  <dcterms:modified xsi:type="dcterms:W3CDTF">2024-08-13T08:38:09Z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D1C85D6335E741C3A4262748BD8F2619_11</vt:lpwstr>
  </property>
</Properties>
</file>