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rPr>
          <w:color w:val="auto"/>
          <w:highlight w:val="none"/>
        </w:rPr>
      </w:pPr>
    </w:p>
    <w:p>
      <w:pPr>
        <w:jc w:val="center"/>
        <w:rPr>
          <w:b/>
          <w:color w:val="auto"/>
          <w:sz w:val="72"/>
          <w:szCs w:val="32"/>
          <w:highlight w:val="none"/>
        </w:rPr>
      </w:pPr>
      <w:r>
        <w:rPr>
          <w:rFonts w:hint="eastAsia" w:ascii="黑体" w:eastAsia="黑体"/>
          <w:b/>
          <w:color w:val="auto"/>
          <w:sz w:val="72"/>
          <w:szCs w:val="32"/>
          <w:highlight w:val="none"/>
          <w:lang w:eastAsia="zh-CN"/>
        </w:rPr>
        <w:t>公开遴选</w:t>
      </w:r>
      <w:r>
        <w:rPr>
          <w:rFonts w:hint="eastAsia" w:ascii="黑体" w:eastAsia="黑体"/>
          <w:b/>
          <w:color w:val="auto"/>
          <w:sz w:val="72"/>
          <w:szCs w:val="32"/>
          <w:highlight w:val="none"/>
        </w:rPr>
        <w:t>文件</w:t>
      </w:r>
    </w:p>
    <w:p>
      <w:pPr>
        <w:pStyle w:val="8"/>
        <w:jc w:val="center"/>
        <w:rPr>
          <w:rFonts w:ascii="黑体" w:eastAsia="黑体"/>
          <w:color w:val="auto"/>
          <w:szCs w:val="21"/>
          <w:highlight w:val="none"/>
        </w:rPr>
      </w:pPr>
      <w:r>
        <w:rPr>
          <w:rFonts w:hint="eastAsia" w:ascii="黑体" w:eastAsia="黑体"/>
          <w:color w:val="auto"/>
          <w:szCs w:val="21"/>
          <w:highlight w:val="none"/>
          <w:lang w:val="en-US" w:bidi="ar-SA"/>
        </w:rPr>
        <w:drawing>
          <wp:inline distT="0" distB="0" distL="114300" distR="114300">
            <wp:extent cx="2129790" cy="2035175"/>
            <wp:effectExtent l="0" t="0" r="3810" b="317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8"/>
                    <a:srcRect l="6233" t="18358" r="67326" b="19339"/>
                    <a:stretch>
                      <a:fillRect/>
                    </a:stretch>
                  </pic:blipFill>
                  <pic:spPr>
                    <a:xfrm>
                      <a:off x="0" y="0"/>
                      <a:ext cx="2129790" cy="2035175"/>
                    </a:xfrm>
                    <a:prstGeom prst="rect">
                      <a:avLst/>
                    </a:prstGeom>
                  </pic:spPr>
                </pic:pic>
              </a:graphicData>
            </a:graphic>
          </wp:inline>
        </w:drawing>
      </w:r>
    </w:p>
    <w:p>
      <w:pPr>
        <w:jc w:val="center"/>
        <w:rPr>
          <w:color w:val="auto"/>
          <w:highlight w:val="none"/>
        </w:rPr>
      </w:pPr>
    </w:p>
    <w:tbl>
      <w:tblPr>
        <w:tblStyle w:val="19"/>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00"/>
        <w:gridCol w:w="5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项目编号：</w:t>
            </w:r>
          </w:p>
        </w:tc>
        <w:tc>
          <w:tcPr>
            <w:tcW w:w="5716"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GDZT2024152A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5716" w:type="dxa"/>
            <w:noWrap/>
            <w:vAlign w:val="center"/>
          </w:tcPr>
          <w:p>
            <w:pPr>
              <w:spacing w:before="200"/>
              <w:jc w:val="both"/>
              <w:rPr>
                <w:rFonts w:hint="eastAsia" w:ascii="黑体" w:hAnsi="黑体" w:eastAsia="黑体" w:cs="黑体"/>
                <w:bCs/>
                <w:color w:val="auto"/>
                <w:sz w:val="32"/>
                <w:szCs w:val="24"/>
                <w:highlight w:val="none"/>
                <w:lang w:val="en-US" w:eastAsia="zh-CN"/>
              </w:rPr>
            </w:pPr>
            <w:r>
              <w:rPr>
                <w:rFonts w:ascii="黑体" w:hAnsi="黑体" w:eastAsia="黑体" w:cs="黑体"/>
                <w:bCs/>
                <w:color w:val="auto"/>
                <w:sz w:val="32"/>
                <w:szCs w:val="24"/>
                <w:highlight w:val="none"/>
              </w:rPr>
              <w:t>东莞市常平镇新城学校宿舍（三期）设施设备项目</w:t>
            </w:r>
            <w:r>
              <w:rPr>
                <w:rFonts w:hint="eastAsia" w:ascii="黑体" w:hAnsi="黑体" w:eastAsia="黑体" w:cs="黑体"/>
                <w:bCs/>
                <w:color w:val="auto"/>
                <w:sz w:val="32"/>
                <w:szCs w:val="24"/>
                <w:highlight w:val="none"/>
                <w:lang w:val="en-US" w:eastAsia="zh-CN"/>
              </w:rPr>
              <w:t>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采购人（盖章）：</w:t>
            </w:r>
          </w:p>
        </w:tc>
        <w:tc>
          <w:tcPr>
            <w:tcW w:w="5716" w:type="dxa"/>
            <w:noWrap/>
            <w:vAlign w:val="center"/>
          </w:tcPr>
          <w:p>
            <w:pPr>
              <w:spacing w:before="200"/>
              <w:jc w:val="both"/>
              <w:rPr>
                <w:rFonts w:ascii="黑体" w:hAnsi="黑体" w:eastAsia="黑体" w:cs="黑体"/>
                <w:bCs/>
                <w:color w:val="auto"/>
                <w:sz w:val="32"/>
                <w:szCs w:val="24"/>
                <w:highlight w:val="none"/>
              </w:rPr>
            </w:pPr>
            <w:r>
              <w:rPr>
                <w:rFonts w:ascii="黑体" w:hAnsi="黑体" w:eastAsia="黑体" w:cs="黑体"/>
                <w:bCs/>
                <w:color w:val="auto"/>
                <w:sz w:val="32"/>
                <w:szCs w:val="24"/>
                <w:highlight w:val="none"/>
              </w:rPr>
              <w:t>东莞市常平镇新城学校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招标代理（盖章）：</w:t>
            </w:r>
          </w:p>
        </w:tc>
        <w:tc>
          <w:tcPr>
            <w:tcW w:w="5716"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广东政通招标有限公司</w:t>
            </w:r>
          </w:p>
        </w:tc>
      </w:tr>
    </w:tbl>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eastAsia="微软雅黑"/>
          <w:color w:val="auto"/>
          <w:highlight w:val="none"/>
          <w:lang w:val="en-US" w:eastAsia="zh-CN"/>
        </w:rPr>
      </w:pPr>
      <w:r>
        <w:rPr>
          <w:rFonts w:hint="eastAsia"/>
          <w:color w:val="auto"/>
          <w:highlight w:val="none"/>
          <w:lang w:val="en-US" w:eastAsia="zh-CN"/>
        </w:rPr>
        <w:t xml:space="preserve"> </w:t>
      </w:r>
    </w:p>
    <w:p>
      <w:pPr>
        <w:rPr>
          <w:color w:val="auto"/>
          <w:highlight w:val="none"/>
        </w:rPr>
      </w:pPr>
    </w:p>
    <w:p>
      <w:pPr>
        <w:pStyle w:val="16"/>
        <w:ind w:left="0" w:leftChars="0" w:firstLine="0" w:firstLineChars="0"/>
        <w:jc w:val="center"/>
        <w:rPr>
          <w:rFonts w:hint="eastAsia"/>
          <w:b/>
          <w:bCs/>
          <w:color w:val="auto"/>
          <w:sz w:val="44"/>
          <w:szCs w:val="44"/>
          <w:highlight w:val="none"/>
          <w:lang w:val="en-US" w:eastAsia="zh-CN"/>
        </w:rPr>
      </w:pPr>
      <w:r>
        <w:rPr>
          <w:rFonts w:hint="eastAsia"/>
          <w:b/>
          <w:bCs/>
          <w:color w:val="auto"/>
          <w:sz w:val="44"/>
          <w:szCs w:val="44"/>
          <w:highlight w:val="none"/>
          <w:lang w:val="en-US" w:eastAsia="zh-CN"/>
        </w:rPr>
        <w:t>温馨提示</w:t>
      </w:r>
    </w:p>
    <w:p>
      <w:pPr>
        <w:pStyle w:val="2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宋体" w:hAnsi="宋体" w:eastAsia="宋体" w:cstheme="minorBidi"/>
          <w:color w:val="auto"/>
          <w:sz w:val="22"/>
          <w:szCs w:val="22"/>
          <w:highlight w:val="none"/>
          <w:lang w:val="en-US" w:eastAsia="zh-CN" w:bidi="ar-SA"/>
        </w:rPr>
      </w:pPr>
      <w:r>
        <w:rPr>
          <w:rFonts w:hint="eastAsia" w:ascii="宋体" w:hAnsi="宋体" w:eastAsia="宋体" w:cstheme="minorBidi"/>
          <w:color w:val="auto"/>
          <w:sz w:val="22"/>
          <w:szCs w:val="22"/>
          <w:highlight w:val="none"/>
          <w:lang w:val="en-US" w:eastAsia="zh-CN" w:bidi="ar-SA"/>
        </w:rPr>
        <w:t>1、响应截止时间一到，本公司不接收任何响应文件，因此，请按规定时间到达。</w:t>
      </w:r>
    </w:p>
    <w:p>
      <w:pPr>
        <w:pStyle w:val="2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宋体" w:hAnsi="宋体" w:eastAsia="宋体" w:cstheme="minorBidi"/>
          <w:color w:val="auto"/>
          <w:sz w:val="22"/>
          <w:szCs w:val="22"/>
          <w:highlight w:val="none"/>
          <w:lang w:val="en-US" w:eastAsia="zh-CN" w:bidi="ar-SA"/>
        </w:rPr>
      </w:pPr>
      <w:r>
        <w:rPr>
          <w:rFonts w:hint="eastAsia" w:ascii="宋体" w:hAnsi="宋体" w:eastAsia="宋体" w:cstheme="minorBidi"/>
          <w:color w:val="auto"/>
          <w:sz w:val="22"/>
          <w:szCs w:val="22"/>
          <w:highlight w:val="none"/>
          <w:lang w:val="en-US" w:eastAsia="zh-CN" w:bidi="ar-SA"/>
        </w:rPr>
        <w:t>2、请正确填写《开标一览表》。多包项目请仔细检查包组号，包组号跟包组名称必须一致。</w:t>
      </w:r>
    </w:p>
    <w:p>
      <w:pPr>
        <w:pStyle w:val="2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宋体" w:hAnsi="宋体" w:eastAsia="宋体" w:cstheme="minorBidi"/>
          <w:color w:val="auto"/>
          <w:sz w:val="22"/>
          <w:szCs w:val="22"/>
          <w:highlight w:val="none"/>
          <w:lang w:val="en-US" w:eastAsia="zh-CN" w:bidi="ar-SA"/>
        </w:rPr>
      </w:pPr>
      <w:r>
        <w:rPr>
          <w:rFonts w:hint="eastAsia" w:ascii="宋体" w:hAnsi="宋体" w:eastAsia="宋体" w:cstheme="minorBidi"/>
          <w:color w:val="auto"/>
          <w:sz w:val="22"/>
          <w:szCs w:val="22"/>
          <w:highlight w:val="none"/>
          <w:lang w:val="en-US" w:eastAsia="zh-CN" w:bidi="ar-SA"/>
        </w:rPr>
        <w:t>3、请仔细检查响应文件是否已按遴选文件盖章、签名(或盖私章)、签署日期。</w:t>
      </w:r>
    </w:p>
    <w:p>
      <w:pPr>
        <w:pStyle w:val="2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宋体" w:hAnsi="宋体" w:eastAsia="宋体" w:cstheme="minorBidi"/>
          <w:color w:val="auto"/>
          <w:sz w:val="22"/>
          <w:szCs w:val="22"/>
          <w:highlight w:val="none"/>
          <w:lang w:val="en-US" w:eastAsia="zh-CN" w:bidi="ar-SA"/>
        </w:rPr>
      </w:pPr>
      <w:r>
        <w:rPr>
          <w:rFonts w:hint="eastAsia" w:ascii="宋体" w:hAnsi="宋体" w:eastAsia="宋体" w:cstheme="minorBidi"/>
          <w:color w:val="auto"/>
          <w:sz w:val="22"/>
          <w:szCs w:val="22"/>
          <w:highlight w:val="none"/>
          <w:lang w:val="en-US" w:eastAsia="zh-CN" w:bidi="ar-SA"/>
        </w:rPr>
        <w:t>4、加★号的条款必须一一响应。</w:t>
      </w:r>
    </w:p>
    <w:p>
      <w:pPr>
        <w:pStyle w:val="2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宋体" w:hAnsi="宋体" w:eastAsia="宋体" w:cstheme="minorBidi"/>
          <w:color w:val="auto"/>
          <w:sz w:val="22"/>
          <w:szCs w:val="22"/>
          <w:highlight w:val="none"/>
          <w:lang w:val="en-US" w:eastAsia="zh-CN" w:bidi="ar-SA"/>
        </w:rPr>
      </w:pPr>
      <w:r>
        <w:rPr>
          <w:rFonts w:hint="eastAsia" w:ascii="宋体" w:hAnsi="宋体" w:eastAsia="宋体" w:cstheme="minorBidi"/>
          <w:color w:val="auto"/>
          <w:sz w:val="22"/>
          <w:szCs w:val="22"/>
          <w:highlight w:val="none"/>
          <w:lang w:val="en-US" w:eastAsia="zh-CN" w:bidi="ar-SA"/>
        </w:rPr>
        <w:t>5、响应文件应按顺序编制页码。</w:t>
      </w:r>
    </w:p>
    <w:p>
      <w:pPr>
        <w:pStyle w:val="2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宋体" w:hAnsi="宋体" w:eastAsia="宋体" w:cstheme="minorBidi"/>
          <w:color w:val="auto"/>
          <w:sz w:val="22"/>
          <w:szCs w:val="22"/>
          <w:highlight w:val="none"/>
          <w:lang w:val="en-US" w:eastAsia="zh-CN" w:bidi="ar-SA"/>
        </w:rPr>
      </w:pPr>
      <w:r>
        <w:rPr>
          <w:rFonts w:hint="eastAsia" w:ascii="宋体" w:hAnsi="宋体" w:eastAsia="宋体" w:cstheme="minorBidi"/>
          <w:color w:val="auto"/>
          <w:sz w:val="22"/>
          <w:szCs w:val="22"/>
          <w:highlight w:val="none"/>
          <w:lang w:val="en-US" w:eastAsia="zh-CN" w:bidi="ar-SA"/>
        </w:rPr>
        <w:t>6、我公司为采购代理机构，不对潜在供应商获取遴选文件时提交的相关资料的真实性负责，如潜在供应商发现相关资料被盗用、复制、伪造、变造等情况，应遵循法律途径解决，追究侵权者责任。</w:t>
      </w:r>
    </w:p>
    <w:p>
      <w:pPr>
        <w:pStyle w:val="8"/>
        <w:ind w:left="0" w:leftChars="0" w:firstLine="0" w:firstLineChars="0"/>
        <w:rPr>
          <w:rFonts w:hint="eastAsia"/>
          <w:color w:val="auto"/>
          <w:sz w:val="22"/>
          <w:szCs w:val="21"/>
          <w:highlight w:val="none"/>
          <w:lang w:val="en-US" w:eastAsia="zh-CN"/>
        </w:rPr>
      </w:pPr>
    </w:p>
    <w:p>
      <w:pPr>
        <w:keepNext w:val="0"/>
        <w:keepLines w:val="0"/>
        <w:pageBreakBefore w:val="0"/>
        <w:widowControl/>
        <w:tabs>
          <w:tab w:val="left" w:pos="709"/>
        </w:tabs>
        <w:kinsoku/>
        <w:wordWrap/>
        <w:overflowPunct/>
        <w:topLinePunct w:val="0"/>
        <w:autoSpaceDE/>
        <w:autoSpaceDN/>
        <w:bidi w:val="0"/>
        <w:adjustRightInd w:val="0"/>
        <w:snapToGrid w:val="0"/>
        <w:spacing w:before="156" w:beforeLines="50" w:line="360" w:lineRule="auto"/>
        <w:textAlignment w:val="auto"/>
        <w:rPr>
          <w:rFonts w:hint="eastAsia" w:ascii="宋体" w:hAnsi="宋体" w:eastAsia="宋体" w:cstheme="minorBidi"/>
          <w:b/>
          <w:bCs/>
          <w:color w:val="auto"/>
          <w:sz w:val="22"/>
          <w:szCs w:val="22"/>
          <w:highlight w:val="none"/>
          <w:lang w:val="en-US" w:eastAsia="zh-CN" w:bidi="ar-SA"/>
        </w:rPr>
      </w:pPr>
      <w:r>
        <w:rPr>
          <w:rFonts w:hint="eastAsia" w:ascii="宋体" w:hAnsi="宋体" w:eastAsia="宋体" w:cstheme="minorBidi"/>
          <w:color w:val="auto"/>
          <w:sz w:val="22"/>
          <w:szCs w:val="22"/>
          <w:highlight w:val="none"/>
          <w:lang w:val="en-US" w:eastAsia="zh-CN" w:bidi="ar-SA"/>
        </w:rPr>
        <w:t xml:space="preserve"> </w:t>
      </w:r>
      <w:r>
        <w:rPr>
          <w:rFonts w:hint="eastAsia" w:ascii="宋体" w:hAnsi="宋体" w:eastAsia="宋体" w:cstheme="minorBidi"/>
          <w:b/>
          <w:bCs/>
          <w:color w:val="auto"/>
          <w:sz w:val="22"/>
          <w:szCs w:val="22"/>
          <w:highlight w:val="none"/>
          <w:lang w:val="en-US" w:eastAsia="zh-CN" w:bidi="ar-SA"/>
        </w:rPr>
        <w:t>(本提示内容非遴选文件的组成部分，仅为善意提醒。如有不一致，以遴选文件为准。)</w:t>
      </w:r>
    </w:p>
    <w:p>
      <w:pPr>
        <w:rPr>
          <w:rFonts w:hint="eastAsia"/>
          <w:color w:val="auto"/>
          <w:sz w:val="40"/>
          <w:szCs w:val="40"/>
          <w:highlight w:val="none"/>
        </w:rPr>
      </w:pPr>
      <w:r>
        <w:rPr>
          <w:rFonts w:hint="eastAsia"/>
          <w:color w:val="auto"/>
          <w:sz w:val="40"/>
          <w:szCs w:val="40"/>
          <w:highlight w:val="none"/>
        </w:rPr>
        <w:br w:type="page"/>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800" w:firstLineChars="20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theme="minorBidi"/>
          <w:color w:val="auto"/>
          <w:sz w:val="40"/>
          <w:szCs w:val="40"/>
          <w:highlight w:val="none"/>
          <w:lang w:val="en-US" w:eastAsia="zh-CN" w:bidi="ar-SA"/>
        </w:rPr>
        <w:t>目录</w:t>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TOC \o "1-4" \h \z \u </w:instrText>
      </w:r>
      <w:r>
        <w:rPr>
          <w:rFonts w:hint="eastAsia" w:ascii="宋体" w:hAnsi="宋体" w:eastAsia="宋体" w:cs="宋体"/>
          <w:b w:val="0"/>
          <w:bCs w:val="0"/>
          <w:color w:val="auto"/>
          <w:sz w:val="21"/>
          <w:szCs w:val="21"/>
          <w:highlight w:val="none"/>
        </w:rPr>
        <w:fldChar w:fldCharType="separate"/>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_Toc13222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 xml:space="preserve">第一部分 </w:t>
      </w:r>
      <w:r>
        <w:rPr>
          <w:rFonts w:hint="eastAsia" w:ascii="宋体" w:hAnsi="宋体" w:eastAsia="宋体" w:cs="宋体"/>
          <w:b/>
          <w:bCs/>
          <w:color w:val="auto"/>
          <w:sz w:val="21"/>
          <w:szCs w:val="21"/>
          <w:highlight w:val="none"/>
          <w:lang w:eastAsia="zh-CN"/>
        </w:rPr>
        <w:t>遴选</w:t>
      </w:r>
      <w:r>
        <w:rPr>
          <w:rFonts w:hint="eastAsia" w:ascii="宋体" w:hAnsi="宋体" w:eastAsia="宋体" w:cs="宋体"/>
          <w:b/>
          <w:bCs/>
          <w:color w:val="auto"/>
          <w:sz w:val="21"/>
          <w:szCs w:val="21"/>
          <w:highlight w:val="none"/>
        </w:rPr>
        <w:t>邀请</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_Toc13222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_Toc17220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遴选</w:t>
      </w:r>
      <w:r>
        <w:rPr>
          <w:rFonts w:hint="eastAsia" w:ascii="宋体" w:hAnsi="宋体" w:eastAsia="宋体" w:cs="宋体"/>
          <w:b w:val="0"/>
          <w:bCs w:val="0"/>
          <w:color w:val="auto"/>
          <w:sz w:val="21"/>
          <w:szCs w:val="21"/>
          <w:highlight w:val="none"/>
        </w:rPr>
        <w:t>邀请</w:t>
      </w:r>
      <w:r>
        <w:rPr>
          <w:rFonts w:hint="eastAsia" w:ascii="宋体" w:hAnsi="宋体" w:eastAsia="宋体" w:cs="宋体"/>
          <w:b w:val="0"/>
          <w:bCs w:val="0"/>
          <w:color w:val="auto"/>
          <w:sz w:val="21"/>
          <w:szCs w:val="21"/>
          <w:highlight w:val="none"/>
          <w:lang w:eastAsia="zh-CN"/>
        </w:rPr>
        <w:t>函</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_Toc17220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_Toc4653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第二部分 相关资料表格</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_Toc4653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9</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_Toc30747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附表一：</w:t>
      </w:r>
      <w:r>
        <w:rPr>
          <w:rFonts w:hint="eastAsia" w:ascii="宋体" w:hAnsi="宋体" w:eastAsia="宋体" w:cs="宋体"/>
          <w:b w:val="0"/>
          <w:bCs w:val="0"/>
          <w:color w:val="auto"/>
          <w:sz w:val="21"/>
          <w:szCs w:val="21"/>
          <w:highlight w:val="none"/>
          <w:lang w:eastAsia="zh-CN"/>
        </w:rPr>
        <w:t>遴选</w:t>
      </w:r>
      <w:r>
        <w:rPr>
          <w:rFonts w:hint="eastAsia" w:ascii="宋体" w:hAnsi="宋体" w:eastAsia="宋体" w:cs="宋体"/>
          <w:b w:val="0"/>
          <w:bCs w:val="0"/>
          <w:color w:val="auto"/>
          <w:sz w:val="21"/>
          <w:szCs w:val="21"/>
          <w:highlight w:val="none"/>
        </w:rPr>
        <w:t>资料表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_Toc30747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_Toc10885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附表二：商务技术评分及价格权重表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_Toc10885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_Toc4633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第三部分 用户需求书</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_Toc4633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14</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_Toc13818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 xml:space="preserve">第四部分 </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须知</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_Toc13818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19</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_Toc28727 </w:instrText>
      </w:r>
      <w:r>
        <w:rPr>
          <w:rFonts w:hint="eastAsia" w:ascii="宋体" w:hAnsi="宋体" w:eastAsia="宋体" w:cs="宋体"/>
          <w:b w:val="0"/>
          <w:bCs w:val="0"/>
          <w:color w:val="auto"/>
          <w:sz w:val="21"/>
          <w:szCs w:val="21"/>
          <w:highlight w:val="none"/>
        </w:rPr>
        <w:fldChar w:fldCharType="separate"/>
      </w:r>
      <w:r>
        <w:rPr>
          <w:rFonts w:hint="default" w:ascii="宋体" w:hAnsi="宋体" w:eastAsia="宋体" w:cs="宋体"/>
          <w:b w:val="0"/>
          <w:bCs w:val="0"/>
          <w:color w:val="auto"/>
          <w:sz w:val="21"/>
          <w:szCs w:val="21"/>
          <w:highlight w:val="none"/>
        </w:rPr>
        <w:t xml:space="preserve">一、 </w:t>
      </w:r>
      <w:r>
        <w:rPr>
          <w:rFonts w:hint="eastAsia" w:ascii="宋体" w:hAnsi="宋体" w:eastAsia="宋体" w:cs="宋体"/>
          <w:b w:val="0"/>
          <w:bCs w:val="0"/>
          <w:color w:val="auto"/>
          <w:sz w:val="21"/>
          <w:szCs w:val="21"/>
          <w:highlight w:val="none"/>
        </w:rPr>
        <w:t>说明</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_Toc28727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_Toc30211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1.适用范围</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_Toc30211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_Toc30981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2.定义</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_Toc30981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_Toc23807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3.货物和服务</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_Toc23807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_Toc11134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费用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_Toc11134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_Toc19567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5.知识产权</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_Toc19567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_Toc4415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6.关于联合体</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_Toc4415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_Toc9491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7.关于分支机构</w:t>
      </w:r>
      <w:r>
        <w:rPr>
          <w:rFonts w:hint="eastAsia" w:ascii="宋体" w:hAnsi="宋体" w:eastAsia="宋体"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_Toc9491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_Toc30529 </w:instrText>
      </w:r>
      <w:r>
        <w:rPr>
          <w:rFonts w:hint="eastAsia" w:ascii="宋体" w:hAnsi="宋体" w:eastAsia="宋体" w:cs="宋体"/>
          <w:b w:val="0"/>
          <w:bCs w:val="0"/>
          <w:color w:val="auto"/>
          <w:sz w:val="21"/>
          <w:szCs w:val="21"/>
          <w:highlight w:val="none"/>
        </w:rPr>
        <w:fldChar w:fldCharType="separate"/>
      </w:r>
      <w:r>
        <w:rPr>
          <w:rFonts w:hint="default" w:ascii="宋体" w:hAnsi="宋体" w:eastAsia="宋体" w:cs="宋体"/>
          <w:b w:val="0"/>
          <w:bCs w:val="0"/>
          <w:color w:val="auto"/>
          <w:sz w:val="21"/>
          <w:szCs w:val="21"/>
          <w:highlight w:val="none"/>
        </w:rPr>
        <w:t xml:space="preserve">二、 </w:t>
      </w:r>
      <w:r>
        <w:rPr>
          <w:rFonts w:hint="eastAsia" w:ascii="宋体" w:hAnsi="宋体" w:eastAsia="宋体" w:cs="宋体"/>
          <w:b w:val="0"/>
          <w:bCs w:val="0"/>
          <w:color w:val="auto"/>
          <w:sz w:val="21"/>
          <w:szCs w:val="21"/>
          <w:highlight w:val="none"/>
          <w:lang w:eastAsia="zh-CN"/>
        </w:rPr>
        <w:t>遴选文件</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_Toc30529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_Toc31340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8.</w:t>
      </w:r>
      <w:r>
        <w:rPr>
          <w:rFonts w:hint="eastAsia" w:ascii="宋体" w:hAnsi="宋体" w:eastAsia="宋体" w:cs="宋体"/>
          <w:b w:val="0"/>
          <w:bCs w:val="0"/>
          <w:color w:val="auto"/>
          <w:sz w:val="21"/>
          <w:szCs w:val="21"/>
          <w:highlight w:val="none"/>
          <w:lang w:eastAsia="zh-CN"/>
        </w:rPr>
        <w:t>遴选文件</w:t>
      </w:r>
      <w:r>
        <w:rPr>
          <w:rFonts w:hint="eastAsia" w:ascii="宋体" w:hAnsi="宋体" w:eastAsia="宋体" w:cs="宋体"/>
          <w:b w:val="0"/>
          <w:bCs w:val="0"/>
          <w:color w:val="auto"/>
          <w:sz w:val="21"/>
          <w:szCs w:val="21"/>
          <w:highlight w:val="none"/>
        </w:rPr>
        <w:t>的组成</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_Toc31340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_Toc23483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sz w:val="21"/>
          <w:szCs w:val="21"/>
          <w:highlight w:val="none"/>
          <w:lang w:eastAsia="zh-CN"/>
        </w:rPr>
        <w:t>遴选文件</w:t>
      </w:r>
      <w:r>
        <w:rPr>
          <w:rFonts w:hint="eastAsia" w:ascii="宋体" w:hAnsi="宋体" w:eastAsia="宋体" w:cs="宋体"/>
          <w:b w:val="0"/>
          <w:bCs w:val="0"/>
          <w:color w:val="auto"/>
          <w:sz w:val="21"/>
          <w:szCs w:val="21"/>
          <w:highlight w:val="none"/>
        </w:rPr>
        <w:t>的澄清或修改</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_Toc23483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_Toc12172 </w:instrText>
      </w:r>
      <w:r>
        <w:rPr>
          <w:rFonts w:hint="eastAsia" w:ascii="宋体" w:hAnsi="宋体" w:eastAsia="宋体" w:cs="宋体"/>
          <w:b w:val="0"/>
          <w:bCs w:val="0"/>
          <w:color w:val="auto"/>
          <w:sz w:val="21"/>
          <w:szCs w:val="21"/>
          <w:highlight w:val="none"/>
        </w:rPr>
        <w:fldChar w:fldCharType="separate"/>
      </w:r>
      <w:r>
        <w:rPr>
          <w:rFonts w:hint="default" w:ascii="宋体" w:hAnsi="宋体" w:eastAsia="宋体" w:cs="宋体"/>
          <w:b w:val="0"/>
          <w:bCs w:val="0"/>
          <w:color w:val="auto"/>
          <w:sz w:val="21"/>
          <w:szCs w:val="21"/>
          <w:highlight w:val="none"/>
        </w:rPr>
        <w:t xml:space="preserve">三、 </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的编制</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_Toc12172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_Toc25675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10.</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的语言及度量衡单位</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_Toc25675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_Toc12070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11.</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的组成</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_Toc12070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_Toc26174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12.</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编制</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_Toc26174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_Toc16687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13.</w:t>
      </w:r>
      <w:r>
        <w:rPr>
          <w:rFonts w:hint="eastAsia" w:ascii="宋体" w:hAnsi="宋体" w:eastAsia="宋体"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报价说明</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_Toc16687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_Toc6692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14.</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所提供的服务或货物的证明文件</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_Toc6692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_Toc21147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15.★</w:t>
      </w:r>
      <w:r>
        <w:rPr>
          <w:rFonts w:hint="eastAsia" w:ascii="宋体" w:hAnsi="宋体" w:eastAsia="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有效期</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_Toc21147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_Toc7456 </w:instrText>
      </w:r>
      <w:r>
        <w:rPr>
          <w:rFonts w:hint="eastAsia" w:ascii="宋体" w:hAnsi="宋体" w:eastAsia="宋体" w:cs="宋体"/>
          <w:b w:val="0"/>
          <w:bCs w:val="0"/>
          <w:color w:val="auto"/>
          <w:sz w:val="21"/>
          <w:szCs w:val="21"/>
          <w:highlight w:val="none"/>
        </w:rPr>
        <w:fldChar w:fldCharType="separate"/>
      </w:r>
      <w:r>
        <w:rPr>
          <w:rFonts w:hint="default" w:ascii="宋体" w:hAnsi="宋体" w:eastAsia="宋体" w:cs="宋体"/>
          <w:b w:val="0"/>
          <w:bCs w:val="0"/>
          <w:color w:val="auto"/>
          <w:sz w:val="21"/>
          <w:szCs w:val="21"/>
          <w:highlight w:val="none"/>
        </w:rPr>
        <w:t xml:space="preserve">四、 </w:t>
      </w:r>
      <w:r>
        <w:rPr>
          <w:rFonts w:hint="eastAsia" w:ascii="宋体" w:hAnsi="宋体" w:eastAsia="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文件的递交</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_Toc7456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_Toc26622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的装订，签署，密封和标记</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_Toc26622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_Toc13712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.迟交的</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_Toc13712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_Toc31243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遴选</w:t>
      </w:r>
      <w:r>
        <w:rPr>
          <w:rFonts w:hint="eastAsia" w:ascii="宋体" w:hAnsi="宋体" w:eastAsia="宋体" w:cs="宋体"/>
          <w:b w:val="0"/>
          <w:bCs w:val="0"/>
          <w:color w:val="auto"/>
          <w:sz w:val="21"/>
          <w:szCs w:val="21"/>
          <w:highlight w:val="none"/>
        </w:rPr>
        <w:t>样品</w:t>
      </w:r>
      <w:r>
        <w:rPr>
          <w:rFonts w:hint="eastAsia" w:ascii="宋体" w:hAnsi="宋体" w:eastAsia="宋体" w:cs="宋体"/>
          <w:b w:val="0"/>
          <w:bCs w:val="0"/>
          <w:color w:val="auto"/>
          <w:sz w:val="21"/>
          <w:szCs w:val="21"/>
          <w:highlight w:val="none"/>
          <w:lang w:eastAsia="zh-CN"/>
        </w:rPr>
        <w:t>、遴选演示</w:t>
      </w:r>
      <w:r>
        <w:rPr>
          <w:rFonts w:hint="eastAsia" w:ascii="宋体" w:hAnsi="宋体" w:eastAsia="宋体" w:cs="宋体"/>
          <w:b w:val="0"/>
          <w:bCs w:val="0"/>
          <w:color w:val="auto"/>
          <w:sz w:val="21"/>
          <w:szCs w:val="21"/>
          <w:highlight w:val="none"/>
        </w:rPr>
        <w:t>（如</w:t>
      </w:r>
      <w:r>
        <w:rPr>
          <w:rFonts w:hint="eastAsia" w:ascii="宋体" w:hAnsi="宋体" w:eastAsia="宋体" w:cs="宋体"/>
          <w:b w:val="0"/>
          <w:bCs w:val="0"/>
          <w:color w:val="auto"/>
          <w:sz w:val="21"/>
          <w:szCs w:val="21"/>
          <w:highlight w:val="none"/>
          <w:lang w:eastAsia="zh-CN"/>
        </w:rPr>
        <w:t>有要求</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_Toc31243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_Toc15862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val="en-US" w:eastAsia="zh-CN"/>
        </w:rPr>
        <w:t>19</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截止期</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_Toc15862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_Toc13137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的补充、修改与撤回</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_Toc13137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_Toc28761 </w:instrText>
      </w:r>
      <w:r>
        <w:rPr>
          <w:rFonts w:hint="eastAsia" w:ascii="宋体" w:hAnsi="宋体" w:eastAsia="宋体" w:cs="宋体"/>
          <w:b w:val="0"/>
          <w:bCs w:val="0"/>
          <w:color w:val="auto"/>
          <w:sz w:val="21"/>
          <w:szCs w:val="21"/>
          <w:highlight w:val="none"/>
        </w:rPr>
        <w:fldChar w:fldCharType="separate"/>
      </w:r>
      <w:r>
        <w:rPr>
          <w:rFonts w:hint="default" w:ascii="宋体" w:hAnsi="宋体" w:eastAsia="宋体" w:cs="宋体"/>
          <w:b w:val="0"/>
          <w:bCs w:val="0"/>
          <w:color w:val="auto"/>
          <w:sz w:val="21"/>
          <w:szCs w:val="21"/>
          <w:highlight w:val="none"/>
        </w:rPr>
        <w:t xml:space="preserve">五、 </w:t>
      </w:r>
      <w:r>
        <w:rPr>
          <w:rFonts w:hint="eastAsia" w:ascii="宋体" w:hAnsi="宋体" w:eastAsia="宋体" w:cs="宋体"/>
          <w:b w:val="0"/>
          <w:bCs w:val="0"/>
          <w:color w:val="auto"/>
          <w:sz w:val="21"/>
          <w:szCs w:val="21"/>
          <w:highlight w:val="none"/>
          <w:lang w:val="en-US" w:eastAsia="zh-CN"/>
        </w:rPr>
        <w:t>遴选</w:t>
      </w:r>
      <w:r>
        <w:rPr>
          <w:rFonts w:hint="eastAsia" w:ascii="宋体" w:hAnsi="宋体" w:eastAsia="宋体" w:cs="宋体"/>
          <w:b w:val="0"/>
          <w:bCs w:val="0"/>
          <w:color w:val="auto"/>
          <w:sz w:val="21"/>
          <w:szCs w:val="21"/>
          <w:highlight w:val="none"/>
        </w:rPr>
        <w:t>与</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_Toc28761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_Toc169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.开标</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_Toc169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_Toc23919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评审小组</w:t>
      </w:r>
      <w:r>
        <w:rPr>
          <w:rFonts w:hint="eastAsia" w:ascii="宋体" w:hAnsi="宋体" w:eastAsia="宋体" w:cs="宋体"/>
          <w:b w:val="0"/>
          <w:bCs w:val="0"/>
          <w:color w:val="auto"/>
          <w:sz w:val="21"/>
          <w:szCs w:val="21"/>
          <w:highlight w:val="none"/>
        </w:rPr>
        <w:t>及评</w:t>
      </w:r>
      <w:r>
        <w:rPr>
          <w:rFonts w:hint="eastAsia" w:ascii="宋体" w:hAnsi="宋体" w:eastAsia="宋体" w:cs="宋体"/>
          <w:b w:val="0"/>
          <w:bCs w:val="0"/>
          <w:color w:val="auto"/>
          <w:sz w:val="21"/>
          <w:szCs w:val="21"/>
          <w:highlight w:val="none"/>
          <w:lang w:val="en-US" w:eastAsia="zh-CN"/>
        </w:rPr>
        <w:t>审</w:t>
      </w:r>
      <w:r>
        <w:rPr>
          <w:rFonts w:hint="eastAsia" w:ascii="宋体" w:hAnsi="宋体" w:eastAsia="宋体" w:cs="宋体"/>
          <w:b w:val="0"/>
          <w:bCs w:val="0"/>
          <w:color w:val="auto"/>
          <w:sz w:val="21"/>
          <w:szCs w:val="21"/>
          <w:highlight w:val="none"/>
        </w:rPr>
        <w:t>方法</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_Toc23919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_Toc12840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.评审原则及</w:t>
      </w:r>
      <w:r>
        <w:rPr>
          <w:rFonts w:hint="eastAsia" w:ascii="宋体" w:hAnsi="宋体" w:eastAsia="宋体" w:cs="宋体"/>
          <w:b w:val="0"/>
          <w:bCs w:val="0"/>
          <w:color w:val="auto"/>
          <w:sz w:val="21"/>
          <w:szCs w:val="21"/>
          <w:highlight w:val="none"/>
          <w:lang w:eastAsia="zh-CN"/>
        </w:rPr>
        <w:t>评审</w:t>
      </w:r>
      <w:r>
        <w:rPr>
          <w:rFonts w:hint="eastAsia" w:ascii="宋体" w:hAnsi="宋体" w:eastAsia="宋体" w:cs="宋体"/>
          <w:b w:val="0"/>
          <w:bCs w:val="0"/>
          <w:color w:val="auto"/>
          <w:sz w:val="21"/>
          <w:szCs w:val="21"/>
          <w:highlight w:val="none"/>
        </w:rPr>
        <w:t>过程的保密</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_Toc12840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_Toc30286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的初审</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_Toc30286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_Toc6295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.商务、技术、价格评审（具体评审项目详见</w:t>
      </w:r>
      <w:r>
        <w:rPr>
          <w:rFonts w:hint="eastAsia" w:ascii="宋体" w:hAnsi="宋体" w:eastAsia="宋体" w:cs="宋体"/>
          <w:b w:val="0"/>
          <w:bCs w:val="0"/>
          <w:color w:val="auto"/>
          <w:sz w:val="21"/>
          <w:szCs w:val="21"/>
          <w:highlight w:val="none"/>
          <w:lang w:val="en-US" w:eastAsia="zh-CN"/>
        </w:rPr>
        <w:t>遴选</w:t>
      </w:r>
      <w:r>
        <w:rPr>
          <w:rFonts w:hint="eastAsia" w:ascii="宋体" w:hAnsi="宋体" w:eastAsia="宋体" w:cs="宋体"/>
          <w:b w:val="0"/>
          <w:bCs w:val="0"/>
          <w:color w:val="auto"/>
          <w:sz w:val="21"/>
          <w:szCs w:val="21"/>
          <w:highlight w:val="none"/>
        </w:rPr>
        <w:t>资料表）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_Toc6295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_Toc1148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.纪律和保密事项</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_Toc1148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_Toc11200 </w:instrText>
      </w:r>
      <w:r>
        <w:rPr>
          <w:rFonts w:hint="eastAsia" w:ascii="宋体" w:hAnsi="宋体" w:eastAsia="宋体" w:cs="宋体"/>
          <w:b w:val="0"/>
          <w:bCs w:val="0"/>
          <w:color w:val="auto"/>
          <w:sz w:val="21"/>
          <w:szCs w:val="21"/>
          <w:highlight w:val="none"/>
        </w:rPr>
        <w:fldChar w:fldCharType="separate"/>
      </w:r>
      <w:r>
        <w:rPr>
          <w:rFonts w:hint="default" w:ascii="宋体" w:hAnsi="宋体" w:eastAsia="宋体" w:cs="宋体"/>
          <w:b w:val="0"/>
          <w:bCs w:val="0"/>
          <w:color w:val="auto"/>
          <w:sz w:val="21"/>
          <w:szCs w:val="21"/>
          <w:highlight w:val="none"/>
        </w:rPr>
        <w:t xml:space="preserve">六、 </w:t>
      </w:r>
      <w:r>
        <w:rPr>
          <w:rFonts w:hint="eastAsia" w:ascii="宋体" w:hAnsi="宋体" w:eastAsia="宋体" w:cs="宋体"/>
          <w:b w:val="0"/>
          <w:bCs w:val="0"/>
          <w:color w:val="auto"/>
          <w:sz w:val="21"/>
          <w:szCs w:val="21"/>
          <w:highlight w:val="none"/>
        </w:rPr>
        <w:t>授予合同</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_Toc11200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_Toc2956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确定成交</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_Toc2956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_Toc26641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val="en-US" w:eastAsia="zh-CN"/>
        </w:rPr>
        <w:t>28</w:t>
      </w:r>
      <w:r>
        <w:rPr>
          <w:rFonts w:hint="eastAsia" w:ascii="宋体" w:hAnsi="宋体" w:eastAsia="宋体" w:cs="宋体"/>
          <w:b w:val="0"/>
          <w:bCs w:val="0"/>
          <w:color w:val="auto"/>
          <w:sz w:val="21"/>
          <w:szCs w:val="21"/>
          <w:highlight w:val="none"/>
        </w:rPr>
        <w:t>.发布采购结果</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_Toc26641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_Toc10420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val="en-US" w:eastAsia="zh-CN"/>
        </w:rPr>
        <w:t>29</w:t>
      </w:r>
      <w:r>
        <w:rPr>
          <w:rFonts w:hint="eastAsia" w:ascii="宋体" w:hAnsi="宋体" w:eastAsia="宋体" w:cs="宋体"/>
          <w:b w:val="0"/>
          <w:bCs w:val="0"/>
          <w:color w:val="auto"/>
          <w:sz w:val="21"/>
          <w:szCs w:val="21"/>
          <w:highlight w:val="none"/>
        </w:rPr>
        <w:t>.合同的签订与履行</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_Toc10420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_Toc18020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val="en-US" w:eastAsia="zh-CN"/>
        </w:rPr>
        <w:t>30.履约保证金</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_Toc18020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_Toc26620 </w:instrText>
      </w:r>
      <w:r>
        <w:rPr>
          <w:rFonts w:hint="eastAsia" w:ascii="宋体" w:hAnsi="宋体" w:eastAsia="宋体" w:cs="宋体"/>
          <w:b w:val="0"/>
          <w:bCs w:val="0"/>
          <w:color w:val="auto"/>
          <w:sz w:val="21"/>
          <w:szCs w:val="21"/>
          <w:highlight w:val="none"/>
        </w:rPr>
        <w:fldChar w:fldCharType="separate"/>
      </w:r>
      <w:r>
        <w:rPr>
          <w:rFonts w:hint="default" w:ascii="宋体" w:hAnsi="宋体" w:eastAsia="宋体" w:cs="宋体"/>
          <w:b w:val="0"/>
          <w:bCs w:val="0"/>
          <w:color w:val="auto"/>
          <w:sz w:val="21"/>
          <w:szCs w:val="21"/>
          <w:highlight w:val="none"/>
        </w:rPr>
        <w:t xml:space="preserve">七、 </w:t>
      </w:r>
      <w:r>
        <w:rPr>
          <w:rFonts w:hint="eastAsia" w:ascii="宋体" w:hAnsi="宋体" w:eastAsia="宋体" w:cs="宋体"/>
          <w:b w:val="0"/>
          <w:bCs w:val="0"/>
          <w:color w:val="auto"/>
          <w:sz w:val="21"/>
          <w:szCs w:val="21"/>
          <w:highlight w:val="none"/>
        </w:rPr>
        <w:t>其他</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_Toc26620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_Toc1769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遴选文件</w:t>
      </w:r>
      <w:r>
        <w:rPr>
          <w:rFonts w:hint="eastAsia" w:ascii="宋体" w:hAnsi="宋体" w:eastAsia="宋体" w:cs="宋体"/>
          <w:b w:val="0"/>
          <w:bCs w:val="0"/>
          <w:color w:val="auto"/>
          <w:sz w:val="21"/>
          <w:szCs w:val="21"/>
          <w:highlight w:val="none"/>
        </w:rPr>
        <w:t>的解释权</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_Toc1769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_Toc1014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第五部分 合同格式（仅供参考）</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_Toc1014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33</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_Toc4230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合同格式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_Toc4230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_Toc27677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第六部分  附件－</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_Toc27677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37</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_Toc28723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目录</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_Toc28723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_Toc3920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附件1-1 评分标准索引表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_Toc3920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_Toc8206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附件2.</w:t>
      </w:r>
      <w:r>
        <w:rPr>
          <w:rFonts w:hint="eastAsia" w:ascii="宋体" w:hAnsi="宋体" w:eastAsia="宋体" w:cs="宋体"/>
          <w:b w:val="0"/>
          <w:bCs w:val="0"/>
          <w:color w:val="auto"/>
          <w:sz w:val="21"/>
          <w:szCs w:val="21"/>
          <w:highlight w:val="none"/>
          <w:lang w:eastAsia="zh-CN"/>
        </w:rPr>
        <w:t>响应书</w:t>
      </w:r>
      <w:r>
        <w:rPr>
          <w:rFonts w:hint="eastAsia" w:ascii="宋体" w:hAnsi="宋体" w:eastAsia="宋体" w:cs="宋体"/>
          <w:b w:val="0"/>
          <w:bCs w:val="0"/>
          <w:color w:val="auto"/>
          <w:sz w:val="21"/>
          <w:szCs w:val="21"/>
          <w:highlight w:val="none"/>
        </w:rPr>
        <w:t>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_Toc8206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_Toc4868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附件3.</w:t>
      </w:r>
      <w:r>
        <w:rPr>
          <w:rFonts w:hint="eastAsia" w:ascii="宋体" w:hAnsi="宋体" w:eastAsia="宋体" w:cs="宋体"/>
          <w:b w:val="0"/>
          <w:bCs w:val="0"/>
          <w:color w:val="auto"/>
          <w:sz w:val="21"/>
          <w:szCs w:val="21"/>
          <w:highlight w:val="none"/>
          <w:lang w:eastAsia="zh-CN"/>
        </w:rPr>
        <w:t>开标一览表</w:t>
      </w:r>
      <w:r>
        <w:rPr>
          <w:rFonts w:hint="eastAsia" w:ascii="宋体" w:hAnsi="宋体" w:eastAsia="宋体" w:cs="宋体"/>
          <w:b w:val="0"/>
          <w:bCs w:val="0"/>
          <w:color w:val="auto"/>
          <w:sz w:val="21"/>
          <w:szCs w:val="21"/>
          <w:highlight w:val="none"/>
        </w:rPr>
        <w:t>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_Toc4868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_Toc15425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附件4.分项报价表格式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_Toc15425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_Toc9503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附件5.法定代表人证明书格式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_Toc9503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_Toc15346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附件6.法定代表人授权书格式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_Toc15346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_Toc17825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附件7.资格申明</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_Toc17825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_Toc14034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附件8.营业执照</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_Toc14034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_Toc3704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附件9.相关资质证明文件</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_Toc3704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_Toc17415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附件10.商务条款偏离表格式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_Toc17415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_Toc29507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附件11.</w:t>
      </w:r>
      <w:r>
        <w:rPr>
          <w:rFonts w:hint="eastAsia" w:ascii="宋体" w:hAnsi="宋体" w:eastAsia="宋体" w:cs="宋体"/>
          <w:b w:val="0"/>
          <w:bCs w:val="0"/>
          <w:color w:val="auto"/>
          <w:sz w:val="21"/>
          <w:szCs w:val="21"/>
          <w:highlight w:val="none"/>
          <w:lang w:eastAsia="zh-CN"/>
        </w:rPr>
        <w:t>技术条款</w:t>
      </w:r>
      <w:r>
        <w:rPr>
          <w:rFonts w:hint="eastAsia" w:ascii="宋体" w:hAnsi="宋体" w:eastAsia="宋体" w:cs="宋体"/>
          <w:b w:val="0"/>
          <w:bCs w:val="0"/>
          <w:color w:val="auto"/>
          <w:sz w:val="21"/>
          <w:szCs w:val="21"/>
          <w:highlight w:val="none"/>
        </w:rPr>
        <w:t>偏离表格式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_Toc29507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_Toc9606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.业绩表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_Toc9606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_Toc32711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.项目实施方案格式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_Toc32711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_Toc19223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.实施本项目的有关人员资料表格式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_Toc19223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_Toc4958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.货物说明一览表格式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_Toc4958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_Toc21141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.在经营活动中没有重大违法记录的书面声明格式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_Toc21141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_Toc21141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w:t>
      </w:r>
      <w:r>
        <w:rPr>
          <w:rFonts w:hint="eastAsia" w:ascii="宋体" w:hAnsi="宋体" w:eastAsia="宋体" w:cs="宋体"/>
          <w:b w:val="0"/>
          <w:bCs w:val="0"/>
          <w:color w:val="auto"/>
          <w:sz w:val="21"/>
          <w:szCs w:val="21"/>
          <w:highlight w:val="none"/>
          <w:lang w:val="en-US" w:eastAsia="zh-CN"/>
        </w:rPr>
        <w:t>17.中小企业声明函格式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en-US" w:eastAsia="zh-CN"/>
        </w:rPr>
        <w:t>4</w:t>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eastAsia="宋体"/>
          <w:lang w:val="en-US" w:eastAsia="zh-CN"/>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_Toc21141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残疾人福利性单位声明函</w:t>
      </w:r>
      <w:r>
        <w:rPr>
          <w:rFonts w:hint="eastAsia" w:ascii="宋体" w:hAnsi="宋体" w:eastAsia="宋体" w:cs="宋体"/>
          <w:b w:val="0"/>
          <w:bCs w:val="0"/>
          <w:color w:val="auto"/>
          <w:sz w:val="21"/>
          <w:szCs w:val="21"/>
          <w:highlight w:val="none"/>
        </w:rPr>
        <w:t>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en-US" w:eastAsia="zh-CN"/>
        </w:rPr>
        <w:t>7</w:t>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_Toc18614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lang w:val="en-US" w:eastAsia="zh-CN"/>
        </w:rPr>
        <w:t>第七部分 附件-开标文件格式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_Toc18614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_Toc5939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.开标</w:t>
      </w:r>
      <w:r>
        <w:rPr>
          <w:rFonts w:hint="eastAsia" w:ascii="宋体" w:hAnsi="宋体" w:eastAsia="宋体" w:cs="宋体"/>
          <w:b w:val="0"/>
          <w:bCs w:val="0"/>
          <w:color w:val="auto"/>
          <w:sz w:val="21"/>
          <w:szCs w:val="21"/>
          <w:highlight w:val="none"/>
          <w:lang w:eastAsia="zh-CN"/>
        </w:rPr>
        <w:t>一览表</w:t>
      </w:r>
      <w:r>
        <w:rPr>
          <w:rFonts w:hint="eastAsia" w:ascii="宋体" w:hAnsi="宋体" w:eastAsia="宋体" w:cs="宋体"/>
          <w:b w:val="0"/>
          <w:bCs w:val="0"/>
          <w:color w:val="auto"/>
          <w:sz w:val="21"/>
          <w:szCs w:val="21"/>
          <w:highlight w:val="none"/>
        </w:rPr>
        <w:t>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_Toc5939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_Toc29837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.法定代表人证明书格式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_Toc29837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_Toc12225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.法定代表人授权书格式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_Toc12225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_Toc15185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lang w:val="en-US" w:eastAsia="zh-CN"/>
        </w:rPr>
        <w:t>第八部分 附件-其他文件格式（如有需求）</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_Toc15185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59</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_Toc31818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 联合体协议书（可选）</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_Toc31818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_Toc31955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.履约担保函</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_Toc31955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60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_Toc9609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.获取</w:t>
      </w:r>
      <w:r>
        <w:rPr>
          <w:rFonts w:hint="eastAsia" w:ascii="宋体" w:hAnsi="宋体" w:eastAsia="宋体" w:cs="宋体"/>
          <w:b w:val="0"/>
          <w:bCs w:val="0"/>
          <w:color w:val="auto"/>
          <w:sz w:val="21"/>
          <w:szCs w:val="21"/>
          <w:highlight w:val="none"/>
          <w:lang w:eastAsia="zh-CN"/>
        </w:rPr>
        <w:t>遴选文件</w:t>
      </w:r>
      <w:r>
        <w:rPr>
          <w:rFonts w:hint="eastAsia" w:ascii="宋体" w:hAnsi="宋体" w:eastAsia="宋体" w:cs="宋体"/>
          <w:b w:val="0"/>
          <w:bCs w:val="0"/>
          <w:color w:val="auto"/>
          <w:sz w:val="21"/>
          <w:szCs w:val="21"/>
          <w:highlight w:val="none"/>
        </w:rPr>
        <w:t>登记表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_Toc9609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63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pPr>
        <w:pStyle w:val="10"/>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olor w:val="auto"/>
          <w:sz w:val="20"/>
          <w:szCs w:val="18"/>
          <w:highlight w:val="none"/>
        </w:rPr>
      </w:pPr>
      <w:r>
        <w:rPr>
          <w:rFonts w:hint="eastAsia" w:ascii="宋体" w:hAnsi="宋体" w:eastAsia="宋体" w:cs="宋体"/>
          <w:b w:val="0"/>
          <w:bCs w:val="0"/>
          <w:color w:val="auto"/>
          <w:sz w:val="21"/>
          <w:szCs w:val="21"/>
          <w:highlight w:val="none"/>
        </w:rPr>
        <w:fldChar w:fldCharType="end"/>
      </w:r>
      <w:r>
        <w:rPr>
          <w:rFonts w:hint="eastAsia" w:ascii="宋体" w:hAnsi="宋体" w:eastAsia="宋体"/>
          <w:color w:val="auto"/>
          <w:sz w:val="20"/>
          <w:szCs w:val="18"/>
          <w:highlight w:val="none"/>
        </w:rPr>
        <w:br w:type="page"/>
      </w:r>
    </w:p>
    <w:p>
      <w:pPr>
        <w:pStyle w:val="3"/>
        <w:spacing w:before="0" w:after="0" w:line="240" w:lineRule="auto"/>
        <w:rPr>
          <w:rFonts w:asciiTheme="majorHAnsi" w:hAnsiTheme="majorHAnsi" w:eastAsiaTheme="majorEastAsia" w:cstheme="majorBidi"/>
          <w:b/>
          <w:bCs/>
          <w:color w:val="auto"/>
          <w:sz w:val="28"/>
          <w:szCs w:val="28"/>
          <w:highlight w:val="none"/>
        </w:rPr>
      </w:pPr>
      <w:bookmarkStart w:id="0" w:name="_Toc14052"/>
      <w:bookmarkStart w:id="1" w:name="_Toc13222"/>
      <w:bookmarkStart w:id="2" w:name="_Toc28294"/>
      <w:r>
        <w:rPr>
          <w:rFonts w:hint="eastAsia" w:asciiTheme="majorHAnsi" w:hAnsiTheme="majorHAnsi" w:eastAsiaTheme="majorEastAsia" w:cstheme="majorBidi"/>
          <w:b/>
          <w:bCs/>
          <w:color w:val="auto"/>
          <w:sz w:val="28"/>
          <w:szCs w:val="28"/>
          <w:highlight w:val="none"/>
        </w:rPr>
        <w:t xml:space="preserve">第一部分 </w:t>
      </w:r>
      <w:r>
        <w:rPr>
          <w:rFonts w:hint="eastAsia" w:cstheme="majorBidi"/>
          <w:b/>
          <w:bCs/>
          <w:color w:val="auto"/>
          <w:sz w:val="28"/>
          <w:szCs w:val="28"/>
          <w:highlight w:val="none"/>
          <w:lang w:eastAsia="zh-CN"/>
        </w:rPr>
        <w:t>遴选</w:t>
      </w:r>
      <w:r>
        <w:rPr>
          <w:rFonts w:hint="eastAsia" w:asciiTheme="majorHAnsi" w:hAnsiTheme="majorHAnsi" w:eastAsiaTheme="majorEastAsia" w:cstheme="majorBidi"/>
          <w:b/>
          <w:bCs/>
          <w:color w:val="auto"/>
          <w:sz w:val="28"/>
          <w:szCs w:val="28"/>
          <w:highlight w:val="none"/>
        </w:rPr>
        <w:t>邀请</w:t>
      </w:r>
      <w:bookmarkEnd w:id="0"/>
      <w:bookmarkEnd w:id="1"/>
      <w:bookmarkEnd w:id="2"/>
    </w:p>
    <w:p>
      <w:pPr>
        <w:pStyle w:val="4"/>
        <w:spacing w:before="0" w:after="0" w:line="360" w:lineRule="auto"/>
        <w:jc w:val="center"/>
        <w:rPr>
          <w:rFonts w:hint="eastAsia" w:ascii="宋体" w:hAnsi="宋体" w:eastAsia="宋体" w:cs="宋体"/>
          <w:color w:val="auto"/>
          <w:highlight w:val="none"/>
          <w:lang w:eastAsia="zh-CN"/>
        </w:rPr>
      </w:pPr>
      <w:bookmarkStart w:id="3" w:name="_Toc17220"/>
      <w:r>
        <w:rPr>
          <w:rFonts w:hint="eastAsia" w:ascii="宋体" w:hAnsi="宋体" w:eastAsia="宋体" w:cs="宋体"/>
          <w:color w:val="auto"/>
          <w:highlight w:val="none"/>
          <w:lang w:eastAsia="zh-CN"/>
        </w:rPr>
        <w:t>遴选</w:t>
      </w:r>
      <w:r>
        <w:rPr>
          <w:rFonts w:hint="eastAsia" w:ascii="宋体" w:hAnsi="宋体" w:eastAsia="宋体" w:cs="宋体"/>
          <w:color w:val="auto"/>
          <w:highlight w:val="none"/>
        </w:rPr>
        <w:t>邀请</w:t>
      </w:r>
      <w:r>
        <w:rPr>
          <w:rFonts w:hint="eastAsia" w:ascii="宋体" w:hAnsi="宋体" w:eastAsia="宋体" w:cs="宋体"/>
          <w:color w:val="auto"/>
          <w:highlight w:val="none"/>
          <w:lang w:eastAsia="zh-CN"/>
        </w:rPr>
        <w:t>函</w:t>
      </w:r>
      <w:bookmarkEnd w:id="3"/>
    </w:p>
    <w:p>
      <w:pPr>
        <w:keepNext w:val="0"/>
        <w:keepLines w:val="0"/>
        <w:pageBreakBefore w:val="0"/>
        <w:widowControl/>
        <w:kinsoku/>
        <w:wordWrap/>
        <w:overflowPunct/>
        <w:topLinePunct w:val="0"/>
        <w:autoSpaceDE/>
        <w:autoSpaceDN/>
        <w:bidi w:val="0"/>
        <w:spacing w:after="0" w:line="400" w:lineRule="exact"/>
        <w:ind w:firstLine="422" w:firstLineChars="200"/>
        <w:textAlignment w:val="auto"/>
        <w:rPr>
          <w:rFonts w:ascii="宋体" w:hAnsi="宋体" w:eastAsia="宋体"/>
          <w:color w:val="auto"/>
          <w:sz w:val="21"/>
          <w:szCs w:val="21"/>
          <w:highlight w:val="none"/>
        </w:rPr>
      </w:pPr>
      <w:r>
        <w:rPr>
          <w:rFonts w:hint="eastAsia" w:ascii="宋体" w:hAnsi="宋体" w:eastAsia="宋体"/>
          <w:b/>
          <w:bCs/>
          <w:color w:val="auto"/>
          <w:sz w:val="21"/>
          <w:szCs w:val="21"/>
          <w:highlight w:val="none"/>
          <w:u w:val="single"/>
        </w:rPr>
        <w:t>东莞市常平镇新城学校</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bCs/>
          <w:color w:val="auto"/>
          <w:sz w:val="21"/>
          <w:szCs w:val="21"/>
          <w:highlight w:val="none"/>
          <w:u w:val="single"/>
        </w:rPr>
        <w:t>东莞市常平镇新城学校宿舍（三期）设施设备项目</w:t>
      </w:r>
      <w:r>
        <w:rPr>
          <w:rFonts w:hint="eastAsia" w:ascii="宋体" w:hAnsi="宋体" w:eastAsia="宋体"/>
          <w:b/>
          <w:bCs/>
          <w:color w:val="auto"/>
          <w:sz w:val="21"/>
          <w:szCs w:val="21"/>
          <w:highlight w:val="none"/>
          <w:u w:val="single"/>
          <w:lang w:val="en-US" w:eastAsia="zh-CN"/>
        </w:rPr>
        <w:t>采购</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项目编号</w:t>
      </w:r>
      <w:r>
        <w:rPr>
          <w:rFonts w:hint="eastAsia" w:ascii="宋体" w:hAnsi="宋体" w:eastAsia="宋体"/>
          <w:color w:val="auto"/>
          <w:sz w:val="21"/>
          <w:szCs w:val="21"/>
          <w:highlight w:val="none"/>
        </w:rPr>
        <w:t>：</w:t>
      </w:r>
      <w:r>
        <w:rPr>
          <w:rFonts w:hint="eastAsia" w:ascii="宋体" w:hAnsi="宋体" w:eastAsia="宋体"/>
          <w:b/>
          <w:bCs/>
          <w:color w:val="auto"/>
          <w:sz w:val="21"/>
          <w:szCs w:val="21"/>
          <w:highlight w:val="none"/>
        </w:rPr>
        <w:t>GDZT2024152A</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w:t>
      </w:r>
      <w:r>
        <w:rPr>
          <w:rFonts w:hint="eastAsia" w:ascii="宋体" w:hAnsi="宋体" w:eastAsia="宋体" w:cs="Times New Roman"/>
          <w:color w:val="auto"/>
          <w:sz w:val="21"/>
          <w:szCs w:val="21"/>
          <w:highlight w:val="none"/>
          <w:lang w:eastAsia="zh-CN"/>
        </w:rPr>
        <w:t>遴选</w:t>
      </w:r>
      <w:r>
        <w:rPr>
          <w:rFonts w:hint="eastAsia" w:ascii="宋体" w:hAnsi="宋体" w:eastAsia="宋体" w:cs="Times New Roman"/>
          <w:color w:val="auto"/>
          <w:sz w:val="21"/>
          <w:szCs w:val="21"/>
          <w:highlight w:val="none"/>
        </w:rPr>
        <w:t>采购</w:t>
      </w:r>
      <w:r>
        <w:rPr>
          <w:rFonts w:hint="eastAsia" w:ascii="宋体" w:hAnsi="宋体" w:eastAsia="宋体"/>
          <w:color w:val="auto"/>
          <w:sz w:val="21"/>
          <w:szCs w:val="21"/>
          <w:highlight w:val="none"/>
        </w:rPr>
        <w:t>，欢迎符合</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要求的国内</w:t>
      </w:r>
      <w:r>
        <w:rPr>
          <w:rFonts w:hint="eastAsia" w:ascii="宋体" w:hAnsi="宋体" w:eastAsia="宋体"/>
          <w:color w:val="auto"/>
          <w:sz w:val="21"/>
          <w:szCs w:val="21"/>
          <w:highlight w:val="none"/>
          <w:lang w:eastAsia="zh-CN"/>
        </w:rPr>
        <w:t>供应商参加遴选</w:t>
      </w:r>
      <w:r>
        <w:rPr>
          <w:rFonts w:ascii="宋体" w:hAnsi="宋体" w:eastAsia="宋体"/>
          <w:color w:val="auto"/>
          <w:sz w:val="21"/>
          <w:szCs w:val="21"/>
          <w:highlight w:val="none"/>
        </w:rPr>
        <w:t>。有关事项如下：</w:t>
      </w:r>
    </w:p>
    <w:p>
      <w:pPr>
        <w:keepNext w:val="0"/>
        <w:keepLines w:val="0"/>
        <w:pageBreakBefore w:val="0"/>
        <w:widowControl/>
        <w:kinsoku/>
        <w:wordWrap/>
        <w:overflowPunct/>
        <w:topLinePunct w:val="0"/>
        <w:autoSpaceDE/>
        <w:autoSpaceDN/>
        <w:bidi w:val="0"/>
        <w:spacing w:after="0" w:line="400" w:lineRule="exact"/>
        <w:ind w:firstLine="413" w:firstLineChars="196"/>
        <w:textAlignment w:val="auto"/>
        <w:rPr>
          <w:rFonts w:ascii="宋体" w:hAnsi="宋体" w:eastAsia="宋体"/>
          <w:b/>
          <w:color w:val="auto"/>
          <w:sz w:val="21"/>
          <w:szCs w:val="21"/>
          <w:highlight w:val="none"/>
        </w:rPr>
      </w:pPr>
    </w:p>
    <w:p>
      <w:pPr>
        <w:keepNext w:val="0"/>
        <w:keepLines w:val="0"/>
        <w:pageBreakBefore w:val="0"/>
        <w:widowControl/>
        <w:kinsoku/>
        <w:wordWrap/>
        <w:overflowPunct/>
        <w:topLinePunct w:val="0"/>
        <w:autoSpaceDE/>
        <w:autoSpaceDN/>
        <w:bidi w:val="0"/>
        <w:spacing w:after="0" w:line="400" w:lineRule="exact"/>
        <w:ind w:firstLine="413" w:firstLineChars="196"/>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一、</w:t>
      </w:r>
      <w:r>
        <w:rPr>
          <w:rFonts w:hint="eastAsia" w:ascii="宋体" w:hAnsi="宋体" w:eastAsia="宋体"/>
          <w:b/>
          <w:color w:val="auto"/>
          <w:sz w:val="21"/>
          <w:szCs w:val="21"/>
          <w:highlight w:val="none"/>
          <w:lang w:eastAsia="zh-CN"/>
        </w:rPr>
        <w:t>遴选</w:t>
      </w:r>
      <w:r>
        <w:rPr>
          <w:rFonts w:hint="eastAsia" w:ascii="宋体" w:hAnsi="宋体" w:eastAsia="宋体"/>
          <w:b/>
          <w:color w:val="auto"/>
          <w:sz w:val="21"/>
          <w:szCs w:val="21"/>
          <w:highlight w:val="none"/>
        </w:rPr>
        <w:t>项目的名称、用途、简要技术要求或者</w:t>
      </w:r>
      <w:r>
        <w:rPr>
          <w:rFonts w:hint="eastAsia" w:ascii="宋体" w:hAnsi="宋体" w:eastAsia="宋体"/>
          <w:b/>
          <w:color w:val="auto"/>
          <w:sz w:val="21"/>
          <w:szCs w:val="21"/>
          <w:highlight w:val="none"/>
          <w:lang w:eastAsia="zh-CN"/>
        </w:rPr>
        <w:t>遴选</w:t>
      </w:r>
      <w:r>
        <w:rPr>
          <w:rFonts w:hint="eastAsia" w:ascii="宋体" w:hAnsi="宋体" w:eastAsia="宋体"/>
          <w:b/>
          <w:color w:val="auto"/>
          <w:sz w:val="21"/>
          <w:szCs w:val="21"/>
          <w:highlight w:val="none"/>
        </w:rPr>
        <w:t>项目的性质</w:t>
      </w:r>
    </w:p>
    <w:p>
      <w:pPr>
        <w:keepNext w:val="0"/>
        <w:keepLines w:val="0"/>
        <w:pageBreakBefore w:val="0"/>
        <w:widowControl/>
        <w:kinsoku/>
        <w:wordWrap/>
        <w:overflowPunct/>
        <w:topLinePunct w:val="0"/>
        <w:autoSpaceDE/>
        <w:autoSpaceDN/>
        <w:bidi w:val="0"/>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r>
        <w:rPr>
          <w:rFonts w:hint="eastAsia" w:ascii="宋体" w:hAnsi="宋体" w:eastAsia="宋体"/>
          <w:color w:val="auto"/>
          <w:sz w:val="21"/>
          <w:szCs w:val="21"/>
          <w:highlight w:val="none"/>
          <w:u w:val="single"/>
        </w:rPr>
        <w:t>东莞市常平镇新城学校宿舍（三期）设施设备项目</w:t>
      </w:r>
      <w:r>
        <w:rPr>
          <w:rFonts w:hint="eastAsia" w:ascii="宋体" w:hAnsi="宋体" w:eastAsia="宋体"/>
          <w:color w:val="auto"/>
          <w:sz w:val="21"/>
          <w:szCs w:val="21"/>
          <w:highlight w:val="none"/>
          <w:u w:val="single"/>
          <w:lang w:val="en-US" w:eastAsia="zh-CN"/>
        </w:rPr>
        <w:t>采购</w:t>
      </w:r>
      <w:r>
        <w:rPr>
          <w:rFonts w:hint="eastAsia" w:ascii="宋体" w:hAnsi="宋体" w:eastAsia="宋体"/>
          <w:color w:val="auto"/>
          <w:sz w:val="21"/>
          <w:szCs w:val="21"/>
          <w:highlight w:val="none"/>
        </w:rPr>
        <w:t>，预算：</w:t>
      </w:r>
      <w:r>
        <w:rPr>
          <w:rFonts w:hint="eastAsia" w:ascii="宋体" w:hAnsi="宋体" w:eastAsia="宋体"/>
          <w:b/>
          <w:color w:val="auto"/>
          <w:sz w:val="21"/>
          <w:szCs w:val="21"/>
          <w:highlight w:val="none"/>
          <w:u w:val="single"/>
          <w:lang w:val="en-US" w:eastAsia="zh-CN"/>
        </w:rPr>
        <w:t>996,600.00</w:t>
      </w:r>
      <w:r>
        <w:rPr>
          <w:rFonts w:hint="eastAsia" w:ascii="宋体" w:hAnsi="宋体" w:eastAsia="宋体"/>
          <w:color w:val="auto"/>
          <w:sz w:val="21"/>
          <w:szCs w:val="21"/>
          <w:highlight w:val="none"/>
        </w:rPr>
        <w:t>元。</w:t>
      </w:r>
    </w:p>
    <w:p>
      <w:pPr>
        <w:keepNext w:val="0"/>
        <w:keepLines w:val="0"/>
        <w:pageBreakBefore w:val="0"/>
        <w:widowControl/>
        <w:kinsoku/>
        <w:wordWrap/>
        <w:overflowPunct/>
        <w:topLinePunct w:val="0"/>
        <w:autoSpaceDE/>
        <w:autoSpaceDN/>
        <w:bidi w:val="0"/>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eastAsia="zh-CN"/>
        </w:rPr>
        <w:t>本项目不接受联合体。</w:t>
      </w:r>
    </w:p>
    <w:p>
      <w:pPr>
        <w:keepNext w:val="0"/>
        <w:keepLines w:val="0"/>
        <w:pageBreakBefore w:val="0"/>
        <w:widowControl/>
        <w:kinsoku/>
        <w:wordWrap/>
        <w:overflowPunct/>
        <w:topLinePunct w:val="0"/>
        <w:autoSpaceDE/>
        <w:autoSpaceDN/>
        <w:bidi w:val="0"/>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简要技术要求或</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项目的性质：详细内容请参阅</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第三部分《用户需求书》。</w:t>
      </w:r>
    </w:p>
    <w:p>
      <w:pPr>
        <w:keepNext w:val="0"/>
        <w:keepLines w:val="0"/>
        <w:pageBreakBefore w:val="0"/>
        <w:widowControl/>
        <w:kinsoku/>
        <w:wordWrap/>
        <w:overflowPunct/>
        <w:topLinePunct w:val="0"/>
        <w:autoSpaceDE/>
        <w:autoSpaceDN/>
        <w:bidi w:val="0"/>
        <w:spacing w:after="0" w:line="400" w:lineRule="exact"/>
        <w:ind w:firstLine="413" w:firstLineChars="196"/>
        <w:textAlignment w:val="auto"/>
        <w:rPr>
          <w:rFonts w:ascii="宋体" w:hAnsi="宋体" w:eastAsia="宋体"/>
          <w:b/>
          <w:color w:val="auto"/>
          <w:sz w:val="21"/>
          <w:szCs w:val="21"/>
          <w:highlight w:val="none"/>
        </w:rPr>
      </w:pPr>
    </w:p>
    <w:p>
      <w:pPr>
        <w:keepNext w:val="0"/>
        <w:keepLines w:val="0"/>
        <w:pageBreakBefore w:val="0"/>
        <w:widowControl/>
        <w:kinsoku/>
        <w:wordWrap/>
        <w:overflowPunct/>
        <w:topLinePunct w:val="0"/>
        <w:autoSpaceDE/>
        <w:autoSpaceDN/>
        <w:bidi w:val="0"/>
        <w:spacing w:after="0" w:line="400" w:lineRule="exact"/>
        <w:ind w:firstLine="413" w:firstLineChars="196"/>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二、</w:t>
      </w:r>
      <w:r>
        <w:rPr>
          <w:rFonts w:hint="eastAsia" w:ascii="宋体" w:hAnsi="宋体" w:eastAsia="宋体"/>
          <w:b/>
          <w:color w:val="auto"/>
          <w:sz w:val="21"/>
          <w:szCs w:val="21"/>
          <w:highlight w:val="none"/>
          <w:lang w:eastAsia="zh-CN"/>
        </w:rPr>
        <w:t>供应商</w:t>
      </w:r>
      <w:r>
        <w:rPr>
          <w:rFonts w:hint="eastAsia" w:ascii="宋体" w:hAnsi="宋体" w:eastAsia="宋体"/>
          <w:b/>
          <w:color w:val="auto"/>
          <w:sz w:val="21"/>
          <w:szCs w:val="21"/>
          <w:highlight w:val="none"/>
        </w:rPr>
        <w:t>资格要求</w:t>
      </w:r>
    </w:p>
    <w:p>
      <w:pPr>
        <w:keepNext w:val="0"/>
        <w:keepLines w:val="0"/>
        <w:pageBreakBefore w:val="0"/>
        <w:widowControl/>
        <w:kinsoku/>
        <w:wordWrap/>
        <w:overflowPunct/>
        <w:topLinePunct w:val="0"/>
        <w:autoSpaceDE/>
        <w:autoSpaceDN/>
        <w:bidi w:val="0"/>
        <w:spacing w:after="0" w:line="400" w:lineRule="exact"/>
        <w:ind w:firstLine="411" w:firstLineChars="196"/>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1.供应商应具备《政府采购法》第二十二条规定的条件，提供下列材料：</w:t>
      </w:r>
    </w:p>
    <w:p>
      <w:pPr>
        <w:keepNext w:val="0"/>
        <w:keepLines w:val="0"/>
        <w:pageBreakBefore w:val="0"/>
        <w:widowControl/>
        <w:kinsoku/>
        <w:wordWrap/>
        <w:overflowPunct/>
        <w:topLinePunct w:val="0"/>
        <w:autoSpaceDE/>
        <w:autoSpaceDN/>
        <w:bidi w:val="0"/>
        <w:spacing w:after="0" w:line="400" w:lineRule="exact"/>
        <w:ind w:firstLine="411" w:firstLineChars="196"/>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1）具有独立承担民事责任的能力：在中华人民共和国境内注册的法人或其他组织或自然人，响应时提交有效的营业执照（或事业法人登记证或身份证等相关证明） 副本复印件。分支机构</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的，须提供总公司和分公司营业执照副本复印件，总公司出具给分支机构的授权书。</w:t>
      </w:r>
    </w:p>
    <w:p>
      <w:pPr>
        <w:keepNext w:val="0"/>
        <w:keepLines w:val="0"/>
        <w:pageBreakBefore w:val="0"/>
        <w:widowControl/>
        <w:kinsoku/>
        <w:wordWrap/>
        <w:overflowPunct/>
        <w:topLinePunct w:val="0"/>
        <w:autoSpaceDE/>
        <w:autoSpaceDN/>
        <w:bidi w:val="0"/>
        <w:spacing w:after="0" w:line="400" w:lineRule="exact"/>
        <w:ind w:firstLine="411" w:firstLineChars="196"/>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2）有依法缴纳税收和社会保障资金的良好记录：提供</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截止日前6个月内任意1个月依法缴纳税收和社会保障资金的相关材料。如依法免税或不需要缴纳社会保障资金的，须提供相应证明材料。</w:t>
      </w:r>
    </w:p>
    <w:p>
      <w:pPr>
        <w:keepNext w:val="0"/>
        <w:keepLines w:val="0"/>
        <w:pageBreakBefore w:val="0"/>
        <w:widowControl/>
        <w:kinsoku/>
        <w:wordWrap/>
        <w:overflowPunct/>
        <w:topLinePunct w:val="0"/>
        <w:autoSpaceDE/>
        <w:autoSpaceDN/>
        <w:bidi w:val="0"/>
        <w:spacing w:after="0" w:line="400" w:lineRule="exact"/>
        <w:ind w:firstLine="411" w:firstLineChars="196"/>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3）具有良好的商业信誉和健全的财务会计制度：供应商必</w:t>
      </w:r>
      <w:r>
        <w:rPr>
          <w:rFonts w:hint="eastAsia" w:ascii="宋体" w:hAnsi="宋体" w:eastAsia="宋体"/>
          <w:color w:val="auto"/>
          <w:sz w:val="21"/>
          <w:szCs w:val="21"/>
          <w:highlight w:val="none"/>
          <w:lang w:eastAsia="zh-CN"/>
        </w:rPr>
        <w:t>需</w:t>
      </w:r>
      <w:r>
        <w:rPr>
          <w:rFonts w:hint="eastAsia" w:ascii="宋体" w:hAnsi="宋体" w:eastAsia="宋体"/>
          <w:color w:val="auto"/>
          <w:sz w:val="21"/>
          <w:szCs w:val="21"/>
          <w:highlight w:val="none"/>
        </w:rPr>
        <w:t>具有良好的商业信誉和健全的财务会计制度（提供</w:t>
      </w:r>
      <w:r>
        <w:rPr>
          <w:rFonts w:hint="eastAsia" w:ascii="宋体" w:hAnsi="宋体" w:eastAsia="宋体"/>
          <w:color w:val="auto"/>
          <w:sz w:val="21"/>
          <w:szCs w:val="21"/>
          <w:highlight w:val="none"/>
          <w:lang w:val="en-US" w:eastAsia="zh-CN"/>
        </w:rPr>
        <w:t>2023年度</w:t>
      </w:r>
      <w:r>
        <w:rPr>
          <w:rFonts w:hint="eastAsia" w:ascii="宋体" w:hAnsi="宋体" w:eastAsia="宋体"/>
          <w:color w:val="auto"/>
          <w:sz w:val="21"/>
          <w:szCs w:val="21"/>
          <w:highlight w:val="none"/>
        </w:rPr>
        <w:t>财务状况报告或基本开户行出具的资信证明）。</w:t>
      </w:r>
    </w:p>
    <w:p>
      <w:pPr>
        <w:keepNext w:val="0"/>
        <w:keepLines w:val="0"/>
        <w:pageBreakBefore w:val="0"/>
        <w:widowControl/>
        <w:kinsoku/>
        <w:wordWrap/>
        <w:overflowPunct/>
        <w:topLinePunct w:val="0"/>
        <w:autoSpaceDE/>
        <w:autoSpaceDN/>
        <w:bidi w:val="0"/>
        <w:spacing w:after="0" w:line="400" w:lineRule="exact"/>
        <w:ind w:firstLine="411" w:firstLineChars="196"/>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4）履行合同所必</w:t>
      </w:r>
      <w:r>
        <w:rPr>
          <w:rFonts w:hint="eastAsia" w:ascii="宋体" w:hAnsi="宋体" w:eastAsia="宋体"/>
          <w:color w:val="auto"/>
          <w:sz w:val="21"/>
          <w:szCs w:val="21"/>
          <w:highlight w:val="none"/>
          <w:lang w:eastAsia="zh-CN"/>
        </w:rPr>
        <w:t>需</w:t>
      </w:r>
      <w:r>
        <w:rPr>
          <w:rFonts w:hint="eastAsia" w:ascii="宋体" w:hAnsi="宋体" w:eastAsia="宋体"/>
          <w:color w:val="auto"/>
          <w:sz w:val="21"/>
          <w:szCs w:val="21"/>
          <w:highlight w:val="none"/>
        </w:rPr>
        <w:t>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spacing w:after="0" w:line="400" w:lineRule="exact"/>
        <w:ind w:firstLine="411" w:firstLineChars="196"/>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5）参加采购活动前3年内，在经营活动中没有重大违法记录</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在经营活动中没有重大违法记录</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参照相关</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文件格式</w:t>
      </w:r>
      <w:r>
        <w:rPr>
          <w:rFonts w:hint="eastAsia" w:ascii="宋体" w:hAnsi="宋体" w:eastAsia="宋体"/>
          <w:color w:val="auto"/>
          <w:sz w:val="21"/>
          <w:szCs w:val="21"/>
          <w:highlight w:val="none"/>
          <w:lang w:eastAsia="zh-CN"/>
        </w:rPr>
        <w:t>作出响应</w:t>
      </w:r>
      <w:r>
        <w:rPr>
          <w:rFonts w:hint="eastAsia" w:ascii="宋体" w:hAnsi="宋体" w:eastAsia="宋体"/>
          <w:color w:val="auto"/>
          <w:sz w:val="21"/>
          <w:szCs w:val="21"/>
          <w:highlight w:val="none"/>
        </w:rPr>
        <w:t>承诺。重大违法记录，是指供应商因违法经营受到刑事处罚或者责令停产停业、吊销许可证或者执照、较大数额罚款等行政处罚。</w:t>
      </w:r>
    </w:p>
    <w:p>
      <w:pPr>
        <w:keepNext w:val="0"/>
        <w:keepLines w:val="0"/>
        <w:pageBreakBefore w:val="0"/>
        <w:widowControl/>
        <w:kinsoku/>
        <w:wordWrap/>
        <w:overflowPunct/>
        <w:topLinePunct w:val="0"/>
        <w:autoSpaceDE/>
        <w:autoSpaceDN/>
        <w:bidi w:val="0"/>
        <w:adjustRightInd/>
        <w:snapToGrid/>
        <w:spacing w:after="0" w:line="400" w:lineRule="exact"/>
        <w:ind w:firstLine="422" w:firstLineChars="200"/>
        <w:textAlignment w:val="auto"/>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供应商如不能完整提供上述2）-4）项证明资料的，须提供资格申明（参照响应文件格式相关承诺格式内容）。</w:t>
      </w:r>
      <w:r>
        <w:rPr>
          <w:rFonts w:hint="eastAsia" w:ascii="宋体" w:hAnsi="宋体" w:eastAsia="宋体"/>
          <w:color w:val="auto"/>
          <w:sz w:val="21"/>
          <w:szCs w:val="21"/>
          <w:highlight w:val="none"/>
        </w:rPr>
        <w:t xml:space="preserve"> </w:t>
      </w:r>
    </w:p>
    <w:p>
      <w:pPr>
        <w:keepNext w:val="0"/>
        <w:keepLines w:val="0"/>
        <w:pageBreakBefore w:val="0"/>
        <w:widowControl/>
        <w:kinsoku/>
        <w:wordWrap/>
        <w:overflowPunct/>
        <w:topLinePunct w:val="0"/>
        <w:autoSpaceDE/>
        <w:autoSpaceDN/>
        <w:bidi w:val="0"/>
        <w:spacing w:after="0" w:line="400" w:lineRule="exact"/>
        <w:ind w:firstLine="411" w:firstLineChars="196"/>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 （以采购代理机构于</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截止时间当天在“信用中国”网站（www.creditchina.gov.cn） 及中国政府采购网（http://www.ccgp.gov.cn/）查询结果为准，如相关失信记录已失效，供应商需提供相关证明资料）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7）供应商必须符合法律、行政法规规定的其他条件：单位负责人为同一人或者存在直接控股、管理关系的不</w:t>
      </w:r>
      <w:r>
        <w:rPr>
          <w:rFonts w:hint="eastAsia" w:ascii="宋体" w:hAnsi="宋体" w:eastAsia="宋体"/>
          <w:b w:val="0"/>
          <w:bCs w:val="0"/>
          <w:color w:val="auto"/>
          <w:sz w:val="21"/>
          <w:szCs w:val="21"/>
          <w:highlight w:val="none"/>
        </w:rPr>
        <w:t>同供应商，不得同</w:t>
      </w:r>
      <w:r>
        <w:rPr>
          <w:rFonts w:hint="eastAsia" w:ascii="宋体" w:hAnsi="宋体" w:eastAsia="宋体"/>
          <w:color w:val="auto"/>
          <w:sz w:val="21"/>
          <w:szCs w:val="21"/>
          <w:highlight w:val="none"/>
        </w:rPr>
        <w:t>时参加本采购项目（或采购包）</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。为本项目提供整体设计、规范编制或者项目管理、监理、检测等服务的供应商，不得再参与本项目</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spacing w:after="0" w:line="400" w:lineRule="exact"/>
        <w:ind w:firstLine="411" w:firstLineChars="196"/>
        <w:textAlignment w:val="auto"/>
        <w:rPr>
          <w:rFonts w:hint="eastAsia" w:ascii="宋体" w:hAnsi="宋体" w:eastAsia="宋体"/>
          <w:b/>
          <w:color w:val="auto"/>
          <w:sz w:val="21"/>
          <w:szCs w:val="21"/>
          <w:highlight w:val="none"/>
          <w:lang w:val="en-US" w:eastAsia="zh-CN"/>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本项目的特定资格要求：参与的供应商（联合体）提供的货物全部由符合政策要求的</w:t>
      </w:r>
      <w:r>
        <w:rPr>
          <w:rFonts w:hint="eastAsia" w:ascii="宋体" w:hAnsi="宋体" w:eastAsia="宋体"/>
          <w:color w:val="auto"/>
          <w:sz w:val="21"/>
          <w:szCs w:val="21"/>
          <w:highlight w:val="none"/>
          <w:lang w:val="en-US" w:eastAsia="zh-CN"/>
        </w:rPr>
        <w:t>中</w:t>
      </w:r>
      <w:r>
        <w:rPr>
          <w:rFonts w:hint="eastAsia" w:ascii="宋体" w:hAnsi="宋体" w:eastAsia="宋体"/>
          <w:color w:val="auto"/>
          <w:sz w:val="21"/>
          <w:szCs w:val="21"/>
          <w:highlight w:val="none"/>
          <w:lang w:eastAsia="zh-CN"/>
        </w:rPr>
        <w:t>小企业制造。注：1）参加投标的企业货物须符合本项目采购标的对应行业（本项目行业为：工业）的政策划分标准。2）中小企业以供应商填写的《中小企业声明函》（货物）（见投标格式）为判定标准，残疾人福利性单位以供应商填写的《残疾人福利性单位声明函》（见投标格式）为判定标准，监狱企业须供应商提供由省级以上监狱管理 局、戒毒管理局（含新疆生产建设兵团）出具的属于监狱企业的证明文件，否则不予认定。</w:t>
      </w:r>
    </w:p>
    <w:p>
      <w:pPr>
        <w:keepNext w:val="0"/>
        <w:keepLines w:val="0"/>
        <w:pageBreakBefore w:val="0"/>
        <w:widowControl/>
        <w:kinsoku/>
        <w:wordWrap/>
        <w:overflowPunct/>
        <w:topLinePunct w:val="0"/>
        <w:autoSpaceDE/>
        <w:autoSpaceDN/>
        <w:bidi w:val="0"/>
        <w:spacing w:after="0" w:line="400" w:lineRule="exact"/>
        <w:ind w:firstLine="413" w:firstLineChars="196"/>
        <w:textAlignment w:val="auto"/>
        <w:rPr>
          <w:rFonts w:hint="eastAsia" w:ascii="宋体" w:hAnsi="宋体" w:eastAsia="宋体"/>
          <w:b/>
          <w:color w:val="auto"/>
          <w:sz w:val="21"/>
          <w:szCs w:val="21"/>
          <w:highlight w:val="none"/>
        </w:rPr>
      </w:pPr>
    </w:p>
    <w:p>
      <w:pPr>
        <w:keepNext w:val="0"/>
        <w:keepLines w:val="0"/>
        <w:pageBreakBefore w:val="0"/>
        <w:widowControl/>
        <w:kinsoku/>
        <w:wordWrap/>
        <w:overflowPunct/>
        <w:topLinePunct w:val="0"/>
        <w:autoSpaceDE/>
        <w:autoSpaceDN/>
        <w:bidi w:val="0"/>
        <w:spacing w:after="0" w:line="400" w:lineRule="exact"/>
        <w:ind w:firstLine="413" w:firstLineChars="196"/>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w:t>
      </w:r>
      <w:r>
        <w:rPr>
          <w:rFonts w:hint="eastAsia" w:ascii="宋体" w:hAnsi="宋体" w:eastAsia="宋体"/>
          <w:b/>
          <w:color w:val="auto"/>
          <w:sz w:val="21"/>
          <w:szCs w:val="21"/>
          <w:highlight w:val="none"/>
          <w:lang w:eastAsia="zh-CN"/>
        </w:rPr>
        <w:t>遴选文件领购</w:t>
      </w:r>
      <w:r>
        <w:rPr>
          <w:rFonts w:hint="eastAsia" w:ascii="宋体" w:hAnsi="宋体" w:eastAsia="宋体"/>
          <w:b/>
          <w:color w:val="auto"/>
          <w:sz w:val="21"/>
          <w:szCs w:val="21"/>
          <w:highlight w:val="none"/>
        </w:rPr>
        <w:t>时间、地点、方式</w:t>
      </w:r>
    </w:p>
    <w:p>
      <w:pPr>
        <w:keepNext w:val="0"/>
        <w:keepLines w:val="0"/>
        <w:pageBreakBefore w:val="0"/>
        <w:widowControl/>
        <w:kinsoku/>
        <w:wordWrap/>
        <w:overflowPunct/>
        <w:topLinePunct w:val="0"/>
        <w:autoSpaceDE/>
        <w:autoSpaceDN/>
        <w:bidi w:val="0"/>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w:t>
      </w:r>
      <w:r>
        <w:rPr>
          <w:rFonts w:hint="eastAsia" w:ascii="宋体" w:hAnsi="宋体" w:eastAsia="宋体"/>
          <w:color w:val="auto"/>
          <w:sz w:val="21"/>
          <w:szCs w:val="21"/>
          <w:highlight w:val="none"/>
          <w:lang w:eastAsia="zh-CN"/>
        </w:rPr>
        <w:t>2024年</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12</w:t>
      </w:r>
      <w:r>
        <w:rPr>
          <w:rFonts w:hint="eastAsia" w:ascii="宋体" w:hAnsi="宋体" w:eastAsia="宋体"/>
          <w:color w:val="auto"/>
          <w:sz w:val="21"/>
          <w:szCs w:val="21"/>
          <w:highlight w:val="none"/>
        </w:rPr>
        <w:t>日起至</w:t>
      </w:r>
      <w:r>
        <w:rPr>
          <w:rFonts w:hint="eastAsia" w:ascii="宋体" w:hAnsi="宋体" w:eastAsia="宋体"/>
          <w:color w:val="auto"/>
          <w:sz w:val="21"/>
          <w:szCs w:val="21"/>
          <w:highlight w:val="none"/>
          <w:lang w:eastAsia="zh-CN"/>
        </w:rPr>
        <w:t>2024年</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15</w:t>
      </w:r>
      <w:r>
        <w:rPr>
          <w:rFonts w:hint="eastAsia" w:ascii="宋体" w:hAnsi="宋体" w:eastAsia="宋体"/>
          <w:color w:val="auto"/>
          <w:sz w:val="21"/>
          <w:szCs w:val="21"/>
          <w:highlight w:val="none"/>
        </w:rPr>
        <w:t>日。</w:t>
      </w:r>
    </w:p>
    <w:p>
      <w:pPr>
        <w:keepNext w:val="0"/>
        <w:keepLines w:val="0"/>
        <w:pageBreakBefore w:val="0"/>
        <w:widowControl/>
        <w:kinsoku/>
        <w:wordWrap/>
        <w:overflowPunct/>
        <w:topLinePunct w:val="0"/>
        <w:autoSpaceDE/>
        <w:autoSpaceDN/>
        <w:bidi w:val="0"/>
        <w:spacing w:after="0" w:line="40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eastAsia="zh-CN"/>
        </w:rPr>
        <w:t>遴选文件领购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024年</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12</w:t>
      </w:r>
      <w:r>
        <w:rPr>
          <w:rFonts w:hint="eastAsia" w:ascii="宋体" w:hAnsi="宋体" w:eastAsia="宋体"/>
          <w:color w:val="auto"/>
          <w:sz w:val="21"/>
          <w:szCs w:val="21"/>
          <w:highlight w:val="none"/>
        </w:rPr>
        <w:t>日起至</w:t>
      </w:r>
      <w:r>
        <w:rPr>
          <w:rFonts w:hint="eastAsia" w:ascii="宋体" w:hAnsi="宋体" w:eastAsia="宋体"/>
          <w:color w:val="auto"/>
          <w:sz w:val="21"/>
          <w:szCs w:val="21"/>
          <w:highlight w:val="none"/>
          <w:lang w:eastAsia="zh-CN"/>
        </w:rPr>
        <w:t>2024年</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15</w:t>
      </w:r>
      <w:r>
        <w:rPr>
          <w:rFonts w:hint="eastAsia" w:ascii="宋体" w:hAnsi="宋体" w:eastAsia="宋体"/>
          <w:color w:val="auto"/>
          <w:sz w:val="21"/>
          <w:szCs w:val="21"/>
          <w:highlight w:val="none"/>
        </w:rPr>
        <w:t>日（节假日除外），上午9：00～12：00，下午14：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0～17：</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 xml:space="preserve">0（北京时间）。 </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w:t>
      </w:r>
      <w:r>
        <w:rPr>
          <w:rFonts w:hint="eastAsia" w:ascii="宋体" w:hAnsi="宋体" w:eastAsia="宋体"/>
          <w:color w:val="auto"/>
          <w:sz w:val="21"/>
          <w:szCs w:val="21"/>
          <w:highlight w:val="none"/>
          <w:lang w:val="en-US" w:eastAsia="zh-CN"/>
        </w:rPr>
        <w:t>供应商</w:t>
      </w:r>
      <w:r>
        <w:rPr>
          <w:rFonts w:hint="eastAsia" w:ascii="宋体" w:hAnsi="宋体" w:eastAsia="宋体"/>
          <w:color w:val="auto"/>
          <w:sz w:val="21"/>
          <w:szCs w:val="21"/>
          <w:highlight w:val="none"/>
          <w:lang w:eastAsia="zh-CN"/>
        </w:rPr>
        <w:t>可自行打印遴选文件最后1页中的“获取遴选文件登记表”进行填写并带到现场进行领购，并现场领取发票。（遴选文件领购价：人民币300元整）</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（2）现场支持现金支付、微信支付、支付宝支付等支付方式，请将相应表格交予我司简小姐。</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（3）遴选文件电子版可在政通招标网（http://www.zttendering.com/）相关信息公告下自行下载。</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3、遴选文件领购地点：东莞市南城街道鸿福路199号（市民服务中心）411室。</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联系人：简海欣</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联系电话：0769-22881803</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4、遴选文件领购方式：现场领购。</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供应商在领购遴选文件时须提供如下证明材料：《营业执照》复印件（加盖公章）或《事业单位法人证书》复印件（加盖公章）或其他主体证书复印件（加盖公章），自然人参加投标须提供自然人的身份证明材料。</w:t>
      </w:r>
    </w:p>
    <w:p>
      <w:pPr>
        <w:keepNext w:val="0"/>
        <w:keepLines w:val="0"/>
        <w:pageBreakBefore w:val="0"/>
        <w:widowControl/>
        <w:kinsoku/>
        <w:wordWrap/>
        <w:overflowPunct/>
        <w:topLinePunct w:val="0"/>
        <w:autoSpaceDE/>
        <w:autoSpaceDN/>
        <w:bidi w:val="0"/>
        <w:spacing w:after="0" w:line="400" w:lineRule="exact"/>
        <w:ind w:firstLine="413" w:firstLineChars="196"/>
        <w:textAlignment w:val="auto"/>
        <w:rPr>
          <w:rFonts w:hint="eastAsia" w:ascii="宋体" w:hAnsi="宋体" w:eastAsia="宋体"/>
          <w:b/>
          <w:color w:val="auto"/>
          <w:sz w:val="21"/>
          <w:szCs w:val="21"/>
          <w:highlight w:val="none"/>
        </w:rPr>
      </w:pPr>
    </w:p>
    <w:p>
      <w:pPr>
        <w:keepNext w:val="0"/>
        <w:keepLines w:val="0"/>
        <w:pageBreakBefore w:val="0"/>
        <w:widowControl/>
        <w:kinsoku/>
        <w:wordWrap/>
        <w:overflowPunct/>
        <w:topLinePunct w:val="0"/>
        <w:autoSpaceDE/>
        <w:autoSpaceDN/>
        <w:bidi w:val="0"/>
        <w:spacing w:after="0" w:line="400" w:lineRule="exact"/>
        <w:ind w:firstLine="413" w:firstLineChars="196"/>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四、</w:t>
      </w:r>
      <w:r>
        <w:rPr>
          <w:rFonts w:hint="eastAsia" w:ascii="宋体" w:hAnsi="宋体" w:eastAsia="宋体"/>
          <w:b/>
          <w:color w:val="auto"/>
          <w:sz w:val="21"/>
          <w:szCs w:val="21"/>
          <w:highlight w:val="none"/>
          <w:lang w:eastAsia="zh-CN"/>
        </w:rPr>
        <w:t>接收响应文件</w:t>
      </w:r>
      <w:r>
        <w:rPr>
          <w:rFonts w:hint="eastAsia" w:ascii="宋体" w:hAnsi="宋体" w:eastAsia="宋体"/>
          <w:b/>
          <w:color w:val="auto"/>
          <w:sz w:val="21"/>
          <w:szCs w:val="21"/>
          <w:highlight w:val="none"/>
        </w:rPr>
        <w:t>截止时间、</w:t>
      </w:r>
      <w:r>
        <w:rPr>
          <w:rFonts w:hint="eastAsia" w:ascii="宋体" w:hAnsi="宋体" w:eastAsia="宋体"/>
          <w:b/>
          <w:color w:val="auto"/>
          <w:sz w:val="21"/>
          <w:szCs w:val="21"/>
          <w:highlight w:val="none"/>
          <w:lang w:eastAsia="zh-CN"/>
        </w:rPr>
        <w:t>开启响应文件</w:t>
      </w:r>
      <w:r>
        <w:rPr>
          <w:rFonts w:hint="eastAsia" w:ascii="宋体" w:hAnsi="宋体" w:eastAsia="宋体"/>
          <w:b/>
          <w:color w:val="auto"/>
          <w:sz w:val="21"/>
          <w:szCs w:val="21"/>
          <w:highlight w:val="none"/>
        </w:rPr>
        <w:t>时间及地点</w:t>
      </w:r>
    </w:p>
    <w:p>
      <w:pPr>
        <w:keepNext w:val="0"/>
        <w:keepLines w:val="0"/>
        <w:pageBreakBefore w:val="0"/>
        <w:widowControl/>
        <w:kinsoku/>
        <w:wordWrap/>
        <w:overflowPunct/>
        <w:topLinePunct w:val="0"/>
        <w:autoSpaceDE/>
        <w:autoSpaceDN/>
        <w:bidi w:val="0"/>
        <w:spacing w:after="0" w:line="400" w:lineRule="exact"/>
        <w:ind w:firstLine="420" w:firstLineChars="200"/>
        <w:textAlignment w:val="auto"/>
        <w:rPr>
          <w:rFonts w:ascii="宋体" w:hAnsi="宋体" w:eastAsia="宋体"/>
          <w:bCs/>
          <w:color w:val="auto"/>
          <w:sz w:val="21"/>
          <w:szCs w:val="21"/>
          <w:highlight w:val="none"/>
        </w:rPr>
      </w:pPr>
      <w:r>
        <w:rPr>
          <w:rFonts w:hint="eastAsia" w:ascii="宋体" w:hAnsi="宋体" w:eastAsia="宋体"/>
          <w:bCs/>
          <w:color w:val="auto"/>
          <w:sz w:val="21"/>
          <w:szCs w:val="21"/>
          <w:highlight w:val="none"/>
        </w:rPr>
        <w:t>1、</w:t>
      </w:r>
      <w:r>
        <w:rPr>
          <w:rFonts w:hint="eastAsia" w:ascii="宋体" w:hAnsi="宋体" w:eastAsia="宋体"/>
          <w:bCs/>
          <w:color w:val="auto"/>
          <w:sz w:val="21"/>
          <w:szCs w:val="21"/>
          <w:highlight w:val="none"/>
          <w:lang w:eastAsia="zh-CN"/>
        </w:rPr>
        <w:t>接收响应</w:t>
      </w:r>
      <w:r>
        <w:rPr>
          <w:rFonts w:hint="eastAsia" w:ascii="宋体" w:hAnsi="宋体" w:eastAsia="宋体"/>
          <w:bCs/>
          <w:color w:val="auto"/>
          <w:sz w:val="21"/>
          <w:szCs w:val="21"/>
          <w:highlight w:val="none"/>
        </w:rPr>
        <w:t>文件时间：</w:t>
      </w:r>
      <w:r>
        <w:rPr>
          <w:rFonts w:hint="eastAsia" w:ascii="宋体" w:hAnsi="宋体" w:eastAsia="宋体"/>
          <w:bCs/>
          <w:color w:val="auto"/>
          <w:sz w:val="21"/>
          <w:szCs w:val="21"/>
          <w:highlight w:val="none"/>
          <w:lang w:eastAsia="zh-CN"/>
        </w:rPr>
        <w:t>2024年</w:t>
      </w:r>
      <w:r>
        <w:rPr>
          <w:rFonts w:hint="eastAsia" w:ascii="宋体" w:hAnsi="宋体" w:eastAsia="宋体"/>
          <w:bCs/>
          <w:color w:val="auto"/>
          <w:sz w:val="21"/>
          <w:szCs w:val="21"/>
          <w:highlight w:val="none"/>
          <w:lang w:val="en-US" w:eastAsia="zh-CN"/>
        </w:rPr>
        <w:t>8</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16</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lang w:val="en-US" w:eastAsia="zh-CN"/>
        </w:rPr>
        <w:t xml:space="preserve"> 9</w:t>
      </w:r>
      <w:r>
        <w:rPr>
          <w:rFonts w:hint="eastAsia" w:ascii="宋体" w:hAnsi="宋体" w:eastAsia="宋体"/>
          <w:bCs/>
          <w:color w:val="auto"/>
          <w:sz w:val="21"/>
          <w:szCs w:val="21"/>
          <w:highlight w:val="none"/>
        </w:rPr>
        <w:t>：00～</w:t>
      </w:r>
      <w:r>
        <w:rPr>
          <w:rFonts w:hint="eastAsia" w:ascii="宋体" w:hAnsi="宋体" w:eastAsia="宋体"/>
          <w:bCs/>
          <w:color w:val="auto"/>
          <w:sz w:val="21"/>
          <w:szCs w:val="21"/>
          <w:highlight w:val="none"/>
          <w:lang w:val="en-US" w:eastAsia="zh-CN"/>
        </w:rPr>
        <w:t>9</w:t>
      </w:r>
      <w:r>
        <w:rPr>
          <w:rFonts w:hint="eastAsia" w:ascii="宋体" w:hAnsi="宋体" w:eastAsia="宋体"/>
          <w:bCs/>
          <w:color w:val="auto"/>
          <w:sz w:val="21"/>
          <w:szCs w:val="21"/>
          <w:highlight w:val="none"/>
        </w:rPr>
        <w:t>：30。</w:t>
      </w:r>
    </w:p>
    <w:p>
      <w:pPr>
        <w:keepNext w:val="0"/>
        <w:keepLines w:val="0"/>
        <w:pageBreakBefore w:val="0"/>
        <w:widowControl/>
        <w:kinsoku/>
        <w:wordWrap/>
        <w:overflowPunct/>
        <w:topLinePunct w:val="0"/>
        <w:autoSpaceDE/>
        <w:autoSpaceDN/>
        <w:bidi w:val="0"/>
        <w:spacing w:after="0" w:line="400" w:lineRule="exact"/>
        <w:ind w:firstLine="420" w:firstLineChars="200"/>
        <w:textAlignment w:val="auto"/>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hint="eastAsia" w:ascii="宋体" w:hAnsi="宋体" w:eastAsia="宋体"/>
          <w:bCs/>
          <w:color w:val="auto"/>
          <w:sz w:val="21"/>
          <w:szCs w:val="21"/>
          <w:highlight w:val="none"/>
          <w:lang w:eastAsia="zh-CN"/>
        </w:rPr>
        <w:t>接收响应</w:t>
      </w:r>
      <w:r>
        <w:rPr>
          <w:rFonts w:hint="eastAsia" w:ascii="宋体" w:hAnsi="宋体" w:eastAsia="宋体"/>
          <w:bCs/>
          <w:color w:val="auto"/>
          <w:sz w:val="21"/>
          <w:szCs w:val="21"/>
          <w:highlight w:val="none"/>
        </w:rPr>
        <w:t>文件</w:t>
      </w:r>
      <w:r>
        <w:rPr>
          <w:rFonts w:ascii="宋体" w:hAnsi="宋体" w:eastAsia="宋体"/>
          <w:bCs/>
          <w:color w:val="auto"/>
          <w:sz w:val="21"/>
          <w:szCs w:val="21"/>
          <w:highlight w:val="none"/>
        </w:rPr>
        <w:t>截止</w:t>
      </w:r>
      <w:r>
        <w:rPr>
          <w:rFonts w:hint="eastAsia" w:ascii="宋体" w:hAnsi="宋体" w:eastAsia="宋体"/>
          <w:bCs/>
          <w:color w:val="auto"/>
          <w:sz w:val="21"/>
          <w:szCs w:val="21"/>
          <w:highlight w:val="none"/>
        </w:rPr>
        <w:t>：</w:t>
      </w:r>
      <w:r>
        <w:rPr>
          <w:rFonts w:hint="eastAsia" w:ascii="宋体" w:hAnsi="宋体" w:eastAsia="宋体"/>
          <w:bCs/>
          <w:color w:val="auto"/>
          <w:sz w:val="21"/>
          <w:szCs w:val="21"/>
          <w:highlight w:val="none"/>
          <w:lang w:eastAsia="zh-CN"/>
        </w:rPr>
        <w:t>2024年</w:t>
      </w:r>
      <w:r>
        <w:rPr>
          <w:rFonts w:hint="eastAsia" w:ascii="宋体" w:hAnsi="宋体" w:eastAsia="宋体"/>
          <w:bCs/>
          <w:color w:val="auto"/>
          <w:sz w:val="21"/>
          <w:szCs w:val="21"/>
          <w:highlight w:val="none"/>
          <w:lang w:val="en-US" w:eastAsia="zh-CN"/>
        </w:rPr>
        <w:t>8</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16</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lang w:val="en-US" w:eastAsia="zh-CN"/>
        </w:rPr>
        <w:t xml:space="preserve"> 9</w:t>
      </w:r>
      <w:r>
        <w:rPr>
          <w:rFonts w:hint="eastAsia" w:ascii="宋体" w:hAnsi="宋体" w:eastAsia="宋体"/>
          <w:bCs/>
          <w:color w:val="auto"/>
          <w:sz w:val="21"/>
          <w:szCs w:val="21"/>
          <w:highlight w:val="none"/>
        </w:rPr>
        <w:t>时30分。</w:t>
      </w:r>
    </w:p>
    <w:p>
      <w:pPr>
        <w:keepNext w:val="0"/>
        <w:keepLines w:val="0"/>
        <w:pageBreakBefore w:val="0"/>
        <w:widowControl/>
        <w:kinsoku/>
        <w:wordWrap/>
        <w:overflowPunct/>
        <w:topLinePunct w:val="0"/>
        <w:autoSpaceDE/>
        <w:autoSpaceDN/>
        <w:bidi w:val="0"/>
        <w:spacing w:after="0" w:line="400" w:lineRule="exact"/>
        <w:ind w:firstLine="420" w:firstLineChars="200"/>
        <w:textAlignment w:val="auto"/>
        <w:rPr>
          <w:rFonts w:ascii="宋体" w:hAnsi="宋体" w:eastAsia="宋体"/>
          <w:bCs/>
          <w:color w:val="auto"/>
          <w:sz w:val="21"/>
          <w:szCs w:val="21"/>
          <w:highlight w:val="none"/>
        </w:rPr>
      </w:pPr>
      <w:r>
        <w:rPr>
          <w:rFonts w:hint="eastAsia" w:ascii="宋体" w:hAnsi="宋体" w:eastAsia="宋体"/>
          <w:bCs/>
          <w:color w:val="auto"/>
          <w:sz w:val="21"/>
          <w:szCs w:val="21"/>
          <w:highlight w:val="none"/>
          <w:lang w:val="en-US" w:eastAsia="zh-CN"/>
        </w:rPr>
        <w:t>3、</w:t>
      </w:r>
      <w:r>
        <w:rPr>
          <w:rFonts w:hint="eastAsia" w:ascii="宋体" w:hAnsi="宋体" w:eastAsia="宋体"/>
          <w:bCs/>
          <w:color w:val="auto"/>
          <w:sz w:val="21"/>
          <w:szCs w:val="21"/>
          <w:highlight w:val="none"/>
          <w:lang w:eastAsia="zh-CN"/>
        </w:rPr>
        <w:t>响应</w:t>
      </w:r>
      <w:r>
        <w:rPr>
          <w:rFonts w:ascii="宋体" w:hAnsi="宋体" w:eastAsia="宋体"/>
          <w:bCs/>
          <w:color w:val="auto"/>
          <w:sz w:val="21"/>
          <w:szCs w:val="21"/>
          <w:highlight w:val="none"/>
        </w:rPr>
        <w:t>地点</w:t>
      </w:r>
      <w:r>
        <w:rPr>
          <w:rFonts w:hint="eastAsia" w:ascii="宋体" w:hAnsi="宋体" w:eastAsia="宋体"/>
          <w:bCs/>
          <w:color w:val="auto"/>
          <w:sz w:val="21"/>
          <w:szCs w:val="21"/>
          <w:highlight w:val="none"/>
          <w:lang w:eastAsia="zh-CN"/>
        </w:rPr>
        <w:t>：</w:t>
      </w:r>
      <w:r>
        <w:rPr>
          <w:rFonts w:hint="eastAsia" w:ascii="宋体" w:hAnsi="宋体" w:eastAsia="宋体"/>
          <w:color w:val="auto"/>
          <w:sz w:val="21"/>
          <w:szCs w:val="21"/>
          <w:highlight w:val="none"/>
          <w:lang w:eastAsia="zh-CN"/>
        </w:rPr>
        <w:t>东莞市南城街道鸿福路199号（市民服务中心）411室</w:t>
      </w:r>
      <w:r>
        <w:rPr>
          <w:rFonts w:hint="eastAsia" w:ascii="宋体" w:hAnsi="宋体" w:eastAsia="宋体"/>
          <w:bCs/>
          <w:color w:val="auto"/>
          <w:sz w:val="21"/>
          <w:szCs w:val="21"/>
          <w:highlight w:val="none"/>
        </w:rPr>
        <w:t>。</w:t>
      </w:r>
    </w:p>
    <w:p>
      <w:pPr>
        <w:keepNext w:val="0"/>
        <w:keepLines w:val="0"/>
        <w:pageBreakBefore w:val="0"/>
        <w:widowControl/>
        <w:kinsoku/>
        <w:wordWrap/>
        <w:overflowPunct/>
        <w:topLinePunct w:val="0"/>
        <w:autoSpaceDE/>
        <w:autoSpaceDN/>
        <w:bidi w:val="0"/>
        <w:spacing w:after="0" w:line="400" w:lineRule="exact"/>
        <w:ind w:firstLine="411" w:firstLineChars="196"/>
        <w:textAlignment w:val="auto"/>
        <w:rPr>
          <w:rFonts w:ascii="宋体" w:hAnsi="宋体" w:eastAsia="宋体"/>
          <w:bCs/>
          <w:color w:val="auto"/>
          <w:sz w:val="21"/>
          <w:szCs w:val="21"/>
          <w:highlight w:val="none"/>
        </w:rPr>
      </w:pPr>
    </w:p>
    <w:p>
      <w:pPr>
        <w:keepNext w:val="0"/>
        <w:keepLines w:val="0"/>
        <w:pageBreakBefore w:val="0"/>
        <w:widowControl/>
        <w:kinsoku/>
        <w:wordWrap/>
        <w:overflowPunct/>
        <w:topLinePunct w:val="0"/>
        <w:autoSpaceDE/>
        <w:autoSpaceDN/>
        <w:bidi w:val="0"/>
        <w:spacing w:after="0" w:line="400" w:lineRule="exact"/>
        <w:ind w:firstLine="413" w:firstLineChars="196"/>
        <w:textAlignment w:val="auto"/>
        <w:rPr>
          <w:rFonts w:ascii="宋体" w:hAnsi="宋体" w:eastAsia="宋体"/>
          <w:bCs/>
          <w:color w:val="auto"/>
          <w:sz w:val="21"/>
          <w:szCs w:val="21"/>
          <w:highlight w:val="none"/>
        </w:rPr>
      </w:pPr>
      <w:r>
        <w:rPr>
          <w:rFonts w:hint="eastAsia" w:ascii="宋体" w:hAnsi="宋体" w:eastAsia="宋体"/>
          <w:b/>
          <w:color w:val="auto"/>
          <w:sz w:val="21"/>
          <w:szCs w:val="21"/>
          <w:highlight w:val="none"/>
        </w:rPr>
        <w:t>五、采购人及采购代理机构的名称、地址和联系方法：</w:t>
      </w:r>
    </w:p>
    <w:p>
      <w:pPr>
        <w:keepNext w:val="0"/>
        <w:keepLines w:val="0"/>
        <w:pageBreakBefore w:val="0"/>
        <w:widowControl/>
        <w:kinsoku/>
        <w:wordWrap/>
        <w:overflowPunct/>
        <w:topLinePunct w:val="0"/>
        <w:autoSpaceDE/>
        <w:autoSpaceDN/>
        <w:bidi w:val="0"/>
        <w:spacing w:after="0" w:line="400" w:lineRule="exact"/>
        <w:ind w:firstLine="420" w:firstLineChars="200"/>
        <w:textAlignment w:val="auto"/>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采购人联系人：陈老师</w:t>
      </w:r>
    </w:p>
    <w:p>
      <w:pPr>
        <w:keepNext w:val="0"/>
        <w:keepLines w:val="0"/>
        <w:pageBreakBefore w:val="0"/>
        <w:widowControl/>
        <w:kinsoku/>
        <w:wordWrap/>
        <w:overflowPunct/>
        <w:topLinePunct w:val="0"/>
        <w:autoSpaceDE/>
        <w:autoSpaceDN/>
        <w:bidi w:val="0"/>
        <w:spacing w:after="0" w:line="400" w:lineRule="exact"/>
        <w:ind w:firstLine="420" w:firstLineChars="200"/>
        <w:textAlignment w:val="auto"/>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地址：东莞市常平镇</w:t>
      </w:r>
    </w:p>
    <w:p>
      <w:pPr>
        <w:keepNext w:val="0"/>
        <w:keepLines w:val="0"/>
        <w:pageBreakBefore w:val="0"/>
        <w:widowControl/>
        <w:kinsoku/>
        <w:wordWrap/>
        <w:overflowPunct/>
        <w:topLinePunct w:val="0"/>
        <w:autoSpaceDE/>
        <w:autoSpaceDN/>
        <w:bidi w:val="0"/>
        <w:spacing w:after="0" w:line="400" w:lineRule="exact"/>
        <w:ind w:firstLine="420" w:firstLineChars="200"/>
        <w:textAlignment w:val="auto"/>
        <w:rPr>
          <w:rFonts w:hint="default" w:ascii="宋体" w:hAnsi="宋体" w:eastAsia="微软雅黑"/>
          <w:bCs/>
          <w:color w:val="auto"/>
          <w:sz w:val="21"/>
          <w:szCs w:val="21"/>
          <w:highlight w:val="none"/>
          <w:lang w:val="en-US" w:eastAsia="zh-CN"/>
        </w:rPr>
      </w:pPr>
      <w:r>
        <w:rPr>
          <w:rFonts w:hint="eastAsia" w:ascii="宋体" w:hAnsi="宋体" w:eastAsia="宋体"/>
          <w:bCs/>
          <w:color w:val="auto"/>
          <w:sz w:val="21"/>
          <w:szCs w:val="21"/>
          <w:highlight w:val="none"/>
        </w:rPr>
        <w:t>联系电话：</w:t>
      </w:r>
      <w:r>
        <w:rPr>
          <w:rFonts w:hint="eastAsia" w:ascii="宋体" w:hAnsi="宋体" w:eastAsia="宋体"/>
          <w:bCs/>
          <w:color w:val="auto"/>
          <w:sz w:val="21"/>
          <w:szCs w:val="21"/>
          <w:highlight w:val="none"/>
          <w:lang w:val="en-US" w:eastAsia="zh-CN"/>
        </w:rPr>
        <w:t>0769-82200386</w:t>
      </w:r>
    </w:p>
    <w:p>
      <w:pPr>
        <w:keepNext w:val="0"/>
        <w:keepLines w:val="0"/>
        <w:pageBreakBefore w:val="0"/>
        <w:widowControl/>
        <w:kinsoku/>
        <w:wordWrap/>
        <w:overflowPunct/>
        <w:topLinePunct w:val="0"/>
        <w:autoSpaceDE/>
        <w:autoSpaceDN/>
        <w:bidi w:val="0"/>
        <w:spacing w:after="0" w:line="400" w:lineRule="exact"/>
        <w:ind w:firstLine="420" w:firstLineChars="200"/>
        <w:textAlignment w:val="auto"/>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广东政通招标有限公司</w:t>
      </w:r>
    </w:p>
    <w:p>
      <w:pPr>
        <w:keepNext w:val="0"/>
        <w:keepLines w:val="0"/>
        <w:pageBreakBefore w:val="0"/>
        <w:widowControl/>
        <w:kinsoku/>
        <w:wordWrap/>
        <w:overflowPunct/>
        <w:topLinePunct w:val="0"/>
        <w:autoSpaceDE/>
        <w:autoSpaceDN/>
        <w:bidi w:val="0"/>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地址：</w:t>
      </w:r>
      <w:r>
        <w:rPr>
          <w:rFonts w:hint="eastAsia" w:ascii="宋体" w:hAnsi="宋体" w:eastAsia="宋体"/>
          <w:color w:val="auto"/>
          <w:sz w:val="21"/>
          <w:szCs w:val="21"/>
          <w:highlight w:val="none"/>
          <w:lang w:eastAsia="zh-CN"/>
        </w:rPr>
        <w:t>东莞市南城街道鸿福路199号（市民服务中心）411室</w:t>
      </w:r>
    </w:p>
    <w:p>
      <w:pPr>
        <w:keepNext w:val="0"/>
        <w:keepLines w:val="0"/>
        <w:pageBreakBefore w:val="0"/>
        <w:widowControl/>
        <w:kinsoku/>
        <w:wordWrap/>
        <w:overflowPunct/>
        <w:topLinePunct w:val="0"/>
        <w:autoSpaceDE/>
        <w:autoSpaceDN/>
        <w:bidi w:val="0"/>
        <w:spacing w:after="0" w:line="400" w:lineRule="exact"/>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eastAsia="zh-CN"/>
        </w:rPr>
        <w:t>杨先生</w:t>
      </w:r>
    </w:p>
    <w:p>
      <w:pPr>
        <w:keepNext w:val="0"/>
        <w:keepLines w:val="0"/>
        <w:pageBreakBefore w:val="0"/>
        <w:widowControl/>
        <w:kinsoku/>
        <w:wordWrap/>
        <w:overflowPunct/>
        <w:topLinePunct w:val="0"/>
        <w:autoSpaceDE/>
        <w:autoSpaceDN/>
        <w:bidi w:val="0"/>
        <w:spacing w:after="0" w:line="400" w:lineRule="exact"/>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联系电话：</w:t>
      </w:r>
      <w:r>
        <w:rPr>
          <w:rFonts w:hint="eastAsia" w:ascii="宋体" w:hAnsi="宋体" w:eastAsia="宋体"/>
          <w:color w:val="auto"/>
          <w:sz w:val="21"/>
          <w:szCs w:val="21"/>
          <w:highlight w:val="none"/>
          <w:lang w:eastAsia="zh-CN"/>
        </w:rPr>
        <w:t>0769-22881803</w:t>
      </w:r>
    </w:p>
    <w:p>
      <w:pPr>
        <w:keepNext w:val="0"/>
        <w:keepLines w:val="0"/>
        <w:pageBreakBefore w:val="0"/>
        <w:widowControl/>
        <w:kinsoku/>
        <w:wordWrap/>
        <w:overflowPunct/>
        <w:topLinePunct w:val="0"/>
        <w:autoSpaceDE/>
        <w:autoSpaceDN/>
        <w:bidi w:val="0"/>
        <w:spacing w:after="0" w:line="400" w:lineRule="exact"/>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lang w:val="en-US" w:eastAsia="zh-CN"/>
        </w:rPr>
        <w:t>471539976@qq.com</w:t>
      </w:r>
    </w:p>
    <w:p>
      <w:pPr>
        <w:spacing w:after="0" w:line="360" w:lineRule="auto"/>
        <w:ind w:firstLine="440" w:firstLineChars="200"/>
        <w:rPr>
          <w:rFonts w:eastAsia="宋体"/>
          <w:color w:val="auto"/>
          <w:highlight w:val="none"/>
        </w:rPr>
      </w:pPr>
    </w:p>
    <w:p>
      <w:pPr>
        <w:ind w:right="788" w:rightChars="35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ind w:right="788" w:rightChars="358"/>
        <w:jc w:val="right"/>
        <w:rPr>
          <w:rFonts w:hint="eastAsia" w:ascii="宋体" w:hAnsi="宋体" w:eastAsia="宋体" w:cs="宋体"/>
          <w:color w:val="auto"/>
          <w:sz w:val="21"/>
          <w:szCs w:val="21"/>
          <w:highlight w:val="none"/>
        </w:rPr>
      </w:pPr>
    </w:p>
    <w:p>
      <w:pPr>
        <w:ind w:right="788" w:rightChars="35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广东政通招标有限公司</w:t>
      </w:r>
    </w:p>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2024年8</w:t>
      </w:r>
      <w:r>
        <w:rPr>
          <w:rFonts w:hint="eastAsia" w:ascii="宋体" w:hAnsi="宋体" w:eastAsia="宋体" w:cs="宋体"/>
          <w:color w:val="auto"/>
          <w:sz w:val="21"/>
          <w:szCs w:val="21"/>
          <w:highlight w:val="none"/>
        </w:rPr>
        <w:t>月</w:t>
      </w:r>
    </w:p>
    <w:p>
      <w:pPr>
        <w:ind w:left="6481"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3"/>
        <w:spacing w:before="0" w:after="0" w:line="240" w:lineRule="auto"/>
        <w:rPr>
          <w:color w:val="auto"/>
          <w:sz w:val="28"/>
          <w:szCs w:val="28"/>
          <w:highlight w:val="none"/>
        </w:rPr>
      </w:pPr>
      <w:bookmarkStart w:id="4" w:name="_Toc4653"/>
      <w:r>
        <w:rPr>
          <w:rFonts w:hint="eastAsia"/>
          <w:color w:val="auto"/>
          <w:sz w:val="28"/>
          <w:szCs w:val="28"/>
          <w:highlight w:val="none"/>
        </w:rPr>
        <w:t>第二部分 相关资料表格</w:t>
      </w:r>
      <w:bookmarkEnd w:id="4"/>
    </w:p>
    <w:p>
      <w:pPr>
        <w:pStyle w:val="4"/>
        <w:spacing w:before="0" w:after="0" w:line="240" w:lineRule="auto"/>
        <w:jc w:val="left"/>
        <w:rPr>
          <w:rFonts w:ascii="宋体" w:hAnsi="宋体" w:eastAsia="宋体" w:cs="宋体"/>
          <w:color w:val="auto"/>
          <w:sz w:val="24"/>
          <w:szCs w:val="24"/>
          <w:highlight w:val="none"/>
        </w:rPr>
      </w:pPr>
      <w:bookmarkStart w:id="5" w:name="_Toc30747"/>
      <w:r>
        <w:rPr>
          <w:rFonts w:hint="eastAsia" w:ascii="宋体" w:hAnsi="宋体" w:eastAsia="宋体" w:cs="宋体"/>
          <w:color w:val="auto"/>
          <w:sz w:val="24"/>
          <w:szCs w:val="24"/>
          <w:highlight w:val="none"/>
        </w:rPr>
        <w:t>附表一：</w:t>
      </w:r>
      <w:r>
        <w:rPr>
          <w:rFonts w:hint="eastAsia" w:ascii="宋体" w:hAnsi="宋体" w:eastAsia="宋体" w:cs="宋体"/>
          <w:color w:val="auto"/>
          <w:sz w:val="24"/>
          <w:szCs w:val="24"/>
          <w:highlight w:val="none"/>
          <w:lang w:eastAsia="zh-CN"/>
        </w:rPr>
        <w:t>遴选</w:t>
      </w:r>
      <w:r>
        <w:rPr>
          <w:rFonts w:hint="eastAsia" w:ascii="宋体" w:hAnsi="宋体" w:eastAsia="宋体" w:cs="宋体"/>
          <w:color w:val="auto"/>
          <w:sz w:val="24"/>
          <w:szCs w:val="24"/>
          <w:highlight w:val="none"/>
        </w:rPr>
        <w:t>资料表</w:t>
      </w:r>
      <w:bookmarkEnd w:id="5"/>
    </w:p>
    <w:tbl>
      <w:tblPr>
        <w:tblStyle w:val="18"/>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4"/>
        <w:gridCol w:w="4"/>
        <w:gridCol w:w="3766"/>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w:t>
            </w:r>
            <w:r>
              <w:rPr>
                <w:rFonts w:ascii="宋体" w:hAnsi="宋体" w:eastAsia="宋体"/>
                <w:b/>
                <w:color w:val="auto"/>
                <w:sz w:val="21"/>
                <w:szCs w:val="21"/>
                <w:highlight w:val="none"/>
              </w:rPr>
              <w:t xml:space="preserve">      </w:t>
            </w:r>
            <w:r>
              <w:rPr>
                <w:rFonts w:hint="eastAsia" w:ascii="宋体" w:hAnsi="宋体" w:eastAsia="宋体"/>
                <w:b/>
                <w:color w:val="auto"/>
                <w:sz w:val="21"/>
                <w:szCs w:val="21"/>
                <w:highlight w:val="none"/>
              </w:rPr>
              <w:t>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85"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7532" w:type="dxa"/>
            <w:gridSpan w:val="4"/>
            <w:vAlign w:val="center"/>
          </w:tcPr>
          <w:p>
            <w:pPr>
              <w:spacing w:after="0"/>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eastAsia="zh-CN"/>
              </w:rPr>
              <w:t>货物</w:t>
            </w:r>
            <w:r>
              <w:rPr>
                <w:rFonts w:hint="eastAsia" w:ascii="宋体" w:hAnsi="宋体" w:eastAsia="宋体"/>
                <w:bCs/>
                <w:color w:val="auto"/>
                <w:sz w:val="21"/>
                <w:szCs w:val="21"/>
                <w:highlight w:val="none"/>
              </w:rPr>
              <w:sym w:font="Wingdings" w:char="00FE"/>
            </w:r>
            <w:r>
              <w:rPr>
                <w:rFonts w:hint="eastAsia" w:ascii="宋体" w:hAnsi="宋体" w:eastAsia="宋体"/>
                <w:bCs/>
                <w:color w:val="auto"/>
                <w:sz w:val="21"/>
                <w:szCs w:val="21"/>
                <w:highlight w:val="none"/>
                <w:lang w:val="en-US" w:eastAsia="zh-CN"/>
              </w:rPr>
              <w:t xml:space="preserve">   工程</w:t>
            </w:r>
            <w:r>
              <w:rPr>
                <w:rFonts w:hint="eastAsia" w:ascii="宋体" w:hAnsi="宋体" w:eastAsia="宋体"/>
                <w:bCs/>
                <w:color w:val="auto"/>
                <w:sz w:val="21"/>
                <w:szCs w:val="21"/>
                <w:highlight w:val="none"/>
                <w:lang w:val="en-US" w:eastAsia="zh-CN"/>
              </w:rPr>
              <w:sym w:font="Wingdings" w:char="00A8"/>
            </w:r>
            <w:r>
              <w:rPr>
                <w:rFonts w:hint="eastAsia" w:ascii="宋体" w:hAnsi="宋体" w:eastAsia="宋体"/>
                <w:bCs/>
                <w:color w:val="auto"/>
                <w:sz w:val="21"/>
                <w:szCs w:val="21"/>
                <w:highlight w:val="none"/>
                <w:lang w:val="en-US" w:eastAsia="zh-CN"/>
              </w:rPr>
              <w:t xml:space="preserve">   服务</w:t>
            </w:r>
            <w:r>
              <w:rPr>
                <w:rFonts w:hint="eastAsia" w:ascii="宋体" w:hAnsi="宋体" w:eastAsia="宋体"/>
                <w:bCs/>
                <w:color w:val="auto"/>
                <w:sz w:val="21"/>
                <w:szCs w:val="21"/>
                <w:highlight w:val="none"/>
                <w:lang w:val="en-US" w:eastAsia="zh-CN"/>
              </w:rPr>
              <w:sym w:font="Wingdings" w:char="00A8"/>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lang w:eastAsia="zh-CN"/>
              </w:rPr>
              <w:t>财政性</w:t>
            </w:r>
            <w:r>
              <w:rPr>
                <w:rFonts w:hint="eastAsia" w:ascii="宋体" w:hAnsi="宋体" w:eastAsia="宋体"/>
                <w:bCs/>
                <w:color w:val="auto"/>
                <w:sz w:val="21"/>
                <w:szCs w:val="21"/>
                <w:highlight w:val="none"/>
              </w:rPr>
              <w:t>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遴选</w:t>
            </w:r>
            <w:r>
              <w:rPr>
                <w:rFonts w:hint="eastAsia" w:ascii="宋体" w:hAnsi="宋体" w:eastAsia="宋体"/>
                <w:b/>
                <w:color w:val="auto"/>
                <w:sz w:val="21"/>
                <w:szCs w:val="21"/>
                <w:highlight w:val="none"/>
              </w:rPr>
              <w:t>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2" w:type="dxa"/>
            <w:gridSpan w:val="2"/>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政通招标网</w:t>
            </w:r>
          </w:p>
        </w:tc>
        <w:tc>
          <w:tcPr>
            <w:tcW w:w="3770"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2" w:type="dxa"/>
            <w:gridSpan w:val="2"/>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val="0"/>
                <w:bCs/>
                <w:color w:val="auto"/>
                <w:sz w:val="21"/>
                <w:szCs w:val="21"/>
                <w:highlight w:val="none"/>
                <w:lang w:eastAsia="zh-CN"/>
              </w:rPr>
              <w:t>http://www.zttendering.com/</w:t>
            </w:r>
          </w:p>
        </w:tc>
        <w:tc>
          <w:tcPr>
            <w:tcW w:w="3770" w:type="dxa"/>
            <w:gridSpan w:val="2"/>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w:t>
            </w:r>
            <w:r>
              <w:rPr>
                <w:rFonts w:hint="eastAsia" w:ascii="宋体" w:hAnsi="宋体" w:eastAsia="宋体"/>
                <w:b/>
                <w:color w:val="auto"/>
                <w:sz w:val="21"/>
                <w:szCs w:val="21"/>
                <w:highlight w:val="none"/>
                <w:lang w:eastAsia="zh-CN"/>
              </w:rPr>
              <w:t>响应文件</w:t>
            </w:r>
            <w:r>
              <w:rPr>
                <w:rFonts w:hint="eastAsia" w:ascii="宋体" w:hAnsi="宋体" w:eastAsia="宋体"/>
                <w:b/>
                <w:color w:val="auto"/>
                <w:sz w:val="21"/>
                <w:szCs w:val="21"/>
                <w:highlight w:val="none"/>
              </w:rPr>
              <w:t>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响应</w:t>
            </w:r>
            <w:r>
              <w:rPr>
                <w:rFonts w:hint="eastAsia" w:ascii="宋体" w:hAnsi="宋体" w:eastAsia="宋体"/>
                <w:b/>
                <w:color w:val="auto"/>
                <w:sz w:val="21"/>
                <w:szCs w:val="21"/>
                <w:highlight w:val="none"/>
              </w:rPr>
              <w:t>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响应</w:t>
            </w:r>
            <w:r>
              <w:rPr>
                <w:rFonts w:hint="eastAsia" w:ascii="宋体" w:hAnsi="宋体" w:eastAsia="宋体"/>
                <w:b/>
                <w:color w:val="auto"/>
                <w:sz w:val="21"/>
                <w:szCs w:val="21"/>
                <w:highlight w:val="none"/>
              </w:rPr>
              <w:t>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w:t>
            </w:r>
            <w:r>
              <w:rPr>
                <w:rFonts w:hint="eastAsia" w:ascii="宋体" w:hAnsi="宋体" w:eastAsia="宋体"/>
                <w:color w:val="auto"/>
                <w:sz w:val="21"/>
                <w:szCs w:val="21"/>
                <w:highlight w:val="none"/>
                <w:lang w:eastAsia="zh-CN"/>
              </w:rPr>
              <w:t>“第四部分供应商</w:t>
            </w:r>
            <w:r>
              <w:rPr>
                <w:rFonts w:hint="eastAsia" w:ascii="宋体" w:hAnsi="宋体" w:eastAsia="宋体"/>
                <w:color w:val="auto"/>
                <w:sz w:val="21"/>
                <w:szCs w:val="21"/>
                <w:highlight w:val="none"/>
              </w:rPr>
              <w:t>须知</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hint="eastAsia" w:ascii="宋体" w:hAnsi="宋体" w:eastAsia="宋体"/>
                <w:b/>
                <w:color w:val="auto"/>
                <w:sz w:val="21"/>
                <w:szCs w:val="21"/>
                <w:highlight w:val="none"/>
                <w:lang w:eastAsia="zh-CN"/>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lang w:eastAsia="zh-CN"/>
              </w:rPr>
              <w:t>响应有效期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9</w:t>
            </w:r>
          </w:p>
        </w:tc>
        <w:tc>
          <w:tcPr>
            <w:tcW w:w="7532" w:type="dxa"/>
            <w:gridSpan w:val="4"/>
            <w:vAlign w:val="center"/>
          </w:tcPr>
          <w:p>
            <w:pPr>
              <w:spacing w:after="0"/>
              <w:jc w:val="center"/>
              <w:rPr>
                <w:rFonts w:hint="eastAsia"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hint="eastAsia" w:ascii="宋体" w:hAnsi="宋体" w:eastAsia="宋体"/>
                <w:color w:val="auto"/>
                <w:sz w:val="21"/>
                <w:szCs w:val="21"/>
                <w:highlight w:val="none"/>
                <w:lang w:val="en-US" w:eastAsia="zh-CN"/>
              </w:rPr>
            </w:pPr>
          </w:p>
        </w:tc>
        <w:tc>
          <w:tcPr>
            <w:tcW w:w="3766"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信用中国</w:t>
            </w:r>
          </w:p>
        </w:tc>
        <w:tc>
          <w:tcPr>
            <w:tcW w:w="3766" w:type="dxa"/>
            <w:vAlign w:val="center"/>
          </w:tcPr>
          <w:p>
            <w:pPr>
              <w:spacing w:after="0"/>
              <w:jc w:val="center"/>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hint="eastAsia" w:ascii="宋体" w:hAnsi="宋体" w:eastAsia="宋体"/>
                <w:color w:val="auto"/>
                <w:sz w:val="21"/>
                <w:szCs w:val="21"/>
                <w:highlight w:val="none"/>
                <w:lang w:val="en-US" w:eastAsia="zh-CN"/>
              </w:rPr>
            </w:pPr>
          </w:p>
        </w:tc>
        <w:tc>
          <w:tcPr>
            <w:tcW w:w="3766" w:type="dxa"/>
            <w:gridSpan w:val="3"/>
            <w:vAlign w:val="center"/>
          </w:tcPr>
          <w:p>
            <w:pPr>
              <w:spacing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vAlign w:val="center"/>
          </w:tcPr>
          <w:p>
            <w:pPr>
              <w:spacing w:after="0"/>
              <w:jc w:val="center"/>
              <w:rPr>
                <w:rFonts w:hint="eastAsia"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w:t>
            </w:r>
          </w:p>
        </w:tc>
        <w:tc>
          <w:tcPr>
            <w:tcW w:w="7532" w:type="dxa"/>
            <w:gridSpan w:val="4"/>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供应商</w:t>
            </w:r>
            <w:r>
              <w:rPr>
                <w:rFonts w:hint="eastAsia" w:ascii="宋体" w:hAnsi="宋体" w:eastAsia="宋体"/>
                <w:b/>
                <w:color w:val="auto"/>
                <w:sz w:val="21"/>
                <w:szCs w:val="21"/>
                <w:highlight w:val="none"/>
              </w:rPr>
              <w:t>应提交以下</w:t>
            </w:r>
            <w:r>
              <w:rPr>
                <w:rFonts w:hint="eastAsia" w:ascii="宋体" w:hAnsi="宋体" w:eastAsia="宋体"/>
                <w:b/>
                <w:color w:val="auto"/>
                <w:sz w:val="21"/>
                <w:szCs w:val="21"/>
                <w:highlight w:val="none"/>
                <w:lang w:eastAsia="zh-CN"/>
              </w:rPr>
              <w:t>响应文件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响应文件</w:t>
            </w:r>
            <w:r>
              <w:rPr>
                <w:rFonts w:hint="eastAsia" w:ascii="宋体" w:hAnsi="宋体" w:eastAsia="宋体"/>
                <w:b/>
                <w:color w:val="auto"/>
                <w:sz w:val="21"/>
                <w:szCs w:val="21"/>
                <w:highlight w:val="none"/>
              </w:rPr>
              <w:t>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rPr>
              <w:t>开标</w:t>
            </w:r>
            <w:r>
              <w:rPr>
                <w:rFonts w:hint="eastAsia" w:ascii="宋体" w:hAnsi="宋体" w:eastAsia="宋体"/>
                <w:b/>
                <w:color w:val="auto"/>
                <w:sz w:val="21"/>
                <w:szCs w:val="21"/>
                <w:highlight w:val="none"/>
                <w:lang w:eastAsia="zh-CN"/>
              </w:rPr>
              <w:t>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响应文件</w:t>
            </w:r>
            <w:r>
              <w:rPr>
                <w:rFonts w:hint="eastAsia" w:ascii="宋体" w:hAnsi="宋体" w:eastAsia="宋体"/>
                <w:b/>
                <w:color w:val="auto"/>
                <w:sz w:val="21"/>
                <w:szCs w:val="21"/>
                <w:highlight w:val="none"/>
              </w:rPr>
              <w:t>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响应文件</w:t>
            </w:r>
            <w:r>
              <w:rPr>
                <w:rFonts w:hint="eastAsia" w:ascii="宋体" w:hAnsi="宋体" w:eastAsia="宋体"/>
                <w:b/>
                <w:color w:val="auto"/>
                <w:sz w:val="21"/>
                <w:szCs w:val="21"/>
                <w:highlight w:val="none"/>
              </w:rPr>
              <w:t>副本</w:t>
            </w:r>
          </w:p>
        </w:tc>
        <w:tc>
          <w:tcPr>
            <w:tcW w:w="4924"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val="en-US" w:eastAsia="zh-CN"/>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97" w:hRule="atLeast"/>
        </w:trPr>
        <w:tc>
          <w:tcPr>
            <w:tcW w:w="8410" w:type="dxa"/>
            <w:gridSpan w:val="5"/>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rPr>
              <w:t>三、</w:t>
            </w:r>
            <w:r>
              <w:rPr>
                <w:rFonts w:hint="eastAsia" w:ascii="宋体" w:hAnsi="宋体" w:eastAsia="宋体"/>
                <w:b/>
                <w:color w:val="auto"/>
                <w:sz w:val="21"/>
                <w:szCs w:val="21"/>
                <w:highlight w:val="none"/>
                <w:lang w:eastAsia="zh-CN"/>
              </w:rPr>
              <w:t>签到</w:t>
            </w:r>
            <w:r>
              <w:rPr>
                <w:rFonts w:hint="eastAsia" w:ascii="宋体" w:hAnsi="宋体" w:eastAsia="宋体"/>
                <w:b/>
                <w:color w:val="auto"/>
                <w:sz w:val="21"/>
                <w:szCs w:val="21"/>
                <w:highlight w:val="none"/>
              </w:rPr>
              <w:t>与</w:t>
            </w:r>
            <w:r>
              <w:rPr>
                <w:rFonts w:hint="eastAsia" w:ascii="宋体" w:hAnsi="宋体" w:eastAsia="宋体"/>
                <w:b/>
                <w:color w:val="auto"/>
                <w:sz w:val="21"/>
                <w:szCs w:val="21"/>
                <w:highlight w:val="none"/>
                <w:lang w:eastAsia="zh-CN"/>
              </w:rPr>
              <w:t>评审</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w:t>
            </w:r>
          </w:p>
        </w:tc>
        <w:tc>
          <w:tcPr>
            <w:tcW w:w="7532" w:type="dxa"/>
            <w:gridSpan w:val="4"/>
            <w:vAlign w:val="center"/>
          </w:tcPr>
          <w:p>
            <w:pPr>
              <w:spacing w:after="0"/>
              <w:jc w:val="both"/>
              <w:rPr>
                <w:rFonts w:hint="eastAsia" w:ascii="宋体" w:hAnsi="宋体" w:eastAsia="宋体"/>
                <w:color w:val="auto"/>
                <w:sz w:val="21"/>
                <w:szCs w:val="21"/>
                <w:highlight w:val="none"/>
                <w:lang w:eastAsia="zh-CN"/>
              </w:rPr>
            </w:pPr>
            <w:r>
              <w:rPr>
                <w:rFonts w:hint="eastAsia" w:ascii="宋体" w:hAnsi="宋体" w:eastAsia="宋体"/>
                <w:b/>
                <w:color w:val="auto"/>
                <w:sz w:val="21"/>
                <w:szCs w:val="21"/>
                <w:highlight w:val="none"/>
              </w:rPr>
              <w:t>本项目</w:t>
            </w:r>
            <w:r>
              <w:rPr>
                <w:rFonts w:hint="eastAsia" w:ascii="宋体" w:hAnsi="宋体" w:eastAsia="宋体"/>
                <w:b/>
                <w:color w:val="auto"/>
                <w:sz w:val="21"/>
                <w:szCs w:val="21"/>
                <w:highlight w:val="none"/>
                <w:lang w:eastAsia="zh-CN"/>
              </w:rPr>
              <w:t>评审方法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w:t>
            </w:r>
            <w:r>
              <w:rPr>
                <w:rFonts w:hint="eastAsia" w:ascii="宋体" w:hAnsi="宋体" w:eastAsia="宋体"/>
                <w:color w:val="auto"/>
                <w:sz w:val="21"/>
                <w:szCs w:val="21"/>
                <w:highlight w:val="none"/>
                <w:lang w:val="en-US" w:eastAsia="zh-CN"/>
              </w:rPr>
              <w:t>二</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13</w:t>
            </w:r>
          </w:p>
        </w:tc>
        <w:tc>
          <w:tcPr>
            <w:tcW w:w="7532" w:type="dxa"/>
            <w:gridSpan w:val="4"/>
            <w:shd w:val="clear" w:color="auto" w:fill="auto"/>
            <w:vAlign w:val="center"/>
          </w:tcPr>
          <w:p>
            <w:pPr>
              <w:spacing w:after="0"/>
              <w:jc w:val="both"/>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rPr>
              <w:t>履约保证金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hint="default" w:ascii="宋体" w:hAnsi="宋体" w:eastAsia="宋体"/>
                <w:b/>
                <w:color w:val="auto"/>
                <w:sz w:val="21"/>
                <w:szCs w:val="21"/>
                <w:highlight w:val="none"/>
                <w:lang w:val="en-US" w:eastAsia="zh-CN"/>
              </w:rPr>
            </w:pPr>
            <w:r>
              <w:rPr>
                <w:rFonts w:hint="eastAsia" w:ascii="宋体" w:hAnsi="宋体" w:eastAsia="宋体"/>
                <w:color w:val="auto"/>
                <w:sz w:val="21"/>
                <w:szCs w:val="21"/>
                <w:highlight w:val="none"/>
                <w:lang w:val="en-US" w:eastAsia="zh-CN"/>
              </w:rPr>
              <w:t>不收取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14</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成交</w:t>
            </w:r>
            <w:r>
              <w:rPr>
                <w:rFonts w:hint="eastAsia" w:ascii="宋体" w:hAnsi="宋体" w:eastAsia="宋体"/>
                <w:b/>
                <w:color w:val="auto"/>
                <w:sz w:val="21"/>
                <w:szCs w:val="21"/>
                <w:highlight w:val="none"/>
              </w:rPr>
              <w:t>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服务费参照国家计委[计价格[2002]1980号]文和国家发改委[发改价格[2011]534号]文及相关规定向</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单位收取，按差额定率累进法计算，以</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通知书中确定的</w:t>
            </w:r>
            <w:r>
              <w:rPr>
                <w:rFonts w:hint="eastAsia" w:ascii="宋体" w:hAnsi="宋体" w:eastAsia="宋体"/>
                <w:color w:val="auto"/>
                <w:sz w:val="21"/>
                <w:szCs w:val="21"/>
                <w:highlight w:val="none"/>
                <w:lang w:eastAsia="zh-CN"/>
              </w:rPr>
              <w:t>成交</w:t>
            </w:r>
            <w:bookmarkStart w:id="222" w:name="_GoBack"/>
            <w:bookmarkEnd w:id="222"/>
            <w:r>
              <w:rPr>
                <w:rFonts w:hint="eastAsia" w:ascii="宋体" w:hAnsi="宋体" w:eastAsia="宋体"/>
                <w:color w:val="auto"/>
                <w:sz w:val="21"/>
                <w:szCs w:val="21"/>
                <w:highlight w:val="none"/>
              </w:rPr>
              <w:t>总金额作为收费的计算参照；</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服务费最低收费标准为陆仟元整。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 款 人：广东政通招标有限公司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须知的具体补充和修改，如有矛盾，应以本资料表为准。</w:t>
            </w:r>
          </w:p>
        </w:tc>
      </w:tr>
    </w:tbl>
    <w:p>
      <w:pPr>
        <w:jc w:val="center"/>
        <w:rPr>
          <w:color w:val="auto"/>
          <w:highlight w:val="none"/>
        </w:rPr>
      </w:pPr>
      <w:r>
        <w:rPr>
          <w:rFonts w:hint="eastAsia"/>
          <w:color w:val="auto"/>
          <w:highlight w:val="none"/>
        </w:rPr>
        <w:br w:type="page"/>
      </w:r>
    </w:p>
    <w:p>
      <w:pPr>
        <w:pStyle w:val="4"/>
        <w:spacing w:before="0" w:after="0" w:line="240" w:lineRule="auto"/>
        <w:jc w:val="left"/>
        <w:rPr>
          <w:rFonts w:hint="eastAsia"/>
          <w:color w:val="auto"/>
          <w:sz w:val="28"/>
          <w:szCs w:val="28"/>
          <w:highlight w:val="none"/>
        </w:rPr>
      </w:pPr>
      <w:bookmarkStart w:id="6" w:name="_Toc10885"/>
      <w:r>
        <w:rPr>
          <w:rFonts w:hint="eastAsia" w:ascii="宋体" w:hAnsi="宋体" w:eastAsia="宋体" w:cs="宋体"/>
          <w:color w:val="auto"/>
          <w:sz w:val="24"/>
          <w:szCs w:val="24"/>
          <w:highlight w:val="none"/>
        </w:rPr>
        <w:t>附表二：商务技术评分及价格权重表</w:t>
      </w:r>
      <w:bookmarkEnd w:id="6"/>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商务评审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15分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vAlign w:val="center"/>
          </w:tcPr>
          <w:p>
            <w:pPr>
              <w:pStyle w:val="22"/>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业绩</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供应商具有的家具类项目业绩，每提供一个合同业绩得</w:t>
            </w: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5</w:t>
            </w:r>
            <w:r>
              <w:rPr>
                <w:rFonts w:hint="eastAsia" w:ascii="宋体" w:eastAsia="宋体" w:cs="宋体"/>
                <w:bCs/>
                <w:color w:val="auto"/>
                <w:sz w:val="21"/>
                <w:szCs w:val="21"/>
                <w:highlight w:val="none"/>
                <w:lang w:val="zh-CN"/>
              </w:rPr>
              <w:t>分。</w:t>
            </w:r>
          </w:p>
          <w:p>
            <w:pPr>
              <w:pStyle w:val="22"/>
              <w:spacing w:line="240" w:lineRule="auto"/>
              <w:ind w:firstLine="420" w:firstLineChars="200"/>
              <w:rPr>
                <w:rFonts w:hint="eastAsia" w:ascii="宋体" w:hAns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注：须提供合同复印件并同时加盖供应商公章，不符合以上要求得不得分。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售后服务</w:t>
            </w:r>
            <w:r>
              <w:rPr>
                <w:rFonts w:hint="eastAsia" w:ascii="宋体" w:eastAsia="宋体" w:cs="宋体"/>
                <w:color w:val="auto"/>
                <w:sz w:val="21"/>
                <w:szCs w:val="21"/>
                <w:highlight w:val="none"/>
                <w:lang w:val="en-US" w:eastAsia="zh-CN"/>
              </w:rPr>
              <w:t>方案</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eastAsia="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 xml:space="preserve">针对本项目制定的售后服务方案(包括但不仅限于售后服务计划、售后服务人员配置、售后保障措施、应急预案等内容)进行综合评审: </w:t>
            </w:r>
          </w:p>
          <w:p>
            <w:pPr>
              <w:pStyle w:val="22"/>
              <w:spacing w:line="240" w:lineRule="auto"/>
              <w:ind w:firstLine="420" w:firstLineChars="200"/>
              <w:rPr>
                <w:rFonts w:hint="eastAsia" w:asci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售后服务计划清晰明确、详细具体，售后服务人员组织架构完善、专业技术力量投入充足、技术人员组织安排及跟进处理流程详细具体合理，针对设备故障维修有详细的应对措施及相应的解决方案，应急预案考虑深入严谨、应急措施科学合理可行，售后服务方案各项内容均具备，并能根据项目性质或用户需求提出合理可行的建议的得10分</w:t>
            </w:r>
            <w:r>
              <w:rPr>
                <w:rFonts w:hint="eastAsia" w:ascii="宋体" w:eastAsia="宋体" w:cs="宋体"/>
                <w:bCs/>
                <w:color w:val="auto"/>
                <w:sz w:val="21"/>
                <w:szCs w:val="21"/>
                <w:highlight w:val="none"/>
                <w:lang w:val="zh-CN"/>
              </w:rPr>
              <w:t>；</w:t>
            </w:r>
          </w:p>
          <w:p>
            <w:pPr>
              <w:pStyle w:val="22"/>
              <w:spacing w:line="240" w:lineRule="auto"/>
              <w:ind w:firstLine="420" w:firstLineChars="200"/>
              <w:rPr>
                <w:rFonts w:hint="eastAsia" w:asci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售后服务计划明确具体，售后服务人员组织架构完善、专业技术力量投入充足、技术人员组织安排及跟进处理流程合理，针对设备故障维修有相应的应对措施及解决方案，应急预案考虑深入、应急措施科学合理可行，售后服务方案各项内容均具备的得6分</w:t>
            </w:r>
            <w:r>
              <w:rPr>
                <w:rFonts w:hint="eastAsia" w:ascii="宋体" w:eastAsia="宋体" w:cs="宋体"/>
                <w:bCs/>
                <w:color w:val="auto"/>
                <w:sz w:val="21"/>
                <w:szCs w:val="21"/>
                <w:highlight w:val="none"/>
                <w:lang w:val="zh-CN"/>
              </w:rPr>
              <w:t>；</w:t>
            </w:r>
          </w:p>
          <w:p>
            <w:pPr>
              <w:pStyle w:val="22"/>
              <w:spacing w:line="240" w:lineRule="auto"/>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售后服务计划明确，但售后服务人员组织架构不完善、技术人员组织安排及跟进处理流程不合理，对设备故障维修的应对措施及解决方案不合理不可行、应急措施不合理不可行，售后服务方案部分内容有缺漏的得2分</w:t>
            </w:r>
            <w:r>
              <w:rPr>
                <w:rFonts w:hint="eastAsia" w:asci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rPr>
              <w:t xml:space="preserve"> </w:t>
            </w:r>
          </w:p>
          <w:p>
            <w:pPr>
              <w:pStyle w:val="22"/>
              <w:spacing w:line="240" w:lineRule="auto"/>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4、没有提供本项方案的不得分。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技术评审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35分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vAlign w:val="center"/>
          </w:tcPr>
          <w:p>
            <w:pPr>
              <w:adjustRightInd/>
              <w:spacing w:after="0"/>
              <w:jc w:val="center"/>
              <w:rPr>
                <w:rFonts w:ascii="宋体" w:eastAsia="宋体" w:cs="宋体"/>
                <w:color w:val="auto"/>
                <w:sz w:val="21"/>
                <w:szCs w:val="21"/>
                <w:highlight w:val="none"/>
              </w:rPr>
            </w:pPr>
            <w:r>
              <w:rPr>
                <w:rFonts w:ascii="宋体" w:eastAsia="宋体" w:cs="宋体"/>
                <w:color w:val="auto"/>
                <w:sz w:val="21"/>
                <w:szCs w:val="21"/>
                <w:highlight w:val="none"/>
              </w:rPr>
              <w:t>项目实施方案</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adjustRightInd/>
              <w:spacing w:after="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15</w:t>
            </w:r>
          </w:p>
        </w:tc>
        <w:tc>
          <w:tcPr>
            <w:tcW w:w="5463" w:type="dxa"/>
            <w:tcBorders>
              <w:top w:val="single" w:color="auto" w:sz="4" w:space="0"/>
              <w:left w:val="single" w:color="auto" w:sz="4" w:space="0"/>
              <w:bottom w:val="single" w:color="auto" w:sz="4" w:space="0"/>
              <w:right w:val="single" w:color="auto" w:sz="4" w:space="0"/>
            </w:tcBorders>
            <w:vAlign w:val="center"/>
          </w:tcPr>
          <w:p>
            <w:pPr>
              <w:adjustRightInd/>
              <w:spacing w:after="0" w:line="360" w:lineRule="auto"/>
              <w:ind w:firstLine="420" w:firstLineChars="200"/>
              <w:rPr>
                <w:rFonts w:ascii="宋体" w:eastAsia="宋体" w:cs="宋体"/>
                <w:color w:val="auto"/>
                <w:sz w:val="21"/>
                <w:szCs w:val="21"/>
                <w:highlight w:val="none"/>
              </w:rPr>
            </w:pPr>
            <w:r>
              <w:rPr>
                <w:rFonts w:ascii="宋体" w:eastAsia="宋体" w:cs="宋体"/>
                <w:color w:val="auto"/>
                <w:sz w:val="21"/>
                <w:szCs w:val="21"/>
                <w:highlight w:val="none"/>
              </w:rPr>
              <w:t>根据</w:t>
            </w:r>
            <w:r>
              <w:rPr>
                <w:rFonts w:hint="eastAsia" w:ascii="宋体" w:eastAsia="宋体" w:cs="宋体"/>
                <w:color w:val="auto"/>
                <w:sz w:val="21"/>
                <w:szCs w:val="21"/>
                <w:highlight w:val="none"/>
                <w:lang w:eastAsia="zh-CN"/>
              </w:rPr>
              <w:t>供应商</w:t>
            </w:r>
            <w:r>
              <w:rPr>
                <w:rFonts w:ascii="宋体" w:eastAsia="宋体" w:cs="宋体"/>
                <w:color w:val="auto"/>
                <w:sz w:val="21"/>
                <w:szCs w:val="21"/>
                <w:highlight w:val="none"/>
              </w:rPr>
              <w:t xml:space="preserve">针对本项目制定的整体实施方案(包括但仅限于货物运输、安装、调试、验收、进度计划等内容)进行综合评审: </w:t>
            </w:r>
          </w:p>
          <w:p>
            <w:pPr>
              <w:adjustRightInd/>
              <w:spacing w:after="0" w:line="360" w:lineRule="auto"/>
              <w:ind w:firstLine="420" w:firstLineChars="200"/>
              <w:rPr>
                <w:rFonts w:ascii="宋体" w:eastAsia="宋体" w:cs="宋体"/>
                <w:color w:val="auto"/>
                <w:sz w:val="21"/>
                <w:szCs w:val="21"/>
                <w:highlight w:val="none"/>
              </w:rPr>
            </w:pPr>
            <w:r>
              <w:rPr>
                <w:rFonts w:ascii="宋体" w:eastAsia="宋体" w:cs="宋体"/>
                <w:color w:val="auto"/>
                <w:sz w:val="21"/>
                <w:szCs w:val="21"/>
                <w:highlight w:val="none"/>
              </w:rPr>
              <w:t>1、设备运输、安装、调试方案有明确详细的计划和步骤，验收方案具有合理的符合国家现行验收规范的验收标准及具体详细的验收流程，编制系统科学、合理可行的进度计划安排，项目整体实施方案各项内容均具备，并能根据项目性质提出合理可行的建议的得</w:t>
            </w:r>
            <w:r>
              <w:rPr>
                <w:rFonts w:hint="eastAsia" w:ascii="宋体" w:eastAsia="宋体" w:cs="宋体"/>
                <w:color w:val="auto"/>
                <w:sz w:val="21"/>
                <w:szCs w:val="21"/>
                <w:highlight w:val="none"/>
                <w:lang w:val="en-US" w:eastAsia="zh-CN"/>
              </w:rPr>
              <w:t>15</w:t>
            </w:r>
            <w:r>
              <w:rPr>
                <w:rFonts w:ascii="宋体" w:eastAsia="宋体" w:cs="宋体"/>
                <w:color w:val="auto"/>
                <w:sz w:val="21"/>
                <w:szCs w:val="21"/>
                <w:highlight w:val="none"/>
              </w:rPr>
              <w:t>分</w:t>
            </w:r>
            <w:r>
              <w:rPr>
                <w:rFonts w:hint="eastAsia" w:ascii="宋体" w:eastAsia="宋体" w:cs="宋体"/>
                <w:color w:val="auto"/>
                <w:sz w:val="21"/>
                <w:szCs w:val="21"/>
                <w:highlight w:val="none"/>
                <w:lang w:eastAsia="zh-CN"/>
              </w:rPr>
              <w:t>；</w:t>
            </w:r>
            <w:r>
              <w:rPr>
                <w:rFonts w:ascii="宋体" w:eastAsia="宋体" w:cs="宋体"/>
                <w:color w:val="auto"/>
                <w:sz w:val="21"/>
                <w:szCs w:val="21"/>
                <w:highlight w:val="none"/>
              </w:rPr>
              <w:t xml:space="preserve"> </w:t>
            </w:r>
          </w:p>
          <w:p>
            <w:pPr>
              <w:adjustRightInd/>
              <w:spacing w:after="0" w:line="360" w:lineRule="auto"/>
              <w:ind w:firstLine="420" w:firstLineChars="200"/>
              <w:rPr>
                <w:rFonts w:hint="eastAsia" w:ascii="宋体" w:eastAsia="宋体" w:cs="宋体"/>
                <w:color w:val="auto"/>
                <w:sz w:val="21"/>
                <w:szCs w:val="21"/>
                <w:highlight w:val="none"/>
                <w:lang w:eastAsia="zh-CN"/>
              </w:rPr>
            </w:pPr>
            <w:r>
              <w:rPr>
                <w:rFonts w:ascii="宋体" w:eastAsia="宋体" w:cs="宋体"/>
                <w:color w:val="auto"/>
                <w:sz w:val="21"/>
                <w:szCs w:val="21"/>
                <w:highlight w:val="none"/>
              </w:rPr>
              <w:t>2、设备运输、安装、调试方案有明确的计划和步骤，验收方案具有合理的符合国家现行验收规范的验收标准及验收流程，编制合理可行的进度计划安排，项目整体实施方案各项内容均具备的得</w:t>
            </w:r>
            <w:r>
              <w:rPr>
                <w:rFonts w:hint="eastAsia" w:ascii="宋体" w:eastAsia="宋体" w:cs="宋体"/>
                <w:color w:val="auto"/>
                <w:sz w:val="21"/>
                <w:szCs w:val="21"/>
                <w:highlight w:val="none"/>
                <w:lang w:val="en-US" w:eastAsia="zh-CN"/>
              </w:rPr>
              <w:t>8</w:t>
            </w:r>
            <w:r>
              <w:rPr>
                <w:rFonts w:ascii="宋体" w:eastAsia="宋体" w:cs="宋体"/>
                <w:color w:val="auto"/>
                <w:sz w:val="21"/>
                <w:szCs w:val="21"/>
                <w:highlight w:val="none"/>
              </w:rPr>
              <w:t>分</w:t>
            </w:r>
            <w:r>
              <w:rPr>
                <w:rFonts w:hint="eastAsia" w:ascii="宋体" w:eastAsia="宋体" w:cs="宋体"/>
                <w:color w:val="auto"/>
                <w:sz w:val="21"/>
                <w:szCs w:val="21"/>
                <w:highlight w:val="none"/>
                <w:lang w:eastAsia="zh-CN"/>
              </w:rPr>
              <w:t>；</w:t>
            </w:r>
          </w:p>
          <w:p>
            <w:pPr>
              <w:adjustRightInd/>
              <w:spacing w:after="0" w:line="360" w:lineRule="auto"/>
              <w:ind w:firstLine="420" w:firstLineChars="200"/>
              <w:rPr>
                <w:rFonts w:ascii="宋体" w:eastAsia="宋体" w:cs="宋体"/>
                <w:color w:val="auto"/>
                <w:sz w:val="21"/>
                <w:szCs w:val="21"/>
                <w:highlight w:val="none"/>
              </w:rPr>
            </w:pPr>
            <w:r>
              <w:rPr>
                <w:rFonts w:ascii="宋体" w:eastAsia="宋体" w:cs="宋体"/>
                <w:color w:val="auto"/>
                <w:sz w:val="21"/>
                <w:szCs w:val="21"/>
                <w:highlight w:val="none"/>
              </w:rPr>
              <w:t>3、设备运输、安装、调试方案有明确的计划或步骤，但验收方案、验收流程不具体不合理，进度计划安排不合理，项目整体实施方案部分内容有缺漏的得2分</w:t>
            </w:r>
            <w:r>
              <w:rPr>
                <w:rFonts w:hint="eastAsia" w:ascii="宋体" w:eastAsia="宋体" w:cs="宋体"/>
                <w:color w:val="auto"/>
                <w:sz w:val="21"/>
                <w:szCs w:val="21"/>
                <w:highlight w:val="none"/>
                <w:lang w:eastAsia="zh-CN"/>
              </w:rPr>
              <w:t>；</w:t>
            </w:r>
            <w:r>
              <w:rPr>
                <w:rFonts w:ascii="宋体" w:eastAsia="宋体" w:cs="宋体"/>
                <w:color w:val="auto"/>
                <w:sz w:val="21"/>
                <w:szCs w:val="21"/>
                <w:highlight w:val="none"/>
              </w:rPr>
              <w:t xml:space="preserve"> </w:t>
            </w:r>
          </w:p>
          <w:p>
            <w:pPr>
              <w:adjustRightInd/>
              <w:spacing w:after="0" w:line="360" w:lineRule="auto"/>
              <w:ind w:firstLine="420" w:firstLineChars="200"/>
              <w:rPr>
                <w:rFonts w:ascii="宋体" w:eastAsia="宋体" w:cs="宋体"/>
                <w:color w:val="auto"/>
                <w:sz w:val="21"/>
                <w:szCs w:val="21"/>
                <w:highlight w:val="none"/>
              </w:rPr>
            </w:pPr>
            <w:r>
              <w:rPr>
                <w:rFonts w:ascii="宋体" w:eastAsia="宋体" w:cs="宋体"/>
                <w:color w:val="auto"/>
                <w:sz w:val="21"/>
                <w:szCs w:val="21"/>
                <w:highlight w:val="none"/>
              </w:rPr>
              <w:t>4、没有提供本项方案的不得分。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vAlign w:val="center"/>
          </w:tcPr>
          <w:p>
            <w:pPr>
              <w:adjustRightInd/>
              <w:spacing w:after="0" w:line="360" w:lineRule="auto"/>
              <w:jc w:val="center"/>
              <w:rPr>
                <w:rFonts w:ascii="宋体" w:eastAsia="宋体" w:cs="宋体"/>
                <w:color w:val="auto"/>
                <w:sz w:val="21"/>
                <w:szCs w:val="21"/>
                <w:highlight w:val="none"/>
              </w:rPr>
            </w:pPr>
            <w:r>
              <w:rPr>
                <w:rFonts w:ascii="宋体" w:eastAsia="宋体" w:cs="宋体"/>
                <w:color w:val="auto"/>
                <w:sz w:val="21"/>
                <w:szCs w:val="21"/>
                <w:highlight w:val="none"/>
              </w:rPr>
              <w:t>质量保证措施</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adjustRightInd/>
              <w:spacing w:after="0" w:line="360" w:lineRule="auto"/>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vAlign w:val="center"/>
          </w:tcPr>
          <w:p>
            <w:pPr>
              <w:adjustRightInd/>
              <w:spacing w:after="0" w:line="360" w:lineRule="auto"/>
              <w:ind w:firstLine="420" w:firstLineChars="200"/>
              <w:rPr>
                <w:rFonts w:ascii="宋体" w:eastAsia="宋体" w:cs="宋体"/>
                <w:color w:val="auto"/>
                <w:sz w:val="21"/>
                <w:szCs w:val="21"/>
                <w:highlight w:val="none"/>
                <w:lang w:val="zh-CN"/>
              </w:rPr>
            </w:pPr>
            <w:r>
              <w:rPr>
                <w:rFonts w:ascii="宋体" w:eastAsia="宋体" w:cs="宋体"/>
                <w:color w:val="auto"/>
                <w:sz w:val="21"/>
                <w:szCs w:val="21"/>
                <w:highlight w:val="none"/>
                <w:lang w:val="zh-CN"/>
              </w:rPr>
              <w:t>根据</w:t>
            </w:r>
            <w:r>
              <w:rPr>
                <w:rFonts w:hint="eastAsia" w:ascii="宋体" w:eastAsia="宋体" w:cs="宋体"/>
                <w:color w:val="auto"/>
                <w:sz w:val="21"/>
                <w:szCs w:val="21"/>
                <w:highlight w:val="none"/>
                <w:lang w:val="zh-CN"/>
              </w:rPr>
              <w:t>供应商</w:t>
            </w:r>
            <w:r>
              <w:rPr>
                <w:rFonts w:ascii="宋体" w:eastAsia="宋体" w:cs="宋体"/>
                <w:color w:val="auto"/>
                <w:sz w:val="21"/>
                <w:szCs w:val="21"/>
                <w:highlight w:val="none"/>
                <w:lang w:val="zh-CN"/>
              </w:rPr>
              <w:t xml:space="preserve">针对本项目制定的质量保证方案(包括但不仅限于质量目标、质量控制措施、质量保证体系及措施、质童保障管理及制度等内容)进行综合评审: </w:t>
            </w:r>
          </w:p>
          <w:p>
            <w:pPr>
              <w:adjustRightInd/>
              <w:spacing w:after="0" w:line="360" w:lineRule="auto"/>
              <w:ind w:firstLine="420" w:firstLineChars="200"/>
              <w:rPr>
                <w:rFonts w:ascii="宋体" w:eastAsia="宋体" w:cs="宋体"/>
                <w:color w:val="auto"/>
                <w:sz w:val="21"/>
                <w:szCs w:val="21"/>
                <w:highlight w:val="none"/>
                <w:lang w:val="zh-CN"/>
              </w:rPr>
            </w:pPr>
            <w:r>
              <w:rPr>
                <w:rFonts w:ascii="宋体" w:eastAsia="宋体" w:cs="宋体"/>
                <w:color w:val="auto"/>
                <w:sz w:val="21"/>
                <w:szCs w:val="21"/>
                <w:highlight w:val="none"/>
                <w:lang w:val="zh-CN"/>
              </w:rPr>
              <w:t>1、质量目标清晰明确，质量控制措施合理可行，质量保证体系系统科学、保证措施严谨规范，质童保障管理及制度科学合理具体，质量保证方案各项内容均具备，并能根据项目性质提出合理可行的建议的得10分</w:t>
            </w:r>
            <w:r>
              <w:rPr>
                <w:rFonts w:hint="eastAsia" w:ascii="宋体" w:eastAsia="宋体" w:cs="宋体"/>
                <w:color w:val="auto"/>
                <w:sz w:val="21"/>
                <w:szCs w:val="21"/>
                <w:highlight w:val="none"/>
                <w:lang w:val="zh-CN"/>
              </w:rPr>
              <w:t>；</w:t>
            </w:r>
            <w:r>
              <w:rPr>
                <w:rFonts w:ascii="宋体" w:eastAsia="宋体" w:cs="宋体"/>
                <w:color w:val="auto"/>
                <w:sz w:val="21"/>
                <w:szCs w:val="21"/>
                <w:highlight w:val="none"/>
                <w:lang w:val="zh-CN"/>
              </w:rPr>
              <w:t xml:space="preserve"> </w:t>
            </w:r>
          </w:p>
          <w:p>
            <w:pPr>
              <w:adjustRightInd/>
              <w:spacing w:after="0" w:line="360" w:lineRule="auto"/>
              <w:ind w:firstLine="420" w:firstLineChars="200"/>
              <w:rPr>
                <w:rFonts w:hint="eastAsia" w:ascii="宋体" w:eastAsia="宋体" w:cs="宋体"/>
                <w:color w:val="auto"/>
                <w:sz w:val="21"/>
                <w:szCs w:val="21"/>
                <w:highlight w:val="none"/>
                <w:lang w:val="zh-CN"/>
              </w:rPr>
            </w:pPr>
            <w:r>
              <w:rPr>
                <w:rFonts w:ascii="宋体" w:eastAsia="宋体" w:cs="宋体"/>
                <w:color w:val="auto"/>
                <w:sz w:val="21"/>
                <w:szCs w:val="21"/>
                <w:highlight w:val="none"/>
                <w:lang w:val="zh-CN"/>
              </w:rPr>
              <w:t>2、质量目标明确，质量控制措施合理可行，质量保证体系及保证措施规范，质量保障管理及制度科学合理，质量保证方案各项内容均具备的得6分</w:t>
            </w:r>
            <w:r>
              <w:rPr>
                <w:rFonts w:hint="eastAsia" w:ascii="宋体" w:eastAsia="宋体" w:cs="宋体"/>
                <w:color w:val="auto"/>
                <w:sz w:val="21"/>
                <w:szCs w:val="21"/>
                <w:highlight w:val="none"/>
                <w:lang w:val="zh-CN"/>
              </w:rPr>
              <w:t>；</w:t>
            </w:r>
          </w:p>
          <w:p>
            <w:pPr>
              <w:adjustRightInd/>
              <w:spacing w:after="0" w:line="360" w:lineRule="auto"/>
              <w:ind w:firstLine="420" w:firstLineChars="200"/>
              <w:rPr>
                <w:rFonts w:hint="eastAsia" w:ascii="宋体" w:eastAsia="宋体" w:cs="宋体"/>
                <w:color w:val="auto"/>
                <w:sz w:val="21"/>
                <w:szCs w:val="21"/>
                <w:highlight w:val="none"/>
                <w:lang w:val="zh-CN"/>
              </w:rPr>
            </w:pPr>
            <w:r>
              <w:rPr>
                <w:rFonts w:ascii="宋体" w:eastAsia="宋体" w:cs="宋体"/>
                <w:color w:val="auto"/>
                <w:sz w:val="21"/>
                <w:szCs w:val="21"/>
                <w:highlight w:val="none"/>
                <w:lang w:val="zh-CN"/>
              </w:rPr>
              <w:t>3、质童目标明确，但质量控制措施、质量保证体系及保证措施和质量保障管理及制度方案不合理不可行，质量保证方案部分内容有缺漏的得2分</w:t>
            </w:r>
            <w:r>
              <w:rPr>
                <w:rFonts w:hint="eastAsia" w:ascii="宋体" w:eastAsia="宋体" w:cs="宋体"/>
                <w:color w:val="auto"/>
                <w:sz w:val="21"/>
                <w:szCs w:val="21"/>
                <w:highlight w:val="none"/>
                <w:lang w:val="zh-CN"/>
              </w:rPr>
              <w:t>；</w:t>
            </w:r>
          </w:p>
          <w:p>
            <w:pPr>
              <w:adjustRightInd/>
              <w:spacing w:after="0" w:line="360" w:lineRule="auto"/>
              <w:ind w:firstLine="420" w:firstLineChars="200"/>
              <w:rPr>
                <w:rFonts w:ascii="宋体" w:eastAsia="宋体" w:cs="宋体"/>
                <w:color w:val="auto"/>
                <w:sz w:val="21"/>
                <w:szCs w:val="21"/>
                <w:highlight w:val="none"/>
                <w:lang w:val="zh-CN"/>
              </w:rPr>
            </w:pPr>
            <w:r>
              <w:rPr>
                <w:rFonts w:ascii="宋体" w:eastAsia="宋体" w:cs="宋体"/>
                <w:color w:val="auto"/>
                <w:sz w:val="21"/>
                <w:szCs w:val="21"/>
                <w:highlight w:val="none"/>
                <w:lang w:val="zh-CN"/>
              </w:rPr>
              <w:t>4、没有提供本项方案的不得分。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vAlign w:val="center"/>
          </w:tcPr>
          <w:p>
            <w:pPr>
              <w:adjustRightInd/>
              <w:spacing w:after="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管理制度</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adjustRightInd/>
              <w:spacing w:after="0" w:line="360" w:lineRule="auto"/>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vAlign w:val="center"/>
          </w:tcPr>
          <w:p>
            <w:pPr>
              <w:adjustRightInd/>
              <w:spacing w:after="0" w:line="360" w:lineRule="auto"/>
              <w:ind w:firstLine="420" w:firstLineChars="200"/>
              <w:rPr>
                <w:rFonts w:ascii="宋体" w:eastAsia="宋体" w:cs="宋体"/>
                <w:color w:val="auto"/>
                <w:sz w:val="21"/>
                <w:szCs w:val="21"/>
                <w:highlight w:val="none"/>
                <w:lang w:val="zh-CN"/>
              </w:rPr>
            </w:pPr>
            <w:r>
              <w:rPr>
                <w:rFonts w:ascii="宋体" w:eastAsia="宋体" w:cs="宋体"/>
                <w:color w:val="auto"/>
                <w:sz w:val="21"/>
                <w:szCs w:val="21"/>
                <w:highlight w:val="none"/>
                <w:lang w:val="zh-CN"/>
              </w:rPr>
              <w:t xml:space="preserve">根据供应商所制定的管理制度（包括但不限于服务管理制度、财务制度）完善，程序规范，责任明确，具有可操作性，包括档案管理制度等进行评审： </w:t>
            </w:r>
          </w:p>
          <w:p>
            <w:pPr>
              <w:adjustRightInd/>
              <w:spacing w:after="0" w:line="360" w:lineRule="auto"/>
              <w:ind w:firstLine="420" w:firstLineChars="200"/>
              <w:rPr>
                <w:rFonts w:ascii="宋体" w:eastAsia="宋体" w:cs="宋体"/>
                <w:color w:val="auto"/>
                <w:sz w:val="21"/>
                <w:szCs w:val="21"/>
                <w:highlight w:val="none"/>
                <w:lang w:val="zh-CN"/>
              </w:rPr>
            </w:pPr>
            <w:r>
              <w:rPr>
                <w:rFonts w:ascii="宋体" w:eastAsia="宋体" w:cs="宋体"/>
                <w:color w:val="auto"/>
                <w:sz w:val="21"/>
                <w:szCs w:val="21"/>
                <w:highlight w:val="none"/>
                <w:lang w:val="zh-CN"/>
              </w:rPr>
              <w:t xml:space="preserve">1、管理制度（包括但不限于服务管理制度、财务制度）完善、清晰、规范、可行性高，得10分； </w:t>
            </w:r>
          </w:p>
          <w:p>
            <w:pPr>
              <w:adjustRightInd/>
              <w:spacing w:after="0" w:line="360" w:lineRule="auto"/>
              <w:ind w:firstLine="420" w:firstLineChars="200"/>
              <w:rPr>
                <w:rFonts w:ascii="宋体" w:eastAsia="宋体" w:cs="宋体"/>
                <w:color w:val="auto"/>
                <w:sz w:val="21"/>
                <w:szCs w:val="21"/>
                <w:highlight w:val="none"/>
                <w:lang w:val="zh-CN"/>
              </w:rPr>
            </w:pPr>
            <w:r>
              <w:rPr>
                <w:rFonts w:ascii="宋体" w:eastAsia="宋体" w:cs="宋体"/>
                <w:color w:val="auto"/>
                <w:sz w:val="21"/>
                <w:szCs w:val="21"/>
                <w:highlight w:val="none"/>
                <w:lang w:val="zh-CN"/>
              </w:rPr>
              <w:t xml:space="preserve">2、管理制度（包括但不限于服务管理制度、财务制度）基本完善、可行性一般，得6分； </w:t>
            </w:r>
          </w:p>
          <w:p>
            <w:pPr>
              <w:adjustRightInd/>
              <w:spacing w:after="0" w:line="360" w:lineRule="auto"/>
              <w:ind w:firstLine="420" w:firstLineChars="200"/>
              <w:rPr>
                <w:rFonts w:ascii="宋体" w:eastAsia="宋体" w:cs="宋体"/>
                <w:color w:val="auto"/>
                <w:sz w:val="21"/>
                <w:szCs w:val="21"/>
                <w:highlight w:val="none"/>
                <w:lang w:val="zh-CN"/>
              </w:rPr>
            </w:pPr>
            <w:r>
              <w:rPr>
                <w:rFonts w:ascii="宋体" w:eastAsia="宋体" w:cs="宋体"/>
                <w:color w:val="auto"/>
                <w:sz w:val="21"/>
                <w:szCs w:val="21"/>
                <w:highlight w:val="none"/>
                <w:lang w:val="zh-CN"/>
              </w:rPr>
              <w:t xml:space="preserve">3、管理制度（包括但不限于服务管理制度、财务制度）不完善、缺乏可行性，得2分； </w:t>
            </w:r>
          </w:p>
          <w:p>
            <w:pPr>
              <w:adjustRightInd/>
              <w:spacing w:after="0" w:line="360" w:lineRule="auto"/>
              <w:ind w:firstLine="420" w:firstLineChars="200"/>
              <w:rPr>
                <w:rFonts w:ascii="宋体" w:eastAsia="宋体" w:cs="宋体"/>
                <w:color w:val="auto"/>
                <w:sz w:val="21"/>
                <w:szCs w:val="21"/>
                <w:highlight w:val="none"/>
                <w:lang w:val="zh-CN"/>
              </w:rPr>
            </w:pPr>
            <w:r>
              <w:rPr>
                <w:rFonts w:ascii="宋体" w:eastAsia="宋体" w:cs="宋体"/>
                <w:color w:val="auto"/>
                <w:sz w:val="21"/>
                <w:szCs w:val="21"/>
                <w:highlight w:val="none"/>
                <w:lang w:val="zh-CN"/>
              </w:rPr>
              <w:t>4、没有提供本项方案的不得分。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hint="eastAsia" w:ascii="宋体" w:eastAsia="宋体" w:cs="宋体"/>
                <w:color w:val="auto"/>
                <w:sz w:val="21"/>
                <w:szCs w:val="21"/>
                <w:highlight w:val="none"/>
              </w:rPr>
            </w:pPr>
            <w:r>
              <w:rPr>
                <w:rFonts w:hint="eastAsia" w:ascii="宋体" w:hAnsi="宋体" w:eastAsia="宋体"/>
                <w:b/>
                <w:color w:val="auto"/>
                <w:sz w:val="21"/>
                <w:szCs w:val="21"/>
                <w:highlight w:val="none"/>
              </w:rPr>
              <w:t>（2）</w:t>
            </w:r>
            <w:r>
              <w:rPr>
                <w:rFonts w:hint="eastAsia" w:ascii="宋体" w:hAnsi="宋体" w:eastAsia="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eastAsia="宋体"/>
                <w:b/>
                <w:color w:val="auto"/>
                <w:sz w:val="21"/>
                <w:szCs w:val="21"/>
                <w:highlight w:val="none"/>
                <w:lang w:eastAsia="zh-CN"/>
              </w:rPr>
              <w:t>响应材料</w:t>
            </w:r>
            <w:r>
              <w:rPr>
                <w:rFonts w:hint="eastAsia" w:ascii="宋体" w:hAnsi="宋体" w:eastAsia="宋体"/>
                <w:b/>
                <w:color w:val="auto"/>
                <w:sz w:val="21"/>
                <w:szCs w:val="21"/>
                <w:highlight w:val="none"/>
              </w:rPr>
              <w:t>因模糊不清导致</w:t>
            </w:r>
            <w:r>
              <w:rPr>
                <w:rFonts w:hint="eastAsia" w:ascii="宋体" w:hAnsi="宋体" w:eastAsia="宋体"/>
                <w:b/>
                <w:color w:val="auto"/>
                <w:sz w:val="21"/>
                <w:szCs w:val="21"/>
                <w:highlight w:val="none"/>
                <w:lang w:eastAsia="zh-CN"/>
              </w:rPr>
              <w:t>评审小组</w:t>
            </w:r>
            <w:r>
              <w:rPr>
                <w:rFonts w:hint="eastAsia" w:ascii="宋体" w:hAnsi="宋体" w:eastAsia="宋体"/>
                <w:b/>
                <w:color w:val="auto"/>
                <w:sz w:val="21"/>
                <w:szCs w:val="21"/>
                <w:highlight w:val="none"/>
              </w:rPr>
              <w:t>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hint="eastAsia" w:ascii="宋体" w:eastAsia="宋体" w:cs="宋体"/>
                <w:color w:val="auto"/>
                <w:sz w:val="21"/>
                <w:szCs w:val="21"/>
                <w:highlight w:val="none"/>
                <w:lang w:val="zh-CN" w:eastAsia="zh-CN"/>
              </w:rPr>
            </w:pPr>
            <w:r>
              <w:rPr>
                <w:rFonts w:hint="eastAsia" w:ascii="宋体" w:eastAsia="宋体" w:cs="宋体"/>
                <w:color w:val="auto"/>
                <w:sz w:val="21"/>
                <w:szCs w:val="21"/>
                <w:highlight w:val="none"/>
              </w:rPr>
              <w:t>价格评审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50分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响应总价</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50</w:t>
            </w:r>
          </w:p>
        </w:tc>
        <w:tc>
          <w:tcPr>
            <w:tcW w:w="54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价格分计算方法：满足遴选文件要求且响应价格最低的遴选报价为评审基准价，其价格分为满分。其他供应商的价格分统一按照下列公式计算：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响应报价得分=(评审基准价／响应报价)×价格权值</w:t>
            </w:r>
          </w:p>
        </w:tc>
      </w:tr>
    </w:tbl>
    <w:p>
      <w:pPr>
        <w:rPr>
          <w:rFonts w:hint="eastAsia"/>
          <w:color w:val="auto"/>
          <w:sz w:val="28"/>
          <w:szCs w:val="28"/>
          <w:highlight w:val="none"/>
        </w:rPr>
      </w:pPr>
      <w:r>
        <w:rPr>
          <w:rFonts w:hint="eastAsia"/>
          <w:color w:val="auto"/>
          <w:sz w:val="28"/>
          <w:szCs w:val="28"/>
          <w:highlight w:val="none"/>
        </w:rPr>
        <w:br w:type="page"/>
      </w:r>
    </w:p>
    <w:p>
      <w:pPr>
        <w:pStyle w:val="3"/>
        <w:spacing w:before="0" w:after="0" w:line="240" w:lineRule="auto"/>
        <w:rPr>
          <w:color w:val="auto"/>
          <w:sz w:val="36"/>
          <w:szCs w:val="36"/>
          <w:highlight w:val="none"/>
        </w:rPr>
      </w:pPr>
      <w:bookmarkStart w:id="7" w:name="_Toc4633"/>
      <w:r>
        <w:rPr>
          <w:rFonts w:hint="eastAsia"/>
          <w:color w:val="auto"/>
          <w:sz w:val="28"/>
          <w:szCs w:val="28"/>
          <w:highlight w:val="none"/>
        </w:rPr>
        <w:t>第三部分 用户需求书</w:t>
      </w:r>
      <w:bookmarkEnd w:id="7"/>
    </w:p>
    <w:p>
      <w:pPr>
        <w:pStyle w:val="4"/>
        <w:pageBreakBefore w:val="0"/>
        <w:widowControl/>
        <w:kinsoku/>
        <w:wordWrap/>
        <w:overflowPunct/>
        <w:topLinePunct w:val="0"/>
        <w:autoSpaceDE/>
        <w:autoSpaceDN/>
        <w:bidi w:val="0"/>
        <w:adjustRightInd w:val="0"/>
        <w:snapToGrid w:val="0"/>
        <w:spacing w:before="0" w:after="0" w:line="360" w:lineRule="auto"/>
        <w:jc w:val="center"/>
        <w:textAlignment w:val="auto"/>
        <w:rPr>
          <w:color w:val="auto"/>
          <w:sz w:val="36"/>
          <w:szCs w:val="36"/>
          <w:highlight w:val="none"/>
        </w:rPr>
      </w:pPr>
      <w:bookmarkStart w:id="8" w:name="_Toc23739"/>
      <w:bookmarkStart w:id="9" w:name="_Toc7313"/>
      <w:bookmarkStart w:id="10" w:name="_Toc6864"/>
      <w:r>
        <w:rPr>
          <w:rFonts w:hint="eastAsia" w:ascii="宋体" w:hAnsi="宋体" w:eastAsia="宋体" w:cs="宋体"/>
          <w:color w:val="auto"/>
          <w:sz w:val="28"/>
          <w:szCs w:val="28"/>
          <w:highlight w:val="none"/>
          <w:lang w:eastAsia="zh-CN"/>
        </w:rPr>
        <w:t>商务</w:t>
      </w:r>
      <w:r>
        <w:rPr>
          <w:rFonts w:hint="eastAsia" w:ascii="宋体" w:hAnsi="宋体" w:eastAsia="宋体" w:cs="宋体"/>
          <w:color w:val="auto"/>
          <w:sz w:val="28"/>
          <w:szCs w:val="28"/>
          <w:highlight w:val="none"/>
        </w:rPr>
        <w:t>需求</w:t>
      </w:r>
      <w:bookmarkEnd w:id="8"/>
      <w:r>
        <w:rPr>
          <w:rFonts w:hint="eastAsia" w:ascii="宋体" w:hAnsi="宋体" w:eastAsia="宋体" w:cs="宋体"/>
          <w:color w:val="auto"/>
          <w:sz w:val="28"/>
          <w:szCs w:val="28"/>
          <w:highlight w:val="none"/>
          <w:lang w:eastAsia="zh-CN"/>
        </w:rPr>
        <w:t>书</w:t>
      </w:r>
      <w:bookmarkEnd w:id="9"/>
      <w:bookmarkEnd w:id="10"/>
    </w:p>
    <w:tbl>
      <w:tblPr>
        <w:tblStyle w:val="18"/>
        <w:tblW w:w="51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9"/>
        <w:gridCol w:w="1369"/>
        <w:gridCol w:w="67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序号</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条款名称</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1</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供货期</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40" w:firstLineChars="200"/>
              <w:jc w:val="both"/>
              <w:textAlignment w:val="auto"/>
              <w:rPr>
                <w:rFonts w:ascii="宋体" w:hAnsi="宋体" w:eastAsia="宋体"/>
                <w:color w:val="auto"/>
                <w:szCs w:val="21"/>
                <w:highlight w:val="none"/>
              </w:rPr>
            </w:pPr>
            <w:r>
              <w:rPr>
                <w:rFonts w:ascii="宋体" w:hAnsi="宋体" w:eastAsia="宋体"/>
                <w:color w:val="auto"/>
                <w:szCs w:val="21"/>
                <w:highlight w:val="none"/>
              </w:rPr>
              <w:t>签订合同后30个日历日内完成安装调试及验收。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2</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ascii="宋体" w:hAnsi="宋体" w:eastAsia="宋体"/>
                <w:color w:val="auto"/>
                <w:szCs w:val="21"/>
                <w:highlight w:val="none"/>
              </w:rPr>
              <w:t>质保期</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40" w:firstLineChars="200"/>
              <w:jc w:val="both"/>
              <w:textAlignment w:val="auto"/>
              <w:rPr>
                <w:rFonts w:ascii="宋体" w:hAnsi="宋体" w:eastAsia="宋体"/>
                <w:color w:val="auto"/>
                <w:szCs w:val="21"/>
                <w:highlight w:val="none"/>
              </w:rPr>
            </w:pPr>
            <w:r>
              <w:rPr>
                <w:rFonts w:ascii="宋体" w:hAnsi="宋体" w:eastAsia="宋体"/>
                <w:color w:val="auto"/>
                <w:szCs w:val="21"/>
                <w:highlight w:val="none"/>
              </w:rPr>
              <w:t>项目验收合格之日起不少于1年。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sz w:val="22"/>
                <w:szCs w:val="21"/>
                <w:highlight w:val="none"/>
                <w:lang w:val="en-US" w:eastAsia="zh-CN" w:bidi="ar-SA"/>
              </w:rPr>
            </w:pPr>
            <w:r>
              <w:rPr>
                <w:rFonts w:hint="eastAsia" w:ascii="宋体" w:hAnsi="宋体" w:eastAsia="宋体"/>
                <w:color w:val="auto"/>
                <w:szCs w:val="21"/>
                <w:highlight w:val="none"/>
              </w:rPr>
              <w:t>付款方式</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1期：支付比例30%,在主要货物全部进场后5个工作日内成交人向采购人开具等额合法有效发票，采购人收到发票后30天内支付合同总价的30%进度款。</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期：支付比例70%,在成交人把货物安装调试完毕并交付采购人验收后5个工作日内成交人向采购人开具等额合法有效发票，采购人收到发票后30天内支付合同总价的70%的尾款。（若出现部分场地因施工原因无法提供作业面，这部分货款暂不支付，优先把已完成验收部分支付） 付款前成交人应提出请款申请及所需的材料和等额合格发票。本项目资金来源为财政性资金采购人在规定的付款时间为向相关支付部门提出办理财政支付申请手续的时间（不含政府支付部门审核的时间），在规定时间内提出支付申请手续后即视为采购人已经按期支付。如因政策或付款流程影响，拨款未能及时到位，采购人不承担逾期付款的责任，且成交人不得以此为由而不履行本合同约定的义务。否则，采购人有权按约定追究成交人的违约责任。</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color w:val="auto"/>
                <w:highlight w:val="none"/>
                <w:lang w:val="en-US" w:eastAsia="zh-CN"/>
              </w:rPr>
            </w:pPr>
            <w:r>
              <w:rPr>
                <w:rFonts w:hint="eastAsia" w:ascii="宋体" w:hAnsi="宋体" w:eastAsia="宋体"/>
                <w:color w:val="auto"/>
                <w:sz w:val="21"/>
                <w:szCs w:val="21"/>
                <w:highlight w:val="none"/>
                <w:lang w:val="en-US" w:eastAsia="zh-CN"/>
              </w:rPr>
              <w:t>如项目发生合同融资，采购人应当将合同款项支付到合同约定收款账户。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4</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项目地点</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40" w:firstLineChars="200"/>
              <w:jc w:val="both"/>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采购人指定地点（如有变化另行确定）。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5</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40" w:firstLineChars="200"/>
              <w:jc w:val="both"/>
              <w:textAlignment w:val="auto"/>
              <w:rPr>
                <w:rFonts w:ascii="宋体" w:hAnsi="宋体" w:eastAsia="宋体"/>
                <w:color w:val="auto"/>
                <w:szCs w:val="21"/>
                <w:highlight w:val="none"/>
              </w:rPr>
            </w:pPr>
            <w:r>
              <w:rPr>
                <w:rFonts w:ascii="宋体" w:hAnsi="宋体" w:eastAsia="宋体"/>
                <w:color w:val="auto"/>
                <w:szCs w:val="21"/>
                <w:highlight w:val="none"/>
              </w:rPr>
              <w:t>报价须包含货物及其附件的设计、采购、制造、检测、试验、运输、保险、现场仓储、税费（含增值税或其他相关税费等）以及安装调试、软件、验收、培训、技术服务（包括技术资料、图纸的提供）、质保期保障等相关服务的全部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6</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ascii="宋体" w:hAnsi="宋体" w:eastAsia="宋体"/>
                <w:color w:val="auto"/>
                <w:szCs w:val="21"/>
                <w:highlight w:val="none"/>
              </w:rPr>
              <w:t>验收要求</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40" w:firstLineChars="200"/>
              <w:jc w:val="both"/>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1期：1、货物运抵采购人指定地点后，双方对货物进行初验。 （1）检查货物外观，包括不限于：外包装有无损伤、货物是否有损坏及腐蚀、掉漆现象。若外观有损坏及腐蚀、掉漆等，影响用户使用，</w:t>
            </w:r>
            <w:r>
              <w:rPr>
                <w:rFonts w:hint="eastAsia" w:ascii="宋体" w:hAnsi="宋体" w:eastAsia="宋体"/>
                <w:color w:val="auto"/>
                <w:szCs w:val="21"/>
                <w:highlight w:val="none"/>
                <w:lang w:eastAsia="zh-CN"/>
              </w:rPr>
              <w:t>成交人</w:t>
            </w:r>
            <w:r>
              <w:rPr>
                <w:rFonts w:hint="eastAsia" w:ascii="宋体" w:hAnsi="宋体" w:eastAsia="宋体"/>
                <w:color w:val="auto"/>
                <w:szCs w:val="21"/>
                <w:highlight w:val="none"/>
              </w:rPr>
              <w:t>应负责更换。 （2）检查货物标识，设备类应标注货物名称、规格、型号、生产商、出厂日期等。 2、货物初验后，需按采购人要求安装在指定位置，并配置至设备能正常运行后，由</w:t>
            </w:r>
            <w:r>
              <w:rPr>
                <w:rFonts w:hint="eastAsia" w:ascii="宋体" w:hAnsi="宋体" w:eastAsia="宋体"/>
                <w:color w:val="auto"/>
                <w:szCs w:val="21"/>
                <w:highlight w:val="none"/>
                <w:lang w:eastAsia="zh-CN"/>
              </w:rPr>
              <w:t>成交人</w:t>
            </w:r>
            <w:r>
              <w:rPr>
                <w:rFonts w:hint="eastAsia" w:ascii="宋体" w:hAnsi="宋体" w:eastAsia="宋体"/>
                <w:color w:val="auto"/>
                <w:szCs w:val="21"/>
                <w:highlight w:val="none"/>
              </w:rPr>
              <w:t>向采购人提出正式验收申请。 （1）正式验收以签订合同中的各类目的数量与参数作为验收条件。设备类应能正常运转和使用，设备配件应符合合同要求。 （2）若提供的货物数量、参数不符，或设备不能运转的，</w:t>
            </w:r>
            <w:r>
              <w:rPr>
                <w:rFonts w:hint="eastAsia" w:ascii="宋体" w:hAnsi="宋体" w:eastAsia="宋体"/>
                <w:color w:val="auto"/>
                <w:szCs w:val="21"/>
                <w:highlight w:val="none"/>
                <w:lang w:eastAsia="zh-CN"/>
              </w:rPr>
              <w:t>成交人</w:t>
            </w:r>
            <w:r>
              <w:rPr>
                <w:rFonts w:hint="eastAsia" w:ascii="宋体" w:hAnsi="宋体" w:eastAsia="宋体"/>
                <w:color w:val="auto"/>
                <w:szCs w:val="21"/>
                <w:highlight w:val="none"/>
              </w:rPr>
              <w:t>应在三日内提供解决方案。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7</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ascii="宋体" w:hAnsi="宋体" w:eastAsia="宋体"/>
                <w:color w:val="auto"/>
                <w:szCs w:val="21"/>
                <w:highlight w:val="none"/>
              </w:rPr>
              <w:t>包装、保险及发运、保管</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40" w:firstLineChars="200"/>
              <w:jc w:val="both"/>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（1）设备材料的包装需是制造商原厂包装，其包装均应有良好的防湿、防锈、防潮、防雨、防腐及防碰撞的措施。凡由于包装不良造成的损失和由此产生的费用均由</w:t>
            </w:r>
            <w:r>
              <w:rPr>
                <w:rFonts w:hint="eastAsia" w:ascii="宋体" w:hAnsi="宋体" w:eastAsia="宋体"/>
                <w:color w:val="auto"/>
                <w:szCs w:val="21"/>
                <w:highlight w:val="none"/>
                <w:lang w:eastAsia="zh-CN"/>
              </w:rPr>
              <w:t>供应商</w:t>
            </w:r>
            <w:r>
              <w:rPr>
                <w:rFonts w:hint="eastAsia" w:ascii="宋体" w:hAnsi="宋体" w:eastAsia="宋体"/>
                <w:color w:val="auto"/>
                <w:szCs w:val="21"/>
                <w:highlight w:val="none"/>
              </w:rPr>
              <w:t>承担。 （2）</w:t>
            </w:r>
            <w:r>
              <w:rPr>
                <w:rFonts w:hint="eastAsia" w:ascii="宋体" w:hAnsi="宋体" w:eastAsia="宋体"/>
                <w:color w:val="auto"/>
                <w:szCs w:val="21"/>
                <w:highlight w:val="none"/>
                <w:lang w:eastAsia="zh-CN"/>
              </w:rPr>
              <w:t>成交人</w:t>
            </w:r>
            <w:r>
              <w:rPr>
                <w:rFonts w:hint="eastAsia" w:ascii="宋体" w:hAnsi="宋体" w:eastAsia="宋体"/>
                <w:color w:val="auto"/>
                <w:szCs w:val="21"/>
                <w:highlight w:val="none"/>
              </w:rPr>
              <w:t>负责将设备材料货到现场过程中的全部运输，包括装卸车、货物现场的搬运。 （3）各种设备需提供装箱清单，按装箱清单验收货物。 （4）货物在现场的保管由</w:t>
            </w:r>
            <w:r>
              <w:rPr>
                <w:rFonts w:hint="eastAsia" w:ascii="宋体" w:hAnsi="宋体" w:eastAsia="宋体"/>
                <w:color w:val="auto"/>
                <w:szCs w:val="21"/>
                <w:highlight w:val="none"/>
                <w:lang w:eastAsia="zh-CN"/>
              </w:rPr>
              <w:t>成交人</w:t>
            </w:r>
            <w:r>
              <w:rPr>
                <w:rFonts w:hint="eastAsia" w:ascii="宋体" w:hAnsi="宋体" w:eastAsia="宋体"/>
                <w:color w:val="auto"/>
                <w:szCs w:val="21"/>
                <w:highlight w:val="none"/>
              </w:rPr>
              <w:t>负责，直至项目安装、验收完毕。 （5）货物在系统安装调试验收合格前的保险由</w:t>
            </w:r>
            <w:r>
              <w:rPr>
                <w:rFonts w:hint="eastAsia" w:ascii="宋体" w:hAnsi="宋体" w:eastAsia="宋体"/>
                <w:color w:val="auto"/>
                <w:szCs w:val="21"/>
                <w:highlight w:val="none"/>
                <w:lang w:eastAsia="zh-CN"/>
              </w:rPr>
              <w:t>成交人</w:t>
            </w:r>
            <w:r>
              <w:rPr>
                <w:rFonts w:hint="eastAsia" w:ascii="宋体" w:hAnsi="宋体" w:eastAsia="宋体"/>
                <w:color w:val="auto"/>
                <w:szCs w:val="21"/>
                <w:highlight w:val="none"/>
              </w:rPr>
              <w:t>负责，</w:t>
            </w:r>
            <w:r>
              <w:rPr>
                <w:rFonts w:hint="eastAsia" w:ascii="宋体" w:hAnsi="宋体" w:eastAsia="宋体"/>
                <w:color w:val="auto"/>
                <w:szCs w:val="21"/>
                <w:highlight w:val="none"/>
                <w:lang w:eastAsia="zh-CN"/>
              </w:rPr>
              <w:t>成交人</w:t>
            </w:r>
            <w:r>
              <w:rPr>
                <w:rFonts w:hint="eastAsia" w:ascii="宋体" w:hAnsi="宋体" w:eastAsia="宋体"/>
                <w:color w:val="auto"/>
                <w:szCs w:val="21"/>
                <w:highlight w:val="none"/>
              </w:rPr>
              <w:t>负责其派出的现场服务人员人身意外保险。 （6）设备至采购人指定的使用现场的包装、保险及发运等环节和费用均由</w:t>
            </w:r>
            <w:r>
              <w:rPr>
                <w:rFonts w:hint="eastAsia" w:ascii="宋体" w:hAnsi="宋体" w:eastAsia="宋体"/>
                <w:color w:val="auto"/>
                <w:szCs w:val="21"/>
                <w:highlight w:val="none"/>
                <w:lang w:eastAsia="zh-CN"/>
              </w:rPr>
              <w:t>成交人</w:t>
            </w:r>
            <w:r>
              <w:rPr>
                <w:rFonts w:hint="eastAsia" w:ascii="宋体" w:hAnsi="宋体" w:eastAsia="宋体"/>
                <w:color w:val="auto"/>
                <w:szCs w:val="21"/>
                <w:highlight w:val="none"/>
              </w:rPr>
              <w:t>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8</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ascii="宋体" w:hAnsi="宋体" w:eastAsia="宋体"/>
                <w:color w:val="auto"/>
                <w:szCs w:val="21"/>
                <w:highlight w:val="none"/>
              </w:rPr>
              <w:t>安装与调试</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40" w:firstLineChars="200"/>
              <w:jc w:val="both"/>
              <w:textAlignment w:val="auto"/>
              <w:rPr>
                <w:rFonts w:hint="eastAsia" w:ascii="宋体" w:hAnsi="宋体" w:eastAsia="宋体"/>
                <w:color w:val="auto"/>
                <w:szCs w:val="21"/>
                <w:highlight w:val="none"/>
              </w:rPr>
            </w:pPr>
            <w:r>
              <w:rPr>
                <w:rFonts w:hint="eastAsia" w:ascii="宋体" w:hAnsi="宋体" w:eastAsia="宋体"/>
                <w:color w:val="auto"/>
                <w:szCs w:val="21"/>
                <w:highlight w:val="none"/>
                <w:lang w:eastAsia="zh-CN"/>
              </w:rPr>
              <w:t>成交人</w:t>
            </w:r>
            <w:r>
              <w:rPr>
                <w:rFonts w:hint="eastAsia" w:ascii="宋体" w:hAnsi="宋体" w:eastAsia="宋体"/>
                <w:color w:val="auto"/>
                <w:szCs w:val="21"/>
                <w:highlight w:val="none"/>
              </w:rPr>
              <w:t>必须在交货的同时，向采购人提供按本合同的技术规格、技术规范的要求进行安装调试，并将设备调试到最佳状态。未经采购人同意，不得更换货物。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9</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ascii="宋体" w:hAnsi="宋体" w:eastAsia="宋体"/>
                <w:color w:val="auto"/>
                <w:szCs w:val="21"/>
                <w:highlight w:val="none"/>
              </w:rPr>
              <w:t>售后服务要求</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40" w:firstLineChars="200"/>
              <w:jc w:val="both"/>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（1）质保期内：设备因质量问题不能正常使用，由</w:t>
            </w:r>
            <w:r>
              <w:rPr>
                <w:rFonts w:hint="eastAsia" w:ascii="宋体" w:hAnsi="宋体" w:eastAsia="宋体"/>
                <w:color w:val="auto"/>
                <w:szCs w:val="21"/>
                <w:highlight w:val="none"/>
                <w:lang w:eastAsia="zh-CN"/>
              </w:rPr>
              <w:t>成交人</w:t>
            </w:r>
            <w:r>
              <w:rPr>
                <w:rFonts w:hint="eastAsia" w:ascii="宋体" w:hAnsi="宋体" w:eastAsia="宋体"/>
                <w:color w:val="auto"/>
                <w:szCs w:val="21"/>
                <w:highlight w:val="none"/>
              </w:rPr>
              <w:t>负责安排专业人员到现场解决问题。包括免费维修、更换配件与调试。 （2）若5个工作日内不能解决问题，由</w:t>
            </w:r>
            <w:r>
              <w:rPr>
                <w:rFonts w:hint="eastAsia" w:ascii="宋体" w:hAnsi="宋体" w:eastAsia="宋体"/>
                <w:color w:val="auto"/>
                <w:szCs w:val="21"/>
                <w:highlight w:val="none"/>
                <w:lang w:eastAsia="zh-CN"/>
              </w:rPr>
              <w:t>成交人</w:t>
            </w:r>
            <w:r>
              <w:rPr>
                <w:rFonts w:hint="eastAsia" w:ascii="宋体" w:hAnsi="宋体" w:eastAsia="宋体"/>
                <w:color w:val="auto"/>
                <w:szCs w:val="21"/>
                <w:highlight w:val="none"/>
              </w:rPr>
              <w:t>负责更换设备。 （3）故障响应时间：免费质保期内，货物出现质量问题，</w:t>
            </w:r>
            <w:r>
              <w:rPr>
                <w:rFonts w:hint="eastAsia" w:ascii="宋体" w:hAnsi="宋体" w:eastAsia="宋体"/>
                <w:color w:val="auto"/>
                <w:szCs w:val="21"/>
                <w:highlight w:val="none"/>
                <w:lang w:eastAsia="zh-CN"/>
              </w:rPr>
              <w:t>成交人</w:t>
            </w:r>
            <w:r>
              <w:rPr>
                <w:rFonts w:hint="eastAsia" w:ascii="宋体" w:hAnsi="宋体" w:eastAsia="宋体"/>
                <w:color w:val="auto"/>
                <w:szCs w:val="21"/>
                <w:highlight w:val="none"/>
              </w:rPr>
              <w:t>接到质量问题通知后12个小时内响应，24个小时内提供处理方案，5个工作日内解决问题；其他服务承诺在投标文件中说明。 （4）如果货物不能稳定地达到</w:t>
            </w:r>
            <w:r>
              <w:rPr>
                <w:rFonts w:hint="eastAsia" w:ascii="宋体" w:hAnsi="宋体" w:eastAsia="宋体"/>
                <w:color w:val="auto"/>
                <w:szCs w:val="21"/>
                <w:highlight w:val="none"/>
                <w:lang w:eastAsia="zh-CN"/>
              </w:rPr>
              <w:t>供应商</w:t>
            </w:r>
            <w:r>
              <w:rPr>
                <w:rFonts w:hint="eastAsia" w:ascii="宋体" w:hAnsi="宋体" w:eastAsia="宋体"/>
                <w:color w:val="auto"/>
                <w:szCs w:val="21"/>
                <w:highlight w:val="none"/>
              </w:rPr>
              <w:t>承诺的全部功能，</w:t>
            </w:r>
            <w:r>
              <w:rPr>
                <w:rFonts w:hint="eastAsia" w:ascii="宋体" w:hAnsi="宋体" w:eastAsia="宋体"/>
                <w:color w:val="auto"/>
                <w:szCs w:val="21"/>
                <w:highlight w:val="none"/>
                <w:lang w:eastAsia="zh-CN"/>
              </w:rPr>
              <w:t>供应商</w:t>
            </w:r>
            <w:r>
              <w:rPr>
                <w:rFonts w:hint="eastAsia" w:ascii="宋体" w:hAnsi="宋体" w:eastAsia="宋体"/>
                <w:color w:val="auto"/>
                <w:szCs w:val="21"/>
                <w:highlight w:val="none"/>
              </w:rPr>
              <w:t>应对此承担责任并承担全部相关费用以及采购人的直接损失，经采购人同意对货物采用如下一种或几种方式处理：①免费维修和更换损坏零部件；②换货；③降价，但不免除其它正常部分的质量保证责任。如</w:t>
            </w:r>
            <w:r>
              <w:rPr>
                <w:rFonts w:hint="eastAsia" w:ascii="宋体" w:hAnsi="宋体" w:eastAsia="宋体"/>
                <w:color w:val="auto"/>
                <w:szCs w:val="21"/>
                <w:highlight w:val="none"/>
                <w:lang w:eastAsia="zh-CN"/>
              </w:rPr>
              <w:t>供应商</w:t>
            </w:r>
            <w:r>
              <w:rPr>
                <w:rFonts w:hint="eastAsia" w:ascii="宋体" w:hAnsi="宋体" w:eastAsia="宋体"/>
                <w:color w:val="auto"/>
                <w:szCs w:val="21"/>
                <w:highlight w:val="none"/>
              </w:rPr>
              <w:t>未能在合理的时间内将产品维修、更换或修正以符合规格，采购人有权在合理时间内将产品退回</w:t>
            </w:r>
            <w:r>
              <w:rPr>
                <w:rFonts w:hint="eastAsia" w:ascii="宋体" w:hAnsi="宋体" w:eastAsia="宋体"/>
                <w:color w:val="auto"/>
                <w:szCs w:val="21"/>
                <w:highlight w:val="none"/>
                <w:lang w:eastAsia="zh-CN"/>
              </w:rPr>
              <w:t>成交人</w:t>
            </w:r>
            <w:r>
              <w:rPr>
                <w:rFonts w:hint="eastAsia" w:ascii="宋体" w:hAnsi="宋体" w:eastAsia="宋体"/>
                <w:color w:val="auto"/>
                <w:szCs w:val="21"/>
                <w:highlight w:val="none"/>
              </w:rPr>
              <w:t>后要求返还已付的价款。 （5）质保期后：提供技术支持和详细的售后服务计划，</w:t>
            </w:r>
            <w:r>
              <w:rPr>
                <w:rFonts w:hint="eastAsia" w:ascii="宋体" w:hAnsi="宋体" w:eastAsia="宋体"/>
                <w:color w:val="auto"/>
                <w:szCs w:val="21"/>
                <w:highlight w:val="none"/>
                <w:lang w:eastAsia="zh-CN"/>
              </w:rPr>
              <w:t>供应商</w:t>
            </w:r>
            <w:r>
              <w:rPr>
                <w:rFonts w:hint="eastAsia" w:ascii="宋体" w:hAnsi="宋体" w:eastAsia="宋体"/>
                <w:color w:val="auto"/>
                <w:szCs w:val="21"/>
                <w:highlight w:val="none"/>
              </w:rPr>
              <w:t>应按其在东莞地区同类产品的最优惠价格提供保修服务，终身保证配品配件的供应，更换配件的费用以成本计。 （6）售后服务机构：设有稳定的维修点或售后服务机构，具有提供日常维护和技术支持的能力，能提供正常的技术、备品备件、服务等，需提供服务机构名称、人员情况、办公地址、联系电话。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6</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sz w:val="22"/>
                <w:szCs w:val="21"/>
                <w:highlight w:val="none"/>
                <w:lang w:val="en-US" w:eastAsia="zh-CN" w:bidi="ar-SA"/>
              </w:rPr>
            </w:pPr>
            <w:r>
              <w:rPr>
                <w:rFonts w:ascii="宋体" w:hAnsi="宋体" w:eastAsia="宋体"/>
                <w:color w:val="auto"/>
                <w:szCs w:val="21"/>
                <w:highlight w:val="none"/>
              </w:rPr>
              <w:t>合同条款</w:t>
            </w:r>
          </w:p>
        </w:tc>
        <w:tc>
          <w:tcPr>
            <w:tcW w:w="3846"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40" w:firstLineChars="200"/>
              <w:jc w:val="both"/>
              <w:textAlignment w:val="auto"/>
              <w:rPr>
                <w:rFonts w:ascii="宋体" w:hAnsi="宋体" w:eastAsia="宋体" w:cstheme="minorBidi"/>
                <w:color w:val="auto"/>
                <w:sz w:val="22"/>
                <w:szCs w:val="21"/>
                <w:highlight w:val="none"/>
                <w:lang w:val="en-US" w:eastAsia="zh-CN" w:bidi="ar-SA"/>
              </w:rPr>
            </w:pPr>
            <w:r>
              <w:rPr>
                <w:rFonts w:hint="eastAsia" w:ascii="宋体" w:hAnsi="宋体" w:eastAsia="宋体"/>
                <w:color w:val="auto"/>
                <w:szCs w:val="21"/>
                <w:highlight w:val="none"/>
              </w:rPr>
              <w:t>供应商</w:t>
            </w:r>
            <w:r>
              <w:rPr>
                <w:rFonts w:ascii="宋体" w:hAnsi="宋体" w:eastAsia="宋体"/>
                <w:color w:val="auto"/>
                <w:szCs w:val="21"/>
                <w:highlight w:val="none"/>
              </w:rPr>
              <w:t>实质响应合同各条款。</w:t>
            </w:r>
          </w:p>
        </w:tc>
      </w:tr>
    </w:tbl>
    <w:p>
      <w:pPr>
        <w:spacing w:after="0" w:line="360" w:lineRule="auto"/>
        <w:ind w:firstLine="420" w:firstLineChars="200"/>
        <w:rPr>
          <w:rFonts w:hint="eastAsia" w:ascii="宋体" w:hAnsi="宋体" w:eastAsia="宋体"/>
          <w:color w:val="auto"/>
          <w:sz w:val="21"/>
          <w:szCs w:val="21"/>
          <w:highlight w:val="none"/>
        </w:r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pStyle w:val="4"/>
        <w:pageBreakBefore w:val="0"/>
        <w:widowControl/>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8"/>
          <w:szCs w:val="28"/>
          <w:highlight w:val="none"/>
          <w:lang w:val="en-US" w:eastAsia="zh-CN"/>
        </w:rPr>
      </w:pPr>
      <w:bookmarkStart w:id="11" w:name="_Toc16507"/>
      <w:bookmarkStart w:id="12" w:name="_Toc29378"/>
      <w:r>
        <w:rPr>
          <w:rFonts w:hint="eastAsia" w:ascii="宋体" w:hAnsi="宋体" w:eastAsia="宋体" w:cs="宋体"/>
          <w:color w:val="auto"/>
          <w:sz w:val="28"/>
          <w:szCs w:val="28"/>
          <w:highlight w:val="none"/>
          <w:lang w:val="en-US" w:eastAsia="zh-CN"/>
        </w:rPr>
        <w:t>技术需求书</w:t>
      </w:r>
      <w:bookmarkEnd w:id="11"/>
      <w:bookmarkEnd w:id="12"/>
    </w:p>
    <w:p>
      <w:pPr>
        <w:pStyle w:val="5"/>
        <w:keepNext/>
        <w:keepLines/>
        <w:pageBreakBefore w:val="0"/>
        <w:widowControl/>
        <w:kinsoku/>
        <w:wordWrap/>
        <w:overflowPunct/>
        <w:topLinePunct w:val="0"/>
        <w:autoSpaceDE/>
        <w:autoSpaceDN/>
        <w:bidi w:val="0"/>
        <w:adjustRightInd w:val="0"/>
        <w:snapToGrid w:val="0"/>
        <w:spacing w:after="0"/>
        <w:textAlignment w:val="auto"/>
        <w:rPr>
          <w:rFonts w:hint="default"/>
          <w:color w:val="auto"/>
          <w:highlight w:val="none"/>
          <w:lang w:val="en-US" w:eastAsia="zh-CN"/>
        </w:rPr>
      </w:pPr>
      <w:r>
        <w:rPr>
          <w:rFonts w:hint="eastAsia"/>
          <w:color w:val="auto"/>
          <w:highlight w:val="none"/>
          <w:lang w:val="en-US" w:eastAsia="zh-CN"/>
        </w:rPr>
        <w:t>一、项目概况</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东莞市常平镇新城学校宿舍（三期）设施设备项目采购一批宿舍设施设备，包括学生床、床板、床踏板楼梯、双层不锈钢洗漱用品架、四门衣柜、教师床、管理员床、床头柜、衣柜，满足新增的初中18个班约900名学生的住宿设施设备需求以及新增约80名教师的住宿设施设备需求，具体清单详见技术要求。</w:t>
      </w:r>
    </w:p>
    <w:p>
      <w:pPr>
        <w:pStyle w:val="5"/>
        <w:keepNext/>
        <w:keepLines/>
        <w:pageBreakBefore w:val="0"/>
        <w:widowControl/>
        <w:kinsoku/>
        <w:wordWrap/>
        <w:overflowPunct/>
        <w:topLinePunct w:val="0"/>
        <w:autoSpaceDE/>
        <w:autoSpaceDN/>
        <w:bidi w:val="0"/>
        <w:adjustRightInd w:val="0"/>
        <w:snapToGrid w:val="0"/>
        <w:spacing w:after="0"/>
        <w:textAlignment w:val="auto"/>
        <w:rPr>
          <w:rFonts w:hint="default"/>
          <w:color w:val="auto"/>
          <w:highlight w:val="none"/>
          <w:lang w:val="en-US" w:eastAsia="zh-CN"/>
        </w:rPr>
      </w:pPr>
      <w:r>
        <w:rPr>
          <w:rFonts w:hint="eastAsia"/>
          <w:color w:val="auto"/>
          <w:highlight w:val="none"/>
          <w:lang w:val="en-US" w:eastAsia="zh-CN"/>
        </w:rPr>
        <w:t>一、项目清单</w:t>
      </w:r>
    </w:p>
    <w:tbl>
      <w:tblPr>
        <w:tblStyle w:val="1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2"/>
        <w:gridCol w:w="778"/>
        <w:gridCol w:w="6295"/>
        <w:gridCol w:w="451"/>
        <w:gridCol w:w="54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序号</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设备名称</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质量标准及性能要求</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单位</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w:t>
            </w:r>
          </w:p>
        </w:tc>
        <w:tc>
          <w:tcPr>
            <w:tcW w:w="0" w:type="auto"/>
            <w:gridSpan w:val="4"/>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学生宿舍设备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学生床(核心产品)</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2000*970*1800mmH产品材质：柱：采用65*65，材料厚度为1.2mm（国标）.  横梁：采用82*40，材料厚度为1.2mm（国标）.  床板支撑：20*40*0.7mm（国标）厚方管制作.铁床部份焊接采用二氢化碳保护焊接，铁板表面经除油，去锈，磷化静电喷粉、高温固化而成。  有蚊帐架为19mm×壁厚1.2mm；4、整床连接牢固，技术工艺说明：执行QB/T1951.2、GB/T3325-1995、qB/T1952.1-2003等标准，所有焊接处应无脱焊、虚焊、焊穿，涂层无剥落，无返锈，无粘管材料和冲压件无裂缝，美观大方，结构牢固。五金配件, 每套铁床要求坚固、耐用、稳定。</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床板</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床板采用12mm实心床板，双面平整,不变形。床板安装后与床横梁上沿平齐。</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床踏板楼梯</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（一）规格：500W*900D*1500H mm                                                        （二）1、支架：采用25*25mm方形Q235宝钢冷轧钢管焊接成型，厚度为≥2.0mm。2、抽屉柜：钢板采用1.0mm厚Q235宝钢冷轧钢板折弯焊接成型。3、踏板：采用全新环保食用级PP（聚丙烯）塑料模具一体注塑成型，厚度≥5mm，踏板立面成型后尺寸为500mm*200mm（±1mm）。4、钢制部件性能要求：执行GB/T10125-2012《人造气氛腐蚀试验盐雾试验》和GB/T6461-2002《金属基体上金属和其他无机覆盖层 经腐蚀试验后的试样和试性的评级》标准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双层不锈钢洗漱用品架</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(墙面上安装)1.304#25X25X1.2不锈钢方管                  2.304#Φ25X1.2不锈钢矩管骨架              </w:t>
            </w:r>
          </w:p>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3.面层封304# X1.2不锈钢板                  </w:t>
            </w:r>
          </w:p>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4.规格:L1750XB200XH160</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四门衣柜</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（一）规格：900W*500D*2000H mm                                                    （二）材质：1、基材：采用国标1.0mm厚Q235冷轧钢板经剪切、冲压、折弯、焊接、装配而成，柜身前端棱角做弧边设计。2、柜面：采用环保环氧树脂涂料经先进的喷涂生产设备，高温塑化而成，防腐性好，环保耐用，色彩柔和，光洁美观。3、格板：衣柜格板经过加强处理，坚固耐用，秉承性能好，可存放大量书籍不变形。4、配置：产品分四个独立空间，每个独立空间配一φ22mm*1.5mm厚304不锈钢挂衣杆和一活动层板，每个独立空间门板配塑料凹沉式挂锁。</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w:t>
            </w:r>
          </w:p>
        </w:tc>
        <w:tc>
          <w:tcPr>
            <w:tcW w:w="0" w:type="auto"/>
            <w:gridSpan w:val="4"/>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教师宿舍设备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8</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教师床</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（一）规格2000W*1200D*800H mm  （二）材质：1、基材;采用橡胶实木制作，无胶无污染，经防虫、防霉、除脂、干燥处理，无腐朽、霉变、开裂等。2、油漆：采用环保水性油漆，符合GB 18581-2009《室内装饰装修材料 溶剂型木器涂料中有害物质限量》规定，采用五底三面环保工艺，漆膜应丰满光洁、质地柔和、色泽均匀一致，无划痕、流挂等缺陷，表面纹理自然，油漆饱满无异味，符合国标单位排放标准＜9毫克，环保性能优越，油漆硬度达到3H，附着力强、透明度高、耐磨性好，色泽柔和，手感良好，里外油漆工艺一致。3、质量要求：产品执行GB35607《绿色产品评价家具》标准</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9</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床板</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（一）规格：2000W*1200D mm                                                          （二）1、材质：采用环保杉木实木基材，厚度≥18mm，床板双面经砂光处理，每张拼接数量≤6块，底部加两根40*25mm实木条加固，床板不得有切角，所用木材需进行防虫、除脂、干燥处理，无腐朽、霉变、开裂等，床板安装后与床横梁上沿平齐。2、质量要求：床板须符合GB/T3324-2017《木家具通用技术条件》、LY/T1985-2011《防腐木材和人造板中五氯苯酚含量的测定方法》、GB/T16734-《中国主要木材名称》、GB/T18513-2001《中国主要进口木材名称》、GB/T29894-2013《木材鉴别方法通则》标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10</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管理员床</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（一）规格：2000W*1000D*1800H mm  （二）1、基材：采用榉木原木制作，无胶无污染，表面纹理自然，所用木材需进行防虫、除脂、干燥处理，无腐朽、霉变、开裂等；2、质量要求：产品执行GB35607《绿色产品评价 家具》标准，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11</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床板</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（一）规格：1915W*900D mm                                                          （二）1、材质：采用环保杉木实木基材，厚度≥18mm，床板双面经砂光处理，每张拼接数量≤6块，底部加两根40*25mm实木条加固，床板不得有切角，所用木材需进行防虫、除脂、干燥处理，无腐朽、霉变、开裂等，床板安装后与床横梁上沿平齐。2、质量要求：床板须符合GB/T3324-2017《木家具通用技术条件》、LY/T1985-2011《防腐木材和人造板中五氯苯酚含量的测定方法》、GB/T16734-《中国主要木材名称》、GB/T18513-2001《中国主要进口木材名称》、GB/T29894-2013《木材鉴别方法通则》标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床头柜</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（一）规格：500W*480D*500H mm  （二）材质：1、基材：采用橡胶实木制作，无胶无污染，经防虫、防霉、除脂、干燥处理，无腐朽、霉变、开裂等。2、油漆：采用环保水性油漆，符合GB 18581-2009《室内装饰装修材料 溶剂型木器涂料中有害物质限量》规定，采用五底三面环保工艺，漆膜应丰满光洁、质地柔和、色泽均匀一致，无划痕、流挂等缺陷，表面纹理自然，油漆饱满无异味，符合国标单位排放标准＜9毫克，环保性能优越，油漆硬度达到3H，附着力强、透明度高、耐磨性好，色泽柔和，手感良好，里外油漆工艺一致。3、五金配件：导轨采用304不锈钢三节滑珠导轨</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13</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衣柜</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（一）规格：1000W*550D*2000H mm                                                                                                                                                                                   （二）材质：采用16mm双贴面三聚氰胺板，其截面PVC封边带利用机械高温热熔胶封边，粘力强，密封性好。脚垫：采用特制模具ABS注塑脚垫，高度可调，可有效防止桌身受潮，延长设备的使用寿命。</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bl>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s="Times New Roman"/>
          <w:color w:val="auto"/>
          <w:sz w:val="21"/>
          <w:szCs w:val="21"/>
          <w:highlight w:val="none"/>
        </w:rPr>
      </w:pPr>
    </w:p>
    <w:p>
      <w:pPr>
        <w:spacing w:after="0" w:line="360" w:lineRule="auto"/>
        <w:ind w:firstLine="422" w:firstLineChars="200"/>
        <w:rPr>
          <w:rFonts w:hint="eastAsia" w:ascii="宋体" w:hAnsi="宋体" w:eastAsia="宋体" w:cs="Times New Roman"/>
          <w:b/>
          <w:bCs/>
          <w:color w:val="auto"/>
          <w:sz w:val="21"/>
          <w:szCs w:val="21"/>
          <w:highlight w:val="none"/>
        </w:rPr>
      </w:pPr>
      <w:bookmarkStart w:id="13" w:name="_Toc31278"/>
      <w:bookmarkStart w:id="14" w:name="_Toc13112"/>
      <w:bookmarkStart w:id="15" w:name="_Toc14462"/>
      <w:bookmarkStart w:id="16" w:name="_Toc24679"/>
    </w:p>
    <w:p>
      <w:pPr>
        <w:spacing w:after="0" w:line="360" w:lineRule="auto"/>
        <w:ind w:firstLine="422" w:firstLineChars="200"/>
        <w:rPr>
          <w:rFonts w:hint="eastAsia" w:ascii="宋体" w:hAnsi="宋体" w:eastAsia="宋体" w:cs="Times New Roman"/>
          <w:b/>
          <w:bCs/>
          <w:color w:val="auto"/>
          <w:sz w:val="21"/>
          <w:szCs w:val="21"/>
          <w:highlight w:val="none"/>
        </w:rPr>
      </w:pPr>
    </w:p>
    <w:p>
      <w:pPr>
        <w:spacing w:after="0" w:line="360" w:lineRule="auto"/>
        <w:ind w:firstLine="422" w:firstLineChars="200"/>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注：不满足</w:t>
      </w:r>
      <w:r>
        <w:rPr>
          <w:rFonts w:hint="eastAsia" w:ascii="宋体" w:hAnsi="宋体" w:eastAsia="宋体" w:cs="Times New Roman"/>
          <w:b/>
          <w:bCs/>
          <w:color w:val="auto"/>
          <w:sz w:val="21"/>
          <w:szCs w:val="21"/>
          <w:highlight w:val="none"/>
          <w:lang w:eastAsia="zh-CN"/>
        </w:rPr>
        <w:t>遴选文件</w:t>
      </w:r>
      <w:r>
        <w:rPr>
          <w:rFonts w:hint="eastAsia" w:ascii="宋体" w:hAnsi="宋体" w:eastAsia="宋体" w:cs="Times New Roman"/>
          <w:b/>
          <w:bCs/>
          <w:color w:val="auto"/>
          <w:sz w:val="21"/>
          <w:szCs w:val="21"/>
          <w:highlight w:val="none"/>
        </w:rPr>
        <w:t>中 “★”条款的</w:t>
      </w:r>
      <w:r>
        <w:rPr>
          <w:rFonts w:hint="eastAsia" w:ascii="宋体" w:hAnsi="宋体" w:eastAsia="宋体" w:cs="Times New Roman"/>
          <w:b/>
          <w:bCs/>
          <w:color w:val="auto"/>
          <w:sz w:val="21"/>
          <w:szCs w:val="21"/>
          <w:highlight w:val="none"/>
          <w:lang w:eastAsia="zh-CN"/>
        </w:rPr>
        <w:t>响应文件</w:t>
      </w:r>
      <w:r>
        <w:rPr>
          <w:rFonts w:hint="eastAsia" w:ascii="宋体" w:hAnsi="宋体" w:eastAsia="宋体" w:cs="Times New Roman"/>
          <w:b/>
          <w:bCs/>
          <w:color w:val="auto"/>
          <w:sz w:val="21"/>
          <w:szCs w:val="21"/>
          <w:highlight w:val="none"/>
        </w:rPr>
        <w:t>将作无效处理。</w:t>
      </w:r>
      <w:bookmarkEnd w:id="13"/>
      <w:bookmarkEnd w:id="14"/>
      <w:bookmarkEnd w:id="15"/>
      <w:bookmarkEnd w:id="16"/>
    </w:p>
    <w:p>
      <w:pPr>
        <w:pStyle w:val="3"/>
        <w:spacing w:before="0" w:after="0" w:line="240" w:lineRule="auto"/>
        <w:rPr>
          <w:color w:val="auto"/>
          <w:sz w:val="24"/>
          <w:szCs w:val="24"/>
          <w:highlight w:val="none"/>
        </w:rPr>
      </w:pPr>
      <w:r>
        <w:rPr>
          <w:rFonts w:hint="eastAsia"/>
          <w:color w:val="auto"/>
          <w:sz w:val="24"/>
          <w:szCs w:val="24"/>
          <w:highlight w:val="none"/>
        </w:rPr>
        <w:br w:type="page"/>
      </w:r>
      <w:bookmarkStart w:id="17" w:name="_Toc13818"/>
      <w:r>
        <w:rPr>
          <w:rFonts w:hint="eastAsia"/>
          <w:color w:val="auto"/>
          <w:sz w:val="28"/>
          <w:szCs w:val="28"/>
          <w:highlight w:val="none"/>
        </w:rPr>
        <w:t xml:space="preserve">第四部分 </w:t>
      </w:r>
      <w:r>
        <w:rPr>
          <w:rFonts w:hint="eastAsia"/>
          <w:color w:val="auto"/>
          <w:sz w:val="28"/>
          <w:szCs w:val="28"/>
          <w:highlight w:val="none"/>
          <w:lang w:eastAsia="zh-CN"/>
        </w:rPr>
        <w:t>供应商</w:t>
      </w:r>
      <w:r>
        <w:rPr>
          <w:rFonts w:hint="eastAsia"/>
          <w:color w:val="auto"/>
          <w:sz w:val="28"/>
          <w:szCs w:val="28"/>
          <w:highlight w:val="none"/>
        </w:rPr>
        <w:t>须知</w:t>
      </w:r>
      <w:bookmarkEnd w:id="17"/>
    </w:p>
    <w:p>
      <w:pPr>
        <w:pStyle w:val="4"/>
        <w:numPr>
          <w:ilvl w:val="0"/>
          <w:numId w:val="1"/>
        </w:numPr>
        <w:spacing w:before="0" w:after="0" w:line="480" w:lineRule="auto"/>
        <w:jc w:val="center"/>
        <w:rPr>
          <w:rFonts w:ascii="宋体" w:hAnsi="宋体" w:eastAsia="宋体"/>
          <w:color w:val="auto"/>
          <w:highlight w:val="none"/>
        </w:rPr>
      </w:pPr>
      <w:bookmarkStart w:id="18" w:name="_Toc28727"/>
      <w:r>
        <w:rPr>
          <w:rFonts w:hint="eastAsia" w:ascii="宋体" w:hAnsi="宋体" w:eastAsia="宋体"/>
          <w:color w:val="auto"/>
          <w:highlight w:val="none"/>
        </w:rPr>
        <w:t>说明</w:t>
      </w:r>
      <w:bookmarkEnd w:id="18"/>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19" w:name="_Toc10658"/>
      <w:bookmarkStart w:id="20" w:name="_Toc30211"/>
      <w:r>
        <w:rPr>
          <w:rFonts w:hint="eastAsia" w:ascii="宋体" w:hAnsi="宋体" w:eastAsia="宋体"/>
          <w:color w:val="auto"/>
          <w:sz w:val="21"/>
          <w:szCs w:val="21"/>
          <w:highlight w:val="none"/>
        </w:rPr>
        <w:t>1.适用范围</w:t>
      </w:r>
      <w:bookmarkEnd w:id="19"/>
      <w:bookmarkEnd w:id="20"/>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仅适用于本次采购邀请中所叙述的项目</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color w:val="auto"/>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21" w:name="_Toc30981"/>
      <w:bookmarkStart w:id="22" w:name="_Toc720"/>
      <w:r>
        <w:rPr>
          <w:rFonts w:hint="eastAsia" w:ascii="宋体" w:hAnsi="宋体" w:eastAsia="宋体"/>
          <w:color w:val="auto"/>
          <w:sz w:val="21"/>
          <w:szCs w:val="21"/>
          <w:highlight w:val="none"/>
        </w:rPr>
        <w:t>2.</w:t>
      </w:r>
      <w:bookmarkStart w:id="23" w:name="_Toc1530"/>
      <w:bookmarkStart w:id="24" w:name="_Toc298847174"/>
      <w:bookmarkStart w:id="25" w:name="_Toc382049092"/>
      <w:bookmarkStart w:id="26" w:name="_Toc303084246"/>
      <w:r>
        <w:rPr>
          <w:rFonts w:hint="eastAsia" w:ascii="宋体" w:hAnsi="宋体" w:eastAsia="宋体"/>
          <w:color w:val="auto"/>
          <w:sz w:val="21"/>
          <w:szCs w:val="21"/>
          <w:highlight w:val="none"/>
        </w:rPr>
        <w:t>定义</w:t>
      </w:r>
      <w:bookmarkEnd w:id="21"/>
      <w:bookmarkEnd w:id="22"/>
      <w:bookmarkEnd w:id="23"/>
      <w:bookmarkEnd w:id="24"/>
      <w:bookmarkEnd w:id="25"/>
      <w:bookmarkEnd w:id="26"/>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采购人：是采购活动当事人之一，负责项目的整体规划、技术方案可行性设计论证与实施，作为合同采购方（用户）的主体承担质疑回复、履行合同、验收与评价等义务。</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：响应</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并且符合</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规定资格条件和参加竞争的法人、其他组织或者自然人。</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成交供应商</w:t>
      </w:r>
      <w:r>
        <w:rPr>
          <w:rFonts w:hint="eastAsia" w:ascii="宋体" w:hAnsi="宋体" w:eastAsia="宋体"/>
          <w:color w:val="auto"/>
          <w:sz w:val="21"/>
          <w:szCs w:val="21"/>
          <w:highlight w:val="none"/>
        </w:rPr>
        <w:t>：指经</w:t>
      </w: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评审推荐、采购人确认的获得本项目</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资格的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是专门负责本次</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其</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工作的临时性机构。</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所产生的合同或合约文件。</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经过正规的法定程序并备案的法人公章与专用章。（</w:t>
      </w:r>
      <w:r>
        <w:rPr>
          <w:rFonts w:hint="eastAsia" w:ascii="宋体" w:hAnsi="宋体" w:eastAsia="宋体"/>
          <w:iCs/>
          <w:color w:val="auto"/>
          <w:sz w:val="21"/>
          <w:szCs w:val="21"/>
          <w:highlight w:val="none"/>
          <w:lang w:eastAsia="zh-CN"/>
        </w:rPr>
        <w:t>供应商</w:t>
      </w:r>
      <w:r>
        <w:rPr>
          <w:rFonts w:hint="eastAsia" w:ascii="宋体" w:hAnsi="宋体" w:eastAsia="宋体"/>
          <w:iCs/>
          <w:color w:val="auto"/>
          <w:sz w:val="21"/>
          <w:szCs w:val="21"/>
          <w:highlight w:val="none"/>
        </w:rPr>
        <w:t>如在</w:t>
      </w:r>
      <w:r>
        <w:rPr>
          <w:rFonts w:hint="eastAsia" w:ascii="宋体" w:hAnsi="宋体" w:eastAsia="宋体"/>
          <w:iCs/>
          <w:color w:val="auto"/>
          <w:sz w:val="21"/>
          <w:szCs w:val="21"/>
          <w:highlight w:val="none"/>
          <w:lang w:eastAsia="zh-CN"/>
        </w:rPr>
        <w:t>响应文件</w:t>
      </w:r>
      <w:r>
        <w:rPr>
          <w:rFonts w:hint="eastAsia" w:ascii="宋体" w:hAnsi="宋体" w:eastAsia="宋体"/>
          <w:iCs/>
          <w:color w:val="auto"/>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sz w:val="21"/>
          <w:szCs w:val="21"/>
          <w:highlight w:val="none"/>
          <w:lang w:eastAsia="zh-CN"/>
        </w:rPr>
        <w:t>响应</w:t>
      </w:r>
      <w:r>
        <w:rPr>
          <w:rFonts w:hint="eastAsia" w:ascii="宋体" w:hAnsi="宋体" w:eastAsia="宋体"/>
          <w:iCs/>
          <w:color w:val="auto"/>
          <w:sz w:val="21"/>
          <w:szCs w:val="21"/>
          <w:highlight w:val="none"/>
        </w:rPr>
        <w:t>当天应携带相关原件到现场，以供核查。因</w:t>
      </w:r>
      <w:r>
        <w:rPr>
          <w:rFonts w:hint="eastAsia" w:ascii="宋体" w:hAnsi="宋体" w:eastAsia="宋体"/>
          <w:iCs/>
          <w:color w:val="auto"/>
          <w:sz w:val="21"/>
          <w:szCs w:val="21"/>
          <w:highlight w:val="none"/>
          <w:lang w:eastAsia="zh-CN"/>
        </w:rPr>
        <w:t>响应文件</w:t>
      </w:r>
      <w:r>
        <w:rPr>
          <w:rFonts w:hint="eastAsia" w:ascii="宋体" w:hAnsi="宋体" w:eastAsia="宋体"/>
          <w:iCs/>
          <w:color w:val="auto"/>
          <w:sz w:val="21"/>
          <w:szCs w:val="21"/>
          <w:highlight w:val="none"/>
        </w:rPr>
        <w:t>未提供相关手续复印件和无法核查专用章的真实性而导致的后果由</w:t>
      </w:r>
      <w:r>
        <w:rPr>
          <w:rFonts w:hint="eastAsia" w:ascii="宋体" w:hAnsi="宋体" w:eastAsia="宋体"/>
          <w:iCs/>
          <w:color w:val="auto"/>
          <w:sz w:val="21"/>
          <w:szCs w:val="21"/>
          <w:highlight w:val="none"/>
          <w:lang w:eastAsia="zh-CN"/>
        </w:rPr>
        <w:t>供应商</w:t>
      </w:r>
      <w:r>
        <w:rPr>
          <w:rFonts w:hint="eastAsia" w:ascii="宋体" w:hAnsi="宋体" w:eastAsia="宋体"/>
          <w:iCs/>
          <w:color w:val="auto"/>
          <w:sz w:val="21"/>
          <w:szCs w:val="21"/>
          <w:highlight w:val="none"/>
        </w:rPr>
        <w:t>自行承担。</w:t>
      </w:r>
      <w:r>
        <w:rPr>
          <w:rFonts w:hint="eastAsia" w:ascii="宋体" w:hAnsi="宋体" w:eastAsia="宋体"/>
          <w:color w:val="auto"/>
          <w:sz w:val="21"/>
          <w:szCs w:val="21"/>
          <w:highlight w:val="none"/>
        </w:rPr>
        <w:t>）</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color w:val="auto"/>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27" w:name="_Toc23807"/>
      <w:bookmarkStart w:id="28" w:name="_Toc9030"/>
      <w:r>
        <w:rPr>
          <w:rFonts w:hint="eastAsia" w:ascii="宋体" w:hAnsi="宋体" w:eastAsia="宋体"/>
          <w:color w:val="auto"/>
          <w:sz w:val="21"/>
          <w:szCs w:val="21"/>
          <w:highlight w:val="none"/>
        </w:rPr>
        <w:t>3.货物和服务</w:t>
      </w:r>
      <w:bookmarkEnd w:id="27"/>
      <w:bookmarkEnd w:id="28"/>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sz w:val="21"/>
          <w:szCs w:val="21"/>
          <w:highlight w:val="none"/>
        </w:rPr>
      </w:pPr>
      <w:r>
        <w:rPr>
          <w:rFonts w:hint="eastAsia" w:ascii="宋体" w:hAnsi="宋体" w:eastAsia="宋体"/>
          <w:iCs/>
          <w:color w:val="auto"/>
          <w:sz w:val="21"/>
          <w:szCs w:val="21"/>
          <w:highlight w:val="none"/>
        </w:rPr>
        <w:t>货物是指</w:t>
      </w:r>
      <w:r>
        <w:rPr>
          <w:rFonts w:hint="eastAsia" w:ascii="宋体" w:hAnsi="宋体" w:eastAsia="宋体"/>
          <w:iCs/>
          <w:color w:val="auto"/>
          <w:sz w:val="21"/>
          <w:szCs w:val="21"/>
          <w:highlight w:val="none"/>
          <w:lang w:eastAsia="zh-CN"/>
        </w:rPr>
        <w:t>供应商</w:t>
      </w:r>
      <w:r>
        <w:rPr>
          <w:rFonts w:hint="eastAsia" w:ascii="宋体" w:hAnsi="宋体" w:eastAsia="宋体"/>
          <w:iCs/>
          <w:color w:val="auto"/>
          <w:sz w:val="21"/>
          <w:szCs w:val="21"/>
          <w:highlight w:val="none"/>
        </w:rPr>
        <w:t>制造或组织符合</w:t>
      </w:r>
      <w:r>
        <w:rPr>
          <w:rFonts w:hint="eastAsia" w:ascii="宋体" w:hAnsi="宋体" w:eastAsia="宋体"/>
          <w:iCs/>
          <w:color w:val="auto"/>
          <w:sz w:val="21"/>
          <w:szCs w:val="21"/>
          <w:highlight w:val="none"/>
          <w:lang w:eastAsia="zh-CN"/>
        </w:rPr>
        <w:t>遴选文件</w:t>
      </w:r>
      <w:r>
        <w:rPr>
          <w:rFonts w:hint="eastAsia" w:ascii="宋体" w:hAnsi="宋体" w:eastAsia="宋体"/>
          <w:iCs/>
          <w:color w:val="auto"/>
          <w:sz w:val="21"/>
          <w:szCs w:val="21"/>
          <w:highlight w:val="none"/>
        </w:rPr>
        <w:t>要求的货物等。</w:t>
      </w:r>
      <w:r>
        <w:rPr>
          <w:rFonts w:hint="eastAsia" w:ascii="宋体" w:hAnsi="宋体" w:eastAsia="宋体"/>
          <w:iCs/>
          <w:color w:val="auto"/>
          <w:sz w:val="21"/>
          <w:szCs w:val="21"/>
          <w:highlight w:val="none"/>
          <w:lang w:eastAsia="zh-CN"/>
        </w:rPr>
        <w:t>响应</w:t>
      </w:r>
      <w:r>
        <w:rPr>
          <w:rFonts w:hint="eastAsia" w:ascii="宋体" w:hAnsi="宋体" w:eastAsia="宋体"/>
          <w:iCs/>
          <w:color w:val="auto"/>
          <w:sz w:val="21"/>
          <w:szCs w:val="21"/>
          <w:highlight w:val="none"/>
        </w:rPr>
        <w:t>的货物必须是其合法生产、合法来源的符合国家有关标准要求的货物，并满足</w:t>
      </w:r>
      <w:r>
        <w:rPr>
          <w:rFonts w:hint="eastAsia" w:ascii="宋体" w:hAnsi="宋体" w:eastAsia="宋体"/>
          <w:iCs/>
          <w:color w:val="auto"/>
          <w:sz w:val="21"/>
          <w:szCs w:val="21"/>
          <w:highlight w:val="none"/>
          <w:lang w:eastAsia="zh-CN"/>
        </w:rPr>
        <w:t>遴选文件</w:t>
      </w:r>
      <w:r>
        <w:rPr>
          <w:rFonts w:hint="eastAsia" w:ascii="宋体" w:hAnsi="宋体" w:eastAsia="宋体"/>
          <w:iCs/>
          <w:color w:val="auto"/>
          <w:sz w:val="21"/>
          <w:szCs w:val="21"/>
          <w:highlight w:val="none"/>
        </w:rPr>
        <w:t>规定的规格、参数、质量、价格、有效期、售后服务等要求。</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sz w:val="21"/>
          <w:szCs w:val="21"/>
          <w:highlight w:val="none"/>
        </w:rPr>
      </w:pPr>
      <w:r>
        <w:rPr>
          <w:rFonts w:hint="eastAsia" w:ascii="宋体" w:hAnsi="宋体" w:eastAsia="宋体"/>
          <w:iCs/>
          <w:color w:val="auto"/>
          <w:sz w:val="21"/>
          <w:szCs w:val="21"/>
          <w:highlight w:val="none"/>
        </w:rPr>
        <w:t>服务是指除货物和工程以外的其他采购对象，且满足实质性采购需求。</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sz w:val="21"/>
          <w:szCs w:val="21"/>
          <w:highlight w:val="none"/>
        </w:rPr>
      </w:pPr>
      <w:r>
        <w:rPr>
          <w:rFonts w:hint="eastAsia" w:ascii="宋体" w:hAnsi="宋体" w:eastAsia="宋体"/>
          <w:iCs/>
          <w:color w:val="auto"/>
          <w:sz w:val="21"/>
          <w:szCs w:val="21"/>
          <w:highlight w:val="none"/>
          <w:lang w:eastAsia="zh-CN"/>
        </w:rPr>
        <w:t>供应商</w:t>
      </w:r>
      <w:r>
        <w:rPr>
          <w:rFonts w:hint="eastAsia" w:ascii="宋体" w:hAnsi="宋体" w:eastAsia="宋体"/>
          <w:iCs/>
          <w:color w:val="auto"/>
          <w:sz w:val="21"/>
          <w:szCs w:val="21"/>
          <w:highlight w:val="none"/>
        </w:rPr>
        <w:t>提供的所有服务，其质量、技术等特征必须符合国家、行业现行法律、法规的相关标准和《中华人民共和国政府采购法》的有关规定及用户需求。</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sz w:val="21"/>
          <w:szCs w:val="21"/>
          <w:highlight w:val="none"/>
        </w:rPr>
      </w:pPr>
      <w:r>
        <w:rPr>
          <w:rFonts w:hint="eastAsia" w:ascii="宋体" w:hAnsi="宋体" w:eastAsia="宋体"/>
          <w:iCs/>
          <w:color w:val="auto"/>
          <w:sz w:val="21"/>
          <w:szCs w:val="21"/>
          <w:highlight w:val="none"/>
        </w:rPr>
        <w:t>采购人有权拒绝接受任何不合格的服务，由此产生的费用及相关后果均由</w:t>
      </w:r>
      <w:r>
        <w:rPr>
          <w:rFonts w:hint="eastAsia" w:ascii="宋体" w:hAnsi="宋体" w:eastAsia="宋体"/>
          <w:iCs/>
          <w:color w:val="auto"/>
          <w:sz w:val="21"/>
          <w:szCs w:val="21"/>
          <w:highlight w:val="none"/>
          <w:lang w:eastAsia="zh-CN"/>
        </w:rPr>
        <w:t>成交单位</w:t>
      </w:r>
      <w:r>
        <w:rPr>
          <w:rFonts w:hint="eastAsia" w:ascii="宋体" w:hAnsi="宋体" w:eastAsia="宋体"/>
          <w:iCs/>
          <w:color w:val="auto"/>
          <w:sz w:val="21"/>
          <w:szCs w:val="21"/>
          <w:highlight w:val="none"/>
        </w:rPr>
        <w:t>自行承担；</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sz w:val="21"/>
          <w:szCs w:val="21"/>
          <w:highlight w:val="none"/>
        </w:rPr>
      </w:pPr>
      <w:r>
        <w:rPr>
          <w:rFonts w:hint="eastAsia" w:ascii="宋体" w:hAnsi="宋体" w:eastAsia="宋体"/>
          <w:iCs/>
          <w:color w:val="auto"/>
          <w:sz w:val="21"/>
          <w:szCs w:val="21"/>
          <w:highlight w:val="none"/>
          <w:lang w:eastAsia="zh-CN"/>
        </w:rPr>
        <w:t>供应商</w:t>
      </w:r>
      <w:r>
        <w:rPr>
          <w:rFonts w:hint="eastAsia" w:ascii="宋体" w:hAnsi="宋体" w:eastAsia="宋体"/>
          <w:iCs/>
          <w:color w:val="auto"/>
          <w:sz w:val="21"/>
          <w:szCs w:val="21"/>
          <w:highlight w:val="none"/>
        </w:rPr>
        <w:t>应保证本项目的</w:t>
      </w:r>
      <w:r>
        <w:rPr>
          <w:rFonts w:hint="eastAsia" w:ascii="宋体" w:hAnsi="宋体" w:eastAsia="宋体"/>
          <w:iCs/>
          <w:color w:val="auto"/>
          <w:sz w:val="21"/>
          <w:szCs w:val="21"/>
          <w:highlight w:val="none"/>
          <w:lang w:eastAsia="zh-CN"/>
        </w:rPr>
        <w:t>响应</w:t>
      </w:r>
      <w:r>
        <w:rPr>
          <w:rFonts w:hint="eastAsia" w:ascii="宋体" w:hAnsi="宋体" w:eastAsia="宋体"/>
          <w:iCs/>
          <w:color w:val="auto"/>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sz w:val="21"/>
          <w:szCs w:val="21"/>
          <w:highlight w:val="none"/>
          <w:lang w:eastAsia="zh-CN"/>
        </w:rPr>
        <w:t>供应商</w:t>
      </w:r>
      <w:r>
        <w:rPr>
          <w:rFonts w:hint="eastAsia" w:ascii="宋体" w:hAnsi="宋体" w:eastAsia="宋体"/>
          <w:iCs/>
          <w:color w:val="auto"/>
          <w:sz w:val="21"/>
          <w:szCs w:val="21"/>
          <w:highlight w:val="none"/>
        </w:rPr>
        <w:t>不拥有相应的知识产权，则须在报价中包括合法获取该知识产权的相关费用，并在</w:t>
      </w:r>
      <w:r>
        <w:rPr>
          <w:rFonts w:hint="eastAsia" w:ascii="宋体" w:hAnsi="宋体" w:eastAsia="宋体"/>
          <w:iCs/>
          <w:color w:val="auto"/>
          <w:sz w:val="21"/>
          <w:szCs w:val="21"/>
          <w:highlight w:val="none"/>
          <w:lang w:eastAsia="zh-CN"/>
        </w:rPr>
        <w:t>响应</w:t>
      </w:r>
      <w:r>
        <w:rPr>
          <w:rFonts w:hint="eastAsia" w:ascii="宋体" w:hAnsi="宋体" w:eastAsia="宋体"/>
          <w:iCs/>
          <w:color w:val="auto"/>
          <w:sz w:val="21"/>
          <w:szCs w:val="21"/>
          <w:highlight w:val="none"/>
        </w:rPr>
        <w:t>文件中附有相关证明文件。如因第三方提出其专利权、商标权或其他知识产权的侵权之诉，则一切法律责任由</w:t>
      </w:r>
      <w:r>
        <w:rPr>
          <w:rFonts w:hint="eastAsia" w:ascii="宋体" w:hAnsi="宋体" w:eastAsia="宋体"/>
          <w:iCs/>
          <w:color w:val="auto"/>
          <w:sz w:val="21"/>
          <w:szCs w:val="21"/>
          <w:highlight w:val="none"/>
          <w:lang w:eastAsia="zh-CN"/>
        </w:rPr>
        <w:t>供应商</w:t>
      </w:r>
      <w:r>
        <w:rPr>
          <w:rFonts w:hint="eastAsia" w:ascii="宋体" w:hAnsi="宋体" w:eastAsia="宋体"/>
          <w:iCs/>
          <w:color w:val="auto"/>
          <w:sz w:val="21"/>
          <w:szCs w:val="21"/>
          <w:highlight w:val="none"/>
        </w:rPr>
        <w:t>承担。</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color w:val="auto"/>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29" w:name="_Toc14543"/>
      <w:bookmarkStart w:id="30" w:name="_Toc11134"/>
      <w:r>
        <w:rPr>
          <w:rFonts w:hint="eastAsia" w:ascii="宋体" w:hAnsi="宋体" w:eastAsia="宋体"/>
          <w:color w:val="auto"/>
          <w:sz w:val="21"/>
          <w:szCs w:val="21"/>
          <w:highlight w:val="none"/>
        </w:rPr>
        <w:t>4.</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费用</w:t>
      </w:r>
      <w:bookmarkEnd w:id="29"/>
      <w:bookmarkEnd w:id="30"/>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应承担所有与编写</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和参加</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有关的自身的所有费用，不论</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的结果如何，采购代理机构和采购人在任何情况下均无义务和责任承担这些费用。</w:t>
      </w:r>
    </w:p>
    <w:p>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31" w:name="_Toc25254"/>
      <w:bookmarkStart w:id="32" w:name="_Toc19567"/>
      <w:r>
        <w:rPr>
          <w:rFonts w:hint="eastAsia" w:ascii="宋体" w:hAnsi="宋体" w:eastAsia="宋体"/>
          <w:color w:val="auto"/>
          <w:sz w:val="21"/>
          <w:szCs w:val="21"/>
          <w:highlight w:val="none"/>
        </w:rPr>
        <w:t>5.知识产权</w:t>
      </w:r>
      <w:bookmarkEnd w:id="31"/>
      <w:bookmarkEnd w:id="32"/>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承担所有相关责任。</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如欲在项目实施过程中采用自有知识成果，需在</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中声明，并提供相关知识产权证明文件。使用该知识成果后，</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需提供开发接口和开发手册等技术文档。</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提供的产品必须是预装正版操作系统软件的计算机产品。</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供应商提供的服务、货物经认定存在侵权行为的，其响应无效，并上报相关监管部门。</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33" w:name="_Toc4415"/>
      <w:bookmarkStart w:id="34" w:name="_Toc30779"/>
      <w:r>
        <w:rPr>
          <w:rFonts w:hint="eastAsia" w:ascii="宋体" w:hAnsi="宋体" w:eastAsia="宋体"/>
          <w:color w:val="auto"/>
          <w:sz w:val="21"/>
          <w:szCs w:val="21"/>
          <w:highlight w:val="none"/>
        </w:rPr>
        <w:t>6.关于联合体</w:t>
      </w:r>
      <w:bookmarkEnd w:id="33"/>
      <w:bookmarkEnd w:id="34"/>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stheme="minorBidi"/>
          <w:b w:val="0"/>
          <w:bCs w:val="0"/>
          <w:color w:val="auto"/>
          <w:sz w:val="21"/>
          <w:szCs w:val="21"/>
          <w:highlight w:val="none"/>
          <w:lang w:val="en-US" w:eastAsia="zh-CN" w:bidi="ar-SA"/>
        </w:rPr>
        <w:t>联合体必须满足以下条款。（除非遴选邀请函中另有规定不接受联合体）</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对接受联合体的项目：两个以上的自然人、法人或者其他组织可以组成一个联合体，以一个</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的身份共同参加政府采购。</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在领购</w:t>
      </w:r>
      <w:r>
        <w:rPr>
          <w:rFonts w:hint="eastAsia" w:ascii="宋体" w:hAnsi="宋体" w:eastAsia="宋体"/>
          <w:color w:val="auto"/>
          <w:sz w:val="21"/>
          <w:szCs w:val="21"/>
          <w:highlight w:val="none"/>
          <w:lang w:val="en-US" w:eastAsia="zh-CN"/>
        </w:rPr>
        <w:t>遴选文件</w:t>
      </w:r>
      <w:r>
        <w:rPr>
          <w:rFonts w:hint="eastAsia" w:ascii="宋体" w:hAnsi="宋体" w:eastAsia="宋体"/>
          <w:color w:val="auto"/>
          <w:sz w:val="21"/>
          <w:szCs w:val="21"/>
          <w:highlight w:val="none"/>
        </w:rPr>
        <w:t>时，应提供所有联合体组成成员的营业执照复印件，并加盖各联合体组成成员的公章。</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特定条件的，联合体各方中至少应当有一方符合采购人规定的特定条件。</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联合体各方之间应当签订协议</w:t>
      </w:r>
      <w:r>
        <w:rPr>
          <w:rFonts w:hint="eastAsia" w:ascii="宋体" w:hAnsi="宋体" w:eastAsia="宋体"/>
          <w:color w:val="auto"/>
          <w:sz w:val="21"/>
          <w:szCs w:val="21"/>
          <w:highlight w:val="none"/>
          <w:lang w:eastAsia="zh-CN"/>
        </w:rPr>
        <w:t>书</w:t>
      </w:r>
      <w:r>
        <w:rPr>
          <w:rFonts w:hint="eastAsia" w:ascii="宋体" w:hAnsi="宋体" w:eastAsia="宋体"/>
          <w:color w:val="auto"/>
          <w:sz w:val="21"/>
          <w:szCs w:val="21"/>
          <w:highlight w:val="none"/>
        </w:rPr>
        <w:t>并</w:t>
      </w:r>
      <w:r>
        <w:rPr>
          <w:rFonts w:ascii="宋体" w:hAnsi="宋体" w:eastAsia="宋体"/>
          <w:color w:val="auto"/>
          <w:sz w:val="21"/>
          <w:szCs w:val="21"/>
          <w:highlight w:val="none"/>
        </w:rPr>
        <w:t>在</w:t>
      </w:r>
      <w:r>
        <w:rPr>
          <w:rFonts w:hint="eastAsia" w:ascii="宋体" w:hAnsi="宋体" w:eastAsia="宋体"/>
          <w:color w:val="auto"/>
          <w:sz w:val="21"/>
          <w:szCs w:val="21"/>
          <w:highlight w:val="none"/>
          <w:lang w:eastAsia="zh-CN"/>
        </w:rPr>
        <w:t>响应文件</w:t>
      </w:r>
      <w:r>
        <w:rPr>
          <w:rFonts w:ascii="宋体" w:hAnsi="宋体" w:eastAsia="宋体"/>
          <w:color w:val="auto"/>
          <w:sz w:val="21"/>
          <w:szCs w:val="21"/>
          <w:highlight w:val="none"/>
        </w:rPr>
        <w:t>内提交</w:t>
      </w:r>
      <w:r>
        <w:rPr>
          <w:rFonts w:hint="eastAsia" w:ascii="宋体" w:hAnsi="宋体" w:eastAsia="宋体"/>
          <w:color w:val="auto"/>
          <w:sz w:val="21"/>
          <w:szCs w:val="21"/>
          <w:highlight w:val="none"/>
        </w:rPr>
        <w:t>，明确约定联合体各方承担的工作和相应的责任。联合体各方签订协议</w:t>
      </w:r>
      <w:r>
        <w:rPr>
          <w:rFonts w:hint="eastAsia" w:ascii="宋体" w:hAnsi="宋体" w:eastAsia="宋体"/>
          <w:color w:val="auto"/>
          <w:sz w:val="21"/>
          <w:szCs w:val="21"/>
          <w:highlight w:val="none"/>
          <w:lang w:eastAsia="zh-CN"/>
        </w:rPr>
        <w:t>书</w:t>
      </w:r>
      <w:r>
        <w:rPr>
          <w:rFonts w:hint="eastAsia" w:ascii="宋体" w:hAnsi="宋体" w:eastAsia="宋体"/>
          <w:color w:val="auto"/>
          <w:sz w:val="21"/>
          <w:szCs w:val="21"/>
          <w:highlight w:val="none"/>
        </w:rPr>
        <w:t>后，不得再以自己名义单独在同一项目中</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，也不得组成新的联合体参加同一项目</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按照联合体分工承担相同工作的，应当按照资质等级较低的供应商确定资质等级。</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w:t>
      </w:r>
      <w:r>
        <w:rPr>
          <w:rFonts w:hint="eastAsia" w:ascii="宋体" w:hAnsi="宋体" w:eastAsia="宋体"/>
          <w:color w:val="auto"/>
          <w:sz w:val="21"/>
          <w:szCs w:val="21"/>
          <w:highlight w:val="none"/>
          <w:lang w:eastAsia="zh-CN"/>
        </w:rPr>
        <w:t>书</w:t>
      </w:r>
      <w:r>
        <w:rPr>
          <w:rFonts w:hint="eastAsia" w:ascii="宋体" w:hAnsi="宋体" w:eastAsia="宋体"/>
          <w:color w:val="auto"/>
          <w:sz w:val="21"/>
          <w:szCs w:val="21"/>
          <w:highlight w:val="none"/>
        </w:rPr>
        <w:t>明确授权盖章单位外，联合体</w:t>
      </w:r>
      <w:r>
        <w:rPr>
          <w:rFonts w:hint="eastAsia" w:ascii="宋体" w:hAnsi="宋体" w:eastAsia="宋体"/>
          <w:color w:val="auto"/>
          <w:sz w:val="21"/>
          <w:szCs w:val="21"/>
          <w:highlight w:val="none"/>
          <w:lang w:eastAsia="zh-CN"/>
        </w:rPr>
        <w:t>响应遴选时响应文件</w:t>
      </w:r>
      <w:r>
        <w:rPr>
          <w:rFonts w:hint="eastAsia" w:ascii="宋体" w:hAnsi="宋体" w:eastAsia="宋体"/>
          <w:color w:val="auto"/>
          <w:sz w:val="21"/>
          <w:szCs w:val="21"/>
          <w:highlight w:val="none"/>
        </w:rPr>
        <w:t>中所有要求盖章的地方均须加盖联合体所有组成成员的公章，否则该处盖章无效。</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联合体进行评分时，业绩、奖项等的认定和评分根据协议</w:t>
      </w:r>
      <w:r>
        <w:rPr>
          <w:rFonts w:hint="eastAsia" w:ascii="宋体" w:hAnsi="宋体" w:eastAsia="宋体"/>
          <w:color w:val="auto"/>
          <w:sz w:val="21"/>
          <w:szCs w:val="21"/>
          <w:highlight w:val="none"/>
          <w:lang w:eastAsia="zh-CN"/>
        </w:rPr>
        <w:t>书</w:t>
      </w:r>
      <w:r>
        <w:rPr>
          <w:rFonts w:hint="eastAsia" w:ascii="宋体" w:hAnsi="宋体" w:eastAsia="宋体"/>
          <w:color w:val="auto"/>
          <w:sz w:val="21"/>
          <w:szCs w:val="21"/>
          <w:highlight w:val="none"/>
        </w:rPr>
        <w:t>约定的各方承担的工作和相应责任，确定一方打分，不累加打分；评审标准不明确或难以明确以哪一方计算评分情况时，则按主体方情况评分。</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hint="eastAsia" w:ascii="宋体" w:hAnsi="宋体" w:eastAsia="宋体"/>
          <w:color w:val="auto"/>
          <w:sz w:val="21"/>
          <w:szCs w:val="21"/>
          <w:highlight w:val="none"/>
          <w:lang w:eastAsia="zh-CN"/>
        </w:rPr>
      </w:pPr>
      <w:bookmarkStart w:id="35" w:name="_Toc9491"/>
      <w:bookmarkStart w:id="36" w:name="_Toc18142"/>
      <w:r>
        <w:rPr>
          <w:rFonts w:hint="eastAsia" w:ascii="宋体" w:hAnsi="宋体" w:eastAsia="宋体"/>
          <w:color w:val="auto"/>
          <w:sz w:val="21"/>
          <w:szCs w:val="21"/>
          <w:highlight w:val="none"/>
        </w:rPr>
        <w:t>7.关于分支机构</w:t>
      </w:r>
      <w:r>
        <w:rPr>
          <w:rFonts w:hint="eastAsia" w:ascii="宋体" w:hAnsi="宋体" w:eastAsia="宋体"/>
          <w:color w:val="auto"/>
          <w:sz w:val="21"/>
          <w:szCs w:val="21"/>
          <w:highlight w:val="none"/>
          <w:lang w:eastAsia="zh-CN"/>
        </w:rPr>
        <w:t>响应</w:t>
      </w:r>
      <w:bookmarkEnd w:id="35"/>
      <w:bookmarkEnd w:id="36"/>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bookmarkStart w:id="37" w:name="EB389f116341dd4693875bc7987e7327f3"/>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分支机构</w:t>
      </w:r>
      <w:r>
        <w:rPr>
          <w:rFonts w:hint="eastAsia" w:ascii="宋体" w:hAnsi="宋体" w:eastAsia="宋体"/>
          <w:color w:val="auto"/>
          <w:sz w:val="21"/>
          <w:szCs w:val="21"/>
          <w:highlight w:val="none"/>
          <w:lang w:eastAsia="zh-CN"/>
        </w:rPr>
        <w:t>响应</w:t>
      </w:r>
      <w:r>
        <w:rPr>
          <w:rFonts w:ascii="宋体" w:hAnsi="宋体" w:eastAsia="宋体"/>
          <w:color w:val="auto"/>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37"/>
    </w:p>
    <w:p>
      <w:pPr>
        <w:pageBreakBefore w:val="0"/>
        <w:kinsoku/>
        <w:wordWrap/>
        <w:topLinePunct w:val="0"/>
        <w:autoSpaceDE/>
        <w:autoSpaceDN/>
        <w:bidi w:val="0"/>
        <w:spacing w:line="400" w:lineRule="exact"/>
        <w:textAlignment w:val="auto"/>
        <w:rPr>
          <w:color w:val="auto"/>
          <w:highlight w:val="none"/>
        </w:rPr>
      </w:pPr>
    </w:p>
    <w:p>
      <w:pPr>
        <w:pStyle w:val="4"/>
        <w:numPr>
          <w:ilvl w:val="0"/>
          <w:numId w:val="1"/>
        </w:numPr>
        <w:spacing w:before="0" w:after="0" w:line="480" w:lineRule="auto"/>
        <w:jc w:val="center"/>
        <w:rPr>
          <w:rFonts w:ascii="宋体" w:hAnsi="宋体" w:eastAsia="宋体"/>
          <w:color w:val="auto"/>
          <w:highlight w:val="none"/>
        </w:rPr>
      </w:pPr>
      <w:bookmarkStart w:id="38" w:name="_Toc30529"/>
      <w:r>
        <w:rPr>
          <w:rFonts w:hint="eastAsia" w:ascii="宋体" w:hAnsi="宋体" w:eastAsia="宋体"/>
          <w:color w:val="auto"/>
          <w:highlight w:val="none"/>
          <w:lang w:eastAsia="zh-CN"/>
        </w:rPr>
        <w:t>遴选文件</w:t>
      </w:r>
      <w:bookmarkEnd w:id="38"/>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39" w:name="_Toc31340"/>
      <w:bookmarkStart w:id="40" w:name="_Toc5596"/>
      <w:r>
        <w:rPr>
          <w:rFonts w:hint="eastAsia" w:ascii="宋体" w:hAnsi="宋体" w:eastAsia="宋体"/>
          <w:color w:val="auto"/>
          <w:sz w:val="21"/>
          <w:szCs w:val="21"/>
          <w:highlight w:val="none"/>
        </w:rPr>
        <w:t>8.</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的组成</w:t>
      </w:r>
      <w:bookmarkEnd w:id="39"/>
      <w:bookmarkEnd w:id="40"/>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邀请</w:t>
      </w:r>
      <w:r>
        <w:rPr>
          <w:rFonts w:hint="eastAsia" w:ascii="宋体" w:hAnsi="宋体" w:eastAsia="宋体"/>
          <w:color w:val="auto"/>
          <w:sz w:val="21"/>
          <w:szCs w:val="21"/>
          <w:highlight w:val="none"/>
          <w:lang w:eastAsia="zh-CN"/>
        </w:rPr>
        <w:t>函</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资料表；</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须知；</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（5）合同文本</w:t>
      </w:r>
      <w:r>
        <w:rPr>
          <w:rFonts w:hint="eastAsia" w:ascii="宋体" w:hAnsi="宋体" w:eastAsia="宋体"/>
          <w:color w:val="auto"/>
          <w:sz w:val="21"/>
          <w:szCs w:val="21"/>
          <w:highlight w:val="none"/>
          <w:lang w:eastAsia="zh-CN"/>
        </w:rPr>
        <w:t>参考格式</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（6）</w:t>
      </w:r>
      <w:r>
        <w:rPr>
          <w:rFonts w:hint="eastAsia" w:ascii="宋体" w:hAnsi="宋体" w:eastAsia="宋体"/>
          <w:color w:val="auto"/>
          <w:sz w:val="21"/>
          <w:szCs w:val="21"/>
          <w:highlight w:val="none"/>
          <w:lang w:eastAsia="zh-CN"/>
        </w:rPr>
        <w:t>响应文件参考</w:t>
      </w:r>
      <w:r>
        <w:rPr>
          <w:rFonts w:hint="eastAsia" w:ascii="宋体" w:hAnsi="宋体" w:eastAsia="宋体"/>
          <w:color w:val="auto"/>
          <w:sz w:val="21"/>
          <w:szCs w:val="21"/>
          <w:highlight w:val="none"/>
        </w:rPr>
        <w:t>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（7）在</w:t>
      </w:r>
      <w:r>
        <w:rPr>
          <w:rFonts w:hint="eastAsia" w:ascii="宋体" w:hAnsi="宋体" w:eastAsia="宋体"/>
          <w:color w:val="auto"/>
          <w:sz w:val="21"/>
          <w:szCs w:val="21"/>
          <w:highlight w:val="none"/>
          <w:lang w:eastAsia="zh-CN"/>
        </w:rPr>
        <w:t>采购</w:t>
      </w:r>
      <w:r>
        <w:rPr>
          <w:rFonts w:hint="eastAsia" w:ascii="宋体" w:hAnsi="宋体" w:eastAsia="宋体"/>
          <w:color w:val="auto"/>
          <w:sz w:val="21"/>
          <w:szCs w:val="21"/>
          <w:highlight w:val="none"/>
        </w:rPr>
        <w:t>过程中由采购代理机构发出的澄清更正文件等。</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color w:val="auto"/>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41" w:name="_Toc23483"/>
      <w:bookmarkStart w:id="42" w:name="_Toc28076"/>
      <w:r>
        <w:rPr>
          <w:rFonts w:hint="eastAsia" w:ascii="宋体" w:hAnsi="宋体" w:eastAsia="宋体"/>
          <w:color w:val="auto"/>
          <w:sz w:val="21"/>
          <w:szCs w:val="21"/>
          <w:highlight w:val="none"/>
        </w:rPr>
        <w:t>9.</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的澄清或修改</w:t>
      </w:r>
      <w:bookmarkEnd w:id="41"/>
      <w:bookmarkEnd w:id="42"/>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、资格预审文件、</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邀请</w:t>
      </w:r>
      <w:r>
        <w:rPr>
          <w:rFonts w:hint="eastAsia" w:ascii="宋体" w:hAnsi="宋体" w:eastAsia="宋体"/>
          <w:color w:val="auto"/>
          <w:sz w:val="21"/>
          <w:szCs w:val="21"/>
          <w:highlight w:val="none"/>
          <w:lang w:eastAsia="zh-CN"/>
        </w:rPr>
        <w:t>函</w:t>
      </w:r>
      <w:r>
        <w:rPr>
          <w:rFonts w:hint="eastAsia" w:ascii="宋体" w:hAnsi="宋体" w:eastAsia="宋体"/>
          <w:color w:val="auto"/>
          <w:sz w:val="21"/>
          <w:szCs w:val="21"/>
          <w:highlight w:val="none"/>
        </w:rPr>
        <w:t>进行必要的澄清或者修改。澄清或者修改的内容为</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、资格预审文件、</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邀请</w:t>
      </w:r>
      <w:r>
        <w:rPr>
          <w:rFonts w:hint="eastAsia" w:ascii="宋体" w:hAnsi="宋体" w:eastAsia="宋体"/>
          <w:color w:val="auto"/>
          <w:sz w:val="21"/>
          <w:szCs w:val="21"/>
          <w:highlight w:val="none"/>
          <w:lang w:eastAsia="zh-CN"/>
        </w:rPr>
        <w:t>函</w:t>
      </w:r>
      <w:r>
        <w:rPr>
          <w:rFonts w:hint="eastAsia" w:ascii="宋体" w:hAnsi="宋体" w:eastAsia="宋体"/>
          <w:color w:val="auto"/>
          <w:sz w:val="21"/>
          <w:szCs w:val="21"/>
          <w:highlight w:val="none"/>
        </w:rPr>
        <w:t>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w:t>
      </w:r>
      <w:r>
        <w:rPr>
          <w:rFonts w:hint="eastAsia" w:ascii="宋体" w:hAnsi="宋体" w:eastAsia="宋体"/>
          <w:color w:val="auto"/>
          <w:sz w:val="21"/>
          <w:szCs w:val="21"/>
          <w:highlight w:val="none"/>
          <w:lang w:eastAsia="zh-CN"/>
        </w:rPr>
        <w:t>遴选文件</w:t>
      </w:r>
      <w:r>
        <w:rPr>
          <w:rFonts w:ascii="宋体" w:hAnsi="宋体" w:eastAsia="宋体"/>
          <w:color w:val="auto"/>
          <w:sz w:val="21"/>
          <w:szCs w:val="21"/>
          <w:highlight w:val="none"/>
        </w:rPr>
        <w:t>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keepNext w:val="0"/>
        <w:keepLines w:val="0"/>
        <w:pageBreakBefore w:val="0"/>
        <w:widowControl w:val="0"/>
        <w:numPr>
          <w:ilvl w:val="1"/>
          <w:numId w:val="2"/>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7.2可以对已发出的遴选文件进行必要的澄清或者修改。澄清或者修改的内容可能影响响应文件编制的，采购人应当在递交响应文件截止时间3个工作日前，以同一互联网媒体或直接向邀请的供应商发布更正公告，不足3个工作日的，应当顺延提交响应文件截止时间。</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4"/>
        <w:numPr>
          <w:ilvl w:val="0"/>
          <w:numId w:val="1"/>
        </w:numPr>
        <w:spacing w:before="0" w:after="0" w:line="480" w:lineRule="auto"/>
        <w:jc w:val="center"/>
        <w:rPr>
          <w:rFonts w:ascii="宋体" w:hAnsi="宋体" w:eastAsia="宋体"/>
          <w:color w:val="auto"/>
          <w:highlight w:val="none"/>
        </w:rPr>
      </w:pPr>
      <w:bookmarkStart w:id="43" w:name="_Toc12172"/>
      <w:r>
        <w:rPr>
          <w:rFonts w:hint="eastAsia" w:ascii="宋体" w:hAnsi="宋体" w:eastAsia="宋体"/>
          <w:color w:val="auto"/>
          <w:highlight w:val="none"/>
          <w:lang w:eastAsia="zh-CN"/>
        </w:rPr>
        <w:t>响应文件</w:t>
      </w:r>
      <w:r>
        <w:rPr>
          <w:rFonts w:hint="eastAsia" w:ascii="宋体" w:hAnsi="宋体" w:eastAsia="宋体"/>
          <w:color w:val="auto"/>
          <w:highlight w:val="none"/>
        </w:rPr>
        <w:t>的编制</w:t>
      </w:r>
      <w:bookmarkEnd w:id="43"/>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44" w:name="_Toc25675"/>
      <w:bookmarkStart w:id="45" w:name="_Toc28595"/>
      <w:r>
        <w:rPr>
          <w:rFonts w:hint="eastAsia" w:ascii="宋体" w:hAnsi="宋体" w:eastAsia="宋体"/>
          <w:color w:val="auto"/>
          <w:sz w:val="21"/>
          <w:szCs w:val="21"/>
          <w:highlight w:val="none"/>
        </w:rPr>
        <w:t>10.</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的语言及度量衡单位</w:t>
      </w:r>
      <w:bookmarkEnd w:id="44"/>
      <w:bookmarkEnd w:id="45"/>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提交的</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以及</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与采购代理机构就有关</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的所有来往函件均应使用简体中文书写。</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的修改内容时以中文翻译本为准。</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除非</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在技术规格中另有规定，</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在</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46" w:name="_Toc25080"/>
      <w:bookmarkStart w:id="47" w:name="_Toc307934854"/>
      <w:bookmarkStart w:id="48" w:name="_Toc28866"/>
      <w:bookmarkStart w:id="49" w:name="_Toc303084256"/>
      <w:bookmarkStart w:id="50" w:name="_Toc382049103"/>
      <w:bookmarkStart w:id="51" w:name="_Toc12070"/>
      <w:r>
        <w:rPr>
          <w:rFonts w:hint="eastAsia" w:ascii="宋体" w:hAnsi="宋体" w:eastAsia="宋体"/>
          <w:color w:val="auto"/>
          <w:sz w:val="21"/>
          <w:szCs w:val="21"/>
          <w:highlight w:val="none"/>
        </w:rPr>
        <w:t>11.</w:t>
      </w:r>
      <w:r>
        <w:rPr>
          <w:rFonts w:hint="eastAsia" w:ascii="宋体" w:hAnsi="宋体" w:eastAsia="宋体"/>
          <w:color w:val="auto"/>
          <w:sz w:val="21"/>
          <w:szCs w:val="21"/>
          <w:highlight w:val="none"/>
          <w:lang w:eastAsia="zh-CN"/>
        </w:rPr>
        <w:t>响应文件</w:t>
      </w:r>
      <w:r>
        <w:rPr>
          <w:rFonts w:ascii="宋体" w:hAnsi="宋体" w:eastAsia="宋体"/>
          <w:color w:val="auto"/>
          <w:sz w:val="21"/>
          <w:szCs w:val="21"/>
          <w:highlight w:val="none"/>
        </w:rPr>
        <w:t>的组成</w:t>
      </w:r>
      <w:bookmarkEnd w:id="46"/>
      <w:bookmarkEnd w:id="47"/>
      <w:bookmarkEnd w:id="48"/>
      <w:bookmarkEnd w:id="49"/>
      <w:bookmarkEnd w:id="50"/>
      <w:bookmarkEnd w:id="51"/>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附件格式中要求提供的表格。</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color w:val="auto"/>
          <w:highlight w:val="none"/>
        </w:rPr>
      </w:pPr>
      <w:r>
        <w:rPr>
          <w:rFonts w:hint="eastAsia" w:ascii="宋体" w:hAnsi="宋体" w:eastAsia="宋体"/>
          <w:color w:val="auto"/>
          <w:sz w:val="21"/>
          <w:szCs w:val="21"/>
          <w:highlight w:val="none"/>
        </w:rPr>
        <w:t>上述文件须按顺序装订成册，并编制</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目录。除上述文件资料外</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还须按</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须知的要求制作“</w:t>
      </w:r>
      <w:r>
        <w:rPr>
          <w:rFonts w:hint="eastAsia" w:ascii="宋体" w:hAnsi="宋体" w:eastAsia="宋体"/>
          <w:color w:val="auto"/>
          <w:sz w:val="21"/>
          <w:szCs w:val="21"/>
          <w:highlight w:val="none"/>
          <w:lang w:eastAsia="zh-CN"/>
        </w:rPr>
        <w:t>开标文件</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开标文件</w:t>
      </w:r>
      <w:r>
        <w:rPr>
          <w:rFonts w:hint="eastAsia" w:ascii="宋体" w:hAnsi="宋体" w:eastAsia="宋体"/>
          <w:color w:val="auto"/>
          <w:sz w:val="21"/>
          <w:szCs w:val="21"/>
          <w:highlight w:val="none"/>
        </w:rPr>
        <w:t>”作为</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的一部分，但须单独密封。</w:t>
      </w:r>
    </w:p>
    <w:p>
      <w:pPr>
        <w:pageBreakBefore w:val="0"/>
        <w:kinsoku/>
        <w:wordWrap/>
        <w:topLinePunct w:val="0"/>
        <w:autoSpaceDE/>
        <w:autoSpaceDN/>
        <w:bidi w:val="0"/>
        <w:spacing w:line="400" w:lineRule="exact"/>
        <w:textAlignment w:val="auto"/>
        <w:rPr>
          <w:color w:val="auto"/>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52" w:name="_Toc26174"/>
      <w:bookmarkStart w:id="53" w:name="_Toc26322"/>
      <w:r>
        <w:rPr>
          <w:rFonts w:hint="eastAsia" w:ascii="宋体" w:hAnsi="宋体" w:eastAsia="宋体"/>
          <w:color w:val="auto"/>
          <w:sz w:val="21"/>
          <w:szCs w:val="21"/>
          <w:highlight w:val="none"/>
        </w:rPr>
        <w:t>12.</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编制</w:t>
      </w:r>
      <w:bookmarkEnd w:id="52"/>
      <w:bookmarkEnd w:id="53"/>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bookmarkStart w:id="54" w:name="_Toc303084258"/>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应按</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必须对</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所提供的全部材料的真实性承担法律责任，并无条件接受采购人或采购代理机构及政府采购监督管理部门等对其中任何资料进行核实的要求。</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因</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编制存在歧义对</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产生负面影响的，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自行承担后果。</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单位名称与</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公章不一致，若</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单位名称已进行变更，应在</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中提供相应的证明材料并加盖公章，否则</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无效。</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若出现以下内容，经</w:t>
      </w: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认定有可能间接影响评审秩序，</w:t>
      </w:r>
      <w:r>
        <w:rPr>
          <w:rFonts w:hint="eastAsia" w:ascii="宋体" w:hAnsi="宋体" w:eastAsia="宋体"/>
          <w:color w:val="auto"/>
          <w:sz w:val="21"/>
          <w:szCs w:val="21"/>
          <w:highlight w:val="none"/>
          <w:lang w:eastAsia="zh-CN"/>
        </w:rPr>
        <w:t>其响应无效：</w:t>
      </w:r>
    </w:p>
    <w:p>
      <w:pPr>
        <w:pStyle w:val="23"/>
        <w:pageBreakBefore w:val="0"/>
        <w:widowControl w:val="0"/>
        <w:numPr>
          <w:ilvl w:val="0"/>
          <w:numId w:val="0"/>
        </w:numPr>
        <w:kinsoku/>
        <w:wordWrap/>
        <w:topLinePunct w:val="0"/>
        <w:autoSpaceDE/>
        <w:autoSpaceDN/>
        <w:bidi w:val="0"/>
        <w:adjustRightInd/>
        <w:snapToGrid/>
        <w:spacing w:after="0" w:line="400" w:lineRule="exact"/>
        <w:ind w:left="418" w:leftChars="190" w:firstLine="0" w:firstLineChars="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23"/>
        <w:pageBreakBefore w:val="0"/>
        <w:widowControl w:val="0"/>
        <w:numPr>
          <w:ilvl w:val="0"/>
          <w:numId w:val="0"/>
        </w:numPr>
        <w:kinsoku/>
        <w:wordWrap/>
        <w:topLinePunct w:val="0"/>
        <w:autoSpaceDE/>
        <w:autoSpaceDN/>
        <w:bidi w:val="0"/>
        <w:adjustRightInd/>
        <w:snapToGrid/>
        <w:spacing w:after="0" w:line="40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串通</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，其</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无效：</w:t>
      </w:r>
    </w:p>
    <w:bookmarkEnd w:id="54"/>
    <w:p>
      <w:pPr>
        <w:pageBreakBefore w:val="0"/>
        <w:widowControl w:val="0"/>
        <w:kinsoku/>
        <w:wordWrap/>
        <w:topLinePunct w:val="0"/>
        <w:autoSpaceDE/>
        <w:autoSpaceDN/>
        <w:bidi w:val="0"/>
        <w:adjustRightInd/>
        <w:snapToGrid/>
        <w:spacing w:after="0" w:line="400" w:lineRule="exact"/>
        <w:ind w:left="440" w:leftChars="200" w:firstLine="0" w:firstLineChars="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（一）不同</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由同一单位或者个人编制；</w:t>
      </w:r>
    </w:p>
    <w:p>
      <w:pPr>
        <w:pageBreakBefore w:val="0"/>
        <w:widowControl w:val="0"/>
        <w:kinsoku/>
        <w:wordWrap/>
        <w:topLinePunct w:val="0"/>
        <w:autoSpaceDE/>
        <w:autoSpaceDN/>
        <w:bidi w:val="0"/>
        <w:adjustRightInd/>
        <w:snapToGrid/>
        <w:spacing w:after="0" w:line="400" w:lineRule="exact"/>
        <w:ind w:left="440" w:leftChars="200" w:firstLine="0" w:firstLineChars="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（二）不同</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委托同一单位或者个人办理</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事宜；</w:t>
      </w:r>
    </w:p>
    <w:p>
      <w:pPr>
        <w:pageBreakBefore w:val="0"/>
        <w:widowControl w:val="0"/>
        <w:kinsoku/>
        <w:wordWrap/>
        <w:topLinePunct w:val="0"/>
        <w:autoSpaceDE/>
        <w:autoSpaceDN/>
        <w:bidi w:val="0"/>
        <w:adjustRightInd/>
        <w:snapToGrid/>
        <w:spacing w:after="0" w:line="400" w:lineRule="exact"/>
        <w:ind w:left="440" w:leftChars="200" w:firstLine="0" w:firstLineChars="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（三）不同</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载明的项目管理成员或者联系人员为同一人；</w:t>
      </w:r>
    </w:p>
    <w:p>
      <w:pPr>
        <w:pageBreakBefore w:val="0"/>
        <w:widowControl w:val="0"/>
        <w:kinsoku/>
        <w:wordWrap/>
        <w:topLinePunct w:val="0"/>
        <w:autoSpaceDE/>
        <w:autoSpaceDN/>
        <w:bidi w:val="0"/>
        <w:adjustRightInd/>
        <w:snapToGrid/>
        <w:spacing w:after="0" w:line="400" w:lineRule="exact"/>
        <w:ind w:left="440" w:leftChars="200" w:firstLine="0" w:firstLineChars="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（四）不同</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异常一致或者</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报价呈规律性差异；</w:t>
      </w:r>
    </w:p>
    <w:p>
      <w:pPr>
        <w:pageBreakBefore w:val="0"/>
        <w:widowControl w:val="0"/>
        <w:kinsoku/>
        <w:wordWrap/>
        <w:topLinePunct w:val="0"/>
        <w:autoSpaceDE/>
        <w:autoSpaceDN/>
        <w:bidi w:val="0"/>
        <w:adjustRightInd/>
        <w:snapToGrid/>
        <w:spacing w:after="0" w:line="400" w:lineRule="exact"/>
        <w:ind w:left="440" w:leftChars="200" w:firstLine="0" w:firstLineChars="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（五）不同</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相互混装；</w:t>
      </w:r>
    </w:p>
    <w:p>
      <w:pPr>
        <w:pageBreakBefore w:val="0"/>
        <w:widowControl w:val="0"/>
        <w:kinsoku/>
        <w:wordWrap/>
        <w:topLinePunct w:val="0"/>
        <w:autoSpaceDE/>
        <w:autoSpaceDN/>
        <w:bidi w:val="0"/>
        <w:adjustRightInd/>
        <w:snapToGrid/>
        <w:spacing w:after="0" w:line="400" w:lineRule="exact"/>
        <w:ind w:left="440" w:leftChars="200" w:firstLine="0" w:firstLineChars="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（六）不同</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w:t>
      </w:r>
      <w:r>
        <w:rPr>
          <w:rFonts w:hint="eastAsia" w:ascii="宋体" w:hAnsi="宋体" w:eastAsia="宋体"/>
          <w:color w:val="auto"/>
          <w:sz w:val="21"/>
          <w:szCs w:val="21"/>
          <w:highlight w:val="none"/>
          <w:lang w:eastAsia="zh-CN"/>
        </w:rPr>
        <w:t>遴选保证金</w:t>
      </w:r>
      <w:r>
        <w:rPr>
          <w:rFonts w:hint="eastAsia" w:ascii="宋体" w:hAnsi="宋体" w:eastAsia="宋体"/>
          <w:color w:val="auto"/>
          <w:sz w:val="21"/>
          <w:szCs w:val="21"/>
          <w:highlight w:val="none"/>
        </w:rPr>
        <w:t>从同一单位或者个人的账户转出。</w:t>
      </w:r>
    </w:p>
    <w:p>
      <w:pPr>
        <w:pageBreakBefore w:val="0"/>
        <w:widowControl w:val="0"/>
        <w:kinsoku/>
        <w:wordWrap/>
        <w:topLinePunct w:val="0"/>
        <w:autoSpaceDE/>
        <w:autoSpaceDN/>
        <w:bidi w:val="0"/>
        <w:adjustRightInd/>
        <w:snapToGrid/>
        <w:spacing w:after="0" w:line="400" w:lineRule="exact"/>
        <w:jc w:val="both"/>
        <w:textAlignment w:val="auto"/>
        <w:rPr>
          <w:rFonts w:hint="eastAsia"/>
          <w:color w:val="auto"/>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55" w:name="_Toc11253"/>
      <w:bookmarkStart w:id="56" w:name="_Toc16687"/>
      <w:r>
        <w:rPr>
          <w:rFonts w:hint="eastAsia" w:ascii="宋体" w:hAnsi="宋体" w:eastAsia="宋体"/>
          <w:color w:val="auto"/>
          <w:sz w:val="21"/>
          <w:szCs w:val="21"/>
          <w:highlight w:val="none"/>
        </w:rPr>
        <w:t>13.</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报价说明</w:t>
      </w:r>
      <w:bookmarkEnd w:id="55"/>
      <w:bookmarkEnd w:id="56"/>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本次</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应按用户需求中的要求进行</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报价，少报无效。</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所提供的货物或服务均以人民币（或相关费率）报价。</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报价应包含完成本次</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所有服务内容的费用，包含各种税务费及合同实施过程中的全部费用和售后服务费等。</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认为</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的报价明显低于其他通过符合性审查</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的报价，有可能影响产品质量或者不能诚信履约的，应当要求其在</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现场合理的时间内提供书面说明，必要时提交相关证明材料；</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不能证明其报价合理性的，</w:t>
      </w: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应当将其作为无效</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处理。</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后开出的所有发票必须与</w:t>
      </w:r>
      <w:r>
        <w:rPr>
          <w:rFonts w:hint="eastAsia" w:ascii="宋体" w:hAnsi="宋体" w:eastAsia="宋体"/>
          <w:color w:val="auto"/>
          <w:sz w:val="21"/>
          <w:szCs w:val="21"/>
          <w:highlight w:val="none"/>
          <w:lang w:eastAsia="zh-CN"/>
        </w:rPr>
        <w:t>成交供应商</w:t>
      </w:r>
      <w:r>
        <w:rPr>
          <w:rFonts w:hint="eastAsia" w:ascii="宋体" w:hAnsi="宋体" w:eastAsia="宋体"/>
          <w:color w:val="auto"/>
          <w:sz w:val="21"/>
          <w:szCs w:val="21"/>
          <w:highlight w:val="none"/>
        </w:rPr>
        <w:t>的名称一致。</w:t>
      </w:r>
    </w:p>
    <w:p>
      <w:pPr>
        <w:pageBreakBefore w:val="0"/>
        <w:kinsoku/>
        <w:wordWrap/>
        <w:topLinePunct w:val="0"/>
        <w:autoSpaceDE/>
        <w:autoSpaceDN/>
        <w:bidi w:val="0"/>
        <w:spacing w:line="400" w:lineRule="exact"/>
        <w:textAlignment w:val="auto"/>
        <w:rPr>
          <w:color w:val="auto"/>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57" w:name="_Toc6692"/>
      <w:bookmarkStart w:id="58" w:name="_Toc28006"/>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所提供的服务或货物的证明文件</w:t>
      </w:r>
      <w:bookmarkEnd w:id="57"/>
      <w:bookmarkEnd w:id="58"/>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bookmarkStart w:id="59" w:name="_Hlt107925668"/>
      <w:bookmarkEnd w:id="59"/>
      <w:bookmarkStart w:id="60" w:name="_Hlt107925638"/>
      <w:bookmarkEnd w:id="60"/>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第三部分《用户需求书》中规定的要求进行详细应答和说明。</w:t>
      </w:r>
    </w:p>
    <w:p>
      <w:pPr>
        <w:pStyle w:val="23"/>
        <w:pageBreakBefore w:val="0"/>
        <w:widowControl w:val="0"/>
        <w:kinsoku/>
        <w:wordWrap/>
        <w:topLinePunct w:val="0"/>
        <w:autoSpaceDE/>
        <w:autoSpaceDN/>
        <w:bidi w:val="0"/>
        <w:adjustRightInd/>
        <w:snapToGrid/>
        <w:spacing w:after="0" w:line="400" w:lineRule="exact"/>
        <w:ind w:left="425" w:firstLine="0" w:firstLineChars="0"/>
        <w:jc w:val="both"/>
        <w:textAlignment w:val="auto"/>
        <w:rPr>
          <w:color w:val="auto"/>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61" w:name="_Toc4792"/>
      <w:bookmarkStart w:id="62" w:name="_Toc21147"/>
      <w:r>
        <w:rPr>
          <w:rFonts w:hint="eastAsia" w:ascii="宋体" w:hAnsi="宋体" w:eastAsia="宋体"/>
          <w:color w:val="auto"/>
          <w:sz w:val="21"/>
          <w:szCs w:val="21"/>
          <w:highlight w:val="none"/>
        </w:rPr>
        <w:t>15.★</w:t>
      </w:r>
      <w:r>
        <w:rPr>
          <w:rFonts w:hint="eastAsia" w:ascii="宋体" w:hAnsi="宋体" w:eastAsia="宋体"/>
          <w:color w:val="auto"/>
          <w:sz w:val="21"/>
          <w:szCs w:val="21"/>
          <w:highlight w:val="none"/>
          <w:lang w:val="en-US" w:eastAsia="zh-CN"/>
        </w:rPr>
        <w:t>响应</w:t>
      </w:r>
      <w:r>
        <w:rPr>
          <w:rFonts w:hint="eastAsia" w:ascii="宋体" w:hAnsi="宋体" w:eastAsia="宋体"/>
          <w:color w:val="auto"/>
          <w:sz w:val="21"/>
          <w:szCs w:val="21"/>
          <w:highlight w:val="none"/>
        </w:rPr>
        <w:t>有效期</w:t>
      </w:r>
      <w:bookmarkEnd w:id="61"/>
      <w:bookmarkEnd w:id="62"/>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应根据</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须知的规定在</w:t>
      </w:r>
      <w:r>
        <w:rPr>
          <w:rFonts w:hint="eastAsia" w:ascii="宋体" w:hAnsi="宋体" w:eastAsia="宋体"/>
          <w:color w:val="auto"/>
          <w:sz w:val="21"/>
          <w:szCs w:val="21"/>
          <w:highlight w:val="none"/>
          <w:lang w:eastAsia="zh-CN"/>
        </w:rPr>
        <w:t>响应截止</w:t>
      </w:r>
      <w:r>
        <w:rPr>
          <w:rFonts w:hint="eastAsia" w:ascii="宋体" w:hAnsi="宋体" w:eastAsia="宋体"/>
          <w:color w:val="auto"/>
          <w:sz w:val="21"/>
          <w:szCs w:val="21"/>
          <w:highlight w:val="none"/>
        </w:rPr>
        <w:t>日后的90天内保持有效。</w:t>
      </w:r>
    </w:p>
    <w:p>
      <w:pPr>
        <w:pageBreakBefore w:val="0"/>
        <w:widowControl w:val="0"/>
        <w:kinsoku/>
        <w:wordWrap/>
        <w:topLinePunct w:val="0"/>
        <w:autoSpaceDE/>
        <w:autoSpaceDN/>
        <w:bidi w:val="0"/>
        <w:adjustRightInd/>
        <w:snapToGrid/>
        <w:spacing w:after="0" w:line="400" w:lineRule="exact"/>
        <w:ind w:left="567"/>
        <w:jc w:val="both"/>
        <w:textAlignment w:val="auto"/>
        <w:rPr>
          <w:color w:val="auto"/>
          <w:highlight w:val="none"/>
        </w:rPr>
      </w:pPr>
    </w:p>
    <w:p>
      <w:pPr>
        <w:rPr>
          <w:color w:val="auto"/>
          <w:highlight w:val="none"/>
        </w:rPr>
      </w:pPr>
    </w:p>
    <w:p>
      <w:pPr>
        <w:pStyle w:val="4"/>
        <w:numPr>
          <w:ilvl w:val="0"/>
          <w:numId w:val="1"/>
        </w:numPr>
        <w:spacing w:before="0" w:after="0" w:line="480" w:lineRule="auto"/>
        <w:jc w:val="center"/>
        <w:rPr>
          <w:rFonts w:ascii="宋体" w:hAnsi="宋体" w:eastAsia="宋体"/>
          <w:color w:val="auto"/>
          <w:highlight w:val="none"/>
        </w:rPr>
      </w:pPr>
      <w:bookmarkStart w:id="63" w:name="_Toc7456"/>
      <w:r>
        <w:rPr>
          <w:rFonts w:hint="eastAsia" w:ascii="宋体" w:hAnsi="宋体" w:eastAsia="宋体"/>
          <w:color w:val="auto"/>
          <w:highlight w:val="none"/>
          <w:lang w:val="en-US" w:eastAsia="zh-CN"/>
        </w:rPr>
        <w:t>响应</w:t>
      </w:r>
      <w:r>
        <w:rPr>
          <w:rFonts w:hint="eastAsia" w:ascii="宋体" w:hAnsi="宋体" w:eastAsia="宋体"/>
          <w:color w:val="auto"/>
          <w:highlight w:val="none"/>
        </w:rPr>
        <w:t>文件的递交</w:t>
      </w:r>
      <w:bookmarkEnd w:id="63"/>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64" w:name="_Toc21699"/>
      <w:bookmarkStart w:id="65" w:name="_Toc26622"/>
      <w:bookmarkStart w:id="66" w:name="_Toc24997"/>
      <w:bookmarkStart w:id="67" w:name="_Toc303084264"/>
      <w:bookmarkStart w:id="68" w:name="_Toc382049111"/>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响应文件</w:t>
      </w:r>
      <w:r>
        <w:rPr>
          <w:rFonts w:ascii="宋体" w:hAnsi="宋体" w:eastAsia="宋体"/>
          <w:color w:val="auto"/>
          <w:sz w:val="21"/>
          <w:szCs w:val="21"/>
          <w:highlight w:val="none"/>
        </w:rPr>
        <w:t>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64"/>
      <w:bookmarkEnd w:id="65"/>
      <w:bookmarkEnd w:id="66"/>
      <w:bookmarkEnd w:id="67"/>
      <w:bookmarkEnd w:id="68"/>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为方便评审小组对响应文件进行评审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lang w:eastAsia="zh-CN"/>
        </w:rPr>
        <w:t>建议供应商对响应文件进行装订，</w:t>
      </w:r>
      <w:r>
        <w:rPr>
          <w:rFonts w:ascii="宋体" w:hAnsi="宋体" w:eastAsia="宋体"/>
          <w:color w:val="auto"/>
          <w:sz w:val="21"/>
          <w:szCs w:val="21"/>
          <w:highlight w:val="none"/>
        </w:rPr>
        <w:t>对未经装订的</w:t>
      </w:r>
      <w:r>
        <w:rPr>
          <w:rFonts w:hint="eastAsia" w:ascii="宋体" w:hAnsi="宋体" w:eastAsia="宋体"/>
          <w:color w:val="auto"/>
          <w:sz w:val="21"/>
          <w:szCs w:val="21"/>
          <w:highlight w:val="none"/>
          <w:lang w:eastAsia="zh-CN"/>
        </w:rPr>
        <w:t>响应文件</w:t>
      </w:r>
      <w:r>
        <w:rPr>
          <w:rFonts w:ascii="宋体" w:hAnsi="宋体" w:eastAsia="宋体"/>
          <w:color w:val="auto"/>
          <w:sz w:val="21"/>
          <w:szCs w:val="21"/>
          <w:highlight w:val="none"/>
        </w:rPr>
        <w:t>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w:t>
      </w:r>
      <w:r>
        <w:rPr>
          <w:rFonts w:hint="eastAsia" w:ascii="宋体" w:hAnsi="宋体" w:eastAsia="宋体"/>
          <w:color w:val="auto"/>
          <w:sz w:val="21"/>
          <w:szCs w:val="21"/>
          <w:highlight w:val="none"/>
          <w:lang w:eastAsia="zh-CN"/>
        </w:rPr>
        <w:t>供应商</w:t>
      </w:r>
      <w:r>
        <w:rPr>
          <w:rFonts w:ascii="宋体" w:hAnsi="宋体" w:eastAsia="宋体"/>
          <w:color w:val="auto"/>
          <w:sz w:val="21"/>
          <w:szCs w:val="21"/>
          <w:highlight w:val="none"/>
        </w:rPr>
        <w:t>承担。</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正本均须用不褪色墨水书写或打印。</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的副本可采用</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的正本复印件，每套</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的【正本】及所有【副本】的封面及骑缝均须加盖</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联合体</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sz w:val="21"/>
          <w:szCs w:val="21"/>
          <w:highlight w:val="none"/>
          <w:lang w:eastAsia="zh-CN"/>
        </w:rPr>
        <w:t>。</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建议供应商</w:t>
      </w:r>
      <w:r>
        <w:rPr>
          <w:rFonts w:hint="eastAsia" w:ascii="宋体" w:hAnsi="宋体" w:eastAsia="宋体"/>
          <w:color w:val="auto"/>
          <w:sz w:val="21"/>
          <w:szCs w:val="21"/>
          <w:highlight w:val="none"/>
        </w:rPr>
        <w:t>将</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sz w:val="21"/>
          <w:szCs w:val="21"/>
          <w:highlight w:val="none"/>
          <w:lang w:eastAsia="zh-CN"/>
        </w:rPr>
        <w:t>（“开标文件”除外）</w:t>
      </w:r>
      <w:r>
        <w:rPr>
          <w:rFonts w:hint="eastAsia" w:ascii="宋体" w:hAnsi="宋体" w:eastAsia="宋体"/>
          <w:color w:val="auto"/>
          <w:sz w:val="21"/>
          <w:szCs w:val="21"/>
          <w:highlight w:val="none"/>
        </w:rPr>
        <w:t>。电子文件与正本密封包装，随正本提交。</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ascii="宋体" w:hAnsi="宋体" w:eastAsia="宋体"/>
          <w:color w:val="auto"/>
          <w:sz w:val="21"/>
          <w:szCs w:val="21"/>
          <w:highlight w:val="none"/>
        </w:rPr>
        <w:t>电子文件内容包括：由</w:t>
      </w:r>
      <w:r>
        <w:rPr>
          <w:rFonts w:hint="eastAsia" w:ascii="宋体" w:hAnsi="宋体" w:eastAsia="宋体"/>
          <w:color w:val="auto"/>
          <w:sz w:val="21"/>
          <w:szCs w:val="21"/>
          <w:highlight w:val="none"/>
          <w:lang w:eastAsia="zh-CN"/>
        </w:rPr>
        <w:t>供应商</w:t>
      </w:r>
      <w:r>
        <w:rPr>
          <w:rFonts w:ascii="宋体" w:hAnsi="宋体" w:eastAsia="宋体"/>
          <w:color w:val="auto"/>
          <w:sz w:val="21"/>
          <w:szCs w:val="21"/>
          <w:highlight w:val="none"/>
        </w:rPr>
        <w:t>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lang w:eastAsia="zh-CN"/>
        </w:rPr>
        <w:t>（须含盖章版PDF响应文件和WORD版响应文件各一版，文字采用WORD文档，计算表格采用 EXCEL文档）</w:t>
      </w:r>
      <w:r>
        <w:rPr>
          <w:rFonts w:hint="eastAsia" w:ascii="宋体" w:hAnsi="宋体" w:eastAsia="宋体"/>
          <w:color w:val="auto"/>
          <w:sz w:val="21"/>
          <w:szCs w:val="21"/>
          <w:highlight w:val="none"/>
        </w:rPr>
        <w:t>，并注明</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名称及项目名称、</w:t>
      </w:r>
      <w:r>
        <w:rPr>
          <w:rFonts w:hint="eastAsia" w:ascii="宋体" w:hAnsi="宋体" w:eastAsia="宋体"/>
          <w:color w:val="auto"/>
          <w:sz w:val="21"/>
          <w:szCs w:val="21"/>
          <w:highlight w:val="none"/>
          <w:lang w:eastAsia="zh-CN"/>
        </w:rPr>
        <w:t>项目编号</w:t>
      </w:r>
      <w:r>
        <w:rPr>
          <w:rFonts w:hint="eastAsia" w:ascii="宋体" w:hAnsi="宋体" w:eastAsia="宋体"/>
          <w:color w:val="auto"/>
          <w:sz w:val="21"/>
          <w:szCs w:val="21"/>
          <w:highlight w:val="none"/>
        </w:rPr>
        <w:t>，随</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一同密封提交。</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ascii="宋体" w:hAnsi="宋体" w:eastAsia="宋体"/>
          <w:color w:val="auto"/>
          <w:sz w:val="21"/>
          <w:szCs w:val="21"/>
          <w:highlight w:val="none"/>
        </w:rPr>
        <w:t>除</w:t>
      </w:r>
      <w:r>
        <w:rPr>
          <w:rFonts w:hint="eastAsia" w:ascii="宋体" w:hAnsi="宋体" w:eastAsia="宋体"/>
          <w:color w:val="auto"/>
          <w:sz w:val="21"/>
          <w:szCs w:val="21"/>
          <w:highlight w:val="none"/>
          <w:lang w:eastAsia="zh-CN"/>
        </w:rPr>
        <w:t>供应商</w:t>
      </w:r>
      <w:r>
        <w:rPr>
          <w:rFonts w:ascii="宋体" w:hAnsi="宋体" w:eastAsia="宋体"/>
          <w:color w:val="auto"/>
          <w:sz w:val="21"/>
          <w:szCs w:val="21"/>
          <w:highlight w:val="none"/>
        </w:rPr>
        <w:t>对错误处修改外，全套</w:t>
      </w:r>
      <w:r>
        <w:rPr>
          <w:rFonts w:hint="eastAsia" w:ascii="宋体" w:hAnsi="宋体" w:eastAsia="宋体"/>
          <w:color w:val="auto"/>
          <w:sz w:val="21"/>
          <w:szCs w:val="21"/>
          <w:highlight w:val="none"/>
          <w:lang w:eastAsia="zh-CN"/>
        </w:rPr>
        <w:t>响应文件</w:t>
      </w:r>
      <w:r>
        <w:rPr>
          <w:rFonts w:ascii="宋体" w:hAnsi="宋体" w:eastAsia="宋体"/>
          <w:color w:val="auto"/>
          <w:sz w:val="21"/>
          <w:szCs w:val="21"/>
          <w:highlight w:val="none"/>
        </w:rPr>
        <w:t>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供应商应将报价一览表、法人代表证明书、法定代表人授权书（法人响应无需提交授权书）单独密封提交，并在信封上标明“开标文件”字样。“开标文件”份数及签章等要求与响应文件正本相同（1份）。</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供应商未提交</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开标</w:t>
      </w:r>
      <w:r>
        <w:rPr>
          <w:rFonts w:hint="eastAsia" w:ascii="宋体" w:hAnsi="宋体" w:eastAsia="宋体"/>
          <w:color w:val="auto"/>
          <w:sz w:val="21"/>
          <w:szCs w:val="21"/>
          <w:highlight w:val="none"/>
        </w:rPr>
        <w:t>文件”</w:t>
      </w:r>
      <w:r>
        <w:rPr>
          <w:rFonts w:hint="eastAsia" w:ascii="宋体" w:hAnsi="宋体" w:eastAsia="宋体"/>
          <w:color w:val="auto"/>
          <w:sz w:val="21"/>
          <w:szCs w:val="21"/>
          <w:highlight w:val="none"/>
          <w:lang w:eastAsia="zh-CN"/>
        </w:rPr>
        <w:t>或</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开标</w:t>
      </w:r>
      <w:r>
        <w:rPr>
          <w:rFonts w:hint="eastAsia" w:ascii="宋体" w:hAnsi="宋体" w:eastAsia="宋体"/>
          <w:color w:val="auto"/>
          <w:sz w:val="21"/>
          <w:szCs w:val="21"/>
          <w:highlight w:val="none"/>
        </w:rPr>
        <w:t>文件”</w:t>
      </w:r>
      <w:r>
        <w:rPr>
          <w:rFonts w:hint="eastAsia" w:ascii="宋体" w:hAnsi="宋体" w:eastAsia="宋体"/>
          <w:color w:val="auto"/>
          <w:sz w:val="21"/>
          <w:szCs w:val="21"/>
          <w:highlight w:val="none"/>
          <w:lang w:eastAsia="zh-CN"/>
        </w:rPr>
        <w:t>中无“开标一览表”的，报价以响应文件正本为准。</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pageBreakBefore w:val="0"/>
        <w:widowControl w:val="0"/>
        <w:numPr>
          <w:ilvl w:val="0"/>
          <w:numId w:val="3"/>
        </w:numPr>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收件人：</w:t>
      </w:r>
      <w:r>
        <w:rPr>
          <w:rFonts w:hint="eastAsia" w:ascii="宋体" w:hAnsi="宋体" w:eastAsia="宋体"/>
          <w:color w:val="auto"/>
          <w:sz w:val="21"/>
          <w:szCs w:val="21"/>
          <w:highlight w:val="none"/>
          <w:lang w:eastAsia="zh-CN"/>
        </w:rPr>
        <w:t>广东政通招标有限公司</w:t>
      </w:r>
    </w:p>
    <w:p>
      <w:pPr>
        <w:pageBreakBefore w:val="0"/>
        <w:widowControl w:val="0"/>
        <w:numPr>
          <w:ilvl w:val="0"/>
          <w:numId w:val="3"/>
        </w:numPr>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单位名称：</w:t>
      </w:r>
    </w:p>
    <w:p>
      <w:pPr>
        <w:pageBreakBefore w:val="0"/>
        <w:widowControl w:val="0"/>
        <w:numPr>
          <w:ilvl w:val="0"/>
          <w:numId w:val="3"/>
        </w:numPr>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pageBreakBefore w:val="0"/>
        <w:widowControl w:val="0"/>
        <w:numPr>
          <w:ilvl w:val="0"/>
          <w:numId w:val="3"/>
        </w:numPr>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项目编号</w:t>
      </w:r>
      <w:r>
        <w:rPr>
          <w:rFonts w:hint="eastAsia" w:ascii="宋体" w:hAnsi="宋体" w:eastAsia="宋体"/>
          <w:color w:val="auto"/>
          <w:sz w:val="21"/>
          <w:szCs w:val="21"/>
          <w:highlight w:val="none"/>
        </w:rPr>
        <w:t>：</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采购代理机构将拒绝接收出现以下情况的响应文件：</w:t>
      </w:r>
    </w:p>
    <w:p>
      <w:pPr>
        <w:pageBreakBefore w:val="0"/>
        <w:widowControl w:val="0"/>
        <w:numPr>
          <w:ilvl w:val="0"/>
          <w:numId w:val="4"/>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采用透明包装进行密封或未进行密封的响应文件；</w:t>
      </w:r>
    </w:p>
    <w:p>
      <w:pPr>
        <w:pageBreakBefore w:val="0"/>
        <w:widowControl w:val="0"/>
        <w:numPr>
          <w:ilvl w:val="0"/>
          <w:numId w:val="4"/>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密封破损导致响应文件内容直接或间接泄露的响应文件；</w:t>
      </w:r>
    </w:p>
    <w:p>
      <w:pPr>
        <w:pageBreakBefore w:val="0"/>
        <w:widowControl w:val="0"/>
        <w:numPr>
          <w:ilvl w:val="0"/>
          <w:numId w:val="4"/>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密封信封上项目编号错误的响应文件；</w:t>
      </w:r>
    </w:p>
    <w:p>
      <w:pPr>
        <w:pageBreakBefore w:val="0"/>
        <w:widowControl w:val="0"/>
        <w:numPr>
          <w:ilvl w:val="0"/>
          <w:numId w:val="4"/>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未在规定时间内领购文件的供应商的响应文件；</w:t>
      </w:r>
    </w:p>
    <w:p>
      <w:pPr>
        <w:pageBreakBefore w:val="0"/>
        <w:widowControl w:val="0"/>
        <w:numPr>
          <w:ilvl w:val="0"/>
          <w:numId w:val="4"/>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项目名称出现严重歧义或未标注所投项目信息导致无法分辨所投项目为本项目的响应文件；</w:t>
      </w:r>
    </w:p>
    <w:p>
      <w:pPr>
        <w:pageBreakBefore w:val="0"/>
        <w:widowControl w:val="0"/>
        <w:numPr>
          <w:ilvl w:val="0"/>
          <w:numId w:val="4"/>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采用传真、电传的响应文件；</w:t>
      </w:r>
    </w:p>
    <w:p>
      <w:pPr>
        <w:pageBreakBefore w:val="0"/>
        <w:widowControl w:val="0"/>
        <w:numPr>
          <w:ilvl w:val="0"/>
          <w:numId w:val="4"/>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遴选文件规定的其他情形。</w:t>
      </w:r>
    </w:p>
    <w:p>
      <w:pPr>
        <w:pageBreakBefore w:val="0"/>
        <w:widowControl w:val="0"/>
        <w:numPr>
          <w:ilvl w:val="1"/>
          <w:numId w:val="2"/>
        </w:numPr>
        <w:tabs>
          <w:tab w:val="left" w:pos="440"/>
          <w:tab w:val="left" w:pos="660"/>
          <w:tab w:val="clear" w:pos="56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的误投或提前启封概不负责。</w:t>
      </w:r>
    </w:p>
    <w:p>
      <w:pPr>
        <w:pageBreakBefore w:val="0"/>
        <w:widowControl w:val="0"/>
        <w:numPr>
          <w:ilvl w:val="1"/>
          <w:numId w:val="2"/>
        </w:numPr>
        <w:tabs>
          <w:tab w:val="left" w:pos="660"/>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同时参加几个包</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时必须按</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要求按包号分别制作</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，分别密封递交。</w:t>
      </w:r>
    </w:p>
    <w:p>
      <w:pPr>
        <w:pageBreakBefore w:val="0"/>
        <w:widowControl w:val="0"/>
        <w:numPr>
          <w:ilvl w:val="1"/>
          <w:numId w:val="2"/>
        </w:numPr>
        <w:tabs>
          <w:tab w:val="left" w:pos="440"/>
          <w:tab w:val="left" w:pos="660"/>
          <w:tab w:val="clear" w:pos="56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递交的</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中所提供的通讯方式应保持联络畅通，因联系不上而导致的所有后果由</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自行承担。</w:t>
      </w:r>
    </w:p>
    <w:p>
      <w:pPr>
        <w:pageBreakBefore w:val="0"/>
        <w:kinsoku/>
        <w:wordWrap/>
        <w:topLinePunct w:val="0"/>
        <w:autoSpaceDE/>
        <w:autoSpaceDN/>
        <w:bidi w:val="0"/>
        <w:spacing w:line="400" w:lineRule="exact"/>
        <w:textAlignment w:val="auto"/>
        <w:rPr>
          <w:color w:val="auto"/>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hint="eastAsia" w:ascii="宋体" w:hAnsi="宋体" w:eastAsia="宋体"/>
          <w:color w:val="auto"/>
          <w:sz w:val="21"/>
          <w:szCs w:val="21"/>
          <w:highlight w:val="none"/>
          <w:lang w:eastAsia="zh-CN"/>
        </w:rPr>
      </w:pPr>
      <w:bookmarkStart w:id="69" w:name="_Toc13712"/>
      <w:bookmarkStart w:id="70" w:name="_Toc1911"/>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.迟交的</w:t>
      </w:r>
      <w:r>
        <w:rPr>
          <w:rFonts w:hint="eastAsia" w:ascii="宋体" w:hAnsi="宋体" w:eastAsia="宋体"/>
          <w:color w:val="auto"/>
          <w:sz w:val="21"/>
          <w:szCs w:val="21"/>
          <w:highlight w:val="none"/>
          <w:lang w:eastAsia="zh-CN"/>
        </w:rPr>
        <w:t>响应文件</w:t>
      </w:r>
      <w:bookmarkEnd w:id="69"/>
      <w:bookmarkEnd w:id="70"/>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在</w:t>
      </w:r>
      <w:r>
        <w:rPr>
          <w:rFonts w:hint="eastAsia" w:ascii="宋体" w:hAnsi="宋体" w:eastAsia="宋体"/>
          <w:color w:val="auto"/>
          <w:sz w:val="21"/>
          <w:szCs w:val="21"/>
          <w:highlight w:val="none"/>
          <w:lang w:eastAsia="zh-CN"/>
        </w:rPr>
        <w:t>响应截止</w:t>
      </w:r>
      <w:r>
        <w:rPr>
          <w:rFonts w:hint="eastAsia" w:ascii="宋体" w:hAnsi="宋体" w:eastAsia="宋体"/>
          <w:color w:val="auto"/>
          <w:sz w:val="21"/>
          <w:szCs w:val="21"/>
          <w:highlight w:val="none"/>
        </w:rPr>
        <w:t>时间之后提交的</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，采购代理机构将拒绝接收</w:t>
      </w:r>
      <w:r>
        <w:rPr>
          <w:rFonts w:ascii="宋体" w:hAnsi="宋体" w:eastAsia="宋体"/>
          <w:color w:val="auto"/>
          <w:sz w:val="21"/>
          <w:szCs w:val="21"/>
          <w:highlight w:val="none"/>
        </w:rPr>
        <w:t>。</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pageBreakBefore w:val="0"/>
        <w:kinsoku/>
        <w:wordWrap/>
        <w:topLinePunct w:val="0"/>
        <w:autoSpaceDE/>
        <w:autoSpaceDN/>
        <w:bidi w:val="0"/>
        <w:spacing w:line="400" w:lineRule="exact"/>
        <w:textAlignment w:val="auto"/>
        <w:rPr>
          <w:color w:val="auto"/>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71" w:name="_Toc31243"/>
      <w:bookmarkStart w:id="72" w:name="_Toc8387"/>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样品</w:t>
      </w:r>
      <w:r>
        <w:rPr>
          <w:rFonts w:hint="eastAsia" w:ascii="宋体" w:hAnsi="宋体" w:eastAsia="宋体"/>
          <w:color w:val="auto"/>
          <w:sz w:val="21"/>
          <w:szCs w:val="21"/>
          <w:highlight w:val="none"/>
          <w:lang w:eastAsia="zh-CN"/>
        </w:rPr>
        <w:t>、遴选演示</w:t>
      </w:r>
      <w:r>
        <w:rPr>
          <w:rFonts w:hint="eastAsia" w:ascii="宋体" w:hAnsi="宋体" w:eastAsia="宋体"/>
          <w:color w:val="auto"/>
          <w:sz w:val="21"/>
          <w:szCs w:val="21"/>
          <w:highlight w:val="none"/>
        </w:rPr>
        <w:t>（如</w:t>
      </w:r>
      <w:r>
        <w:rPr>
          <w:rFonts w:hint="eastAsia" w:ascii="宋体" w:hAnsi="宋体" w:eastAsia="宋体"/>
          <w:color w:val="auto"/>
          <w:sz w:val="21"/>
          <w:szCs w:val="21"/>
          <w:highlight w:val="none"/>
          <w:lang w:eastAsia="zh-CN"/>
        </w:rPr>
        <w:t>有要求</w:t>
      </w:r>
      <w:r>
        <w:rPr>
          <w:rFonts w:hint="eastAsia" w:ascii="宋体" w:hAnsi="宋体" w:eastAsia="宋体"/>
          <w:color w:val="auto"/>
          <w:sz w:val="21"/>
          <w:szCs w:val="21"/>
          <w:highlight w:val="none"/>
        </w:rPr>
        <w:t>）</w:t>
      </w:r>
      <w:bookmarkEnd w:id="71"/>
      <w:bookmarkEnd w:id="72"/>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提供本服务项目涉及的部分设备或产品样品，</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在</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时应提交《样品清单》。</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为方便</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在提供样品时，应在所提供的样品表面显著位置标注</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的名称、包号、样品名称、</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规定的服务或货物编号。</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样品作为</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的一部分，除非另有说明，</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单位的样品将作为履约验收标准的参考不再退还，未</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单位须在</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公告发布后五个工作日内，前往采购代理机构领取</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样品，逾期不领，采购代理机构将不承担样品的保管责任，由此引发的样品丢失、毁损，采购代理机构不予负责。</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pPr>
        <w:pageBreakBefore w:val="0"/>
        <w:kinsoku/>
        <w:wordWrap/>
        <w:topLinePunct w:val="0"/>
        <w:autoSpaceDE/>
        <w:autoSpaceDN/>
        <w:bidi w:val="0"/>
        <w:spacing w:line="400" w:lineRule="exact"/>
        <w:textAlignment w:val="auto"/>
        <w:rPr>
          <w:color w:val="auto"/>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73" w:name="_Toc382049112"/>
      <w:bookmarkStart w:id="74" w:name="_Toc15862"/>
      <w:bookmarkStart w:id="75" w:name="_Toc1364"/>
      <w:bookmarkStart w:id="76" w:name="_Toc303084265"/>
      <w:bookmarkStart w:id="77" w:name="_Toc9777"/>
      <w:r>
        <w:rPr>
          <w:rFonts w:hint="eastAsia" w:ascii="宋体" w:hAnsi="宋体" w:eastAsia="宋体"/>
          <w:color w:val="auto"/>
          <w:sz w:val="21"/>
          <w:szCs w:val="21"/>
          <w:highlight w:val="none"/>
          <w:lang w:val="en-US" w:eastAsia="zh-CN"/>
        </w:rPr>
        <w:t>19</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响应</w:t>
      </w:r>
      <w:r>
        <w:rPr>
          <w:rFonts w:hint="eastAsia" w:ascii="宋体" w:hAnsi="宋体" w:eastAsia="宋体"/>
          <w:color w:val="auto"/>
          <w:sz w:val="21"/>
          <w:szCs w:val="21"/>
          <w:highlight w:val="none"/>
        </w:rPr>
        <w:t>截止期</w:t>
      </w:r>
      <w:bookmarkEnd w:id="73"/>
      <w:bookmarkEnd w:id="74"/>
      <w:bookmarkEnd w:id="75"/>
      <w:bookmarkEnd w:id="76"/>
      <w:bookmarkEnd w:id="77"/>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应在</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规定的截止日期和时间内，将</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送达到指定地点。</w:t>
      </w:r>
    </w:p>
    <w:p>
      <w:pPr>
        <w:pageBreakBefore w:val="0"/>
        <w:kinsoku/>
        <w:wordWrap/>
        <w:topLinePunct w:val="0"/>
        <w:autoSpaceDE/>
        <w:autoSpaceDN/>
        <w:bidi w:val="0"/>
        <w:spacing w:line="400" w:lineRule="exact"/>
        <w:textAlignment w:val="auto"/>
        <w:rPr>
          <w:color w:val="auto"/>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78" w:name="_Toc14390"/>
      <w:bookmarkStart w:id="79" w:name="_Toc13137"/>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en-US" w:eastAsia="zh-CN"/>
        </w:rPr>
        <w:t>0</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的补充、修改与撤回</w:t>
      </w:r>
      <w:bookmarkEnd w:id="78"/>
      <w:bookmarkEnd w:id="79"/>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在提交</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截止时间前，可以对所提交的</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进行补充、修改或撤回，并以纸质版形式通知采购代理机构。在提交</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截止时间之后，</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不得对其</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做出任何的补充和修改。</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对</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的补充、修改的内容应当按</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要求的签署、盖章、密封后，作为</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的组成部分。并按照</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规定密封和标记的要求提交，并在</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密封袋上标明“补充、修改”字样。</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一经递交不予退还。</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在提交</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截止时间至</w:t>
      </w:r>
      <w:r>
        <w:rPr>
          <w:rFonts w:hint="eastAsia" w:ascii="宋体" w:hAnsi="宋体" w:eastAsia="宋体"/>
          <w:color w:val="auto"/>
          <w:sz w:val="21"/>
          <w:szCs w:val="21"/>
          <w:highlight w:val="none"/>
          <w:lang w:eastAsia="zh-CN"/>
        </w:rPr>
        <w:t>响应有效期</w:t>
      </w:r>
      <w:r>
        <w:rPr>
          <w:rFonts w:hint="eastAsia" w:ascii="宋体" w:hAnsi="宋体" w:eastAsia="宋体"/>
          <w:color w:val="auto"/>
          <w:sz w:val="21"/>
          <w:szCs w:val="21"/>
          <w:highlight w:val="none"/>
        </w:rPr>
        <w:t>满之前，</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不得撤回其</w:t>
      </w:r>
      <w:r>
        <w:rPr>
          <w:rFonts w:hint="eastAsia" w:ascii="宋体" w:hAnsi="宋体" w:eastAsia="宋体"/>
          <w:color w:val="auto"/>
          <w:sz w:val="21"/>
          <w:szCs w:val="21"/>
          <w:highlight w:val="none"/>
          <w:lang w:val="en-US" w:eastAsia="zh-CN"/>
        </w:rPr>
        <w:t>响应文件</w:t>
      </w:r>
      <w:r>
        <w:rPr>
          <w:rFonts w:hint="eastAsia" w:ascii="宋体" w:hAnsi="宋体" w:eastAsia="宋体"/>
          <w:color w:val="auto"/>
          <w:sz w:val="21"/>
          <w:szCs w:val="21"/>
          <w:highlight w:val="none"/>
        </w:rPr>
        <w:t>，否则其</w:t>
      </w:r>
      <w:r>
        <w:rPr>
          <w:rFonts w:hint="eastAsia" w:ascii="宋体" w:hAnsi="宋体" w:eastAsia="宋体"/>
          <w:color w:val="auto"/>
          <w:sz w:val="21"/>
          <w:szCs w:val="21"/>
          <w:highlight w:val="none"/>
          <w:lang w:eastAsia="zh-CN"/>
        </w:rPr>
        <w:t>遴选保证金</w:t>
      </w:r>
      <w:r>
        <w:rPr>
          <w:rFonts w:hint="eastAsia" w:ascii="宋体" w:hAnsi="宋体" w:eastAsia="宋体"/>
          <w:color w:val="auto"/>
          <w:sz w:val="21"/>
          <w:szCs w:val="21"/>
          <w:highlight w:val="none"/>
        </w:rPr>
        <w:t>将不予退还。</w:t>
      </w:r>
    </w:p>
    <w:p>
      <w:pPr>
        <w:pStyle w:val="8"/>
        <w:keepNext w:val="0"/>
        <w:keepLines w:val="0"/>
        <w:pageBreakBefore w:val="0"/>
        <w:widowControl/>
        <w:kinsoku/>
        <w:wordWrap/>
        <w:overflowPunct/>
        <w:topLinePunct w:val="0"/>
        <w:autoSpaceDE/>
        <w:autoSpaceDN/>
        <w:bidi w:val="0"/>
        <w:adjustRightInd w:val="0"/>
        <w:snapToGrid w:val="0"/>
        <w:spacing w:before="0" w:after="0"/>
        <w:ind w:left="119"/>
        <w:textAlignment w:val="auto"/>
        <w:rPr>
          <w:color w:val="auto"/>
          <w:highlight w:val="none"/>
        </w:rPr>
      </w:pPr>
    </w:p>
    <w:p>
      <w:pPr>
        <w:pStyle w:val="4"/>
        <w:numPr>
          <w:ilvl w:val="0"/>
          <w:numId w:val="1"/>
        </w:numPr>
        <w:spacing w:before="0" w:after="0" w:line="480" w:lineRule="auto"/>
        <w:jc w:val="center"/>
        <w:rPr>
          <w:rFonts w:ascii="宋体" w:hAnsi="宋体" w:eastAsia="宋体"/>
          <w:color w:val="auto"/>
          <w:highlight w:val="none"/>
        </w:rPr>
      </w:pPr>
      <w:bookmarkStart w:id="80" w:name="_Toc28761"/>
      <w:r>
        <w:rPr>
          <w:rFonts w:hint="eastAsia" w:ascii="宋体" w:hAnsi="宋体" w:eastAsia="宋体"/>
          <w:color w:val="auto"/>
          <w:highlight w:val="none"/>
          <w:lang w:val="en-US" w:eastAsia="zh-CN"/>
        </w:rPr>
        <w:t>遴选</w:t>
      </w:r>
      <w:r>
        <w:rPr>
          <w:rFonts w:hint="eastAsia" w:ascii="宋体" w:hAnsi="宋体" w:eastAsia="宋体"/>
          <w:color w:val="auto"/>
          <w:highlight w:val="none"/>
        </w:rPr>
        <w:t>与</w:t>
      </w:r>
      <w:r>
        <w:rPr>
          <w:rFonts w:hint="eastAsia" w:ascii="宋体" w:hAnsi="宋体" w:eastAsia="宋体"/>
          <w:color w:val="auto"/>
          <w:highlight w:val="none"/>
          <w:lang w:val="en-US" w:eastAsia="zh-CN"/>
        </w:rPr>
        <w:t>评审</w:t>
      </w:r>
      <w:bookmarkEnd w:id="80"/>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81" w:name="_Toc169"/>
      <w:bookmarkStart w:id="82" w:name="_Toc174"/>
      <w:bookmarkStart w:id="83" w:name="_Toc191"/>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.开标</w:t>
      </w:r>
      <w:bookmarkEnd w:id="81"/>
      <w:bookmarkEnd w:id="82"/>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遴选文件</w:t>
      </w:r>
      <w:r>
        <w:rPr>
          <w:rFonts w:ascii="宋体" w:hAnsi="宋体" w:eastAsia="宋体"/>
          <w:color w:val="auto"/>
          <w:sz w:val="21"/>
          <w:szCs w:val="21"/>
          <w:highlight w:val="none"/>
        </w:rPr>
        <w:t>所规定的时间和地点公开开标，并邀请所有</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pageBreakBefore w:val="0"/>
        <w:widowControl w:val="0"/>
        <w:numPr>
          <w:ilvl w:val="2"/>
          <w:numId w:val="2"/>
        </w:numPr>
        <w:tabs>
          <w:tab w:val="left" w:pos="567"/>
          <w:tab w:val="clear" w:pos="794"/>
        </w:tabs>
        <w:kinsoku/>
        <w:wordWrap/>
        <w:topLinePunct w:val="0"/>
        <w:autoSpaceDE/>
        <w:autoSpaceDN/>
        <w:bidi w:val="0"/>
        <w:adjustRightInd/>
        <w:snapToGrid/>
        <w:spacing w:after="0" w:line="400" w:lineRule="exact"/>
        <w:ind w:left="794" w:hanging="794"/>
        <w:jc w:val="both"/>
        <w:textAlignment w:val="auto"/>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的法定代表人或其授权代表携带有效身份证明准时参加开标会并签名报到。</w:t>
      </w:r>
    </w:p>
    <w:p>
      <w:pPr>
        <w:pageBreakBefore w:val="0"/>
        <w:widowControl w:val="0"/>
        <w:numPr>
          <w:ilvl w:val="2"/>
          <w:numId w:val="2"/>
        </w:numPr>
        <w:tabs>
          <w:tab w:val="left" w:pos="567"/>
          <w:tab w:val="clear" w:pos="794"/>
        </w:tabs>
        <w:kinsoku/>
        <w:wordWrap/>
        <w:topLinePunct w:val="0"/>
        <w:autoSpaceDE/>
        <w:autoSpaceDN/>
        <w:bidi w:val="0"/>
        <w:adjustRightInd/>
        <w:snapToGrid/>
        <w:spacing w:after="0" w:line="400" w:lineRule="exact"/>
        <w:ind w:left="794" w:hanging="794"/>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开标时，由</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或者其推选的代表检查遴选文件的密封情况；经确认无误后，由采购人或者采购代理机构工作人员当众拆封，宣布</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价格和遴选文件规定的需要宣布的其他内容；</w:t>
      </w:r>
    </w:p>
    <w:p>
      <w:pPr>
        <w:pageBreakBefore w:val="0"/>
        <w:widowControl w:val="0"/>
        <w:numPr>
          <w:ilvl w:val="2"/>
          <w:numId w:val="2"/>
        </w:numPr>
        <w:tabs>
          <w:tab w:val="left" w:pos="567"/>
          <w:tab w:val="clear" w:pos="794"/>
        </w:tabs>
        <w:kinsoku/>
        <w:wordWrap/>
        <w:topLinePunct w:val="0"/>
        <w:autoSpaceDE/>
        <w:autoSpaceDN/>
        <w:bidi w:val="0"/>
        <w:adjustRightInd/>
        <w:snapToGrid/>
        <w:spacing w:after="0" w:line="400" w:lineRule="exact"/>
        <w:ind w:left="794" w:hanging="794"/>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代表对开标过程和开标记录有异议，以及认为采购人、采购代理机构相关工作人员有需要回避的情形的，应当场提出询问或者回避申请。开标现场未提出异议的视为认同开标结果。</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未参加开标的，视同认可开标结果。</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合格</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不足3家的，不得开标；</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代表和相关工作人员签字确认。</w:t>
      </w:r>
    </w:p>
    <w:p>
      <w:pPr>
        <w:bidi w:val="0"/>
        <w:rPr>
          <w:rFonts w:hint="eastAsia"/>
          <w:color w:val="auto"/>
          <w:highlight w:val="none"/>
        </w:rPr>
      </w:pPr>
    </w:p>
    <w:bookmarkEnd w:id="83"/>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84" w:name="_Toc23919"/>
      <w:bookmarkStart w:id="85" w:name="_Toc31198"/>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及评</w:t>
      </w:r>
      <w:r>
        <w:rPr>
          <w:rFonts w:hint="eastAsia" w:ascii="宋体" w:hAnsi="宋体" w:eastAsia="宋体"/>
          <w:color w:val="auto"/>
          <w:sz w:val="21"/>
          <w:szCs w:val="21"/>
          <w:highlight w:val="none"/>
          <w:lang w:val="en-US" w:eastAsia="zh-CN"/>
        </w:rPr>
        <w:t>审</w:t>
      </w:r>
      <w:r>
        <w:rPr>
          <w:rFonts w:hint="eastAsia" w:ascii="宋体" w:hAnsi="宋体" w:eastAsia="宋体"/>
          <w:color w:val="auto"/>
          <w:sz w:val="21"/>
          <w:szCs w:val="21"/>
          <w:highlight w:val="none"/>
        </w:rPr>
        <w:t>方法</w:t>
      </w:r>
      <w:bookmarkEnd w:id="84"/>
      <w:bookmarkEnd w:id="85"/>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根据</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项目的特点进行组建，并负责</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工作。</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w:t>
      </w:r>
      <w:r>
        <w:rPr>
          <w:rFonts w:hint="eastAsia" w:ascii="宋体" w:hAnsi="宋体" w:eastAsia="宋体"/>
          <w:color w:val="auto"/>
          <w:sz w:val="21"/>
          <w:szCs w:val="21"/>
          <w:highlight w:val="none"/>
          <w:lang w:val="en-US" w:eastAsia="zh-CN"/>
        </w:rPr>
        <w:t>遴选</w:t>
      </w:r>
      <w:r>
        <w:rPr>
          <w:rFonts w:hint="eastAsia" w:ascii="宋体" w:hAnsi="宋体" w:eastAsia="宋体"/>
          <w:color w:val="auto"/>
          <w:sz w:val="21"/>
          <w:szCs w:val="21"/>
          <w:highlight w:val="none"/>
        </w:rPr>
        <w:t>的评审方法采用综合评分法。</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中要求</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提供新证书与提供在有效期内的旧证书给予同等认可。</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w:t>
      </w:r>
      <w:r>
        <w:rPr>
          <w:rFonts w:ascii="宋体" w:hAnsi="宋体" w:eastAsia="宋体"/>
          <w:color w:val="auto"/>
          <w:sz w:val="21"/>
          <w:szCs w:val="21"/>
          <w:highlight w:val="none"/>
        </w:rPr>
        <w:t>满足</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实质性要求前提下，按照</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规定的各项评价因素进行量化打分，以</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总得分最高的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作为</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候选人或</w:t>
      </w:r>
      <w:r>
        <w:rPr>
          <w:rFonts w:hint="eastAsia" w:ascii="宋体" w:hAnsi="宋体" w:eastAsia="宋体"/>
          <w:color w:val="auto"/>
          <w:sz w:val="21"/>
          <w:szCs w:val="21"/>
          <w:highlight w:val="none"/>
          <w:lang w:eastAsia="zh-CN"/>
        </w:rPr>
        <w:t>成交供应商</w:t>
      </w:r>
      <w:r>
        <w:rPr>
          <w:rFonts w:hint="eastAsia" w:ascii="宋体" w:hAnsi="宋体" w:eastAsia="宋体"/>
          <w:color w:val="auto"/>
          <w:sz w:val="21"/>
          <w:szCs w:val="21"/>
          <w:highlight w:val="none"/>
        </w:rPr>
        <w:t>。</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对</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的评审内容，分为商务评议、技术评议和价格评议。评审流程包括符合性检查、澄清问题、比较与评价、推荐</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候选人或确定</w:t>
      </w:r>
      <w:r>
        <w:rPr>
          <w:rFonts w:hint="eastAsia" w:ascii="宋体" w:hAnsi="宋体" w:eastAsia="宋体"/>
          <w:color w:val="auto"/>
          <w:sz w:val="21"/>
          <w:szCs w:val="21"/>
          <w:highlight w:val="none"/>
          <w:lang w:eastAsia="zh-CN"/>
        </w:rPr>
        <w:t>成交供应商</w:t>
      </w:r>
      <w:r>
        <w:rPr>
          <w:rFonts w:hint="eastAsia" w:ascii="宋体" w:hAnsi="宋体" w:eastAsia="宋体"/>
          <w:color w:val="auto"/>
          <w:sz w:val="21"/>
          <w:szCs w:val="21"/>
          <w:highlight w:val="none"/>
        </w:rPr>
        <w:t>、编写</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报告等步骤。</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在</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期间，</w:t>
      </w: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可要求</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对其</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进行澄清，但不得寻求、提供或允许对</w:t>
      </w:r>
      <w:r>
        <w:rPr>
          <w:rFonts w:hint="eastAsia" w:ascii="宋体" w:hAnsi="宋体" w:eastAsia="宋体"/>
          <w:color w:val="auto"/>
          <w:sz w:val="21"/>
          <w:szCs w:val="21"/>
          <w:highlight w:val="none"/>
          <w:lang w:val="en-US" w:eastAsia="zh-CN"/>
        </w:rPr>
        <w:t>响应报价</w:t>
      </w:r>
      <w:r>
        <w:rPr>
          <w:rFonts w:hint="eastAsia" w:ascii="宋体" w:hAnsi="宋体" w:eastAsia="宋体"/>
          <w:color w:val="auto"/>
          <w:sz w:val="21"/>
          <w:szCs w:val="21"/>
          <w:highlight w:val="none"/>
        </w:rPr>
        <w:t>等实质性内容做任何更改。有关澄清的要求和答复均应以纸质版形式提交，如</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拒绝</w:t>
      </w: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要求对其</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进行澄清的要求，所造成的后果由</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自行承担。</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color w:val="auto"/>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86" w:name="_Toc12840"/>
      <w:bookmarkStart w:id="87" w:name="_Toc20823"/>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.评审原则及</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过程的保密</w:t>
      </w:r>
      <w:bookmarkEnd w:id="86"/>
      <w:bookmarkEnd w:id="87"/>
    </w:p>
    <w:p>
      <w:pPr>
        <w:pStyle w:val="23"/>
        <w:pageBreakBefore w:val="0"/>
        <w:widowControl w:val="0"/>
        <w:numPr>
          <w:ilvl w:val="0"/>
          <w:numId w:val="2"/>
        </w:numPr>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w:t>
      </w: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将依据国家和地方政府有关法规的规定，遵循“</w:t>
      </w:r>
      <w:r>
        <w:rPr>
          <w:rFonts w:hint="eastAsia" w:ascii="宋体" w:hAnsi="宋体" w:eastAsia="宋体"/>
          <w:color w:val="auto"/>
          <w:sz w:val="21"/>
          <w:szCs w:val="21"/>
          <w:highlight w:val="none"/>
          <w:lang w:eastAsia="zh-CN"/>
        </w:rPr>
        <w:t>客观、公正、审慎</w:t>
      </w:r>
      <w:r>
        <w:rPr>
          <w:rFonts w:hint="eastAsia" w:ascii="宋体" w:hAnsi="宋体" w:eastAsia="宋体"/>
          <w:color w:val="auto"/>
          <w:sz w:val="21"/>
          <w:szCs w:val="21"/>
          <w:highlight w:val="none"/>
        </w:rPr>
        <w:t>”的原则进行评审工作。</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从</w:t>
      </w:r>
      <w:r>
        <w:rPr>
          <w:rFonts w:hint="eastAsia" w:ascii="宋体" w:hAnsi="宋体" w:eastAsia="宋体"/>
          <w:color w:val="auto"/>
          <w:sz w:val="21"/>
          <w:szCs w:val="21"/>
          <w:highlight w:val="none"/>
          <w:lang w:eastAsia="zh-CN"/>
        </w:rPr>
        <w:t>递交响应文件截止</w:t>
      </w:r>
      <w:r>
        <w:rPr>
          <w:rFonts w:hint="eastAsia" w:ascii="宋体" w:hAnsi="宋体" w:eastAsia="宋体"/>
          <w:color w:val="auto"/>
          <w:sz w:val="21"/>
          <w:szCs w:val="21"/>
          <w:highlight w:val="none"/>
        </w:rPr>
        <w:t>到签订合同，凡与审查、澄清、评审和</w:t>
      </w:r>
      <w:r>
        <w:rPr>
          <w:rFonts w:hint="eastAsia" w:ascii="宋体" w:hAnsi="宋体" w:eastAsia="宋体"/>
          <w:color w:val="auto"/>
          <w:sz w:val="21"/>
          <w:szCs w:val="21"/>
          <w:highlight w:val="none"/>
          <w:lang w:val="en-US" w:eastAsia="zh-CN"/>
        </w:rPr>
        <w:t>供应商响应文件</w:t>
      </w:r>
      <w:r>
        <w:rPr>
          <w:rFonts w:hint="eastAsia" w:ascii="宋体" w:hAnsi="宋体" w:eastAsia="宋体"/>
          <w:color w:val="auto"/>
          <w:sz w:val="21"/>
          <w:szCs w:val="21"/>
          <w:highlight w:val="none"/>
        </w:rPr>
        <w:t>有关的资料以及定标意见相关的事项，均不得向</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及与</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无关的其他人透露。</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的过程和结果。</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color w:val="auto"/>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88" w:name="_Toc30286"/>
      <w:bookmarkStart w:id="89" w:name="_Toc7072"/>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的初审</w:t>
      </w:r>
      <w:bookmarkEnd w:id="88"/>
      <w:bookmarkEnd w:id="89"/>
    </w:p>
    <w:p>
      <w:pPr>
        <w:pStyle w:val="23"/>
        <w:pageBreakBefore w:val="0"/>
        <w:widowControl w:val="0"/>
        <w:numPr>
          <w:ilvl w:val="0"/>
          <w:numId w:val="2"/>
        </w:numPr>
        <w:tabs>
          <w:tab w:val="left" w:pos="907"/>
        </w:tabs>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b/>
          <w:color w:val="auto"/>
          <w:sz w:val="21"/>
          <w:szCs w:val="21"/>
          <w:highlight w:val="none"/>
        </w:rPr>
      </w:pPr>
      <w:r>
        <w:rPr>
          <w:rFonts w:hint="eastAsia" w:ascii="宋体" w:hAnsi="宋体" w:eastAsia="宋体"/>
          <w:color w:val="auto"/>
          <w:sz w:val="21"/>
          <w:szCs w:val="21"/>
          <w:highlight w:val="none"/>
          <w:lang w:val="en-US" w:eastAsia="zh-CN"/>
        </w:rPr>
        <w:t>进入评审环节，评审小组</w:t>
      </w:r>
      <w:r>
        <w:rPr>
          <w:rFonts w:hint="eastAsia" w:ascii="宋体" w:hAnsi="宋体" w:eastAsia="宋体"/>
          <w:color w:val="auto"/>
          <w:sz w:val="21"/>
          <w:szCs w:val="21"/>
          <w:highlight w:val="none"/>
        </w:rPr>
        <w:t>将依法对</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的进行</w:t>
      </w:r>
      <w:r>
        <w:rPr>
          <w:rFonts w:hint="eastAsia" w:ascii="宋体" w:hAnsi="宋体" w:eastAsia="宋体"/>
          <w:color w:val="auto"/>
          <w:sz w:val="21"/>
          <w:szCs w:val="21"/>
          <w:highlight w:val="none"/>
          <w:lang w:val="en-US" w:eastAsia="zh-CN"/>
        </w:rPr>
        <w:t>资格性</w:t>
      </w:r>
      <w:r>
        <w:rPr>
          <w:rFonts w:hint="eastAsia" w:ascii="宋体" w:hAnsi="宋体" w:eastAsia="宋体"/>
          <w:color w:val="auto"/>
          <w:sz w:val="21"/>
          <w:szCs w:val="21"/>
          <w:highlight w:val="none"/>
        </w:rPr>
        <w:t>审查。</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存在不符合资格性检查所要求事项情况的，</w:t>
      </w:r>
      <w:r>
        <w:rPr>
          <w:rFonts w:hint="eastAsia" w:ascii="宋体" w:hAnsi="宋体" w:eastAsia="宋体"/>
          <w:color w:val="auto"/>
          <w:sz w:val="21"/>
          <w:szCs w:val="21"/>
          <w:highlight w:val="none"/>
          <w:lang w:val="en-US" w:eastAsia="zh-CN"/>
        </w:rPr>
        <w:t>其报价及响应文件作</w:t>
      </w:r>
      <w:r>
        <w:rPr>
          <w:rFonts w:hint="eastAsia" w:ascii="宋体" w:hAnsi="宋体" w:eastAsia="宋体"/>
          <w:color w:val="auto"/>
          <w:sz w:val="21"/>
          <w:szCs w:val="21"/>
          <w:highlight w:val="none"/>
        </w:rPr>
        <w:t>无效</w:t>
      </w:r>
      <w:r>
        <w:rPr>
          <w:rFonts w:hint="eastAsia" w:ascii="宋体" w:hAnsi="宋体" w:eastAsia="宋体"/>
          <w:color w:val="auto"/>
          <w:sz w:val="21"/>
          <w:szCs w:val="21"/>
          <w:highlight w:val="none"/>
          <w:lang w:val="en-US" w:eastAsia="zh-CN"/>
        </w:rPr>
        <w:t>处理</w:t>
      </w:r>
      <w:r>
        <w:rPr>
          <w:rFonts w:hint="eastAsia" w:ascii="宋体" w:hAnsi="宋体" w:eastAsia="宋体"/>
          <w:color w:val="auto"/>
          <w:sz w:val="21"/>
          <w:szCs w:val="21"/>
          <w:highlight w:val="none"/>
        </w:rPr>
        <w:t>。未通过资格</w:t>
      </w:r>
      <w:r>
        <w:rPr>
          <w:rFonts w:hint="eastAsia" w:ascii="宋体" w:hAnsi="宋体" w:eastAsia="宋体"/>
          <w:color w:val="auto"/>
          <w:sz w:val="21"/>
          <w:szCs w:val="21"/>
          <w:highlight w:val="none"/>
          <w:lang w:val="en-US" w:eastAsia="zh-CN"/>
        </w:rPr>
        <w:t>性</w:t>
      </w:r>
      <w:r>
        <w:rPr>
          <w:rFonts w:hint="eastAsia" w:ascii="宋体" w:hAnsi="宋体" w:eastAsia="宋体"/>
          <w:color w:val="auto"/>
          <w:sz w:val="21"/>
          <w:szCs w:val="21"/>
          <w:highlight w:val="none"/>
        </w:rPr>
        <w:t>审查的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不</w:t>
      </w:r>
      <w:r>
        <w:rPr>
          <w:rFonts w:hint="eastAsia" w:ascii="宋体" w:hAnsi="宋体" w:eastAsia="宋体"/>
          <w:color w:val="auto"/>
          <w:sz w:val="21"/>
          <w:szCs w:val="21"/>
          <w:highlight w:val="none"/>
          <w:lang w:val="en-US" w:eastAsia="zh-CN"/>
        </w:rPr>
        <w:t>进行</w:t>
      </w:r>
      <w:r>
        <w:rPr>
          <w:rFonts w:hint="eastAsia" w:ascii="宋体" w:hAnsi="宋体" w:eastAsia="宋体"/>
          <w:color w:val="auto"/>
          <w:sz w:val="21"/>
          <w:szCs w:val="21"/>
          <w:highlight w:val="none"/>
          <w:lang w:eastAsia="zh-CN"/>
        </w:rPr>
        <w:t>符合性审查，</w:t>
      </w:r>
      <w:r>
        <w:rPr>
          <w:rFonts w:hint="eastAsia" w:ascii="宋体" w:hAnsi="宋体" w:eastAsia="宋体"/>
          <w:b/>
          <w:color w:val="auto"/>
          <w:sz w:val="21"/>
          <w:szCs w:val="21"/>
          <w:highlight w:val="none"/>
        </w:rPr>
        <w:t>资格性检查</w:t>
      </w:r>
      <w:r>
        <w:rPr>
          <w:rFonts w:hint="eastAsia" w:ascii="宋体" w:hAnsi="宋体" w:eastAsia="宋体"/>
          <w:b/>
          <w:color w:val="auto"/>
          <w:sz w:val="21"/>
          <w:szCs w:val="21"/>
          <w:highlight w:val="none"/>
          <w:lang w:eastAsia="zh-CN"/>
        </w:rPr>
        <w:t>中发现下列情形之一的，其</w:t>
      </w:r>
      <w:r>
        <w:rPr>
          <w:rFonts w:hint="eastAsia" w:ascii="宋体" w:hAnsi="宋体" w:eastAsia="宋体"/>
          <w:b/>
          <w:color w:val="auto"/>
          <w:sz w:val="21"/>
          <w:szCs w:val="21"/>
          <w:highlight w:val="none"/>
          <w:lang w:val="en-US" w:eastAsia="zh-CN"/>
        </w:rPr>
        <w:t>报价及响应文件</w:t>
      </w:r>
      <w:r>
        <w:rPr>
          <w:rFonts w:hint="eastAsia" w:ascii="宋体" w:hAnsi="宋体" w:eastAsia="宋体"/>
          <w:b/>
          <w:color w:val="auto"/>
          <w:sz w:val="21"/>
          <w:szCs w:val="21"/>
          <w:highlight w:val="none"/>
          <w:lang w:eastAsia="zh-CN"/>
        </w:rPr>
        <w:t>作</w:t>
      </w:r>
      <w:r>
        <w:rPr>
          <w:rFonts w:hint="eastAsia" w:ascii="宋体" w:hAnsi="宋体" w:eastAsia="宋体"/>
          <w:b/>
          <w:color w:val="auto"/>
          <w:sz w:val="21"/>
          <w:szCs w:val="21"/>
          <w:highlight w:val="none"/>
          <w:lang w:val="en-US" w:eastAsia="zh-CN"/>
        </w:rPr>
        <w:t>无效</w:t>
      </w:r>
      <w:r>
        <w:rPr>
          <w:rFonts w:hint="eastAsia" w:ascii="宋体" w:hAnsi="宋体" w:eastAsia="宋体"/>
          <w:b/>
          <w:color w:val="auto"/>
          <w:sz w:val="21"/>
          <w:szCs w:val="21"/>
          <w:highlight w:val="none"/>
          <w:lang w:eastAsia="zh-CN"/>
        </w:rPr>
        <w:t>处理：</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包括但不限于：①资格证明文件未提供或不符合</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要求的；②资格证明文件有效期过期的；③《营业执照》复印件（加盖公章）或《事业单位法人证书》复印件（加盖公章）或其他主体证书复印件（加盖公章）未提供或有效期过期的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sz w:val="21"/>
          <w:szCs w:val="21"/>
          <w:highlight w:val="none"/>
          <w:lang w:eastAsia="zh-CN"/>
        </w:rPr>
        <w:t>；④提供的资质材料模糊不清导致无法辨认的。⑤供应商名称与响应文件公章不一致的。</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将对</w:t>
      </w:r>
      <w:r>
        <w:rPr>
          <w:rFonts w:hint="eastAsia" w:ascii="宋体" w:hAnsi="宋体" w:eastAsia="宋体"/>
          <w:color w:val="auto"/>
          <w:sz w:val="21"/>
          <w:szCs w:val="21"/>
          <w:highlight w:val="none"/>
          <w:lang w:val="en-US" w:eastAsia="zh-CN"/>
        </w:rPr>
        <w:t>通过资格性审查</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进行符合性审查，</w:t>
      </w:r>
      <w:r>
        <w:rPr>
          <w:rFonts w:hint="eastAsia" w:ascii="宋体" w:hAnsi="宋体" w:eastAsia="宋体"/>
          <w:color w:val="auto"/>
          <w:sz w:val="21"/>
          <w:szCs w:val="21"/>
          <w:highlight w:val="none"/>
          <w:lang w:eastAsia="zh-CN"/>
        </w:rPr>
        <w:t>以确定是否对遴选文件的实质性要求作出响应，包括审查响应文件是否完整，有否计算错误，文件签署是否合格等</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符合性审查过程</w:t>
      </w:r>
      <w:r>
        <w:rPr>
          <w:rFonts w:hint="eastAsia" w:ascii="宋体" w:hAnsi="宋体" w:eastAsia="宋体"/>
          <w:color w:val="auto"/>
          <w:sz w:val="21"/>
          <w:szCs w:val="21"/>
          <w:highlight w:val="none"/>
        </w:rPr>
        <w:t>中，</w:t>
      </w:r>
      <w:r>
        <w:rPr>
          <w:rFonts w:hint="eastAsia" w:ascii="宋体" w:hAnsi="宋体" w:eastAsia="宋体"/>
          <w:b/>
          <w:color w:val="auto"/>
          <w:sz w:val="21"/>
          <w:szCs w:val="21"/>
          <w:highlight w:val="none"/>
        </w:rPr>
        <w:t>发现下列情况之一的，其</w:t>
      </w:r>
      <w:r>
        <w:rPr>
          <w:rFonts w:hint="eastAsia" w:ascii="宋体" w:hAnsi="宋体" w:eastAsia="宋体"/>
          <w:b/>
          <w:color w:val="auto"/>
          <w:sz w:val="21"/>
          <w:szCs w:val="21"/>
          <w:highlight w:val="none"/>
          <w:lang w:val="en-US" w:eastAsia="zh-CN"/>
        </w:rPr>
        <w:t>报价及响应文件</w:t>
      </w:r>
      <w:r>
        <w:rPr>
          <w:rFonts w:hint="eastAsia" w:ascii="宋体" w:hAnsi="宋体" w:eastAsia="宋体"/>
          <w:b/>
          <w:color w:val="auto"/>
          <w:sz w:val="21"/>
          <w:szCs w:val="21"/>
          <w:highlight w:val="none"/>
        </w:rPr>
        <w:t>将作</w:t>
      </w:r>
      <w:r>
        <w:rPr>
          <w:rFonts w:hint="eastAsia" w:ascii="宋体" w:hAnsi="宋体" w:eastAsia="宋体"/>
          <w:b/>
          <w:color w:val="auto"/>
          <w:sz w:val="21"/>
          <w:szCs w:val="21"/>
          <w:highlight w:val="none"/>
          <w:lang w:val="en-US" w:eastAsia="zh-CN"/>
        </w:rPr>
        <w:t>无效</w:t>
      </w:r>
      <w:r>
        <w:rPr>
          <w:rFonts w:hint="eastAsia" w:ascii="宋体" w:hAnsi="宋体" w:eastAsia="宋体"/>
          <w:b/>
          <w:color w:val="auto"/>
          <w:sz w:val="21"/>
          <w:szCs w:val="21"/>
          <w:highlight w:val="none"/>
        </w:rPr>
        <w:t>处理</w:t>
      </w:r>
      <w:r>
        <w:rPr>
          <w:rFonts w:hint="eastAsia" w:ascii="宋体" w:hAnsi="宋体" w:eastAsia="宋体"/>
          <w:color w:val="auto"/>
          <w:sz w:val="21"/>
          <w:szCs w:val="21"/>
          <w:highlight w:val="none"/>
        </w:rPr>
        <w:t>：</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b/>
          <w:color w:val="auto"/>
          <w:sz w:val="21"/>
          <w:szCs w:val="21"/>
          <w:highlight w:val="none"/>
        </w:rPr>
        <w:t xml:space="preserve">1) </w:t>
      </w:r>
      <w:r>
        <w:rPr>
          <w:rFonts w:hint="eastAsia" w:ascii="宋体" w:hAnsi="宋体" w:eastAsia="宋体"/>
          <w:b/>
          <w:color w:val="auto"/>
          <w:sz w:val="21"/>
          <w:szCs w:val="21"/>
          <w:highlight w:val="none"/>
          <w:lang w:eastAsia="zh-CN"/>
        </w:rPr>
        <w:t>响应文件</w:t>
      </w:r>
      <w:r>
        <w:rPr>
          <w:rFonts w:hint="eastAsia" w:ascii="宋体" w:hAnsi="宋体" w:eastAsia="宋体"/>
          <w:b/>
          <w:color w:val="auto"/>
          <w:sz w:val="21"/>
          <w:szCs w:val="21"/>
          <w:highlight w:val="none"/>
        </w:rPr>
        <w:t>的有效性、完整性瑕疵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的数量、制作不符合要求</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内容与采购内容不符的</w:t>
      </w:r>
      <w:r>
        <w:rPr>
          <w:rFonts w:hint="eastAsia" w:ascii="宋体" w:hAnsi="宋体" w:eastAsia="宋体"/>
          <w:color w:val="auto"/>
          <w:sz w:val="21"/>
          <w:szCs w:val="21"/>
          <w:highlight w:val="none"/>
          <w:lang w:eastAsia="zh-CN"/>
        </w:rPr>
        <w:t>（包括但不限于响应文件</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lang w:eastAsia="zh-CN"/>
        </w:rPr>
        <w:t>项目编号</w:t>
      </w:r>
      <w:r>
        <w:rPr>
          <w:rFonts w:hint="eastAsia" w:ascii="宋体" w:hAnsi="宋体" w:eastAsia="宋体"/>
          <w:color w:val="auto"/>
          <w:sz w:val="21"/>
          <w:szCs w:val="21"/>
          <w:highlight w:val="none"/>
        </w:rPr>
        <w:t>错误，</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项目名称错误导致无法</w:t>
      </w:r>
      <w:r>
        <w:rPr>
          <w:rFonts w:hint="eastAsia" w:ascii="宋体" w:hAnsi="宋体" w:eastAsia="宋体"/>
          <w:color w:val="auto"/>
          <w:sz w:val="21"/>
          <w:szCs w:val="21"/>
          <w:highlight w:val="none"/>
          <w:lang w:val="en-US" w:eastAsia="zh-CN"/>
        </w:rPr>
        <w:t>分辨</w:t>
      </w:r>
      <w:r>
        <w:rPr>
          <w:rFonts w:hint="eastAsia" w:ascii="宋体" w:hAnsi="宋体" w:eastAsia="宋体"/>
          <w:color w:val="auto"/>
          <w:sz w:val="21"/>
          <w:szCs w:val="21"/>
          <w:highlight w:val="none"/>
        </w:rPr>
        <w:t>所投项目为本项目</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响应文件数量少于遴选文件要求的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；②</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要求的；④</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内容有严重缺漏项的；</w:t>
      </w:r>
      <w:r>
        <w:rPr>
          <w:rFonts w:hint="eastAsia" w:ascii="宋体" w:hAnsi="宋体" w:eastAsia="宋体"/>
          <w:color w:val="auto"/>
          <w:sz w:val="21"/>
          <w:szCs w:val="21"/>
          <w:highlight w:val="none"/>
          <w:lang w:eastAsia="zh-CN"/>
        </w:rPr>
        <w:t>⑤响应文件</w:t>
      </w:r>
      <w:r>
        <w:rPr>
          <w:rFonts w:hint="eastAsia" w:ascii="宋体" w:hAnsi="宋体" w:eastAsia="宋体"/>
          <w:color w:val="auto"/>
          <w:sz w:val="21"/>
          <w:szCs w:val="21"/>
          <w:highlight w:val="none"/>
        </w:rPr>
        <w:t>的关键内容字迹模糊、无法辨认的；</w:t>
      </w:r>
      <w:r>
        <w:rPr>
          <w:rFonts w:hint="eastAsia" w:ascii="宋体" w:hAnsi="宋体" w:eastAsia="宋体"/>
          <w:color w:val="auto"/>
          <w:sz w:val="21"/>
          <w:szCs w:val="21"/>
          <w:highlight w:val="none"/>
          <w:lang w:eastAsia="zh-CN"/>
        </w:rPr>
        <w:t>⑥响应文件（报价）有效期不符合文件要求的。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sz w:val="21"/>
          <w:szCs w:val="21"/>
          <w:highlight w:val="none"/>
        </w:rPr>
      </w:pPr>
      <w:r>
        <w:rPr>
          <w:rFonts w:hint="eastAsia" w:ascii="宋体" w:hAnsi="宋体" w:eastAsia="宋体"/>
          <w:b w:val="0"/>
          <w:bCs/>
          <w:color w:val="auto"/>
          <w:sz w:val="21"/>
          <w:szCs w:val="21"/>
          <w:highlight w:val="none"/>
        </w:rPr>
        <w:t>包括但不限于：①响应文件不满足采购文件中加注星号（★）的主要参数要求或加注星号的主要参数无技术资料支持的；②一般参数超出允许偏离的最大范围或最高项数的；③响应文件技术响应与事实不符或虚假应标的；④《</w:t>
      </w:r>
      <w:r>
        <w:rPr>
          <w:rFonts w:hint="eastAsia" w:ascii="宋体" w:hAnsi="宋体" w:eastAsia="宋体"/>
          <w:b w:val="0"/>
          <w:bCs/>
          <w:color w:val="auto"/>
          <w:sz w:val="21"/>
          <w:szCs w:val="21"/>
          <w:highlight w:val="none"/>
          <w:lang w:eastAsia="zh-CN"/>
        </w:rPr>
        <w:t>技术条款</w:t>
      </w:r>
      <w:r>
        <w:rPr>
          <w:rFonts w:hint="eastAsia" w:ascii="宋体" w:hAnsi="宋体" w:eastAsia="宋体"/>
          <w:b w:val="0"/>
          <w:bCs/>
          <w:color w:val="auto"/>
          <w:sz w:val="21"/>
          <w:szCs w:val="21"/>
          <w:highlight w:val="none"/>
        </w:rPr>
        <w:t>偏离表》未提供的；⑤将一个包中的内容拆开响应的；⑥供应商对同一货物或服务报价时，方案不唯一；⑦明显不符合技术规格、技术标准要求的；⑧其他未实质性响应采购文件技术要求的。</w:t>
      </w:r>
      <w:r>
        <w:rPr>
          <w:rFonts w:hint="eastAsia" w:ascii="宋体" w:hAnsi="宋体" w:eastAsia="宋体"/>
          <w:b/>
          <w:color w:val="auto"/>
          <w:sz w:val="21"/>
          <w:szCs w:val="21"/>
          <w:highlight w:val="none"/>
        </w:rPr>
        <w:t>3) 商务响应瑕疵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包括但不限于：①</w:t>
      </w:r>
      <w:r>
        <w:rPr>
          <w:rFonts w:hint="eastAsia" w:ascii="宋体" w:hAnsi="宋体" w:eastAsia="宋体"/>
          <w:b w:val="0"/>
          <w:bCs/>
          <w:color w:val="auto"/>
          <w:sz w:val="21"/>
          <w:szCs w:val="21"/>
          <w:highlight w:val="none"/>
          <w:lang w:eastAsia="zh-CN"/>
        </w:rPr>
        <w:t>采购</w:t>
      </w:r>
      <w:r>
        <w:rPr>
          <w:rFonts w:hint="eastAsia" w:ascii="宋体" w:hAnsi="宋体" w:eastAsia="宋体"/>
          <w:b w:val="0"/>
          <w:bCs/>
          <w:color w:val="auto"/>
          <w:sz w:val="21"/>
          <w:szCs w:val="21"/>
          <w:highlight w:val="none"/>
        </w:rPr>
        <w:t>文件加注星号（★）的商务要求负偏离的；②完成期（包括但不限于：工期，服务期，交货期等）未满足</w:t>
      </w:r>
      <w:r>
        <w:rPr>
          <w:rFonts w:hint="eastAsia" w:ascii="宋体" w:hAnsi="宋体" w:eastAsia="宋体"/>
          <w:b w:val="0"/>
          <w:bCs/>
          <w:color w:val="auto"/>
          <w:sz w:val="21"/>
          <w:szCs w:val="21"/>
          <w:highlight w:val="none"/>
          <w:lang w:eastAsia="zh-CN"/>
        </w:rPr>
        <w:t>采购</w:t>
      </w:r>
      <w:r>
        <w:rPr>
          <w:rFonts w:hint="eastAsia" w:ascii="宋体" w:hAnsi="宋体" w:eastAsia="宋体"/>
          <w:b w:val="0"/>
          <w:bCs/>
          <w:color w:val="auto"/>
          <w:sz w:val="21"/>
          <w:szCs w:val="21"/>
          <w:highlight w:val="none"/>
        </w:rPr>
        <w:t>文件要求的；③</w:t>
      </w:r>
      <w:r>
        <w:rPr>
          <w:rFonts w:hint="eastAsia" w:ascii="宋体" w:hAnsi="宋体" w:eastAsia="宋体"/>
          <w:b w:val="0"/>
          <w:bCs/>
          <w:color w:val="auto"/>
          <w:sz w:val="21"/>
          <w:szCs w:val="21"/>
          <w:highlight w:val="none"/>
          <w:lang w:eastAsia="zh-CN"/>
        </w:rPr>
        <w:t>响应</w:t>
      </w:r>
      <w:r>
        <w:rPr>
          <w:rFonts w:hint="eastAsia" w:ascii="宋体" w:hAnsi="宋体" w:eastAsia="宋体"/>
          <w:b w:val="0"/>
          <w:bCs/>
          <w:color w:val="auto"/>
          <w:sz w:val="21"/>
          <w:szCs w:val="21"/>
          <w:highlight w:val="none"/>
        </w:rPr>
        <w:t>文件载明的货物包装方式、检验标准和方法不符合</w:t>
      </w:r>
      <w:r>
        <w:rPr>
          <w:rFonts w:hint="eastAsia" w:ascii="宋体" w:hAnsi="宋体" w:eastAsia="宋体"/>
          <w:b w:val="0"/>
          <w:bCs/>
          <w:color w:val="auto"/>
          <w:sz w:val="21"/>
          <w:szCs w:val="21"/>
          <w:highlight w:val="none"/>
          <w:lang w:eastAsia="zh-CN"/>
        </w:rPr>
        <w:t>采购</w:t>
      </w:r>
      <w:r>
        <w:rPr>
          <w:rFonts w:hint="eastAsia" w:ascii="宋体" w:hAnsi="宋体" w:eastAsia="宋体"/>
          <w:b w:val="0"/>
          <w:bCs/>
          <w:color w:val="auto"/>
          <w:sz w:val="21"/>
          <w:szCs w:val="21"/>
          <w:highlight w:val="none"/>
        </w:rPr>
        <w:t>文件要求</w:t>
      </w:r>
      <w:r>
        <w:rPr>
          <w:rFonts w:hint="eastAsia" w:ascii="宋体" w:hAnsi="宋体" w:eastAsia="宋体"/>
          <w:b w:val="0"/>
          <w:bCs/>
          <w:color w:val="auto"/>
          <w:sz w:val="21"/>
          <w:szCs w:val="21"/>
          <w:highlight w:val="none"/>
          <w:lang w:eastAsia="zh-CN"/>
        </w:rPr>
        <w:t>，采购人无法接受的</w:t>
      </w:r>
      <w:r>
        <w:rPr>
          <w:rFonts w:hint="eastAsia" w:ascii="宋体" w:hAnsi="宋体" w:eastAsia="宋体"/>
          <w:b w:val="0"/>
          <w:bCs/>
          <w:color w:val="auto"/>
          <w:sz w:val="21"/>
          <w:szCs w:val="21"/>
          <w:highlight w:val="none"/>
        </w:rPr>
        <w:t>；④《商务条款偏离表》未提供的；</w:t>
      </w:r>
      <w:r>
        <w:rPr>
          <w:rFonts w:hint="eastAsia" w:ascii="宋体" w:hAnsi="宋体" w:eastAsia="宋体"/>
          <w:b w:val="0"/>
          <w:bCs/>
          <w:color w:val="auto"/>
          <w:sz w:val="21"/>
          <w:szCs w:val="21"/>
          <w:highlight w:val="none"/>
          <w:lang w:eastAsia="zh-CN"/>
        </w:rPr>
        <w:t>⑤采购</w:t>
      </w:r>
      <w:r>
        <w:rPr>
          <w:rFonts w:hint="eastAsia" w:ascii="宋体" w:hAnsi="宋体" w:eastAsia="宋体"/>
          <w:b w:val="0"/>
          <w:bCs/>
          <w:color w:val="auto"/>
          <w:sz w:val="21"/>
          <w:szCs w:val="21"/>
          <w:highlight w:val="none"/>
        </w:rPr>
        <w:t>文件附有采购人不能接受的条件的；</w:t>
      </w:r>
      <w:r>
        <w:rPr>
          <w:rFonts w:hint="eastAsia" w:ascii="宋体" w:hAnsi="宋体" w:eastAsia="宋体"/>
          <w:b w:val="0"/>
          <w:bCs/>
          <w:color w:val="auto"/>
          <w:sz w:val="21"/>
          <w:szCs w:val="21"/>
          <w:highlight w:val="none"/>
          <w:lang w:eastAsia="zh-CN"/>
        </w:rPr>
        <w:t>⑥</w:t>
      </w:r>
      <w:r>
        <w:rPr>
          <w:rFonts w:hint="eastAsia" w:ascii="宋体" w:hAnsi="宋体" w:eastAsia="宋体"/>
          <w:b w:val="0"/>
          <w:bCs/>
          <w:color w:val="auto"/>
          <w:sz w:val="21"/>
          <w:szCs w:val="21"/>
          <w:highlight w:val="none"/>
        </w:rPr>
        <w:t>其他未实质性响应</w:t>
      </w:r>
      <w:r>
        <w:rPr>
          <w:rFonts w:hint="eastAsia" w:ascii="宋体" w:hAnsi="宋体" w:eastAsia="宋体"/>
          <w:b w:val="0"/>
          <w:bCs/>
          <w:color w:val="auto"/>
          <w:sz w:val="21"/>
          <w:szCs w:val="21"/>
          <w:highlight w:val="none"/>
          <w:lang w:val="en-US" w:eastAsia="zh-CN"/>
        </w:rPr>
        <w:t>遴选文件</w:t>
      </w:r>
      <w:r>
        <w:rPr>
          <w:rFonts w:hint="eastAsia" w:ascii="宋体" w:hAnsi="宋体" w:eastAsia="宋体"/>
          <w:b w:val="0"/>
          <w:bCs/>
          <w:color w:val="auto"/>
          <w:sz w:val="21"/>
          <w:szCs w:val="21"/>
          <w:highlight w:val="none"/>
        </w:rPr>
        <w:t>商务要求的。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4）报价瑕疵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包括但不限于：①报价超过本采购文件明确的项目预算或文件明确的最高限价；②未按采购文件要求进行报价的；③报价内容或报价格式不符合采购文件要求的；④报价有严重缺漏项的。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包括但不限于：①以他人的名义</w:t>
      </w:r>
      <w:r>
        <w:rPr>
          <w:rFonts w:hint="eastAsia" w:ascii="宋体" w:hAnsi="宋体" w:eastAsia="宋体"/>
          <w:b w:val="0"/>
          <w:bCs/>
          <w:color w:val="auto"/>
          <w:sz w:val="21"/>
          <w:szCs w:val="21"/>
          <w:highlight w:val="none"/>
          <w:lang w:val="en-US" w:eastAsia="zh-CN"/>
        </w:rPr>
        <w:t>报价</w:t>
      </w:r>
      <w:r>
        <w:rPr>
          <w:rFonts w:hint="eastAsia" w:ascii="宋体" w:hAnsi="宋体" w:eastAsia="宋体"/>
          <w:b w:val="0"/>
          <w:bCs/>
          <w:color w:val="auto"/>
          <w:sz w:val="21"/>
          <w:szCs w:val="21"/>
          <w:highlight w:val="none"/>
          <w:lang w:eastAsia="zh-CN"/>
        </w:rPr>
        <w:t>、串通响应、以行贿手段谋取成交或者以其他弄虚作假方式</w:t>
      </w:r>
      <w:r>
        <w:rPr>
          <w:rFonts w:hint="eastAsia" w:ascii="宋体" w:hAnsi="宋体" w:eastAsia="宋体"/>
          <w:b w:val="0"/>
          <w:bCs/>
          <w:color w:val="auto"/>
          <w:sz w:val="21"/>
          <w:szCs w:val="21"/>
          <w:highlight w:val="none"/>
          <w:lang w:val="en-US" w:eastAsia="zh-CN"/>
        </w:rPr>
        <w:t>响应遴选</w:t>
      </w:r>
      <w:r>
        <w:rPr>
          <w:rFonts w:hint="eastAsia" w:ascii="宋体" w:hAnsi="宋体" w:eastAsia="宋体"/>
          <w:b w:val="0"/>
          <w:bCs/>
          <w:color w:val="auto"/>
          <w:sz w:val="21"/>
          <w:szCs w:val="21"/>
          <w:highlight w:val="none"/>
          <w:lang w:eastAsia="zh-CN"/>
        </w:rPr>
        <w:t>的；②扰乱</w:t>
      </w:r>
      <w:r>
        <w:rPr>
          <w:rFonts w:hint="eastAsia" w:ascii="宋体" w:hAnsi="宋体" w:eastAsia="宋体"/>
          <w:b w:val="0"/>
          <w:bCs/>
          <w:color w:val="auto"/>
          <w:sz w:val="21"/>
          <w:szCs w:val="21"/>
          <w:highlight w:val="none"/>
          <w:lang w:val="en-US" w:eastAsia="zh-CN"/>
        </w:rPr>
        <w:t>遴选评审</w:t>
      </w:r>
      <w:r>
        <w:rPr>
          <w:rFonts w:hint="eastAsia" w:ascii="宋体" w:hAnsi="宋体" w:eastAsia="宋体"/>
          <w:b w:val="0"/>
          <w:bCs/>
          <w:color w:val="auto"/>
          <w:sz w:val="21"/>
          <w:szCs w:val="21"/>
          <w:highlight w:val="none"/>
          <w:lang w:eastAsia="zh-CN"/>
        </w:rPr>
        <w:t>秩序，干扰采购工作正常进行的。③存在经评审小组认定的其他违规违法行为。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w:t>
      </w:r>
      <w:r>
        <w:rPr>
          <w:rFonts w:hint="eastAsia" w:ascii="宋体" w:hAnsi="宋体" w:eastAsia="宋体"/>
          <w:b/>
          <w:color w:val="auto"/>
          <w:sz w:val="21"/>
          <w:szCs w:val="21"/>
          <w:highlight w:val="none"/>
          <w:lang w:eastAsia="zh-CN"/>
        </w:rPr>
        <w:t>遴选文件</w:t>
      </w:r>
      <w:r>
        <w:rPr>
          <w:rFonts w:hint="eastAsia" w:ascii="宋体" w:hAnsi="宋体" w:eastAsia="宋体"/>
          <w:b/>
          <w:color w:val="auto"/>
          <w:sz w:val="21"/>
          <w:szCs w:val="21"/>
          <w:highlight w:val="none"/>
        </w:rPr>
        <w:t>中规定的其它情形。</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根据项目情况，</w:t>
      </w: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有权决定</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中“可能导致废标”或“可能导致其</w:t>
      </w:r>
      <w:r>
        <w:rPr>
          <w:rFonts w:hint="eastAsia" w:ascii="宋体" w:hAnsi="宋体" w:eastAsia="宋体"/>
          <w:color w:val="auto"/>
          <w:sz w:val="21"/>
          <w:szCs w:val="21"/>
          <w:highlight w:val="none"/>
          <w:lang w:val="en-US" w:eastAsia="zh-CN"/>
        </w:rPr>
        <w:t>响应文件</w:t>
      </w:r>
      <w:r>
        <w:rPr>
          <w:rFonts w:hint="eastAsia" w:ascii="宋体" w:hAnsi="宋体" w:eastAsia="宋体"/>
          <w:color w:val="auto"/>
          <w:sz w:val="21"/>
          <w:szCs w:val="21"/>
          <w:highlight w:val="none"/>
        </w:rPr>
        <w:t>被拒绝”等具体条款是否实施“废标”或“</w:t>
      </w:r>
      <w:r>
        <w:rPr>
          <w:rFonts w:hint="eastAsia" w:ascii="宋体" w:hAnsi="宋体" w:eastAsia="宋体"/>
          <w:color w:val="auto"/>
          <w:sz w:val="21"/>
          <w:szCs w:val="21"/>
          <w:highlight w:val="none"/>
          <w:lang w:val="en-US" w:eastAsia="zh-CN"/>
        </w:rPr>
        <w:t>响应文件</w:t>
      </w:r>
      <w:r>
        <w:rPr>
          <w:rFonts w:hint="eastAsia" w:ascii="宋体" w:hAnsi="宋体" w:eastAsia="宋体"/>
          <w:color w:val="auto"/>
          <w:sz w:val="21"/>
          <w:szCs w:val="21"/>
          <w:highlight w:val="none"/>
        </w:rPr>
        <w:t>被拒绝”，但对同一条款的裁决应适用于每个</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对于</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文件中不构成实质性偏差的不正规、不一致或不规则，</w:t>
      </w: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可以接受，但这种接受不能损害或影响任何</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的相对排序。</w:t>
      </w:r>
    </w:p>
    <w:p>
      <w:pPr>
        <w:pageBreakBefore w:val="0"/>
        <w:widowControl w:val="0"/>
        <w:numPr>
          <w:ilvl w:val="1"/>
          <w:numId w:val="2"/>
        </w:numPr>
        <w:kinsoku/>
        <w:wordWrap/>
        <w:topLinePunct w:val="0"/>
        <w:autoSpaceDE/>
        <w:autoSpaceDN/>
        <w:bidi w:val="0"/>
        <w:adjustRightInd/>
        <w:snapToGrid/>
        <w:spacing w:after="0" w:line="400" w:lineRule="exact"/>
        <w:jc w:val="both"/>
        <w:textAlignment w:val="auto"/>
        <w:rPr>
          <w:color w:val="auto"/>
          <w:highlight w:val="none"/>
        </w:rPr>
      </w:pPr>
      <w:r>
        <w:rPr>
          <w:rFonts w:hint="eastAsia" w:ascii="宋体" w:hAnsi="宋体" w:eastAsia="宋体"/>
          <w:color w:val="auto"/>
          <w:sz w:val="21"/>
          <w:szCs w:val="21"/>
          <w:highlight w:val="none"/>
        </w:rPr>
        <w:t>在详细</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之前，</w:t>
      </w: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要审查每份</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是否实质上响应了遴选文件的要求。实质上响应应该是与遴选文件要求的全部主要条款（加“★”号）、条件和规格相符，没有重大偏离的</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。对关键条文的偏离、保留或反对，例如关于合同条款的重大偏离将被认为是实质上的偏离。</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宋体" w:hAnsi="宋体" w:eastAsia="宋体"/>
          <w:color w:val="auto"/>
          <w:sz w:val="21"/>
          <w:szCs w:val="21"/>
          <w:highlight w:val="none"/>
          <w:lang w:eastAsia="zh-CN"/>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90" w:name="_Toc16157"/>
      <w:bookmarkStart w:id="91" w:name="_Toc6295"/>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.商务、技术、价格评审（具体评审项目详见</w:t>
      </w:r>
      <w:r>
        <w:rPr>
          <w:rFonts w:hint="eastAsia" w:ascii="宋体" w:hAnsi="宋体" w:eastAsia="宋体"/>
          <w:color w:val="auto"/>
          <w:sz w:val="21"/>
          <w:szCs w:val="21"/>
          <w:highlight w:val="none"/>
          <w:lang w:val="en-US" w:eastAsia="zh-CN"/>
        </w:rPr>
        <w:t>遴选</w:t>
      </w:r>
      <w:r>
        <w:rPr>
          <w:rFonts w:hint="eastAsia" w:ascii="宋体" w:hAnsi="宋体" w:eastAsia="宋体"/>
          <w:color w:val="auto"/>
          <w:sz w:val="21"/>
          <w:szCs w:val="21"/>
          <w:highlight w:val="none"/>
        </w:rPr>
        <w:t>资料表）</w:t>
      </w:r>
      <w:bookmarkEnd w:id="90"/>
      <w:bookmarkEnd w:id="91"/>
    </w:p>
    <w:p>
      <w:pPr>
        <w:pStyle w:val="23"/>
        <w:pageBreakBefore w:val="0"/>
        <w:widowControl w:val="0"/>
        <w:numPr>
          <w:ilvl w:val="0"/>
          <w:numId w:val="2"/>
        </w:numPr>
        <w:tabs>
          <w:tab w:val="left" w:pos="907"/>
        </w:tabs>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ascii="宋体" w:hAnsi="宋体" w:eastAsia="宋体"/>
          <w:color w:val="auto"/>
          <w:sz w:val="21"/>
          <w:szCs w:val="21"/>
          <w:highlight w:val="none"/>
        </w:rPr>
        <w:t>对通过符合性检查的</w:t>
      </w:r>
      <w:r>
        <w:rPr>
          <w:rFonts w:hint="eastAsia" w:ascii="宋体" w:hAnsi="宋体" w:eastAsia="宋体"/>
          <w:color w:val="auto"/>
          <w:sz w:val="21"/>
          <w:szCs w:val="21"/>
          <w:highlight w:val="none"/>
          <w:lang w:eastAsia="zh-CN"/>
        </w:rPr>
        <w:t>供应商</w:t>
      </w:r>
      <w:r>
        <w:rPr>
          <w:rFonts w:ascii="宋体" w:hAnsi="宋体" w:eastAsia="宋体"/>
          <w:color w:val="auto"/>
          <w:sz w:val="21"/>
          <w:szCs w:val="21"/>
          <w:highlight w:val="none"/>
        </w:rPr>
        <w:t>进行商务技术综合评议，针对</w:t>
      </w:r>
      <w:r>
        <w:rPr>
          <w:rFonts w:hint="eastAsia" w:ascii="宋体" w:hAnsi="宋体" w:eastAsia="宋体"/>
          <w:color w:val="auto"/>
          <w:sz w:val="21"/>
          <w:szCs w:val="21"/>
          <w:highlight w:val="none"/>
          <w:lang w:eastAsia="zh-CN"/>
        </w:rPr>
        <w:t>响应文件</w:t>
      </w:r>
      <w:r>
        <w:rPr>
          <w:rFonts w:ascii="宋体" w:hAnsi="宋体" w:eastAsia="宋体"/>
          <w:color w:val="auto"/>
          <w:sz w:val="21"/>
          <w:szCs w:val="21"/>
          <w:highlight w:val="none"/>
        </w:rPr>
        <w:t>对</w:t>
      </w:r>
      <w:r>
        <w:rPr>
          <w:rFonts w:hint="eastAsia" w:ascii="宋体" w:hAnsi="宋体" w:eastAsia="宋体"/>
          <w:color w:val="auto"/>
          <w:sz w:val="21"/>
          <w:szCs w:val="21"/>
          <w:highlight w:val="none"/>
          <w:lang w:eastAsia="zh-CN"/>
        </w:rPr>
        <w:t>遴选文件</w:t>
      </w:r>
      <w:r>
        <w:rPr>
          <w:rFonts w:ascii="宋体" w:hAnsi="宋体" w:eastAsia="宋体"/>
          <w:color w:val="auto"/>
          <w:sz w:val="21"/>
          <w:szCs w:val="21"/>
          <w:highlight w:val="none"/>
        </w:rPr>
        <w:t>的响应情况对各个</w:t>
      </w:r>
      <w:r>
        <w:rPr>
          <w:rFonts w:hint="eastAsia" w:ascii="宋体" w:hAnsi="宋体" w:eastAsia="宋体"/>
          <w:color w:val="auto"/>
          <w:sz w:val="21"/>
          <w:szCs w:val="21"/>
          <w:highlight w:val="none"/>
          <w:lang w:eastAsia="zh-CN"/>
        </w:rPr>
        <w:t>供应商</w:t>
      </w:r>
      <w:r>
        <w:rPr>
          <w:rFonts w:ascii="宋体" w:hAnsi="宋体" w:eastAsia="宋体"/>
          <w:color w:val="auto"/>
          <w:sz w:val="21"/>
          <w:szCs w:val="21"/>
          <w:highlight w:val="none"/>
        </w:rPr>
        <w:t>进行商务和技术评分</w:t>
      </w:r>
      <w:r>
        <w:rPr>
          <w:rFonts w:hint="eastAsia" w:ascii="宋体" w:hAnsi="宋体" w:eastAsia="宋体"/>
          <w:color w:val="auto"/>
          <w:sz w:val="21"/>
          <w:szCs w:val="21"/>
          <w:highlight w:val="none"/>
        </w:rPr>
        <w:t xml:space="preserve">。 </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认为</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的报价明显低于其他通过符合性审查</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的报价，有可能影响产品质量或者不能诚信履约的，应当要求其在</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现场合理的时间内提供书面说明，必要时提交相关证明材料；</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不能证明其报价合理性的，</w:t>
      </w: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应当将其作为无效</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处理。</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报价出现前后不一致的，</w:t>
      </w: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按照下列规定修正：</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中开标一览表（报价表）内容与</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中相应内容不一致的，以开标一览表（报价表）为准；</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确认后产生约束力，</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不确认的，其</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无效。</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对通过符合性审查的</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进行详细评审。</w:t>
      </w: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对每一</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进行详细的商务评审、技术评审。按照评审程序的规定和依据评分标准，各位评委就每个</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的技术、商务状况及其对</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要求的响应情况进行评议和比较，评出其技术评分和商务评分。根据</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规定评出得分，将价格得分、商务得分、技术得分相加得出最终评标得分。</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hint="eastAsia" w:eastAsia="宋体"/>
          <w:color w:val="auto"/>
          <w:highlight w:val="none"/>
          <w:lang w:eastAsia="zh-CN"/>
        </w:rPr>
      </w:pPr>
      <w:r>
        <w:rPr>
          <w:rFonts w:hint="eastAsia" w:ascii="宋体" w:hAnsi="宋体" w:eastAsia="宋体"/>
          <w:color w:val="auto"/>
          <w:sz w:val="21"/>
          <w:szCs w:val="21"/>
          <w:highlight w:val="none"/>
        </w:rPr>
        <w:t>采用综合评分法的，</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结果按评审后得分由高到低顺序排列。</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得分相同的，按</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报价</w:t>
      </w:r>
      <w:r>
        <w:rPr>
          <w:rFonts w:hint="eastAsia" w:ascii="宋体" w:hAnsi="宋体" w:eastAsia="宋体"/>
          <w:color w:val="auto"/>
          <w:sz w:val="21"/>
          <w:szCs w:val="21"/>
          <w:highlight w:val="none"/>
          <w:lang w:eastAsia="zh-CN"/>
        </w:rPr>
        <w:t>（响应原报价）</w:t>
      </w:r>
      <w:r>
        <w:rPr>
          <w:rFonts w:hint="eastAsia" w:ascii="宋体" w:hAnsi="宋体" w:eastAsia="宋体"/>
          <w:color w:val="auto"/>
          <w:sz w:val="21"/>
          <w:szCs w:val="21"/>
          <w:highlight w:val="none"/>
        </w:rPr>
        <w:t>由低到高顺序排列。</w:t>
      </w:r>
      <w:r>
        <w:rPr>
          <w:rFonts w:hint="eastAsia" w:ascii="宋体" w:hAnsi="宋体" w:eastAsia="宋体"/>
          <w:color w:val="auto"/>
          <w:sz w:val="21"/>
          <w:szCs w:val="21"/>
          <w:highlight w:val="none"/>
          <w:lang w:eastAsia="zh-CN"/>
        </w:rPr>
        <w:t>评审得分及响应报价均相同时，以随机抽取方式决定。响应文件</w:t>
      </w:r>
      <w:r>
        <w:rPr>
          <w:rFonts w:hint="eastAsia" w:ascii="宋体" w:hAnsi="宋体" w:eastAsia="宋体"/>
          <w:color w:val="auto"/>
          <w:sz w:val="21"/>
          <w:szCs w:val="21"/>
          <w:highlight w:val="none"/>
        </w:rPr>
        <w:t>满足</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全部实质性要求，且按照评审因素的量化指标评审得分最高的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为排名第一的</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候选人。</w:t>
      </w:r>
    </w:p>
    <w:p>
      <w:pPr>
        <w:pageBreakBefore w:val="0"/>
        <w:widowControl w:val="0"/>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92" w:name="_Toc316375620"/>
      <w:bookmarkStart w:id="93" w:name="_Toc20328"/>
      <w:bookmarkStart w:id="94" w:name="_Toc382049120"/>
      <w:bookmarkStart w:id="95" w:name="_Toc1148"/>
      <w:bookmarkStart w:id="96" w:name="_Toc25030"/>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.纪律和</w:t>
      </w:r>
      <w:r>
        <w:rPr>
          <w:rFonts w:ascii="宋体" w:hAnsi="宋体" w:eastAsia="宋体"/>
          <w:color w:val="auto"/>
          <w:sz w:val="21"/>
          <w:szCs w:val="21"/>
          <w:highlight w:val="none"/>
        </w:rPr>
        <w:t>保密</w:t>
      </w:r>
      <w:bookmarkEnd w:id="92"/>
      <w:r>
        <w:rPr>
          <w:rFonts w:hint="eastAsia" w:ascii="宋体" w:hAnsi="宋体" w:eastAsia="宋体"/>
          <w:color w:val="auto"/>
          <w:sz w:val="21"/>
          <w:szCs w:val="21"/>
          <w:highlight w:val="none"/>
        </w:rPr>
        <w:t>事项</w:t>
      </w:r>
      <w:bookmarkEnd w:id="93"/>
      <w:bookmarkEnd w:id="94"/>
      <w:bookmarkEnd w:id="95"/>
      <w:bookmarkEnd w:id="96"/>
    </w:p>
    <w:p>
      <w:pPr>
        <w:pStyle w:val="23"/>
        <w:pageBreakBefore w:val="0"/>
        <w:widowControl w:val="0"/>
        <w:numPr>
          <w:ilvl w:val="0"/>
          <w:numId w:val="2"/>
        </w:numPr>
        <w:tabs>
          <w:tab w:val="left" w:pos="907"/>
        </w:tabs>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采购全过程</w:t>
      </w:r>
      <w:r>
        <w:rPr>
          <w:rFonts w:hint="eastAsia" w:ascii="宋体" w:hAnsi="宋体" w:eastAsia="宋体"/>
          <w:color w:val="auto"/>
          <w:sz w:val="21"/>
          <w:szCs w:val="21"/>
          <w:highlight w:val="none"/>
        </w:rPr>
        <w:t>期间，在</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的审查、澄清、</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阶段，</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试图对</w:t>
      </w: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和采购代理机构施加任何影响或对采购人的比较及授予合同的决定产生影响，都可能导致其</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被拒绝。</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不得串通作弊，以不正当的手段妨碍、排挤其他</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，扰乱市场，破坏公平竞争原则。否则将按相关法律规定严肃处理。</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获得本</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，应对文件进行保密，不得用作本次</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以外的任何用途。</w:t>
      </w:r>
      <w:r>
        <w:rPr>
          <w:rFonts w:hint="eastAsia" w:ascii="宋体" w:hAnsi="宋体" w:eastAsia="宋体"/>
          <w:color w:val="auto"/>
          <w:sz w:val="21"/>
          <w:szCs w:val="21"/>
          <w:highlight w:val="none"/>
          <w:lang w:eastAsia="zh-CN"/>
        </w:rPr>
        <w:t>签到</w:t>
      </w:r>
      <w:r>
        <w:rPr>
          <w:rFonts w:hint="eastAsia" w:ascii="宋体" w:hAnsi="宋体" w:eastAsia="宋体"/>
          <w:color w:val="auto"/>
          <w:sz w:val="21"/>
          <w:szCs w:val="21"/>
          <w:highlight w:val="none"/>
        </w:rPr>
        <w:t>后，</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应归还</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中要求保密的文件和资料。</w:t>
      </w:r>
    </w:p>
    <w:p>
      <w:pPr>
        <w:pageBreakBefore w:val="0"/>
        <w:kinsoku/>
        <w:wordWrap/>
        <w:topLinePunct w:val="0"/>
        <w:autoSpaceDE/>
        <w:autoSpaceDN/>
        <w:bidi w:val="0"/>
        <w:spacing w:line="400" w:lineRule="exact"/>
        <w:textAlignment w:val="auto"/>
        <w:rPr>
          <w:color w:val="auto"/>
          <w:highlight w:val="none"/>
        </w:rPr>
      </w:pPr>
    </w:p>
    <w:p>
      <w:pPr>
        <w:pStyle w:val="4"/>
        <w:numPr>
          <w:ilvl w:val="0"/>
          <w:numId w:val="1"/>
        </w:numPr>
        <w:spacing w:before="0" w:after="0" w:line="480" w:lineRule="auto"/>
        <w:jc w:val="center"/>
        <w:rPr>
          <w:rFonts w:ascii="宋体" w:hAnsi="宋体" w:eastAsia="宋体"/>
          <w:color w:val="auto"/>
          <w:highlight w:val="none"/>
        </w:rPr>
      </w:pPr>
      <w:bookmarkStart w:id="97" w:name="_Toc11200"/>
      <w:r>
        <w:rPr>
          <w:rFonts w:hint="eastAsia" w:ascii="宋体" w:hAnsi="宋体" w:eastAsia="宋体"/>
          <w:color w:val="auto"/>
          <w:highlight w:val="none"/>
        </w:rPr>
        <w:t>授予合同</w:t>
      </w:r>
      <w:bookmarkEnd w:id="97"/>
    </w:p>
    <w:p>
      <w:pPr>
        <w:pStyle w:val="5"/>
        <w:pageBreakBefore w:val="0"/>
        <w:widowControl w:val="0"/>
        <w:kinsoku/>
        <w:wordWrap/>
        <w:overflowPunct w:val="0"/>
        <w:topLinePunct w:val="0"/>
        <w:autoSpaceDE/>
        <w:autoSpaceDN/>
        <w:bidi w:val="0"/>
        <w:spacing w:before="0" w:after="0" w:line="400" w:lineRule="exact"/>
        <w:textAlignment w:val="auto"/>
        <w:rPr>
          <w:rFonts w:hint="default" w:ascii="宋体" w:hAnsi="宋体" w:eastAsia="宋体"/>
          <w:color w:val="auto"/>
          <w:sz w:val="21"/>
          <w:szCs w:val="21"/>
          <w:highlight w:val="none"/>
          <w:lang w:val="en-US" w:eastAsia="zh-CN"/>
        </w:rPr>
      </w:pPr>
      <w:bookmarkStart w:id="98" w:name="_Toc508284011"/>
      <w:bookmarkStart w:id="99" w:name="_Toc21560"/>
      <w:bookmarkStart w:id="100" w:name="_Toc2956"/>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w:t>
      </w:r>
      <w:bookmarkEnd w:id="98"/>
      <w:r>
        <w:rPr>
          <w:rFonts w:hint="eastAsia" w:ascii="宋体" w:hAnsi="宋体" w:eastAsia="宋体"/>
          <w:color w:val="auto"/>
          <w:sz w:val="21"/>
          <w:szCs w:val="21"/>
          <w:highlight w:val="none"/>
          <w:lang w:val="en-US" w:eastAsia="zh-CN"/>
        </w:rPr>
        <w:t>确定成交</w:t>
      </w:r>
      <w:bookmarkEnd w:id="99"/>
      <w:bookmarkEnd w:id="100"/>
    </w:p>
    <w:p>
      <w:pPr>
        <w:pStyle w:val="23"/>
        <w:pageBreakBefore w:val="0"/>
        <w:widowControl w:val="0"/>
        <w:numPr>
          <w:ilvl w:val="0"/>
          <w:numId w:val="2"/>
        </w:numPr>
        <w:tabs>
          <w:tab w:val="left" w:pos="907"/>
        </w:tabs>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评审小组完成评审工作后，出具评审报告，</w:t>
      </w:r>
      <w:r>
        <w:rPr>
          <w:rFonts w:hint="eastAsia" w:ascii="宋体" w:hAnsi="宋体" w:eastAsia="宋体"/>
          <w:color w:val="auto"/>
          <w:sz w:val="21"/>
          <w:szCs w:val="21"/>
          <w:highlight w:val="none"/>
        </w:rPr>
        <w:t>采购人按照评审报告推荐的</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候选人中按顺序依法确定</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人</w:t>
      </w:r>
      <w:r>
        <w:rPr>
          <w:rFonts w:ascii="宋体" w:hAnsi="宋体" w:eastAsia="宋体"/>
          <w:color w:val="auto"/>
          <w:sz w:val="21"/>
          <w:szCs w:val="21"/>
          <w:highlight w:val="none"/>
        </w:rPr>
        <w:t>。</w:t>
      </w:r>
    </w:p>
    <w:p>
      <w:pPr>
        <w:pageBreakBefore w:val="0"/>
        <w:kinsoku/>
        <w:wordWrap/>
        <w:topLinePunct w:val="0"/>
        <w:autoSpaceDE/>
        <w:autoSpaceDN/>
        <w:bidi w:val="0"/>
        <w:spacing w:line="400" w:lineRule="exact"/>
        <w:textAlignment w:val="auto"/>
        <w:rPr>
          <w:color w:val="auto"/>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101" w:name="_Toc24851"/>
      <w:bookmarkStart w:id="102" w:name="_Toc508284013"/>
      <w:bookmarkStart w:id="103" w:name="_Toc26641"/>
      <w:r>
        <w:rPr>
          <w:rFonts w:hint="eastAsia" w:ascii="宋体" w:hAnsi="宋体" w:eastAsia="宋体"/>
          <w:color w:val="auto"/>
          <w:sz w:val="21"/>
          <w:szCs w:val="21"/>
          <w:highlight w:val="none"/>
          <w:lang w:val="en-US" w:eastAsia="zh-CN"/>
        </w:rPr>
        <w:t>28</w:t>
      </w:r>
      <w:r>
        <w:rPr>
          <w:rFonts w:hint="eastAsia" w:ascii="宋体" w:hAnsi="宋体" w:eastAsia="宋体"/>
          <w:color w:val="auto"/>
          <w:sz w:val="21"/>
          <w:szCs w:val="21"/>
          <w:highlight w:val="none"/>
        </w:rPr>
        <w:t>.发布采购结果</w:t>
      </w:r>
      <w:bookmarkEnd w:id="101"/>
      <w:bookmarkEnd w:id="102"/>
      <w:bookmarkEnd w:id="103"/>
    </w:p>
    <w:p>
      <w:pPr>
        <w:pStyle w:val="23"/>
        <w:pageBreakBefore w:val="0"/>
        <w:widowControl w:val="0"/>
        <w:numPr>
          <w:ilvl w:val="0"/>
          <w:numId w:val="2"/>
        </w:numPr>
        <w:tabs>
          <w:tab w:val="left" w:pos="907"/>
        </w:tabs>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提出</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书面报告和推荐</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意见报采购人确认后，采购代理机构将在指定的信息发布媒体上发布公告。</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公告期限为1个工作日。</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结果公示发布后，成交单位应及时领取成交通知书。</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通知书》是合同的一个组成部分，《</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通知书》对采购人和</w:t>
      </w:r>
      <w:r>
        <w:rPr>
          <w:rFonts w:hint="eastAsia" w:ascii="宋体" w:hAnsi="宋体" w:eastAsia="宋体"/>
          <w:color w:val="auto"/>
          <w:sz w:val="21"/>
          <w:szCs w:val="21"/>
          <w:highlight w:val="none"/>
          <w:lang w:eastAsia="zh-CN"/>
        </w:rPr>
        <w:t>成交供应商</w:t>
      </w:r>
      <w:r>
        <w:rPr>
          <w:rFonts w:hint="eastAsia" w:ascii="宋体" w:hAnsi="宋体" w:eastAsia="宋体"/>
          <w:color w:val="auto"/>
          <w:sz w:val="21"/>
          <w:szCs w:val="21"/>
          <w:highlight w:val="none"/>
        </w:rPr>
        <w:t>均具有同等法律效力。</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成交供应商</w:t>
      </w:r>
      <w:r>
        <w:rPr>
          <w:rFonts w:hint="eastAsia" w:ascii="宋体" w:hAnsi="宋体" w:eastAsia="宋体"/>
          <w:color w:val="auto"/>
          <w:sz w:val="21"/>
          <w:szCs w:val="21"/>
          <w:highlight w:val="none"/>
        </w:rPr>
        <w:t>无正当理由不得放弃</w:t>
      </w:r>
      <w:r>
        <w:rPr>
          <w:rFonts w:hint="eastAsia" w:ascii="宋体" w:hAnsi="宋体" w:eastAsia="宋体"/>
          <w:color w:val="auto"/>
          <w:sz w:val="21"/>
          <w:szCs w:val="21"/>
          <w:highlight w:val="none"/>
          <w:lang w:eastAsia="zh-CN"/>
        </w:rPr>
        <w:t>成交，因成交供应商放弃成交而对采购人造成的损失由放弃成交的成交供应商承担。</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原件核查</w:t>
      </w:r>
    </w:p>
    <w:p>
      <w:pPr>
        <w:pageBreakBefore w:val="0"/>
        <w:widowControl w:val="0"/>
        <w:numPr>
          <w:ilvl w:val="2"/>
          <w:numId w:val="2"/>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采购结果发布后，采购代理机构</w:t>
      </w:r>
      <w:r>
        <w:rPr>
          <w:rFonts w:hint="eastAsia" w:ascii="宋体" w:hAnsi="宋体" w:eastAsia="宋体"/>
          <w:b w:val="0"/>
          <w:bCs w:val="0"/>
          <w:color w:val="auto"/>
          <w:sz w:val="21"/>
          <w:szCs w:val="21"/>
          <w:highlight w:val="none"/>
          <w:lang w:val="en-US" w:eastAsia="zh-CN"/>
        </w:rPr>
        <w:t>或采购人有权对</w:t>
      </w:r>
      <w:r>
        <w:rPr>
          <w:rFonts w:hint="eastAsia" w:ascii="宋体" w:hAnsi="宋体" w:eastAsia="宋体"/>
          <w:b w:val="0"/>
          <w:bCs w:val="0"/>
          <w:color w:val="auto"/>
          <w:sz w:val="21"/>
          <w:szCs w:val="21"/>
          <w:highlight w:val="none"/>
          <w:lang w:eastAsia="zh-CN"/>
        </w:rPr>
        <w:t>成交单位</w:t>
      </w:r>
      <w:r>
        <w:rPr>
          <w:rFonts w:hint="eastAsia" w:ascii="宋体" w:hAnsi="宋体" w:eastAsia="宋体"/>
          <w:b w:val="0"/>
          <w:bCs w:val="0"/>
          <w:color w:val="auto"/>
          <w:sz w:val="21"/>
          <w:szCs w:val="21"/>
          <w:highlight w:val="none"/>
          <w:lang w:val="en-US" w:eastAsia="zh-CN"/>
        </w:rPr>
        <w:t>进行原件核查，成交单位应</w:t>
      </w:r>
      <w:r>
        <w:rPr>
          <w:rFonts w:hint="eastAsia" w:ascii="宋体" w:hAnsi="宋体" w:eastAsia="宋体"/>
          <w:b w:val="0"/>
          <w:bCs w:val="0"/>
          <w:color w:val="auto"/>
          <w:sz w:val="21"/>
          <w:szCs w:val="21"/>
          <w:highlight w:val="none"/>
          <w:lang w:eastAsia="zh-CN"/>
        </w:rPr>
        <w:t>在五个工作日</w:t>
      </w:r>
      <w:r>
        <w:rPr>
          <w:rFonts w:hint="eastAsia" w:ascii="宋体" w:hAnsi="宋体" w:eastAsia="宋体"/>
          <w:b w:val="0"/>
          <w:bCs w:val="0"/>
          <w:color w:val="auto"/>
          <w:sz w:val="21"/>
          <w:szCs w:val="21"/>
          <w:highlight w:val="none"/>
          <w:lang w:val="en-US" w:eastAsia="zh-CN"/>
        </w:rPr>
        <w:t>内把相关原件递交至采购代理机构</w:t>
      </w:r>
      <w:r>
        <w:rPr>
          <w:rFonts w:hint="eastAsia" w:ascii="宋体" w:hAnsi="宋体" w:eastAsia="宋体"/>
          <w:b w:val="0"/>
          <w:bCs w:val="0"/>
          <w:color w:val="auto"/>
          <w:sz w:val="21"/>
          <w:szCs w:val="21"/>
          <w:highlight w:val="none"/>
          <w:lang w:eastAsia="zh-CN"/>
        </w:rPr>
        <w:t>办公地址或采购人指定地址进行核查。</w:t>
      </w:r>
    </w:p>
    <w:p>
      <w:pPr>
        <w:pageBreakBefore w:val="0"/>
        <w:widowControl w:val="0"/>
        <w:numPr>
          <w:ilvl w:val="2"/>
          <w:numId w:val="2"/>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成交单位有下列情形之一的，取消成交资格：</w:t>
      </w:r>
    </w:p>
    <w:p>
      <w:pPr>
        <w:pageBreakBefore w:val="0"/>
        <w:widowControl w:val="0"/>
        <w:numPr>
          <w:ilvl w:val="0"/>
          <w:numId w:val="5"/>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拒绝采购人或采购代理机构原件核查要求的；</w:t>
      </w:r>
    </w:p>
    <w:p>
      <w:pPr>
        <w:pageBreakBefore w:val="0"/>
        <w:widowControl w:val="0"/>
        <w:numPr>
          <w:ilvl w:val="0"/>
          <w:numId w:val="5"/>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未在规定时间内将原件递交到到采购代理机构办公地址或采购人指定地址进行核查的；</w:t>
      </w:r>
    </w:p>
    <w:p>
      <w:pPr>
        <w:pageBreakBefore w:val="0"/>
        <w:widowControl w:val="0"/>
        <w:numPr>
          <w:ilvl w:val="0"/>
          <w:numId w:val="5"/>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在规定时间内递交的原件数量、内容与采购人、采购代理机构要求不一致的；</w:t>
      </w:r>
    </w:p>
    <w:p>
      <w:pPr>
        <w:pageBreakBefore w:val="0"/>
        <w:widowControl w:val="0"/>
        <w:numPr>
          <w:ilvl w:val="0"/>
          <w:numId w:val="5"/>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val="en-US" w:eastAsia="zh-CN"/>
        </w:rPr>
        <w:t>因原件续期、更改等原因不能按时递交原件且未能在规定时间内提供相应部门开具的变更、续期等证明的；</w:t>
      </w:r>
    </w:p>
    <w:p>
      <w:pPr>
        <w:pageBreakBefore w:val="0"/>
        <w:widowControl w:val="0"/>
        <w:numPr>
          <w:ilvl w:val="0"/>
          <w:numId w:val="5"/>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经查原件，响应文件内容有造假行为的。</w:t>
      </w:r>
    </w:p>
    <w:p>
      <w:pPr>
        <w:pageBreakBefore w:val="0"/>
        <w:widowControl w:val="0"/>
        <w:numPr>
          <w:ilvl w:val="2"/>
          <w:numId w:val="2"/>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采购结果发布后，采购代理机构</w:t>
      </w:r>
      <w:r>
        <w:rPr>
          <w:rFonts w:hint="eastAsia" w:ascii="宋体" w:hAnsi="宋体" w:eastAsia="宋体"/>
          <w:b w:val="0"/>
          <w:bCs w:val="0"/>
          <w:color w:val="auto"/>
          <w:sz w:val="21"/>
          <w:szCs w:val="21"/>
          <w:highlight w:val="none"/>
          <w:lang w:val="en-US" w:eastAsia="zh-CN"/>
        </w:rPr>
        <w:t>或</w:t>
      </w:r>
      <w:r>
        <w:rPr>
          <w:rFonts w:hint="eastAsia" w:ascii="宋体" w:hAnsi="宋体" w:eastAsia="宋体"/>
          <w:b w:val="0"/>
          <w:bCs w:val="0"/>
          <w:color w:val="auto"/>
          <w:sz w:val="21"/>
          <w:szCs w:val="21"/>
          <w:highlight w:val="none"/>
          <w:lang w:eastAsia="zh-CN"/>
        </w:rPr>
        <w:t>采购人有权对递交了响应文件的未成交供应商进行原件核查。供应商应在采购代理机构或采购人发出纸质通知五个工作日内将原件递交到采购代理机构办公地址或采购人指定地址进行核查。</w:t>
      </w:r>
    </w:p>
    <w:p>
      <w:pPr>
        <w:pageBreakBefore w:val="0"/>
        <w:widowControl w:val="0"/>
        <w:numPr>
          <w:ilvl w:val="2"/>
          <w:numId w:val="2"/>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供应商有下列情形之一的，响应文件作无效处理，其响应无效：</w:t>
      </w:r>
    </w:p>
    <w:p>
      <w:pPr>
        <w:pageBreakBefore w:val="0"/>
        <w:widowControl w:val="0"/>
        <w:numPr>
          <w:ilvl w:val="0"/>
          <w:numId w:val="6"/>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拒绝采购人或采购代理机构原件核查要求的；</w:t>
      </w:r>
    </w:p>
    <w:p>
      <w:pPr>
        <w:pageBreakBefore w:val="0"/>
        <w:widowControl w:val="0"/>
        <w:numPr>
          <w:ilvl w:val="0"/>
          <w:numId w:val="6"/>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未在规定时间内将原件递交到到采购代理机构办公地址或采购人指定地址进行核查的；</w:t>
      </w:r>
    </w:p>
    <w:p>
      <w:pPr>
        <w:pageBreakBefore w:val="0"/>
        <w:widowControl w:val="0"/>
        <w:numPr>
          <w:ilvl w:val="0"/>
          <w:numId w:val="6"/>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在规定时间内递交的原件数量、内容不符合采购人、采购代理机构要求的；</w:t>
      </w:r>
    </w:p>
    <w:p>
      <w:pPr>
        <w:pageBreakBefore w:val="0"/>
        <w:widowControl w:val="0"/>
        <w:numPr>
          <w:ilvl w:val="0"/>
          <w:numId w:val="6"/>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因原件续期、更改等原因不能按时递交原件且未能在规定时间内提供相应部门开具的变更、续期等证明的；</w:t>
      </w:r>
    </w:p>
    <w:p>
      <w:pPr>
        <w:pageBreakBefore w:val="0"/>
        <w:widowControl w:val="0"/>
        <w:numPr>
          <w:ilvl w:val="0"/>
          <w:numId w:val="6"/>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经查原件，响应文件内容有造假行为的。</w:t>
      </w:r>
    </w:p>
    <w:p>
      <w:pPr>
        <w:pageBreakBefore w:val="0"/>
        <w:widowControl w:val="0"/>
        <w:numPr>
          <w:ilvl w:val="2"/>
          <w:numId w:val="2"/>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若供应商出现虚假应标情况，响应文件作无效处理，其响应、成交无效。并根据相关法律上报相关监管部门。</w:t>
      </w:r>
    </w:p>
    <w:p>
      <w:pPr>
        <w:pageBreakBefore w:val="0"/>
        <w:kinsoku/>
        <w:wordWrap/>
        <w:topLinePunct w:val="0"/>
        <w:autoSpaceDE/>
        <w:autoSpaceDN/>
        <w:bidi w:val="0"/>
        <w:spacing w:line="400" w:lineRule="exact"/>
        <w:textAlignment w:val="auto"/>
        <w:rPr>
          <w:color w:val="auto"/>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104" w:name="_Toc7001"/>
      <w:bookmarkStart w:id="105" w:name="_Toc10420"/>
      <w:r>
        <w:rPr>
          <w:rFonts w:hint="eastAsia" w:ascii="宋体" w:hAnsi="宋体" w:eastAsia="宋体"/>
          <w:color w:val="auto"/>
          <w:sz w:val="21"/>
          <w:szCs w:val="21"/>
          <w:highlight w:val="none"/>
          <w:lang w:val="en-US" w:eastAsia="zh-CN"/>
        </w:rPr>
        <w:t>29</w:t>
      </w:r>
      <w:r>
        <w:rPr>
          <w:rFonts w:hint="eastAsia" w:ascii="宋体" w:hAnsi="宋体" w:eastAsia="宋体"/>
          <w:color w:val="auto"/>
          <w:sz w:val="21"/>
          <w:szCs w:val="21"/>
          <w:highlight w:val="none"/>
        </w:rPr>
        <w:t>.合同的签订与履行</w:t>
      </w:r>
      <w:bookmarkEnd w:id="104"/>
      <w:bookmarkEnd w:id="105"/>
    </w:p>
    <w:p>
      <w:pPr>
        <w:pStyle w:val="23"/>
        <w:pageBreakBefore w:val="0"/>
        <w:widowControl w:val="0"/>
        <w:numPr>
          <w:ilvl w:val="0"/>
          <w:numId w:val="2"/>
        </w:numPr>
        <w:tabs>
          <w:tab w:val="left" w:pos="907"/>
        </w:tabs>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和</w:t>
      </w:r>
      <w:r>
        <w:rPr>
          <w:rFonts w:hint="eastAsia" w:ascii="宋体" w:hAnsi="宋体" w:eastAsia="宋体"/>
          <w:color w:val="auto"/>
          <w:sz w:val="21"/>
          <w:szCs w:val="21"/>
          <w:highlight w:val="none"/>
          <w:lang w:eastAsia="zh-CN"/>
        </w:rPr>
        <w:t>成交供应商响应文件</w:t>
      </w:r>
      <w:r>
        <w:rPr>
          <w:rFonts w:hint="eastAsia" w:ascii="宋体" w:hAnsi="宋体" w:eastAsia="宋体"/>
          <w:color w:val="auto"/>
          <w:sz w:val="21"/>
          <w:szCs w:val="21"/>
          <w:highlight w:val="none"/>
        </w:rPr>
        <w:t>的规定，与</w:t>
      </w:r>
      <w:r>
        <w:rPr>
          <w:rFonts w:hint="eastAsia" w:ascii="宋体" w:hAnsi="宋体" w:eastAsia="宋体"/>
          <w:color w:val="auto"/>
          <w:sz w:val="21"/>
          <w:szCs w:val="21"/>
          <w:highlight w:val="none"/>
          <w:lang w:eastAsia="zh-CN"/>
        </w:rPr>
        <w:t>成交供应商</w:t>
      </w:r>
      <w:r>
        <w:rPr>
          <w:rFonts w:hint="eastAsia" w:ascii="宋体" w:hAnsi="宋体" w:eastAsia="宋体"/>
          <w:color w:val="auto"/>
          <w:sz w:val="21"/>
          <w:szCs w:val="21"/>
          <w:highlight w:val="none"/>
        </w:rPr>
        <w:t>签订书面合同。所签订的合同不得对</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确定的事项和</w:t>
      </w:r>
      <w:r>
        <w:rPr>
          <w:rFonts w:hint="eastAsia" w:ascii="宋体" w:hAnsi="宋体" w:eastAsia="宋体"/>
          <w:color w:val="auto"/>
          <w:sz w:val="21"/>
          <w:szCs w:val="21"/>
          <w:highlight w:val="none"/>
          <w:lang w:eastAsia="zh-CN"/>
        </w:rPr>
        <w:t>成交供应商响应文件</w:t>
      </w:r>
      <w:r>
        <w:rPr>
          <w:rFonts w:hint="eastAsia" w:ascii="宋体" w:hAnsi="宋体" w:eastAsia="宋体"/>
          <w:color w:val="auto"/>
          <w:sz w:val="21"/>
          <w:szCs w:val="21"/>
          <w:highlight w:val="none"/>
        </w:rPr>
        <w:t>作实质性修改。</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采购人与</w:t>
      </w:r>
      <w:r>
        <w:rPr>
          <w:rFonts w:hint="eastAsia" w:ascii="宋体" w:hAnsi="宋体" w:eastAsia="宋体"/>
          <w:color w:val="auto"/>
          <w:sz w:val="21"/>
          <w:szCs w:val="21"/>
          <w:highlight w:val="none"/>
          <w:lang w:eastAsia="zh-CN"/>
        </w:rPr>
        <w:t>成交供应商</w:t>
      </w:r>
      <w:r>
        <w:rPr>
          <w:rFonts w:hint="eastAsia" w:ascii="宋体" w:hAnsi="宋体" w:eastAsia="宋体"/>
          <w:color w:val="auto"/>
          <w:sz w:val="21"/>
          <w:szCs w:val="21"/>
          <w:highlight w:val="none"/>
        </w:rPr>
        <w:t>应当根据合同的约定依法履行合同义务。</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w:t>
      </w:r>
      <w:r>
        <w:rPr>
          <w:rFonts w:hint="eastAsia" w:ascii="宋体" w:hAnsi="宋体" w:eastAsia="宋体"/>
          <w:color w:val="auto"/>
          <w:sz w:val="21"/>
          <w:szCs w:val="21"/>
          <w:highlight w:val="none"/>
          <w:lang w:eastAsia="zh-CN"/>
        </w:rPr>
        <w:t>民法典</w:t>
      </w:r>
      <w:r>
        <w:rPr>
          <w:rFonts w:hint="eastAsia" w:ascii="宋体" w:hAnsi="宋体" w:eastAsia="宋体"/>
          <w:color w:val="auto"/>
          <w:sz w:val="21"/>
          <w:szCs w:val="21"/>
          <w:highlight w:val="none"/>
        </w:rPr>
        <w:t>》。</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根据</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的规定和采购项目的实际情况，拟在</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后将</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项目的非主体、非关键性工作分包的，应当在</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中载明分包承担主体，分包承担主体应当具备相应资质条件且不得再次分包。</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成交供应商</w:t>
      </w:r>
      <w:r>
        <w:rPr>
          <w:rFonts w:hint="eastAsia" w:ascii="宋体" w:hAnsi="宋体" w:eastAsia="宋体"/>
          <w:color w:val="auto"/>
          <w:sz w:val="21"/>
          <w:szCs w:val="21"/>
          <w:highlight w:val="none"/>
        </w:rPr>
        <w:t>在评审结束当天至合同履行结束，若因不可抗力的因素（如国家出台新法律法规等）造</w:t>
      </w:r>
      <w:r>
        <w:rPr>
          <w:rFonts w:hint="eastAsia" w:ascii="宋体" w:hAnsi="宋体" w:eastAsia="宋体"/>
          <w:color w:val="auto"/>
          <w:sz w:val="21"/>
          <w:szCs w:val="21"/>
          <w:highlight w:val="none"/>
          <w:lang w:eastAsia="zh-CN"/>
        </w:rPr>
        <w:t>成供应商资质的变动，供应商应以纸质版形式通知采购人。若资质变动导致成交供应商不再具备履行合同资质要求，采购人有权中止合同。</w:t>
      </w:r>
    </w:p>
    <w:p>
      <w:pPr>
        <w:pageBreakBefore w:val="0"/>
        <w:widowControl w:val="0"/>
        <w:numPr>
          <w:ilvl w:val="1"/>
          <w:numId w:val="2"/>
        </w:numPr>
        <w:tabs>
          <w:tab w:val="left" w:pos="907"/>
        </w:tabs>
        <w:kinsoku/>
        <w:wordWrap/>
        <w:topLinePunct w:val="0"/>
        <w:autoSpaceDE/>
        <w:autoSpaceDN/>
        <w:bidi w:val="0"/>
        <w:adjustRightInd/>
        <w:snapToGrid/>
        <w:spacing w:after="0" w:line="400" w:lineRule="exact"/>
        <w:jc w:val="both"/>
        <w:textAlignment w:val="auto"/>
        <w:rPr>
          <w:color w:val="auto"/>
          <w:highlight w:val="none"/>
        </w:rPr>
      </w:pPr>
      <w:r>
        <w:rPr>
          <w:rFonts w:hint="eastAsia" w:ascii="宋体" w:hAnsi="宋体" w:eastAsia="宋体"/>
          <w:color w:val="auto"/>
          <w:sz w:val="21"/>
          <w:szCs w:val="21"/>
          <w:highlight w:val="none"/>
          <w:lang w:eastAsia="zh-CN"/>
        </w:rPr>
        <w:t>成交供应商拒绝与采购人签订合同的，采购人可以按照评审报告推荐的成交候选人名单排序，确定下一候选人为成交供应商，也可以重新开展采购活动。</w:t>
      </w:r>
    </w:p>
    <w:p>
      <w:pPr>
        <w:pStyle w:val="8"/>
        <w:pageBreakBefore w:val="0"/>
        <w:kinsoku/>
        <w:wordWrap/>
        <w:topLinePunct w:val="0"/>
        <w:autoSpaceDE/>
        <w:autoSpaceDN/>
        <w:bidi w:val="0"/>
        <w:spacing w:line="400" w:lineRule="exact"/>
        <w:textAlignment w:val="auto"/>
        <w:rPr>
          <w:color w:val="auto"/>
          <w:highlight w:val="none"/>
        </w:rPr>
      </w:pPr>
    </w:p>
    <w:p>
      <w:pPr>
        <w:pStyle w:val="5"/>
        <w:pageBreakBefore w:val="0"/>
        <w:widowControl w:val="0"/>
        <w:kinsoku/>
        <w:wordWrap/>
        <w:overflowPunct w:val="0"/>
        <w:topLinePunct w:val="0"/>
        <w:autoSpaceDE/>
        <w:autoSpaceDN/>
        <w:bidi w:val="0"/>
        <w:spacing w:before="0" w:after="0" w:line="400" w:lineRule="exact"/>
        <w:textAlignment w:val="auto"/>
        <w:rPr>
          <w:rFonts w:hint="eastAsia" w:ascii="宋体" w:hAnsi="宋体" w:eastAsia="宋体"/>
          <w:color w:val="auto"/>
          <w:sz w:val="21"/>
          <w:szCs w:val="21"/>
          <w:highlight w:val="none"/>
          <w:lang w:val="en-US" w:eastAsia="zh-CN"/>
        </w:rPr>
      </w:pPr>
      <w:bookmarkStart w:id="106" w:name="_Toc18020"/>
      <w:r>
        <w:rPr>
          <w:rFonts w:hint="eastAsia" w:ascii="宋体" w:hAnsi="宋体" w:eastAsia="宋体"/>
          <w:color w:val="auto"/>
          <w:sz w:val="21"/>
          <w:szCs w:val="21"/>
          <w:highlight w:val="none"/>
          <w:lang w:val="en-US" w:eastAsia="zh-CN"/>
        </w:rPr>
        <w:t>30.履约保证金</w:t>
      </w:r>
      <w:bookmarkEnd w:id="106"/>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 xml:space="preserve">30.1. </w:t>
      </w:r>
      <w:r>
        <w:rPr>
          <w:rFonts w:hint="eastAsia" w:ascii="宋体" w:hAnsi="宋体" w:eastAsia="宋体"/>
          <w:color w:val="auto"/>
          <w:sz w:val="21"/>
          <w:szCs w:val="21"/>
          <w:highlight w:val="none"/>
          <w:lang w:eastAsia="zh-CN"/>
        </w:rPr>
        <w:t>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59" w:leftChars="13" w:hanging="630" w:hangingChars="300"/>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 xml:space="preserve">30.2. </w:t>
      </w:r>
      <w:r>
        <w:rPr>
          <w:rFonts w:hint="eastAsia" w:ascii="宋体" w:hAnsi="宋体" w:eastAsia="宋体"/>
          <w:color w:val="auto"/>
          <w:sz w:val="21"/>
          <w:szCs w:val="21"/>
          <w:highlight w:val="none"/>
          <w:lang w:eastAsia="zh-CN"/>
        </w:rPr>
        <w:t>采用保证金（银行转账、电汇）方式：成交单位必须保证资金在签订合同前到账。履约保证金账户采购人另行通知，到期后无息退还。</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 xml:space="preserve">30.3. </w:t>
      </w:r>
      <w:r>
        <w:rPr>
          <w:rFonts w:hint="eastAsia" w:ascii="宋体" w:hAnsi="宋体" w:eastAsia="宋体"/>
          <w:color w:val="auto"/>
          <w:sz w:val="21"/>
          <w:szCs w:val="21"/>
          <w:highlight w:val="none"/>
          <w:lang w:eastAsia="zh-CN"/>
        </w:rPr>
        <w:t>采用履约保函方式：履约担保。是指由担保机构为供应商交纳履约保证金向采购人或采购代理机构提供的保证担保。供应商未按政府采购合同履行约定义务的，由担保机构按照担保函约定履行支付履约保证金的责任。</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 xml:space="preserve">30.4. </w:t>
      </w:r>
      <w:r>
        <w:rPr>
          <w:rFonts w:hint="eastAsia" w:ascii="宋体" w:hAnsi="宋体" w:eastAsia="宋体"/>
          <w:color w:val="auto"/>
          <w:sz w:val="21"/>
          <w:szCs w:val="21"/>
          <w:highlight w:val="none"/>
          <w:lang w:eastAsia="zh-CN"/>
        </w:rPr>
        <w:t>成交单位须将履约保证金的汇款凭证 (注明成交通知书或项目编号)或履约保函（采购人注明原件已收到并盖章）用A4纸复印一式四份并加盖成交单位的公章送至采购代理机构。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 xml:space="preserve">30.5. </w:t>
      </w:r>
      <w:r>
        <w:rPr>
          <w:rFonts w:hint="eastAsia" w:ascii="宋体" w:hAnsi="宋体" w:eastAsia="宋体"/>
          <w:color w:val="auto"/>
          <w:sz w:val="21"/>
          <w:szCs w:val="21"/>
          <w:highlight w:val="none"/>
          <w:lang w:eastAsia="zh-CN"/>
        </w:rPr>
        <w:t>履约保证金退回：履约保证金在项目验收合格后，成交单位向采购人提交退回履约保证金的申请、履约保证金汇款凭证复印件、采购合同、采购项目验收报告原件、成交通知书复印件，前往采购人办理履约保证金退还手续。</w:t>
      </w:r>
    </w:p>
    <w:p>
      <w:pPr>
        <w:pageBreakBefore w:val="0"/>
        <w:kinsoku/>
        <w:wordWrap/>
        <w:topLinePunct w:val="0"/>
        <w:autoSpaceDE/>
        <w:autoSpaceDN/>
        <w:bidi w:val="0"/>
        <w:spacing w:line="400" w:lineRule="exact"/>
        <w:textAlignment w:val="auto"/>
        <w:rPr>
          <w:color w:val="auto"/>
          <w:highlight w:val="none"/>
        </w:rPr>
      </w:pPr>
    </w:p>
    <w:p>
      <w:pPr>
        <w:pStyle w:val="4"/>
        <w:numPr>
          <w:ilvl w:val="0"/>
          <w:numId w:val="1"/>
        </w:numPr>
        <w:spacing w:before="0" w:after="0" w:line="480" w:lineRule="auto"/>
        <w:jc w:val="center"/>
        <w:rPr>
          <w:rFonts w:ascii="宋体" w:hAnsi="宋体" w:eastAsia="宋体"/>
          <w:color w:val="auto"/>
          <w:highlight w:val="none"/>
        </w:rPr>
      </w:pPr>
      <w:bookmarkStart w:id="107" w:name="_Toc26620"/>
      <w:r>
        <w:rPr>
          <w:rFonts w:hint="eastAsia" w:ascii="宋体" w:hAnsi="宋体" w:eastAsia="宋体"/>
          <w:color w:val="auto"/>
          <w:highlight w:val="none"/>
        </w:rPr>
        <w:t>其他</w:t>
      </w:r>
      <w:bookmarkEnd w:id="107"/>
    </w:p>
    <w:p>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108" w:name="_Toc1769"/>
      <w:bookmarkStart w:id="109" w:name="_Toc32390"/>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的解释权</w:t>
      </w:r>
      <w:bookmarkEnd w:id="108"/>
      <w:bookmarkEnd w:id="109"/>
    </w:p>
    <w:p>
      <w:pPr>
        <w:pStyle w:val="23"/>
        <w:pageBreakBefore w:val="0"/>
        <w:widowControl w:val="0"/>
        <w:numPr>
          <w:ilvl w:val="0"/>
          <w:numId w:val="2"/>
        </w:numPr>
        <w:tabs>
          <w:tab w:val="left" w:pos="907"/>
        </w:tabs>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31.1.</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版本号：广东政通202</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0</w:t>
      </w:r>
      <w:r>
        <w:rPr>
          <w:rFonts w:hint="eastAsia" w:ascii="宋体" w:hAnsi="宋体" w:eastAsia="宋体"/>
          <w:color w:val="auto"/>
          <w:sz w:val="21"/>
          <w:szCs w:val="21"/>
          <w:highlight w:val="none"/>
          <w:lang w:val="en-US" w:eastAsia="zh-CN"/>
        </w:rPr>
        <w:t>809</w:t>
      </w:r>
      <w:r>
        <w:rPr>
          <w:rFonts w:hint="eastAsia" w:ascii="宋体" w:hAnsi="宋体" w:eastAsia="宋体"/>
          <w:color w:val="auto"/>
          <w:sz w:val="21"/>
          <w:szCs w:val="21"/>
          <w:highlight w:val="none"/>
        </w:rPr>
        <w:t>。</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31.2.</w:t>
      </w:r>
      <w:r>
        <w:rPr>
          <w:rFonts w:hint="eastAsia" w:ascii="宋体" w:hAnsi="宋体" w:eastAsia="宋体"/>
          <w:color w:val="auto"/>
          <w:sz w:val="21"/>
          <w:szCs w:val="21"/>
          <w:highlight w:val="none"/>
        </w:rPr>
        <w:t>本</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是</w:t>
      </w:r>
      <w:r>
        <w:rPr>
          <w:rFonts w:hint="eastAsia" w:ascii="宋体" w:hAnsi="宋体" w:eastAsia="宋体"/>
          <w:color w:val="auto"/>
          <w:sz w:val="21"/>
          <w:szCs w:val="21"/>
          <w:highlight w:val="none"/>
          <w:lang w:eastAsia="zh-CN"/>
        </w:rPr>
        <w:t>参照</w:t>
      </w:r>
      <w:r>
        <w:rPr>
          <w:rFonts w:hint="eastAsia" w:ascii="宋体" w:hAnsi="宋体" w:eastAsia="宋体"/>
          <w:color w:val="auto"/>
          <w:sz w:val="21"/>
          <w:szCs w:val="21"/>
          <w:highlight w:val="none"/>
        </w:rPr>
        <w:t>国家有关法律、法规以及采购管理有关规定和参照国际惯例编制，解释权属本采购代理机构。</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3"/>
        <w:spacing w:before="0" w:after="0" w:line="240" w:lineRule="auto"/>
        <w:rPr>
          <w:color w:val="auto"/>
          <w:sz w:val="28"/>
          <w:szCs w:val="28"/>
          <w:highlight w:val="none"/>
        </w:rPr>
      </w:pPr>
      <w:bookmarkStart w:id="110" w:name="_Toc1014"/>
      <w:r>
        <w:rPr>
          <w:rFonts w:hint="eastAsia"/>
          <w:color w:val="auto"/>
          <w:sz w:val="28"/>
          <w:szCs w:val="28"/>
          <w:highlight w:val="none"/>
        </w:rPr>
        <w:t>第五部分 合同格式（仅供参考）</w:t>
      </w:r>
      <w:bookmarkEnd w:id="110"/>
      <w:bookmarkStart w:id="111" w:name="_Toc13430"/>
      <w:bookmarkStart w:id="112" w:name="_Toc1534"/>
      <w:bookmarkStart w:id="113" w:name="_Toc21155"/>
    </w:p>
    <w:p>
      <w:pPr>
        <w:pageBreakBefore w:val="0"/>
        <w:numPr>
          <w:ilvl w:val="0"/>
          <w:numId w:val="0"/>
        </w:numPr>
        <w:kinsoku/>
        <w:topLinePunct w:val="0"/>
        <w:autoSpaceDE/>
        <w:autoSpaceDN/>
        <w:bidi w:val="0"/>
        <w:spacing w:before="0" w:after="0" w:line="360" w:lineRule="auto"/>
        <w:jc w:val="center"/>
        <w:outlineLvl w:val="9"/>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（本格式编排在</w:t>
      </w:r>
      <w:r>
        <w:rPr>
          <w:rFonts w:hint="eastAsia" w:ascii="宋体" w:hAnsi="宋体" w:eastAsia="宋体" w:cs="宋体"/>
          <w:b/>
          <w:bCs/>
          <w:color w:val="auto"/>
          <w:sz w:val="28"/>
          <w:szCs w:val="28"/>
          <w:highlight w:val="none"/>
          <w:lang w:eastAsia="zh-CN"/>
        </w:rPr>
        <w:t>遴选文件</w:t>
      </w:r>
      <w:r>
        <w:rPr>
          <w:rFonts w:hint="eastAsia" w:ascii="宋体" w:hAnsi="宋体" w:eastAsia="宋体" w:cs="宋体"/>
          <w:b/>
          <w:bCs/>
          <w:color w:val="auto"/>
          <w:sz w:val="28"/>
          <w:szCs w:val="28"/>
          <w:highlight w:val="none"/>
        </w:rPr>
        <w:t>中，供</w:t>
      </w:r>
      <w:r>
        <w:rPr>
          <w:rFonts w:hint="eastAsia" w:ascii="宋体" w:hAnsi="宋体" w:eastAsia="宋体" w:cs="宋体"/>
          <w:b/>
          <w:bCs/>
          <w:color w:val="auto"/>
          <w:sz w:val="28"/>
          <w:szCs w:val="28"/>
          <w:highlight w:val="none"/>
          <w:lang w:eastAsia="zh-CN"/>
        </w:rPr>
        <w:t>供应商</w:t>
      </w:r>
      <w:r>
        <w:rPr>
          <w:rFonts w:hint="eastAsia" w:ascii="宋体" w:hAnsi="宋体" w:eastAsia="宋体" w:cs="宋体"/>
          <w:b/>
          <w:bCs/>
          <w:color w:val="auto"/>
          <w:sz w:val="28"/>
          <w:szCs w:val="28"/>
          <w:highlight w:val="none"/>
        </w:rPr>
        <w:t>参考，</w:t>
      </w:r>
      <w:r>
        <w:rPr>
          <w:rFonts w:hint="eastAsia" w:ascii="宋体" w:hAnsi="宋体" w:eastAsia="宋体" w:cs="宋体"/>
          <w:b/>
          <w:bCs/>
          <w:color w:val="auto"/>
          <w:sz w:val="28"/>
          <w:szCs w:val="28"/>
          <w:highlight w:val="none"/>
          <w:lang w:eastAsia="zh-CN"/>
        </w:rPr>
        <w:t>响应</w:t>
      </w:r>
      <w:r>
        <w:rPr>
          <w:rFonts w:hint="eastAsia" w:ascii="宋体" w:hAnsi="宋体" w:eastAsia="宋体" w:cs="宋体"/>
          <w:b/>
          <w:bCs/>
          <w:color w:val="auto"/>
          <w:sz w:val="28"/>
          <w:szCs w:val="28"/>
          <w:highlight w:val="none"/>
        </w:rPr>
        <w:t>时不需填写）</w:t>
      </w:r>
    </w:p>
    <w:bookmarkEnd w:id="111"/>
    <w:bookmarkEnd w:id="112"/>
    <w:bookmarkEnd w:id="113"/>
    <w:p>
      <w:pPr>
        <w:pStyle w:val="4"/>
        <w:spacing w:before="0" w:after="0" w:line="360" w:lineRule="auto"/>
        <w:jc w:val="center"/>
        <w:rPr>
          <w:rFonts w:ascii="宋体" w:hAnsi="宋体" w:eastAsia="宋体" w:cs="宋体"/>
          <w:color w:val="auto"/>
          <w:highlight w:val="none"/>
        </w:rPr>
      </w:pPr>
      <w:bookmarkStart w:id="114" w:name="_Toc19043"/>
      <w:bookmarkStart w:id="115" w:name="_Toc4230"/>
      <w:r>
        <w:rPr>
          <w:rFonts w:hint="eastAsia" w:ascii="宋体" w:hAnsi="宋体" w:eastAsia="宋体" w:cs="宋体"/>
          <w:color w:val="auto"/>
          <w:highlight w:val="none"/>
        </w:rPr>
        <w:t>合同格式</w:t>
      </w:r>
      <w:bookmarkEnd w:id="114"/>
      <w:bookmarkEnd w:id="115"/>
    </w:p>
    <w:p>
      <w:pPr>
        <w:spacing w:line="400" w:lineRule="exac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0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0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乙方：“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单位</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甲方于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）进行遴选采购，经</w:t>
      </w:r>
      <w:r>
        <w:rPr>
          <w:rFonts w:hint="eastAsia" w:ascii="宋体" w:hAnsi="宋体" w:eastAsia="宋体"/>
          <w:color w:val="auto"/>
          <w:sz w:val="21"/>
          <w:szCs w:val="21"/>
          <w:highlight w:val="none"/>
          <w:lang w:eastAsia="zh-CN"/>
        </w:rPr>
        <w:t>评审小组</w:t>
      </w:r>
      <w:r>
        <w:rPr>
          <w:rFonts w:hint="eastAsia" w:ascii="宋体" w:hAnsi="宋体" w:eastAsia="宋体"/>
          <w:color w:val="auto"/>
          <w:sz w:val="21"/>
          <w:szCs w:val="21"/>
          <w:highlight w:val="none"/>
        </w:rPr>
        <w:t>评定乙方</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单位。为了保护甲、乙双方合法权益，根据《中华人民共和国民法典》</w:t>
      </w:r>
      <w:r>
        <w:rPr>
          <w:rFonts w:hint="eastAsia" w:ascii="宋体" w:hAnsi="宋体" w:eastAsia="宋体"/>
          <w:color w:val="auto"/>
          <w:sz w:val="21"/>
          <w:szCs w:val="21"/>
          <w:highlight w:val="none"/>
          <w:lang w:eastAsia="zh-CN"/>
        </w:rPr>
        <w:t>及遴选文件等要求</w:t>
      </w:r>
      <w:r>
        <w:rPr>
          <w:rFonts w:hint="eastAsia" w:ascii="宋体" w:hAnsi="宋体" w:eastAsia="宋体"/>
          <w:color w:val="auto"/>
          <w:sz w:val="21"/>
          <w:szCs w:val="21"/>
          <w:highlight w:val="none"/>
        </w:rPr>
        <w:t>，在平等自愿的基础上，按照下面的条款和条件，签署本合同。</w:t>
      </w:r>
    </w:p>
    <w:p>
      <w:pPr>
        <w:adjustRightInd/>
        <w:snapToGrid/>
        <w:spacing w:after="0" w:line="400" w:lineRule="exact"/>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adjustRightInd/>
        <w:snapToGrid/>
        <w:spacing w:after="0" w:line="400" w:lineRule="exact"/>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w:t>
      </w:r>
      <w:r>
        <w:rPr>
          <w:rFonts w:hint="eastAsia" w:ascii="宋体" w:hAnsi="宋体" w:eastAsia="宋体"/>
          <w:color w:val="auto"/>
          <w:sz w:val="21"/>
          <w:szCs w:val="21"/>
          <w:highlight w:val="none"/>
          <w:lang w:eastAsia="zh-CN"/>
        </w:rPr>
        <w:t>成交</w:t>
      </w:r>
      <w:r>
        <w:rPr>
          <w:rFonts w:hint="eastAsia" w:ascii="宋体" w:hAnsi="宋体" w:eastAsia="宋体"/>
          <w:color w:val="auto"/>
          <w:sz w:val="21"/>
          <w:szCs w:val="21"/>
          <w:highlight w:val="none"/>
        </w:rPr>
        <w:t>通知书、</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文件（含澄清内容）、遴选文件（含遴选文件澄清通知）等。</w:t>
      </w:r>
    </w:p>
    <w:p>
      <w:pPr>
        <w:adjustRightInd/>
        <w:snapToGrid/>
        <w:spacing w:after="0" w:line="400" w:lineRule="exact"/>
        <w:rPr>
          <w:rFonts w:ascii="宋体" w:hAnsi="宋体" w:eastAsia="宋体"/>
          <w:b/>
          <w:color w:val="auto"/>
          <w:sz w:val="21"/>
          <w:szCs w:val="21"/>
          <w:highlight w:val="none"/>
        </w:rPr>
      </w:pPr>
      <w:bookmarkStart w:id="116" w:name="_Toc86481558"/>
      <w:r>
        <w:rPr>
          <w:rFonts w:hint="eastAsia" w:ascii="宋体" w:hAnsi="宋体" w:eastAsia="宋体"/>
          <w:b/>
          <w:color w:val="auto"/>
          <w:sz w:val="21"/>
          <w:szCs w:val="21"/>
          <w:highlight w:val="none"/>
        </w:rPr>
        <w:t>第三条 服务内容、标准及要求</w:t>
      </w:r>
    </w:p>
    <w:p>
      <w:pPr>
        <w:adjustRightInd/>
        <w:snapToGrid/>
        <w:spacing w:after="0" w:line="400" w:lineRule="exact"/>
        <w:ind w:firstLine="420" w:firstLineChars="200"/>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adjustRightInd/>
        <w:snapToGrid/>
        <w:spacing w:after="0" w:line="400" w:lineRule="exact"/>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adjustRightInd/>
        <w:snapToGrid/>
        <w:spacing w:after="0" w:line="400" w:lineRule="exact"/>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adjustRightInd/>
        <w:snapToGrid/>
        <w:spacing w:after="0" w:line="400" w:lineRule="exact"/>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4、具体采购内容采购标准及要求以遴选文件用户需求书及乙方</w:t>
      </w:r>
      <w:r>
        <w:rPr>
          <w:rFonts w:hint="eastAsia" w:ascii="宋体" w:hAnsi="宋体" w:eastAsia="宋体" w:cs="仿宋"/>
          <w:color w:val="auto"/>
          <w:sz w:val="21"/>
          <w:szCs w:val="21"/>
          <w:highlight w:val="none"/>
          <w:shd w:val="clear" w:color="auto" w:fill="FFFFFF"/>
          <w:lang w:eastAsia="zh-CN"/>
        </w:rPr>
        <w:t>响应</w:t>
      </w:r>
      <w:r>
        <w:rPr>
          <w:rFonts w:hint="eastAsia" w:ascii="宋体" w:hAnsi="宋体" w:eastAsia="宋体" w:cs="仿宋"/>
          <w:color w:val="auto"/>
          <w:sz w:val="21"/>
          <w:szCs w:val="21"/>
          <w:highlight w:val="none"/>
          <w:shd w:val="clear" w:color="auto" w:fill="FFFFFF"/>
        </w:rPr>
        <w:t>文件承诺条款及方案为准。</w:t>
      </w:r>
    </w:p>
    <w:p>
      <w:pPr>
        <w:adjustRightInd/>
        <w:snapToGrid/>
        <w:spacing w:after="0" w:line="400" w:lineRule="exact"/>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adjustRightInd/>
        <w:snapToGrid/>
        <w:spacing w:after="0" w:line="400" w:lineRule="exact"/>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2、合同总价：（人民币）大写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adjustRightInd/>
        <w:snapToGrid/>
        <w:spacing w:after="0" w:line="400" w:lineRule="exact"/>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adjustRightInd/>
        <w:snapToGrid/>
        <w:spacing w:after="0" w:line="400" w:lineRule="exact"/>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17"/>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pStyle w:val="17"/>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2、本项目资金来源为财政性资金，</w:t>
      </w:r>
      <w:r>
        <w:rPr>
          <w:rFonts w:hint="eastAsia" w:ascii="宋体" w:hAnsi="宋体"/>
          <w:color w:val="auto"/>
          <w:sz w:val="21"/>
          <w:szCs w:val="21"/>
          <w:highlight w:val="none"/>
          <w:lang w:eastAsia="zh-CN"/>
        </w:rPr>
        <w:t>甲方</w:t>
      </w:r>
      <w:r>
        <w:rPr>
          <w:rFonts w:hint="eastAsia" w:ascii="宋体" w:hAnsi="宋体"/>
          <w:color w:val="auto"/>
          <w:sz w:val="21"/>
          <w:szCs w:val="21"/>
          <w:highlight w:val="none"/>
        </w:rPr>
        <w:t>在规定的付款时间为向政府采购支付部门提出办理财政支付申请手续的时间（不含政府财政支付部门审核的时间），在规定时间内提出支付申请手续后即视为</w:t>
      </w:r>
      <w:r>
        <w:rPr>
          <w:rFonts w:hint="eastAsia" w:ascii="宋体" w:hAnsi="宋体"/>
          <w:color w:val="auto"/>
          <w:sz w:val="21"/>
          <w:szCs w:val="21"/>
          <w:highlight w:val="none"/>
          <w:lang w:eastAsia="zh-CN"/>
        </w:rPr>
        <w:t>甲方</w:t>
      </w:r>
      <w:r>
        <w:rPr>
          <w:rFonts w:hint="eastAsia" w:ascii="宋体" w:hAnsi="宋体"/>
          <w:color w:val="auto"/>
          <w:sz w:val="21"/>
          <w:szCs w:val="21"/>
          <w:highlight w:val="none"/>
        </w:rPr>
        <w:t>已经按期支付。如因政策或付款流程影响，拨款未能及时到位，</w:t>
      </w:r>
      <w:r>
        <w:rPr>
          <w:rFonts w:hint="eastAsia" w:ascii="宋体" w:hAnsi="宋体"/>
          <w:color w:val="auto"/>
          <w:sz w:val="21"/>
          <w:szCs w:val="21"/>
          <w:highlight w:val="none"/>
          <w:lang w:eastAsia="zh-CN"/>
        </w:rPr>
        <w:t>甲方</w:t>
      </w:r>
      <w:r>
        <w:rPr>
          <w:rFonts w:hint="eastAsia" w:ascii="宋体" w:hAnsi="宋体"/>
          <w:color w:val="auto"/>
          <w:sz w:val="21"/>
          <w:szCs w:val="21"/>
          <w:highlight w:val="none"/>
        </w:rPr>
        <w:t>不承担逾期付款的责任，且</w:t>
      </w:r>
      <w:r>
        <w:rPr>
          <w:rFonts w:hint="eastAsia" w:ascii="宋体" w:hAnsi="宋体"/>
          <w:color w:val="auto"/>
          <w:sz w:val="21"/>
          <w:szCs w:val="21"/>
          <w:highlight w:val="none"/>
          <w:lang w:eastAsia="zh-CN"/>
        </w:rPr>
        <w:t>乙方</w:t>
      </w:r>
      <w:r>
        <w:rPr>
          <w:rFonts w:hint="eastAsia" w:ascii="宋体" w:hAnsi="宋体"/>
          <w:color w:val="auto"/>
          <w:sz w:val="21"/>
          <w:szCs w:val="21"/>
          <w:highlight w:val="none"/>
        </w:rPr>
        <w:t>不得以此为由而不履行本合同约定的义务。否则，</w:t>
      </w:r>
      <w:r>
        <w:rPr>
          <w:rFonts w:hint="eastAsia" w:ascii="宋体" w:hAnsi="宋体"/>
          <w:color w:val="auto"/>
          <w:sz w:val="21"/>
          <w:szCs w:val="21"/>
          <w:highlight w:val="none"/>
          <w:lang w:eastAsia="zh-CN"/>
        </w:rPr>
        <w:t>甲方</w:t>
      </w:r>
      <w:r>
        <w:rPr>
          <w:rFonts w:hint="eastAsia" w:ascii="宋体" w:hAnsi="宋体"/>
          <w:color w:val="auto"/>
          <w:sz w:val="21"/>
          <w:szCs w:val="21"/>
          <w:highlight w:val="none"/>
        </w:rPr>
        <w:t>有权按约定追究</w:t>
      </w:r>
      <w:r>
        <w:rPr>
          <w:rFonts w:hint="eastAsia" w:ascii="宋体" w:hAnsi="宋体"/>
          <w:color w:val="auto"/>
          <w:sz w:val="21"/>
          <w:szCs w:val="21"/>
          <w:highlight w:val="none"/>
          <w:lang w:eastAsia="zh-CN"/>
        </w:rPr>
        <w:t>乙方</w:t>
      </w:r>
      <w:r>
        <w:rPr>
          <w:rFonts w:hint="eastAsia" w:ascii="宋体" w:hAnsi="宋体"/>
          <w:color w:val="auto"/>
          <w:sz w:val="21"/>
          <w:szCs w:val="21"/>
          <w:highlight w:val="none"/>
        </w:rPr>
        <w:t>的违约责任。</w:t>
      </w:r>
    </w:p>
    <w:p>
      <w:pPr>
        <w:adjustRightInd/>
        <w:snapToGrid/>
        <w:spacing w:after="0" w:line="400" w:lineRule="exact"/>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17"/>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17"/>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17"/>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adjustRightInd/>
        <w:snapToGrid/>
        <w:spacing w:after="0" w:line="400" w:lineRule="exact"/>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17"/>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17"/>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17"/>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adjustRightInd/>
        <w:snapToGrid/>
        <w:spacing w:after="0" w:line="400" w:lineRule="exact"/>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adjustRightInd/>
        <w:snapToGrid/>
        <w:spacing w:after="0" w:line="400" w:lineRule="exact"/>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adjustRightInd/>
        <w:snapToGrid/>
        <w:spacing w:after="0" w:line="400" w:lineRule="exact"/>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adjustRightInd/>
        <w:snapToGrid/>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1、乙方有下列情形之一的，甲方有权解除本合同并要求乙方支付相当于3个月物业管理服务费的违约金：</w:t>
      </w:r>
    </w:p>
    <w:p>
      <w:pPr>
        <w:adjustRightInd/>
        <w:snapToGrid/>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（1）无正当理由不履行合同义务的；</w:t>
      </w:r>
    </w:p>
    <w:p>
      <w:pPr>
        <w:adjustRightInd/>
        <w:snapToGrid/>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（2）将本项目转包、分包的；</w:t>
      </w:r>
    </w:p>
    <w:p>
      <w:pPr>
        <w:adjustRightInd/>
        <w:snapToGrid/>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（3）收到甲方或甲方人员的合理投诉后拒不改正达3次的；</w:t>
      </w:r>
    </w:p>
    <w:p>
      <w:pPr>
        <w:adjustRightInd/>
        <w:snapToGrid/>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（4）各项服务量化指标在甲方组织的定期或不定期检查中未能达到标准达3次的；</w:t>
      </w:r>
    </w:p>
    <w:p>
      <w:pPr>
        <w:adjustRightInd/>
        <w:snapToGrid/>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（5）因乙方管理维护不当，导致发生财产损失达2万元或者人身损害的；</w:t>
      </w:r>
    </w:p>
    <w:p>
      <w:pPr>
        <w:adjustRightInd/>
        <w:snapToGrid/>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（6）其他严重违约责任。</w:t>
      </w:r>
    </w:p>
    <w:p>
      <w:pPr>
        <w:adjustRightInd/>
        <w:snapToGrid/>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2、乙方及乙方工作人员应当严守保密义务，对于甲方工作场所内部情况及乙方在工作过程中接触的文件、资料等进行严格保密，否则甲方有权解除合同并要求支付相当于3个月物业管理服务费的违约金。</w:t>
      </w:r>
    </w:p>
    <w:p>
      <w:pPr>
        <w:adjustRightInd/>
        <w:snapToGrid/>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3、乙方人员存在下列情形之一的，甲方有权要求乙方在3日内予以更换：（1）年度内迟到早退达5次或缺勤达3天的；（2）怠于履行工作职责或工作态度不端的；（3）存在其他严重不当行为的。</w:t>
      </w:r>
    </w:p>
    <w:p>
      <w:pPr>
        <w:ind w:firstLine="0" w:firstLineChars="0"/>
        <w:rPr>
          <w:rFonts w:hint="default" w:eastAsia="微软雅黑"/>
          <w:color w:val="auto"/>
          <w:highlight w:val="none"/>
          <w:lang w:val="en-US" w:eastAsia="zh-CN"/>
        </w:rPr>
      </w:pPr>
    </w:p>
    <w:bookmarkEnd w:id="116"/>
    <w:p>
      <w:pPr>
        <w:adjustRightInd/>
        <w:snapToGrid/>
        <w:spacing w:after="0" w:line="400" w:lineRule="exact"/>
        <w:rPr>
          <w:rFonts w:ascii="宋体" w:hAnsi="宋体" w:eastAsia="宋体"/>
          <w:b/>
          <w:color w:val="auto"/>
          <w:sz w:val="21"/>
          <w:szCs w:val="21"/>
          <w:highlight w:val="none"/>
        </w:rPr>
      </w:pPr>
      <w:bookmarkStart w:id="117" w:name="_Toc86481570"/>
      <w:r>
        <w:rPr>
          <w:rFonts w:hint="eastAsia" w:ascii="宋体" w:hAnsi="宋体" w:eastAsia="宋体"/>
          <w:b/>
          <w:color w:val="auto"/>
          <w:sz w:val="21"/>
          <w:szCs w:val="21"/>
          <w:highlight w:val="none"/>
        </w:rPr>
        <w:t>第十一条 争议的解决</w:t>
      </w:r>
    </w:p>
    <w:p>
      <w:pPr>
        <w:adjustRightInd/>
        <w:snapToGrid/>
        <w:spacing w:after="0"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adjustRightInd/>
        <w:snapToGrid/>
        <w:spacing w:after="0"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2、本合同发生的诉讼管辖地为甲方所在地人民法院。</w:t>
      </w:r>
    </w:p>
    <w:p>
      <w:pPr>
        <w:adjustRightInd/>
        <w:snapToGrid/>
        <w:spacing w:after="0"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adjustRightInd/>
        <w:snapToGrid/>
        <w:spacing w:after="0" w:line="400" w:lineRule="exact"/>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adjustRightInd/>
        <w:snapToGrid/>
        <w:spacing w:after="0" w:line="400" w:lineRule="exact"/>
        <w:rPr>
          <w:rFonts w:ascii="宋体" w:hAnsi="宋体" w:eastAsia="宋体"/>
          <w:b/>
          <w:color w:val="auto"/>
          <w:sz w:val="21"/>
          <w:szCs w:val="21"/>
          <w:highlight w:val="none"/>
        </w:rPr>
      </w:pPr>
      <w:bookmarkStart w:id="118" w:name="_Toc86481569"/>
      <w:r>
        <w:rPr>
          <w:rFonts w:hint="eastAsia" w:ascii="宋体" w:hAnsi="宋体" w:eastAsia="宋体"/>
          <w:b/>
          <w:color w:val="auto"/>
          <w:sz w:val="21"/>
          <w:szCs w:val="21"/>
          <w:highlight w:val="none"/>
        </w:rPr>
        <w:t>第十二条 合同生效</w:t>
      </w:r>
      <w:bookmarkEnd w:id="118"/>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w:t>
      </w:r>
    </w:p>
    <w:p>
      <w:pPr>
        <w:adjustRightInd/>
        <w:snapToGrid/>
        <w:spacing w:after="0" w:line="400" w:lineRule="exact"/>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117"/>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adjustRightInd/>
        <w:snapToGrid/>
        <w:spacing w:after="0" w:line="360" w:lineRule="auto"/>
        <w:ind w:firstLine="420" w:firstLineChars="200"/>
        <w:rPr>
          <w:rFonts w:ascii="宋体" w:hAnsi="宋体" w:eastAsia="宋体"/>
          <w:color w:val="auto"/>
          <w:sz w:val="21"/>
          <w:szCs w:val="21"/>
          <w:highlight w:val="none"/>
        </w:rPr>
      </w:pPr>
    </w:p>
    <w:p>
      <w:pPr>
        <w:adjustRightInd/>
        <w:snapToGrid/>
        <w:spacing w:after="0" w:line="360" w:lineRule="auto"/>
        <w:ind w:firstLine="420" w:firstLineChars="200"/>
        <w:rPr>
          <w:rFonts w:ascii="宋体" w:hAnsi="宋体" w:eastAsia="宋体"/>
          <w:color w:val="auto"/>
          <w:sz w:val="21"/>
          <w:szCs w:val="21"/>
          <w:highlight w:val="none"/>
        </w:rPr>
      </w:pP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hint="eastAsia" w:ascii="宋体" w:hAnsi="宋体" w:eastAsia="宋体"/>
          <w:b/>
          <w:color w:val="auto"/>
          <w:sz w:val="21"/>
          <w:szCs w:val="21"/>
          <w:highlight w:val="none"/>
        </w:rPr>
      </w:pP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w:t>
      </w:r>
      <w:r>
        <w:rPr>
          <w:rFonts w:hint="eastAsia" w:ascii="宋体" w:hAnsi="宋体" w:eastAsia="宋体"/>
          <w:b/>
          <w:color w:val="auto"/>
          <w:sz w:val="21"/>
          <w:szCs w:val="21"/>
          <w:highlight w:val="none"/>
          <w:lang w:eastAsia="zh-CN"/>
        </w:rPr>
        <w:t>成交供应商</w:t>
      </w:r>
      <w:r>
        <w:rPr>
          <w:rFonts w:hint="eastAsia" w:ascii="宋体" w:hAnsi="宋体" w:eastAsia="宋体"/>
          <w:b/>
          <w:color w:val="auto"/>
          <w:sz w:val="21"/>
          <w:szCs w:val="21"/>
          <w:highlight w:val="none"/>
        </w:rPr>
        <w:t>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3"/>
        <w:spacing w:before="0" w:after="0" w:line="240" w:lineRule="auto"/>
        <w:rPr>
          <w:color w:val="auto"/>
          <w:sz w:val="28"/>
          <w:szCs w:val="28"/>
          <w:highlight w:val="none"/>
        </w:rPr>
      </w:pPr>
      <w:bookmarkStart w:id="119" w:name="_Toc27677"/>
      <w:r>
        <w:rPr>
          <w:rFonts w:hint="eastAsia"/>
          <w:color w:val="auto"/>
          <w:sz w:val="28"/>
          <w:szCs w:val="28"/>
          <w:highlight w:val="none"/>
        </w:rPr>
        <w:t>第六部分  附件－</w:t>
      </w:r>
      <w:r>
        <w:rPr>
          <w:rFonts w:hint="eastAsia"/>
          <w:color w:val="auto"/>
          <w:sz w:val="28"/>
          <w:szCs w:val="28"/>
          <w:highlight w:val="none"/>
          <w:lang w:eastAsia="zh-CN"/>
        </w:rPr>
        <w:t>响应文件</w:t>
      </w:r>
      <w:r>
        <w:rPr>
          <w:rFonts w:hint="eastAsia"/>
          <w:color w:val="auto"/>
          <w:sz w:val="28"/>
          <w:szCs w:val="28"/>
          <w:highlight w:val="none"/>
        </w:rPr>
        <w:t>格式</w:t>
      </w:r>
      <w:bookmarkEnd w:id="119"/>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120" w:name="_Toc28723"/>
      <w:r>
        <w:rPr>
          <w:rFonts w:hint="eastAsia" w:ascii="宋体" w:hAnsi="宋体" w:eastAsia="宋体"/>
          <w:color w:val="auto"/>
          <w:sz w:val="21"/>
          <w:szCs w:val="21"/>
          <w:highlight w:val="none"/>
        </w:rPr>
        <w:t>附件1.</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目录</w:t>
      </w:r>
      <w:bookmarkEnd w:id="120"/>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制作的</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应当具备目录。</w:t>
      </w:r>
      <w:r>
        <w:rPr>
          <w:rFonts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21" w:name="_Toc30676"/>
      <w:bookmarkStart w:id="122" w:name="_Toc3920"/>
      <w:bookmarkStart w:id="123" w:name="_Toc2419"/>
      <w:bookmarkStart w:id="124" w:name="_Toc31472"/>
      <w:r>
        <w:rPr>
          <w:rFonts w:hint="eastAsia" w:ascii="宋体" w:hAnsi="宋体" w:eastAsia="宋体"/>
          <w:color w:val="auto"/>
          <w:sz w:val="21"/>
          <w:szCs w:val="21"/>
          <w:highlight w:val="none"/>
        </w:rPr>
        <w:t>附件1-1 评分标准索引表</w:t>
      </w:r>
      <w:bookmarkEnd w:id="121"/>
      <w:bookmarkEnd w:id="122"/>
      <w:bookmarkEnd w:id="123"/>
      <w:bookmarkEnd w:id="124"/>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703"/>
        <w:gridCol w:w="1703"/>
        <w:gridCol w:w="1704"/>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99" w:type="pct"/>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999" w:type="pct"/>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999" w:type="pct"/>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000" w:type="pct"/>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000" w:type="pct"/>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000" w:type="pct"/>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99" w:type="pct"/>
            <w:vAlign w:val="center"/>
          </w:tcPr>
          <w:p>
            <w:pPr>
              <w:spacing w:after="0"/>
              <w:jc w:val="center"/>
              <w:rPr>
                <w:rFonts w:ascii="宋体" w:hAnsi="宋体" w:eastAsia="宋体" w:cs="宋体"/>
                <w:color w:val="auto"/>
                <w:highlight w:val="none"/>
              </w:rPr>
            </w:pPr>
          </w:p>
        </w:tc>
        <w:tc>
          <w:tcPr>
            <w:tcW w:w="999" w:type="pct"/>
            <w:vAlign w:val="center"/>
          </w:tcPr>
          <w:p>
            <w:pPr>
              <w:spacing w:after="0"/>
              <w:jc w:val="center"/>
              <w:rPr>
                <w:rFonts w:ascii="宋体" w:hAnsi="宋体" w:eastAsia="宋体" w:cs="宋体"/>
                <w:color w:val="auto"/>
                <w:highlight w:val="none"/>
              </w:rPr>
            </w:pPr>
          </w:p>
        </w:tc>
        <w:tc>
          <w:tcPr>
            <w:tcW w:w="999" w:type="pct"/>
            <w:vAlign w:val="center"/>
          </w:tcPr>
          <w:p>
            <w:pPr>
              <w:spacing w:after="0"/>
              <w:jc w:val="center"/>
              <w:rPr>
                <w:rFonts w:ascii="宋体" w:hAnsi="宋体" w:eastAsia="宋体" w:cs="宋体"/>
                <w:color w:val="auto"/>
                <w:highlight w:val="none"/>
              </w:rPr>
            </w:pPr>
          </w:p>
        </w:tc>
        <w:tc>
          <w:tcPr>
            <w:tcW w:w="1000" w:type="pct"/>
            <w:vAlign w:val="center"/>
          </w:tcPr>
          <w:p>
            <w:pPr>
              <w:spacing w:after="0"/>
              <w:jc w:val="center"/>
              <w:rPr>
                <w:rFonts w:ascii="宋体" w:hAnsi="宋体" w:eastAsia="宋体" w:cs="宋体"/>
                <w:color w:val="auto"/>
                <w:highlight w:val="none"/>
              </w:rPr>
            </w:pPr>
          </w:p>
        </w:tc>
        <w:tc>
          <w:tcPr>
            <w:tcW w:w="1000" w:type="pct"/>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99" w:type="pct"/>
            <w:vAlign w:val="center"/>
          </w:tcPr>
          <w:p>
            <w:pPr>
              <w:spacing w:after="0"/>
              <w:jc w:val="center"/>
              <w:rPr>
                <w:rFonts w:ascii="宋体" w:hAnsi="宋体" w:eastAsia="宋体" w:cs="宋体"/>
                <w:color w:val="auto"/>
                <w:highlight w:val="none"/>
              </w:rPr>
            </w:pPr>
          </w:p>
        </w:tc>
        <w:tc>
          <w:tcPr>
            <w:tcW w:w="999" w:type="pct"/>
            <w:vAlign w:val="center"/>
          </w:tcPr>
          <w:p>
            <w:pPr>
              <w:spacing w:after="0"/>
              <w:jc w:val="center"/>
              <w:rPr>
                <w:rFonts w:ascii="宋体" w:hAnsi="宋体" w:eastAsia="宋体" w:cs="宋体"/>
                <w:color w:val="auto"/>
                <w:highlight w:val="none"/>
              </w:rPr>
            </w:pPr>
          </w:p>
        </w:tc>
        <w:tc>
          <w:tcPr>
            <w:tcW w:w="999" w:type="pct"/>
            <w:vAlign w:val="center"/>
          </w:tcPr>
          <w:p>
            <w:pPr>
              <w:spacing w:after="0"/>
              <w:jc w:val="center"/>
              <w:rPr>
                <w:rFonts w:ascii="宋体" w:hAnsi="宋体" w:eastAsia="宋体" w:cs="宋体"/>
                <w:color w:val="auto"/>
                <w:highlight w:val="none"/>
              </w:rPr>
            </w:pPr>
          </w:p>
        </w:tc>
        <w:tc>
          <w:tcPr>
            <w:tcW w:w="1000" w:type="pct"/>
            <w:vAlign w:val="center"/>
          </w:tcPr>
          <w:p>
            <w:pPr>
              <w:spacing w:after="0"/>
              <w:jc w:val="center"/>
              <w:rPr>
                <w:rFonts w:ascii="宋体" w:hAnsi="宋体" w:eastAsia="宋体" w:cs="宋体"/>
                <w:color w:val="auto"/>
                <w:highlight w:val="none"/>
              </w:rPr>
            </w:pPr>
          </w:p>
        </w:tc>
        <w:tc>
          <w:tcPr>
            <w:tcW w:w="1000" w:type="pct"/>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99" w:type="pct"/>
            <w:vAlign w:val="center"/>
          </w:tcPr>
          <w:p>
            <w:pPr>
              <w:spacing w:after="0"/>
              <w:jc w:val="center"/>
              <w:rPr>
                <w:rFonts w:ascii="宋体" w:hAnsi="宋体" w:eastAsia="宋体" w:cs="宋体"/>
                <w:color w:val="auto"/>
                <w:highlight w:val="none"/>
              </w:rPr>
            </w:pPr>
          </w:p>
        </w:tc>
        <w:tc>
          <w:tcPr>
            <w:tcW w:w="999" w:type="pct"/>
            <w:vAlign w:val="center"/>
          </w:tcPr>
          <w:p>
            <w:pPr>
              <w:spacing w:after="0"/>
              <w:jc w:val="center"/>
              <w:rPr>
                <w:rFonts w:ascii="宋体" w:hAnsi="宋体" w:eastAsia="宋体" w:cs="宋体"/>
                <w:color w:val="auto"/>
                <w:highlight w:val="none"/>
              </w:rPr>
            </w:pPr>
          </w:p>
        </w:tc>
        <w:tc>
          <w:tcPr>
            <w:tcW w:w="999" w:type="pct"/>
            <w:vAlign w:val="center"/>
          </w:tcPr>
          <w:p>
            <w:pPr>
              <w:spacing w:after="0"/>
              <w:jc w:val="center"/>
              <w:rPr>
                <w:rFonts w:ascii="宋体" w:hAnsi="宋体" w:eastAsia="宋体" w:cs="宋体"/>
                <w:color w:val="auto"/>
                <w:highlight w:val="none"/>
              </w:rPr>
            </w:pPr>
          </w:p>
        </w:tc>
        <w:tc>
          <w:tcPr>
            <w:tcW w:w="1000" w:type="pct"/>
            <w:vAlign w:val="center"/>
          </w:tcPr>
          <w:p>
            <w:pPr>
              <w:spacing w:after="0"/>
              <w:jc w:val="center"/>
              <w:rPr>
                <w:rFonts w:ascii="宋体" w:hAnsi="宋体" w:eastAsia="宋体" w:cs="宋体"/>
                <w:color w:val="auto"/>
                <w:highlight w:val="none"/>
              </w:rPr>
            </w:pPr>
          </w:p>
        </w:tc>
        <w:tc>
          <w:tcPr>
            <w:tcW w:w="1000" w:type="pct"/>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000" w:type="pct"/>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99" w:type="pct"/>
            <w:vAlign w:val="center"/>
          </w:tcPr>
          <w:p>
            <w:pPr>
              <w:spacing w:after="0"/>
              <w:jc w:val="center"/>
              <w:rPr>
                <w:rFonts w:ascii="宋体" w:hAnsi="宋体" w:eastAsia="宋体" w:cs="宋体"/>
                <w:color w:val="auto"/>
                <w:highlight w:val="none"/>
              </w:rPr>
            </w:pPr>
          </w:p>
        </w:tc>
        <w:tc>
          <w:tcPr>
            <w:tcW w:w="999" w:type="pct"/>
            <w:vAlign w:val="center"/>
          </w:tcPr>
          <w:p>
            <w:pPr>
              <w:spacing w:after="0"/>
              <w:jc w:val="center"/>
              <w:rPr>
                <w:rFonts w:ascii="宋体" w:hAnsi="宋体" w:eastAsia="宋体" w:cs="宋体"/>
                <w:color w:val="auto"/>
                <w:highlight w:val="none"/>
              </w:rPr>
            </w:pPr>
          </w:p>
        </w:tc>
        <w:tc>
          <w:tcPr>
            <w:tcW w:w="999" w:type="pct"/>
            <w:vAlign w:val="center"/>
          </w:tcPr>
          <w:p>
            <w:pPr>
              <w:spacing w:after="0"/>
              <w:jc w:val="center"/>
              <w:rPr>
                <w:rFonts w:ascii="宋体" w:hAnsi="宋体" w:eastAsia="宋体" w:cs="宋体"/>
                <w:color w:val="auto"/>
                <w:highlight w:val="none"/>
              </w:rPr>
            </w:pPr>
          </w:p>
        </w:tc>
        <w:tc>
          <w:tcPr>
            <w:tcW w:w="1000" w:type="pct"/>
            <w:vAlign w:val="center"/>
          </w:tcPr>
          <w:p>
            <w:pPr>
              <w:spacing w:after="0"/>
              <w:jc w:val="center"/>
              <w:rPr>
                <w:rFonts w:ascii="宋体" w:hAnsi="宋体" w:eastAsia="宋体" w:cs="宋体"/>
                <w:color w:val="auto"/>
                <w:highlight w:val="none"/>
              </w:rPr>
            </w:pPr>
          </w:p>
        </w:tc>
        <w:tc>
          <w:tcPr>
            <w:tcW w:w="1000" w:type="pct"/>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99" w:type="pct"/>
            <w:vAlign w:val="center"/>
          </w:tcPr>
          <w:p>
            <w:pPr>
              <w:spacing w:after="0"/>
              <w:jc w:val="center"/>
              <w:rPr>
                <w:rFonts w:ascii="宋体" w:hAnsi="宋体" w:eastAsia="宋体" w:cs="宋体"/>
                <w:color w:val="auto"/>
                <w:highlight w:val="none"/>
              </w:rPr>
            </w:pPr>
          </w:p>
        </w:tc>
        <w:tc>
          <w:tcPr>
            <w:tcW w:w="999" w:type="pct"/>
            <w:vAlign w:val="center"/>
          </w:tcPr>
          <w:p>
            <w:pPr>
              <w:spacing w:after="0"/>
              <w:jc w:val="center"/>
              <w:rPr>
                <w:rFonts w:ascii="宋体" w:hAnsi="宋体" w:eastAsia="宋体" w:cs="宋体"/>
                <w:color w:val="auto"/>
                <w:highlight w:val="none"/>
              </w:rPr>
            </w:pPr>
          </w:p>
        </w:tc>
        <w:tc>
          <w:tcPr>
            <w:tcW w:w="999" w:type="pct"/>
            <w:vAlign w:val="center"/>
          </w:tcPr>
          <w:p>
            <w:pPr>
              <w:spacing w:after="0"/>
              <w:jc w:val="center"/>
              <w:rPr>
                <w:rFonts w:ascii="宋体" w:hAnsi="宋体" w:eastAsia="宋体" w:cs="宋体"/>
                <w:color w:val="auto"/>
                <w:highlight w:val="none"/>
              </w:rPr>
            </w:pPr>
          </w:p>
        </w:tc>
        <w:tc>
          <w:tcPr>
            <w:tcW w:w="1000" w:type="pct"/>
            <w:vAlign w:val="center"/>
          </w:tcPr>
          <w:p>
            <w:pPr>
              <w:spacing w:after="0"/>
              <w:jc w:val="center"/>
              <w:rPr>
                <w:rFonts w:ascii="宋体" w:hAnsi="宋体" w:eastAsia="宋体" w:cs="宋体"/>
                <w:color w:val="auto"/>
                <w:highlight w:val="none"/>
              </w:rPr>
            </w:pPr>
          </w:p>
        </w:tc>
        <w:tc>
          <w:tcPr>
            <w:tcW w:w="1000" w:type="pct"/>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99" w:type="pct"/>
            <w:vAlign w:val="center"/>
          </w:tcPr>
          <w:p>
            <w:pPr>
              <w:spacing w:after="0"/>
              <w:jc w:val="center"/>
              <w:rPr>
                <w:rFonts w:ascii="宋体" w:hAnsi="宋体" w:eastAsia="宋体" w:cs="宋体"/>
                <w:color w:val="auto"/>
                <w:highlight w:val="none"/>
              </w:rPr>
            </w:pPr>
          </w:p>
        </w:tc>
        <w:tc>
          <w:tcPr>
            <w:tcW w:w="999" w:type="pct"/>
            <w:vAlign w:val="center"/>
          </w:tcPr>
          <w:p>
            <w:pPr>
              <w:spacing w:after="0"/>
              <w:jc w:val="center"/>
              <w:rPr>
                <w:rFonts w:ascii="宋体" w:hAnsi="宋体" w:eastAsia="宋体" w:cs="宋体"/>
                <w:color w:val="auto"/>
                <w:highlight w:val="none"/>
              </w:rPr>
            </w:pPr>
          </w:p>
        </w:tc>
        <w:tc>
          <w:tcPr>
            <w:tcW w:w="999" w:type="pct"/>
            <w:vAlign w:val="center"/>
          </w:tcPr>
          <w:p>
            <w:pPr>
              <w:spacing w:after="0"/>
              <w:jc w:val="center"/>
              <w:rPr>
                <w:rFonts w:ascii="宋体" w:hAnsi="宋体" w:eastAsia="宋体" w:cs="宋体"/>
                <w:color w:val="auto"/>
                <w:highlight w:val="none"/>
              </w:rPr>
            </w:pPr>
          </w:p>
        </w:tc>
        <w:tc>
          <w:tcPr>
            <w:tcW w:w="1000" w:type="pct"/>
            <w:vAlign w:val="center"/>
          </w:tcPr>
          <w:p>
            <w:pPr>
              <w:spacing w:after="0"/>
              <w:jc w:val="center"/>
              <w:rPr>
                <w:rFonts w:ascii="宋体" w:hAnsi="宋体" w:eastAsia="宋体" w:cs="宋体"/>
                <w:color w:val="auto"/>
                <w:highlight w:val="none"/>
              </w:rPr>
            </w:pPr>
          </w:p>
        </w:tc>
        <w:tc>
          <w:tcPr>
            <w:tcW w:w="1000" w:type="pct"/>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7"/>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可按实际情况自行制订评分标准索引表。</w:t>
      </w:r>
    </w:p>
    <w:p>
      <w:pPr>
        <w:pStyle w:val="8"/>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25" w:name="_Toc8206"/>
      <w:r>
        <w:rPr>
          <w:rFonts w:hint="eastAsia" w:ascii="宋体" w:hAnsi="宋体" w:eastAsia="宋体"/>
          <w:color w:val="auto"/>
          <w:sz w:val="21"/>
          <w:szCs w:val="21"/>
          <w:highlight w:val="none"/>
        </w:rPr>
        <w:t>附件2.</w:t>
      </w:r>
      <w:r>
        <w:rPr>
          <w:rFonts w:hint="eastAsia" w:ascii="宋体" w:hAnsi="宋体" w:eastAsia="宋体"/>
          <w:color w:val="auto"/>
          <w:sz w:val="21"/>
          <w:szCs w:val="21"/>
          <w:highlight w:val="none"/>
          <w:lang w:eastAsia="zh-CN"/>
        </w:rPr>
        <w:t>响应书</w:t>
      </w:r>
      <w:r>
        <w:rPr>
          <w:rFonts w:hint="eastAsia" w:ascii="宋体" w:hAnsi="宋体" w:eastAsia="宋体"/>
          <w:color w:val="auto"/>
          <w:sz w:val="21"/>
          <w:szCs w:val="21"/>
          <w:highlight w:val="none"/>
        </w:rPr>
        <w:t>格式</w:t>
      </w:r>
      <w:bookmarkEnd w:id="125"/>
    </w:p>
    <w:p>
      <w:pPr>
        <w:jc w:val="center"/>
        <w:rPr>
          <w:rFonts w:ascii="宋体" w:hAnsi="宋体" w:eastAsia="宋体"/>
          <w:color w:val="auto"/>
          <w:sz w:val="21"/>
          <w:szCs w:val="21"/>
          <w:highlight w:val="none"/>
        </w:rPr>
      </w:pPr>
      <w:r>
        <w:rPr>
          <w:rFonts w:hint="eastAsia" w:ascii="黑体" w:eastAsia="黑体"/>
          <w:color w:val="auto"/>
          <w:sz w:val="32"/>
          <w:szCs w:val="32"/>
          <w:highlight w:val="none"/>
          <w:lang w:eastAsia="zh-CN"/>
        </w:rPr>
        <w:t>响应</w:t>
      </w:r>
      <w:r>
        <w:rPr>
          <w:rFonts w:hint="eastAsia" w:ascii="黑体" w:eastAsia="黑体"/>
          <w:color w:val="auto"/>
          <w:sz w:val="32"/>
          <w:szCs w:val="32"/>
          <w:highlight w:val="none"/>
        </w:rPr>
        <w:t>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w:t>
      </w:r>
      <w:r>
        <w:rPr>
          <w:rFonts w:hint="eastAsia" w:ascii="宋体" w:hAnsi="宋体" w:eastAsia="宋体"/>
          <w:color w:val="auto"/>
          <w:sz w:val="21"/>
          <w:szCs w:val="21"/>
          <w:highlight w:val="none"/>
          <w:u w:val="single"/>
          <w:lang w:eastAsia="zh-CN"/>
        </w:rPr>
        <w:t>项目编号</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公告/</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u w:val="single"/>
          <w:lang w:eastAsia="zh-CN"/>
        </w:rPr>
        <w:t>供应商</w:t>
      </w:r>
      <w:r>
        <w:rPr>
          <w:rFonts w:hint="eastAsia" w:ascii="宋体" w:hAnsi="宋体" w:eastAsia="宋体"/>
          <w:color w:val="auto"/>
          <w:sz w:val="21"/>
          <w:szCs w:val="21"/>
          <w:highlight w:val="none"/>
          <w:u w:val="single"/>
        </w:rPr>
        <w:t>名称、地址）</w:t>
      </w:r>
      <w:r>
        <w:rPr>
          <w:rFonts w:hint="eastAsia" w:ascii="宋体" w:hAnsi="宋体" w:eastAsia="宋体"/>
          <w:color w:val="auto"/>
          <w:sz w:val="21"/>
          <w:szCs w:val="21"/>
          <w:highlight w:val="none"/>
        </w:rPr>
        <w:t>提交</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及“</w:t>
      </w:r>
      <w:r>
        <w:rPr>
          <w:rFonts w:hint="eastAsia" w:ascii="宋体" w:hAnsi="宋体" w:eastAsia="宋体"/>
          <w:color w:val="auto"/>
          <w:sz w:val="21"/>
          <w:szCs w:val="21"/>
          <w:highlight w:val="none"/>
          <w:lang w:eastAsia="zh-CN"/>
        </w:rPr>
        <w:t>开标文件</w:t>
      </w:r>
      <w:r>
        <w:rPr>
          <w:rFonts w:hint="eastAsia" w:ascii="宋体" w:hAns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我方将按</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 xml:space="preserve">的规定履行合同责任和义务。 </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w:t>
      </w:r>
      <w:r>
        <w:rPr>
          <w:rFonts w:hint="eastAsia" w:ascii="宋体" w:hAnsi="宋体" w:eastAsia="宋体"/>
          <w:b/>
          <w:color w:val="auto"/>
          <w:sz w:val="21"/>
          <w:szCs w:val="21"/>
          <w:highlight w:val="none"/>
          <w:lang w:eastAsia="zh-CN"/>
        </w:rPr>
        <w:t>遴选文件</w:t>
      </w:r>
      <w:r>
        <w:rPr>
          <w:rFonts w:hint="eastAsia" w:ascii="宋体" w:hAnsi="宋体" w:eastAsia="宋体"/>
          <w:b/>
          <w:color w:val="auto"/>
          <w:sz w:val="21"/>
          <w:szCs w:val="21"/>
          <w:highlight w:val="none"/>
        </w:rPr>
        <w:t>的所有内容（包括澄清，以及所有已提供的参考资料和有关附件），并完全理解上述文件所表达的意思，该项目递交</w:t>
      </w:r>
      <w:r>
        <w:rPr>
          <w:rFonts w:hint="eastAsia" w:ascii="宋体" w:hAnsi="宋体" w:eastAsia="宋体"/>
          <w:b/>
          <w:color w:val="auto"/>
          <w:sz w:val="21"/>
          <w:szCs w:val="21"/>
          <w:highlight w:val="none"/>
          <w:lang w:eastAsia="zh-CN"/>
        </w:rPr>
        <w:t>响应文件</w:t>
      </w:r>
      <w:r>
        <w:rPr>
          <w:rFonts w:hint="eastAsia" w:ascii="宋体" w:hAnsi="宋体" w:eastAsia="宋体"/>
          <w:b/>
          <w:color w:val="auto"/>
          <w:sz w:val="21"/>
          <w:szCs w:val="21"/>
          <w:highlight w:val="none"/>
        </w:rPr>
        <w:t>时间截止后，我方承诺不再对上述文件内容进行询问或质疑。</w:t>
      </w:r>
      <w:r>
        <w:rPr>
          <w:rFonts w:hint="eastAsia" w:ascii="宋体" w:hAnsi="宋体" w:eastAsia="宋体"/>
          <w:color w:val="auto"/>
          <w:sz w:val="21"/>
          <w:szCs w:val="21"/>
          <w:highlight w:val="none"/>
        </w:rPr>
        <w:t xml:space="preserve"> </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w:t>
      </w:r>
      <w:r>
        <w:rPr>
          <w:rFonts w:hint="eastAsia" w:ascii="宋体" w:hAnsi="宋体" w:eastAsia="宋体"/>
          <w:color w:val="auto"/>
          <w:sz w:val="21"/>
          <w:szCs w:val="21"/>
          <w:highlight w:val="none"/>
          <w:lang w:eastAsia="zh-CN"/>
        </w:rPr>
        <w:t>响应有效期</w:t>
      </w:r>
      <w:r>
        <w:rPr>
          <w:rFonts w:hint="eastAsia" w:ascii="宋体" w:hAnsi="宋体" w:eastAsia="宋体"/>
          <w:color w:val="auto"/>
          <w:sz w:val="21"/>
          <w:szCs w:val="21"/>
          <w:highlight w:val="none"/>
        </w:rPr>
        <w:t>为自</w:t>
      </w:r>
      <w:r>
        <w:rPr>
          <w:rFonts w:hint="eastAsia" w:ascii="宋体" w:hAnsi="宋体" w:eastAsia="宋体"/>
          <w:color w:val="auto"/>
          <w:sz w:val="21"/>
          <w:szCs w:val="21"/>
          <w:highlight w:val="none"/>
          <w:lang w:eastAsia="zh-CN"/>
        </w:rPr>
        <w:t>接收响应文件截止日</w:t>
      </w:r>
      <w:r>
        <w:rPr>
          <w:rFonts w:hint="eastAsia" w:ascii="宋体" w:hAnsi="宋体" w:eastAsia="宋体"/>
          <w:color w:val="auto"/>
          <w:sz w:val="21"/>
          <w:szCs w:val="21"/>
          <w:highlight w:val="none"/>
        </w:rPr>
        <w:t>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 xml:space="preserve">个日历日。 </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我方承诺，我方具备《中华人民共和国政府采购法》第二十二条资格条件，已清楚</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所有要求及有关规定；并承诺参加本次采购活动中，如有违法、违规、弄虚作假行为，所造成的损失、不良后果及法律责任，一律由我方承担；</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有关的一切数据或资料。</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w:t>
      </w: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有关的一切正式信函请寄：</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 xml:space="preserve">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 xml:space="preserve">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 xml:space="preserve">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银行</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26" w:name="_Toc4868"/>
      <w:r>
        <w:rPr>
          <w:rFonts w:hint="eastAsia" w:ascii="宋体" w:hAnsi="宋体" w:eastAsia="宋体"/>
          <w:color w:val="auto"/>
          <w:sz w:val="21"/>
          <w:szCs w:val="21"/>
          <w:highlight w:val="none"/>
        </w:rPr>
        <w:t>附件3.</w:t>
      </w:r>
      <w:r>
        <w:rPr>
          <w:rFonts w:hint="eastAsia" w:ascii="宋体" w:hAnsi="宋体" w:eastAsia="宋体"/>
          <w:color w:val="auto"/>
          <w:sz w:val="21"/>
          <w:szCs w:val="21"/>
          <w:highlight w:val="none"/>
          <w:lang w:eastAsia="zh-CN"/>
        </w:rPr>
        <w:t>开标一览表</w:t>
      </w:r>
      <w:r>
        <w:rPr>
          <w:rFonts w:hint="eastAsia" w:ascii="宋体" w:hAnsi="宋体" w:eastAsia="宋体"/>
          <w:color w:val="auto"/>
          <w:sz w:val="21"/>
          <w:szCs w:val="21"/>
          <w:highlight w:val="none"/>
        </w:rPr>
        <w:t>格式</w:t>
      </w:r>
      <w:bookmarkEnd w:id="126"/>
    </w:p>
    <w:p>
      <w:pPr>
        <w:jc w:val="center"/>
        <w:rPr>
          <w:rFonts w:hint="eastAsia" w:ascii="黑体" w:eastAsia="黑体"/>
          <w:color w:val="auto"/>
          <w:sz w:val="32"/>
          <w:szCs w:val="32"/>
          <w:highlight w:val="none"/>
          <w:lang w:eastAsia="zh-CN"/>
        </w:rPr>
      </w:pPr>
      <w:r>
        <w:rPr>
          <w:rFonts w:hint="eastAsia" w:ascii="黑体" w:eastAsia="黑体"/>
          <w:color w:val="auto"/>
          <w:sz w:val="32"/>
          <w:szCs w:val="32"/>
          <w:highlight w:val="none"/>
          <w:lang w:eastAsia="zh-CN"/>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项目编号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2901"/>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497" w:type="pct"/>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2" w:type="pct"/>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总</w:t>
            </w:r>
            <w:r>
              <w:rPr>
                <w:rFonts w:hint="eastAsia" w:ascii="宋体" w:hAnsi="宋体" w:eastAsia="宋体"/>
                <w:color w:val="auto"/>
                <w:sz w:val="21"/>
                <w:szCs w:val="21"/>
                <w:highlight w:val="none"/>
                <w:lang w:eastAsia="zh-CN"/>
              </w:rPr>
              <w:t>报</w:t>
            </w:r>
            <w:r>
              <w:rPr>
                <w:rFonts w:hint="eastAsia" w:ascii="宋体" w:hAnsi="宋体" w:eastAsia="宋体"/>
                <w:color w:val="auto"/>
                <w:sz w:val="21"/>
                <w:szCs w:val="21"/>
                <w:highlight w:val="none"/>
              </w:rPr>
              <w:t>价</w:t>
            </w:r>
          </w:p>
        </w:tc>
        <w:tc>
          <w:tcPr>
            <w:tcW w:w="1799" w:type="pct"/>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497" w:type="pct"/>
            <w:vMerge w:val="restart"/>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highlight w:val="none"/>
              </w:rPr>
            </w:pPr>
          </w:p>
        </w:tc>
        <w:tc>
          <w:tcPr>
            <w:tcW w:w="1702" w:type="pct"/>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小写：</w:t>
            </w:r>
          </w:p>
        </w:tc>
        <w:tc>
          <w:tcPr>
            <w:tcW w:w="1799" w:type="pct"/>
            <w:vMerge w:val="restart"/>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497" w:type="pct"/>
            <w:vMerge w:val="continue"/>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both"/>
              <w:textAlignment w:val="auto"/>
              <w:rPr>
                <w:color w:val="auto"/>
                <w:highlight w:val="none"/>
              </w:rPr>
            </w:pPr>
          </w:p>
        </w:tc>
        <w:tc>
          <w:tcPr>
            <w:tcW w:w="1702" w:type="pct"/>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大写：</w:t>
            </w:r>
          </w:p>
        </w:tc>
        <w:tc>
          <w:tcPr>
            <w:tcW w:w="1799" w:type="pct"/>
            <w:vMerge w:val="continue"/>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both"/>
              <w:textAlignment w:val="auto"/>
              <w:rPr>
                <w:rFonts w:hint="eastAsia" w:ascii="宋体" w:hAnsi="宋体" w:eastAsia="宋体"/>
                <w:color w:val="auto"/>
                <w:sz w:val="21"/>
                <w:szCs w:val="21"/>
                <w:highlight w:val="none"/>
                <w:lang w:eastAsia="zh-CN"/>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注：1、总</w:t>
      </w:r>
      <w:r>
        <w:rPr>
          <w:rFonts w:hint="eastAsia" w:ascii="宋体" w:hAnsi="宋体" w:eastAsia="宋体"/>
          <w:color w:val="auto"/>
          <w:sz w:val="21"/>
          <w:szCs w:val="21"/>
          <w:highlight w:val="none"/>
          <w:lang w:eastAsia="zh-CN"/>
        </w:rPr>
        <w:t>报</w:t>
      </w:r>
      <w:r>
        <w:rPr>
          <w:rFonts w:hint="eastAsia" w:ascii="宋体" w:hAnsi="宋体" w:eastAsia="宋体"/>
          <w:color w:val="auto"/>
          <w:sz w:val="21"/>
          <w:szCs w:val="21"/>
          <w:highlight w:val="none"/>
        </w:rPr>
        <w:t>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表示的总</w:t>
      </w:r>
      <w:r>
        <w:rPr>
          <w:rFonts w:hint="eastAsia" w:ascii="宋体" w:hAnsi="宋体" w:eastAsia="宋体"/>
          <w:color w:val="auto"/>
          <w:sz w:val="21"/>
          <w:szCs w:val="21"/>
          <w:highlight w:val="none"/>
          <w:lang w:eastAsia="zh-CN"/>
        </w:rPr>
        <w:t>报</w:t>
      </w:r>
      <w:r>
        <w:rPr>
          <w:rFonts w:ascii="宋体" w:hAnsi="宋体" w:eastAsia="宋体"/>
          <w:color w:val="auto"/>
          <w:sz w:val="21"/>
          <w:szCs w:val="21"/>
          <w:highlight w:val="none"/>
        </w:rPr>
        <w:t>价</w:t>
      </w:r>
      <w:r>
        <w:rPr>
          <w:rFonts w:hint="eastAsia" w:ascii="宋体" w:hAnsi="宋体" w:eastAsia="宋体"/>
          <w:color w:val="auto"/>
          <w:sz w:val="21"/>
          <w:szCs w:val="21"/>
          <w:highlight w:val="none"/>
        </w:rPr>
        <w:t>，报价保留小数点后两位。总</w:t>
      </w:r>
      <w:r>
        <w:rPr>
          <w:rFonts w:hint="eastAsia" w:ascii="宋体" w:hAnsi="宋体" w:eastAsia="宋体"/>
          <w:color w:val="auto"/>
          <w:sz w:val="21"/>
          <w:szCs w:val="21"/>
          <w:highlight w:val="none"/>
          <w:lang w:eastAsia="zh-CN"/>
        </w:rPr>
        <w:t>报</w:t>
      </w:r>
      <w:r>
        <w:rPr>
          <w:rFonts w:hint="eastAsia" w:ascii="宋体" w:hAnsi="宋体" w:eastAsia="宋体"/>
          <w:color w:val="auto"/>
          <w:sz w:val="21"/>
          <w:szCs w:val="21"/>
          <w:highlight w:val="none"/>
        </w:rPr>
        <w:t>价大小写不一致，以大写为准。总</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必须准确唯一且应包含</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要求的所有费用。</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此表应按</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须知的规定密封标记并与法人代表证明书、法定代表人授权书（法人</w:t>
      </w:r>
      <w:r>
        <w:rPr>
          <w:rFonts w:hint="eastAsia" w:ascii="宋体" w:hAnsi="宋体" w:eastAsia="宋体"/>
          <w:color w:val="auto"/>
          <w:sz w:val="21"/>
          <w:szCs w:val="21"/>
          <w:highlight w:val="none"/>
          <w:lang w:eastAsia="zh-CN"/>
        </w:rPr>
        <w:t>响应</w:t>
      </w:r>
      <w:r>
        <w:rPr>
          <w:rFonts w:hint="eastAsia" w:ascii="宋体" w:hAnsi="宋体" w:eastAsia="宋体"/>
          <w:color w:val="auto"/>
          <w:sz w:val="21"/>
          <w:szCs w:val="21"/>
          <w:highlight w:val="none"/>
        </w:rPr>
        <w:t>无需提交授权书）</w:t>
      </w:r>
      <w:r>
        <w:rPr>
          <w:rFonts w:hint="eastAsia" w:ascii="宋体" w:hAnsi="宋体" w:eastAsia="宋体"/>
          <w:color w:val="auto"/>
          <w:sz w:val="21"/>
          <w:szCs w:val="21"/>
          <w:highlight w:val="none"/>
          <w:lang w:eastAsia="zh-CN"/>
        </w:rPr>
        <w:t>一同密封提交。</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3、未按</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要求报价、填写</w:t>
      </w:r>
      <w:r>
        <w:rPr>
          <w:rFonts w:hint="eastAsia" w:ascii="宋体" w:hAnsi="宋体" w:eastAsia="宋体"/>
          <w:color w:val="auto"/>
          <w:sz w:val="21"/>
          <w:szCs w:val="21"/>
          <w:highlight w:val="none"/>
          <w:lang w:eastAsia="zh-CN"/>
        </w:rPr>
        <w:t>开标一览表</w:t>
      </w:r>
      <w:r>
        <w:rPr>
          <w:rFonts w:hint="eastAsia" w:ascii="宋体" w:hAnsi="宋体" w:eastAsia="宋体"/>
          <w:color w:val="auto"/>
          <w:sz w:val="21"/>
          <w:szCs w:val="21"/>
          <w:highlight w:val="none"/>
        </w:rPr>
        <w:t>是导致</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废标的常见问题，请</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27" w:name="_Toc15425"/>
      <w:r>
        <w:rPr>
          <w:rFonts w:hint="eastAsia" w:ascii="宋体" w:hAnsi="宋体" w:eastAsia="宋体"/>
          <w:color w:val="auto"/>
          <w:sz w:val="21"/>
          <w:szCs w:val="21"/>
          <w:highlight w:val="none"/>
        </w:rPr>
        <w:t>附件4.</w:t>
      </w:r>
      <w:r>
        <w:rPr>
          <w:rFonts w:hint="eastAsia" w:ascii="宋体" w:hAnsi="宋体" w:eastAsia="宋体" w:cs="Times New Roman"/>
          <w:color w:val="auto"/>
          <w:sz w:val="21"/>
          <w:szCs w:val="21"/>
          <w:highlight w:val="none"/>
        </w:rPr>
        <w:t>分项报价表格式</w:t>
      </w:r>
      <w:bookmarkEnd w:id="127"/>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分项报价表</w:t>
      </w:r>
      <w:r>
        <w:rPr>
          <w:rFonts w:hint="eastAsia" w:ascii="宋体" w:hAnsi="宋体" w:eastAsia="宋体"/>
          <w:color w:val="auto"/>
          <w:sz w:val="21"/>
          <w:szCs w:val="21"/>
          <w:highlight w:val="none"/>
        </w:rPr>
        <w:t xml:space="preserve">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375"/>
        <w:gridCol w:w="1916"/>
        <w:gridCol w:w="1050"/>
        <w:gridCol w:w="1103"/>
        <w:gridCol w:w="1183"/>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79" w:type="pct"/>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07" w:type="pct"/>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分项</w:t>
            </w:r>
            <w:r>
              <w:rPr>
                <w:rFonts w:hint="eastAsia" w:ascii="宋体" w:hAnsi="宋体" w:eastAsia="宋体"/>
                <w:color w:val="auto"/>
                <w:sz w:val="21"/>
                <w:szCs w:val="21"/>
                <w:highlight w:val="none"/>
              </w:rPr>
              <w:t>名称</w:t>
            </w:r>
          </w:p>
        </w:tc>
        <w:tc>
          <w:tcPr>
            <w:tcW w:w="1124" w:type="pct"/>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分项内容</w:t>
            </w:r>
          </w:p>
        </w:tc>
        <w:tc>
          <w:tcPr>
            <w:tcW w:w="616" w:type="pct"/>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645" w:type="pct"/>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694" w:type="pct"/>
            <w:vAlign w:val="center"/>
          </w:tcPr>
          <w:p>
            <w:pPr>
              <w:spacing w:before="100" w:beforeAutospacing="1" w:after="100" w:afterAutospacing="1"/>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总价</w:t>
            </w:r>
          </w:p>
        </w:tc>
        <w:tc>
          <w:tcPr>
            <w:tcW w:w="632" w:type="pct"/>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79" w:type="pct"/>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807" w:type="pct"/>
            <w:vAlign w:val="center"/>
          </w:tcPr>
          <w:p>
            <w:pPr>
              <w:spacing w:before="100" w:beforeAutospacing="1" w:after="100" w:afterAutospacing="1"/>
              <w:rPr>
                <w:rFonts w:ascii="宋体" w:hAnsi="宋体" w:eastAsia="宋体"/>
                <w:color w:val="auto"/>
                <w:sz w:val="21"/>
                <w:szCs w:val="21"/>
                <w:highlight w:val="none"/>
              </w:rPr>
            </w:pPr>
          </w:p>
        </w:tc>
        <w:tc>
          <w:tcPr>
            <w:tcW w:w="1124" w:type="pct"/>
            <w:vAlign w:val="center"/>
          </w:tcPr>
          <w:p>
            <w:pPr>
              <w:spacing w:before="100" w:beforeAutospacing="1" w:after="100" w:afterAutospacing="1"/>
              <w:jc w:val="center"/>
              <w:rPr>
                <w:rFonts w:ascii="宋体" w:hAnsi="宋体" w:eastAsia="宋体"/>
                <w:color w:val="auto"/>
                <w:sz w:val="21"/>
                <w:szCs w:val="21"/>
                <w:highlight w:val="none"/>
              </w:rPr>
            </w:pPr>
          </w:p>
        </w:tc>
        <w:tc>
          <w:tcPr>
            <w:tcW w:w="616" w:type="pct"/>
            <w:vAlign w:val="center"/>
          </w:tcPr>
          <w:p>
            <w:pPr>
              <w:spacing w:before="100" w:beforeAutospacing="1" w:after="100" w:afterAutospacing="1"/>
              <w:jc w:val="center"/>
              <w:rPr>
                <w:rFonts w:ascii="宋体" w:hAnsi="宋体" w:eastAsia="宋体"/>
                <w:color w:val="auto"/>
                <w:sz w:val="21"/>
                <w:szCs w:val="21"/>
                <w:highlight w:val="none"/>
              </w:rPr>
            </w:pPr>
          </w:p>
        </w:tc>
        <w:tc>
          <w:tcPr>
            <w:tcW w:w="645" w:type="pct"/>
            <w:vAlign w:val="center"/>
          </w:tcPr>
          <w:p>
            <w:pPr>
              <w:spacing w:before="100" w:beforeAutospacing="1" w:after="100" w:afterAutospacing="1"/>
              <w:jc w:val="center"/>
              <w:rPr>
                <w:rFonts w:ascii="宋体" w:hAnsi="宋体" w:eastAsia="宋体"/>
                <w:color w:val="auto"/>
                <w:sz w:val="21"/>
                <w:szCs w:val="21"/>
                <w:highlight w:val="none"/>
              </w:rPr>
            </w:pPr>
          </w:p>
        </w:tc>
        <w:tc>
          <w:tcPr>
            <w:tcW w:w="694" w:type="pct"/>
            <w:vAlign w:val="center"/>
          </w:tcPr>
          <w:p>
            <w:pPr>
              <w:spacing w:before="100" w:beforeAutospacing="1" w:after="100" w:afterAutospacing="1"/>
              <w:jc w:val="center"/>
              <w:rPr>
                <w:rFonts w:ascii="宋体" w:hAnsi="宋体" w:eastAsia="宋体"/>
                <w:color w:val="auto"/>
                <w:sz w:val="21"/>
                <w:szCs w:val="21"/>
                <w:highlight w:val="none"/>
              </w:rPr>
            </w:pPr>
          </w:p>
        </w:tc>
        <w:tc>
          <w:tcPr>
            <w:tcW w:w="632" w:type="pct"/>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79" w:type="pct"/>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807" w:type="pct"/>
            <w:vAlign w:val="center"/>
          </w:tcPr>
          <w:p>
            <w:pPr>
              <w:spacing w:before="100" w:beforeAutospacing="1" w:after="100" w:afterAutospacing="1"/>
              <w:rPr>
                <w:rFonts w:ascii="宋体" w:hAnsi="宋体" w:eastAsia="宋体"/>
                <w:color w:val="auto"/>
                <w:sz w:val="21"/>
                <w:szCs w:val="21"/>
                <w:highlight w:val="none"/>
              </w:rPr>
            </w:pPr>
          </w:p>
        </w:tc>
        <w:tc>
          <w:tcPr>
            <w:tcW w:w="1124" w:type="pct"/>
            <w:vAlign w:val="center"/>
          </w:tcPr>
          <w:p>
            <w:pPr>
              <w:spacing w:before="100" w:beforeAutospacing="1" w:after="100" w:afterAutospacing="1"/>
              <w:jc w:val="center"/>
              <w:rPr>
                <w:rFonts w:ascii="宋体" w:hAnsi="宋体" w:eastAsia="宋体"/>
                <w:color w:val="auto"/>
                <w:sz w:val="21"/>
                <w:szCs w:val="21"/>
                <w:highlight w:val="none"/>
              </w:rPr>
            </w:pPr>
          </w:p>
        </w:tc>
        <w:tc>
          <w:tcPr>
            <w:tcW w:w="616" w:type="pct"/>
            <w:vAlign w:val="center"/>
          </w:tcPr>
          <w:p>
            <w:pPr>
              <w:spacing w:before="100" w:beforeAutospacing="1" w:after="100" w:afterAutospacing="1"/>
              <w:jc w:val="center"/>
              <w:rPr>
                <w:rFonts w:ascii="宋体" w:hAnsi="宋体" w:eastAsia="宋体"/>
                <w:color w:val="auto"/>
                <w:sz w:val="21"/>
                <w:szCs w:val="21"/>
                <w:highlight w:val="none"/>
              </w:rPr>
            </w:pPr>
          </w:p>
        </w:tc>
        <w:tc>
          <w:tcPr>
            <w:tcW w:w="645" w:type="pct"/>
            <w:vAlign w:val="center"/>
          </w:tcPr>
          <w:p>
            <w:pPr>
              <w:spacing w:before="100" w:beforeAutospacing="1" w:after="100" w:afterAutospacing="1"/>
              <w:jc w:val="center"/>
              <w:rPr>
                <w:rFonts w:ascii="宋体" w:hAnsi="宋体" w:eastAsia="宋体"/>
                <w:color w:val="auto"/>
                <w:sz w:val="21"/>
                <w:szCs w:val="21"/>
                <w:highlight w:val="none"/>
              </w:rPr>
            </w:pPr>
          </w:p>
        </w:tc>
        <w:tc>
          <w:tcPr>
            <w:tcW w:w="694" w:type="pct"/>
            <w:vAlign w:val="center"/>
          </w:tcPr>
          <w:p>
            <w:pPr>
              <w:spacing w:before="100" w:beforeAutospacing="1" w:after="100" w:afterAutospacing="1"/>
              <w:jc w:val="center"/>
              <w:rPr>
                <w:rFonts w:ascii="宋体" w:hAnsi="宋体" w:eastAsia="宋体"/>
                <w:color w:val="auto"/>
                <w:sz w:val="21"/>
                <w:szCs w:val="21"/>
                <w:highlight w:val="none"/>
              </w:rPr>
            </w:pPr>
          </w:p>
        </w:tc>
        <w:tc>
          <w:tcPr>
            <w:tcW w:w="632" w:type="pct"/>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79" w:type="pct"/>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807" w:type="pct"/>
            <w:vAlign w:val="center"/>
          </w:tcPr>
          <w:p>
            <w:pPr>
              <w:spacing w:before="100" w:beforeAutospacing="1" w:after="100" w:afterAutospacing="1"/>
              <w:rPr>
                <w:rFonts w:ascii="宋体" w:hAnsi="宋体" w:eastAsia="宋体"/>
                <w:color w:val="auto"/>
                <w:sz w:val="21"/>
                <w:szCs w:val="21"/>
                <w:highlight w:val="none"/>
              </w:rPr>
            </w:pPr>
          </w:p>
        </w:tc>
        <w:tc>
          <w:tcPr>
            <w:tcW w:w="1124" w:type="pct"/>
            <w:vAlign w:val="center"/>
          </w:tcPr>
          <w:p>
            <w:pPr>
              <w:spacing w:before="100" w:beforeAutospacing="1" w:after="100" w:afterAutospacing="1"/>
              <w:jc w:val="center"/>
              <w:rPr>
                <w:rFonts w:ascii="宋体" w:hAnsi="宋体" w:eastAsia="宋体"/>
                <w:color w:val="auto"/>
                <w:sz w:val="21"/>
                <w:szCs w:val="21"/>
                <w:highlight w:val="none"/>
              </w:rPr>
            </w:pPr>
          </w:p>
        </w:tc>
        <w:tc>
          <w:tcPr>
            <w:tcW w:w="616" w:type="pct"/>
            <w:vAlign w:val="center"/>
          </w:tcPr>
          <w:p>
            <w:pPr>
              <w:spacing w:before="100" w:beforeAutospacing="1" w:after="100" w:afterAutospacing="1"/>
              <w:jc w:val="center"/>
              <w:rPr>
                <w:rFonts w:ascii="宋体" w:hAnsi="宋体" w:eastAsia="宋体"/>
                <w:color w:val="auto"/>
                <w:sz w:val="21"/>
                <w:szCs w:val="21"/>
                <w:highlight w:val="none"/>
              </w:rPr>
            </w:pPr>
          </w:p>
        </w:tc>
        <w:tc>
          <w:tcPr>
            <w:tcW w:w="645" w:type="pct"/>
            <w:vAlign w:val="center"/>
          </w:tcPr>
          <w:p>
            <w:pPr>
              <w:spacing w:before="100" w:beforeAutospacing="1" w:after="100" w:afterAutospacing="1"/>
              <w:jc w:val="center"/>
              <w:rPr>
                <w:rFonts w:ascii="宋体" w:hAnsi="宋体" w:eastAsia="宋体"/>
                <w:color w:val="auto"/>
                <w:sz w:val="21"/>
                <w:szCs w:val="21"/>
                <w:highlight w:val="none"/>
              </w:rPr>
            </w:pPr>
          </w:p>
        </w:tc>
        <w:tc>
          <w:tcPr>
            <w:tcW w:w="694" w:type="pct"/>
            <w:vAlign w:val="center"/>
          </w:tcPr>
          <w:p>
            <w:pPr>
              <w:spacing w:before="100" w:beforeAutospacing="1" w:after="100" w:afterAutospacing="1"/>
              <w:jc w:val="center"/>
              <w:rPr>
                <w:rFonts w:ascii="宋体" w:hAnsi="宋体" w:eastAsia="宋体"/>
                <w:color w:val="auto"/>
                <w:sz w:val="21"/>
                <w:szCs w:val="21"/>
                <w:highlight w:val="none"/>
              </w:rPr>
            </w:pPr>
          </w:p>
        </w:tc>
        <w:tc>
          <w:tcPr>
            <w:tcW w:w="632" w:type="pct"/>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673" w:type="pct"/>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1326" w:type="pct"/>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5000" w:type="pct"/>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28" w:name="_Toc9503"/>
      <w:r>
        <w:rPr>
          <w:rFonts w:hint="eastAsia" w:ascii="宋体" w:hAnsi="宋体" w:eastAsia="宋体"/>
          <w:color w:val="auto"/>
          <w:sz w:val="21"/>
          <w:szCs w:val="21"/>
          <w:highlight w:val="none"/>
        </w:rPr>
        <w:t>附件5.法定代表人证明书格式</w:t>
      </w:r>
      <w:bookmarkEnd w:id="128"/>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22"/>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22"/>
        <w:spacing w:line="420" w:lineRule="atLeast"/>
        <w:ind w:firstLine="433"/>
        <w:rPr>
          <w:rFonts w:ascii="宋体" w:eastAsia="宋体"/>
          <w:color w:val="auto"/>
          <w:sz w:val="21"/>
          <w:szCs w:val="21"/>
          <w:highlight w:val="none"/>
        </w:rPr>
      </w:pPr>
    </w:p>
    <w:p>
      <w:pPr>
        <w:pStyle w:val="22"/>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lang w:eastAsia="zh-CN"/>
        </w:rPr>
        <w:t>供应商</w:t>
      </w:r>
      <w:r>
        <w:rPr>
          <w:rFonts w:hint="eastAsia" w:ascii="宋体" w:eastAsia="宋体"/>
          <w:color w:val="auto"/>
          <w:sz w:val="21"/>
          <w:szCs w:val="21"/>
          <w:highlight w:val="none"/>
        </w:rPr>
        <w:t>名称:</w:t>
      </w:r>
    </w:p>
    <w:p>
      <w:pPr>
        <w:pStyle w:val="22"/>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22"/>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22"/>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22"/>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r>
        <w:rPr>
          <w:rFonts w:hint="eastAsia" w:ascii="宋体" w:eastAsia="宋体"/>
          <w:color w:val="auto"/>
          <w:sz w:val="21"/>
          <w:szCs w:val="21"/>
          <w:highlight w:val="none"/>
          <w:u w:val="single"/>
        </w:rPr>
        <w:t xml:space="preserve">                                      </w:t>
      </w:r>
    </w:p>
    <w:p>
      <w:pPr>
        <w:pStyle w:val="22"/>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性别：</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年龄：</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职务：</w:t>
      </w:r>
      <w:r>
        <w:rPr>
          <w:rFonts w:hint="eastAsia" w:ascii="宋体" w:eastAsia="宋体"/>
          <w:color w:val="auto"/>
          <w:sz w:val="21"/>
          <w:szCs w:val="21"/>
          <w:highlight w:val="none"/>
          <w:u w:val="single"/>
        </w:rPr>
        <w:t xml:space="preserve">            </w:t>
      </w:r>
    </w:p>
    <w:p>
      <w:pPr>
        <w:pStyle w:val="22"/>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w:t>
      </w:r>
      <w:r>
        <w:rPr>
          <w:rFonts w:hint="eastAsia" w:ascii="宋体" w:eastAsia="宋体"/>
          <w:color w:val="auto"/>
          <w:sz w:val="21"/>
          <w:szCs w:val="21"/>
          <w:highlight w:val="none"/>
          <w:lang w:eastAsia="zh-CN"/>
        </w:rPr>
        <w:t>供应商</w:t>
      </w:r>
      <w:r>
        <w:rPr>
          <w:rFonts w:hint="eastAsia" w:ascii="宋体" w:eastAsia="宋体"/>
          <w:color w:val="auto"/>
          <w:sz w:val="21"/>
          <w:szCs w:val="21"/>
          <w:highlight w:val="none"/>
        </w:rPr>
        <w:t>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22"/>
        <w:spacing w:line="500" w:lineRule="atLeast"/>
        <w:ind w:firstLine="3517" w:firstLineChars="1675"/>
        <w:rPr>
          <w:rFonts w:ascii="宋体" w:eastAsia="宋体"/>
          <w:color w:val="auto"/>
          <w:sz w:val="21"/>
          <w:szCs w:val="21"/>
          <w:highlight w:val="none"/>
        </w:rPr>
      </w:pPr>
    </w:p>
    <w:p>
      <w:pPr>
        <w:pStyle w:val="22"/>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lang w:eastAsia="zh-CN"/>
        </w:rPr>
        <w:t>供应商</w:t>
      </w:r>
      <w:r>
        <w:rPr>
          <w:rFonts w:hint="eastAsia" w:ascii="宋体" w:eastAsia="宋体"/>
          <w:color w:val="auto"/>
          <w:sz w:val="21"/>
          <w:szCs w:val="21"/>
          <w:highlight w:val="none"/>
        </w:rPr>
        <w:t>名称（加盖公章）：</w:t>
      </w:r>
      <w:r>
        <w:rPr>
          <w:rFonts w:hint="eastAsia" w:ascii="宋体" w:eastAsia="宋体"/>
          <w:color w:val="auto"/>
          <w:sz w:val="21"/>
          <w:szCs w:val="21"/>
          <w:highlight w:val="none"/>
          <w:u w:val="single"/>
        </w:rPr>
        <w:t xml:space="preserve">                  </w:t>
      </w:r>
    </w:p>
    <w:p>
      <w:pPr>
        <w:pStyle w:val="22"/>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r>
        <w:rPr>
          <w:rFonts w:hint="eastAsia" w:ascii="宋体" w:eastAsia="宋体"/>
          <w:color w:val="auto"/>
          <w:sz w:val="21"/>
          <w:szCs w:val="21"/>
          <w:highlight w:val="none"/>
          <w:u w:val="single"/>
        </w:rPr>
        <w:t xml:space="preserve">               </w:t>
      </w:r>
    </w:p>
    <w:p>
      <w:pPr>
        <w:pStyle w:val="22"/>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22"/>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r>
        <w:rPr>
          <w:rFonts w:hint="eastAsia" w:ascii="宋体" w:eastAsia="宋体"/>
          <w:color w:val="auto"/>
          <w:sz w:val="21"/>
          <w:szCs w:val="21"/>
          <w:highlight w:val="none"/>
          <w:u w:val="single"/>
        </w:rPr>
        <w:t xml:space="preserve">                              </w:t>
      </w:r>
    </w:p>
    <w:p>
      <w:pPr>
        <w:pStyle w:val="22"/>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18"/>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22"/>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22"/>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color w:val="auto"/>
          <w:highlight w:val="none"/>
        </w:rPr>
      </w:pPr>
      <w:bookmarkStart w:id="129" w:name="_Toc15346"/>
      <w:r>
        <w:rPr>
          <w:rFonts w:hint="eastAsia" w:ascii="宋体" w:hAnsi="宋体" w:eastAsia="宋体"/>
          <w:color w:val="auto"/>
          <w:sz w:val="21"/>
          <w:szCs w:val="21"/>
          <w:highlight w:val="none"/>
        </w:rPr>
        <w:t>附件6.法定代表人授权书格式</w:t>
      </w:r>
      <w:bookmarkEnd w:id="129"/>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22"/>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22"/>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lang w:eastAsia="zh-CN"/>
        </w:rPr>
        <w:t>遴选</w:t>
      </w:r>
      <w:r>
        <w:rPr>
          <w:rFonts w:hint="eastAsia" w:ascii="宋体" w:hAnsi="宋体" w:eastAsia="宋体" w:cs="Times New Roman"/>
          <w:color w:val="auto"/>
          <w:sz w:val="21"/>
          <w:szCs w:val="21"/>
          <w:highlight w:val="none"/>
        </w:rPr>
        <w:t>及参加项目</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22"/>
        <w:spacing w:line="500" w:lineRule="atLeast"/>
        <w:ind w:firstLine="3517" w:firstLineChars="1675"/>
        <w:rPr>
          <w:rFonts w:ascii="宋体" w:eastAsia="宋体"/>
          <w:color w:val="auto"/>
          <w:sz w:val="21"/>
          <w:szCs w:val="21"/>
          <w:highlight w:val="none"/>
        </w:rPr>
      </w:pPr>
    </w:p>
    <w:p>
      <w:pPr>
        <w:pStyle w:val="22"/>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lang w:eastAsia="zh-CN"/>
        </w:rPr>
        <w:t>供应商</w:t>
      </w:r>
      <w:r>
        <w:rPr>
          <w:rFonts w:hint="eastAsia" w:ascii="宋体" w:eastAsia="宋体"/>
          <w:color w:val="auto"/>
          <w:sz w:val="21"/>
          <w:szCs w:val="21"/>
          <w:highlight w:val="none"/>
        </w:rPr>
        <w:t>名称（加盖公章）：</w:t>
      </w:r>
      <w:r>
        <w:rPr>
          <w:rFonts w:hint="eastAsia" w:ascii="宋体" w:eastAsia="宋体"/>
          <w:color w:val="auto"/>
          <w:sz w:val="21"/>
          <w:szCs w:val="21"/>
          <w:highlight w:val="none"/>
          <w:u w:val="single"/>
        </w:rPr>
        <w:t xml:space="preserve">                 </w:t>
      </w:r>
    </w:p>
    <w:p>
      <w:pPr>
        <w:pStyle w:val="22"/>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r>
        <w:rPr>
          <w:rFonts w:hint="eastAsia" w:ascii="宋体" w:eastAsia="宋体"/>
          <w:color w:val="auto"/>
          <w:sz w:val="21"/>
          <w:szCs w:val="21"/>
          <w:highlight w:val="none"/>
          <w:u w:val="single"/>
        </w:rPr>
        <w:t xml:space="preserve">               </w:t>
      </w:r>
    </w:p>
    <w:p>
      <w:pPr>
        <w:pStyle w:val="22"/>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22"/>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r>
        <w:rPr>
          <w:rFonts w:hint="eastAsia" w:ascii="宋体" w:eastAsia="宋体"/>
          <w:color w:val="auto"/>
          <w:sz w:val="21"/>
          <w:szCs w:val="21"/>
          <w:highlight w:val="none"/>
          <w:u w:val="single"/>
        </w:rPr>
        <w:t xml:space="preserve">   </w:t>
      </w:r>
    </w:p>
    <w:p>
      <w:pPr>
        <w:pStyle w:val="22"/>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22"/>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22"/>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22"/>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22"/>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18"/>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22"/>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22"/>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130" w:name="_Toc22486"/>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31" w:name="_Toc17825"/>
      <w:r>
        <w:rPr>
          <w:rFonts w:hint="eastAsia" w:ascii="宋体" w:hAnsi="宋体" w:eastAsia="宋体"/>
          <w:color w:val="auto"/>
          <w:sz w:val="21"/>
          <w:szCs w:val="21"/>
          <w:highlight w:val="none"/>
        </w:rPr>
        <w:t>附件7.资格申明</w:t>
      </w:r>
      <w:bookmarkEnd w:id="131"/>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22"/>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eastAsia="zh-CN"/>
        </w:rPr>
        <w:t>广东政通招标有限公司</w:t>
      </w:r>
      <w:r>
        <w:rPr>
          <w:rFonts w:hint="eastAsia" w:asci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lang w:eastAsia="zh-CN"/>
        </w:rPr>
        <w:t>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hint="eastAsia" w:ascii="宋体" w:hAnsi="宋体" w:eastAsia="宋体"/>
          <w:color w:val="auto"/>
          <w:sz w:val="21"/>
          <w:szCs w:val="21"/>
          <w:highlight w:val="none"/>
          <w:lang w:eastAsia="zh-CN"/>
        </w:rPr>
        <w:t>遴选</w:t>
      </w:r>
      <w:r>
        <w:rPr>
          <w:rFonts w:ascii="宋体" w:hAnsi="宋体" w:eastAsia="宋体"/>
          <w:color w:val="auto"/>
          <w:sz w:val="21"/>
          <w:szCs w:val="21"/>
          <w:highlight w:val="none"/>
        </w:rPr>
        <w:t>邀请，参与</w:t>
      </w:r>
      <w:r>
        <w:rPr>
          <w:rFonts w:hint="eastAsia" w:ascii="宋体" w:hAnsi="宋体" w:eastAsia="宋体"/>
          <w:color w:val="auto"/>
          <w:sz w:val="21"/>
          <w:szCs w:val="21"/>
          <w:highlight w:val="none"/>
          <w:lang w:eastAsia="zh-CN"/>
        </w:rPr>
        <w:t>响应</w:t>
      </w:r>
      <w:r>
        <w:rPr>
          <w:rFonts w:ascii="宋体" w:hAnsi="宋体" w:eastAsia="宋体"/>
          <w:color w:val="auto"/>
          <w:sz w:val="21"/>
          <w:szCs w:val="21"/>
          <w:highlight w:val="none"/>
        </w:rPr>
        <w:t>，提供用户需求书中规定的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w:t>
      </w:r>
      <w:r>
        <w:rPr>
          <w:rFonts w:hint="eastAsia" w:ascii="宋体" w:hAnsi="宋体" w:eastAsia="宋体"/>
          <w:color w:val="auto"/>
          <w:sz w:val="21"/>
          <w:szCs w:val="21"/>
          <w:highlight w:val="none"/>
          <w:lang w:eastAsia="zh-CN"/>
        </w:rPr>
        <w:t>遴选文件</w:t>
      </w:r>
      <w:r>
        <w:rPr>
          <w:rFonts w:ascii="宋体" w:hAnsi="宋体" w:eastAsia="宋体"/>
          <w:color w:val="auto"/>
          <w:sz w:val="21"/>
          <w:szCs w:val="21"/>
          <w:highlight w:val="none"/>
        </w:rPr>
        <w:t>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22"/>
        <w:spacing w:line="500" w:lineRule="atLeast"/>
        <w:ind w:firstLine="3517" w:firstLineChars="1675"/>
        <w:rPr>
          <w:rFonts w:ascii="宋体" w:eastAsia="宋体"/>
          <w:color w:val="auto"/>
          <w:sz w:val="21"/>
          <w:szCs w:val="21"/>
          <w:highlight w:val="none"/>
        </w:rPr>
      </w:pPr>
    </w:p>
    <w:p>
      <w:pPr>
        <w:pStyle w:val="22"/>
        <w:spacing w:line="500" w:lineRule="atLeast"/>
        <w:ind w:firstLine="3517" w:firstLineChars="1675"/>
        <w:rPr>
          <w:rFonts w:ascii="宋体" w:eastAsia="宋体"/>
          <w:color w:val="auto"/>
          <w:sz w:val="21"/>
          <w:szCs w:val="21"/>
          <w:highlight w:val="none"/>
        </w:rPr>
      </w:pPr>
    </w:p>
    <w:p>
      <w:pPr>
        <w:pStyle w:val="22"/>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lang w:eastAsia="zh-CN"/>
        </w:rPr>
        <w:t>供应商</w:t>
      </w:r>
      <w:r>
        <w:rPr>
          <w:rFonts w:hint="eastAsia" w:ascii="宋体" w:eastAsia="宋体"/>
          <w:color w:val="auto"/>
          <w:sz w:val="21"/>
          <w:szCs w:val="21"/>
          <w:highlight w:val="none"/>
        </w:rPr>
        <w:t>名称（加盖公章）：</w:t>
      </w:r>
      <w:r>
        <w:rPr>
          <w:rFonts w:hint="eastAsia" w:ascii="宋体" w:eastAsia="宋体"/>
          <w:color w:val="auto"/>
          <w:sz w:val="21"/>
          <w:szCs w:val="21"/>
          <w:highlight w:val="none"/>
          <w:u w:val="single"/>
        </w:rPr>
        <w:t xml:space="preserve">                 </w:t>
      </w:r>
    </w:p>
    <w:p>
      <w:pPr>
        <w:pStyle w:val="22"/>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 xml:space="preserve">                        </w:t>
      </w:r>
    </w:p>
    <w:p>
      <w:pPr>
        <w:pStyle w:val="22"/>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22"/>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32" w:name="_Toc14034"/>
      <w:r>
        <w:rPr>
          <w:rFonts w:hint="eastAsia" w:ascii="宋体" w:hAnsi="宋体" w:eastAsia="宋体"/>
          <w:color w:val="auto"/>
          <w:sz w:val="21"/>
          <w:szCs w:val="21"/>
          <w:highlight w:val="none"/>
        </w:rPr>
        <w:t>附件8.营业执照</w:t>
      </w:r>
      <w:bookmarkEnd w:id="132"/>
    </w:p>
    <w:p>
      <w:pPr>
        <w:jc w:val="center"/>
        <w:rPr>
          <w:rFonts w:ascii="黑体" w:eastAsia="黑体"/>
          <w:color w:val="auto"/>
          <w:sz w:val="28"/>
          <w:szCs w:val="28"/>
          <w:highlight w:val="none"/>
        </w:rPr>
      </w:pPr>
      <w:bookmarkStart w:id="133" w:name="_Toc5919"/>
      <w:bookmarkStart w:id="134" w:name="_Toc1511"/>
      <w:bookmarkStart w:id="135" w:name="_Toc24210"/>
      <w:bookmarkStart w:id="136" w:name="_Toc4926"/>
      <w:bookmarkStart w:id="137" w:name="_Toc17470"/>
      <w:r>
        <w:rPr>
          <w:rFonts w:hint="eastAsia" w:ascii="黑体" w:eastAsia="黑体"/>
          <w:color w:val="auto"/>
          <w:sz w:val="28"/>
          <w:szCs w:val="28"/>
          <w:highlight w:val="none"/>
        </w:rPr>
        <w:t>营业执照</w:t>
      </w:r>
      <w:bookmarkEnd w:id="133"/>
      <w:bookmarkEnd w:id="134"/>
      <w:bookmarkEnd w:id="135"/>
      <w:bookmarkEnd w:id="136"/>
      <w:bookmarkEnd w:id="137"/>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38" w:name="_Toc3704"/>
      <w:r>
        <w:rPr>
          <w:rFonts w:hint="eastAsia" w:ascii="宋体" w:hAnsi="宋体" w:eastAsia="宋体"/>
          <w:color w:val="auto"/>
          <w:sz w:val="21"/>
          <w:szCs w:val="21"/>
          <w:highlight w:val="none"/>
        </w:rPr>
        <w:t>附件9.相关资质证明文件</w:t>
      </w:r>
      <w:bookmarkEnd w:id="138"/>
    </w:p>
    <w:p>
      <w:pPr>
        <w:rPr>
          <w:color w:val="auto"/>
          <w:highlight w:val="none"/>
        </w:rPr>
      </w:pPr>
    </w:p>
    <w:p>
      <w:pPr>
        <w:jc w:val="center"/>
        <w:rPr>
          <w:rFonts w:ascii="黑体" w:eastAsia="黑体"/>
          <w:color w:val="auto"/>
          <w:sz w:val="28"/>
          <w:szCs w:val="28"/>
          <w:highlight w:val="none"/>
        </w:rPr>
      </w:pPr>
      <w:bookmarkStart w:id="139" w:name="_Toc16698"/>
      <w:bookmarkStart w:id="140" w:name="_Toc13458"/>
      <w:bookmarkStart w:id="141" w:name="_Toc9592"/>
      <w:bookmarkStart w:id="142" w:name="_Toc16233"/>
      <w:bookmarkStart w:id="143" w:name="_Toc30307"/>
      <w:r>
        <w:rPr>
          <w:rFonts w:hint="eastAsia" w:ascii="黑体" w:eastAsia="黑体"/>
          <w:color w:val="auto"/>
          <w:sz w:val="28"/>
          <w:szCs w:val="28"/>
          <w:highlight w:val="none"/>
        </w:rPr>
        <w:t>相关资质证明文件</w:t>
      </w:r>
      <w:bookmarkEnd w:id="130"/>
      <w:bookmarkEnd w:id="139"/>
      <w:bookmarkEnd w:id="140"/>
      <w:bookmarkEnd w:id="141"/>
      <w:bookmarkEnd w:id="142"/>
      <w:bookmarkEnd w:id="143"/>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44" w:name="_Toc17415"/>
      <w:r>
        <w:rPr>
          <w:rFonts w:hint="eastAsia" w:ascii="宋体" w:hAnsi="宋体" w:eastAsia="宋体"/>
          <w:color w:val="auto"/>
          <w:sz w:val="21"/>
          <w:szCs w:val="21"/>
          <w:highlight w:val="none"/>
        </w:rPr>
        <w:t>附件10.商务条款偏离表格式</w:t>
      </w:r>
      <w:bookmarkEnd w:id="144"/>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636"/>
        <w:gridCol w:w="1372"/>
        <w:gridCol w:w="1602"/>
        <w:gridCol w:w="1144"/>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97" w:type="pc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960" w:type="pc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商务条款</w:t>
            </w:r>
            <w:r>
              <w:rPr>
                <w:rFonts w:hint="eastAsia" w:ascii="宋体" w:hAnsi="宋体" w:eastAsia="宋体"/>
                <w:color w:val="auto"/>
                <w:sz w:val="21"/>
                <w:szCs w:val="21"/>
                <w:highlight w:val="none"/>
              </w:rPr>
              <w:t>名称</w:t>
            </w:r>
          </w:p>
        </w:tc>
        <w:tc>
          <w:tcPr>
            <w:tcW w:w="805" w:type="pc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要求</w:t>
            </w:r>
          </w:p>
        </w:tc>
        <w:tc>
          <w:tcPr>
            <w:tcW w:w="940" w:type="pc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实际响应</w:t>
            </w:r>
          </w:p>
        </w:tc>
        <w:tc>
          <w:tcPr>
            <w:tcW w:w="671" w:type="pc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025" w:type="pc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color w:val="auto"/>
                <w:sz w:val="21"/>
                <w:szCs w:val="21"/>
                <w:highlight w:val="none"/>
              </w:rPr>
            </w:pPr>
          </w:p>
        </w:tc>
        <w:tc>
          <w:tcPr>
            <w:tcW w:w="960" w:type="pct"/>
            <w:vAlign w:val="center"/>
          </w:tcPr>
          <w:p>
            <w:pPr>
              <w:jc w:val="center"/>
              <w:rPr>
                <w:rFonts w:ascii="宋体" w:hAnsi="宋体" w:eastAsia="宋体"/>
                <w:color w:val="auto"/>
                <w:sz w:val="21"/>
                <w:szCs w:val="21"/>
                <w:highlight w:val="none"/>
              </w:rPr>
            </w:pPr>
          </w:p>
        </w:tc>
        <w:tc>
          <w:tcPr>
            <w:tcW w:w="805" w:type="pct"/>
            <w:vAlign w:val="center"/>
          </w:tcPr>
          <w:p>
            <w:pPr>
              <w:jc w:val="center"/>
              <w:rPr>
                <w:rFonts w:ascii="宋体" w:hAnsi="宋体" w:eastAsia="宋体"/>
                <w:color w:val="auto"/>
                <w:sz w:val="21"/>
                <w:szCs w:val="21"/>
                <w:highlight w:val="none"/>
              </w:rPr>
            </w:pPr>
          </w:p>
        </w:tc>
        <w:tc>
          <w:tcPr>
            <w:tcW w:w="940" w:type="pct"/>
            <w:vAlign w:val="center"/>
          </w:tcPr>
          <w:p>
            <w:pPr>
              <w:jc w:val="center"/>
              <w:rPr>
                <w:rFonts w:ascii="宋体" w:hAnsi="宋体" w:eastAsia="宋体"/>
                <w:color w:val="auto"/>
                <w:sz w:val="21"/>
                <w:szCs w:val="21"/>
                <w:highlight w:val="none"/>
              </w:rPr>
            </w:pPr>
          </w:p>
        </w:tc>
        <w:tc>
          <w:tcPr>
            <w:tcW w:w="671" w:type="pct"/>
            <w:vAlign w:val="center"/>
          </w:tcPr>
          <w:p>
            <w:pPr>
              <w:jc w:val="center"/>
              <w:rPr>
                <w:rFonts w:ascii="宋体" w:hAnsi="宋体" w:eastAsia="宋体"/>
                <w:color w:val="auto"/>
                <w:sz w:val="21"/>
                <w:szCs w:val="21"/>
                <w:highlight w:val="none"/>
              </w:rPr>
            </w:pPr>
          </w:p>
        </w:tc>
        <w:tc>
          <w:tcPr>
            <w:tcW w:w="1025"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color w:val="auto"/>
                <w:sz w:val="21"/>
                <w:szCs w:val="21"/>
                <w:highlight w:val="none"/>
              </w:rPr>
            </w:pPr>
          </w:p>
        </w:tc>
        <w:tc>
          <w:tcPr>
            <w:tcW w:w="960" w:type="pct"/>
            <w:vAlign w:val="center"/>
          </w:tcPr>
          <w:p>
            <w:pPr>
              <w:jc w:val="center"/>
              <w:rPr>
                <w:rFonts w:ascii="宋体" w:hAnsi="宋体" w:eastAsia="宋体"/>
                <w:color w:val="auto"/>
                <w:sz w:val="21"/>
                <w:szCs w:val="21"/>
                <w:highlight w:val="none"/>
              </w:rPr>
            </w:pPr>
          </w:p>
        </w:tc>
        <w:tc>
          <w:tcPr>
            <w:tcW w:w="805" w:type="pct"/>
            <w:vAlign w:val="center"/>
          </w:tcPr>
          <w:p>
            <w:pPr>
              <w:jc w:val="center"/>
              <w:rPr>
                <w:rFonts w:ascii="宋体" w:hAnsi="宋体" w:eastAsia="宋体"/>
                <w:color w:val="auto"/>
                <w:sz w:val="21"/>
                <w:szCs w:val="21"/>
                <w:highlight w:val="none"/>
              </w:rPr>
            </w:pPr>
          </w:p>
        </w:tc>
        <w:tc>
          <w:tcPr>
            <w:tcW w:w="940" w:type="pct"/>
            <w:vAlign w:val="center"/>
          </w:tcPr>
          <w:p>
            <w:pPr>
              <w:jc w:val="center"/>
              <w:rPr>
                <w:rFonts w:ascii="宋体" w:hAnsi="宋体" w:eastAsia="宋体"/>
                <w:color w:val="auto"/>
                <w:sz w:val="21"/>
                <w:szCs w:val="21"/>
                <w:highlight w:val="none"/>
              </w:rPr>
            </w:pPr>
          </w:p>
        </w:tc>
        <w:tc>
          <w:tcPr>
            <w:tcW w:w="671" w:type="pct"/>
            <w:vAlign w:val="center"/>
          </w:tcPr>
          <w:p>
            <w:pPr>
              <w:jc w:val="center"/>
              <w:rPr>
                <w:rFonts w:ascii="宋体" w:hAnsi="宋体" w:eastAsia="宋体"/>
                <w:color w:val="auto"/>
                <w:sz w:val="21"/>
                <w:szCs w:val="21"/>
                <w:highlight w:val="none"/>
              </w:rPr>
            </w:pPr>
          </w:p>
        </w:tc>
        <w:tc>
          <w:tcPr>
            <w:tcW w:w="1025"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color w:val="auto"/>
                <w:sz w:val="21"/>
                <w:szCs w:val="21"/>
                <w:highlight w:val="none"/>
              </w:rPr>
            </w:pPr>
          </w:p>
        </w:tc>
        <w:tc>
          <w:tcPr>
            <w:tcW w:w="960" w:type="pct"/>
            <w:vAlign w:val="center"/>
          </w:tcPr>
          <w:p>
            <w:pPr>
              <w:jc w:val="center"/>
              <w:rPr>
                <w:rFonts w:ascii="宋体" w:hAnsi="宋体" w:eastAsia="宋体"/>
                <w:color w:val="auto"/>
                <w:sz w:val="21"/>
                <w:szCs w:val="21"/>
                <w:highlight w:val="none"/>
              </w:rPr>
            </w:pPr>
          </w:p>
        </w:tc>
        <w:tc>
          <w:tcPr>
            <w:tcW w:w="805" w:type="pct"/>
            <w:vAlign w:val="center"/>
          </w:tcPr>
          <w:p>
            <w:pPr>
              <w:jc w:val="center"/>
              <w:rPr>
                <w:rFonts w:ascii="宋体" w:hAnsi="宋体" w:eastAsia="宋体"/>
                <w:color w:val="auto"/>
                <w:sz w:val="21"/>
                <w:szCs w:val="21"/>
                <w:highlight w:val="none"/>
              </w:rPr>
            </w:pPr>
          </w:p>
        </w:tc>
        <w:tc>
          <w:tcPr>
            <w:tcW w:w="940" w:type="pct"/>
            <w:vAlign w:val="center"/>
          </w:tcPr>
          <w:p>
            <w:pPr>
              <w:jc w:val="center"/>
              <w:rPr>
                <w:rFonts w:ascii="宋体" w:hAnsi="宋体" w:eastAsia="宋体"/>
                <w:color w:val="auto"/>
                <w:sz w:val="21"/>
                <w:szCs w:val="21"/>
                <w:highlight w:val="none"/>
              </w:rPr>
            </w:pPr>
          </w:p>
        </w:tc>
        <w:tc>
          <w:tcPr>
            <w:tcW w:w="671" w:type="pct"/>
            <w:vAlign w:val="center"/>
          </w:tcPr>
          <w:p>
            <w:pPr>
              <w:jc w:val="center"/>
              <w:rPr>
                <w:rFonts w:ascii="宋体" w:hAnsi="宋体" w:eastAsia="宋体"/>
                <w:color w:val="auto"/>
                <w:sz w:val="21"/>
                <w:szCs w:val="21"/>
                <w:highlight w:val="none"/>
              </w:rPr>
            </w:pPr>
          </w:p>
        </w:tc>
        <w:tc>
          <w:tcPr>
            <w:tcW w:w="1025"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color w:val="auto"/>
                <w:sz w:val="21"/>
                <w:szCs w:val="21"/>
                <w:highlight w:val="none"/>
              </w:rPr>
            </w:pPr>
          </w:p>
        </w:tc>
        <w:tc>
          <w:tcPr>
            <w:tcW w:w="960" w:type="pct"/>
            <w:vAlign w:val="center"/>
          </w:tcPr>
          <w:p>
            <w:pPr>
              <w:jc w:val="center"/>
              <w:rPr>
                <w:rFonts w:ascii="宋体" w:hAnsi="宋体" w:eastAsia="宋体"/>
                <w:color w:val="auto"/>
                <w:sz w:val="21"/>
                <w:szCs w:val="21"/>
                <w:highlight w:val="none"/>
              </w:rPr>
            </w:pPr>
          </w:p>
        </w:tc>
        <w:tc>
          <w:tcPr>
            <w:tcW w:w="805" w:type="pct"/>
            <w:vAlign w:val="center"/>
          </w:tcPr>
          <w:p>
            <w:pPr>
              <w:jc w:val="center"/>
              <w:rPr>
                <w:rFonts w:ascii="宋体" w:hAnsi="宋体" w:eastAsia="宋体"/>
                <w:color w:val="auto"/>
                <w:sz w:val="21"/>
                <w:szCs w:val="21"/>
                <w:highlight w:val="none"/>
              </w:rPr>
            </w:pPr>
          </w:p>
        </w:tc>
        <w:tc>
          <w:tcPr>
            <w:tcW w:w="940" w:type="pct"/>
            <w:vAlign w:val="center"/>
          </w:tcPr>
          <w:p>
            <w:pPr>
              <w:jc w:val="center"/>
              <w:rPr>
                <w:rFonts w:ascii="宋体" w:hAnsi="宋体" w:eastAsia="宋体"/>
                <w:color w:val="auto"/>
                <w:sz w:val="21"/>
                <w:szCs w:val="21"/>
                <w:highlight w:val="none"/>
              </w:rPr>
            </w:pPr>
          </w:p>
        </w:tc>
        <w:tc>
          <w:tcPr>
            <w:tcW w:w="671" w:type="pct"/>
            <w:vAlign w:val="center"/>
          </w:tcPr>
          <w:p>
            <w:pPr>
              <w:jc w:val="center"/>
              <w:rPr>
                <w:rFonts w:ascii="宋体" w:hAnsi="宋体" w:eastAsia="宋体"/>
                <w:color w:val="auto"/>
                <w:sz w:val="21"/>
                <w:szCs w:val="21"/>
                <w:highlight w:val="none"/>
              </w:rPr>
            </w:pPr>
          </w:p>
        </w:tc>
        <w:tc>
          <w:tcPr>
            <w:tcW w:w="1025"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color w:val="auto"/>
                <w:sz w:val="21"/>
                <w:szCs w:val="21"/>
                <w:highlight w:val="none"/>
              </w:rPr>
            </w:pPr>
          </w:p>
        </w:tc>
        <w:tc>
          <w:tcPr>
            <w:tcW w:w="960" w:type="pct"/>
            <w:vAlign w:val="center"/>
          </w:tcPr>
          <w:p>
            <w:pPr>
              <w:jc w:val="center"/>
              <w:rPr>
                <w:rFonts w:ascii="宋体" w:hAnsi="宋体" w:eastAsia="宋体"/>
                <w:color w:val="auto"/>
                <w:sz w:val="21"/>
                <w:szCs w:val="21"/>
                <w:highlight w:val="none"/>
              </w:rPr>
            </w:pPr>
          </w:p>
        </w:tc>
        <w:tc>
          <w:tcPr>
            <w:tcW w:w="805" w:type="pct"/>
            <w:vAlign w:val="center"/>
          </w:tcPr>
          <w:p>
            <w:pPr>
              <w:jc w:val="center"/>
              <w:rPr>
                <w:rFonts w:ascii="宋体" w:hAnsi="宋体" w:eastAsia="宋体"/>
                <w:color w:val="auto"/>
                <w:sz w:val="21"/>
                <w:szCs w:val="21"/>
                <w:highlight w:val="none"/>
              </w:rPr>
            </w:pPr>
          </w:p>
        </w:tc>
        <w:tc>
          <w:tcPr>
            <w:tcW w:w="940" w:type="pct"/>
            <w:vAlign w:val="center"/>
          </w:tcPr>
          <w:p>
            <w:pPr>
              <w:jc w:val="center"/>
              <w:rPr>
                <w:rFonts w:ascii="宋体" w:hAnsi="宋体" w:eastAsia="宋体"/>
                <w:color w:val="auto"/>
                <w:sz w:val="21"/>
                <w:szCs w:val="21"/>
                <w:highlight w:val="none"/>
              </w:rPr>
            </w:pPr>
          </w:p>
        </w:tc>
        <w:tc>
          <w:tcPr>
            <w:tcW w:w="671" w:type="pct"/>
            <w:vAlign w:val="center"/>
          </w:tcPr>
          <w:p>
            <w:pPr>
              <w:jc w:val="center"/>
              <w:rPr>
                <w:rFonts w:ascii="宋体" w:hAnsi="宋体" w:eastAsia="宋体"/>
                <w:color w:val="auto"/>
                <w:sz w:val="21"/>
                <w:szCs w:val="21"/>
                <w:highlight w:val="none"/>
              </w:rPr>
            </w:pPr>
          </w:p>
        </w:tc>
        <w:tc>
          <w:tcPr>
            <w:tcW w:w="1025"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color w:val="auto"/>
                <w:sz w:val="21"/>
                <w:szCs w:val="21"/>
                <w:highlight w:val="none"/>
              </w:rPr>
            </w:pPr>
          </w:p>
        </w:tc>
        <w:tc>
          <w:tcPr>
            <w:tcW w:w="960" w:type="pct"/>
            <w:vAlign w:val="center"/>
          </w:tcPr>
          <w:p>
            <w:pPr>
              <w:jc w:val="center"/>
              <w:rPr>
                <w:rFonts w:ascii="宋体" w:hAnsi="宋体" w:eastAsia="宋体"/>
                <w:color w:val="auto"/>
                <w:sz w:val="21"/>
                <w:szCs w:val="21"/>
                <w:highlight w:val="none"/>
              </w:rPr>
            </w:pPr>
          </w:p>
        </w:tc>
        <w:tc>
          <w:tcPr>
            <w:tcW w:w="805" w:type="pct"/>
            <w:vAlign w:val="center"/>
          </w:tcPr>
          <w:p>
            <w:pPr>
              <w:jc w:val="center"/>
              <w:rPr>
                <w:rFonts w:ascii="宋体" w:hAnsi="宋体" w:eastAsia="宋体"/>
                <w:color w:val="auto"/>
                <w:sz w:val="21"/>
                <w:szCs w:val="21"/>
                <w:highlight w:val="none"/>
              </w:rPr>
            </w:pPr>
          </w:p>
        </w:tc>
        <w:tc>
          <w:tcPr>
            <w:tcW w:w="940" w:type="pct"/>
            <w:vAlign w:val="center"/>
          </w:tcPr>
          <w:p>
            <w:pPr>
              <w:jc w:val="center"/>
              <w:rPr>
                <w:rFonts w:ascii="宋体" w:hAnsi="宋体" w:eastAsia="宋体"/>
                <w:color w:val="auto"/>
                <w:sz w:val="21"/>
                <w:szCs w:val="21"/>
                <w:highlight w:val="none"/>
              </w:rPr>
            </w:pPr>
          </w:p>
        </w:tc>
        <w:tc>
          <w:tcPr>
            <w:tcW w:w="671" w:type="pct"/>
            <w:vAlign w:val="center"/>
          </w:tcPr>
          <w:p>
            <w:pPr>
              <w:jc w:val="center"/>
              <w:rPr>
                <w:rFonts w:ascii="宋体" w:hAnsi="宋体" w:eastAsia="宋体"/>
                <w:color w:val="auto"/>
                <w:sz w:val="21"/>
                <w:szCs w:val="21"/>
                <w:highlight w:val="none"/>
              </w:rPr>
            </w:pPr>
          </w:p>
        </w:tc>
        <w:tc>
          <w:tcPr>
            <w:tcW w:w="1025"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color w:val="auto"/>
                <w:sz w:val="21"/>
                <w:szCs w:val="21"/>
                <w:highlight w:val="none"/>
              </w:rPr>
            </w:pPr>
          </w:p>
        </w:tc>
        <w:tc>
          <w:tcPr>
            <w:tcW w:w="960" w:type="pct"/>
            <w:vAlign w:val="center"/>
          </w:tcPr>
          <w:p>
            <w:pPr>
              <w:jc w:val="center"/>
              <w:rPr>
                <w:rFonts w:ascii="宋体" w:hAnsi="宋体" w:eastAsia="宋体"/>
                <w:color w:val="auto"/>
                <w:sz w:val="21"/>
                <w:szCs w:val="21"/>
                <w:highlight w:val="none"/>
              </w:rPr>
            </w:pPr>
          </w:p>
        </w:tc>
        <w:tc>
          <w:tcPr>
            <w:tcW w:w="805" w:type="pct"/>
            <w:vAlign w:val="center"/>
          </w:tcPr>
          <w:p>
            <w:pPr>
              <w:jc w:val="center"/>
              <w:rPr>
                <w:rFonts w:ascii="宋体" w:hAnsi="宋体" w:eastAsia="宋体"/>
                <w:color w:val="auto"/>
                <w:sz w:val="21"/>
                <w:szCs w:val="21"/>
                <w:highlight w:val="none"/>
              </w:rPr>
            </w:pPr>
          </w:p>
        </w:tc>
        <w:tc>
          <w:tcPr>
            <w:tcW w:w="940" w:type="pct"/>
            <w:vAlign w:val="center"/>
          </w:tcPr>
          <w:p>
            <w:pPr>
              <w:jc w:val="center"/>
              <w:rPr>
                <w:rFonts w:ascii="宋体" w:hAnsi="宋体" w:eastAsia="宋体"/>
                <w:color w:val="auto"/>
                <w:sz w:val="21"/>
                <w:szCs w:val="21"/>
                <w:highlight w:val="none"/>
              </w:rPr>
            </w:pPr>
          </w:p>
        </w:tc>
        <w:tc>
          <w:tcPr>
            <w:tcW w:w="671" w:type="pct"/>
            <w:vAlign w:val="center"/>
          </w:tcPr>
          <w:p>
            <w:pPr>
              <w:jc w:val="center"/>
              <w:rPr>
                <w:rFonts w:ascii="宋体" w:hAnsi="宋体" w:eastAsia="宋体"/>
                <w:color w:val="auto"/>
                <w:sz w:val="21"/>
                <w:szCs w:val="21"/>
                <w:highlight w:val="none"/>
              </w:rPr>
            </w:pPr>
          </w:p>
        </w:tc>
        <w:tc>
          <w:tcPr>
            <w:tcW w:w="1025"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color w:val="auto"/>
                <w:sz w:val="21"/>
                <w:szCs w:val="21"/>
                <w:highlight w:val="none"/>
              </w:rPr>
            </w:pPr>
          </w:p>
        </w:tc>
        <w:tc>
          <w:tcPr>
            <w:tcW w:w="960" w:type="pct"/>
            <w:vAlign w:val="center"/>
          </w:tcPr>
          <w:p>
            <w:pPr>
              <w:jc w:val="center"/>
              <w:rPr>
                <w:rFonts w:ascii="宋体" w:hAnsi="宋体" w:eastAsia="宋体"/>
                <w:color w:val="auto"/>
                <w:sz w:val="21"/>
                <w:szCs w:val="21"/>
                <w:highlight w:val="none"/>
              </w:rPr>
            </w:pPr>
          </w:p>
        </w:tc>
        <w:tc>
          <w:tcPr>
            <w:tcW w:w="805" w:type="pct"/>
            <w:vAlign w:val="center"/>
          </w:tcPr>
          <w:p>
            <w:pPr>
              <w:jc w:val="center"/>
              <w:rPr>
                <w:rFonts w:ascii="宋体" w:hAnsi="宋体" w:eastAsia="宋体"/>
                <w:color w:val="auto"/>
                <w:sz w:val="21"/>
                <w:szCs w:val="21"/>
                <w:highlight w:val="none"/>
              </w:rPr>
            </w:pPr>
          </w:p>
        </w:tc>
        <w:tc>
          <w:tcPr>
            <w:tcW w:w="940" w:type="pct"/>
            <w:vAlign w:val="center"/>
          </w:tcPr>
          <w:p>
            <w:pPr>
              <w:jc w:val="center"/>
              <w:rPr>
                <w:rFonts w:ascii="宋体" w:hAnsi="宋体" w:eastAsia="宋体"/>
                <w:color w:val="auto"/>
                <w:sz w:val="21"/>
                <w:szCs w:val="21"/>
                <w:highlight w:val="none"/>
              </w:rPr>
            </w:pPr>
          </w:p>
        </w:tc>
        <w:tc>
          <w:tcPr>
            <w:tcW w:w="671" w:type="pct"/>
            <w:vAlign w:val="center"/>
          </w:tcPr>
          <w:p>
            <w:pPr>
              <w:jc w:val="center"/>
              <w:rPr>
                <w:rFonts w:ascii="宋体" w:hAnsi="宋体" w:eastAsia="宋体"/>
                <w:color w:val="auto"/>
                <w:sz w:val="21"/>
                <w:szCs w:val="21"/>
                <w:highlight w:val="none"/>
              </w:rPr>
            </w:pPr>
          </w:p>
        </w:tc>
        <w:tc>
          <w:tcPr>
            <w:tcW w:w="1025"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color w:val="auto"/>
                <w:sz w:val="21"/>
                <w:szCs w:val="21"/>
                <w:highlight w:val="none"/>
              </w:rPr>
            </w:pPr>
          </w:p>
        </w:tc>
        <w:tc>
          <w:tcPr>
            <w:tcW w:w="960" w:type="pct"/>
            <w:vAlign w:val="center"/>
          </w:tcPr>
          <w:p>
            <w:pPr>
              <w:jc w:val="center"/>
              <w:rPr>
                <w:rFonts w:ascii="宋体" w:hAnsi="宋体" w:eastAsia="宋体"/>
                <w:color w:val="auto"/>
                <w:sz w:val="21"/>
                <w:szCs w:val="21"/>
                <w:highlight w:val="none"/>
              </w:rPr>
            </w:pPr>
          </w:p>
        </w:tc>
        <w:tc>
          <w:tcPr>
            <w:tcW w:w="805" w:type="pct"/>
            <w:vAlign w:val="center"/>
          </w:tcPr>
          <w:p>
            <w:pPr>
              <w:jc w:val="center"/>
              <w:rPr>
                <w:rFonts w:ascii="宋体" w:hAnsi="宋体" w:eastAsia="宋体"/>
                <w:color w:val="auto"/>
                <w:sz w:val="21"/>
                <w:szCs w:val="21"/>
                <w:highlight w:val="none"/>
              </w:rPr>
            </w:pPr>
          </w:p>
        </w:tc>
        <w:tc>
          <w:tcPr>
            <w:tcW w:w="940" w:type="pct"/>
            <w:vAlign w:val="center"/>
          </w:tcPr>
          <w:p>
            <w:pPr>
              <w:jc w:val="center"/>
              <w:rPr>
                <w:rFonts w:ascii="宋体" w:hAnsi="宋体" w:eastAsia="宋体"/>
                <w:color w:val="auto"/>
                <w:sz w:val="21"/>
                <w:szCs w:val="21"/>
                <w:highlight w:val="none"/>
              </w:rPr>
            </w:pPr>
          </w:p>
        </w:tc>
        <w:tc>
          <w:tcPr>
            <w:tcW w:w="671" w:type="pct"/>
            <w:vAlign w:val="center"/>
          </w:tcPr>
          <w:p>
            <w:pPr>
              <w:jc w:val="center"/>
              <w:rPr>
                <w:rFonts w:ascii="宋体" w:hAnsi="宋体" w:eastAsia="宋体"/>
                <w:color w:val="auto"/>
                <w:sz w:val="21"/>
                <w:szCs w:val="21"/>
                <w:highlight w:val="none"/>
              </w:rPr>
            </w:pPr>
          </w:p>
        </w:tc>
        <w:tc>
          <w:tcPr>
            <w:tcW w:w="1025"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color w:val="auto"/>
                <w:sz w:val="21"/>
                <w:szCs w:val="21"/>
                <w:highlight w:val="none"/>
              </w:rPr>
            </w:pPr>
          </w:p>
        </w:tc>
        <w:tc>
          <w:tcPr>
            <w:tcW w:w="960" w:type="pct"/>
            <w:vAlign w:val="center"/>
          </w:tcPr>
          <w:p>
            <w:pPr>
              <w:jc w:val="center"/>
              <w:rPr>
                <w:rFonts w:ascii="宋体" w:hAnsi="宋体" w:eastAsia="宋体"/>
                <w:color w:val="auto"/>
                <w:sz w:val="21"/>
                <w:szCs w:val="21"/>
                <w:highlight w:val="none"/>
              </w:rPr>
            </w:pPr>
          </w:p>
        </w:tc>
        <w:tc>
          <w:tcPr>
            <w:tcW w:w="805" w:type="pct"/>
            <w:vAlign w:val="center"/>
          </w:tcPr>
          <w:p>
            <w:pPr>
              <w:jc w:val="center"/>
              <w:rPr>
                <w:rFonts w:ascii="宋体" w:hAnsi="宋体" w:eastAsia="宋体"/>
                <w:color w:val="auto"/>
                <w:sz w:val="21"/>
                <w:szCs w:val="21"/>
                <w:highlight w:val="none"/>
              </w:rPr>
            </w:pPr>
          </w:p>
        </w:tc>
        <w:tc>
          <w:tcPr>
            <w:tcW w:w="940" w:type="pct"/>
            <w:vAlign w:val="center"/>
          </w:tcPr>
          <w:p>
            <w:pPr>
              <w:jc w:val="center"/>
              <w:rPr>
                <w:rFonts w:ascii="宋体" w:hAnsi="宋体" w:eastAsia="宋体"/>
                <w:color w:val="auto"/>
                <w:sz w:val="21"/>
                <w:szCs w:val="21"/>
                <w:highlight w:val="none"/>
              </w:rPr>
            </w:pPr>
          </w:p>
        </w:tc>
        <w:tc>
          <w:tcPr>
            <w:tcW w:w="671" w:type="pct"/>
            <w:vAlign w:val="center"/>
          </w:tcPr>
          <w:p>
            <w:pPr>
              <w:jc w:val="center"/>
              <w:rPr>
                <w:rFonts w:ascii="宋体" w:hAnsi="宋体" w:eastAsia="宋体"/>
                <w:color w:val="auto"/>
                <w:sz w:val="21"/>
                <w:szCs w:val="21"/>
                <w:highlight w:val="none"/>
              </w:rPr>
            </w:pPr>
          </w:p>
        </w:tc>
        <w:tc>
          <w:tcPr>
            <w:tcW w:w="1025" w:type="pct"/>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应对照</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商务要求，说明已对</w:t>
      </w:r>
      <w:r>
        <w:rPr>
          <w:rFonts w:hint="eastAsia" w:ascii="宋体" w:hAnsi="宋体" w:eastAsia="宋体"/>
          <w:color w:val="auto"/>
          <w:sz w:val="21"/>
          <w:szCs w:val="21"/>
          <w:highlight w:val="none"/>
          <w:lang w:eastAsia="zh-CN"/>
        </w:rPr>
        <w:t>遴选文件</w:t>
      </w:r>
      <w:r>
        <w:rPr>
          <w:rFonts w:hint="eastAsia" w:ascii="宋体" w:hAnsi="宋体" w:eastAsia="宋体"/>
          <w:color w:val="auto"/>
          <w:sz w:val="21"/>
          <w:szCs w:val="21"/>
          <w:highlight w:val="none"/>
        </w:rPr>
        <w:t>的商务内容做出了实质性的响应。</w:t>
      </w:r>
    </w:p>
    <w:p>
      <w:pPr>
        <w:spacing w:after="0"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2、商务条款</w:t>
      </w:r>
      <w:r>
        <w:rPr>
          <w:rFonts w:hint="eastAsia" w:ascii="宋体" w:hAnsi="宋体" w:eastAsia="宋体"/>
          <w:color w:val="auto"/>
          <w:sz w:val="21"/>
          <w:szCs w:val="21"/>
          <w:highlight w:val="none"/>
          <w:lang w:eastAsia="zh-CN"/>
        </w:rPr>
        <w:t>根据“第三部分</w:t>
      </w:r>
      <w:r>
        <w:rPr>
          <w:rFonts w:hint="eastAsia" w:ascii="宋体" w:hAnsi="宋体" w:eastAsia="宋体"/>
          <w:color w:val="auto"/>
          <w:sz w:val="21"/>
          <w:szCs w:val="21"/>
          <w:highlight w:val="none"/>
          <w:lang w:val="en-US" w:eastAsia="zh-CN"/>
        </w:rPr>
        <w:t xml:space="preserve"> 用户需求书</w:t>
      </w:r>
      <w:r>
        <w:rPr>
          <w:rFonts w:hint="eastAsia" w:ascii="宋体" w:hAnsi="宋体" w:eastAsia="宋体"/>
          <w:color w:val="auto"/>
          <w:sz w:val="21"/>
          <w:szCs w:val="21"/>
          <w:highlight w:val="none"/>
          <w:lang w:eastAsia="zh-CN"/>
        </w:rPr>
        <w:t>”的“商务需求”填写。</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eastAsia="zh-CN"/>
        </w:rPr>
        <w:t>若文件有具体要求的，应按照文件要求进行逐一响应，并提供相应的证明材料</w:t>
      </w:r>
      <w:r>
        <w:rPr>
          <w:rFonts w:hint="eastAsia" w:ascii="宋体" w:hAnsi="宋体" w:eastAsia="宋体"/>
          <w:color w:val="auto"/>
          <w:sz w:val="21"/>
          <w:szCs w:val="21"/>
          <w:highlight w:val="none"/>
        </w:rPr>
        <w:t>。</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45" w:name="_Toc29507"/>
      <w:r>
        <w:rPr>
          <w:rFonts w:hint="eastAsia" w:ascii="宋体" w:hAnsi="宋体" w:eastAsia="宋体"/>
          <w:color w:val="auto"/>
          <w:sz w:val="21"/>
          <w:szCs w:val="21"/>
          <w:highlight w:val="none"/>
        </w:rPr>
        <w:t>附件11.</w:t>
      </w:r>
      <w:r>
        <w:rPr>
          <w:rFonts w:hint="eastAsia" w:ascii="宋体" w:hAnsi="宋体" w:eastAsia="宋体"/>
          <w:color w:val="auto"/>
          <w:sz w:val="21"/>
          <w:szCs w:val="21"/>
          <w:highlight w:val="none"/>
          <w:lang w:eastAsia="zh-CN"/>
        </w:rPr>
        <w:t>技术条款</w:t>
      </w:r>
      <w:r>
        <w:rPr>
          <w:rFonts w:hint="eastAsia" w:ascii="宋体" w:hAnsi="宋体" w:eastAsia="宋体"/>
          <w:color w:val="auto"/>
          <w:sz w:val="21"/>
          <w:szCs w:val="21"/>
          <w:highlight w:val="none"/>
        </w:rPr>
        <w:t>偏离表格式</w:t>
      </w:r>
      <w:bookmarkEnd w:id="145"/>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lang w:eastAsia="zh-CN"/>
        </w:rPr>
        <w:t>技术条款</w:t>
      </w:r>
      <w:r>
        <w:rPr>
          <w:rFonts w:hint="eastAsia" w:ascii="黑体" w:eastAsia="黑体"/>
          <w:color w:val="auto"/>
          <w:sz w:val="28"/>
          <w:szCs w:val="28"/>
          <w:highlight w:val="none"/>
        </w:rPr>
        <w:t>偏离表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573"/>
        <w:gridCol w:w="1699"/>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91" w:type="pc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922" w:type="pc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技术条款名称</w:t>
            </w:r>
          </w:p>
        </w:tc>
        <w:tc>
          <w:tcPr>
            <w:tcW w:w="996" w:type="pc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要求</w:t>
            </w:r>
          </w:p>
        </w:tc>
        <w:tc>
          <w:tcPr>
            <w:tcW w:w="955" w:type="pc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遴选</w:t>
            </w:r>
            <w:r>
              <w:rPr>
                <w:rFonts w:hint="eastAsia" w:ascii="宋体" w:hAnsi="宋体" w:eastAsia="宋体"/>
                <w:color w:val="auto"/>
                <w:sz w:val="21"/>
                <w:szCs w:val="21"/>
                <w:highlight w:val="none"/>
              </w:rPr>
              <w:t>实际响应</w:t>
            </w:r>
          </w:p>
        </w:tc>
        <w:tc>
          <w:tcPr>
            <w:tcW w:w="726" w:type="pc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905" w:type="pc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color w:val="auto"/>
                <w:sz w:val="21"/>
                <w:szCs w:val="21"/>
                <w:highlight w:val="none"/>
              </w:rPr>
            </w:pPr>
          </w:p>
        </w:tc>
        <w:tc>
          <w:tcPr>
            <w:tcW w:w="922" w:type="pct"/>
            <w:vAlign w:val="center"/>
          </w:tcPr>
          <w:p>
            <w:pPr>
              <w:jc w:val="center"/>
              <w:rPr>
                <w:rFonts w:ascii="宋体" w:hAnsi="宋体" w:eastAsia="宋体"/>
                <w:color w:val="auto"/>
                <w:sz w:val="21"/>
                <w:szCs w:val="21"/>
                <w:highlight w:val="none"/>
              </w:rPr>
            </w:pPr>
          </w:p>
        </w:tc>
        <w:tc>
          <w:tcPr>
            <w:tcW w:w="996" w:type="pct"/>
            <w:vAlign w:val="center"/>
          </w:tcPr>
          <w:p>
            <w:pPr>
              <w:jc w:val="center"/>
              <w:rPr>
                <w:rFonts w:ascii="宋体" w:hAnsi="宋体" w:eastAsia="宋体"/>
                <w:color w:val="auto"/>
                <w:sz w:val="21"/>
                <w:szCs w:val="21"/>
                <w:highlight w:val="none"/>
              </w:rPr>
            </w:pPr>
          </w:p>
        </w:tc>
        <w:tc>
          <w:tcPr>
            <w:tcW w:w="955" w:type="pct"/>
            <w:vAlign w:val="center"/>
          </w:tcPr>
          <w:p>
            <w:pPr>
              <w:jc w:val="center"/>
              <w:rPr>
                <w:rFonts w:ascii="宋体" w:hAnsi="宋体" w:eastAsia="宋体"/>
                <w:color w:val="auto"/>
                <w:sz w:val="21"/>
                <w:szCs w:val="21"/>
                <w:highlight w:val="none"/>
              </w:rPr>
            </w:pPr>
          </w:p>
        </w:tc>
        <w:tc>
          <w:tcPr>
            <w:tcW w:w="726" w:type="pct"/>
            <w:vAlign w:val="center"/>
          </w:tcPr>
          <w:p>
            <w:pPr>
              <w:jc w:val="center"/>
              <w:rPr>
                <w:rFonts w:ascii="宋体" w:hAnsi="宋体" w:eastAsia="宋体"/>
                <w:color w:val="auto"/>
                <w:sz w:val="21"/>
                <w:szCs w:val="21"/>
                <w:highlight w:val="none"/>
              </w:rPr>
            </w:pPr>
          </w:p>
        </w:tc>
        <w:tc>
          <w:tcPr>
            <w:tcW w:w="905"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color w:val="auto"/>
                <w:sz w:val="21"/>
                <w:szCs w:val="21"/>
                <w:highlight w:val="none"/>
              </w:rPr>
            </w:pPr>
          </w:p>
        </w:tc>
        <w:tc>
          <w:tcPr>
            <w:tcW w:w="922" w:type="pct"/>
            <w:vAlign w:val="center"/>
          </w:tcPr>
          <w:p>
            <w:pPr>
              <w:jc w:val="center"/>
              <w:rPr>
                <w:rFonts w:ascii="宋体" w:hAnsi="宋体" w:eastAsia="宋体"/>
                <w:color w:val="auto"/>
                <w:sz w:val="21"/>
                <w:szCs w:val="21"/>
                <w:highlight w:val="none"/>
              </w:rPr>
            </w:pPr>
          </w:p>
        </w:tc>
        <w:tc>
          <w:tcPr>
            <w:tcW w:w="996" w:type="pct"/>
            <w:vAlign w:val="center"/>
          </w:tcPr>
          <w:p>
            <w:pPr>
              <w:jc w:val="center"/>
              <w:rPr>
                <w:rFonts w:ascii="宋体" w:hAnsi="宋体" w:eastAsia="宋体"/>
                <w:color w:val="auto"/>
                <w:sz w:val="21"/>
                <w:szCs w:val="21"/>
                <w:highlight w:val="none"/>
              </w:rPr>
            </w:pPr>
          </w:p>
        </w:tc>
        <w:tc>
          <w:tcPr>
            <w:tcW w:w="955" w:type="pct"/>
            <w:vAlign w:val="center"/>
          </w:tcPr>
          <w:p>
            <w:pPr>
              <w:jc w:val="center"/>
              <w:rPr>
                <w:rFonts w:ascii="宋体" w:hAnsi="宋体" w:eastAsia="宋体"/>
                <w:color w:val="auto"/>
                <w:sz w:val="21"/>
                <w:szCs w:val="21"/>
                <w:highlight w:val="none"/>
              </w:rPr>
            </w:pPr>
          </w:p>
        </w:tc>
        <w:tc>
          <w:tcPr>
            <w:tcW w:w="726" w:type="pct"/>
            <w:vAlign w:val="center"/>
          </w:tcPr>
          <w:p>
            <w:pPr>
              <w:jc w:val="center"/>
              <w:rPr>
                <w:rFonts w:ascii="宋体" w:hAnsi="宋体" w:eastAsia="宋体"/>
                <w:color w:val="auto"/>
                <w:sz w:val="21"/>
                <w:szCs w:val="21"/>
                <w:highlight w:val="none"/>
              </w:rPr>
            </w:pPr>
          </w:p>
        </w:tc>
        <w:tc>
          <w:tcPr>
            <w:tcW w:w="905"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color w:val="auto"/>
                <w:sz w:val="21"/>
                <w:szCs w:val="21"/>
                <w:highlight w:val="none"/>
              </w:rPr>
            </w:pPr>
          </w:p>
        </w:tc>
        <w:tc>
          <w:tcPr>
            <w:tcW w:w="922" w:type="pct"/>
            <w:vAlign w:val="center"/>
          </w:tcPr>
          <w:p>
            <w:pPr>
              <w:jc w:val="center"/>
              <w:rPr>
                <w:rFonts w:ascii="宋体" w:hAnsi="宋体" w:eastAsia="宋体"/>
                <w:color w:val="auto"/>
                <w:sz w:val="21"/>
                <w:szCs w:val="21"/>
                <w:highlight w:val="none"/>
              </w:rPr>
            </w:pPr>
          </w:p>
        </w:tc>
        <w:tc>
          <w:tcPr>
            <w:tcW w:w="996" w:type="pct"/>
            <w:vAlign w:val="center"/>
          </w:tcPr>
          <w:p>
            <w:pPr>
              <w:jc w:val="center"/>
              <w:rPr>
                <w:rFonts w:ascii="宋体" w:hAnsi="宋体" w:eastAsia="宋体"/>
                <w:color w:val="auto"/>
                <w:sz w:val="21"/>
                <w:szCs w:val="21"/>
                <w:highlight w:val="none"/>
              </w:rPr>
            </w:pPr>
          </w:p>
        </w:tc>
        <w:tc>
          <w:tcPr>
            <w:tcW w:w="955" w:type="pct"/>
            <w:vAlign w:val="center"/>
          </w:tcPr>
          <w:p>
            <w:pPr>
              <w:jc w:val="center"/>
              <w:rPr>
                <w:rFonts w:ascii="宋体" w:hAnsi="宋体" w:eastAsia="宋体"/>
                <w:color w:val="auto"/>
                <w:sz w:val="21"/>
                <w:szCs w:val="21"/>
                <w:highlight w:val="none"/>
              </w:rPr>
            </w:pPr>
          </w:p>
        </w:tc>
        <w:tc>
          <w:tcPr>
            <w:tcW w:w="726" w:type="pct"/>
            <w:vAlign w:val="center"/>
          </w:tcPr>
          <w:p>
            <w:pPr>
              <w:jc w:val="center"/>
              <w:rPr>
                <w:rFonts w:ascii="宋体" w:hAnsi="宋体" w:eastAsia="宋体"/>
                <w:color w:val="auto"/>
                <w:sz w:val="21"/>
                <w:szCs w:val="21"/>
                <w:highlight w:val="none"/>
              </w:rPr>
            </w:pPr>
          </w:p>
        </w:tc>
        <w:tc>
          <w:tcPr>
            <w:tcW w:w="905"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color w:val="auto"/>
                <w:sz w:val="21"/>
                <w:szCs w:val="21"/>
                <w:highlight w:val="none"/>
              </w:rPr>
            </w:pPr>
          </w:p>
        </w:tc>
        <w:tc>
          <w:tcPr>
            <w:tcW w:w="922" w:type="pct"/>
            <w:vAlign w:val="center"/>
          </w:tcPr>
          <w:p>
            <w:pPr>
              <w:jc w:val="center"/>
              <w:rPr>
                <w:rFonts w:ascii="宋体" w:hAnsi="宋体" w:eastAsia="宋体"/>
                <w:color w:val="auto"/>
                <w:sz w:val="21"/>
                <w:szCs w:val="21"/>
                <w:highlight w:val="none"/>
              </w:rPr>
            </w:pPr>
          </w:p>
        </w:tc>
        <w:tc>
          <w:tcPr>
            <w:tcW w:w="996" w:type="pct"/>
            <w:vAlign w:val="center"/>
          </w:tcPr>
          <w:p>
            <w:pPr>
              <w:jc w:val="center"/>
              <w:rPr>
                <w:rFonts w:ascii="宋体" w:hAnsi="宋体" w:eastAsia="宋体"/>
                <w:color w:val="auto"/>
                <w:sz w:val="21"/>
                <w:szCs w:val="21"/>
                <w:highlight w:val="none"/>
              </w:rPr>
            </w:pPr>
          </w:p>
        </w:tc>
        <w:tc>
          <w:tcPr>
            <w:tcW w:w="955" w:type="pct"/>
            <w:vAlign w:val="center"/>
          </w:tcPr>
          <w:p>
            <w:pPr>
              <w:jc w:val="center"/>
              <w:rPr>
                <w:rFonts w:ascii="宋体" w:hAnsi="宋体" w:eastAsia="宋体"/>
                <w:color w:val="auto"/>
                <w:sz w:val="21"/>
                <w:szCs w:val="21"/>
                <w:highlight w:val="none"/>
              </w:rPr>
            </w:pPr>
          </w:p>
        </w:tc>
        <w:tc>
          <w:tcPr>
            <w:tcW w:w="726" w:type="pct"/>
            <w:vAlign w:val="center"/>
          </w:tcPr>
          <w:p>
            <w:pPr>
              <w:jc w:val="center"/>
              <w:rPr>
                <w:rFonts w:ascii="宋体" w:hAnsi="宋体" w:eastAsia="宋体"/>
                <w:color w:val="auto"/>
                <w:sz w:val="21"/>
                <w:szCs w:val="21"/>
                <w:highlight w:val="none"/>
              </w:rPr>
            </w:pPr>
          </w:p>
        </w:tc>
        <w:tc>
          <w:tcPr>
            <w:tcW w:w="905"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color w:val="auto"/>
                <w:sz w:val="21"/>
                <w:szCs w:val="21"/>
                <w:highlight w:val="none"/>
              </w:rPr>
            </w:pPr>
          </w:p>
        </w:tc>
        <w:tc>
          <w:tcPr>
            <w:tcW w:w="922" w:type="pct"/>
            <w:vAlign w:val="center"/>
          </w:tcPr>
          <w:p>
            <w:pPr>
              <w:jc w:val="center"/>
              <w:rPr>
                <w:rFonts w:ascii="宋体" w:hAnsi="宋体" w:eastAsia="宋体"/>
                <w:color w:val="auto"/>
                <w:sz w:val="21"/>
                <w:szCs w:val="21"/>
                <w:highlight w:val="none"/>
              </w:rPr>
            </w:pPr>
          </w:p>
        </w:tc>
        <w:tc>
          <w:tcPr>
            <w:tcW w:w="996" w:type="pct"/>
            <w:vAlign w:val="center"/>
          </w:tcPr>
          <w:p>
            <w:pPr>
              <w:jc w:val="center"/>
              <w:rPr>
                <w:rFonts w:ascii="宋体" w:hAnsi="宋体" w:eastAsia="宋体"/>
                <w:color w:val="auto"/>
                <w:sz w:val="21"/>
                <w:szCs w:val="21"/>
                <w:highlight w:val="none"/>
              </w:rPr>
            </w:pPr>
          </w:p>
        </w:tc>
        <w:tc>
          <w:tcPr>
            <w:tcW w:w="955" w:type="pct"/>
            <w:vAlign w:val="center"/>
          </w:tcPr>
          <w:p>
            <w:pPr>
              <w:jc w:val="center"/>
              <w:rPr>
                <w:rFonts w:ascii="宋体" w:hAnsi="宋体" w:eastAsia="宋体"/>
                <w:color w:val="auto"/>
                <w:sz w:val="21"/>
                <w:szCs w:val="21"/>
                <w:highlight w:val="none"/>
              </w:rPr>
            </w:pPr>
          </w:p>
        </w:tc>
        <w:tc>
          <w:tcPr>
            <w:tcW w:w="726" w:type="pct"/>
            <w:vAlign w:val="center"/>
          </w:tcPr>
          <w:p>
            <w:pPr>
              <w:jc w:val="center"/>
              <w:rPr>
                <w:rFonts w:ascii="宋体" w:hAnsi="宋体" w:eastAsia="宋体"/>
                <w:color w:val="auto"/>
                <w:sz w:val="21"/>
                <w:szCs w:val="21"/>
                <w:highlight w:val="none"/>
              </w:rPr>
            </w:pPr>
          </w:p>
        </w:tc>
        <w:tc>
          <w:tcPr>
            <w:tcW w:w="905"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color w:val="auto"/>
                <w:sz w:val="21"/>
                <w:szCs w:val="21"/>
                <w:highlight w:val="none"/>
              </w:rPr>
            </w:pPr>
          </w:p>
        </w:tc>
        <w:tc>
          <w:tcPr>
            <w:tcW w:w="922" w:type="pct"/>
            <w:vAlign w:val="center"/>
          </w:tcPr>
          <w:p>
            <w:pPr>
              <w:jc w:val="center"/>
              <w:rPr>
                <w:rFonts w:ascii="宋体" w:hAnsi="宋体" w:eastAsia="宋体"/>
                <w:color w:val="auto"/>
                <w:sz w:val="21"/>
                <w:szCs w:val="21"/>
                <w:highlight w:val="none"/>
              </w:rPr>
            </w:pPr>
          </w:p>
        </w:tc>
        <w:tc>
          <w:tcPr>
            <w:tcW w:w="996" w:type="pct"/>
            <w:vAlign w:val="center"/>
          </w:tcPr>
          <w:p>
            <w:pPr>
              <w:jc w:val="center"/>
              <w:rPr>
                <w:rFonts w:ascii="宋体" w:hAnsi="宋体" w:eastAsia="宋体"/>
                <w:color w:val="auto"/>
                <w:sz w:val="21"/>
                <w:szCs w:val="21"/>
                <w:highlight w:val="none"/>
              </w:rPr>
            </w:pPr>
          </w:p>
        </w:tc>
        <w:tc>
          <w:tcPr>
            <w:tcW w:w="955" w:type="pct"/>
            <w:vAlign w:val="center"/>
          </w:tcPr>
          <w:p>
            <w:pPr>
              <w:jc w:val="center"/>
              <w:rPr>
                <w:rFonts w:ascii="宋体" w:hAnsi="宋体" w:eastAsia="宋体"/>
                <w:color w:val="auto"/>
                <w:sz w:val="21"/>
                <w:szCs w:val="21"/>
                <w:highlight w:val="none"/>
              </w:rPr>
            </w:pPr>
          </w:p>
        </w:tc>
        <w:tc>
          <w:tcPr>
            <w:tcW w:w="726" w:type="pct"/>
            <w:vAlign w:val="center"/>
          </w:tcPr>
          <w:p>
            <w:pPr>
              <w:jc w:val="center"/>
              <w:rPr>
                <w:rFonts w:ascii="宋体" w:hAnsi="宋体" w:eastAsia="宋体"/>
                <w:color w:val="auto"/>
                <w:sz w:val="21"/>
                <w:szCs w:val="21"/>
                <w:highlight w:val="none"/>
              </w:rPr>
            </w:pPr>
          </w:p>
        </w:tc>
        <w:tc>
          <w:tcPr>
            <w:tcW w:w="905"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color w:val="auto"/>
                <w:sz w:val="21"/>
                <w:szCs w:val="21"/>
                <w:highlight w:val="none"/>
              </w:rPr>
            </w:pPr>
          </w:p>
        </w:tc>
        <w:tc>
          <w:tcPr>
            <w:tcW w:w="922" w:type="pct"/>
            <w:vAlign w:val="center"/>
          </w:tcPr>
          <w:p>
            <w:pPr>
              <w:jc w:val="center"/>
              <w:rPr>
                <w:rFonts w:ascii="宋体" w:hAnsi="宋体" w:eastAsia="宋体"/>
                <w:color w:val="auto"/>
                <w:sz w:val="21"/>
                <w:szCs w:val="21"/>
                <w:highlight w:val="none"/>
              </w:rPr>
            </w:pPr>
          </w:p>
        </w:tc>
        <w:tc>
          <w:tcPr>
            <w:tcW w:w="996" w:type="pct"/>
            <w:vAlign w:val="center"/>
          </w:tcPr>
          <w:p>
            <w:pPr>
              <w:jc w:val="center"/>
              <w:rPr>
                <w:rFonts w:ascii="宋体" w:hAnsi="宋体" w:eastAsia="宋体"/>
                <w:color w:val="auto"/>
                <w:sz w:val="21"/>
                <w:szCs w:val="21"/>
                <w:highlight w:val="none"/>
              </w:rPr>
            </w:pPr>
          </w:p>
        </w:tc>
        <w:tc>
          <w:tcPr>
            <w:tcW w:w="955" w:type="pct"/>
            <w:vAlign w:val="center"/>
          </w:tcPr>
          <w:p>
            <w:pPr>
              <w:jc w:val="center"/>
              <w:rPr>
                <w:rFonts w:ascii="宋体" w:hAnsi="宋体" w:eastAsia="宋体"/>
                <w:color w:val="auto"/>
                <w:sz w:val="21"/>
                <w:szCs w:val="21"/>
                <w:highlight w:val="none"/>
              </w:rPr>
            </w:pPr>
          </w:p>
        </w:tc>
        <w:tc>
          <w:tcPr>
            <w:tcW w:w="726" w:type="pct"/>
            <w:vAlign w:val="center"/>
          </w:tcPr>
          <w:p>
            <w:pPr>
              <w:jc w:val="center"/>
              <w:rPr>
                <w:rFonts w:ascii="宋体" w:hAnsi="宋体" w:eastAsia="宋体"/>
                <w:color w:val="auto"/>
                <w:sz w:val="21"/>
                <w:szCs w:val="21"/>
                <w:highlight w:val="none"/>
              </w:rPr>
            </w:pPr>
          </w:p>
        </w:tc>
        <w:tc>
          <w:tcPr>
            <w:tcW w:w="905"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color w:val="auto"/>
                <w:sz w:val="21"/>
                <w:szCs w:val="21"/>
                <w:highlight w:val="none"/>
              </w:rPr>
            </w:pPr>
          </w:p>
        </w:tc>
        <w:tc>
          <w:tcPr>
            <w:tcW w:w="922" w:type="pct"/>
            <w:vAlign w:val="center"/>
          </w:tcPr>
          <w:p>
            <w:pPr>
              <w:jc w:val="center"/>
              <w:rPr>
                <w:rFonts w:ascii="宋体" w:hAnsi="宋体" w:eastAsia="宋体"/>
                <w:color w:val="auto"/>
                <w:sz w:val="21"/>
                <w:szCs w:val="21"/>
                <w:highlight w:val="none"/>
              </w:rPr>
            </w:pPr>
          </w:p>
        </w:tc>
        <w:tc>
          <w:tcPr>
            <w:tcW w:w="996" w:type="pct"/>
            <w:vAlign w:val="center"/>
          </w:tcPr>
          <w:p>
            <w:pPr>
              <w:jc w:val="center"/>
              <w:rPr>
                <w:rFonts w:ascii="宋体" w:hAnsi="宋体" w:eastAsia="宋体"/>
                <w:color w:val="auto"/>
                <w:sz w:val="21"/>
                <w:szCs w:val="21"/>
                <w:highlight w:val="none"/>
              </w:rPr>
            </w:pPr>
          </w:p>
        </w:tc>
        <w:tc>
          <w:tcPr>
            <w:tcW w:w="955" w:type="pct"/>
            <w:vAlign w:val="center"/>
          </w:tcPr>
          <w:p>
            <w:pPr>
              <w:jc w:val="center"/>
              <w:rPr>
                <w:rFonts w:ascii="宋体" w:hAnsi="宋体" w:eastAsia="宋体"/>
                <w:color w:val="auto"/>
                <w:sz w:val="21"/>
                <w:szCs w:val="21"/>
                <w:highlight w:val="none"/>
              </w:rPr>
            </w:pPr>
          </w:p>
        </w:tc>
        <w:tc>
          <w:tcPr>
            <w:tcW w:w="726" w:type="pct"/>
            <w:vAlign w:val="center"/>
          </w:tcPr>
          <w:p>
            <w:pPr>
              <w:jc w:val="center"/>
              <w:rPr>
                <w:rFonts w:ascii="宋体" w:hAnsi="宋体" w:eastAsia="宋体"/>
                <w:color w:val="auto"/>
                <w:sz w:val="21"/>
                <w:szCs w:val="21"/>
                <w:highlight w:val="none"/>
              </w:rPr>
            </w:pPr>
          </w:p>
        </w:tc>
        <w:tc>
          <w:tcPr>
            <w:tcW w:w="905"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color w:val="auto"/>
                <w:sz w:val="21"/>
                <w:szCs w:val="21"/>
                <w:highlight w:val="none"/>
              </w:rPr>
            </w:pPr>
          </w:p>
        </w:tc>
        <w:tc>
          <w:tcPr>
            <w:tcW w:w="922" w:type="pct"/>
            <w:vAlign w:val="center"/>
          </w:tcPr>
          <w:p>
            <w:pPr>
              <w:jc w:val="center"/>
              <w:rPr>
                <w:rFonts w:ascii="宋体" w:hAnsi="宋体" w:eastAsia="宋体"/>
                <w:color w:val="auto"/>
                <w:sz w:val="21"/>
                <w:szCs w:val="21"/>
                <w:highlight w:val="none"/>
              </w:rPr>
            </w:pPr>
          </w:p>
        </w:tc>
        <w:tc>
          <w:tcPr>
            <w:tcW w:w="996" w:type="pct"/>
            <w:vAlign w:val="center"/>
          </w:tcPr>
          <w:p>
            <w:pPr>
              <w:jc w:val="center"/>
              <w:rPr>
                <w:rFonts w:ascii="宋体" w:hAnsi="宋体" w:eastAsia="宋体"/>
                <w:color w:val="auto"/>
                <w:sz w:val="21"/>
                <w:szCs w:val="21"/>
                <w:highlight w:val="none"/>
              </w:rPr>
            </w:pPr>
          </w:p>
        </w:tc>
        <w:tc>
          <w:tcPr>
            <w:tcW w:w="955" w:type="pct"/>
            <w:vAlign w:val="center"/>
          </w:tcPr>
          <w:p>
            <w:pPr>
              <w:jc w:val="center"/>
              <w:rPr>
                <w:rFonts w:ascii="宋体" w:hAnsi="宋体" w:eastAsia="宋体"/>
                <w:color w:val="auto"/>
                <w:sz w:val="21"/>
                <w:szCs w:val="21"/>
                <w:highlight w:val="none"/>
              </w:rPr>
            </w:pPr>
          </w:p>
        </w:tc>
        <w:tc>
          <w:tcPr>
            <w:tcW w:w="726" w:type="pct"/>
            <w:vAlign w:val="center"/>
          </w:tcPr>
          <w:p>
            <w:pPr>
              <w:jc w:val="center"/>
              <w:rPr>
                <w:rFonts w:ascii="宋体" w:hAnsi="宋体" w:eastAsia="宋体"/>
                <w:color w:val="auto"/>
                <w:sz w:val="21"/>
                <w:szCs w:val="21"/>
                <w:highlight w:val="none"/>
              </w:rPr>
            </w:pPr>
          </w:p>
        </w:tc>
        <w:tc>
          <w:tcPr>
            <w:tcW w:w="905"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color w:val="auto"/>
                <w:sz w:val="21"/>
                <w:szCs w:val="21"/>
                <w:highlight w:val="none"/>
              </w:rPr>
            </w:pPr>
          </w:p>
        </w:tc>
        <w:tc>
          <w:tcPr>
            <w:tcW w:w="922" w:type="pct"/>
            <w:vAlign w:val="center"/>
          </w:tcPr>
          <w:p>
            <w:pPr>
              <w:jc w:val="center"/>
              <w:rPr>
                <w:rFonts w:ascii="宋体" w:hAnsi="宋体" w:eastAsia="宋体"/>
                <w:color w:val="auto"/>
                <w:sz w:val="21"/>
                <w:szCs w:val="21"/>
                <w:highlight w:val="none"/>
              </w:rPr>
            </w:pPr>
          </w:p>
        </w:tc>
        <w:tc>
          <w:tcPr>
            <w:tcW w:w="996" w:type="pct"/>
            <w:vAlign w:val="center"/>
          </w:tcPr>
          <w:p>
            <w:pPr>
              <w:jc w:val="center"/>
              <w:rPr>
                <w:rFonts w:ascii="宋体" w:hAnsi="宋体" w:eastAsia="宋体"/>
                <w:color w:val="auto"/>
                <w:sz w:val="21"/>
                <w:szCs w:val="21"/>
                <w:highlight w:val="none"/>
              </w:rPr>
            </w:pPr>
          </w:p>
        </w:tc>
        <w:tc>
          <w:tcPr>
            <w:tcW w:w="955" w:type="pct"/>
            <w:vAlign w:val="center"/>
          </w:tcPr>
          <w:p>
            <w:pPr>
              <w:jc w:val="center"/>
              <w:rPr>
                <w:rFonts w:ascii="宋体" w:hAnsi="宋体" w:eastAsia="宋体"/>
                <w:color w:val="auto"/>
                <w:sz w:val="21"/>
                <w:szCs w:val="21"/>
                <w:highlight w:val="none"/>
              </w:rPr>
            </w:pPr>
          </w:p>
        </w:tc>
        <w:tc>
          <w:tcPr>
            <w:tcW w:w="726" w:type="pct"/>
            <w:vAlign w:val="center"/>
          </w:tcPr>
          <w:p>
            <w:pPr>
              <w:jc w:val="center"/>
              <w:rPr>
                <w:rFonts w:ascii="宋体" w:hAnsi="宋体" w:eastAsia="宋体"/>
                <w:color w:val="auto"/>
                <w:sz w:val="21"/>
                <w:szCs w:val="21"/>
                <w:highlight w:val="none"/>
              </w:rPr>
            </w:pPr>
          </w:p>
        </w:tc>
        <w:tc>
          <w:tcPr>
            <w:tcW w:w="905" w:type="pct"/>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eastAsia="zh-CN"/>
        </w:rPr>
        <w:t>技术</w:t>
      </w:r>
      <w:r>
        <w:rPr>
          <w:rFonts w:hint="eastAsia" w:ascii="宋体" w:hAnsi="宋体" w:eastAsia="宋体"/>
          <w:color w:val="auto"/>
          <w:sz w:val="21"/>
          <w:szCs w:val="21"/>
          <w:highlight w:val="none"/>
        </w:rPr>
        <w:t>条款</w:t>
      </w:r>
      <w:r>
        <w:rPr>
          <w:rFonts w:hint="eastAsia" w:ascii="宋体" w:hAnsi="宋体" w:eastAsia="宋体"/>
          <w:color w:val="auto"/>
          <w:sz w:val="21"/>
          <w:szCs w:val="21"/>
          <w:highlight w:val="none"/>
          <w:lang w:eastAsia="zh-CN"/>
        </w:rPr>
        <w:t>根据“第三部分</w:t>
      </w:r>
      <w:r>
        <w:rPr>
          <w:rFonts w:hint="eastAsia" w:ascii="宋体" w:hAnsi="宋体" w:eastAsia="宋体"/>
          <w:color w:val="auto"/>
          <w:sz w:val="21"/>
          <w:szCs w:val="21"/>
          <w:highlight w:val="none"/>
          <w:lang w:val="en-US" w:eastAsia="zh-CN"/>
        </w:rPr>
        <w:t xml:space="preserve"> 用户需求书</w:t>
      </w:r>
      <w:r>
        <w:rPr>
          <w:rFonts w:hint="eastAsia" w:ascii="宋体" w:hAnsi="宋体" w:eastAsia="宋体"/>
          <w:color w:val="auto"/>
          <w:sz w:val="21"/>
          <w:szCs w:val="21"/>
          <w:highlight w:val="none"/>
          <w:lang w:eastAsia="zh-CN"/>
        </w:rPr>
        <w:t>”的“技术需求”填写。</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46" w:name="_Toc17691"/>
      <w:r>
        <w:rPr>
          <w:rFonts w:hint="eastAsia" w:ascii="宋体" w:hAnsi="宋体" w:eastAsia="宋体"/>
          <w:color w:val="auto"/>
          <w:sz w:val="21"/>
          <w:szCs w:val="21"/>
          <w:highlight w:val="none"/>
        </w:rPr>
        <w:br w:type="page"/>
      </w:r>
    </w:p>
    <w:bookmarkEnd w:id="146"/>
    <w:p>
      <w:pPr>
        <w:pStyle w:val="5"/>
        <w:widowControl w:val="0"/>
        <w:overflowPunct w:val="0"/>
        <w:spacing w:before="0" w:after="0" w:line="240" w:lineRule="auto"/>
        <w:rPr>
          <w:rFonts w:ascii="宋体" w:hAnsi="宋体" w:eastAsia="宋体"/>
          <w:color w:val="auto"/>
          <w:sz w:val="30"/>
          <w:szCs w:val="30"/>
          <w:highlight w:val="none"/>
        </w:rPr>
      </w:pPr>
      <w:bookmarkStart w:id="147" w:name="_Toc9606"/>
      <w:r>
        <w:rPr>
          <w:rFonts w:hint="eastAsia" w:ascii="宋体" w:hAnsi="宋体" w:eastAsia="宋体"/>
          <w:color w:val="auto"/>
          <w:sz w:val="21"/>
          <w:szCs w:val="21"/>
          <w:highlight w:val="none"/>
        </w:rPr>
        <w:t>附件1</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.业绩表</w:t>
      </w:r>
      <w:bookmarkEnd w:id="147"/>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1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99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993"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409"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993" w:type="dxa"/>
            <w:vAlign w:val="center"/>
          </w:tcPr>
          <w:p>
            <w:pPr>
              <w:adjustRightInd/>
              <w:snapToGrid/>
              <w:spacing w:after="0"/>
              <w:jc w:val="center"/>
              <w:rPr>
                <w:rFonts w:ascii="宋体" w:hAnsi="宋体" w:eastAsia="宋体"/>
                <w:color w:val="auto"/>
                <w:sz w:val="21"/>
                <w:szCs w:val="21"/>
                <w:highlight w:val="none"/>
              </w:rPr>
            </w:pPr>
          </w:p>
        </w:tc>
        <w:tc>
          <w:tcPr>
            <w:tcW w:w="1409"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993" w:type="dxa"/>
          </w:tcPr>
          <w:p>
            <w:pPr>
              <w:adjustRightInd/>
              <w:snapToGrid/>
              <w:spacing w:after="0"/>
              <w:rPr>
                <w:rFonts w:ascii="宋体" w:hAnsi="宋体" w:eastAsia="宋体"/>
                <w:color w:val="auto"/>
                <w:sz w:val="21"/>
                <w:szCs w:val="21"/>
                <w:highlight w:val="none"/>
              </w:rPr>
            </w:pPr>
          </w:p>
        </w:tc>
        <w:tc>
          <w:tcPr>
            <w:tcW w:w="1409"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993" w:type="dxa"/>
          </w:tcPr>
          <w:p>
            <w:pPr>
              <w:adjustRightInd/>
              <w:snapToGrid/>
              <w:spacing w:after="0"/>
              <w:rPr>
                <w:rFonts w:ascii="宋体" w:hAnsi="宋体" w:eastAsia="宋体"/>
                <w:color w:val="auto"/>
                <w:sz w:val="21"/>
                <w:szCs w:val="21"/>
                <w:highlight w:val="none"/>
              </w:rPr>
            </w:pPr>
          </w:p>
        </w:tc>
        <w:tc>
          <w:tcPr>
            <w:tcW w:w="1409"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993" w:type="dxa"/>
          </w:tcPr>
          <w:p>
            <w:pPr>
              <w:adjustRightInd/>
              <w:snapToGrid/>
              <w:spacing w:after="0"/>
              <w:rPr>
                <w:rFonts w:ascii="宋体" w:hAnsi="宋体" w:eastAsia="宋体"/>
                <w:color w:val="auto"/>
                <w:sz w:val="21"/>
                <w:szCs w:val="21"/>
                <w:highlight w:val="none"/>
              </w:rPr>
            </w:pPr>
          </w:p>
        </w:tc>
        <w:tc>
          <w:tcPr>
            <w:tcW w:w="1409"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993" w:type="dxa"/>
          </w:tcPr>
          <w:p>
            <w:pPr>
              <w:adjustRightInd/>
              <w:snapToGrid/>
              <w:spacing w:after="0"/>
              <w:rPr>
                <w:rFonts w:ascii="宋体" w:hAnsi="宋体" w:eastAsia="宋体"/>
                <w:color w:val="auto"/>
                <w:sz w:val="21"/>
                <w:szCs w:val="21"/>
                <w:highlight w:val="none"/>
              </w:rPr>
            </w:pPr>
          </w:p>
        </w:tc>
        <w:tc>
          <w:tcPr>
            <w:tcW w:w="1409"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993" w:type="dxa"/>
          </w:tcPr>
          <w:p>
            <w:pPr>
              <w:adjustRightInd/>
              <w:snapToGrid/>
              <w:spacing w:after="0"/>
              <w:rPr>
                <w:rFonts w:ascii="宋体" w:hAnsi="宋体" w:eastAsia="宋体"/>
                <w:color w:val="auto"/>
                <w:sz w:val="21"/>
                <w:szCs w:val="21"/>
                <w:highlight w:val="none"/>
              </w:rPr>
            </w:pPr>
          </w:p>
        </w:tc>
        <w:tc>
          <w:tcPr>
            <w:tcW w:w="1409" w:type="dxa"/>
          </w:tcPr>
          <w:p>
            <w:pPr>
              <w:adjustRightInd/>
              <w:snapToGrid/>
              <w:spacing w:after="0"/>
              <w:rPr>
                <w:rFonts w:ascii="宋体" w:hAnsi="宋体" w:eastAsia="宋体"/>
                <w:color w:val="auto"/>
                <w:sz w:val="21"/>
                <w:szCs w:val="21"/>
                <w:highlight w:val="none"/>
              </w:rPr>
            </w:pPr>
          </w:p>
        </w:tc>
      </w:tr>
    </w:tbl>
    <w:p>
      <w:pPr>
        <w:pStyle w:val="23"/>
        <w:spacing w:after="0"/>
        <w:rPr>
          <w:rFonts w:ascii="宋体" w:hAnsi="宋体" w:eastAsia="宋体"/>
          <w:color w:val="auto"/>
          <w:sz w:val="21"/>
          <w:szCs w:val="21"/>
          <w:highlight w:val="none"/>
        </w:rPr>
      </w:pPr>
    </w:p>
    <w:p>
      <w:pPr>
        <w:pStyle w:val="23"/>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3"/>
        <w:numPr>
          <w:ilvl w:val="0"/>
          <w:numId w:val="9"/>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可按实际情况自行制订。</w:t>
      </w:r>
    </w:p>
    <w:p>
      <w:pPr>
        <w:pStyle w:val="23"/>
        <w:numPr>
          <w:ilvl w:val="0"/>
          <w:numId w:val="9"/>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23"/>
        <w:numPr>
          <w:ilvl w:val="0"/>
          <w:numId w:val="9"/>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48" w:name="_Toc32711"/>
      <w:r>
        <w:rPr>
          <w:rFonts w:hint="eastAsia" w:ascii="宋体" w:hAnsi="宋体" w:eastAsia="宋体"/>
          <w:color w:val="auto"/>
          <w:sz w:val="21"/>
          <w:szCs w:val="21"/>
          <w:highlight w:val="none"/>
        </w:rPr>
        <w:t>附件1</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.项目实施方案格式</w:t>
      </w:r>
      <w:bookmarkEnd w:id="148"/>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left="141" w:leftChars="64" w:firstLine="420" w:firstLineChars="2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供应商可根据“第二部分 相关资料表格”的“附表二：商务技术评分及价格权重表”自行编写。</w:t>
      </w: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49" w:name="_Toc19223"/>
      <w:r>
        <w:rPr>
          <w:rFonts w:hint="eastAsia" w:ascii="宋体" w:hAnsi="宋体" w:eastAsia="宋体"/>
          <w:color w:val="auto"/>
          <w:sz w:val="21"/>
          <w:szCs w:val="21"/>
          <w:highlight w:val="none"/>
        </w:rPr>
        <w:t>附件1</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.实施本项目的有关人员资料表格式</w:t>
      </w:r>
      <w:bookmarkEnd w:id="149"/>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883"/>
        <w:gridCol w:w="1497"/>
        <w:gridCol w:w="820"/>
        <w:gridCol w:w="761"/>
        <w:gridCol w:w="916"/>
        <w:gridCol w:w="914"/>
        <w:gridCol w:w="847"/>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416" w:type="pc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518" w:type="pc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878" w:type="pc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481" w:type="pc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446" w:type="pc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537" w:type="pc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536" w:type="pc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497" w:type="pc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687" w:type="pct"/>
            <w:tcBorders>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color w:val="auto"/>
                <w:sz w:val="21"/>
                <w:szCs w:val="21"/>
                <w:highlight w:val="none"/>
              </w:rPr>
            </w:pPr>
          </w:p>
        </w:tc>
        <w:tc>
          <w:tcPr>
            <w:tcW w:w="518" w:type="pct"/>
            <w:vAlign w:val="center"/>
          </w:tcPr>
          <w:p>
            <w:pPr>
              <w:spacing w:line="288" w:lineRule="auto"/>
              <w:jc w:val="center"/>
              <w:rPr>
                <w:rFonts w:ascii="宋体" w:hAnsi="宋体" w:eastAsia="宋体"/>
                <w:color w:val="auto"/>
                <w:sz w:val="21"/>
                <w:szCs w:val="21"/>
                <w:highlight w:val="none"/>
              </w:rPr>
            </w:pPr>
          </w:p>
        </w:tc>
        <w:tc>
          <w:tcPr>
            <w:tcW w:w="878" w:type="pct"/>
            <w:vAlign w:val="center"/>
          </w:tcPr>
          <w:p>
            <w:pPr>
              <w:spacing w:line="288" w:lineRule="auto"/>
              <w:jc w:val="center"/>
              <w:rPr>
                <w:rFonts w:ascii="宋体" w:hAnsi="宋体" w:eastAsia="宋体"/>
                <w:color w:val="auto"/>
                <w:sz w:val="21"/>
                <w:szCs w:val="21"/>
                <w:highlight w:val="none"/>
              </w:rPr>
            </w:pPr>
          </w:p>
        </w:tc>
        <w:tc>
          <w:tcPr>
            <w:tcW w:w="481" w:type="pct"/>
            <w:vAlign w:val="center"/>
          </w:tcPr>
          <w:p>
            <w:pPr>
              <w:spacing w:line="288" w:lineRule="auto"/>
              <w:jc w:val="center"/>
              <w:rPr>
                <w:rFonts w:ascii="宋体" w:hAnsi="宋体" w:eastAsia="宋体"/>
                <w:color w:val="auto"/>
                <w:sz w:val="21"/>
                <w:szCs w:val="21"/>
                <w:highlight w:val="none"/>
              </w:rPr>
            </w:pPr>
          </w:p>
        </w:tc>
        <w:tc>
          <w:tcPr>
            <w:tcW w:w="446" w:type="pct"/>
            <w:vAlign w:val="center"/>
          </w:tcPr>
          <w:p>
            <w:pPr>
              <w:spacing w:line="288" w:lineRule="auto"/>
              <w:jc w:val="center"/>
              <w:rPr>
                <w:rFonts w:ascii="宋体" w:hAnsi="宋体" w:eastAsia="宋体"/>
                <w:color w:val="auto"/>
                <w:sz w:val="21"/>
                <w:szCs w:val="21"/>
                <w:highlight w:val="none"/>
              </w:rPr>
            </w:pPr>
          </w:p>
        </w:tc>
        <w:tc>
          <w:tcPr>
            <w:tcW w:w="537" w:type="pct"/>
            <w:vAlign w:val="center"/>
          </w:tcPr>
          <w:p>
            <w:pPr>
              <w:spacing w:line="288" w:lineRule="auto"/>
              <w:jc w:val="center"/>
              <w:rPr>
                <w:rFonts w:ascii="宋体" w:hAnsi="宋体" w:eastAsia="宋体"/>
                <w:color w:val="auto"/>
                <w:sz w:val="21"/>
                <w:szCs w:val="21"/>
                <w:highlight w:val="none"/>
              </w:rPr>
            </w:pPr>
          </w:p>
        </w:tc>
        <w:tc>
          <w:tcPr>
            <w:tcW w:w="536" w:type="pct"/>
            <w:vAlign w:val="center"/>
          </w:tcPr>
          <w:p>
            <w:pPr>
              <w:spacing w:line="288" w:lineRule="auto"/>
              <w:jc w:val="center"/>
              <w:rPr>
                <w:rFonts w:ascii="宋体" w:hAnsi="宋体" w:eastAsia="宋体"/>
                <w:color w:val="auto"/>
                <w:sz w:val="21"/>
                <w:szCs w:val="21"/>
                <w:highlight w:val="none"/>
              </w:rPr>
            </w:pPr>
          </w:p>
        </w:tc>
        <w:tc>
          <w:tcPr>
            <w:tcW w:w="497" w:type="pct"/>
            <w:vAlign w:val="center"/>
          </w:tcPr>
          <w:p>
            <w:pPr>
              <w:spacing w:line="288"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color w:val="auto"/>
                <w:sz w:val="21"/>
                <w:szCs w:val="21"/>
                <w:highlight w:val="none"/>
              </w:rPr>
            </w:pPr>
          </w:p>
        </w:tc>
        <w:tc>
          <w:tcPr>
            <w:tcW w:w="518" w:type="pct"/>
            <w:vAlign w:val="center"/>
          </w:tcPr>
          <w:p>
            <w:pPr>
              <w:spacing w:line="288" w:lineRule="auto"/>
              <w:jc w:val="center"/>
              <w:rPr>
                <w:rFonts w:ascii="宋体" w:hAnsi="宋体" w:eastAsia="宋体"/>
                <w:color w:val="auto"/>
                <w:sz w:val="21"/>
                <w:szCs w:val="21"/>
                <w:highlight w:val="none"/>
              </w:rPr>
            </w:pPr>
          </w:p>
        </w:tc>
        <w:tc>
          <w:tcPr>
            <w:tcW w:w="878" w:type="pct"/>
            <w:vAlign w:val="center"/>
          </w:tcPr>
          <w:p>
            <w:pPr>
              <w:spacing w:line="288" w:lineRule="auto"/>
              <w:jc w:val="center"/>
              <w:rPr>
                <w:rFonts w:ascii="宋体" w:hAnsi="宋体" w:eastAsia="宋体"/>
                <w:color w:val="auto"/>
                <w:sz w:val="21"/>
                <w:szCs w:val="21"/>
                <w:highlight w:val="none"/>
              </w:rPr>
            </w:pPr>
          </w:p>
        </w:tc>
        <w:tc>
          <w:tcPr>
            <w:tcW w:w="481" w:type="pct"/>
            <w:vAlign w:val="center"/>
          </w:tcPr>
          <w:p>
            <w:pPr>
              <w:spacing w:line="288" w:lineRule="auto"/>
              <w:jc w:val="center"/>
              <w:rPr>
                <w:rFonts w:ascii="宋体" w:hAnsi="宋体" w:eastAsia="宋体"/>
                <w:color w:val="auto"/>
                <w:sz w:val="21"/>
                <w:szCs w:val="21"/>
                <w:highlight w:val="none"/>
              </w:rPr>
            </w:pPr>
          </w:p>
        </w:tc>
        <w:tc>
          <w:tcPr>
            <w:tcW w:w="446" w:type="pct"/>
            <w:vAlign w:val="center"/>
          </w:tcPr>
          <w:p>
            <w:pPr>
              <w:spacing w:line="288" w:lineRule="auto"/>
              <w:jc w:val="center"/>
              <w:rPr>
                <w:rFonts w:ascii="宋体" w:hAnsi="宋体" w:eastAsia="宋体"/>
                <w:color w:val="auto"/>
                <w:sz w:val="21"/>
                <w:szCs w:val="21"/>
                <w:highlight w:val="none"/>
              </w:rPr>
            </w:pPr>
          </w:p>
        </w:tc>
        <w:tc>
          <w:tcPr>
            <w:tcW w:w="537" w:type="pct"/>
            <w:vAlign w:val="center"/>
          </w:tcPr>
          <w:p>
            <w:pPr>
              <w:spacing w:line="288" w:lineRule="auto"/>
              <w:jc w:val="center"/>
              <w:rPr>
                <w:rFonts w:ascii="宋体" w:hAnsi="宋体" w:eastAsia="宋体"/>
                <w:color w:val="auto"/>
                <w:sz w:val="21"/>
                <w:szCs w:val="21"/>
                <w:highlight w:val="none"/>
              </w:rPr>
            </w:pPr>
          </w:p>
        </w:tc>
        <w:tc>
          <w:tcPr>
            <w:tcW w:w="536" w:type="pct"/>
            <w:vAlign w:val="center"/>
          </w:tcPr>
          <w:p>
            <w:pPr>
              <w:spacing w:line="288" w:lineRule="auto"/>
              <w:jc w:val="center"/>
              <w:rPr>
                <w:rFonts w:ascii="宋体" w:hAnsi="宋体" w:eastAsia="宋体"/>
                <w:color w:val="auto"/>
                <w:sz w:val="21"/>
                <w:szCs w:val="21"/>
                <w:highlight w:val="none"/>
              </w:rPr>
            </w:pPr>
          </w:p>
        </w:tc>
        <w:tc>
          <w:tcPr>
            <w:tcW w:w="497" w:type="pct"/>
            <w:vAlign w:val="center"/>
          </w:tcPr>
          <w:p>
            <w:pPr>
              <w:spacing w:line="288"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color w:val="auto"/>
                <w:sz w:val="21"/>
                <w:szCs w:val="21"/>
                <w:highlight w:val="none"/>
              </w:rPr>
            </w:pPr>
          </w:p>
        </w:tc>
        <w:tc>
          <w:tcPr>
            <w:tcW w:w="518" w:type="pct"/>
            <w:vAlign w:val="center"/>
          </w:tcPr>
          <w:p>
            <w:pPr>
              <w:spacing w:line="288" w:lineRule="auto"/>
              <w:jc w:val="center"/>
              <w:rPr>
                <w:rFonts w:ascii="宋体" w:hAnsi="宋体" w:eastAsia="宋体"/>
                <w:color w:val="auto"/>
                <w:sz w:val="21"/>
                <w:szCs w:val="21"/>
                <w:highlight w:val="none"/>
              </w:rPr>
            </w:pPr>
          </w:p>
        </w:tc>
        <w:tc>
          <w:tcPr>
            <w:tcW w:w="878" w:type="pct"/>
            <w:vAlign w:val="center"/>
          </w:tcPr>
          <w:p>
            <w:pPr>
              <w:spacing w:line="288" w:lineRule="auto"/>
              <w:jc w:val="center"/>
              <w:rPr>
                <w:rFonts w:ascii="宋体" w:hAnsi="宋体" w:eastAsia="宋体"/>
                <w:color w:val="auto"/>
                <w:sz w:val="21"/>
                <w:szCs w:val="21"/>
                <w:highlight w:val="none"/>
              </w:rPr>
            </w:pPr>
          </w:p>
        </w:tc>
        <w:tc>
          <w:tcPr>
            <w:tcW w:w="481" w:type="pct"/>
            <w:vAlign w:val="center"/>
          </w:tcPr>
          <w:p>
            <w:pPr>
              <w:spacing w:line="288" w:lineRule="auto"/>
              <w:jc w:val="center"/>
              <w:rPr>
                <w:rFonts w:ascii="宋体" w:hAnsi="宋体" w:eastAsia="宋体"/>
                <w:color w:val="auto"/>
                <w:sz w:val="21"/>
                <w:szCs w:val="21"/>
                <w:highlight w:val="none"/>
              </w:rPr>
            </w:pPr>
          </w:p>
        </w:tc>
        <w:tc>
          <w:tcPr>
            <w:tcW w:w="446" w:type="pct"/>
            <w:vAlign w:val="center"/>
          </w:tcPr>
          <w:p>
            <w:pPr>
              <w:spacing w:line="288" w:lineRule="auto"/>
              <w:jc w:val="center"/>
              <w:rPr>
                <w:rFonts w:ascii="宋体" w:hAnsi="宋体" w:eastAsia="宋体"/>
                <w:color w:val="auto"/>
                <w:sz w:val="21"/>
                <w:szCs w:val="21"/>
                <w:highlight w:val="none"/>
              </w:rPr>
            </w:pPr>
          </w:p>
        </w:tc>
        <w:tc>
          <w:tcPr>
            <w:tcW w:w="537" w:type="pct"/>
            <w:vAlign w:val="center"/>
          </w:tcPr>
          <w:p>
            <w:pPr>
              <w:spacing w:line="288" w:lineRule="auto"/>
              <w:jc w:val="center"/>
              <w:rPr>
                <w:rFonts w:ascii="宋体" w:hAnsi="宋体" w:eastAsia="宋体"/>
                <w:color w:val="auto"/>
                <w:sz w:val="21"/>
                <w:szCs w:val="21"/>
                <w:highlight w:val="none"/>
              </w:rPr>
            </w:pPr>
          </w:p>
        </w:tc>
        <w:tc>
          <w:tcPr>
            <w:tcW w:w="536" w:type="pct"/>
            <w:vAlign w:val="center"/>
          </w:tcPr>
          <w:p>
            <w:pPr>
              <w:spacing w:line="288" w:lineRule="auto"/>
              <w:jc w:val="center"/>
              <w:rPr>
                <w:rFonts w:ascii="宋体" w:hAnsi="宋体" w:eastAsia="宋体"/>
                <w:color w:val="auto"/>
                <w:sz w:val="21"/>
                <w:szCs w:val="21"/>
                <w:highlight w:val="none"/>
              </w:rPr>
            </w:pPr>
          </w:p>
        </w:tc>
        <w:tc>
          <w:tcPr>
            <w:tcW w:w="497" w:type="pct"/>
            <w:vAlign w:val="center"/>
          </w:tcPr>
          <w:p>
            <w:pPr>
              <w:spacing w:line="288"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color w:val="auto"/>
                <w:sz w:val="21"/>
                <w:szCs w:val="21"/>
                <w:highlight w:val="none"/>
              </w:rPr>
            </w:pPr>
          </w:p>
        </w:tc>
        <w:tc>
          <w:tcPr>
            <w:tcW w:w="518" w:type="pct"/>
            <w:vAlign w:val="center"/>
          </w:tcPr>
          <w:p>
            <w:pPr>
              <w:spacing w:line="288" w:lineRule="auto"/>
              <w:jc w:val="center"/>
              <w:rPr>
                <w:rFonts w:ascii="宋体" w:hAnsi="宋体" w:eastAsia="宋体"/>
                <w:color w:val="auto"/>
                <w:sz w:val="21"/>
                <w:szCs w:val="21"/>
                <w:highlight w:val="none"/>
              </w:rPr>
            </w:pPr>
          </w:p>
        </w:tc>
        <w:tc>
          <w:tcPr>
            <w:tcW w:w="878" w:type="pct"/>
            <w:vAlign w:val="center"/>
          </w:tcPr>
          <w:p>
            <w:pPr>
              <w:spacing w:line="288" w:lineRule="auto"/>
              <w:jc w:val="center"/>
              <w:rPr>
                <w:rFonts w:ascii="宋体" w:hAnsi="宋体" w:eastAsia="宋体"/>
                <w:color w:val="auto"/>
                <w:sz w:val="21"/>
                <w:szCs w:val="21"/>
                <w:highlight w:val="none"/>
              </w:rPr>
            </w:pPr>
          </w:p>
        </w:tc>
        <w:tc>
          <w:tcPr>
            <w:tcW w:w="481" w:type="pct"/>
            <w:vAlign w:val="center"/>
          </w:tcPr>
          <w:p>
            <w:pPr>
              <w:spacing w:line="288" w:lineRule="auto"/>
              <w:jc w:val="center"/>
              <w:rPr>
                <w:rFonts w:ascii="宋体" w:hAnsi="宋体" w:eastAsia="宋体"/>
                <w:color w:val="auto"/>
                <w:sz w:val="21"/>
                <w:szCs w:val="21"/>
                <w:highlight w:val="none"/>
              </w:rPr>
            </w:pPr>
          </w:p>
        </w:tc>
        <w:tc>
          <w:tcPr>
            <w:tcW w:w="446" w:type="pct"/>
            <w:vAlign w:val="center"/>
          </w:tcPr>
          <w:p>
            <w:pPr>
              <w:spacing w:line="288" w:lineRule="auto"/>
              <w:jc w:val="center"/>
              <w:rPr>
                <w:rFonts w:ascii="宋体" w:hAnsi="宋体" w:eastAsia="宋体"/>
                <w:color w:val="auto"/>
                <w:sz w:val="21"/>
                <w:szCs w:val="21"/>
                <w:highlight w:val="none"/>
              </w:rPr>
            </w:pPr>
          </w:p>
        </w:tc>
        <w:tc>
          <w:tcPr>
            <w:tcW w:w="537" w:type="pct"/>
            <w:vAlign w:val="center"/>
          </w:tcPr>
          <w:p>
            <w:pPr>
              <w:spacing w:line="288" w:lineRule="auto"/>
              <w:jc w:val="center"/>
              <w:rPr>
                <w:rFonts w:ascii="宋体" w:hAnsi="宋体" w:eastAsia="宋体"/>
                <w:color w:val="auto"/>
                <w:sz w:val="21"/>
                <w:szCs w:val="21"/>
                <w:highlight w:val="none"/>
              </w:rPr>
            </w:pPr>
          </w:p>
        </w:tc>
        <w:tc>
          <w:tcPr>
            <w:tcW w:w="536" w:type="pct"/>
            <w:vAlign w:val="center"/>
          </w:tcPr>
          <w:p>
            <w:pPr>
              <w:spacing w:line="288" w:lineRule="auto"/>
              <w:jc w:val="center"/>
              <w:rPr>
                <w:rFonts w:ascii="宋体" w:hAnsi="宋体" w:eastAsia="宋体"/>
                <w:color w:val="auto"/>
                <w:sz w:val="21"/>
                <w:szCs w:val="21"/>
                <w:highlight w:val="none"/>
              </w:rPr>
            </w:pPr>
          </w:p>
        </w:tc>
        <w:tc>
          <w:tcPr>
            <w:tcW w:w="497" w:type="pct"/>
            <w:vAlign w:val="center"/>
          </w:tcPr>
          <w:p>
            <w:pPr>
              <w:spacing w:line="288"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color w:val="auto"/>
                <w:sz w:val="21"/>
                <w:szCs w:val="21"/>
                <w:highlight w:val="none"/>
              </w:rPr>
            </w:pPr>
          </w:p>
        </w:tc>
        <w:tc>
          <w:tcPr>
            <w:tcW w:w="518" w:type="pct"/>
            <w:vAlign w:val="center"/>
          </w:tcPr>
          <w:p>
            <w:pPr>
              <w:spacing w:line="288" w:lineRule="auto"/>
              <w:jc w:val="center"/>
              <w:rPr>
                <w:rFonts w:ascii="宋体" w:hAnsi="宋体" w:eastAsia="宋体"/>
                <w:color w:val="auto"/>
                <w:sz w:val="21"/>
                <w:szCs w:val="21"/>
                <w:highlight w:val="none"/>
              </w:rPr>
            </w:pPr>
          </w:p>
        </w:tc>
        <w:tc>
          <w:tcPr>
            <w:tcW w:w="878" w:type="pct"/>
            <w:vAlign w:val="center"/>
          </w:tcPr>
          <w:p>
            <w:pPr>
              <w:spacing w:line="288" w:lineRule="auto"/>
              <w:jc w:val="center"/>
              <w:rPr>
                <w:rFonts w:ascii="宋体" w:hAnsi="宋体" w:eastAsia="宋体"/>
                <w:color w:val="auto"/>
                <w:sz w:val="21"/>
                <w:szCs w:val="21"/>
                <w:highlight w:val="none"/>
              </w:rPr>
            </w:pPr>
          </w:p>
        </w:tc>
        <w:tc>
          <w:tcPr>
            <w:tcW w:w="481" w:type="pct"/>
            <w:vAlign w:val="center"/>
          </w:tcPr>
          <w:p>
            <w:pPr>
              <w:spacing w:line="288" w:lineRule="auto"/>
              <w:jc w:val="center"/>
              <w:rPr>
                <w:rFonts w:ascii="宋体" w:hAnsi="宋体" w:eastAsia="宋体"/>
                <w:color w:val="auto"/>
                <w:sz w:val="21"/>
                <w:szCs w:val="21"/>
                <w:highlight w:val="none"/>
              </w:rPr>
            </w:pPr>
          </w:p>
        </w:tc>
        <w:tc>
          <w:tcPr>
            <w:tcW w:w="446" w:type="pct"/>
            <w:vAlign w:val="center"/>
          </w:tcPr>
          <w:p>
            <w:pPr>
              <w:spacing w:line="288" w:lineRule="auto"/>
              <w:jc w:val="center"/>
              <w:rPr>
                <w:rFonts w:ascii="宋体" w:hAnsi="宋体" w:eastAsia="宋体"/>
                <w:color w:val="auto"/>
                <w:sz w:val="21"/>
                <w:szCs w:val="21"/>
                <w:highlight w:val="none"/>
              </w:rPr>
            </w:pPr>
          </w:p>
        </w:tc>
        <w:tc>
          <w:tcPr>
            <w:tcW w:w="537" w:type="pct"/>
            <w:vAlign w:val="center"/>
          </w:tcPr>
          <w:p>
            <w:pPr>
              <w:spacing w:line="288" w:lineRule="auto"/>
              <w:jc w:val="center"/>
              <w:rPr>
                <w:rFonts w:ascii="宋体" w:hAnsi="宋体" w:eastAsia="宋体"/>
                <w:color w:val="auto"/>
                <w:sz w:val="21"/>
                <w:szCs w:val="21"/>
                <w:highlight w:val="none"/>
              </w:rPr>
            </w:pPr>
          </w:p>
        </w:tc>
        <w:tc>
          <w:tcPr>
            <w:tcW w:w="536" w:type="pct"/>
            <w:vAlign w:val="center"/>
          </w:tcPr>
          <w:p>
            <w:pPr>
              <w:spacing w:line="288" w:lineRule="auto"/>
              <w:jc w:val="center"/>
              <w:rPr>
                <w:rFonts w:ascii="宋体" w:hAnsi="宋体" w:eastAsia="宋体"/>
                <w:color w:val="auto"/>
                <w:sz w:val="21"/>
                <w:szCs w:val="21"/>
                <w:highlight w:val="none"/>
              </w:rPr>
            </w:pPr>
          </w:p>
        </w:tc>
        <w:tc>
          <w:tcPr>
            <w:tcW w:w="497" w:type="pct"/>
            <w:vAlign w:val="center"/>
          </w:tcPr>
          <w:p>
            <w:pPr>
              <w:spacing w:line="288"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color w:val="auto"/>
                <w:sz w:val="21"/>
                <w:szCs w:val="21"/>
                <w:highlight w:val="none"/>
              </w:rPr>
            </w:pPr>
          </w:p>
        </w:tc>
        <w:tc>
          <w:tcPr>
            <w:tcW w:w="518" w:type="pct"/>
            <w:vAlign w:val="center"/>
          </w:tcPr>
          <w:p>
            <w:pPr>
              <w:spacing w:line="288" w:lineRule="auto"/>
              <w:jc w:val="center"/>
              <w:rPr>
                <w:rFonts w:ascii="宋体" w:hAnsi="宋体" w:eastAsia="宋体"/>
                <w:color w:val="auto"/>
                <w:sz w:val="21"/>
                <w:szCs w:val="21"/>
                <w:highlight w:val="none"/>
              </w:rPr>
            </w:pPr>
          </w:p>
        </w:tc>
        <w:tc>
          <w:tcPr>
            <w:tcW w:w="878" w:type="pct"/>
            <w:vAlign w:val="center"/>
          </w:tcPr>
          <w:p>
            <w:pPr>
              <w:spacing w:line="288" w:lineRule="auto"/>
              <w:jc w:val="center"/>
              <w:rPr>
                <w:rFonts w:ascii="宋体" w:hAnsi="宋体" w:eastAsia="宋体"/>
                <w:color w:val="auto"/>
                <w:sz w:val="21"/>
                <w:szCs w:val="21"/>
                <w:highlight w:val="none"/>
              </w:rPr>
            </w:pPr>
          </w:p>
        </w:tc>
        <w:tc>
          <w:tcPr>
            <w:tcW w:w="481" w:type="pct"/>
            <w:vAlign w:val="center"/>
          </w:tcPr>
          <w:p>
            <w:pPr>
              <w:spacing w:line="288" w:lineRule="auto"/>
              <w:jc w:val="center"/>
              <w:rPr>
                <w:rFonts w:ascii="宋体" w:hAnsi="宋体" w:eastAsia="宋体"/>
                <w:color w:val="auto"/>
                <w:sz w:val="21"/>
                <w:szCs w:val="21"/>
                <w:highlight w:val="none"/>
              </w:rPr>
            </w:pPr>
          </w:p>
        </w:tc>
        <w:tc>
          <w:tcPr>
            <w:tcW w:w="446" w:type="pct"/>
            <w:vAlign w:val="center"/>
          </w:tcPr>
          <w:p>
            <w:pPr>
              <w:spacing w:line="288" w:lineRule="auto"/>
              <w:jc w:val="center"/>
              <w:rPr>
                <w:rFonts w:ascii="宋体" w:hAnsi="宋体" w:eastAsia="宋体"/>
                <w:color w:val="auto"/>
                <w:sz w:val="21"/>
                <w:szCs w:val="21"/>
                <w:highlight w:val="none"/>
              </w:rPr>
            </w:pPr>
          </w:p>
        </w:tc>
        <w:tc>
          <w:tcPr>
            <w:tcW w:w="537" w:type="pct"/>
            <w:vAlign w:val="center"/>
          </w:tcPr>
          <w:p>
            <w:pPr>
              <w:spacing w:line="288" w:lineRule="auto"/>
              <w:jc w:val="center"/>
              <w:rPr>
                <w:rFonts w:ascii="宋体" w:hAnsi="宋体" w:eastAsia="宋体"/>
                <w:color w:val="auto"/>
                <w:sz w:val="21"/>
                <w:szCs w:val="21"/>
                <w:highlight w:val="none"/>
              </w:rPr>
            </w:pPr>
          </w:p>
        </w:tc>
        <w:tc>
          <w:tcPr>
            <w:tcW w:w="536" w:type="pct"/>
            <w:vAlign w:val="center"/>
          </w:tcPr>
          <w:p>
            <w:pPr>
              <w:spacing w:line="288" w:lineRule="auto"/>
              <w:jc w:val="center"/>
              <w:rPr>
                <w:rFonts w:ascii="宋体" w:hAnsi="宋体" w:eastAsia="宋体"/>
                <w:color w:val="auto"/>
                <w:sz w:val="21"/>
                <w:szCs w:val="21"/>
                <w:highlight w:val="none"/>
              </w:rPr>
            </w:pPr>
          </w:p>
        </w:tc>
        <w:tc>
          <w:tcPr>
            <w:tcW w:w="497" w:type="pct"/>
            <w:vAlign w:val="center"/>
          </w:tcPr>
          <w:p>
            <w:pPr>
              <w:spacing w:line="288"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color w:val="auto"/>
                <w:sz w:val="21"/>
                <w:szCs w:val="21"/>
                <w:highlight w:val="none"/>
              </w:rPr>
            </w:pPr>
          </w:p>
        </w:tc>
        <w:tc>
          <w:tcPr>
            <w:tcW w:w="518" w:type="pct"/>
            <w:vAlign w:val="center"/>
          </w:tcPr>
          <w:p>
            <w:pPr>
              <w:spacing w:line="288" w:lineRule="auto"/>
              <w:jc w:val="center"/>
              <w:rPr>
                <w:rFonts w:ascii="宋体" w:hAnsi="宋体" w:eastAsia="宋体"/>
                <w:color w:val="auto"/>
                <w:sz w:val="21"/>
                <w:szCs w:val="21"/>
                <w:highlight w:val="none"/>
              </w:rPr>
            </w:pPr>
          </w:p>
        </w:tc>
        <w:tc>
          <w:tcPr>
            <w:tcW w:w="878" w:type="pct"/>
            <w:vAlign w:val="center"/>
          </w:tcPr>
          <w:p>
            <w:pPr>
              <w:spacing w:line="288" w:lineRule="auto"/>
              <w:jc w:val="center"/>
              <w:rPr>
                <w:rFonts w:ascii="宋体" w:hAnsi="宋体" w:eastAsia="宋体"/>
                <w:color w:val="auto"/>
                <w:sz w:val="21"/>
                <w:szCs w:val="21"/>
                <w:highlight w:val="none"/>
              </w:rPr>
            </w:pPr>
          </w:p>
        </w:tc>
        <w:tc>
          <w:tcPr>
            <w:tcW w:w="481" w:type="pct"/>
            <w:vAlign w:val="center"/>
          </w:tcPr>
          <w:p>
            <w:pPr>
              <w:spacing w:line="288" w:lineRule="auto"/>
              <w:jc w:val="center"/>
              <w:rPr>
                <w:rFonts w:ascii="宋体" w:hAnsi="宋体" w:eastAsia="宋体"/>
                <w:color w:val="auto"/>
                <w:sz w:val="21"/>
                <w:szCs w:val="21"/>
                <w:highlight w:val="none"/>
              </w:rPr>
            </w:pPr>
          </w:p>
        </w:tc>
        <w:tc>
          <w:tcPr>
            <w:tcW w:w="446" w:type="pct"/>
            <w:vAlign w:val="center"/>
          </w:tcPr>
          <w:p>
            <w:pPr>
              <w:spacing w:line="288" w:lineRule="auto"/>
              <w:jc w:val="center"/>
              <w:rPr>
                <w:rFonts w:ascii="宋体" w:hAnsi="宋体" w:eastAsia="宋体"/>
                <w:color w:val="auto"/>
                <w:sz w:val="21"/>
                <w:szCs w:val="21"/>
                <w:highlight w:val="none"/>
              </w:rPr>
            </w:pPr>
          </w:p>
        </w:tc>
        <w:tc>
          <w:tcPr>
            <w:tcW w:w="537" w:type="pct"/>
            <w:vAlign w:val="center"/>
          </w:tcPr>
          <w:p>
            <w:pPr>
              <w:spacing w:line="288" w:lineRule="auto"/>
              <w:jc w:val="center"/>
              <w:rPr>
                <w:rFonts w:ascii="宋体" w:hAnsi="宋体" w:eastAsia="宋体"/>
                <w:color w:val="auto"/>
                <w:sz w:val="21"/>
                <w:szCs w:val="21"/>
                <w:highlight w:val="none"/>
              </w:rPr>
            </w:pPr>
          </w:p>
        </w:tc>
        <w:tc>
          <w:tcPr>
            <w:tcW w:w="536" w:type="pct"/>
            <w:vAlign w:val="center"/>
          </w:tcPr>
          <w:p>
            <w:pPr>
              <w:spacing w:line="288" w:lineRule="auto"/>
              <w:jc w:val="center"/>
              <w:rPr>
                <w:rFonts w:ascii="宋体" w:hAnsi="宋体" w:eastAsia="宋体"/>
                <w:color w:val="auto"/>
                <w:sz w:val="21"/>
                <w:szCs w:val="21"/>
                <w:highlight w:val="none"/>
              </w:rPr>
            </w:pPr>
          </w:p>
        </w:tc>
        <w:tc>
          <w:tcPr>
            <w:tcW w:w="497" w:type="pct"/>
            <w:vAlign w:val="center"/>
          </w:tcPr>
          <w:p>
            <w:pPr>
              <w:spacing w:line="288"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color w:val="auto"/>
                <w:sz w:val="21"/>
                <w:szCs w:val="21"/>
                <w:highlight w:val="none"/>
              </w:rPr>
            </w:pPr>
          </w:p>
        </w:tc>
        <w:tc>
          <w:tcPr>
            <w:tcW w:w="518" w:type="pct"/>
            <w:vAlign w:val="center"/>
          </w:tcPr>
          <w:p>
            <w:pPr>
              <w:spacing w:line="288" w:lineRule="auto"/>
              <w:jc w:val="center"/>
              <w:rPr>
                <w:rFonts w:ascii="宋体" w:hAnsi="宋体" w:eastAsia="宋体"/>
                <w:color w:val="auto"/>
                <w:sz w:val="21"/>
                <w:szCs w:val="21"/>
                <w:highlight w:val="none"/>
              </w:rPr>
            </w:pPr>
          </w:p>
        </w:tc>
        <w:tc>
          <w:tcPr>
            <w:tcW w:w="878" w:type="pct"/>
            <w:vAlign w:val="center"/>
          </w:tcPr>
          <w:p>
            <w:pPr>
              <w:spacing w:line="288" w:lineRule="auto"/>
              <w:jc w:val="center"/>
              <w:rPr>
                <w:rFonts w:ascii="宋体" w:hAnsi="宋体" w:eastAsia="宋体"/>
                <w:color w:val="auto"/>
                <w:sz w:val="21"/>
                <w:szCs w:val="21"/>
                <w:highlight w:val="none"/>
              </w:rPr>
            </w:pPr>
          </w:p>
        </w:tc>
        <w:tc>
          <w:tcPr>
            <w:tcW w:w="481" w:type="pct"/>
            <w:vAlign w:val="center"/>
          </w:tcPr>
          <w:p>
            <w:pPr>
              <w:spacing w:line="288" w:lineRule="auto"/>
              <w:jc w:val="center"/>
              <w:rPr>
                <w:rFonts w:ascii="宋体" w:hAnsi="宋体" w:eastAsia="宋体"/>
                <w:color w:val="auto"/>
                <w:sz w:val="21"/>
                <w:szCs w:val="21"/>
                <w:highlight w:val="none"/>
              </w:rPr>
            </w:pPr>
          </w:p>
        </w:tc>
        <w:tc>
          <w:tcPr>
            <w:tcW w:w="446" w:type="pct"/>
            <w:vAlign w:val="center"/>
          </w:tcPr>
          <w:p>
            <w:pPr>
              <w:spacing w:line="288" w:lineRule="auto"/>
              <w:jc w:val="center"/>
              <w:rPr>
                <w:rFonts w:ascii="宋体" w:hAnsi="宋体" w:eastAsia="宋体"/>
                <w:color w:val="auto"/>
                <w:sz w:val="21"/>
                <w:szCs w:val="21"/>
                <w:highlight w:val="none"/>
              </w:rPr>
            </w:pPr>
          </w:p>
        </w:tc>
        <w:tc>
          <w:tcPr>
            <w:tcW w:w="537" w:type="pct"/>
            <w:vAlign w:val="center"/>
          </w:tcPr>
          <w:p>
            <w:pPr>
              <w:spacing w:line="288" w:lineRule="auto"/>
              <w:jc w:val="center"/>
              <w:rPr>
                <w:rFonts w:ascii="宋体" w:hAnsi="宋体" w:eastAsia="宋体"/>
                <w:color w:val="auto"/>
                <w:sz w:val="21"/>
                <w:szCs w:val="21"/>
                <w:highlight w:val="none"/>
              </w:rPr>
            </w:pPr>
          </w:p>
        </w:tc>
        <w:tc>
          <w:tcPr>
            <w:tcW w:w="536" w:type="pct"/>
            <w:vAlign w:val="center"/>
          </w:tcPr>
          <w:p>
            <w:pPr>
              <w:spacing w:line="288" w:lineRule="auto"/>
              <w:jc w:val="center"/>
              <w:rPr>
                <w:rFonts w:ascii="宋体" w:hAnsi="宋体" w:eastAsia="宋体"/>
                <w:color w:val="auto"/>
                <w:sz w:val="21"/>
                <w:szCs w:val="21"/>
                <w:highlight w:val="none"/>
              </w:rPr>
            </w:pPr>
          </w:p>
        </w:tc>
        <w:tc>
          <w:tcPr>
            <w:tcW w:w="497" w:type="pct"/>
            <w:vAlign w:val="center"/>
          </w:tcPr>
          <w:p>
            <w:pPr>
              <w:spacing w:line="288"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color w:val="auto"/>
                <w:sz w:val="21"/>
                <w:szCs w:val="21"/>
                <w:highlight w:val="none"/>
              </w:rPr>
            </w:pPr>
          </w:p>
        </w:tc>
        <w:tc>
          <w:tcPr>
            <w:tcW w:w="518" w:type="pct"/>
            <w:vAlign w:val="center"/>
          </w:tcPr>
          <w:p>
            <w:pPr>
              <w:spacing w:line="288" w:lineRule="auto"/>
              <w:jc w:val="center"/>
              <w:rPr>
                <w:rFonts w:ascii="宋体" w:hAnsi="宋体" w:eastAsia="宋体"/>
                <w:color w:val="auto"/>
                <w:sz w:val="21"/>
                <w:szCs w:val="21"/>
                <w:highlight w:val="none"/>
              </w:rPr>
            </w:pPr>
          </w:p>
        </w:tc>
        <w:tc>
          <w:tcPr>
            <w:tcW w:w="878" w:type="pct"/>
            <w:vAlign w:val="center"/>
          </w:tcPr>
          <w:p>
            <w:pPr>
              <w:spacing w:line="288" w:lineRule="auto"/>
              <w:jc w:val="center"/>
              <w:rPr>
                <w:rFonts w:ascii="宋体" w:hAnsi="宋体" w:eastAsia="宋体"/>
                <w:color w:val="auto"/>
                <w:sz w:val="21"/>
                <w:szCs w:val="21"/>
                <w:highlight w:val="none"/>
              </w:rPr>
            </w:pPr>
          </w:p>
        </w:tc>
        <w:tc>
          <w:tcPr>
            <w:tcW w:w="481" w:type="pct"/>
            <w:vAlign w:val="center"/>
          </w:tcPr>
          <w:p>
            <w:pPr>
              <w:spacing w:line="288" w:lineRule="auto"/>
              <w:jc w:val="center"/>
              <w:rPr>
                <w:rFonts w:ascii="宋体" w:hAnsi="宋体" w:eastAsia="宋体"/>
                <w:color w:val="auto"/>
                <w:sz w:val="21"/>
                <w:szCs w:val="21"/>
                <w:highlight w:val="none"/>
              </w:rPr>
            </w:pPr>
          </w:p>
        </w:tc>
        <w:tc>
          <w:tcPr>
            <w:tcW w:w="446" w:type="pct"/>
            <w:vAlign w:val="center"/>
          </w:tcPr>
          <w:p>
            <w:pPr>
              <w:spacing w:line="288" w:lineRule="auto"/>
              <w:jc w:val="center"/>
              <w:rPr>
                <w:rFonts w:ascii="宋体" w:hAnsi="宋体" w:eastAsia="宋体"/>
                <w:color w:val="auto"/>
                <w:sz w:val="21"/>
                <w:szCs w:val="21"/>
                <w:highlight w:val="none"/>
              </w:rPr>
            </w:pPr>
          </w:p>
        </w:tc>
        <w:tc>
          <w:tcPr>
            <w:tcW w:w="537" w:type="pct"/>
            <w:vAlign w:val="center"/>
          </w:tcPr>
          <w:p>
            <w:pPr>
              <w:spacing w:line="288" w:lineRule="auto"/>
              <w:jc w:val="center"/>
              <w:rPr>
                <w:rFonts w:ascii="宋体" w:hAnsi="宋体" w:eastAsia="宋体"/>
                <w:color w:val="auto"/>
                <w:sz w:val="21"/>
                <w:szCs w:val="21"/>
                <w:highlight w:val="none"/>
              </w:rPr>
            </w:pPr>
          </w:p>
        </w:tc>
        <w:tc>
          <w:tcPr>
            <w:tcW w:w="536" w:type="pct"/>
            <w:vAlign w:val="center"/>
          </w:tcPr>
          <w:p>
            <w:pPr>
              <w:spacing w:line="288" w:lineRule="auto"/>
              <w:jc w:val="center"/>
              <w:rPr>
                <w:rFonts w:ascii="宋体" w:hAnsi="宋体" w:eastAsia="宋体"/>
                <w:color w:val="auto"/>
                <w:sz w:val="21"/>
                <w:szCs w:val="21"/>
                <w:highlight w:val="none"/>
              </w:rPr>
            </w:pPr>
          </w:p>
        </w:tc>
        <w:tc>
          <w:tcPr>
            <w:tcW w:w="497" w:type="pct"/>
            <w:vAlign w:val="center"/>
          </w:tcPr>
          <w:p>
            <w:pPr>
              <w:spacing w:line="288"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color w:val="auto"/>
                <w:sz w:val="21"/>
                <w:szCs w:val="21"/>
                <w:highlight w:val="none"/>
              </w:rPr>
            </w:pPr>
          </w:p>
        </w:tc>
        <w:tc>
          <w:tcPr>
            <w:tcW w:w="518" w:type="pct"/>
            <w:vAlign w:val="center"/>
          </w:tcPr>
          <w:p>
            <w:pPr>
              <w:spacing w:line="288" w:lineRule="auto"/>
              <w:jc w:val="center"/>
              <w:rPr>
                <w:rFonts w:ascii="宋体" w:hAnsi="宋体" w:eastAsia="宋体"/>
                <w:color w:val="auto"/>
                <w:sz w:val="21"/>
                <w:szCs w:val="21"/>
                <w:highlight w:val="none"/>
              </w:rPr>
            </w:pPr>
          </w:p>
        </w:tc>
        <w:tc>
          <w:tcPr>
            <w:tcW w:w="878" w:type="pct"/>
            <w:vAlign w:val="center"/>
          </w:tcPr>
          <w:p>
            <w:pPr>
              <w:spacing w:line="288" w:lineRule="auto"/>
              <w:jc w:val="center"/>
              <w:rPr>
                <w:rFonts w:ascii="宋体" w:hAnsi="宋体" w:eastAsia="宋体"/>
                <w:color w:val="auto"/>
                <w:sz w:val="21"/>
                <w:szCs w:val="21"/>
                <w:highlight w:val="none"/>
              </w:rPr>
            </w:pPr>
          </w:p>
        </w:tc>
        <w:tc>
          <w:tcPr>
            <w:tcW w:w="481" w:type="pct"/>
            <w:vAlign w:val="center"/>
          </w:tcPr>
          <w:p>
            <w:pPr>
              <w:spacing w:line="288" w:lineRule="auto"/>
              <w:jc w:val="center"/>
              <w:rPr>
                <w:rFonts w:ascii="宋体" w:hAnsi="宋体" w:eastAsia="宋体"/>
                <w:color w:val="auto"/>
                <w:sz w:val="21"/>
                <w:szCs w:val="21"/>
                <w:highlight w:val="none"/>
              </w:rPr>
            </w:pPr>
          </w:p>
        </w:tc>
        <w:tc>
          <w:tcPr>
            <w:tcW w:w="446" w:type="pct"/>
            <w:vAlign w:val="center"/>
          </w:tcPr>
          <w:p>
            <w:pPr>
              <w:spacing w:line="288" w:lineRule="auto"/>
              <w:jc w:val="center"/>
              <w:rPr>
                <w:rFonts w:ascii="宋体" w:hAnsi="宋体" w:eastAsia="宋体"/>
                <w:color w:val="auto"/>
                <w:sz w:val="21"/>
                <w:szCs w:val="21"/>
                <w:highlight w:val="none"/>
              </w:rPr>
            </w:pPr>
          </w:p>
        </w:tc>
        <w:tc>
          <w:tcPr>
            <w:tcW w:w="537" w:type="pct"/>
            <w:vAlign w:val="center"/>
          </w:tcPr>
          <w:p>
            <w:pPr>
              <w:spacing w:line="288" w:lineRule="auto"/>
              <w:jc w:val="center"/>
              <w:rPr>
                <w:rFonts w:ascii="宋体" w:hAnsi="宋体" w:eastAsia="宋体"/>
                <w:color w:val="auto"/>
                <w:sz w:val="21"/>
                <w:szCs w:val="21"/>
                <w:highlight w:val="none"/>
              </w:rPr>
            </w:pPr>
          </w:p>
        </w:tc>
        <w:tc>
          <w:tcPr>
            <w:tcW w:w="536" w:type="pct"/>
            <w:vAlign w:val="center"/>
          </w:tcPr>
          <w:p>
            <w:pPr>
              <w:spacing w:line="288" w:lineRule="auto"/>
              <w:jc w:val="center"/>
              <w:rPr>
                <w:rFonts w:ascii="宋体" w:hAnsi="宋体" w:eastAsia="宋体"/>
                <w:color w:val="auto"/>
                <w:sz w:val="21"/>
                <w:szCs w:val="21"/>
                <w:highlight w:val="none"/>
              </w:rPr>
            </w:pPr>
          </w:p>
        </w:tc>
        <w:tc>
          <w:tcPr>
            <w:tcW w:w="497" w:type="pct"/>
            <w:vAlign w:val="center"/>
          </w:tcPr>
          <w:p>
            <w:pPr>
              <w:spacing w:line="288"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3"/>
        <w:numPr>
          <w:ilvl w:val="0"/>
          <w:numId w:val="10"/>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可按项目的实际需要</w:t>
      </w:r>
      <w:r>
        <w:rPr>
          <w:rFonts w:hint="eastAsia" w:ascii="宋体" w:hAnsi="宋体" w:eastAsia="宋体"/>
          <w:color w:val="auto"/>
          <w:sz w:val="21"/>
          <w:szCs w:val="21"/>
          <w:highlight w:val="none"/>
          <w:lang w:eastAsia="zh-CN"/>
        </w:rPr>
        <w:t>或遴选文件的要求</w:t>
      </w:r>
      <w:r>
        <w:rPr>
          <w:rFonts w:hint="eastAsia" w:ascii="宋体" w:hAnsi="宋体" w:eastAsia="宋体"/>
          <w:color w:val="auto"/>
          <w:sz w:val="21"/>
          <w:szCs w:val="21"/>
          <w:highlight w:val="none"/>
        </w:rPr>
        <w:t>提供本表格。</w:t>
      </w:r>
    </w:p>
    <w:p>
      <w:pPr>
        <w:pStyle w:val="23"/>
        <w:numPr>
          <w:ilvl w:val="0"/>
          <w:numId w:val="10"/>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可按实际情况自行制订。</w:t>
      </w:r>
    </w:p>
    <w:p>
      <w:pPr>
        <w:pStyle w:val="23"/>
        <w:numPr>
          <w:ilvl w:val="0"/>
          <w:numId w:val="10"/>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lang w:eastAsia="zh-CN"/>
        </w:rPr>
        <w:t>如本项目不涉及此表内容，则无需提供此表。</w:t>
      </w: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0" w:name="_Toc4958"/>
      <w:r>
        <w:rPr>
          <w:rFonts w:hint="eastAsia" w:ascii="宋体" w:hAnsi="宋体" w:eastAsia="宋体"/>
          <w:color w:val="auto"/>
          <w:sz w:val="21"/>
          <w:szCs w:val="21"/>
          <w:highlight w:val="none"/>
        </w:rPr>
        <w:t>附件1</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.货物说明一览表格式</w:t>
      </w:r>
      <w:bookmarkEnd w:id="150"/>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货物说明一览表</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244"/>
        <w:gridCol w:w="1133"/>
        <w:gridCol w:w="850"/>
        <w:gridCol w:w="850"/>
        <w:gridCol w:w="850"/>
        <w:gridCol w:w="850"/>
        <w:gridCol w:w="1160"/>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730" w:type="pct"/>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665" w:type="pct"/>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499" w:type="pct"/>
            <w:vAlign w:val="center"/>
          </w:tcPr>
          <w:p>
            <w:pPr>
              <w:spacing w:after="0"/>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品牌</w:t>
            </w:r>
          </w:p>
        </w:tc>
        <w:tc>
          <w:tcPr>
            <w:tcW w:w="499" w:type="pct"/>
            <w:vAlign w:val="center"/>
          </w:tcPr>
          <w:p>
            <w:pPr>
              <w:spacing w:after="0"/>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制造商</w:t>
            </w:r>
          </w:p>
        </w:tc>
        <w:tc>
          <w:tcPr>
            <w:tcW w:w="499" w:type="pct"/>
            <w:vAlign w:val="center"/>
          </w:tcPr>
          <w:p>
            <w:pPr>
              <w:spacing w:after="0"/>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产地</w:t>
            </w:r>
          </w:p>
        </w:tc>
        <w:tc>
          <w:tcPr>
            <w:tcW w:w="499" w:type="pct"/>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681" w:type="pct"/>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536" w:type="pct"/>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p>
        </w:tc>
        <w:tc>
          <w:tcPr>
            <w:tcW w:w="730" w:type="pct"/>
            <w:vAlign w:val="center"/>
          </w:tcPr>
          <w:p>
            <w:pPr>
              <w:spacing w:after="0"/>
              <w:jc w:val="center"/>
              <w:rPr>
                <w:rFonts w:ascii="宋体" w:hAnsi="宋体" w:eastAsia="宋体" w:cs="Times New Roman"/>
                <w:color w:val="auto"/>
                <w:sz w:val="21"/>
                <w:szCs w:val="21"/>
                <w:highlight w:val="none"/>
              </w:rPr>
            </w:pPr>
          </w:p>
        </w:tc>
        <w:tc>
          <w:tcPr>
            <w:tcW w:w="665"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681" w:type="pct"/>
            <w:vAlign w:val="center"/>
          </w:tcPr>
          <w:p>
            <w:pPr>
              <w:spacing w:after="0"/>
              <w:jc w:val="center"/>
              <w:rPr>
                <w:rFonts w:ascii="宋体" w:hAnsi="宋体" w:eastAsia="宋体" w:cs="Times New Roman"/>
                <w:color w:val="auto"/>
                <w:sz w:val="21"/>
                <w:szCs w:val="21"/>
                <w:highlight w:val="none"/>
              </w:rPr>
            </w:pPr>
          </w:p>
        </w:tc>
        <w:tc>
          <w:tcPr>
            <w:tcW w:w="536" w:type="pct"/>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p>
        </w:tc>
        <w:tc>
          <w:tcPr>
            <w:tcW w:w="730" w:type="pct"/>
            <w:vAlign w:val="center"/>
          </w:tcPr>
          <w:p>
            <w:pPr>
              <w:spacing w:after="0"/>
              <w:jc w:val="center"/>
              <w:rPr>
                <w:rFonts w:ascii="宋体" w:hAnsi="宋体" w:eastAsia="宋体" w:cs="Times New Roman"/>
                <w:color w:val="auto"/>
                <w:sz w:val="21"/>
                <w:szCs w:val="21"/>
                <w:highlight w:val="none"/>
              </w:rPr>
            </w:pPr>
          </w:p>
        </w:tc>
        <w:tc>
          <w:tcPr>
            <w:tcW w:w="665"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681" w:type="pct"/>
            <w:vAlign w:val="center"/>
          </w:tcPr>
          <w:p>
            <w:pPr>
              <w:spacing w:after="0"/>
              <w:jc w:val="center"/>
              <w:rPr>
                <w:rFonts w:ascii="宋体" w:hAnsi="宋体" w:eastAsia="宋体" w:cs="Times New Roman"/>
                <w:color w:val="auto"/>
                <w:sz w:val="21"/>
                <w:szCs w:val="21"/>
                <w:highlight w:val="none"/>
              </w:rPr>
            </w:pPr>
          </w:p>
        </w:tc>
        <w:tc>
          <w:tcPr>
            <w:tcW w:w="536" w:type="pct"/>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p>
        </w:tc>
        <w:tc>
          <w:tcPr>
            <w:tcW w:w="730" w:type="pct"/>
            <w:vAlign w:val="center"/>
          </w:tcPr>
          <w:p>
            <w:pPr>
              <w:spacing w:after="0"/>
              <w:jc w:val="center"/>
              <w:rPr>
                <w:rFonts w:ascii="宋体" w:hAnsi="宋体" w:eastAsia="宋体" w:cs="Times New Roman"/>
                <w:color w:val="auto"/>
                <w:sz w:val="21"/>
                <w:szCs w:val="21"/>
                <w:highlight w:val="none"/>
              </w:rPr>
            </w:pPr>
          </w:p>
        </w:tc>
        <w:tc>
          <w:tcPr>
            <w:tcW w:w="665"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681" w:type="pct"/>
            <w:vAlign w:val="center"/>
          </w:tcPr>
          <w:p>
            <w:pPr>
              <w:spacing w:after="0"/>
              <w:jc w:val="center"/>
              <w:rPr>
                <w:rFonts w:ascii="宋体" w:hAnsi="宋体" w:eastAsia="宋体" w:cs="Times New Roman"/>
                <w:color w:val="auto"/>
                <w:sz w:val="21"/>
                <w:szCs w:val="21"/>
                <w:highlight w:val="none"/>
              </w:rPr>
            </w:pPr>
          </w:p>
        </w:tc>
        <w:tc>
          <w:tcPr>
            <w:tcW w:w="536" w:type="pct"/>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p>
        </w:tc>
        <w:tc>
          <w:tcPr>
            <w:tcW w:w="730" w:type="pct"/>
            <w:vAlign w:val="center"/>
          </w:tcPr>
          <w:p>
            <w:pPr>
              <w:spacing w:after="0"/>
              <w:jc w:val="center"/>
              <w:rPr>
                <w:rFonts w:ascii="宋体" w:hAnsi="宋体" w:eastAsia="宋体" w:cs="Times New Roman"/>
                <w:color w:val="auto"/>
                <w:sz w:val="21"/>
                <w:szCs w:val="21"/>
                <w:highlight w:val="none"/>
              </w:rPr>
            </w:pPr>
          </w:p>
        </w:tc>
        <w:tc>
          <w:tcPr>
            <w:tcW w:w="665"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681" w:type="pct"/>
            <w:vAlign w:val="center"/>
          </w:tcPr>
          <w:p>
            <w:pPr>
              <w:spacing w:after="0"/>
              <w:jc w:val="center"/>
              <w:rPr>
                <w:rFonts w:ascii="宋体" w:hAnsi="宋体" w:eastAsia="宋体" w:cs="Times New Roman"/>
                <w:color w:val="auto"/>
                <w:sz w:val="21"/>
                <w:szCs w:val="21"/>
                <w:highlight w:val="none"/>
              </w:rPr>
            </w:pPr>
          </w:p>
        </w:tc>
        <w:tc>
          <w:tcPr>
            <w:tcW w:w="536" w:type="pct"/>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p>
        </w:tc>
        <w:tc>
          <w:tcPr>
            <w:tcW w:w="730" w:type="pct"/>
            <w:vAlign w:val="center"/>
          </w:tcPr>
          <w:p>
            <w:pPr>
              <w:spacing w:after="0"/>
              <w:jc w:val="center"/>
              <w:rPr>
                <w:rFonts w:ascii="宋体" w:hAnsi="宋体" w:eastAsia="宋体" w:cs="Times New Roman"/>
                <w:color w:val="auto"/>
                <w:sz w:val="21"/>
                <w:szCs w:val="21"/>
                <w:highlight w:val="none"/>
              </w:rPr>
            </w:pPr>
          </w:p>
        </w:tc>
        <w:tc>
          <w:tcPr>
            <w:tcW w:w="665"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681" w:type="pct"/>
            <w:vAlign w:val="center"/>
          </w:tcPr>
          <w:p>
            <w:pPr>
              <w:spacing w:after="0"/>
              <w:jc w:val="center"/>
              <w:rPr>
                <w:rFonts w:ascii="宋体" w:hAnsi="宋体" w:eastAsia="宋体" w:cs="Times New Roman"/>
                <w:color w:val="auto"/>
                <w:sz w:val="21"/>
                <w:szCs w:val="21"/>
                <w:highlight w:val="none"/>
              </w:rPr>
            </w:pPr>
          </w:p>
        </w:tc>
        <w:tc>
          <w:tcPr>
            <w:tcW w:w="536" w:type="pct"/>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p>
        </w:tc>
        <w:tc>
          <w:tcPr>
            <w:tcW w:w="730" w:type="pct"/>
            <w:vAlign w:val="center"/>
          </w:tcPr>
          <w:p>
            <w:pPr>
              <w:spacing w:after="0"/>
              <w:jc w:val="center"/>
              <w:rPr>
                <w:rFonts w:ascii="宋体" w:hAnsi="宋体" w:eastAsia="宋体" w:cs="Times New Roman"/>
                <w:color w:val="auto"/>
                <w:sz w:val="21"/>
                <w:szCs w:val="21"/>
                <w:highlight w:val="none"/>
              </w:rPr>
            </w:pPr>
          </w:p>
        </w:tc>
        <w:tc>
          <w:tcPr>
            <w:tcW w:w="665"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681" w:type="pct"/>
            <w:vAlign w:val="center"/>
          </w:tcPr>
          <w:p>
            <w:pPr>
              <w:spacing w:after="0"/>
              <w:jc w:val="center"/>
              <w:rPr>
                <w:rFonts w:ascii="宋体" w:hAnsi="宋体" w:eastAsia="宋体" w:cs="Times New Roman"/>
                <w:color w:val="auto"/>
                <w:sz w:val="21"/>
                <w:szCs w:val="21"/>
                <w:highlight w:val="none"/>
              </w:rPr>
            </w:pPr>
          </w:p>
        </w:tc>
        <w:tc>
          <w:tcPr>
            <w:tcW w:w="536" w:type="pct"/>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23"/>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可按项目的实际需要提供本表格。</w:t>
      </w:r>
    </w:p>
    <w:p>
      <w:pPr>
        <w:pStyle w:val="23"/>
        <w:ind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2、该表格为参考格式，</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可按实际情况自行制订。</w:t>
      </w:r>
    </w:p>
    <w:p>
      <w:pPr>
        <w:pStyle w:val="23"/>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楷体_GB2312" w:eastAsia="楷体_GB2312"/>
          <w:color w:val="auto"/>
          <w:sz w:val="24"/>
          <w:highlight w:val="none"/>
        </w:rPr>
      </w:pPr>
      <w:bookmarkStart w:id="151" w:name="_Toc21141"/>
      <w:r>
        <w:rPr>
          <w:rFonts w:hint="eastAsia" w:ascii="宋体" w:hAnsi="宋体" w:eastAsia="宋体"/>
          <w:color w:val="auto"/>
          <w:sz w:val="21"/>
          <w:szCs w:val="21"/>
          <w:highlight w:val="none"/>
        </w:rPr>
        <w:t>附件1</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.在经营活动中没有重大违法记录的书面声明格式</w:t>
      </w:r>
      <w:bookmarkEnd w:id="151"/>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lang w:eastAsia="zh-CN"/>
        </w:rPr>
        <w:t>供应商在经营活动中没有重大违法记录的书面声明</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）政府采购活动前三年内（设立不满三年的从设立之日计算），在经营活动中没有重大违法记录；至本项目提交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bidi w:val="0"/>
        <w:rPr>
          <w:rFonts w:hint="eastAsia"/>
          <w:color w:val="auto"/>
          <w:highlight w:val="none"/>
        </w:rPr>
      </w:pPr>
    </w:p>
    <w:p>
      <w:pPr>
        <w:rPr>
          <w:rFonts w:hint="eastAsia" w:ascii="宋体" w:hAnsi="宋体" w:eastAsia="宋体" w:cs="宋体"/>
          <w:color w:val="auto"/>
          <w:sz w:val="21"/>
          <w:szCs w:val="21"/>
          <w:highlight w:val="none"/>
        </w:rPr>
      </w:pPr>
    </w:p>
    <w:p>
      <w:pPr>
        <w:bidi w:val="0"/>
        <w:rPr>
          <w:rFonts w:hint="eastAsia"/>
          <w:color w:val="auto"/>
          <w:highlight w:val="none"/>
        </w:rPr>
      </w:pPr>
    </w:p>
    <w:p>
      <w:pPr>
        <w:rPr>
          <w:rFonts w:hint="eastAsia" w:ascii="宋体" w:hAnsi="宋体" w:eastAsia="宋体" w:cs="宋体"/>
          <w:color w:val="auto"/>
          <w:sz w:val="21"/>
          <w:szCs w:val="21"/>
          <w:highlight w:val="none"/>
        </w:rPr>
      </w:pPr>
    </w:p>
    <w:p>
      <w:pPr>
        <w:bidi w:val="0"/>
        <w:rPr>
          <w:rFonts w:hint="eastAsia"/>
          <w:color w:val="auto"/>
          <w:highlight w:val="none"/>
        </w:rPr>
      </w:pPr>
    </w:p>
    <w:p>
      <w:pPr>
        <w:rPr>
          <w:rFonts w:hint="eastAsia" w:ascii="宋体" w:hAnsi="宋体" w:eastAsia="宋体" w:cs="宋体"/>
          <w:color w:val="auto"/>
          <w:sz w:val="21"/>
          <w:szCs w:val="21"/>
          <w:highlight w:val="none"/>
        </w:rPr>
      </w:pPr>
    </w:p>
    <w:p>
      <w:pPr>
        <w:bidi w:val="0"/>
        <w:rPr>
          <w:rFonts w:hint="eastAsia"/>
          <w:color w:val="auto"/>
          <w:highlight w:val="none"/>
        </w:rPr>
      </w:pPr>
    </w:p>
    <w:p>
      <w:pPr>
        <w:rPr>
          <w:rFonts w:hint="eastAsia" w:ascii="宋体" w:hAnsi="宋体" w:eastAsia="宋体" w:cs="宋体"/>
          <w:color w:val="auto"/>
          <w:sz w:val="21"/>
          <w:szCs w:val="21"/>
          <w:highlight w:val="none"/>
        </w:rPr>
      </w:pPr>
    </w:p>
    <w:p>
      <w:pPr>
        <w:bidi w:val="0"/>
        <w:rPr>
          <w:rFonts w:hint="eastAsia"/>
          <w:color w:val="auto"/>
          <w:highlight w:val="none"/>
        </w:rPr>
      </w:pPr>
    </w:p>
    <w:p>
      <w:pPr>
        <w:rPr>
          <w:rFonts w:hint="eastAsia" w:ascii="宋体" w:hAnsi="宋体" w:eastAsia="宋体" w:cs="宋体"/>
          <w:color w:val="auto"/>
          <w:sz w:val="21"/>
          <w:szCs w:val="21"/>
          <w:highlight w:val="none"/>
        </w:rPr>
      </w:pP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楷体_GB2312" w:eastAsia="楷体_GB2312"/>
          <w:color w:val="auto"/>
          <w:sz w:val="24"/>
          <w:highlight w:val="none"/>
        </w:rPr>
      </w:pPr>
      <w:r>
        <w:rPr>
          <w:rFonts w:hint="eastAsia" w:ascii="宋体" w:hAnsi="宋体" w:eastAsia="宋体"/>
          <w:color w:val="auto"/>
          <w:sz w:val="21"/>
          <w:szCs w:val="21"/>
          <w:highlight w:val="none"/>
        </w:rPr>
        <w:t>附件1</w:t>
      </w:r>
      <w:r>
        <w:rPr>
          <w:rFonts w:hint="eastAsia" w:ascii="宋体" w:hAnsi="宋体"/>
          <w:color w:val="auto"/>
          <w:sz w:val="21"/>
          <w:szCs w:val="21"/>
          <w:highlight w:val="none"/>
          <w:lang w:val="en-US" w:eastAsia="zh-CN"/>
        </w:rPr>
        <w:t>7</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中小企业声明函</w:t>
      </w:r>
      <w:r>
        <w:rPr>
          <w:rFonts w:hint="eastAsia" w:ascii="宋体" w:hAnsi="宋体" w:eastAsia="宋体"/>
          <w:color w:val="auto"/>
          <w:sz w:val="21"/>
          <w:szCs w:val="21"/>
          <w:highlight w:val="none"/>
        </w:rPr>
        <w:t>格式</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中小企业声明函（货物）</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lang w:val="en-US" w:eastAsia="zh-CN"/>
        </w:rPr>
        <w:t>（含联合体中的中小企业、签订分包意向协议的中小企业）</w:t>
      </w:r>
      <w:r>
        <w:rPr>
          <w:rFonts w:hint="eastAsia" w:asciiTheme="minorEastAsia" w:hAnsiTheme="minorEastAsia" w:eastAsiaTheme="minorEastAsia" w:cstheme="minorEastAsia"/>
          <w:color w:val="auto"/>
          <w:sz w:val="21"/>
          <w:szCs w:val="21"/>
          <w:highlight w:val="none"/>
          <w:u w:val="none"/>
          <w:lang w:val="en-US" w:eastAsia="zh-CN"/>
        </w:rPr>
        <w:t>的具体情况如下：</w:t>
      </w:r>
    </w:p>
    <w:p>
      <w:pPr>
        <w:pStyle w:val="8"/>
        <w:keepNext w:val="0"/>
        <w:keepLines w:val="0"/>
        <w:pageBreakBefore w:val="0"/>
        <w:widowControl/>
        <w:kinsoku/>
        <w:wordWrap/>
        <w:overflowPunct/>
        <w:topLinePunct w:val="0"/>
        <w:autoSpaceDE/>
        <w:autoSpaceDN/>
        <w:bidi w:val="0"/>
        <w:adjustRightInd w:val="0"/>
        <w:snapToGrid w:val="0"/>
        <w:spacing w:before="0" w:line="360" w:lineRule="auto"/>
        <w:ind w:left="119"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1"/>
          <w:rFonts w:hint="eastAsia" w:asciiTheme="minorEastAsia" w:hAnsiTheme="minorEastAsia" w:eastAsiaTheme="minorEastAsia" w:cstheme="minorEastAsia"/>
          <w:color w:val="auto"/>
          <w:sz w:val="21"/>
          <w:szCs w:val="21"/>
          <w:highlight w:val="none"/>
          <w:u w:val="none"/>
          <w:lang w:val="en-US" w:eastAsia="zh-CN"/>
        </w:rPr>
        <w:footnoteReference w:id="0"/>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8"/>
        <w:keepNext w:val="0"/>
        <w:keepLines w:val="0"/>
        <w:pageBreakBefore w:val="0"/>
        <w:widowControl/>
        <w:kinsoku/>
        <w:wordWrap/>
        <w:overflowPunct/>
        <w:topLinePunct w:val="0"/>
        <w:autoSpaceDE/>
        <w:autoSpaceDN/>
        <w:bidi w:val="0"/>
        <w:adjustRightInd w:val="0"/>
        <w:snapToGrid w:val="0"/>
        <w:spacing w:before="0" w:line="360" w:lineRule="auto"/>
        <w:ind w:left="119"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bidi w:val="0"/>
        <w:ind w:firstLine="440" w:firstLineChars="200"/>
        <w:rPr>
          <w:rFonts w:hint="eastAsia"/>
          <w:color w:val="auto"/>
          <w:highlight w:val="none"/>
          <w:lang w:val="en-US" w:eastAsia="zh-CN"/>
        </w:rPr>
      </w:pPr>
      <w:r>
        <w:rPr>
          <w:rFonts w:hint="eastAsia"/>
          <w:color w:val="auto"/>
          <w:highlight w:val="none"/>
          <w:lang w:val="en-US" w:eastAsia="zh-CN"/>
        </w:rPr>
        <w:t>以上企业，不属于大企业的分支机构，不存在控股股东为大企业的情形，也不存在与大企业的负责人为同一人的情形。</w:t>
      </w:r>
    </w:p>
    <w:p>
      <w:pPr>
        <w:bidi w:val="0"/>
        <w:ind w:firstLine="440" w:firstLineChars="200"/>
        <w:rPr>
          <w:rFonts w:hint="eastAsia"/>
          <w:color w:val="auto"/>
          <w:highlight w:val="none"/>
          <w:lang w:val="en-US" w:eastAsia="zh-CN"/>
        </w:rPr>
      </w:pPr>
      <w:r>
        <w:rPr>
          <w:rFonts w:hint="eastAsia"/>
          <w:color w:val="auto"/>
          <w:highlight w:val="none"/>
          <w:lang w:val="en-US" w:eastAsia="zh-CN"/>
        </w:rPr>
        <w:t>本企业对上诉声明内容的真实性负责。如有虚假，将依法承担相应责任。</w:t>
      </w:r>
    </w:p>
    <w:p>
      <w:pPr>
        <w:pStyle w:val="8"/>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b/>
          <w:bCs/>
          <w:color w:val="auto"/>
          <w:sz w:val="21"/>
          <w:szCs w:val="21"/>
          <w:highlight w:val="none"/>
        </w:rPr>
      </w:pPr>
    </w:p>
    <w:p>
      <w:pPr>
        <w:ind w:firstLine="422" w:firstLineChars="200"/>
        <w:rPr>
          <w:rFonts w:hint="eastAsia" w:ascii="宋体" w:hAnsi="宋体" w:eastAsia="宋体"/>
          <w:b/>
          <w:bCs/>
          <w:color w:val="auto"/>
          <w:sz w:val="21"/>
          <w:szCs w:val="21"/>
          <w:highlight w:val="none"/>
          <w:lang w:val="en-US" w:eastAsia="zh-CN"/>
        </w:rPr>
      </w:pPr>
    </w:p>
    <w:p>
      <w:pPr>
        <w:ind w:firstLine="422" w:firstLineChars="200"/>
        <w:rPr>
          <w:rFonts w:hint="eastAsia" w:ascii="宋体" w:hAnsi="宋体" w:eastAsia="宋体"/>
          <w:b/>
          <w:bCs/>
          <w:color w:val="auto"/>
          <w:sz w:val="21"/>
          <w:szCs w:val="21"/>
          <w:highlight w:val="none"/>
          <w:lang w:val="en-US" w:eastAsia="zh-CN"/>
        </w:rPr>
      </w:pPr>
    </w:p>
    <w:p>
      <w:pPr>
        <w:ind w:firstLine="422" w:firstLineChars="200"/>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注：</w:t>
      </w:r>
      <w:r>
        <w:rPr>
          <w:rFonts w:hint="eastAsia" w:ascii="宋体" w:hAnsi="宋体" w:eastAsia="宋体"/>
          <w:b/>
          <w:bCs/>
          <w:color w:val="auto"/>
          <w:sz w:val="21"/>
          <w:szCs w:val="21"/>
          <w:highlight w:val="none"/>
        </w:rPr>
        <w:t>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不属于规定的中小企业范围，或提供的产品不是中小企业制造的，则无需提供此表。</w:t>
      </w:r>
      <w:r>
        <w:rPr>
          <w:rFonts w:hint="eastAsia" w:ascii="宋体" w:hAnsi="宋体" w:eastAsia="宋体"/>
          <w:color w:val="auto"/>
          <w:sz w:val="21"/>
          <w:szCs w:val="21"/>
          <w:highlight w:val="none"/>
        </w:rPr>
        <w:br w:type="page"/>
      </w:r>
    </w:p>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中小企业声明函（工程、服务）</w:t>
      </w:r>
    </w:p>
    <w:p>
      <w:pPr>
        <w:keepNext w:val="0"/>
        <w:keepLines w:val="0"/>
        <w:pageBreakBefore w:val="0"/>
        <w:widowControl/>
        <w:kinsoku/>
        <w:wordWrap/>
        <w:overflowPunct/>
        <w:topLinePunct w:val="0"/>
        <w:autoSpaceDE/>
        <w:autoSpaceDN/>
        <w:bidi w:val="0"/>
        <w:adjustRightInd w:val="0"/>
        <w:snapToGrid w:val="0"/>
        <w:spacing w:line="360" w:lineRule="auto"/>
        <w:ind w:firstLine="22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eastAsiaTheme="minorEastAsia"/>
          <w:color w:val="auto"/>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pageBreakBefore w:val="0"/>
        <w:widowControl/>
        <w:kinsoku/>
        <w:wordWrap/>
        <w:overflowPunct/>
        <w:topLinePunct w:val="0"/>
        <w:autoSpaceDE/>
        <w:autoSpaceDN/>
        <w:bidi w:val="0"/>
        <w:adjustRightInd w:val="0"/>
        <w:snapToGrid w:val="0"/>
        <w:spacing w:before="0"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1"/>
          <w:rFonts w:hint="eastAsia" w:asciiTheme="minorEastAsia" w:hAnsiTheme="minorEastAsia" w:eastAsiaTheme="minorEastAsia" w:cstheme="minorEastAsia"/>
          <w:color w:val="auto"/>
          <w:sz w:val="21"/>
          <w:szCs w:val="21"/>
          <w:highlight w:val="none"/>
          <w:u w:val="none"/>
          <w:lang w:val="en-US" w:eastAsia="zh-CN"/>
        </w:rPr>
        <w:footnoteReference w:id="1"/>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8"/>
        <w:keepNext w:val="0"/>
        <w:keepLines w:val="0"/>
        <w:pageBreakBefore w:val="0"/>
        <w:widowControl/>
        <w:kinsoku/>
        <w:wordWrap/>
        <w:overflowPunct/>
        <w:topLinePunct w:val="0"/>
        <w:autoSpaceDE/>
        <w:autoSpaceDN/>
        <w:bidi w:val="0"/>
        <w:adjustRightInd w:val="0"/>
        <w:snapToGrid w:val="0"/>
        <w:spacing w:before="0"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bidi w:val="0"/>
        <w:ind w:firstLine="440" w:firstLineChars="200"/>
        <w:rPr>
          <w:rFonts w:hint="eastAsia"/>
          <w:color w:val="auto"/>
          <w:highlight w:val="none"/>
          <w:lang w:val="en-US" w:eastAsia="zh-CN"/>
        </w:rPr>
      </w:pPr>
      <w:r>
        <w:rPr>
          <w:rFonts w:hint="eastAsia"/>
          <w:color w:val="auto"/>
          <w:highlight w:val="none"/>
          <w:lang w:val="en-US" w:eastAsia="zh-CN"/>
        </w:rPr>
        <w:t>以上企业，不属于大企业的分支机构，不存在控股股东为大企业的情形，也不存在与大企业的负责人为同一人的情形。</w:t>
      </w:r>
    </w:p>
    <w:p>
      <w:pPr>
        <w:bidi w:val="0"/>
        <w:ind w:firstLine="440" w:firstLineChars="200"/>
        <w:rPr>
          <w:rFonts w:hint="eastAsia"/>
          <w:color w:val="auto"/>
          <w:highlight w:val="none"/>
          <w:lang w:val="en-US" w:eastAsia="zh-CN"/>
        </w:rPr>
      </w:pPr>
      <w:r>
        <w:rPr>
          <w:rFonts w:hint="eastAsia"/>
          <w:color w:val="auto"/>
          <w:highlight w:val="none"/>
          <w:lang w:val="en-US" w:eastAsia="zh-CN"/>
        </w:rPr>
        <w:t>本企业对上诉声明内容的真实性负责。如有虚假，将依法承担相应责任。</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b/>
          <w:bCs/>
          <w:color w:val="auto"/>
          <w:sz w:val="21"/>
          <w:szCs w:val="21"/>
          <w:highlight w:val="none"/>
          <w:lang w:val="en-US" w:eastAsia="zh-CN"/>
        </w:rPr>
      </w:pPr>
    </w:p>
    <w:p>
      <w:pPr>
        <w:rPr>
          <w:rFonts w:hint="eastAsia" w:ascii="宋体" w:hAnsi="宋体" w:eastAsia="宋体"/>
          <w:b/>
          <w:bCs/>
          <w:color w:val="auto"/>
          <w:sz w:val="21"/>
          <w:szCs w:val="21"/>
          <w:highlight w:val="none"/>
          <w:lang w:val="en-US" w:eastAsia="zh-CN"/>
        </w:rPr>
      </w:pPr>
    </w:p>
    <w:p>
      <w:pPr>
        <w:rPr>
          <w:rFonts w:hint="eastAsia" w:ascii="宋体" w:hAnsi="宋体" w:eastAsia="宋体"/>
          <w:b/>
          <w:bCs/>
          <w:color w:val="auto"/>
          <w:sz w:val="21"/>
          <w:szCs w:val="21"/>
          <w:highlight w:val="none"/>
          <w:lang w:val="en-US" w:eastAsia="zh-CN"/>
        </w:rPr>
      </w:pPr>
    </w:p>
    <w:p>
      <w:pPr>
        <w:ind w:firstLine="422" w:firstLineChars="200"/>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注：</w:t>
      </w:r>
      <w:r>
        <w:rPr>
          <w:rFonts w:hint="eastAsia" w:ascii="宋体" w:hAnsi="宋体" w:eastAsia="宋体"/>
          <w:b/>
          <w:bCs/>
          <w:color w:val="auto"/>
          <w:sz w:val="21"/>
          <w:szCs w:val="21"/>
          <w:highlight w:val="none"/>
        </w:rPr>
        <w:t>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不属于规定的中小企业范围，或提供的产品不是中小企业制造的，则无需提供此表。</w:t>
      </w:r>
      <w:r>
        <w:rPr>
          <w:rFonts w:hint="eastAsia" w:ascii="宋体" w:hAnsi="宋体" w:eastAsia="宋体"/>
          <w:color w:val="auto"/>
          <w:sz w:val="21"/>
          <w:szCs w:val="21"/>
          <w:highlight w:val="none"/>
        </w:rPr>
        <w:br w:type="page"/>
      </w:r>
    </w:p>
    <w:p>
      <w:pPr>
        <w:rPr>
          <w:rFonts w:ascii="宋体" w:hAnsi="宋体" w:eastAsia="宋体"/>
          <w:b/>
          <w:bCs/>
          <w:color w:val="auto"/>
          <w:sz w:val="21"/>
          <w:szCs w:val="21"/>
          <w:highlight w:val="none"/>
        </w:rPr>
      </w:pPr>
      <w:r>
        <w:rPr>
          <w:rFonts w:hint="eastAsia" w:ascii="宋体" w:hAnsi="宋体" w:eastAsia="宋体"/>
          <w:b/>
          <w:bCs/>
          <w:color w:val="auto"/>
          <w:sz w:val="21"/>
          <w:szCs w:val="21"/>
          <w:highlight w:val="none"/>
          <w:lang w:val="en-US" w:eastAsia="zh-CN"/>
        </w:rPr>
        <w:t>说明</w:t>
      </w:r>
      <w:r>
        <w:rPr>
          <w:rFonts w:hint="eastAsia" w:ascii="宋体" w:hAnsi="宋体" w:eastAsia="宋体"/>
          <w:b/>
          <w:bCs/>
          <w:color w:val="auto"/>
          <w:sz w:val="21"/>
          <w:szCs w:val="21"/>
          <w:highlight w:val="none"/>
        </w:rPr>
        <w:t>：</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应根据</w:t>
      </w:r>
      <w:r>
        <w:rPr>
          <w:rFonts w:hint="eastAsia" w:ascii="宋体" w:hAnsi="宋体" w:eastAsia="宋体"/>
          <w:b/>
          <w:bCs/>
          <w:color w:val="auto"/>
          <w:sz w:val="21"/>
          <w:szCs w:val="21"/>
          <w:highlight w:val="none"/>
          <w:lang w:eastAsia="zh-CN"/>
        </w:rPr>
        <w:t>《政府采购促进中小企业发展管理办法》的通知（财库〔2020〕46号）</w:t>
      </w:r>
      <w:r>
        <w:rPr>
          <w:rFonts w:hint="eastAsia" w:ascii="宋体" w:hAnsi="宋体" w:eastAsia="宋体"/>
          <w:b/>
          <w:bCs/>
          <w:color w:val="auto"/>
          <w:sz w:val="21"/>
          <w:szCs w:val="21"/>
          <w:highlight w:val="none"/>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楷体_GB2312" w:eastAsia="楷体_GB2312"/>
          <w:b/>
          <w:bCs/>
          <w:color w:val="auto"/>
          <w:sz w:val="24"/>
          <w:highlight w:val="none"/>
        </w:rPr>
      </w:pPr>
      <w:r>
        <w:rPr>
          <w:rFonts w:hint="eastAsia" w:ascii="宋体" w:hAnsi="宋体" w:eastAsia="宋体"/>
          <w:b/>
          <w:bCs/>
          <w:color w:val="auto"/>
          <w:sz w:val="21"/>
          <w:szCs w:val="21"/>
          <w:highlight w:val="none"/>
          <w:lang w:val="en-US" w:eastAsia="zh-CN"/>
        </w:rPr>
        <w:t>2</w:t>
      </w:r>
      <w:r>
        <w:rPr>
          <w:rFonts w:hint="eastAsia" w:ascii="宋体" w:hAnsi="宋体" w:eastAsia="宋体"/>
          <w:b/>
          <w:bCs/>
          <w:color w:val="auto"/>
          <w:sz w:val="21"/>
          <w:szCs w:val="21"/>
          <w:highlight w:val="none"/>
        </w:rPr>
        <w:t>、</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应该在《报价明细表》中单独列明属于小型和微型企业产品（货物、承担的工程或者服务）的报价，若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只提供《中小企业声明函》但未列明小型或微型企业产品的，在计算价格得分时不予以相应的扣除。</w:t>
      </w:r>
    </w:p>
    <w:p>
      <w:pPr>
        <w:bidi w:val="0"/>
        <w:rPr>
          <w:color w:val="auto"/>
          <w:highlight w:val="none"/>
        </w:rPr>
      </w:pPr>
    </w:p>
    <w:p>
      <w:pPr>
        <w:rPr>
          <w:rFonts w:hint="eastAsia" w:ascii="宋体" w:hAnsi="宋体" w:eastAsia="宋体"/>
          <w:color w:val="auto"/>
          <w:sz w:val="21"/>
          <w:szCs w:val="21"/>
          <w:highlight w:val="none"/>
        </w:rPr>
      </w:pPr>
      <w:bookmarkStart w:id="152" w:name="_Toc417907703"/>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楷体_GB2312" w:eastAsia="楷体_GB2312"/>
          <w:color w:val="auto"/>
          <w:sz w:val="24"/>
          <w:highlight w:val="none"/>
        </w:rPr>
      </w:pPr>
      <w:r>
        <w:rPr>
          <w:rFonts w:hint="eastAsia" w:ascii="宋体" w:hAnsi="宋体" w:eastAsia="宋体"/>
          <w:color w:val="auto"/>
          <w:sz w:val="21"/>
          <w:szCs w:val="21"/>
          <w:highlight w:val="none"/>
        </w:rPr>
        <w:t>附件1</w:t>
      </w:r>
      <w:r>
        <w:rPr>
          <w:rFonts w:hint="eastAsia" w:ascii="宋体" w:hAnsi="宋体"/>
          <w:color w:val="auto"/>
          <w:sz w:val="21"/>
          <w:szCs w:val="21"/>
          <w:highlight w:val="none"/>
          <w:lang w:val="en-US" w:eastAsia="zh-CN"/>
        </w:rPr>
        <w:t>8</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残疾人福利性单位声明函</w:t>
      </w:r>
      <w:r>
        <w:rPr>
          <w:rFonts w:hint="eastAsia" w:ascii="宋体" w:hAnsi="宋体" w:eastAsia="宋体"/>
          <w:color w:val="auto"/>
          <w:sz w:val="21"/>
          <w:szCs w:val="21"/>
          <w:highlight w:val="none"/>
        </w:rPr>
        <w:t>格式</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单位名称（盖章）：</w:t>
      </w:r>
      <w:bookmarkStart w:id="153" w:name="_Toc510171693"/>
      <w:bookmarkStart w:id="154" w:name="_Toc508898066"/>
      <w:bookmarkStart w:id="155" w:name="_Toc508958703"/>
      <w:bookmarkStart w:id="156" w:name="_Toc20910"/>
      <w:bookmarkStart w:id="157" w:name="_Toc22970"/>
      <w:bookmarkStart w:id="158" w:name="_Toc30247"/>
      <w:bookmarkStart w:id="159" w:name="_Toc508960153"/>
      <w:bookmarkStart w:id="160" w:name="_Toc509927455"/>
      <w:bookmarkStart w:id="161" w:name="_Toc509479530"/>
      <w:bookmarkStart w:id="162" w:name="_Toc30277"/>
      <w:bookmarkStart w:id="163" w:name="_Toc17761"/>
      <w:bookmarkStart w:id="164" w:name="_Toc509844825"/>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日  期：</w:t>
      </w:r>
      <w:bookmarkEnd w:id="153"/>
      <w:bookmarkEnd w:id="154"/>
      <w:bookmarkEnd w:id="155"/>
      <w:bookmarkEnd w:id="156"/>
      <w:bookmarkEnd w:id="157"/>
      <w:bookmarkEnd w:id="158"/>
      <w:bookmarkEnd w:id="159"/>
      <w:bookmarkEnd w:id="160"/>
      <w:bookmarkEnd w:id="161"/>
      <w:bookmarkEnd w:id="162"/>
      <w:bookmarkEnd w:id="163"/>
      <w:bookmarkEnd w:id="164"/>
    </w:p>
    <w:p>
      <w:pPr>
        <w:pStyle w:val="8"/>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rPr>
      </w:pPr>
      <w:bookmarkStart w:id="165" w:name="_Toc509479531"/>
      <w:bookmarkStart w:id="166" w:name="_Toc508960154"/>
      <w:bookmarkStart w:id="167" w:name="_Toc31520"/>
      <w:bookmarkStart w:id="168" w:name="_Toc5447"/>
      <w:bookmarkStart w:id="169" w:name="_Toc508898067"/>
      <w:bookmarkStart w:id="170" w:name="_Toc509927456"/>
      <w:bookmarkStart w:id="171" w:name="_Toc510171694"/>
      <w:bookmarkStart w:id="172" w:name="_Toc28527"/>
      <w:bookmarkStart w:id="173" w:name="_Toc509844826"/>
      <w:bookmarkStart w:id="174" w:name="_Toc26216"/>
      <w:bookmarkStart w:id="175" w:name="_Toc508958704"/>
      <w:bookmarkStart w:id="176" w:name="_Toc21053"/>
      <w:r>
        <w:rPr>
          <w:rFonts w:hint="eastAsia" w:ascii="宋体" w:hAnsi="宋体" w:eastAsia="宋体"/>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（1）符合《财政部 民政部 中国残疾人联合会关于促进残疾人就业政府采购政策的通知》（财库〔2017〕 141号）规定条件的残疾人福利性单位应当提供《残疾人福利性单位声明函》。</w:t>
      </w:r>
      <w:bookmarkEnd w:id="165"/>
      <w:bookmarkEnd w:id="166"/>
      <w:bookmarkEnd w:id="167"/>
      <w:bookmarkEnd w:id="168"/>
      <w:bookmarkEnd w:id="169"/>
      <w:bookmarkEnd w:id="170"/>
      <w:bookmarkEnd w:id="171"/>
      <w:bookmarkEnd w:id="172"/>
      <w:bookmarkEnd w:id="173"/>
      <w:bookmarkEnd w:id="174"/>
      <w:bookmarkEnd w:id="175"/>
      <w:bookmarkEnd w:id="176"/>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bookmarkStart w:id="177" w:name="_Toc510171695"/>
      <w:bookmarkStart w:id="178" w:name="_Toc508898068"/>
      <w:bookmarkStart w:id="179" w:name="_Toc24848"/>
      <w:bookmarkStart w:id="180" w:name="_Toc509927457"/>
      <w:bookmarkStart w:id="181" w:name="_Toc509479532"/>
      <w:bookmarkStart w:id="182" w:name="_Toc9148"/>
      <w:bookmarkStart w:id="183" w:name="_Toc28626"/>
      <w:bookmarkStart w:id="184" w:name="_Toc28126"/>
      <w:bookmarkStart w:id="185" w:name="_Toc508960155"/>
      <w:bookmarkStart w:id="186" w:name="_Toc509844827"/>
      <w:bookmarkStart w:id="187" w:name="_Toc508958705"/>
      <w:bookmarkStart w:id="188" w:name="_Toc14653"/>
      <w:r>
        <w:rPr>
          <w:rFonts w:hint="eastAsia" w:ascii="宋体" w:hAnsi="宋体" w:eastAsia="宋体"/>
          <w:color w:val="auto"/>
          <w:sz w:val="21"/>
          <w:szCs w:val="21"/>
          <w:highlight w:val="none"/>
        </w:rPr>
        <w:t>（2）</w:t>
      </w:r>
      <w:r>
        <w:rPr>
          <w:rFonts w:hint="eastAsia" w:ascii="宋体" w:hAnsi="宋体"/>
          <w:color w:val="auto"/>
          <w:sz w:val="21"/>
          <w:szCs w:val="21"/>
          <w:highlight w:val="none"/>
          <w:lang w:eastAsia="zh-CN"/>
        </w:rPr>
        <w:t>成交人</w:t>
      </w:r>
      <w:r>
        <w:rPr>
          <w:rFonts w:hint="eastAsia" w:ascii="宋体" w:hAnsi="宋体" w:eastAsia="宋体"/>
          <w:color w:val="auto"/>
          <w:sz w:val="21"/>
          <w:szCs w:val="21"/>
          <w:highlight w:val="none"/>
        </w:rPr>
        <w:t>为残疾人福利性单位的，采购代理机构将随中标结果同时公告其《残疾人福利性单位声明函》，接受社会监督。</w:t>
      </w:r>
      <w:bookmarkEnd w:id="177"/>
      <w:bookmarkEnd w:id="178"/>
      <w:bookmarkEnd w:id="179"/>
      <w:bookmarkEnd w:id="180"/>
      <w:bookmarkEnd w:id="181"/>
      <w:bookmarkEnd w:id="182"/>
      <w:bookmarkEnd w:id="183"/>
      <w:bookmarkEnd w:id="184"/>
      <w:bookmarkEnd w:id="185"/>
      <w:bookmarkEnd w:id="186"/>
      <w:bookmarkEnd w:id="187"/>
      <w:bookmarkEnd w:id="188"/>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bookmarkStart w:id="189" w:name="_Toc508898069"/>
      <w:bookmarkStart w:id="190" w:name="_Toc509927458"/>
      <w:bookmarkStart w:id="191" w:name="_Toc22981"/>
      <w:bookmarkStart w:id="192" w:name="_Toc509479533"/>
      <w:bookmarkStart w:id="193" w:name="_Toc28044"/>
      <w:bookmarkStart w:id="194" w:name="_Toc508960156"/>
      <w:bookmarkStart w:id="195" w:name="_Toc508958706"/>
      <w:bookmarkStart w:id="196" w:name="_Toc9837"/>
      <w:bookmarkStart w:id="197" w:name="_Toc509844828"/>
      <w:bookmarkStart w:id="198" w:name="_Toc28686"/>
      <w:bookmarkStart w:id="199" w:name="_Toc7858"/>
      <w:bookmarkStart w:id="200" w:name="_Toc510171696"/>
      <w:r>
        <w:rPr>
          <w:rFonts w:hint="eastAsia" w:ascii="宋体" w:hAnsi="宋体" w:eastAsia="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提供的《残疾人福利性单位声明函》与事实不符的，依照《政府采购法》第七十七条第一款的规定追究法律责任。</w:t>
      </w:r>
      <w:bookmarkEnd w:id="189"/>
      <w:bookmarkEnd w:id="190"/>
      <w:bookmarkEnd w:id="191"/>
      <w:bookmarkEnd w:id="192"/>
      <w:bookmarkEnd w:id="193"/>
      <w:bookmarkEnd w:id="194"/>
      <w:bookmarkEnd w:id="195"/>
      <w:bookmarkEnd w:id="196"/>
      <w:bookmarkEnd w:id="197"/>
      <w:bookmarkEnd w:id="198"/>
      <w:bookmarkEnd w:id="199"/>
      <w:bookmarkEnd w:id="200"/>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bookmarkStart w:id="201" w:name="_Toc509927459"/>
      <w:bookmarkStart w:id="202" w:name="_Toc509844829"/>
      <w:bookmarkStart w:id="203" w:name="_Toc5289"/>
      <w:bookmarkStart w:id="204" w:name="_Toc509479534"/>
      <w:bookmarkStart w:id="205" w:name="_Toc18843"/>
      <w:bookmarkStart w:id="206" w:name="_Toc508960157"/>
      <w:bookmarkStart w:id="207" w:name="_Toc508958707"/>
      <w:bookmarkStart w:id="208" w:name="_Toc510171697"/>
      <w:bookmarkStart w:id="209" w:name="_Toc508898070"/>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01"/>
      <w:bookmarkEnd w:id="202"/>
      <w:bookmarkEnd w:id="203"/>
      <w:bookmarkEnd w:id="204"/>
      <w:bookmarkEnd w:id="205"/>
      <w:bookmarkEnd w:id="206"/>
      <w:bookmarkEnd w:id="207"/>
      <w:bookmarkEnd w:id="208"/>
      <w:bookmarkEnd w:id="209"/>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不属于规定的残疾人福利性单位，或提供的产品不是残疾人福利单位制造的，则无需提供此表。</w:t>
      </w: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bookmarkEnd w:id="152"/>
    <w:p>
      <w:pPr>
        <w:pStyle w:val="3"/>
        <w:spacing w:before="0" w:after="0" w:line="240" w:lineRule="auto"/>
        <w:rPr>
          <w:rFonts w:hint="eastAsia"/>
          <w:color w:val="auto"/>
          <w:sz w:val="28"/>
          <w:szCs w:val="28"/>
          <w:highlight w:val="none"/>
          <w:lang w:val="en-US" w:eastAsia="zh-CN"/>
        </w:rPr>
      </w:pPr>
      <w:bookmarkStart w:id="210" w:name="_Toc18614"/>
      <w:r>
        <w:rPr>
          <w:rFonts w:hint="eastAsia"/>
          <w:color w:val="auto"/>
          <w:sz w:val="28"/>
          <w:szCs w:val="28"/>
          <w:highlight w:val="none"/>
          <w:lang w:val="en-US" w:eastAsia="zh-CN"/>
        </w:rPr>
        <w:t>第七部分 附件-开标文件格式</w:t>
      </w:r>
      <w:bookmarkEnd w:id="210"/>
    </w:p>
    <w:p>
      <w:pPr>
        <w:keepNext/>
        <w:keepLines/>
        <w:pageBreakBefore w:val="0"/>
        <w:widowControl w:val="0"/>
        <w:kinsoku/>
        <w:wordWrap/>
        <w:overflowPunct w:val="0"/>
        <w:topLinePunct w:val="0"/>
        <w:autoSpaceDE/>
        <w:autoSpaceDN/>
        <w:bidi w:val="0"/>
        <w:adjustRightInd w:val="0"/>
        <w:snapToGrid w:val="0"/>
        <w:spacing w:before="0" w:after="0" w:line="480" w:lineRule="auto"/>
        <w:textAlignment w:val="auto"/>
        <w:outlineLvl w:val="9"/>
        <w:rPr>
          <w:rFonts w:hint="eastAsia" w:ascii="宋体" w:hAnsi="宋体" w:eastAsia="宋体"/>
          <w:color w:val="auto"/>
          <w:sz w:val="21"/>
          <w:szCs w:val="21"/>
          <w:highlight w:val="none"/>
        </w:rPr>
      </w:pPr>
      <w:bookmarkStart w:id="211" w:name="_Toc25936"/>
    </w:p>
    <w:p>
      <w:pPr>
        <w:pStyle w:val="5"/>
        <w:keepNext/>
        <w:keepLines/>
        <w:pageBreakBefore w:val="0"/>
        <w:widowControl w:val="0"/>
        <w:kinsoku/>
        <w:wordWrap/>
        <w:overflowPunct w:val="0"/>
        <w:topLinePunct w:val="0"/>
        <w:autoSpaceDE/>
        <w:autoSpaceDN/>
        <w:bidi w:val="0"/>
        <w:adjustRightInd w:val="0"/>
        <w:snapToGrid w:val="0"/>
        <w:spacing w:before="0" w:after="0" w:line="480" w:lineRule="auto"/>
        <w:textAlignment w:val="auto"/>
        <w:rPr>
          <w:rFonts w:ascii="宋体" w:hAnsi="宋体" w:eastAsia="宋体"/>
          <w:color w:val="auto"/>
          <w:sz w:val="21"/>
          <w:szCs w:val="21"/>
          <w:highlight w:val="none"/>
        </w:rPr>
      </w:pPr>
      <w:bookmarkStart w:id="212" w:name="_Toc5939"/>
      <w:r>
        <w:rPr>
          <w:rFonts w:hint="eastAsia" w:ascii="宋体" w:hAnsi="宋体" w:eastAsia="宋体"/>
          <w:color w:val="auto"/>
          <w:sz w:val="21"/>
          <w:szCs w:val="21"/>
          <w:highlight w:val="none"/>
        </w:rPr>
        <w:t>附件</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.开标</w:t>
      </w:r>
      <w:r>
        <w:rPr>
          <w:rFonts w:hint="eastAsia" w:ascii="宋体" w:hAnsi="宋体" w:eastAsia="宋体"/>
          <w:color w:val="auto"/>
          <w:sz w:val="21"/>
          <w:szCs w:val="21"/>
          <w:highlight w:val="none"/>
          <w:lang w:eastAsia="zh-CN"/>
        </w:rPr>
        <w:t>一览表</w:t>
      </w:r>
      <w:r>
        <w:rPr>
          <w:rFonts w:hint="eastAsia" w:ascii="宋体" w:hAnsi="宋体" w:eastAsia="宋体"/>
          <w:color w:val="auto"/>
          <w:sz w:val="21"/>
          <w:szCs w:val="21"/>
          <w:highlight w:val="none"/>
        </w:rPr>
        <w:t>格式</w:t>
      </w:r>
      <w:bookmarkEnd w:id="211"/>
      <w:bookmarkEnd w:id="212"/>
    </w:p>
    <w:p>
      <w:pPr>
        <w:pStyle w:val="5"/>
        <w:keepNext/>
        <w:keepLines/>
        <w:pageBreakBefore w:val="0"/>
        <w:widowControl w:val="0"/>
        <w:kinsoku/>
        <w:wordWrap/>
        <w:overflowPunct w:val="0"/>
        <w:topLinePunct w:val="0"/>
        <w:autoSpaceDE/>
        <w:autoSpaceDN/>
        <w:bidi w:val="0"/>
        <w:adjustRightInd w:val="0"/>
        <w:snapToGrid w:val="0"/>
        <w:spacing w:before="0" w:after="0" w:line="480" w:lineRule="auto"/>
        <w:textAlignment w:val="auto"/>
        <w:rPr>
          <w:rFonts w:ascii="楷体_GB2312" w:eastAsia="楷体_GB2312" w:hAnsiTheme="majorHAnsi" w:cstheme="majorBidi"/>
          <w:b/>
          <w:bCs/>
          <w:color w:val="auto"/>
          <w:sz w:val="24"/>
          <w:szCs w:val="28"/>
          <w:highlight w:val="none"/>
        </w:rPr>
      </w:pPr>
      <w:bookmarkStart w:id="213" w:name="_Toc21316"/>
      <w:bookmarkStart w:id="214" w:name="_Toc29837"/>
      <w:r>
        <w:rPr>
          <w:rFonts w:hint="eastAsia" w:ascii="宋体" w:hAnsi="宋体" w:eastAsia="宋体"/>
          <w:color w:val="auto"/>
          <w:sz w:val="21"/>
          <w:szCs w:val="21"/>
          <w:highlight w:val="none"/>
        </w:rPr>
        <w:t>附件</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.法定代表人证明书格式</w:t>
      </w:r>
      <w:bookmarkEnd w:id="213"/>
      <w:bookmarkEnd w:id="214"/>
    </w:p>
    <w:p>
      <w:pPr>
        <w:pStyle w:val="5"/>
        <w:keepNext/>
        <w:keepLines/>
        <w:pageBreakBefore w:val="0"/>
        <w:widowControl w:val="0"/>
        <w:kinsoku/>
        <w:wordWrap/>
        <w:overflowPunct w:val="0"/>
        <w:topLinePunct w:val="0"/>
        <w:autoSpaceDE/>
        <w:autoSpaceDN/>
        <w:bidi w:val="0"/>
        <w:adjustRightInd w:val="0"/>
        <w:snapToGrid w:val="0"/>
        <w:spacing w:before="0" w:after="0" w:line="480" w:lineRule="auto"/>
        <w:textAlignment w:val="auto"/>
        <w:rPr>
          <w:color w:val="auto"/>
          <w:highlight w:val="none"/>
        </w:rPr>
      </w:pPr>
      <w:bookmarkStart w:id="215" w:name="_Toc9407"/>
      <w:bookmarkStart w:id="216" w:name="_Toc12225"/>
      <w:r>
        <w:rPr>
          <w:rFonts w:hint="eastAsia" w:ascii="宋体" w:hAnsi="宋体" w:eastAsia="宋体"/>
          <w:color w:val="auto"/>
          <w:sz w:val="21"/>
          <w:szCs w:val="21"/>
          <w:highlight w:val="none"/>
        </w:rPr>
        <w:t>附件</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.法定代表人授权书格式</w:t>
      </w:r>
      <w:bookmarkEnd w:id="215"/>
      <w:bookmarkEnd w:id="216"/>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注：供应商</w:t>
      </w:r>
      <w:r>
        <w:rPr>
          <w:rFonts w:hint="eastAsia" w:ascii="宋体" w:hAnsi="宋体" w:eastAsia="宋体"/>
          <w:color w:val="auto"/>
          <w:sz w:val="21"/>
          <w:szCs w:val="21"/>
          <w:highlight w:val="none"/>
        </w:rPr>
        <w:t>应将</w:t>
      </w:r>
      <w:r>
        <w:rPr>
          <w:rFonts w:hint="eastAsia" w:ascii="宋体" w:hAnsi="宋体" w:eastAsia="宋体"/>
          <w:color w:val="auto"/>
          <w:sz w:val="21"/>
          <w:szCs w:val="21"/>
          <w:highlight w:val="none"/>
          <w:lang w:eastAsia="zh-CN"/>
        </w:rPr>
        <w:t>开标</w:t>
      </w:r>
      <w:r>
        <w:rPr>
          <w:rFonts w:hint="eastAsia" w:ascii="宋体" w:hAnsi="宋体" w:eastAsia="宋体"/>
          <w:color w:val="auto"/>
          <w:sz w:val="21"/>
          <w:szCs w:val="21"/>
          <w:highlight w:val="none"/>
        </w:rPr>
        <w:t>一览表</w:t>
      </w:r>
      <w:r>
        <w:rPr>
          <w:rFonts w:hint="eastAsia" w:ascii="宋体" w:hAnsi="宋体" w:eastAsia="宋体"/>
          <w:color w:val="auto"/>
          <w:sz w:val="21"/>
          <w:szCs w:val="21"/>
          <w:highlight w:val="none"/>
          <w:lang w:eastAsia="zh-CN"/>
        </w:rPr>
        <w:t>、法人代表证明书、法定代表人授权书（法人响应无需提交授权书）</w:t>
      </w:r>
      <w:r>
        <w:rPr>
          <w:rFonts w:hint="eastAsia" w:ascii="宋体" w:hAnsi="宋体" w:eastAsia="宋体"/>
          <w:color w:val="auto"/>
          <w:sz w:val="21"/>
          <w:szCs w:val="21"/>
          <w:highlight w:val="none"/>
        </w:rPr>
        <w:t>单独密封提交，并在信封上标明“</w:t>
      </w:r>
      <w:r>
        <w:rPr>
          <w:rFonts w:hint="eastAsia" w:ascii="宋体" w:hAnsi="宋体" w:eastAsia="宋体"/>
          <w:color w:val="auto"/>
          <w:sz w:val="21"/>
          <w:szCs w:val="21"/>
          <w:highlight w:val="none"/>
          <w:lang w:eastAsia="zh-CN"/>
        </w:rPr>
        <w:t>开标文件</w:t>
      </w:r>
      <w:r>
        <w:rPr>
          <w:rFonts w:hint="eastAsia" w:ascii="宋体" w:hAnsi="宋体" w:eastAsia="宋体"/>
          <w:color w:val="auto"/>
          <w:sz w:val="21"/>
          <w:szCs w:val="21"/>
          <w:highlight w:val="none"/>
        </w:rPr>
        <w:t>”字样。“</w:t>
      </w:r>
      <w:r>
        <w:rPr>
          <w:rFonts w:hint="eastAsia" w:ascii="宋体" w:hAnsi="宋体" w:eastAsia="宋体"/>
          <w:color w:val="auto"/>
          <w:sz w:val="21"/>
          <w:szCs w:val="21"/>
          <w:highlight w:val="none"/>
          <w:lang w:eastAsia="zh-CN"/>
        </w:rPr>
        <w:t>开标文件</w:t>
      </w:r>
      <w:r>
        <w:rPr>
          <w:rFonts w:hint="eastAsia" w:ascii="宋体" w:hAnsi="宋体" w:eastAsia="宋体"/>
          <w:color w:val="auto"/>
          <w:sz w:val="21"/>
          <w:szCs w:val="21"/>
          <w:highlight w:val="none"/>
        </w:rPr>
        <w:t>”份数及签章等要求与</w:t>
      </w:r>
      <w:r>
        <w:rPr>
          <w:rFonts w:hint="eastAsia" w:ascii="宋体" w:hAnsi="宋体" w:eastAsia="宋体"/>
          <w:color w:val="auto"/>
          <w:sz w:val="21"/>
          <w:szCs w:val="21"/>
          <w:highlight w:val="none"/>
          <w:lang w:eastAsia="zh-CN"/>
        </w:rPr>
        <w:t>响应文件</w:t>
      </w:r>
      <w:r>
        <w:rPr>
          <w:rFonts w:hint="eastAsia" w:ascii="宋体" w:hAnsi="宋体" w:eastAsia="宋体"/>
          <w:color w:val="auto"/>
          <w:sz w:val="21"/>
          <w:szCs w:val="21"/>
          <w:highlight w:val="none"/>
        </w:rPr>
        <w:t>正本相同（1份）。</w:t>
      </w:r>
      <w:r>
        <w:rPr>
          <w:rFonts w:hint="eastAsia" w:ascii="宋体" w:hAnsi="宋体" w:eastAsia="宋体"/>
          <w:color w:val="auto"/>
          <w:sz w:val="21"/>
          <w:szCs w:val="21"/>
          <w:highlight w:val="none"/>
        </w:rPr>
        <w:br w:type="page"/>
      </w:r>
    </w:p>
    <w:p>
      <w:pPr>
        <w:outlineLvl w:val="0"/>
        <w:rPr>
          <w:rFonts w:hint="eastAsia" w:asciiTheme="majorHAnsi" w:hAnsiTheme="majorHAnsi" w:eastAsiaTheme="majorEastAsia" w:cstheme="majorBidi"/>
          <w:b/>
          <w:bCs/>
          <w:color w:val="auto"/>
          <w:sz w:val="28"/>
          <w:szCs w:val="28"/>
          <w:highlight w:val="none"/>
          <w:lang w:val="en-US" w:eastAsia="zh-CN" w:bidi="ar-SA"/>
        </w:rPr>
      </w:pPr>
      <w:bookmarkStart w:id="217" w:name="_Toc15185"/>
      <w:r>
        <w:rPr>
          <w:rFonts w:hint="eastAsia" w:asciiTheme="majorHAnsi" w:hAnsiTheme="majorHAnsi" w:eastAsiaTheme="majorEastAsia" w:cstheme="majorBidi"/>
          <w:b/>
          <w:bCs/>
          <w:color w:val="auto"/>
          <w:sz w:val="28"/>
          <w:szCs w:val="28"/>
          <w:highlight w:val="none"/>
          <w:lang w:val="en-US" w:eastAsia="zh-CN" w:bidi="ar-SA"/>
        </w:rPr>
        <w:t>第八部分 附件-其他文件格式（如有需求）</w:t>
      </w:r>
      <w:bookmarkEnd w:id="217"/>
    </w:p>
    <w:p>
      <w:pPr>
        <w:pStyle w:val="5"/>
        <w:widowControl w:val="0"/>
        <w:overflowPunct w:val="0"/>
        <w:spacing w:before="0" w:after="0" w:line="240" w:lineRule="auto"/>
        <w:rPr>
          <w:rFonts w:hint="eastAsia" w:ascii="宋体" w:hAnsi="宋体" w:eastAsia="宋体"/>
          <w:color w:val="auto"/>
          <w:sz w:val="21"/>
          <w:szCs w:val="21"/>
          <w:highlight w:val="none"/>
        </w:rPr>
      </w:pPr>
      <w:bookmarkStart w:id="218" w:name="_Toc31818"/>
      <w:r>
        <w:rPr>
          <w:rFonts w:hint="eastAsia" w:ascii="宋体" w:hAnsi="宋体" w:eastAsia="宋体"/>
          <w:color w:val="auto"/>
          <w:sz w:val="21"/>
          <w:szCs w:val="21"/>
          <w:highlight w:val="none"/>
        </w:rPr>
        <w:t>附件</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 联合体协议书（可选）</w:t>
      </w:r>
      <w:bookmarkEnd w:id="218"/>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b/>
          <w:color w:val="auto"/>
          <w:kern w:val="0"/>
          <w:sz w:val="24"/>
          <w:highlight w:val="none"/>
        </w:rPr>
        <w:t>联合体协议书</w:t>
      </w:r>
    </w:p>
    <w:p>
      <w:pPr>
        <w:keepNext w:val="0"/>
        <w:keepLines w:val="0"/>
        <w:pageBreakBefore w:val="0"/>
        <w:widowControl/>
        <w:kinsoku/>
        <w:wordWrap/>
        <w:overflowPunct/>
        <w:topLinePunct w:val="0"/>
        <w:autoSpaceDE/>
        <w:autoSpaceDN/>
        <w:bidi w:val="0"/>
        <w:adjustRightInd w:val="0"/>
        <w:snapToGrid w:val="0"/>
        <w:spacing w:after="37" w:afterLines="10" w:line="240" w:lineRule="auto"/>
        <w:textAlignment w:val="auto"/>
        <w:rPr>
          <w:rFonts w:hint="eastAsia" w:ascii="宋体" w:hAnsi="宋体" w:eastAsia="宋体" w:cs="宋体"/>
          <w:color w:val="auto"/>
          <w:kern w:val="0"/>
          <w:sz w:val="20"/>
          <w:szCs w:val="18"/>
          <w:highlight w:val="none"/>
          <w:u w:val="single"/>
        </w:rPr>
      </w:pPr>
      <w:r>
        <w:rPr>
          <w:rFonts w:hint="eastAsia" w:ascii="宋体" w:hAnsi="宋体" w:eastAsia="宋体" w:cs="宋体"/>
          <w:color w:val="auto"/>
          <w:kern w:val="0"/>
          <w:sz w:val="20"/>
          <w:szCs w:val="18"/>
          <w:highlight w:val="none"/>
        </w:rPr>
        <w:t>立约方：</w:t>
      </w:r>
      <w:r>
        <w:rPr>
          <w:rFonts w:hint="eastAsia" w:ascii="宋体" w:hAnsi="宋体" w:eastAsia="宋体" w:cs="宋体"/>
          <w:color w:val="auto"/>
          <w:kern w:val="0"/>
          <w:sz w:val="20"/>
          <w:szCs w:val="18"/>
          <w:highlight w:val="none"/>
          <w:u w:val="single"/>
        </w:rPr>
        <w:t>（甲公司全称）</w:t>
      </w:r>
    </w:p>
    <w:p>
      <w:pPr>
        <w:keepNext w:val="0"/>
        <w:keepLines w:val="0"/>
        <w:pageBreakBefore w:val="0"/>
        <w:widowControl/>
        <w:kinsoku/>
        <w:wordWrap/>
        <w:overflowPunct/>
        <w:topLinePunct w:val="0"/>
        <w:autoSpaceDE/>
        <w:autoSpaceDN/>
        <w:bidi w:val="0"/>
        <w:adjustRightInd w:val="0"/>
        <w:snapToGrid w:val="0"/>
        <w:spacing w:after="37" w:afterLines="10" w:line="288" w:lineRule="auto"/>
        <w:ind w:firstLine="800" w:firstLineChars="400"/>
        <w:textAlignment w:val="auto"/>
        <w:rPr>
          <w:rFonts w:hint="eastAsia" w:ascii="宋体" w:hAnsi="宋体" w:eastAsia="宋体" w:cs="宋体"/>
          <w:color w:val="auto"/>
          <w:kern w:val="0"/>
          <w:sz w:val="20"/>
          <w:szCs w:val="18"/>
          <w:highlight w:val="none"/>
          <w:u w:val="single"/>
        </w:rPr>
      </w:pPr>
      <w:r>
        <w:rPr>
          <w:rFonts w:hint="eastAsia" w:ascii="宋体" w:hAnsi="宋体" w:eastAsia="宋体" w:cs="宋体"/>
          <w:color w:val="auto"/>
          <w:kern w:val="0"/>
          <w:sz w:val="20"/>
          <w:szCs w:val="18"/>
          <w:highlight w:val="none"/>
          <w:u w:val="single"/>
        </w:rPr>
        <w:t>（乙公司全称）</w:t>
      </w:r>
    </w:p>
    <w:p>
      <w:pPr>
        <w:keepNext w:val="0"/>
        <w:keepLines w:val="0"/>
        <w:pageBreakBefore w:val="0"/>
        <w:widowControl/>
        <w:kinsoku/>
        <w:wordWrap/>
        <w:overflowPunct/>
        <w:topLinePunct w:val="0"/>
        <w:autoSpaceDE/>
        <w:autoSpaceDN/>
        <w:bidi w:val="0"/>
        <w:adjustRightInd w:val="0"/>
        <w:snapToGrid w:val="0"/>
        <w:spacing w:after="37" w:afterLines="10" w:line="288" w:lineRule="auto"/>
        <w:ind w:firstLine="800" w:firstLineChars="400"/>
        <w:textAlignment w:val="auto"/>
        <w:rPr>
          <w:rFonts w:hint="eastAsia" w:ascii="宋体" w:hAnsi="宋体" w:eastAsia="宋体" w:cs="宋体"/>
          <w:color w:val="auto"/>
          <w:kern w:val="0"/>
          <w:sz w:val="20"/>
          <w:szCs w:val="18"/>
          <w:highlight w:val="none"/>
          <w:u w:val="single"/>
        </w:rPr>
      </w:pPr>
      <w:r>
        <w:rPr>
          <w:rFonts w:hint="eastAsia" w:ascii="宋体" w:hAnsi="宋体" w:eastAsia="宋体" w:cs="宋体"/>
          <w:color w:val="auto"/>
          <w:kern w:val="0"/>
          <w:sz w:val="20"/>
          <w:szCs w:val="18"/>
          <w:highlight w:val="none"/>
          <w:u w:val="single"/>
        </w:rPr>
        <w:t>（……公司全称）</w:t>
      </w:r>
    </w:p>
    <w:p>
      <w:pPr>
        <w:keepNext w:val="0"/>
        <w:keepLines w:val="0"/>
        <w:pageBreakBefore w:val="0"/>
        <w:widowControl/>
        <w:kinsoku/>
        <w:wordWrap/>
        <w:overflowPunct/>
        <w:topLinePunct w:val="0"/>
        <w:autoSpaceDE/>
        <w:autoSpaceDN/>
        <w:bidi w:val="0"/>
        <w:adjustRightInd w:val="0"/>
        <w:snapToGrid w:val="0"/>
        <w:spacing w:after="37" w:afterLines="10" w:line="288" w:lineRule="auto"/>
        <w:ind w:firstLine="400" w:firstLineChars="200"/>
        <w:textAlignment w:val="auto"/>
        <w:rPr>
          <w:rFonts w:hint="eastAsia" w:ascii="宋体" w:hAnsi="宋体" w:eastAsia="宋体" w:cs="宋体"/>
          <w:color w:val="auto"/>
          <w:kern w:val="0"/>
          <w:sz w:val="20"/>
          <w:szCs w:val="18"/>
          <w:highlight w:val="none"/>
        </w:rPr>
      </w:pPr>
      <w:r>
        <w:rPr>
          <w:rFonts w:hint="eastAsia" w:ascii="宋体" w:hAnsi="宋体" w:eastAsia="宋体" w:cs="宋体"/>
          <w:color w:val="auto"/>
          <w:kern w:val="0"/>
          <w:sz w:val="20"/>
          <w:szCs w:val="18"/>
          <w:highlight w:val="none"/>
          <w:u w:val="single"/>
        </w:rPr>
        <w:t>（甲公司全称）</w:t>
      </w:r>
      <w:r>
        <w:rPr>
          <w:rFonts w:hint="eastAsia" w:ascii="宋体" w:hAnsi="宋体" w:eastAsia="宋体" w:cs="宋体"/>
          <w:color w:val="auto"/>
          <w:kern w:val="0"/>
          <w:sz w:val="20"/>
          <w:szCs w:val="18"/>
          <w:highlight w:val="none"/>
        </w:rPr>
        <w:t>、</w:t>
      </w:r>
      <w:r>
        <w:rPr>
          <w:rFonts w:hint="eastAsia" w:ascii="宋体" w:hAnsi="宋体" w:eastAsia="宋体" w:cs="宋体"/>
          <w:color w:val="auto"/>
          <w:kern w:val="0"/>
          <w:sz w:val="20"/>
          <w:szCs w:val="18"/>
          <w:highlight w:val="none"/>
          <w:u w:val="single"/>
        </w:rPr>
        <w:t>（乙公司全称）</w:t>
      </w:r>
      <w:r>
        <w:rPr>
          <w:rFonts w:hint="eastAsia" w:ascii="宋体" w:hAnsi="宋体" w:eastAsia="宋体" w:cs="宋体"/>
          <w:color w:val="auto"/>
          <w:kern w:val="0"/>
          <w:sz w:val="20"/>
          <w:szCs w:val="18"/>
          <w:highlight w:val="none"/>
        </w:rPr>
        <w:t>、</w:t>
      </w:r>
      <w:r>
        <w:rPr>
          <w:rFonts w:hint="eastAsia" w:ascii="宋体" w:hAnsi="宋体" w:eastAsia="宋体" w:cs="宋体"/>
          <w:color w:val="auto"/>
          <w:kern w:val="0"/>
          <w:sz w:val="20"/>
          <w:szCs w:val="18"/>
          <w:highlight w:val="none"/>
          <w:u w:val="single"/>
        </w:rPr>
        <w:t>（……公司全称）</w:t>
      </w:r>
      <w:r>
        <w:rPr>
          <w:rFonts w:hint="eastAsia" w:ascii="宋体" w:hAnsi="宋体" w:eastAsia="宋体" w:cs="宋体"/>
          <w:color w:val="auto"/>
          <w:kern w:val="0"/>
          <w:sz w:val="20"/>
          <w:szCs w:val="18"/>
          <w:highlight w:val="none"/>
        </w:rPr>
        <w:t>自愿组成联合体，以一个</w:t>
      </w:r>
      <w:r>
        <w:rPr>
          <w:rFonts w:hint="eastAsia" w:ascii="宋体" w:hAnsi="宋体" w:eastAsia="宋体" w:cs="宋体"/>
          <w:color w:val="auto"/>
          <w:kern w:val="0"/>
          <w:sz w:val="20"/>
          <w:szCs w:val="18"/>
          <w:highlight w:val="none"/>
          <w:lang w:eastAsia="zh-CN"/>
        </w:rPr>
        <w:t>遴选</w:t>
      </w:r>
      <w:r>
        <w:rPr>
          <w:rFonts w:hint="eastAsia" w:ascii="宋体" w:hAnsi="宋体" w:eastAsia="宋体" w:cs="宋体"/>
          <w:color w:val="auto"/>
          <w:kern w:val="0"/>
          <w:sz w:val="20"/>
          <w:szCs w:val="18"/>
          <w:highlight w:val="none"/>
        </w:rPr>
        <w:t>供应商的身份共同参加</w:t>
      </w:r>
      <w:r>
        <w:rPr>
          <w:rFonts w:hint="eastAsia" w:ascii="宋体" w:hAnsi="宋体" w:eastAsia="宋体" w:cs="宋体"/>
          <w:color w:val="auto"/>
          <w:kern w:val="0"/>
          <w:sz w:val="20"/>
          <w:szCs w:val="18"/>
          <w:highlight w:val="none"/>
          <w:u w:val="single"/>
        </w:rPr>
        <w:t>（采购项目名称）</w:t>
      </w:r>
      <w:r>
        <w:rPr>
          <w:rFonts w:hint="eastAsia" w:ascii="宋体" w:hAnsi="宋体" w:eastAsia="宋体" w:cs="宋体"/>
          <w:color w:val="auto"/>
          <w:kern w:val="0"/>
          <w:sz w:val="20"/>
          <w:szCs w:val="18"/>
          <w:highlight w:val="none"/>
        </w:rPr>
        <w:t xml:space="preserve"> </w:t>
      </w:r>
      <w:r>
        <w:rPr>
          <w:rFonts w:hint="eastAsia" w:ascii="宋体" w:hAnsi="宋体" w:eastAsia="宋体" w:cs="宋体"/>
          <w:color w:val="auto"/>
          <w:kern w:val="0"/>
          <w:sz w:val="20"/>
          <w:szCs w:val="18"/>
          <w:highlight w:val="none"/>
          <w:u w:val="single"/>
        </w:rPr>
        <w:t>（</w:t>
      </w:r>
      <w:r>
        <w:rPr>
          <w:rFonts w:hint="eastAsia" w:ascii="宋体" w:hAnsi="宋体" w:eastAsia="宋体" w:cs="宋体"/>
          <w:color w:val="auto"/>
          <w:kern w:val="0"/>
          <w:sz w:val="20"/>
          <w:szCs w:val="18"/>
          <w:highlight w:val="none"/>
          <w:u w:val="single"/>
          <w:lang w:eastAsia="zh-CN"/>
        </w:rPr>
        <w:t>项目编号</w:t>
      </w:r>
      <w:r>
        <w:rPr>
          <w:rFonts w:hint="eastAsia" w:ascii="宋体" w:hAnsi="宋体" w:eastAsia="宋体" w:cs="宋体"/>
          <w:color w:val="auto"/>
          <w:kern w:val="0"/>
          <w:sz w:val="20"/>
          <w:szCs w:val="18"/>
          <w:highlight w:val="none"/>
          <w:u w:val="single"/>
        </w:rPr>
        <w:t>）</w:t>
      </w:r>
      <w:r>
        <w:rPr>
          <w:rFonts w:hint="eastAsia" w:ascii="宋体" w:hAnsi="宋体" w:eastAsia="宋体" w:cs="宋体"/>
          <w:color w:val="auto"/>
          <w:kern w:val="0"/>
          <w:sz w:val="20"/>
          <w:szCs w:val="18"/>
          <w:highlight w:val="none"/>
        </w:rPr>
        <w:t>的响应活动。经各方充分协商一致，就项目的响应和合同实施阶段的有关事务协商一致订立协议如下：</w:t>
      </w:r>
    </w:p>
    <w:p>
      <w:pPr>
        <w:keepNext w:val="0"/>
        <w:keepLines w:val="0"/>
        <w:pageBreakBefore w:val="0"/>
        <w:widowControl/>
        <w:kinsoku/>
        <w:wordWrap/>
        <w:overflowPunct/>
        <w:topLinePunct w:val="0"/>
        <w:autoSpaceDE/>
        <w:autoSpaceDN/>
        <w:bidi w:val="0"/>
        <w:adjustRightInd w:val="0"/>
        <w:snapToGrid w:val="0"/>
        <w:spacing w:after="37" w:afterLines="10" w:line="288" w:lineRule="auto"/>
        <w:ind w:firstLine="400" w:firstLineChars="200"/>
        <w:textAlignment w:val="auto"/>
        <w:rPr>
          <w:rFonts w:hint="eastAsia" w:ascii="宋体" w:hAnsi="宋体" w:eastAsia="宋体" w:cs="宋体"/>
          <w:color w:val="auto"/>
          <w:kern w:val="0"/>
          <w:sz w:val="20"/>
          <w:szCs w:val="18"/>
          <w:highlight w:val="none"/>
        </w:rPr>
      </w:pPr>
      <w:r>
        <w:rPr>
          <w:rFonts w:hint="eastAsia" w:ascii="宋体" w:hAnsi="宋体" w:eastAsia="宋体" w:cs="宋体"/>
          <w:color w:val="auto"/>
          <w:kern w:val="0"/>
          <w:sz w:val="20"/>
          <w:szCs w:val="18"/>
          <w:highlight w:val="none"/>
        </w:rPr>
        <w:t>一、联合体各方关系</w:t>
      </w:r>
    </w:p>
    <w:p>
      <w:pPr>
        <w:keepNext w:val="0"/>
        <w:keepLines w:val="0"/>
        <w:pageBreakBefore w:val="0"/>
        <w:widowControl/>
        <w:kinsoku/>
        <w:wordWrap/>
        <w:overflowPunct/>
        <w:topLinePunct w:val="0"/>
        <w:autoSpaceDE/>
        <w:autoSpaceDN/>
        <w:bidi w:val="0"/>
        <w:adjustRightInd w:val="0"/>
        <w:snapToGrid w:val="0"/>
        <w:spacing w:after="37" w:afterLines="10" w:line="288" w:lineRule="auto"/>
        <w:ind w:firstLine="400" w:firstLineChars="200"/>
        <w:textAlignment w:val="auto"/>
        <w:rPr>
          <w:rFonts w:hint="eastAsia" w:ascii="宋体" w:hAnsi="宋体" w:eastAsia="宋体" w:cs="宋体"/>
          <w:color w:val="auto"/>
          <w:kern w:val="0"/>
          <w:sz w:val="20"/>
          <w:szCs w:val="18"/>
          <w:highlight w:val="none"/>
        </w:rPr>
      </w:pPr>
      <w:r>
        <w:rPr>
          <w:rFonts w:hint="eastAsia" w:ascii="宋体" w:hAnsi="宋体" w:eastAsia="宋体" w:cs="宋体"/>
          <w:color w:val="auto"/>
          <w:kern w:val="0"/>
          <w:sz w:val="20"/>
          <w:szCs w:val="18"/>
          <w:highlight w:val="none"/>
          <w:u w:val="single"/>
        </w:rPr>
        <w:t>（甲公司全称）</w:t>
      </w:r>
      <w:r>
        <w:rPr>
          <w:rFonts w:hint="eastAsia" w:ascii="宋体" w:hAnsi="宋体" w:eastAsia="宋体" w:cs="宋体"/>
          <w:color w:val="auto"/>
          <w:kern w:val="0"/>
          <w:sz w:val="20"/>
          <w:szCs w:val="18"/>
          <w:highlight w:val="none"/>
        </w:rPr>
        <w:t>、</w:t>
      </w:r>
      <w:r>
        <w:rPr>
          <w:rFonts w:hint="eastAsia" w:ascii="宋体" w:hAnsi="宋体" w:eastAsia="宋体" w:cs="宋体"/>
          <w:color w:val="auto"/>
          <w:kern w:val="0"/>
          <w:sz w:val="20"/>
          <w:szCs w:val="18"/>
          <w:highlight w:val="none"/>
          <w:u w:val="single"/>
        </w:rPr>
        <w:t>（乙公司全称）</w:t>
      </w:r>
      <w:r>
        <w:rPr>
          <w:rFonts w:hint="eastAsia" w:ascii="宋体" w:hAnsi="宋体" w:eastAsia="宋体" w:cs="宋体"/>
          <w:color w:val="auto"/>
          <w:kern w:val="0"/>
          <w:sz w:val="20"/>
          <w:szCs w:val="18"/>
          <w:highlight w:val="none"/>
        </w:rPr>
        <w:t>、</w:t>
      </w:r>
      <w:r>
        <w:rPr>
          <w:rFonts w:hint="eastAsia" w:ascii="宋体" w:hAnsi="宋体" w:eastAsia="宋体" w:cs="宋体"/>
          <w:color w:val="auto"/>
          <w:kern w:val="0"/>
          <w:sz w:val="20"/>
          <w:szCs w:val="18"/>
          <w:highlight w:val="none"/>
          <w:u w:val="single"/>
        </w:rPr>
        <w:t>（……公司全称）</w:t>
      </w:r>
      <w:r>
        <w:rPr>
          <w:rFonts w:hint="eastAsia" w:ascii="宋体" w:hAnsi="宋体" w:eastAsia="宋体" w:cs="宋体"/>
          <w:color w:val="auto"/>
          <w:kern w:val="0"/>
          <w:sz w:val="20"/>
          <w:szCs w:val="18"/>
          <w:highlight w:val="none"/>
        </w:rPr>
        <w:t>共同组成一个联合体，以一个</w:t>
      </w:r>
      <w:r>
        <w:rPr>
          <w:rFonts w:hint="eastAsia" w:ascii="宋体" w:hAnsi="宋体" w:eastAsia="宋体" w:cs="宋体"/>
          <w:color w:val="auto"/>
          <w:kern w:val="0"/>
          <w:sz w:val="20"/>
          <w:szCs w:val="18"/>
          <w:highlight w:val="none"/>
          <w:lang w:eastAsia="zh-CN"/>
        </w:rPr>
        <w:t>遴选</w:t>
      </w:r>
      <w:r>
        <w:rPr>
          <w:rFonts w:hint="eastAsia" w:ascii="宋体" w:hAnsi="宋体" w:eastAsia="宋体" w:cs="宋体"/>
          <w:color w:val="auto"/>
          <w:kern w:val="0"/>
          <w:sz w:val="20"/>
          <w:szCs w:val="18"/>
          <w:highlight w:val="none"/>
        </w:rPr>
        <w:t>供应商的身份共同参加本项目的响应。</w:t>
      </w:r>
      <w:r>
        <w:rPr>
          <w:rFonts w:hint="eastAsia" w:ascii="宋体" w:hAnsi="宋体" w:eastAsia="宋体" w:cs="宋体"/>
          <w:color w:val="auto"/>
          <w:kern w:val="0"/>
          <w:sz w:val="20"/>
          <w:szCs w:val="18"/>
          <w:highlight w:val="none"/>
          <w:u w:val="single"/>
        </w:rPr>
        <w:t>（甲公司全称）</w:t>
      </w:r>
      <w:r>
        <w:rPr>
          <w:rFonts w:hint="eastAsia" w:ascii="宋体" w:hAnsi="宋体" w:eastAsia="宋体" w:cs="宋体"/>
          <w:color w:val="auto"/>
          <w:kern w:val="0"/>
          <w:sz w:val="20"/>
          <w:szCs w:val="18"/>
          <w:highlight w:val="none"/>
        </w:rPr>
        <w:t>、</w:t>
      </w:r>
      <w:r>
        <w:rPr>
          <w:rFonts w:hint="eastAsia" w:ascii="宋体" w:hAnsi="宋体" w:eastAsia="宋体" w:cs="宋体"/>
          <w:color w:val="auto"/>
          <w:kern w:val="0"/>
          <w:sz w:val="20"/>
          <w:szCs w:val="18"/>
          <w:highlight w:val="none"/>
          <w:u w:val="single"/>
        </w:rPr>
        <w:t>（乙公司全称）</w:t>
      </w:r>
      <w:r>
        <w:rPr>
          <w:rFonts w:hint="eastAsia" w:ascii="宋体" w:hAnsi="宋体" w:eastAsia="宋体" w:cs="宋体"/>
          <w:color w:val="auto"/>
          <w:kern w:val="0"/>
          <w:sz w:val="20"/>
          <w:szCs w:val="18"/>
          <w:highlight w:val="none"/>
        </w:rPr>
        <w:t>、</w:t>
      </w:r>
      <w:r>
        <w:rPr>
          <w:rFonts w:hint="eastAsia" w:ascii="宋体" w:hAnsi="宋体" w:eastAsia="宋体" w:cs="宋体"/>
          <w:color w:val="auto"/>
          <w:kern w:val="0"/>
          <w:sz w:val="20"/>
          <w:szCs w:val="18"/>
          <w:highlight w:val="none"/>
          <w:u w:val="single"/>
        </w:rPr>
        <w:t>（……公司全称）</w:t>
      </w:r>
      <w:r>
        <w:rPr>
          <w:rFonts w:hint="eastAsia" w:ascii="宋体" w:hAnsi="宋体" w:eastAsia="宋体" w:cs="宋体"/>
          <w:color w:val="auto"/>
          <w:kern w:val="0"/>
          <w:sz w:val="20"/>
          <w:szCs w:val="18"/>
          <w:highlight w:val="none"/>
        </w:rPr>
        <w:t>作为联合体成员，若</w:t>
      </w:r>
      <w:r>
        <w:rPr>
          <w:rFonts w:hint="eastAsia" w:ascii="宋体" w:hAnsi="宋体" w:eastAsia="宋体" w:cs="宋体"/>
          <w:color w:val="auto"/>
          <w:kern w:val="0"/>
          <w:sz w:val="20"/>
          <w:szCs w:val="18"/>
          <w:highlight w:val="none"/>
          <w:lang w:eastAsia="zh-CN"/>
        </w:rPr>
        <w:t>成交</w:t>
      </w:r>
      <w:r>
        <w:rPr>
          <w:rFonts w:hint="eastAsia" w:ascii="宋体" w:hAnsi="宋体" w:eastAsia="宋体" w:cs="宋体"/>
          <w:color w:val="auto"/>
          <w:kern w:val="0"/>
          <w:sz w:val="20"/>
          <w:szCs w:val="18"/>
          <w:highlight w:val="none"/>
        </w:rPr>
        <w:t>，联合体各方共同与</w:t>
      </w:r>
      <w:r>
        <w:rPr>
          <w:rFonts w:hint="eastAsia" w:ascii="宋体" w:hAnsi="宋体" w:eastAsia="宋体" w:cs="宋体"/>
          <w:color w:val="auto"/>
          <w:kern w:val="0"/>
          <w:sz w:val="20"/>
          <w:szCs w:val="18"/>
          <w:highlight w:val="none"/>
          <w:u w:val="single"/>
        </w:rPr>
        <w:t>（采购人）</w:t>
      </w:r>
      <w:r>
        <w:rPr>
          <w:rFonts w:hint="eastAsia" w:ascii="宋体" w:hAnsi="宋体" w:eastAsia="宋体" w:cs="宋体"/>
          <w:color w:val="auto"/>
          <w:kern w:val="0"/>
          <w:sz w:val="20"/>
          <w:szCs w:val="18"/>
          <w:highlight w:val="none"/>
        </w:rPr>
        <w:t>签订政府采购合同。</w:t>
      </w:r>
    </w:p>
    <w:p>
      <w:pPr>
        <w:keepNext w:val="0"/>
        <w:keepLines w:val="0"/>
        <w:pageBreakBefore w:val="0"/>
        <w:widowControl/>
        <w:kinsoku/>
        <w:wordWrap/>
        <w:overflowPunct/>
        <w:topLinePunct w:val="0"/>
        <w:autoSpaceDE/>
        <w:autoSpaceDN/>
        <w:bidi w:val="0"/>
        <w:adjustRightInd w:val="0"/>
        <w:snapToGrid w:val="0"/>
        <w:spacing w:after="37" w:afterLines="10" w:line="288" w:lineRule="auto"/>
        <w:ind w:firstLine="400" w:firstLineChars="200"/>
        <w:textAlignment w:val="auto"/>
        <w:rPr>
          <w:rFonts w:hint="eastAsia" w:ascii="宋体" w:hAnsi="宋体" w:eastAsia="宋体" w:cs="宋体"/>
          <w:color w:val="auto"/>
          <w:kern w:val="0"/>
          <w:sz w:val="20"/>
          <w:szCs w:val="18"/>
          <w:highlight w:val="none"/>
        </w:rPr>
      </w:pPr>
      <w:r>
        <w:rPr>
          <w:rFonts w:hint="eastAsia" w:ascii="宋体" w:hAnsi="宋体" w:eastAsia="宋体" w:cs="宋体"/>
          <w:color w:val="auto"/>
          <w:kern w:val="0"/>
          <w:sz w:val="20"/>
          <w:szCs w:val="18"/>
          <w:highlight w:val="none"/>
        </w:rPr>
        <w:t>二、联合体内部有关事项约定如下：</w:t>
      </w:r>
    </w:p>
    <w:p>
      <w:pPr>
        <w:keepNext w:val="0"/>
        <w:keepLines w:val="0"/>
        <w:pageBreakBefore w:val="0"/>
        <w:widowControl/>
        <w:kinsoku/>
        <w:wordWrap/>
        <w:overflowPunct/>
        <w:topLinePunct w:val="0"/>
        <w:autoSpaceDE/>
        <w:autoSpaceDN/>
        <w:bidi w:val="0"/>
        <w:adjustRightInd w:val="0"/>
        <w:snapToGrid w:val="0"/>
        <w:spacing w:after="37" w:afterLines="10" w:line="288" w:lineRule="auto"/>
        <w:ind w:firstLine="400" w:firstLineChars="200"/>
        <w:textAlignment w:val="auto"/>
        <w:rPr>
          <w:rFonts w:hint="eastAsia" w:ascii="宋体" w:hAnsi="宋体" w:eastAsia="宋体" w:cs="宋体"/>
          <w:color w:val="auto"/>
          <w:kern w:val="0"/>
          <w:sz w:val="20"/>
          <w:szCs w:val="18"/>
          <w:highlight w:val="none"/>
        </w:rPr>
      </w:pPr>
      <w:r>
        <w:rPr>
          <w:rFonts w:hint="eastAsia" w:ascii="宋体" w:hAnsi="宋体" w:eastAsia="宋体" w:cs="宋体"/>
          <w:color w:val="auto"/>
          <w:kern w:val="0"/>
          <w:sz w:val="20"/>
          <w:szCs w:val="18"/>
          <w:highlight w:val="none"/>
        </w:rPr>
        <w:t xml:space="preserve">1. </w:t>
      </w:r>
      <w:r>
        <w:rPr>
          <w:rFonts w:hint="eastAsia" w:ascii="宋体" w:hAnsi="宋体" w:eastAsia="宋体" w:cs="宋体"/>
          <w:color w:val="auto"/>
          <w:kern w:val="0"/>
          <w:sz w:val="20"/>
          <w:szCs w:val="18"/>
          <w:highlight w:val="none"/>
          <w:u w:val="single"/>
        </w:rPr>
        <w:t xml:space="preserve">         </w:t>
      </w:r>
      <w:r>
        <w:rPr>
          <w:rFonts w:hint="eastAsia" w:ascii="宋体" w:hAnsi="宋体" w:eastAsia="宋体" w:cs="宋体"/>
          <w:color w:val="auto"/>
          <w:kern w:val="0"/>
          <w:sz w:val="20"/>
          <w:szCs w:val="18"/>
          <w:highlight w:val="none"/>
        </w:rPr>
        <w:t>作为联合体的牵头单位，代表联合体双方负责</w:t>
      </w:r>
      <w:r>
        <w:rPr>
          <w:rFonts w:hint="eastAsia" w:ascii="宋体" w:hAnsi="宋体" w:eastAsia="宋体" w:cs="宋体"/>
          <w:color w:val="auto"/>
          <w:kern w:val="0"/>
          <w:sz w:val="20"/>
          <w:szCs w:val="18"/>
          <w:highlight w:val="none"/>
          <w:lang w:eastAsia="zh-CN"/>
        </w:rPr>
        <w:t>遴选</w:t>
      </w:r>
      <w:r>
        <w:rPr>
          <w:rFonts w:hint="eastAsia" w:ascii="宋体" w:hAnsi="宋体" w:eastAsia="宋体" w:cs="宋体"/>
          <w:color w:val="auto"/>
          <w:kern w:val="0"/>
          <w:sz w:val="20"/>
          <w:szCs w:val="18"/>
          <w:highlight w:val="none"/>
        </w:rPr>
        <w:t>和合同实施阶段的主办、协调工作。</w:t>
      </w:r>
    </w:p>
    <w:p>
      <w:pPr>
        <w:keepNext w:val="0"/>
        <w:keepLines w:val="0"/>
        <w:pageBreakBefore w:val="0"/>
        <w:widowControl/>
        <w:kinsoku/>
        <w:wordWrap/>
        <w:overflowPunct/>
        <w:topLinePunct w:val="0"/>
        <w:autoSpaceDE/>
        <w:autoSpaceDN/>
        <w:bidi w:val="0"/>
        <w:adjustRightInd w:val="0"/>
        <w:snapToGrid w:val="0"/>
        <w:spacing w:after="37" w:afterLines="10" w:line="288" w:lineRule="auto"/>
        <w:ind w:firstLine="400" w:firstLineChars="200"/>
        <w:textAlignment w:val="auto"/>
        <w:rPr>
          <w:rFonts w:hint="eastAsia" w:ascii="宋体" w:hAnsi="宋体" w:eastAsia="宋体" w:cs="宋体"/>
          <w:color w:val="auto"/>
          <w:kern w:val="0"/>
          <w:sz w:val="20"/>
          <w:szCs w:val="18"/>
          <w:highlight w:val="none"/>
        </w:rPr>
      </w:pPr>
      <w:r>
        <w:rPr>
          <w:rFonts w:hint="eastAsia" w:ascii="宋体" w:hAnsi="宋体" w:eastAsia="宋体" w:cs="宋体"/>
          <w:color w:val="auto"/>
          <w:kern w:val="0"/>
          <w:sz w:val="20"/>
          <w:szCs w:val="18"/>
          <w:highlight w:val="none"/>
        </w:rPr>
        <w:t>2. 联合体将严格按照文件的各项要求，递交</w:t>
      </w:r>
      <w:r>
        <w:rPr>
          <w:rFonts w:hint="eastAsia" w:ascii="宋体" w:hAnsi="宋体" w:eastAsia="宋体" w:cs="宋体"/>
          <w:color w:val="auto"/>
          <w:kern w:val="0"/>
          <w:sz w:val="20"/>
          <w:szCs w:val="18"/>
          <w:highlight w:val="none"/>
          <w:lang w:eastAsia="zh-CN"/>
        </w:rPr>
        <w:t>响应文件</w:t>
      </w:r>
      <w:r>
        <w:rPr>
          <w:rFonts w:hint="eastAsia" w:ascii="宋体" w:hAnsi="宋体" w:eastAsia="宋体" w:cs="宋体"/>
          <w:color w:val="auto"/>
          <w:kern w:val="0"/>
          <w:sz w:val="20"/>
          <w:szCs w:val="18"/>
          <w:highlight w:val="none"/>
        </w:rPr>
        <w:t>，切实执行一切合同文件，共同承担合同规定的一切义务和责任，同时按照内部职责的划分，承担自身所负的责任和风险，在法律在承担连带责任。</w:t>
      </w:r>
    </w:p>
    <w:p>
      <w:pPr>
        <w:keepNext w:val="0"/>
        <w:keepLines w:val="0"/>
        <w:pageBreakBefore w:val="0"/>
        <w:widowControl/>
        <w:kinsoku/>
        <w:wordWrap/>
        <w:overflowPunct/>
        <w:topLinePunct w:val="0"/>
        <w:autoSpaceDE/>
        <w:autoSpaceDN/>
        <w:bidi w:val="0"/>
        <w:adjustRightInd w:val="0"/>
        <w:snapToGrid w:val="0"/>
        <w:spacing w:after="37" w:afterLines="10" w:line="288" w:lineRule="auto"/>
        <w:ind w:firstLine="400" w:firstLineChars="200"/>
        <w:textAlignment w:val="auto"/>
        <w:rPr>
          <w:rFonts w:hint="eastAsia" w:ascii="宋体" w:hAnsi="宋体" w:eastAsia="宋体" w:cs="宋体"/>
          <w:color w:val="auto"/>
          <w:kern w:val="0"/>
          <w:sz w:val="20"/>
          <w:szCs w:val="18"/>
          <w:highlight w:val="none"/>
        </w:rPr>
      </w:pPr>
      <w:r>
        <w:rPr>
          <w:rFonts w:hint="eastAsia" w:ascii="宋体" w:hAnsi="宋体" w:eastAsia="宋体" w:cs="宋体"/>
          <w:color w:val="auto"/>
          <w:kern w:val="0"/>
          <w:sz w:val="20"/>
          <w:szCs w:val="18"/>
          <w:highlight w:val="none"/>
        </w:rPr>
        <w:t>3. 如果本联合体</w:t>
      </w:r>
      <w:r>
        <w:rPr>
          <w:rFonts w:hint="eastAsia" w:ascii="宋体" w:hAnsi="宋体" w:eastAsia="宋体" w:cs="宋体"/>
          <w:color w:val="auto"/>
          <w:kern w:val="0"/>
          <w:sz w:val="20"/>
          <w:szCs w:val="18"/>
          <w:highlight w:val="none"/>
          <w:lang w:eastAsia="zh-CN"/>
        </w:rPr>
        <w:t>成交</w:t>
      </w:r>
      <w:r>
        <w:rPr>
          <w:rFonts w:hint="eastAsia" w:ascii="宋体" w:hAnsi="宋体" w:eastAsia="宋体" w:cs="宋体"/>
          <w:color w:val="auto"/>
          <w:kern w:val="0"/>
          <w:sz w:val="20"/>
          <w:szCs w:val="18"/>
          <w:highlight w:val="none"/>
        </w:rPr>
        <w:t>，</w:t>
      </w:r>
      <w:r>
        <w:rPr>
          <w:rFonts w:hint="eastAsia" w:ascii="宋体" w:hAnsi="宋体" w:eastAsia="宋体" w:cs="宋体"/>
          <w:color w:val="auto"/>
          <w:kern w:val="0"/>
          <w:sz w:val="20"/>
          <w:szCs w:val="18"/>
          <w:highlight w:val="none"/>
          <w:u w:val="single"/>
        </w:rPr>
        <w:t>（甲公司全称）负责本项目            部分，（乙公司全称）负责本项目              部分。</w:t>
      </w:r>
    </w:p>
    <w:p>
      <w:pPr>
        <w:keepNext w:val="0"/>
        <w:keepLines w:val="0"/>
        <w:pageBreakBefore w:val="0"/>
        <w:widowControl/>
        <w:kinsoku/>
        <w:wordWrap/>
        <w:overflowPunct/>
        <w:topLinePunct w:val="0"/>
        <w:autoSpaceDE/>
        <w:autoSpaceDN/>
        <w:bidi w:val="0"/>
        <w:adjustRightInd w:val="0"/>
        <w:snapToGrid w:val="0"/>
        <w:spacing w:after="37" w:afterLines="10" w:line="288" w:lineRule="auto"/>
        <w:ind w:firstLine="400" w:firstLineChars="200"/>
        <w:textAlignment w:val="auto"/>
        <w:rPr>
          <w:rFonts w:hint="eastAsia" w:ascii="宋体" w:hAnsi="宋体" w:eastAsia="宋体" w:cs="宋体"/>
          <w:color w:val="auto"/>
          <w:kern w:val="0"/>
          <w:sz w:val="20"/>
          <w:szCs w:val="18"/>
          <w:highlight w:val="none"/>
        </w:rPr>
      </w:pPr>
      <w:r>
        <w:rPr>
          <w:rFonts w:hint="eastAsia" w:ascii="宋体" w:hAnsi="宋体" w:eastAsia="宋体" w:cs="宋体"/>
          <w:color w:val="auto"/>
          <w:kern w:val="0"/>
          <w:sz w:val="20"/>
          <w:szCs w:val="18"/>
          <w:highlight w:val="none"/>
        </w:rPr>
        <w:t>4.如</w:t>
      </w:r>
      <w:r>
        <w:rPr>
          <w:rFonts w:hint="eastAsia" w:ascii="宋体" w:hAnsi="宋体" w:eastAsia="宋体" w:cs="宋体"/>
          <w:color w:val="auto"/>
          <w:kern w:val="0"/>
          <w:sz w:val="20"/>
          <w:szCs w:val="18"/>
          <w:highlight w:val="none"/>
          <w:lang w:eastAsia="zh-CN"/>
        </w:rPr>
        <w:t>成交</w:t>
      </w:r>
      <w:r>
        <w:rPr>
          <w:rFonts w:hint="eastAsia" w:ascii="宋体" w:hAnsi="宋体" w:eastAsia="宋体" w:cs="宋体"/>
          <w:color w:val="auto"/>
          <w:kern w:val="0"/>
          <w:sz w:val="20"/>
          <w:szCs w:val="18"/>
          <w:highlight w:val="none"/>
        </w:rPr>
        <w:t>，联合体各方共同与</w:t>
      </w:r>
      <w:r>
        <w:rPr>
          <w:rFonts w:hint="eastAsia" w:ascii="宋体" w:hAnsi="宋体" w:eastAsia="宋体" w:cs="宋体"/>
          <w:color w:val="auto"/>
          <w:kern w:val="0"/>
          <w:sz w:val="20"/>
          <w:szCs w:val="18"/>
          <w:highlight w:val="none"/>
          <w:u w:val="single"/>
        </w:rPr>
        <w:t>（采购人）</w:t>
      </w:r>
      <w:r>
        <w:rPr>
          <w:rFonts w:hint="eastAsia" w:ascii="宋体" w:hAnsi="宋体" w:eastAsia="宋体" w:cs="宋体"/>
          <w:color w:val="auto"/>
          <w:kern w:val="0"/>
          <w:sz w:val="20"/>
          <w:szCs w:val="18"/>
          <w:highlight w:val="none"/>
        </w:rPr>
        <w:t>签订合同书，并就</w:t>
      </w:r>
      <w:r>
        <w:rPr>
          <w:rFonts w:hint="eastAsia" w:ascii="宋体" w:hAnsi="宋体" w:eastAsia="宋体" w:cs="宋体"/>
          <w:color w:val="auto"/>
          <w:kern w:val="0"/>
          <w:sz w:val="20"/>
          <w:szCs w:val="18"/>
          <w:highlight w:val="none"/>
          <w:lang w:eastAsia="zh-CN"/>
        </w:rPr>
        <w:t>成交</w:t>
      </w:r>
      <w:r>
        <w:rPr>
          <w:rFonts w:hint="eastAsia" w:ascii="宋体" w:hAnsi="宋体" w:eastAsia="宋体" w:cs="宋体"/>
          <w:color w:val="auto"/>
          <w:kern w:val="0"/>
          <w:sz w:val="20"/>
          <w:szCs w:val="18"/>
          <w:highlight w:val="none"/>
        </w:rPr>
        <w:t>项目向采购人负责有连带的和各自的法律责任；</w:t>
      </w:r>
    </w:p>
    <w:p>
      <w:pPr>
        <w:keepNext w:val="0"/>
        <w:keepLines w:val="0"/>
        <w:pageBreakBefore w:val="0"/>
        <w:widowControl/>
        <w:kinsoku/>
        <w:wordWrap/>
        <w:overflowPunct/>
        <w:topLinePunct w:val="0"/>
        <w:autoSpaceDE/>
        <w:autoSpaceDN/>
        <w:bidi w:val="0"/>
        <w:adjustRightInd w:val="0"/>
        <w:snapToGrid w:val="0"/>
        <w:spacing w:after="37" w:afterLines="10" w:line="288" w:lineRule="auto"/>
        <w:ind w:firstLine="400" w:firstLineChars="200"/>
        <w:textAlignment w:val="auto"/>
        <w:rPr>
          <w:rFonts w:hint="eastAsia" w:ascii="宋体" w:hAnsi="宋体" w:eastAsia="宋体" w:cs="宋体"/>
          <w:color w:val="auto"/>
          <w:kern w:val="0"/>
          <w:sz w:val="20"/>
          <w:szCs w:val="18"/>
          <w:highlight w:val="none"/>
        </w:rPr>
      </w:pPr>
      <w:r>
        <w:rPr>
          <w:rFonts w:hint="eastAsia" w:ascii="宋体" w:hAnsi="宋体" w:eastAsia="宋体" w:cs="宋体"/>
          <w:color w:val="auto"/>
          <w:kern w:val="0"/>
          <w:sz w:val="20"/>
          <w:szCs w:val="18"/>
          <w:highlight w:val="none"/>
        </w:rPr>
        <w:t>5.联合体成员</w:t>
      </w:r>
      <w:r>
        <w:rPr>
          <w:rFonts w:hint="eastAsia" w:ascii="宋体" w:hAnsi="宋体" w:eastAsia="宋体" w:cs="宋体"/>
          <w:color w:val="auto"/>
          <w:kern w:val="0"/>
          <w:sz w:val="20"/>
          <w:szCs w:val="18"/>
          <w:highlight w:val="none"/>
          <w:u w:val="single"/>
        </w:rPr>
        <w:t>　（公司全称）　</w:t>
      </w:r>
      <w:r>
        <w:rPr>
          <w:rFonts w:hint="eastAsia" w:ascii="宋体" w:hAnsi="宋体" w:eastAsia="宋体" w:cs="宋体"/>
          <w:color w:val="auto"/>
          <w:kern w:val="0"/>
          <w:sz w:val="20"/>
          <w:szCs w:val="18"/>
          <w:highlight w:val="none"/>
        </w:rPr>
        <w:t>为</w:t>
      </w:r>
      <w:r>
        <w:rPr>
          <w:rFonts w:hint="eastAsia" w:ascii="宋体" w:hAnsi="宋体" w:eastAsia="宋体" w:cs="宋体"/>
          <w:color w:val="auto"/>
          <w:kern w:val="0"/>
          <w:sz w:val="20"/>
          <w:szCs w:val="18"/>
          <w:highlight w:val="none"/>
          <w:u w:val="single"/>
        </w:rPr>
        <w:t>（请填写：小型、微型）</w:t>
      </w:r>
      <w:r>
        <w:rPr>
          <w:rFonts w:hint="eastAsia" w:ascii="宋体" w:hAnsi="宋体" w:eastAsia="宋体" w:cs="宋体"/>
          <w:color w:val="auto"/>
          <w:kern w:val="0"/>
          <w:sz w:val="20"/>
          <w:szCs w:val="18"/>
          <w:highlight w:val="none"/>
        </w:rPr>
        <w:t>企业，将承担合同总金额</w:t>
      </w:r>
      <w:r>
        <w:rPr>
          <w:rFonts w:hint="eastAsia" w:ascii="宋体" w:hAnsi="宋体" w:eastAsia="宋体" w:cs="宋体"/>
          <w:color w:val="auto"/>
          <w:kern w:val="0"/>
          <w:sz w:val="20"/>
          <w:szCs w:val="18"/>
          <w:highlight w:val="none"/>
          <w:u w:val="single"/>
        </w:rPr>
        <w:t>　　</w:t>
      </w:r>
      <w:r>
        <w:rPr>
          <w:rFonts w:hint="eastAsia" w:ascii="宋体" w:hAnsi="宋体" w:eastAsia="宋体" w:cs="宋体"/>
          <w:color w:val="auto"/>
          <w:kern w:val="0"/>
          <w:sz w:val="20"/>
          <w:szCs w:val="18"/>
          <w:highlight w:val="none"/>
        </w:rPr>
        <w:t>%的工作内容</w:t>
      </w:r>
      <w:r>
        <w:rPr>
          <w:rFonts w:hint="eastAsia" w:ascii="宋体" w:hAnsi="宋体" w:eastAsia="宋体" w:cs="宋体"/>
          <w:b/>
          <w:color w:val="auto"/>
          <w:kern w:val="0"/>
          <w:sz w:val="20"/>
          <w:szCs w:val="18"/>
          <w:highlight w:val="none"/>
        </w:rPr>
        <w:t>（联合体成员中有小型、微型企业时适用）</w:t>
      </w:r>
      <w:r>
        <w:rPr>
          <w:rFonts w:hint="eastAsia" w:ascii="宋体" w:hAnsi="宋体" w:eastAsia="宋体" w:cs="宋体"/>
          <w:color w:val="auto"/>
          <w:kern w:val="0"/>
          <w:sz w:val="20"/>
          <w:szCs w:val="18"/>
          <w:highlight w:val="none"/>
        </w:rPr>
        <w:t>。</w:t>
      </w:r>
    </w:p>
    <w:p>
      <w:pPr>
        <w:keepNext w:val="0"/>
        <w:keepLines w:val="0"/>
        <w:pageBreakBefore w:val="0"/>
        <w:widowControl/>
        <w:kinsoku/>
        <w:wordWrap/>
        <w:overflowPunct/>
        <w:topLinePunct w:val="0"/>
        <w:autoSpaceDE/>
        <w:autoSpaceDN/>
        <w:bidi w:val="0"/>
        <w:adjustRightInd w:val="0"/>
        <w:snapToGrid w:val="0"/>
        <w:spacing w:after="37" w:afterLines="10" w:line="288" w:lineRule="auto"/>
        <w:ind w:firstLine="400" w:firstLineChars="200"/>
        <w:textAlignment w:val="auto"/>
        <w:rPr>
          <w:rFonts w:hint="eastAsia" w:ascii="宋体" w:hAnsi="宋体" w:eastAsia="宋体" w:cs="宋体"/>
          <w:color w:val="auto"/>
          <w:kern w:val="0"/>
          <w:sz w:val="20"/>
          <w:szCs w:val="18"/>
          <w:highlight w:val="none"/>
        </w:rPr>
      </w:pPr>
      <w:r>
        <w:rPr>
          <w:rFonts w:hint="eastAsia" w:ascii="宋体" w:hAnsi="宋体" w:eastAsia="宋体" w:cs="宋体"/>
          <w:color w:val="auto"/>
          <w:kern w:val="0"/>
          <w:sz w:val="20"/>
          <w:szCs w:val="18"/>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keepNext w:val="0"/>
        <w:keepLines w:val="0"/>
        <w:pageBreakBefore w:val="0"/>
        <w:widowControl/>
        <w:kinsoku/>
        <w:wordWrap/>
        <w:overflowPunct/>
        <w:topLinePunct w:val="0"/>
        <w:autoSpaceDE/>
        <w:autoSpaceDN/>
        <w:bidi w:val="0"/>
        <w:adjustRightInd w:val="0"/>
        <w:snapToGrid w:val="0"/>
        <w:spacing w:after="37" w:afterLines="10" w:line="288" w:lineRule="auto"/>
        <w:ind w:firstLine="400" w:firstLineChars="200"/>
        <w:textAlignment w:val="auto"/>
        <w:rPr>
          <w:rFonts w:hint="eastAsia" w:ascii="宋体" w:hAnsi="宋体" w:eastAsia="宋体" w:cs="宋体"/>
          <w:color w:val="auto"/>
          <w:kern w:val="0"/>
          <w:sz w:val="20"/>
          <w:szCs w:val="18"/>
          <w:highlight w:val="none"/>
        </w:rPr>
      </w:pPr>
      <w:r>
        <w:rPr>
          <w:rFonts w:hint="eastAsia" w:ascii="宋体" w:hAnsi="宋体" w:eastAsia="宋体" w:cs="宋体"/>
          <w:color w:val="auto"/>
          <w:kern w:val="0"/>
          <w:sz w:val="20"/>
          <w:szCs w:val="18"/>
          <w:highlight w:val="none"/>
        </w:rPr>
        <w:t>四、联合体如因违约过失责任而导致采购人经济损失或被索赔时，本联合体任何一方均同意无条件优先清偿采购人的一切债务和经济赔偿。</w:t>
      </w:r>
    </w:p>
    <w:p>
      <w:pPr>
        <w:keepNext w:val="0"/>
        <w:keepLines w:val="0"/>
        <w:pageBreakBefore w:val="0"/>
        <w:widowControl/>
        <w:kinsoku/>
        <w:wordWrap/>
        <w:overflowPunct/>
        <w:topLinePunct w:val="0"/>
        <w:autoSpaceDE/>
        <w:autoSpaceDN/>
        <w:bidi w:val="0"/>
        <w:adjustRightInd w:val="0"/>
        <w:snapToGrid w:val="0"/>
        <w:spacing w:after="37" w:afterLines="10" w:line="288" w:lineRule="auto"/>
        <w:ind w:left="24" w:leftChars="11" w:firstLine="400" w:firstLineChars="200"/>
        <w:textAlignment w:val="auto"/>
        <w:rPr>
          <w:rFonts w:hint="eastAsia" w:ascii="宋体" w:hAnsi="宋体" w:eastAsia="宋体" w:cs="宋体"/>
          <w:color w:val="auto"/>
          <w:kern w:val="0"/>
          <w:sz w:val="20"/>
          <w:szCs w:val="18"/>
          <w:highlight w:val="none"/>
        </w:rPr>
      </w:pPr>
      <w:r>
        <w:rPr>
          <w:rFonts w:hint="eastAsia" w:ascii="宋体" w:hAnsi="宋体" w:eastAsia="宋体" w:cs="宋体"/>
          <w:color w:val="auto"/>
          <w:kern w:val="0"/>
          <w:sz w:val="20"/>
          <w:szCs w:val="18"/>
          <w:highlight w:val="none"/>
        </w:rPr>
        <w:t>五、本协议在自签署之日起生效，有效期内有效，如获</w:t>
      </w:r>
      <w:r>
        <w:rPr>
          <w:rFonts w:hint="eastAsia" w:ascii="宋体" w:hAnsi="宋体" w:eastAsia="宋体" w:cs="宋体"/>
          <w:color w:val="auto"/>
          <w:kern w:val="0"/>
          <w:sz w:val="20"/>
          <w:szCs w:val="18"/>
          <w:highlight w:val="none"/>
          <w:lang w:eastAsia="zh-CN"/>
        </w:rPr>
        <w:t>成交</w:t>
      </w:r>
      <w:r>
        <w:rPr>
          <w:rFonts w:hint="eastAsia" w:ascii="宋体" w:hAnsi="宋体" w:eastAsia="宋体" w:cs="宋体"/>
          <w:color w:val="auto"/>
          <w:kern w:val="0"/>
          <w:sz w:val="20"/>
          <w:szCs w:val="18"/>
          <w:highlight w:val="none"/>
        </w:rPr>
        <w:t>资格，合同有效期延续至合同履行完毕之日。</w:t>
      </w:r>
    </w:p>
    <w:p>
      <w:pPr>
        <w:keepNext w:val="0"/>
        <w:keepLines w:val="0"/>
        <w:pageBreakBefore w:val="0"/>
        <w:widowControl/>
        <w:kinsoku/>
        <w:wordWrap/>
        <w:overflowPunct/>
        <w:topLinePunct w:val="0"/>
        <w:autoSpaceDE/>
        <w:autoSpaceDN/>
        <w:bidi w:val="0"/>
        <w:adjustRightInd w:val="0"/>
        <w:snapToGrid w:val="0"/>
        <w:spacing w:after="37" w:afterLines="10" w:line="288" w:lineRule="auto"/>
        <w:ind w:left="24" w:leftChars="11" w:firstLine="400" w:firstLineChars="200"/>
        <w:textAlignment w:val="auto"/>
        <w:rPr>
          <w:rFonts w:hint="eastAsia" w:ascii="宋体" w:hAnsi="宋体" w:eastAsia="宋体" w:cs="宋体"/>
          <w:color w:val="auto"/>
          <w:kern w:val="0"/>
          <w:sz w:val="20"/>
          <w:szCs w:val="18"/>
          <w:highlight w:val="none"/>
        </w:rPr>
      </w:pPr>
      <w:r>
        <w:rPr>
          <w:rFonts w:hint="eastAsia" w:ascii="宋体" w:hAnsi="宋体" w:eastAsia="宋体" w:cs="宋体"/>
          <w:color w:val="auto"/>
          <w:kern w:val="0"/>
          <w:sz w:val="20"/>
          <w:szCs w:val="18"/>
          <w:highlight w:val="none"/>
        </w:rPr>
        <w:t>六、本协议书正本一式</w:t>
      </w:r>
      <w:r>
        <w:rPr>
          <w:rFonts w:hint="eastAsia" w:ascii="宋体" w:hAnsi="宋体" w:eastAsia="宋体" w:cs="宋体"/>
          <w:color w:val="auto"/>
          <w:kern w:val="0"/>
          <w:sz w:val="20"/>
          <w:szCs w:val="18"/>
          <w:highlight w:val="none"/>
          <w:u w:val="single"/>
        </w:rPr>
        <w:t xml:space="preserve">  </w:t>
      </w:r>
      <w:r>
        <w:rPr>
          <w:rFonts w:hint="eastAsia" w:ascii="宋体" w:hAnsi="宋体" w:eastAsia="宋体" w:cs="宋体"/>
          <w:color w:val="auto"/>
          <w:kern w:val="0"/>
          <w:sz w:val="20"/>
          <w:szCs w:val="18"/>
          <w:highlight w:val="none"/>
        </w:rPr>
        <w:t>份，随</w:t>
      </w:r>
      <w:r>
        <w:rPr>
          <w:rFonts w:hint="eastAsia" w:ascii="宋体" w:hAnsi="宋体" w:eastAsia="宋体" w:cs="宋体"/>
          <w:color w:val="auto"/>
          <w:kern w:val="0"/>
          <w:sz w:val="20"/>
          <w:szCs w:val="18"/>
          <w:highlight w:val="none"/>
          <w:lang w:eastAsia="zh-CN"/>
        </w:rPr>
        <w:t>响应文件</w:t>
      </w:r>
      <w:r>
        <w:rPr>
          <w:rFonts w:hint="eastAsia" w:ascii="宋体" w:hAnsi="宋体" w:eastAsia="宋体" w:cs="宋体"/>
          <w:color w:val="auto"/>
          <w:kern w:val="0"/>
          <w:sz w:val="20"/>
          <w:szCs w:val="18"/>
          <w:highlight w:val="none"/>
        </w:rPr>
        <w:t>装订</w:t>
      </w:r>
      <w:r>
        <w:rPr>
          <w:rFonts w:hint="eastAsia" w:ascii="宋体" w:hAnsi="宋体" w:eastAsia="宋体" w:cs="宋体"/>
          <w:color w:val="auto"/>
          <w:kern w:val="0"/>
          <w:sz w:val="20"/>
          <w:szCs w:val="18"/>
          <w:highlight w:val="none"/>
          <w:u w:val="single"/>
        </w:rPr>
        <w:t xml:space="preserve">   </w:t>
      </w:r>
      <w:r>
        <w:rPr>
          <w:rFonts w:hint="eastAsia" w:ascii="宋体" w:hAnsi="宋体" w:eastAsia="宋体" w:cs="宋体"/>
          <w:color w:val="auto"/>
          <w:kern w:val="0"/>
          <w:sz w:val="20"/>
          <w:szCs w:val="18"/>
          <w:highlight w:val="none"/>
        </w:rPr>
        <w:t>份，送采购人</w:t>
      </w:r>
      <w:r>
        <w:rPr>
          <w:rFonts w:hint="eastAsia" w:ascii="宋体" w:hAnsi="宋体" w:eastAsia="宋体" w:cs="宋体"/>
          <w:color w:val="auto"/>
          <w:kern w:val="0"/>
          <w:sz w:val="20"/>
          <w:szCs w:val="18"/>
          <w:highlight w:val="none"/>
          <w:u w:val="single"/>
        </w:rPr>
        <w:t xml:space="preserve">   </w:t>
      </w:r>
      <w:r>
        <w:rPr>
          <w:rFonts w:hint="eastAsia" w:ascii="宋体" w:hAnsi="宋体" w:eastAsia="宋体" w:cs="宋体"/>
          <w:color w:val="auto"/>
          <w:kern w:val="0"/>
          <w:sz w:val="20"/>
          <w:szCs w:val="18"/>
          <w:highlight w:val="none"/>
        </w:rPr>
        <w:t>份，联合体成员各一份；副本一式</w:t>
      </w:r>
      <w:r>
        <w:rPr>
          <w:rFonts w:hint="eastAsia" w:ascii="宋体" w:hAnsi="宋体" w:eastAsia="宋体" w:cs="宋体"/>
          <w:color w:val="auto"/>
          <w:kern w:val="0"/>
          <w:sz w:val="20"/>
          <w:szCs w:val="18"/>
          <w:highlight w:val="none"/>
          <w:u w:val="single"/>
        </w:rPr>
        <w:t xml:space="preserve">   </w:t>
      </w:r>
      <w:r>
        <w:rPr>
          <w:rFonts w:hint="eastAsia" w:ascii="宋体" w:hAnsi="宋体" w:eastAsia="宋体" w:cs="宋体"/>
          <w:color w:val="auto"/>
          <w:kern w:val="0"/>
          <w:sz w:val="20"/>
          <w:szCs w:val="18"/>
          <w:highlight w:val="none"/>
        </w:rPr>
        <w:t>份，联合体成员各执</w:t>
      </w:r>
      <w:r>
        <w:rPr>
          <w:rFonts w:hint="eastAsia" w:ascii="宋体" w:hAnsi="宋体" w:eastAsia="宋体" w:cs="宋体"/>
          <w:color w:val="auto"/>
          <w:kern w:val="0"/>
          <w:sz w:val="20"/>
          <w:szCs w:val="18"/>
          <w:highlight w:val="none"/>
          <w:u w:val="single"/>
        </w:rPr>
        <w:t xml:space="preserve">   </w:t>
      </w:r>
      <w:r>
        <w:rPr>
          <w:rFonts w:hint="eastAsia" w:ascii="宋体" w:hAnsi="宋体" w:eastAsia="宋体" w:cs="宋体"/>
          <w:color w:val="auto"/>
          <w:kern w:val="0"/>
          <w:sz w:val="20"/>
          <w:szCs w:val="18"/>
          <w:highlight w:val="none"/>
        </w:rPr>
        <w:t xml:space="preserve"> 份。</w:t>
      </w:r>
    </w:p>
    <w:p>
      <w:pPr>
        <w:keepNext w:val="0"/>
        <w:keepLines w:val="0"/>
        <w:pageBreakBefore w:val="0"/>
        <w:widowControl/>
        <w:kinsoku/>
        <w:wordWrap/>
        <w:overflowPunct/>
        <w:topLinePunct w:val="0"/>
        <w:autoSpaceDE/>
        <w:autoSpaceDN/>
        <w:bidi w:val="0"/>
        <w:adjustRightInd w:val="0"/>
        <w:snapToGrid w:val="0"/>
        <w:spacing w:after="37" w:afterLines="10" w:line="288" w:lineRule="auto"/>
        <w:ind w:left="24" w:leftChars="11" w:firstLine="400" w:firstLineChars="200"/>
        <w:textAlignment w:val="auto"/>
        <w:rPr>
          <w:rFonts w:hint="eastAsia" w:ascii="宋体" w:hAnsi="宋体" w:eastAsia="宋体" w:cs="宋体"/>
          <w:color w:val="auto"/>
          <w:kern w:val="0"/>
          <w:sz w:val="20"/>
          <w:szCs w:val="18"/>
          <w:highlight w:val="none"/>
        </w:rPr>
      </w:pP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37" w:afterLines="10" w:line="288" w:lineRule="auto"/>
        <w:jc w:val="left"/>
        <w:textAlignment w:val="auto"/>
        <w:rPr>
          <w:rFonts w:hint="eastAsia" w:ascii="宋体" w:hAnsi="宋体" w:eastAsia="宋体" w:cs="宋体"/>
          <w:color w:val="auto"/>
          <w:kern w:val="0"/>
          <w:sz w:val="20"/>
          <w:szCs w:val="18"/>
          <w:highlight w:val="none"/>
        </w:rPr>
      </w:pPr>
      <w:r>
        <w:rPr>
          <w:rFonts w:hint="eastAsia" w:ascii="宋体" w:hAnsi="宋体" w:eastAsia="宋体" w:cs="宋体"/>
          <w:color w:val="auto"/>
          <w:kern w:val="0"/>
          <w:sz w:val="20"/>
          <w:szCs w:val="18"/>
          <w:highlight w:val="none"/>
        </w:rPr>
        <w:t xml:space="preserve">甲公司全称：（盖章） </w:t>
      </w:r>
      <w:r>
        <w:rPr>
          <w:rFonts w:hint="eastAsia" w:ascii="宋体" w:hAnsi="宋体" w:eastAsia="宋体" w:cs="宋体"/>
          <w:color w:val="auto"/>
          <w:kern w:val="0"/>
          <w:sz w:val="20"/>
          <w:szCs w:val="18"/>
          <w:highlight w:val="none"/>
        </w:rPr>
        <w:tab/>
      </w:r>
      <w:r>
        <w:rPr>
          <w:rFonts w:hint="eastAsia" w:ascii="宋体" w:hAnsi="宋体" w:eastAsia="宋体" w:cs="宋体"/>
          <w:color w:val="auto"/>
          <w:kern w:val="0"/>
          <w:sz w:val="20"/>
          <w:szCs w:val="18"/>
          <w:highlight w:val="none"/>
        </w:rPr>
        <w:t>乙公司全称：（盖章）</w:t>
      </w:r>
      <w:r>
        <w:rPr>
          <w:rFonts w:hint="eastAsia" w:ascii="宋体" w:hAnsi="宋体" w:eastAsia="宋体" w:cs="宋体"/>
          <w:color w:val="auto"/>
          <w:kern w:val="0"/>
          <w:sz w:val="20"/>
          <w:szCs w:val="18"/>
          <w:highlight w:val="none"/>
        </w:rPr>
        <w:tab/>
      </w:r>
      <w:r>
        <w:rPr>
          <w:rFonts w:hint="eastAsia" w:ascii="宋体" w:hAnsi="宋体" w:eastAsia="宋体" w:cs="宋体"/>
          <w:color w:val="auto"/>
          <w:kern w:val="0"/>
          <w:sz w:val="20"/>
          <w:szCs w:val="18"/>
          <w:highlight w:val="none"/>
        </w:rPr>
        <w:t>……公司全称（盖章）</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37" w:afterLines="10" w:line="288" w:lineRule="auto"/>
        <w:jc w:val="left"/>
        <w:textAlignment w:val="auto"/>
        <w:rPr>
          <w:rFonts w:hint="eastAsia" w:ascii="宋体" w:hAnsi="宋体" w:eastAsia="宋体" w:cs="宋体"/>
          <w:color w:val="auto"/>
          <w:kern w:val="0"/>
          <w:sz w:val="20"/>
          <w:szCs w:val="18"/>
          <w:highlight w:val="none"/>
        </w:rPr>
      </w:pPr>
      <w:r>
        <w:rPr>
          <w:rFonts w:hint="eastAsia" w:ascii="宋体" w:hAnsi="宋体" w:eastAsia="宋体" w:cs="宋体"/>
          <w:color w:val="auto"/>
          <w:kern w:val="0"/>
          <w:sz w:val="20"/>
          <w:szCs w:val="18"/>
          <w:highlight w:val="none"/>
        </w:rPr>
        <w:t xml:space="preserve">法定代表人：（签字或盖章） </w:t>
      </w:r>
      <w:r>
        <w:rPr>
          <w:rFonts w:hint="eastAsia" w:ascii="宋体" w:hAnsi="宋体" w:eastAsia="宋体" w:cs="宋体"/>
          <w:color w:val="auto"/>
          <w:kern w:val="0"/>
          <w:sz w:val="20"/>
          <w:szCs w:val="18"/>
          <w:highlight w:val="none"/>
        </w:rPr>
        <w:tab/>
      </w:r>
      <w:r>
        <w:rPr>
          <w:rFonts w:hint="eastAsia" w:ascii="宋体" w:hAnsi="宋体" w:eastAsia="宋体" w:cs="宋体"/>
          <w:color w:val="auto"/>
          <w:kern w:val="0"/>
          <w:sz w:val="20"/>
          <w:szCs w:val="18"/>
          <w:highlight w:val="none"/>
        </w:rPr>
        <w:t>法定代表人（签字或盖章）</w:t>
      </w:r>
      <w:r>
        <w:rPr>
          <w:rFonts w:hint="eastAsia" w:ascii="宋体" w:hAnsi="宋体" w:eastAsia="宋体" w:cs="宋体"/>
          <w:color w:val="auto"/>
          <w:kern w:val="0"/>
          <w:sz w:val="20"/>
          <w:szCs w:val="18"/>
          <w:highlight w:val="none"/>
        </w:rPr>
        <w:tab/>
      </w:r>
      <w:r>
        <w:rPr>
          <w:rFonts w:hint="eastAsia" w:ascii="宋体" w:hAnsi="宋体" w:eastAsia="宋体" w:cs="宋体"/>
          <w:color w:val="auto"/>
          <w:kern w:val="0"/>
          <w:sz w:val="20"/>
          <w:szCs w:val="18"/>
          <w:highlight w:val="none"/>
        </w:rPr>
        <w:t xml:space="preserve"> 法定代表人（签字或盖章）</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37" w:afterLines="10" w:line="288" w:lineRule="auto"/>
        <w:jc w:val="left"/>
        <w:textAlignment w:val="auto"/>
        <w:rPr>
          <w:rFonts w:hint="eastAsia" w:ascii="宋体" w:hAnsi="宋体" w:eastAsia="宋体" w:cs="宋体"/>
          <w:color w:val="auto"/>
          <w:kern w:val="0"/>
          <w:sz w:val="20"/>
          <w:szCs w:val="18"/>
          <w:highlight w:val="none"/>
        </w:rPr>
      </w:pPr>
      <w:r>
        <w:rPr>
          <w:rFonts w:hint="eastAsia" w:ascii="宋体" w:hAnsi="宋体" w:eastAsia="宋体" w:cs="宋体"/>
          <w:color w:val="auto"/>
          <w:kern w:val="0"/>
          <w:sz w:val="20"/>
          <w:szCs w:val="18"/>
          <w:highlight w:val="none"/>
        </w:rPr>
        <w:t>　　年　　月　　日</w:t>
      </w:r>
      <w:r>
        <w:rPr>
          <w:rFonts w:hint="eastAsia" w:ascii="宋体" w:hAnsi="宋体" w:eastAsia="宋体" w:cs="宋体"/>
          <w:color w:val="auto"/>
          <w:kern w:val="0"/>
          <w:sz w:val="20"/>
          <w:szCs w:val="18"/>
          <w:highlight w:val="none"/>
        </w:rPr>
        <w:tab/>
      </w:r>
      <w:r>
        <w:rPr>
          <w:rFonts w:hint="eastAsia" w:ascii="宋体" w:hAnsi="宋体" w:eastAsia="宋体" w:cs="宋体"/>
          <w:color w:val="auto"/>
          <w:kern w:val="0"/>
          <w:sz w:val="20"/>
          <w:szCs w:val="18"/>
          <w:highlight w:val="none"/>
        </w:rPr>
        <w:t>　　年　　月　　日</w:t>
      </w:r>
      <w:r>
        <w:rPr>
          <w:rFonts w:hint="eastAsia" w:ascii="宋体" w:hAnsi="宋体" w:eastAsia="宋体" w:cs="宋体"/>
          <w:color w:val="auto"/>
          <w:kern w:val="0"/>
          <w:sz w:val="20"/>
          <w:szCs w:val="18"/>
          <w:highlight w:val="none"/>
        </w:rPr>
        <w:tab/>
      </w:r>
      <w:r>
        <w:rPr>
          <w:rFonts w:hint="eastAsia" w:ascii="宋体" w:hAnsi="宋体" w:eastAsia="宋体" w:cs="宋体"/>
          <w:color w:val="auto"/>
          <w:kern w:val="0"/>
          <w:sz w:val="20"/>
          <w:szCs w:val="18"/>
          <w:highlight w:val="none"/>
        </w:rPr>
        <w:t>　　年　　月　　日</w:t>
      </w:r>
    </w:p>
    <w:p>
      <w:pPr>
        <w:keepNext w:val="0"/>
        <w:keepLines w:val="0"/>
        <w:pageBreakBefore w:val="0"/>
        <w:widowControl/>
        <w:kinsoku/>
        <w:wordWrap/>
        <w:overflowPunct/>
        <w:topLinePunct w:val="0"/>
        <w:autoSpaceDE/>
        <w:autoSpaceDN/>
        <w:bidi w:val="0"/>
        <w:adjustRightInd w:val="0"/>
        <w:snapToGrid w:val="0"/>
        <w:spacing w:after="37" w:afterLines="10" w:line="288" w:lineRule="auto"/>
        <w:ind w:left="620" w:hanging="590" w:hangingChars="294"/>
        <w:textAlignment w:val="auto"/>
        <w:rPr>
          <w:rFonts w:hint="eastAsia" w:ascii="宋体" w:hAnsi="宋体" w:eastAsia="宋体" w:cs="宋体"/>
          <w:b/>
          <w:color w:val="auto"/>
          <w:kern w:val="0"/>
          <w:sz w:val="20"/>
          <w:szCs w:val="18"/>
          <w:highlight w:val="none"/>
        </w:rPr>
      </w:pPr>
    </w:p>
    <w:p>
      <w:pPr>
        <w:keepNext w:val="0"/>
        <w:keepLines w:val="0"/>
        <w:pageBreakBefore w:val="0"/>
        <w:widowControl/>
        <w:kinsoku/>
        <w:wordWrap/>
        <w:overflowPunct/>
        <w:topLinePunct w:val="0"/>
        <w:autoSpaceDE/>
        <w:autoSpaceDN/>
        <w:bidi w:val="0"/>
        <w:adjustRightInd w:val="0"/>
        <w:snapToGrid w:val="0"/>
        <w:spacing w:after="37" w:afterLines="10" w:line="288" w:lineRule="auto"/>
        <w:ind w:left="620" w:hanging="590" w:hangingChars="294"/>
        <w:textAlignment w:val="auto"/>
        <w:rPr>
          <w:rFonts w:hint="eastAsia" w:ascii="宋体" w:hAnsi="宋体" w:eastAsia="宋体" w:cs="宋体"/>
          <w:b/>
          <w:color w:val="auto"/>
          <w:kern w:val="0"/>
          <w:sz w:val="20"/>
          <w:szCs w:val="18"/>
          <w:highlight w:val="none"/>
        </w:rPr>
      </w:pPr>
      <w:r>
        <w:rPr>
          <w:rFonts w:hint="eastAsia" w:ascii="宋体" w:hAnsi="宋体" w:eastAsia="宋体" w:cs="宋体"/>
          <w:b/>
          <w:color w:val="auto"/>
          <w:kern w:val="0"/>
          <w:sz w:val="20"/>
          <w:szCs w:val="18"/>
          <w:highlight w:val="none"/>
        </w:rPr>
        <w:t>注：1．联合</w:t>
      </w:r>
      <w:r>
        <w:rPr>
          <w:rFonts w:hint="eastAsia" w:ascii="宋体" w:hAnsi="宋体" w:eastAsia="宋体" w:cs="宋体"/>
          <w:b/>
          <w:color w:val="auto"/>
          <w:kern w:val="0"/>
          <w:sz w:val="20"/>
          <w:szCs w:val="18"/>
          <w:highlight w:val="none"/>
          <w:lang w:eastAsia="zh-CN"/>
        </w:rPr>
        <w:t>响应</w:t>
      </w:r>
      <w:r>
        <w:rPr>
          <w:rFonts w:hint="eastAsia" w:ascii="宋体" w:hAnsi="宋体" w:eastAsia="宋体" w:cs="宋体"/>
          <w:b/>
          <w:color w:val="auto"/>
          <w:kern w:val="0"/>
          <w:sz w:val="20"/>
          <w:szCs w:val="18"/>
          <w:highlight w:val="none"/>
        </w:rPr>
        <w:t>时需签本协议，联合体各方成员应在本协议上共同盖章确认。</w:t>
      </w:r>
    </w:p>
    <w:p>
      <w:pPr>
        <w:keepNext w:val="0"/>
        <w:keepLines w:val="0"/>
        <w:pageBreakBefore w:val="0"/>
        <w:widowControl/>
        <w:kinsoku/>
        <w:wordWrap/>
        <w:overflowPunct/>
        <w:topLinePunct w:val="0"/>
        <w:autoSpaceDE/>
        <w:autoSpaceDN/>
        <w:bidi w:val="0"/>
        <w:adjustRightInd w:val="0"/>
        <w:snapToGrid w:val="0"/>
        <w:spacing w:after="37" w:afterLines="10"/>
        <w:textAlignment w:val="auto"/>
        <w:rPr>
          <w:rFonts w:hint="eastAsia" w:ascii="宋体" w:hAnsi="宋体" w:eastAsia="宋体"/>
          <w:color w:val="auto"/>
          <w:sz w:val="21"/>
          <w:szCs w:val="21"/>
          <w:highlight w:val="none"/>
        </w:rPr>
      </w:pPr>
      <w:r>
        <w:rPr>
          <w:rFonts w:hint="eastAsia" w:ascii="宋体" w:hAnsi="宋体" w:eastAsia="宋体" w:cs="宋体"/>
          <w:color w:val="auto"/>
          <w:kern w:val="0"/>
          <w:sz w:val="20"/>
          <w:szCs w:val="18"/>
          <w:highlight w:val="none"/>
        </w:rPr>
        <w:t>2．本协议内容不得擅自修改。此协议将作为签订合同的附件之一。</w:t>
      </w:r>
      <w:r>
        <w:rPr>
          <w:rFonts w:hint="eastAsia" w:ascii="宋体" w:hAnsi="宋体" w:eastAsia="宋体"/>
          <w:color w:val="auto"/>
          <w:sz w:val="21"/>
          <w:szCs w:val="21"/>
          <w:highlight w:val="none"/>
        </w:rPr>
        <w:br w:type="page"/>
      </w:r>
    </w:p>
    <w:p>
      <w:pPr>
        <w:spacing w:after="0" w:line="480" w:lineRule="auto"/>
        <w:outlineLvl w:val="3"/>
        <w:rPr>
          <w:rFonts w:ascii="黑体" w:eastAsia="黑体"/>
          <w:color w:val="auto"/>
          <w:sz w:val="30"/>
          <w:szCs w:val="30"/>
          <w:highlight w:val="none"/>
        </w:rPr>
      </w:pPr>
      <w:bookmarkStart w:id="219" w:name="_Toc31955"/>
      <w:r>
        <w:rPr>
          <w:rStyle w:val="25"/>
          <w:rFonts w:hint="eastAsia" w:ascii="宋体" w:hAnsi="宋体" w:eastAsia="宋体" w:cs="宋体"/>
          <w:color w:val="auto"/>
          <w:sz w:val="21"/>
          <w:szCs w:val="21"/>
          <w:highlight w:val="none"/>
        </w:rPr>
        <w:t>附件</w:t>
      </w:r>
      <w:r>
        <w:rPr>
          <w:rStyle w:val="25"/>
          <w:rFonts w:hint="eastAsia" w:ascii="宋体" w:hAnsi="宋体" w:eastAsia="宋体" w:cs="宋体"/>
          <w:color w:val="auto"/>
          <w:sz w:val="21"/>
          <w:szCs w:val="21"/>
          <w:highlight w:val="none"/>
          <w:lang w:val="en-US" w:eastAsia="zh-CN"/>
        </w:rPr>
        <w:t>2</w:t>
      </w:r>
      <w:r>
        <w:rPr>
          <w:rStyle w:val="25"/>
          <w:rFonts w:hint="eastAsia" w:ascii="宋体" w:hAnsi="宋体" w:eastAsia="宋体" w:cs="宋体"/>
          <w:color w:val="auto"/>
          <w:sz w:val="21"/>
          <w:szCs w:val="21"/>
          <w:highlight w:val="none"/>
        </w:rPr>
        <w:t>.履约担保函</w:t>
      </w:r>
      <w:bookmarkEnd w:id="219"/>
    </w:p>
    <w:p>
      <w:pPr>
        <w:jc w:val="center"/>
        <w:rPr>
          <w:rFonts w:ascii="黑体" w:eastAsia="黑体"/>
          <w:color w:val="auto"/>
          <w:sz w:val="28"/>
          <w:szCs w:val="28"/>
          <w:highlight w:val="none"/>
        </w:rPr>
      </w:pPr>
      <w:r>
        <w:rPr>
          <w:rFonts w:hint="eastAsia" w:ascii="黑体" w:eastAsia="黑体"/>
          <w:color w:val="auto"/>
          <w:sz w:val="28"/>
          <w:szCs w:val="28"/>
          <w:highlight w:val="none"/>
        </w:rPr>
        <w:t>履约担保函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r>
        <w:rPr>
          <w:rFonts w:hint="eastAsia" w:ascii="仿宋_GB2312" w:eastAsia="仿宋_GB2312"/>
          <w:color w:val="auto"/>
          <w:sz w:val="32"/>
          <w:szCs w:val="32"/>
          <w:highlight w:val="none"/>
        </w:rPr>
        <w:t xml:space="preserve">       </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（以下简称供应商）于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日签定编号为   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合同》（以下简称主合同），且依据该合同的约定，供应商应在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项目转让给他人，或者在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中未说明，且未经采购机构人同意，将</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项目分包给他人的；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0" w:line="480" w:lineRule="auto"/>
        <w:ind w:right="-1291" w:rightChars="-587"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r>
        <w:rPr>
          <w:rFonts w:hint="eastAsia" w:ascii="宋体" w:hAnsi="宋体" w:eastAsia="宋体" w:cs="宋体"/>
          <w:color w:val="auto"/>
          <w:sz w:val="21"/>
          <w:szCs w:val="21"/>
          <w:highlight w:val="none"/>
          <w:u w:val="single"/>
        </w:rPr>
        <w:t xml:space="preserve">  </w:t>
      </w:r>
    </w:p>
    <w:p>
      <w:pPr>
        <w:spacing w:after="0" w:line="480" w:lineRule="auto"/>
        <w:ind w:right="26" w:rightChars="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。（即主合同履约保证金金额）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w:t>
      </w:r>
      <w:r>
        <w:rPr>
          <w:rFonts w:hint="eastAsia" w:ascii="宋体" w:hAnsi="宋体" w:eastAsia="宋体" w:cs="宋体"/>
          <w:color w:val="auto"/>
          <w:sz w:val="21"/>
          <w:szCs w:val="21"/>
          <w:highlight w:val="none"/>
          <w:lang w:eastAsia="zh-CN"/>
        </w:rPr>
        <w:t>账号</w:t>
      </w:r>
      <w:r>
        <w:rPr>
          <w:rFonts w:hint="eastAsia" w:ascii="宋体" w:hAnsi="宋体" w:eastAsia="宋体" w:cs="宋体"/>
          <w:color w:val="auto"/>
          <w:sz w:val="21"/>
          <w:szCs w:val="21"/>
          <w:highlight w:val="none"/>
        </w:rPr>
        <w:t>。并附有证明供应商违约事实的证明材料。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部门出具的质量检测报告，或经诉讼（仲裁）程序裁决后的裁决书、调解书，本保证人即按照检测结果或裁决书、调解书决定是否承担保证责任。</w:t>
      </w:r>
    </w:p>
    <w:p>
      <w:pPr>
        <w:spacing w:after="0"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工作日内进行核定后按照本保函的承诺承担保证责任。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pPr>
        <w:spacing w:after="0" w:line="48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）此格式为履约担保函格式，无需在响应文件中提供此格式。</w:t>
      </w:r>
    </w:p>
    <w:p>
      <w:pPr>
        <w:pStyle w:val="8"/>
        <w:rPr>
          <w:color w:val="auto"/>
          <w:highlight w:val="none"/>
        </w:rPr>
      </w:pPr>
    </w:p>
    <w:p>
      <w:pPr>
        <w:rPr>
          <w:color w:val="auto"/>
          <w:highlight w:val="none"/>
        </w:rPr>
      </w:pPr>
      <w:r>
        <w:rPr>
          <w:rFonts w:ascii="宋体" w:hAnsi="宋体" w:eastAsia="宋体" w:cs="宋体"/>
          <w:color w:val="auto"/>
          <w:sz w:val="21"/>
          <w:szCs w:val="21"/>
          <w:highlight w:val="none"/>
        </w:rPr>
        <w:br w:type="page"/>
      </w:r>
    </w:p>
    <w:p>
      <w:pPr>
        <w:pStyle w:val="5"/>
        <w:spacing w:before="0" w:after="0" w:line="240" w:lineRule="auto"/>
        <w:rPr>
          <w:rFonts w:ascii="黑体" w:hAnsi="宋体"/>
          <w:color w:val="auto"/>
          <w:sz w:val="44"/>
          <w:szCs w:val="44"/>
          <w:highlight w:val="none"/>
        </w:rPr>
      </w:pPr>
      <w:bookmarkStart w:id="220" w:name="_Toc9609"/>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登记表</w:t>
      </w:r>
      <w:bookmarkEnd w:id="220"/>
      <w:bookmarkStart w:id="221" w:name="_Toc1968"/>
    </w:p>
    <w:p>
      <w:pPr>
        <w:spacing w:after="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lang w:eastAsia="zh-CN"/>
        </w:rPr>
        <w:t>获取遴选文件</w:t>
      </w:r>
      <w:r>
        <w:rPr>
          <w:rFonts w:hint="eastAsia" w:ascii="黑体" w:hAnsi="黑体" w:eastAsia="黑体" w:cs="黑体"/>
          <w:color w:val="auto"/>
          <w:sz w:val="36"/>
          <w:szCs w:val="36"/>
          <w:highlight w:val="none"/>
        </w:rPr>
        <w:t>登记表</w:t>
      </w:r>
      <w:bookmarkEnd w:id="221"/>
    </w:p>
    <w:tbl>
      <w:tblPr>
        <w:tblStyle w:val="19"/>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获取</w:t>
            </w:r>
            <w:r>
              <w:rPr>
                <w:rFonts w:hint="eastAsia" w:ascii="宋体" w:hAnsi="宋体" w:eastAsia="宋体" w:cs="宋体"/>
                <w:color w:val="auto"/>
                <w:sz w:val="32"/>
                <w:szCs w:val="32"/>
                <w:highlight w:val="none"/>
                <w:lang w:eastAsia="zh-CN"/>
              </w:rPr>
              <w:t>遴选文件</w:t>
            </w:r>
            <w:r>
              <w:rPr>
                <w:rFonts w:hint="eastAsia" w:ascii="宋体" w:hAnsi="宋体" w:eastAsia="宋体" w:cs="宋体"/>
                <w:color w:val="auto"/>
                <w:sz w:val="32"/>
                <w:szCs w:val="32"/>
                <w:highlight w:val="none"/>
              </w:rPr>
              <w:t>时间</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年</w:t>
            </w:r>
            <w:r>
              <w:rPr>
                <w:rFonts w:hint="eastAsia" w:ascii="宋体" w:hAnsi="宋体" w:eastAsia="宋体" w:cs="宋体"/>
                <w:color w:val="auto"/>
                <w:sz w:val="32"/>
                <w:szCs w:val="32"/>
                <w:highlight w:val="none"/>
              </w:rPr>
              <w:t xml:space="preserve">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w:t>
            </w:r>
            <w:r>
              <w:rPr>
                <w:rFonts w:hint="eastAsia" w:ascii="宋体" w:hAnsi="宋体" w:eastAsia="宋体" w:cs="宋体"/>
                <w:color w:val="auto"/>
                <w:sz w:val="32"/>
                <w:szCs w:val="32"/>
                <w:highlight w:val="none"/>
                <w:lang w:eastAsia="zh-CN"/>
              </w:rPr>
              <w:t>响应</w:t>
            </w:r>
            <w:r>
              <w:rPr>
                <w:rFonts w:hint="eastAsia" w:ascii="宋体" w:hAnsi="宋体" w:eastAsia="宋体" w:cs="宋体"/>
                <w:color w:val="auto"/>
                <w:sz w:val="32"/>
                <w:szCs w:val="32"/>
                <w:highlight w:val="none"/>
              </w:rPr>
              <w:t>项目名称</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项目包号</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供应商联系人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电话</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手机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传真</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电子邮箱</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单位地址及邮编</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遴选文件</w:t>
            </w:r>
            <w:r>
              <w:rPr>
                <w:rFonts w:hint="eastAsia" w:ascii="宋体" w:hAnsi="宋体" w:eastAsia="宋体" w:cs="宋体"/>
                <w:color w:val="auto"/>
                <w:sz w:val="32"/>
                <w:szCs w:val="32"/>
                <w:highlight w:val="none"/>
              </w:rPr>
              <w:t>领取人签名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遴选文件</w:t>
            </w:r>
            <w:r>
              <w:rPr>
                <w:rFonts w:hint="eastAsia" w:ascii="宋体" w:hAnsi="宋体" w:eastAsia="宋体" w:cs="宋体"/>
                <w:color w:val="auto"/>
                <w:sz w:val="32"/>
                <w:szCs w:val="32"/>
                <w:highlight w:val="none"/>
              </w:rPr>
              <w:t>发售人签名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遴选文件</w:t>
            </w:r>
            <w:r>
              <w:rPr>
                <w:rFonts w:hint="eastAsia" w:ascii="宋体" w:hAnsi="宋体" w:eastAsia="宋体" w:cs="宋体"/>
                <w:color w:val="auto"/>
                <w:sz w:val="32"/>
                <w:szCs w:val="32"/>
                <w:highlight w:val="none"/>
              </w:rPr>
              <w:t>售价</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人民币</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00</w:t>
            </w:r>
            <w:r>
              <w:rPr>
                <w:rFonts w:hint="eastAsia" w:ascii="宋体" w:hAnsi="宋体" w:eastAsia="宋体" w:cs="宋体"/>
                <w:color w:val="auto"/>
                <w:sz w:val="32"/>
                <w:szCs w:val="32"/>
                <w:highlight w:val="none"/>
              </w:rPr>
              <w:t>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spacing w:after="0"/>
              <w:jc w:val="center"/>
              <w:rPr>
                <w:rFonts w:hint="eastAsia"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lang w:eastAsia="zh-CN"/>
              </w:rPr>
              <w:t>注：开完发票后请把报名表格交还至前台</w:t>
            </w:r>
          </w:p>
        </w:tc>
      </w:tr>
    </w:tbl>
    <w:p>
      <w:pPr>
        <w:rPr>
          <w:rFonts w:hint="default"/>
          <w:color w:val="auto"/>
          <w:highlight w:val="none"/>
          <w:lang w:val="en-US" w:eastAsia="zh-CN"/>
        </w:rPr>
      </w:pPr>
    </w:p>
    <w:sectPr>
      <w:footerReference r:id="rId6" w:type="first"/>
      <w:headerReference r:id="rId4" w:type="default"/>
      <w:footerReference r:id="rId5"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instrText xml:space="preserve"> NUMPAGES  \* MERGEFORMAT </w:instrText>
                          </w:r>
                          <w:r>
                            <w:rPr>
                              <w:rFonts w:hint="eastAsia"/>
                              <w:lang w:val="en-US" w:eastAsia="zh-CN"/>
                            </w:rPr>
                            <w:instrText xml:space="preserve"> </w:instrText>
                          </w:r>
                          <w:r>
                            <w:rPr>
                              <w:rFonts w:hint="eastAsia"/>
                              <w:lang w:val="en-US" w:eastAsia="zh-CN"/>
                            </w:rPr>
                            <w:fldChar w:fldCharType="end"/>
                          </w:r>
                          <w:r>
                            <w:rPr>
                              <w:rFonts w:hint="eastAsia"/>
                              <w:lang w:val="en-US" w:eastAsia="zh-CN"/>
                            </w:rPr>
                            <w:instrText xml:space="preserve">-1</w:instrText>
                          </w:r>
                          <w:r>
                            <w:fldChar w:fldCharType="separate"/>
                          </w:r>
                          <w:r>
                            <w:rPr>
                              <w:rFonts w:hint="eastAsia"/>
                            </w:rPr>
                            <w:t>62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tpCpozAEAAJkDAAAOAAAAAAAAAAEAIAAAAB4BAABkcnMvZTJv&#10;RG9jLnhtbFBLBQYAAAAABgAGAFkBAABcBQAAAAA=&#10;">
              <v:fill on="f" focussize="0,0"/>
              <v:stroke on="f"/>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instrText xml:space="preserve"> NUMPAGES  \* MERGEFORMAT </w:instrText>
                    </w:r>
                    <w:r>
                      <w:rPr>
                        <w:rFonts w:hint="eastAsia"/>
                        <w:lang w:val="en-US" w:eastAsia="zh-CN"/>
                      </w:rPr>
                      <w:instrText xml:space="preserve"> </w:instrText>
                    </w:r>
                    <w:r>
                      <w:rPr>
                        <w:rFonts w:hint="eastAsia"/>
                        <w:lang w:val="en-US" w:eastAsia="zh-CN"/>
                      </w:rPr>
                      <w:fldChar w:fldCharType="end"/>
                    </w:r>
                    <w:r>
                      <w:rPr>
                        <w:rFonts w:hint="eastAsia"/>
                        <w:lang w:val="en-US" w:eastAsia="zh-CN"/>
                      </w:rPr>
                      <w:instrText xml:space="preserve">-1</w:instrText>
                    </w:r>
                    <w:r>
                      <w:fldChar w:fldCharType="separate"/>
                    </w:r>
                    <w:r>
                      <w:rPr>
                        <w:rFonts w:hint="eastAsia"/>
                      </w:rPr>
                      <w:t>62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instrText xml:space="preserve"> NUMPAGES  \* MERGEFORMAT </w:instrText>
                          </w:r>
                          <w:r>
                            <w:rPr>
                              <w:rFonts w:hint="eastAsia"/>
                              <w:lang w:val="en-US" w:eastAsia="zh-CN"/>
                            </w:rPr>
                            <w:fldChar w:fldCharType="separate"/>
                          </w:r>
                          <w:r>
                            <w:rPr>
                              <w:rFonts w:hint="eastAsia"/>
                              <w:lang w:val="en-US" w:eastAsia="zh-CN"/>
                            </w:rPr>
                            <w:instrText xml:space="preserve">71</w:instrText>
                          </w:r>
                          <w:r>
                            <w:rPr>
                              <w:rFonts w:hint="eastAsia"/>
                              <w:lang w:val="en-US" w:eastAsia="zh-CN"/>
                            </w:rPr>
                            <w:fldChar w:fldCharType="end"/>
                          </w:r>
                          <w:r>
                            <w:rPr>
                              <w:rFonts w:hint="eastAsia"/>
                              <w:lang w:val="en-US" w:eastAsia="zh-CN"/>
                            </w:rPr>
                            <w:instrText xml:space="preserve">-1</w:instrText>
                          </w:r>
                          <w:r>
                            <w:fldChar w:fldCharType="separate"/>
                          </w:r>
                          <w:r>
                            <w:rPr>
                              <w:rFonts w:hint="eastAsia"/>
                            </w:rPr>
                            <w:t>62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mG9hazAEAAJkDAAAOAAAAAAAAAAEAIAAAAB4BAABkcnMvZTJv&#10;RG9jLnhtbFBLBQYAAAAABgAGAFkBAABcBQAAAAA=&#10;">
              <v:fill on="f" focussize="0,0"/>
              <v:stroke on="f"/>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instrText xml:space="preserve"> NUMPAGES  \* MERGEFORMAT </w:instrText>
                    </w:r>
                    <w:r>
                      <w:rPr>
                        <w:rFonts w:hint="eastAsia"/>
                        <w:lang w:val="en-US" w:eastAsia="zh-CN"/>
                      </w:rPr>
                      <w:fldChar w:fldCharType="separate"/>
                    </w:r>
                    <w:r>
                      <w:rPr>
                        <w:rFonts w:hint="eastAsia"/>
                        <w:lang w:val="en-US" w:eastAsia="zh-CN"/>
                      </w:rPr>
                      <w:instrText xml:space="preserve">71</w:instrText>
                    </w:r>
                    <w:r>
                      <w:rPr>
                        <w:rFonts w:hint="eastAsia"/>
                        <w:lang w:val="en-US" w:eastAsia="zh-CN"/>
                      </w:rPr>
                      <w:fldChar w:fldCharType="end"/>
                    </w:r>
                    <w:r>
                      <w:rPr>
                        <w:rFonts w:hint="eastAsia"/>
                        <w:lang w:val="en-US" w:eastAsia="zh-CN"/>
                      </w:rPr>
                      <w:instrText xml:space="preserve">-1</w:instrText>
                    </w:r>
                    <w:r>
                      <w:fldChar w:fldCharType="separate"/>
                    </w:r>
                    <w:r>
                      <w:rPr>
                        <w:rFonts w:hint="eastAsia"/>
                      </w:rPr>
                      <w:t>62</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15"/>
        <w:snapToGrid w:val="0"/>
        <w:rPr>
          <w:rFonts w:hint="eastAsia" w:eastAsia="微软雅黑"/>
          <w:lang w:eastAsia="zh-CN"/>
        </w:rPr>
      </w:pPr>
      <w:r>
        <w:rPr>
          <w:rStyle w:val="21"/>
        </w:rPr>
        <w:footnoteRef/>
      </w:r>
      <w:r>
        <w:t xml:space="preserve"> </w:t>
      </w:r>
      <w:r>
        <w:rPr>
          <w:rFonts w:hint="eastAsia"/>
          <w:lang w:eastAsia="zh-CN"/>
        </w:rPr>
        <w:t>从业人员、营业人员、资产总额填报上一年度数据，无上一年度数据的新成立企业可不填报。</w:t>
      </w:r>
    </w:p>
  </w:footnote>
  <w:footnote w:id="1">
    <w:p>
      <w:pPr>
        <w:pStyle w:val="15"/>
        <w:snapToGrid w:val="0"/>
      </w:pPr>
      <w:r>
        <w:rPr>
          <w:rStyle w:val="21"/>
        </w:rPr>
        <w:footnoteRef/>
      </w:r>
      <w:r>
        <w:t xml:space="preserve">  </w:t>
      </w:r>
      <w:r>
        <w:rPr>
          <w:rFonts w:hint="eastAsia"/>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eastAsia" w:eastAsia="微软雅黑"/>
        <w:lang w:eastAsia="zh-CN"/>
      </w:rPr>
    </w:pPr>
    <w:r>
      <w:rPr>
        <w:rFonts w:hint="eastAsia"/>
        <w:lang w:eastAsia="zh-CN"/>
      </w:rPr>
      <w:t>国内采购公开遴选文件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12ADA"/>
    <w:multiLevelType w:val="singleLevel"/>
    <w:tmpl w:val="BAA12ADA"/>
    <w:lvl w:ilvl="0" w:tentative="0">
      <w:start w:val="1"/>
      <w:numFmt w:val="decimal"/>
      <w:suff w:val="nothing"/>
      <w:lvlText w:val="（%1）"/>
      <w:lvlJc w:val="left"/>
      <w:pPr>
        <w:ind w:left="660"/>
      </w:pPr>
    </w:lvl>
  </w:abstractNum>
  <w:abstractNum w:abstractNumId="1">
    <w:nsid w:val="CFF174A5"/>
    <w:multiLevelType w:val="singleLevel"/>
    <w:tmpl w:val="CFF174A5"/>
    <w:lvl w:ilvl="0" w:tentative="0">
      <w:start w:val="1"/>
      <w:numFmt w:val="decimal"/>
      <w:suff w:val="nothing"/>
      <w:lvlText w:val="%1、"/>
      <w:lvlJc w:val="left"/>
    </w:lvl>
  </w:abstractNum>
  <w:abstractNum w:abstractNumId="2">
    <w:nsid w:val="D0047B7E"/>
    <w:multiLevelType w:val="singleLevel"/>
    <w:tmpl w:val="D0047B7E"/>
    <w:lvl w:ilvl="0" w:tentative="0">
      <w:start w:val="1"/>
      <w:numFmt w:val="decimal"/>
      <w:suff w:val="nothing"/>
      <w:lvlText w:val="%1、"/>
      <w:lvlJc w:val="left"/>
    </w:lvl>
  </w:abstractNum>
  <w:abstractNum w:abstractNumId="3">
    <w:nsid w:val="F73DC5D7"/>
    <w:multiLevelType w:val="singleLevel"/>
    <w:tmpl w:val="F73DC5D7"/>
    <w:lvl w:ilvl="0" w:tentative="0">
      <w:start w:val="1"/>
      <w:numFmt w:val="decimal"/>
      <w:suff w:val="nothing"/>
      <w:lvlText w:val="（%1）"/>
      <w:lvlJc w:val="left"/>
      <w:pPr>
        <w:ind w:left="660"/>
      </w:pPr>
    </w:lvl>
  </w:abstractNum>
  <w:abstractNum w:abstractNumId="4">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06CABF7"/>
    <w:multiLevelType w:val="singleLevel"/>
    <w:tmpl w:val="206CABF7"/>
    <w:lvl w:ilvl="0" w:tentative="0">
      <w:start w:val="1"/>
      <w:numFmt w:val="decimal"/>
      <w:suff w:val="nothing"/>
      <w:lvlText w:val="（%1）"/>
      <w:lvlJc w:val="left"/>
      <w:pPr>
        <w:ind w:left="440"/>
      </w:pPr>
    </w:lvl>
  </w:abstractNum>
  <w:abstractNum w:abstractNumId="7">
    <w:nsid w:val="3F88662E"/>
    <w:multiLevelType w:val="singleLevel"/>
    <w:tmpl w:val="3F88662E"/>
    <w:lvl w:ilvl="0" w:tentative="0">
      <w:start w:val="1"/>
      <w:numFmt w:val="decimal"/>
      <w:suff w:val="space"/>
      <w:lvlText w:val="%1)"/>
      <w:lvlJc w:val="left"/>
    </w:lvl>
  </w:abstractNum>
  <w:abstractNum w:abstractNumId="8">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7"/>
  </w:num>
  <w:num w:numId="4">
    <w:abstractNumId w:val="6"/>
  </w:num>
  <w:num w:numId="5">
    <w:abstractNumId w:val="3"/>
  </w:num>
  <w:num w:numId="6">
    <w:abstractNumId w:val="0"/>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NDZlYWM2ZDg1OGVjMjM0MzI1ZTkzNzNlOTYxYmMifQ=="/>
    <w:docVar w:name="KSO_WPS_MARK_KEY" w:val="55beb6cc-1a05-465f-93a3-5552d4193bb6"/>
  </w:docVars>
  <w:rsids>
    <w:rsidRoot w:val="03AC568F"/>
    <w:rsid w:val="009B76D0"/>
    <w:rsid w:val="00C66702"/>
    <w:rsid w:val="01E71BBB"/>
    <w:rsid w:val="02317D0D"/>
    <w:rsid w:val="02B47F4D"/>
    <w:rsid w:val="03AC568F"/>
    <w:rsid w:val="05C700C3"/>
    <w:rsid w:val="066C0621"/>
    <w:rsid w:val="08535F1C"/>
    <w:rsid w:val="09AA2D5E"/>
    <w:rsid w:val="0AD541B4"/>
    <w:rsid w:val="0AF648C5"/>
    <w:rsid w:val="0C971BD9"/>
    <w:rsid w:val="0D90133E"/>
    <w:rsid w:val="0DED3466"/>
    <w:rsid w:val="0EE90819"/>
    <w:rsid w:val="10E35FD1"/>
    <w:rsid w:val="14652DBA"/>
    <w:rsid w:val="14BC5766"/>
    <w:rsid w:val="14D45316"/>
    <w:rsid w:val="16396AFA"/>
    <w:rsid w:val="16A6433F"/>
    <w:rsid w:val="17127742"/>
    <w:rsid w:val="18D45206"/>
    <w:rsid w:val="19037A15"/>
    <w:rsid w:val="1C2B7FBD"/>
    <w:rsid w:val="1C3635C4"/>
    <w:rsid w:val="1DB93368"/>
    <w:rsid w:val="1F4A0915"/>
    <w:rsid w:val="20135C3A"/>
    <w:rsid w:val="203E17E4"/>
    <w:rsid w:val="20A23D00"/>
    <w:rsid w:val="229F49FE"/>
    <w:rsid w:val="231E1673"/>
    <w:rsid w:val="247179A7"/>
    <w:rsid w:val="25B05476"/>
    <w:rsid w:val="27470E6F"/>
    <w:rsid w:val="27933B14"/>
    <w:rsid w:val="27EC648F"/>
    <w:rsid w:val="2ADE37F9"/>
    <w:rsid w:val="2B181503"/>
    <w:rsid w:val="2B9B10C6"/>
    <w:rsid w:val="2DB532BF"/>
    <w:rsid w:val="2EE72F31"/>
    <w:rsid w:val="2FA12004"/>
    <w:rsid w:val="318B1CAB"/>
    <w:rsid w:val="320341C9"/>
    <w:rsid w:val="326E7438"/>
    <w:rsid w:val="327E3F69"/>
    <w:rsid w:val="33DF161F"/>
    <w:rsid w:val="33E00B54"/>
    <w:rsid w:val="351A7C8F"/>
    <w:rsid w:val="356A630C"/>
    <w:rsid w:val="35FC4EF1"/>
    <w:rsid w:val="361F6E88"/>
    <w:rsid w:val="36BF2A0F"/>
    <w:rsid w:val="36FC7442"/>
    <w:rsid w:val="37D10935"/>
    <w:rsid w:val="3AF230FE"/>
    <w:rsid w:val="40042B5F"/>
    <w:rsid w:val="41252C0E"/>
    <w:rsid w:val="42053BC7"/>
    <w:rsid w:val="442A54BB"/>
    <w:rsid w:val="44305F29"/>
    <w:rsid w:val="45B40B97"/>
    <w:rsid w:val="46091BA2"/>
    <w:rsid w:val="47CA4DAF"/>
    <w:rsid w:val="49634B83"/>
    <w:rsid w:val="49BB123C"/>
    <w:rsid w:val="4A837B21"/>
    <w:rsid w:val="4C7530CF"/>
    <w:rsid w:val="4EAA60C7"/>
    <w:rsid w:val="4ED05AE6"/>
    <w:rsid w:val="4FDC2DCD"/>
    <w:rsid w:val="51427533"/>
    <w:rsid w:val="517353FF"/>
    <w:rsid w:val="52A44085"/>
    <w:rsid w:val="52AB4326"/>
    <w:rsid w:val="531542EF"/>
    <w:rsid w:val="550B0080"/>
    <w:rsid w:val="55535F16"/>
    <w:rsid w:val="55AB3021"/>
    <w:rsid w:val="55E71B19"/>
    <w:rsid w:val="564E0E06"/>
    <w:rsid w:val="569372D7"/>
    <w:rsid w:val="57E215AD"/>
    <w:rsid w:val="58E102DF"/>
    <w:rsid w:val="59570D64"/>
    <w:rsid w:val="59953E06"/>
    <w:rsid w:val="5A2555CD"/>
    <w:rsid w:val="5B2B4C0E"/>
    <w:rsid w:val="5BC65476"/>
    <w:rsid w:val="60E54E33"/>
    <w:rsid w:val="61F655C0"/>
    <w:rsid w:val="620A200F"/>
    <w:rsid w:val="622E7D66"/>
    <w:rsid w:val="625403D0"/>
    <w:rsid w:val="66FA6593"/>
    <w:rsid w:val="68B104B1"/>
    <w:rsid w:val="68BE4BA8"/>
    <w:rsid w:val="694F6021"/>
    <w:rsid w:val="698769BE"/>
    <w:rsid w:val="6A804B87"/>
    <w:rsid w:val="6BF5122E"/>
    <w:rsid w:val="6C5615CA"/>
    <w:rsid w:val="6CF159A3"/>
    <w:rsid w:val="6E204B17"/>
    <w:rsid w:val="6E73516F"/>
    <w:rsid w:val="6E792902"/>
    <w:rsid w:val="6F3B529B"/>
    <w:rsid w:val="71E65EAD"/>
    <w:rsid w:val="73C86D78"/>
    <w:rsid w:val="74311F54"/>
    <w:rsid w:val="745A5880"/>
    <w:rsid w:val="745C263F"/>
    <w:rsid w:val="77BF7D59"/>
    <w:rsid w:val="77C44D6A"/>
    <w:rsid w:val="78C3338B"/>
    <w:rsid w:val="78ED55EC"/>
    <w:rsid w:val="79660712"/>
    <w:rsid w:val="7D0A74F5"/>
    <w:rsid w:val="7D9848AB"/>
    <w:rsid w:val="7D9B2CC8"/>
    <w:rsid w:val="7FA93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5"/>
    <w:unhideWhenUsed/>
    <w:qFormat/>
    <w:uiPriority w:val="9"/>
    <w:pPr>
      <w:keepNext/>
      <w:keepLines/>
      <w:spacing w:line="360" w:lineRule="auto"/>
      <w:outlineLvl w:val="3"/>
    </w:pPr>
    <w:rPr>
      <w:rFonts w:eastAsia="宋体" w:asciiTheme="majorAscii" w:hAnsiTheme="majorAscii" w:cstheme="majorBidi"/>
      <w:b/>
      <w:bCs/>
      <w:sz w:val="24"/>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textAlignment w:val="baseline"/>
    </w:pPr>
    <w:rPr>
      <w:rFonts w:ascii="宋体" w:eastAsia="宋体"/>
      <w:kern w:val="0"/>
      <w:sz w:val="34"/>
    </w:rPr>
  </w:style>
  <w:style w:type="paragraph" w:styleId="7">
    <w:name w:val="annotation text"/>
    <w:basedOn w:val="1"/>
    <w:semiHidden/>
    <w:unhideWhenUsed/>
    <w:qFormat/>
    <w:uiPriority w:val="99"/>
    <w:pPr>
      <w:jc w:val="left"/>
    </w:pPr>
  </w:style>
  <w:style w:type="paragraph" w:styleId="8">
    <w:name w:val="Body Text"/>
    <w:basedOn w:val="1"/>
    <w:next w:val="9"/>
    <w:qFormat/>
    <w:uiPriority w:val="1"/>
    <w:pPr>
      <w:spacing w:before="161"/>
      <w:ind w:left="120"/>
    </w:pPr>
    <w:rPr>
      <w:rFonts w:ascii="宋体" w:hAnsi="宋体" w:eastAsia="宋体" w:cs="宋体"/>
      <w:sz w:val="24"/>
      <w:lang w:val="zh-CN" w:bidi="zh-CN"/>
    </w:rPr>
  </w:style>
  <w:style w:type="paragraph" w:styleId="9">
    <w:name w:val="Body Text First Indent"/>
    <w:basedOn w:val="8"/>
    <w:unhideWhenUsed/>
    <w:qFormat/>
    <w:uiPriority w:val="99"/>
    <w:pPr>
      <w:ind w:firstLine="420" w:firstLineChars="100"/>
    </w:pPr>
    <w:rPr>
      <w:rFonts w:ascii="Times New Roman" w:hAnsi="Times New Roman" w:cs="Times New Roman"/>
    </w:rPr>
  </w:style>
  <w:style w:type="paragraph" w:styleId="10">
    <w:name w:val="toc 3"/>
    <w:basedOn w:val="1"/>
    <w:next w:val="1"/>
    <w:unhideWhenUsed/>
    <w:qFormat/>
    <w:uiPriority w:val="39"/>
    <w:pPr>
      <w:tabs>
        <w:tab w:val="right" w:leader="dot" w:pos="8296"/>
      </w:tabs>
      <w:ind w:left="838" w:leftChars="381"/>
    </w:pPr>
    <w:rPr>
      <w:sz w:val="21"/>
      <w:szCs w:val="21"/>
    </w:rPr>
  </w:style>
  <w:style w:type="paragraph" w:styleId="11">
    <w:name w:val="footer"/>
    <w:basedOn w:val="1"/>
    <w:unhideWhenUsed/>
    <w:qFormat/>
    <w:uiPriority w:val="99"/>
    <w:pPr>
      <w:tabs>
        <w:tab w:val="center" w:pos="4153"/>
        <w:tab w:val="right" w:pos="8306"/>
      </w:tabs>
    </w:pPr>
    <w:rPr>
      <w:sz w:val="18"/>
      <w:szCs w:val="18"/>
    </w:rPr>
  </w:style>
  <w:style w:type="paragraph" w:styleId="12">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0"/>
  </w:style>
  <w:style w:type="paragraph" w:styleId="14">
    <w:name w:val="toc 4"/>
    <w:basedOn w:val="1"/>
    <w:next w:val="1"/>
    <w:unhideWhenUsed/>
    <w:qFormat/>
    <w:uiPriority w:val="39"/>
    <w:pPr>
      <w:tabs>
        <w:tab w:val="right" w:leader="dot" w:pos="8296"/>
      </w:tabs>
      <w:spacing w:after="120"/>
      <w:ind w:left="1320" w:leftChars="600"/>
    </w:pPr>
  </w:style>
  <w:style w:type="paragraph" w:styleId="15">
    <w:name w:val="footnote text"/>
    <w:basedOn w:val="1"/>
    <w:semiHidden/>
    <w:unhideWhenUsed/>
    <w:qFormat/>
    <w:uiPriority w:val="99"/>
    <w:pPr>
      <w:snapToGrid w:val="0"/>
      <w:jc w:val="left"/>
    </w:pPr>
    <w:rPr>
      <w:sz w:val="18"/>
    </w:rPr>
  </w:style>
  <w:style w:type="paragraph" w:styleId="16">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7">
    <w:name w:val="Normal (Web)"/>
    <w:basedOn w:val="1"/>
    <w:qFormat/>
    <w:uiPriority w:val="0"/>
    <w:pPr>
      <w:widowControl w:val="0"/>
      <w:adjustRightInd/>
      <w:snapToGrid/>
      <w:spacing w:after="0"/>
      <w:jc w:val="both"/>
    </w:pPr>
    <w:rPr>
      <w:rFonts w:eastAsia="宋体" w:asciiTheme="minorHAnsi" w:hAnsiTheme="minorHAnsi"/>
      <w:kern w:val="2"/>
      <w:sz w:val="24"/>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otnote reference"/>
    <w:basedOn w:val="20"/>
    <w:semiHidden/>
    <w:unhideWhenUsed/>
    <w:qFormat/>
    <w:uiPriority w:val="99"/>
    <w:rPr>
      <w:vertAlign w:val="superscript"/>
    </w:rPr>
  </w:style>
  <w:style w:type="paragraph" w:customStyle="1" w:styleId="22">
    <w:name w:val="正文缩进2格"/>
    <w:basedOn w:val="1"/>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styleId="23">
    <w:name w:val="List Paragraph"/>
    <w:basedOn w:val="1"/>
    <w:qFormat/>
    <w:uiPriority w:val="34"/>
    <w:pPr>
      <w:ind w:firstLine="420" w:firstLineChars="200"/>
    </w:pPr>
  </w:style>
  <w:style w:type="character" w:customStyle="1" w:styleId="24">
    <w:name w:val="样式 楷体_GB2312 小四"/>
    <w:qFormat/>
    <w:uiPriority w:val="0"/>
    <w:rPr>
      <w:rFonts w:ascii="楷体_GB2312" w:hAnsi="楷体_GB2312" w:eastAsia="仿宋_GB2312"/>
      <w:sz w:val="24"/>
    </w:rPr>
  </w:style>
  <w:style w:type="character" w:customStyle="1" w:styleId="25">
    <w:name w:val="标题 4 字符"/>
    <w:basedOn w:val="20"/>
    <w:link w:val="5"/>
    <w:qFormat/>
    <w:uiPriority w:val="9"/>
    <w:rPr>
      <w:rFonts w:eastAsia="宋体" w:asciiTheme="majorAscii" w:hAnsiTheme="majorAscii" w:cstheme="majorBidi"/>
      <w:b/>
      <w:bCs/>
      <w:sz w:val="24"/>
      <w:szCs w:val="28"/>
    </w:rPr>
  </w:style>
  <w:style w:type="paragraph" w:customStyle="1" w:styleId="2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28636</Words>
  <Characters>30002</Characters>
  <Lines>0</Lines>
  <Paragraphs>0</Paragraphs>
  <TotalTime>0</TotalTime>
  <ScaleCrop>false</ScaleCrop>
  <LinksUpToDate>false</LinksUpToDate>
  <CharactersWithSpaces>32238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2021-05-17T06:53:00Z</dcterms:created>
  <dc:creator>MyPC</dc:creator>
  <cp:lastModifiedBy>admin</cp:lastModifiedBy>
  <cp:lastPrinted>2022-12-02T04:50:00Z</cp:lastPrinted>
  <dcterms:modified xsi:type="dcterms:W3CDTF">2024-08-12T10:56:03Z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4B7699763AA1407EB1508C7AC8BD06F4_13</vt:lpwstr>
  </property>
</Properties>
</file>