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378D7">
      <w:pPr>
        <w:jc w:val="center"/>
        <w:rPr>
          <w:rFonts w:ascii="黑体" w:eastAsia="黑体"/>
          <w:b/>
          <w:color w:val="auto"/>
          <w:sz w:val="32"/>
          <w:szCs w:val="32"/>
          <w:highlight w:val="none"/>
        </w:rPr>
      </w:pPr>
      <w:bookmarkStart w:id="387" w:name="_GoBack"/>
    </w:p>
    <w:p w14:paraId="55196273">
      <w:pPr>
        <w:jc w:val="center"/>
        <w:rPr>
          <w:b/>
          <w:color w:val="auto"/>
          <w:sz w:val="72"/>
          <w:szCs w:val="32"/>
          <w:highlight w:val="none"/>
        </w:rPr>
      </w:pPr>
      <w:r>
        <w:rPr>
          <w:rFonts w:hint="eastAsia" w:ascii="黑体" w:eastAsia="黑体"/>
          <w:b/>
          <w:color w:val="auto"/>
          <w:sz w:val="72"/>
          <w:szCs w:val="32"/>
          <w:highlight w:val="none"/>
        </w:rPr>
        <w:t>公开招标文件</w:t>
      </w:r>
    </w:p>
    <w:p w14:paraId="63AB777C">
      <w:pPr>
        <w:jc w:val="center"/>
        <w:rPr>
          <w:color w:val="auto"/>
          <w:highlight w:val="none"/>
        </w:rPr>
      </w:pPr>
      <w:r>
        <w:rPr>
          <w:rFonts w:hint="eastAsia" w:ascii="黑体" w:hAnsi="黑体" w:eastAsia="黑体" w:cs="黑体"/>
          <w:bCs/>
          <w:color w:val="auto"/>
          <w:spacing w:val="57"/>
          <w:sz w:val="72"/>
          <w:szCs w:val="72"/>
          <w:highlight w:val="none"/>
        </w:rPr>
        <w:t>国内采购</w:t>
      </w:r>
    </w:p>
    <w:p w14:paraId="42B78FFB">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217E1A19">
      <w:pPr>
        <w:pStyle w:val="11"/>
        <w:ind w:firstLine="240"/>
        <w:rPr>
          <w:rFonts w:ascii="黑体" w:eastAsia="黑体"/>
          <w:color w:val="auto"/>
          <w:szCs w:val="21"/>
          <w:highlight w:val="none"/>
        </w:rPr>
      </w:pPr>
    </w:p>
    <w:p w14:paraId="7B0B2621">
      <w:pPr>
        <w:pStyle w:val="11"/>
        <w:ind w:left="0" w:firstLine="0" w:firstLineChars="0"/>
        <w:rPr>
          <w:rFonts w:ascii="黑体" w:eastAsia="黑体"/>
          <w:color w:val="auto"/>
          <w:szCs w:val="21"/>
          <w:highlight w:val="none"/>
        </w:rPr>
      </w:pPr>
    </w:p>
    <w:tbl>
      <w:tblPr>
        <w:tblStyle w:val="30"/>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035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634AF8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3B998EE8">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GDZT2024136C</w:t>
            </w:r>
          </w:p>
        </w:tc>
      </w:tr>
      <w:tr w14:paraId="0EF8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3B10C1B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0F3D71CB">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东莞滨海湾未来学校食堂运营服务采购项目</w:t>
            </w:r>
          </w:p>
        </w:tc>
      </w:tr>
      <w:tr w14:paraId="724C3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7E8FFB5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2AE7846B">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东莞滨海湾新区管理委员会</w:t>
            </w:r>
          </w:p>
        </w:tc>
      </w:tr>
      <w:tr w14:paraId="75D60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88E60D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2B028B6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49945888">
      <w:pPr>
        <w:jc w:val="both"/>
        <w:rPr>
          <w:rFonts w:ascii="黑体" w:eastAsia="黑体"/>
          <w:color w:val="auto"/>
          <w:szCs w:val="21"/>
          <w:highlight w:val="none"/>
        </w:rPr>
      </w:pPr>
    </w:p>
    <w:p w14:paraId="7E416A32">
      <w:pPr>
        <w:pStyle w:val="26"/>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1DA27045">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649B704E">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626F73B1">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135BAA4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6642E1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60D28019">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54833ABA">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56BE1683">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70F4897E">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72120A82">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6E6A7BC">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699802D1">
      <w:pPr>
        <w:pStyle w:val="26"/>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6DD95852">
      <w:pPr>
        <w:pStyle w:val="26"/>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60010202">
      <w:pPr>
        <w:pStyle w:val="26"/>
        <w:ind w:left="0" w:leftChars="0"/>
        <w:rPr>
          <w:color w:val="auto"/>
          <w:sz w:val="40"/>
          <w:szCs w:val="40"/>
          <w:highlight w:val="none"/>
        </w:rPr>
      </w:pPr>
      <w:r>
        <w:rPr>
          <w:rFonts w:hint="eastAsia"/>
          <w:color w:val="auto"/>
          <w:sz w:val="40"/>
          <w:szCs w:val="40"/>
          <w:highlight w:val="none"/>
        </w:rPr>
        <w:t>目录</w:t>
      </w:r>
    </w:p>
    <w:p w14:paraId="33E88520">
      <w:pPr>
        <w:pStyle w:val="26"/>
        <w:tabs>
          <w:tab w:val="right" w:leader="dot" w:pos="8306"/>
          <w:tab w:val="clear" w:pos="8296"/>
        </w:tabs>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5BE90C">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1536445">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_Toc28205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FB8535">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_Toc10230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B95065">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价格及商务技术评分权重细则表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EDDC74">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1903FD">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C2EB5E4">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883A7DC">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14034B7">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A29F5B">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AF8099">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DCE5EE">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DA99A1">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8865CE1">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6B212F">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C3439EF">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A277B4">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A6F6FC">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4C0181">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F5F05F">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_Toc9506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50461A">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11FCF3">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EA506C">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0AB506">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16.投标保证金（本项目不需提供投标保证金）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800683">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9E59C7D">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052427">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433C1A">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CD9250">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_Toc16133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6D0D094">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230D0F2">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_Toc6530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4935DD">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E69C61">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79AAB6">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DD21FC">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_Toc6378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_Toc6378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85E0C3">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A5341E">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D133C9">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85B6D8A">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C60741">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_Toc28569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8F5393">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BE7B33">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FCC3A9">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9223C3">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B60A01">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78E13D">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078092">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7EF688">
      <w:pPr>
        <w:pStyle w:val="21"/>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2CA9FF">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27EA773">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_Toc3644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CECBD23">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E9AC61">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8C488D">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F02A51">
      <w:pPr>
        <w:pStyle w:val="26"/>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FFB0847">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5EEF06">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_Toc6102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44C995">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0ADE1F">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_Toc13730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6FA383">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291251B">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6F9EF5">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DA5F40">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5D8E886">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611CD86">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F3B70C">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C31DC2">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BA6CF4">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_Toc10583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8BB3DE">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_Toc22090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F4FF87">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7C52934">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BD5036">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_Toc6084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D975E2">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E82E7F">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9658A06">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F92A95">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2337B5">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9B38AB">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AD8B35D">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80C5D4E">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F286EF">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_Toc21887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900ED9">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1818FE9">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462B08">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632522">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AE5C4A">
      <w:pPr>
        <w:pStyle w:val="14"/>
        <w:tabs>
          <w:tab w:val="right" w:leader="dot" w:pos="8306"/>
          <w:tab w:val="clear" w:pos="8296"/>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468C281">
      <w:pPr>
        <w:pStyle w:val="14"/>
        <w:tabs>
          <w:tab w:val="right" w:leader="dot" w:pos="8306"/>
          <w:tab w:val="clear" w:pos="8296"/>
        </w:tabs>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92F5DF">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1E742737">
      <w:pPr>
        <w:rPr>
          <w:rFonts w:ascii="宋体" w:hAnsi="宋体" w:cs="宋体"/>
          <w:color w:val="auto"/>
          <w:szCs w:val="21"/>
          <w:highlight w:val="none"/>
        </w:rPr>
      </w:pPr>
      <w:r>
        <w:rPr>
          <w:rFonts w:hint="eastAsia" w:ascii="宋体" w:hAnsi="宋体" w:cs="宋体"/>
          <w:color w:val="auto"/>
          <w:szCs w:val="21"/>
          <w:highlight w:val="none"/>
        </w:rPr>
        <w:br w:type="page"/>
      </w:r>
    </w:p>
    <w:p w14:paraId="02AF5F05">
      <w:pPr>
        <w:pStyle w:val="4"/>
        <w:spacing w:before="0" w:after="0" w:line="240" w:lineRule="auto"/>
        <w:outlineLvl w:val="0"/>
        <w:rPr>
          <w:color w:val="auto"/>
          <w:sz w:val="28"/>
          <w:szCs w:val="28"/>
          <w:highlight w:val="none"/>
        </w:rPr>
      </w:pPr>
      <w:bookmarkStart w:id="0" w:name="_Toc17306"/>
      <w:bookmarkStart w:id="1" w:name="_Toc22621"/>
      <w:r>
        <w:rPr>
          <w:rFonts w:hint="eastAsia"/>
          <w:color w:val="auto"/>
          <w:sz w:val="28"/>
          <w:szCs w:val="28"/>
          <w:highlight w:val="none"/>
        </w:rPr>
        <w:t>第一部分 投标邀请</w:t>
      </w:r>
      <w:bookmarkEnd w:id="0"/>
      <w:bookmarkEnd w:id="1"/>
    </w:p>
    <w:p w14:paraId="1E76AC51">
      <w:pPr>
        <w:pStyle w:val="5"/>
        <w:jc w:val="center"/>
        <w:rPr>
          <w:rFonts w:ascii="宋体" w:hAnsi="宋体" w:cs="宋体"/>
          <w:color w:val="auto"/>
          <w:highlight w:val="none"/>
        </w:rPr>
      </w:pPr>
      <w:bookmarkStart w:id="2" w:name="_Toc29856"/>
      <w:bookmarkStart w:id="3" w:name="_Toc8850"/>
      <w:bookmarkStart w:id="4" w:name="_Toc1420"/>
      <w:r>
        <w:rPr>
          <w:rFonts w:hint="eastAsia" w:ascii="宋体" w:hAnsi="宋体" w:cs="宋体"/>
          <w:color w:val="auto"/>
          <w:highlight w:val="none"/>
        </w:rPr>
        <w:t>投标邀请书</w:t>
      </w:r>
      <w:bookmarkEnd w:id="2"/>
      <w:bookmarkEnd w:id="3"/>
      <w:bookmarkEnd w:id="4"/>
    </w:p>
    <w:p w14:paraId="3D8EC61C">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东莞滨海湾新区管理委员会</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olor w:val="auto"/>
          <w:szCs w:val="21"/>
          <w:highlight w:val="none"/>
          <w:lang w:eastAsia="zh-CN"/>
        </w:rPr>
        <w:t>东莞滨海湾未来学校食堂运营服务采购项目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5309B7EB">
      <w:pPr>
        <w:ind w:firstLine="422" w:firstLineChars="200"/>
        <w:rPr>
          <w:rFonts w:ascii="宋体" w:hAnsi="宋体"/>
          <w:b/>
          <w:color w:val="auto"/>
          <w:szCs w:val="21"/>
          <w:highlight w:val="none"/>
        </w:rPr>
      </w:pPr>
    </w:p>
    <w:p w14:paraId="19AA183D">
      <w:pPr>
        <w:numPr>
          <w:ilvl w:val="0"/>
          <w:numId w:val="1"/>
        </w:numPr>
        <w:ind w:firstLine="413" w:firstLineChars="196"/>
        <w:outlineLvl w:val="1"/>
        <w:rPr>
          <w:rFonts w:ascii="宋体" w:hAnsi="宋体"/>
          <w:b/>
          <w:color w:val="auto"/>
          <w:szCs w:val="21"/>
          <w:highlight w:val="none"/>
        </w:rPr>
      </w:pPr>
      <w:r>
        <w:rPr>
          <w:rFonts w:hint="eastAsia" w:ascii="宋体" w:hAnsi="宋体"/>
          <w:b/>
          <w:color w:val="auto"/>
          <w:szCs w:val="21"/>
          <w:highlight w:val="none"/>
        </w:rPr>
        <w:t>招标项目信息</w:t>
      </w:r>
    </w:p>
    <w:p w14:paraId="345094F5">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GDZT2024136C</w:t>
      </w:r>
      <w:r>
        <w:rPr>
          <w:rFonts w:hint="eastAsia" w:ascii="宋体" w:hAnsi="宋体"/>
          <w:color w:val="auto"/>
          <w:szCs w:val="21"/>
          <w:highlight w:val="none"/>
        </w:rPr>
        <w:t>；</w:t>
      </w:r>
    </w:p>
    <w:p w14:paraId="59FE7CAA">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东莞滨海湾未来学校食堂运营服务采购项目</w:t>
      </w:r>
      <w:r>
        <w:rPr>
          <w:rFonts w:hint="eastAsia" w:ascii="宋体" w:hAnsi="宋体"/>
          <w:color w:val="auto"/>
          <w:szCs w:val="21"/>
          <w:highlight w:val="none"/>
        </w:rPr>
        <w:t>；</w:t>
      </w:r>
    </w:p>
    <w:p w14:paraId="05C95169">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6"/>
        <w:gridCol w:w="795"/>
        <w:gridCol w:w="1048"/>
        <w:gridCol w:w="1530"/>
      </w:tblGrid>
      <w:tr w14:paraId="7AA8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03773D26">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4036" w:type="dxa"/>
            <w:noWrap/>
            <w:tcMar>
              <w:top w:w="15" w:type="dxa"/>
              <w:left w:w="15" w:type="dxa"/>
              <w:right w:w="15" w:type="dxa"/>
            </w:tcMar>
            <w:vAlign w:val="center"/>
          </w:tcPr>
          <w:p w14:paraId="45C222C9">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95" w:type="dxa"/>
            <w:noWrap/>
            <w:tcMar>
              <w:top w:w="15" w:type="dxa"/>
              <w:left w:w="15" w:type="dxa"/>
              <w:right w:w="15" w:type="dxa"/>
            </w:tcMar>
            <w:vAlign w:val="center"/>
          </w:tcPr>
          <w:p w14:paraId="33D55D2C">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48" w:type="dxa"/>
            <w:noWrap/>
            <w:tcMar>
              <w:top w:w="15" w:type="dxa"/>
              <w:left w:w="15" w:type="dxa"/>
              <w:right w:w="15" w:type="dxa"/>
            </w:tcMar>
            <w:vAlign w:val="center"/>
          </w:tcPr>
          <w:p w14:paraId="30C1858A">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30" w:type="dxa"/>
            <w:noWrap/>
            <w:tcMar>
              <w:top w:w="15" w:type="dxa"/>
              <w:left w:w="15" w:type="dxa"/>
              <w:right w:w="15" w:type="dxa"/>
            </w:tcMar>
            <w:vAlign w:val="center"/>
          </w:tcPr>
          <w:p w14:paraId="3B81333A">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6A8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5F852E85">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4036" w:type="dxa"/>
            <w:noWrap/>
            <w:tcMar>
              <w:top w:w="15" w:type="dxa"/>
              <w:left w:w="15" w:type="dxa"/>
              <w:right w:w="15" w:type="dxa"/>
            </w:tcMar>
            <w:vAlign w:val="center"/>
          </w:tcPr>
          <w:p w14:paraId="17BDC910">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东莞滨海湾未来学校食堂运营服务采购项目</w:t>
            </w:r>
          </w:p>
        </w:tc>
        <w:tc>
          <w:tcPr>
            <w:tcW w:w="795" w:type="dxa"/>
            <w:noWrap/>
            <w:tcMar>
              <w:top w:w="15" w:type="dxa"/>
              <w:left w:w="15" w:type="dxa"/>
              <w:right w:w="15" w:type="dxa"/>
            </w:tcMar>
            <w:vAlign w:val="center"/>
          </w:tcPr>
          <w:p w14:paraId="0953F0F4">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48" w:type="dxa"/>
            <w:noWrap/>
            <w:tcMar>
              <w:top w:w="15" w:type="dxa"/>
              <w:left w:w="15" w:type="dxa"/>
              <w:right w:w="15" w:type="dxa"/>
            </w:tcMar>
            <w:vAlign w:val="center"/>
          </w:tcPr>
          <w:p w14:paraId="53412B13">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二年</w:t>
            </w:r>
          </w:p>
        </w:tc>
        <w:tc>
          <w:tcPr>
            <w:tcW w:w="1530" w:type="dxa"/>
            <w:noWrap/>
            <w:tcMar>
              <w:top w:w="15" w:type="dxa"/>
              <w:left w:w="15" w:type="dxa"/>
              <w:right w:w="15" w:type="dxa"/>
            </w:tcMar>
            <w:vAlign w:val="center"/>
          </w:tcPr>
          <w:p w14:paraId="3CB2AD81">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无具体预算</w:t>
            </w:r>
          </w:p>
        </w:tc>
      </w:tr>
    </w:tbl>
    <w:p w14:paraId="7A4B5F54">
      <w:pPr>
        <w:pStyle w:val="10"/>
        <w:spacing w:before="0"/>
        <w:ind w:left="0"/>
        <w:rPr>
          <w:color w:val="auto"/>
          <w:sz w:val="21"/>
          <w:szCs w:val="21"/>
          <w:highlight w:val="none"/>
        </w:rPr>
      </w:pPr>
    </w:p>
    <w:p w14:paraId="6ADA84D1">
      <w:pPr>
        <w:ind w:firstLine="413" w:firstLineChars="196"/>
        <w:outlineLvl w:val="1"/>
        <w:rPr>
          <w:rFonts w:ascii="宋体" w:hAnsi="宋体"/>
          <w:b/>
          <w:color w:val="auto"/>
          <w:szCs w:val="21"/>
          <w:highlight w:val="none"/>
        </w:rPr>
      </w:pPr>
      <w:r>
        <w:rPr>
          <w:rFonts w:hint="eastAsia" w:ascii="宋体" w:hAnsi="宋体"/>
          <w:b/>
          <w:color w:val="auto"/>
          <w:szCs w:val="21"/>
          <w:highlight w:val="none"/>
        </w:rPr>
        <w:t>二、投标人资格要求</w:t>
      </w:r>
    </w:p>
    <w:p w14:paraId="20321390">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4E0F6276">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70D3589E">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2A162E70">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1F048FD3">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44754906">
      <w:pPr>
        <w:ind w:firstLine="420" w:firstLineChars="200"/>
        <w:rPr>
          <w:rFonts w:hint="eastAsia" w:ascii="宋体" w:hAnsi="宋体" w:eastAsia="宋体"/>
          <w:color w:val="auto"/>
          <w:szCs w:val="21"/>
          <w:highlight w:val="none"/>
          <w:lang w:eastAsia="zh-CN"/>
        </w:rPr>
      </w:pPr>
      <w:r>
        <w:rPr>
          <w:rFonts w:hint="eastAsia" w:ascii="宋体" w:hAnsi="宋体" w:eastAsia="宋体"/>
          <w:color w:val="auto"/>
          <w:szCs w:val="21"/>
          <w:highlight w:val="none"/>
        </w:rPr>
        <w:t>（5）本项目接受联合体投标，联合体</w:t>
      </w:r>
      <w:r>
        <w:rPr>
          <w:rFonts w:hint="eastAsia" w:ascii="宋体" w:hAnsi="宋体" w:eastAsia="宋体"/>
          <w:color w:val="auto"/>
          <w:szCs w:val="21"/>
          <w:highlight w:val="none"/>
          <w:lang w:val="en-US" w:eastAsia="zh-CN"/>
        </w:rPr>
        <w:t>成员</w:t>
      </w:r>
      <w:r>
        <w:rPr>
          <w:rFonts w:hint="eastAsia" w:ascii="宋体" w:hAnsi="宋体" w:eastAsia="宋体"/>
          <w:color w:val="auto"/>
          <w:szCs w:val="21"/>
          <w:highlight w:val="none"/>
        </w:rPr>
        <w:t>总数不得超过2家（含2家）</w:t>
      </w:r>
      <w:r>
        <w:rPr>
          <w:rFonts w:hint="eastAsia" w:ascii="宋体" w:hAnsi="宋体" w:eastAsia="宋体"/>
          <w:color w:val="auto"/>
          <w:szCs w:val="21"/>
          <w:highlight w:val="none"/>
          <w:lang w:eastAsia="zh-CN"/>
        </w:rPr>
        <w:t>。</w:t>
      </w:r>
    </w:p>
    <w:p w14:paraId="66077891">
      <w:pPr>
        <w:bidi w:val="0"/>
        <w:rPr>
          <w:rFonts w:hint="eastAsia"/>
          <w:color w:val="auto"/>
          <w:highlight w:val="none"/>
          <w:lang w:eastAsia="zh-CN"/>
        </w:rPr>
      </w:pPr>
    </w:p>
    <w:p w14:paraId="4452D99D">
      <w:pPr>
        <w:spacing w:after="0" w:line="360" w:lineRule="auto"/>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2、特殊要求：</w:t>
      </w:r>
    </w:p>
    <w:p w14:paraId="7A430A00">
      <w:pPr>
        <w:ind w:firstLine="411" w:firstLineChars="196"/>
        <w:rPr>
          <w:rFonts w:hint="eastAsia" w:ascii="宋体" w:hAnsi="宋体" w:eastAsia="宋体" w:cs="宋体"/>
          <w:color w:val="auto"/>
          <w:highlight w:val="none"/>
          <w:lang w:eastAsia="zh-CN"/>
        </w:rPr>
      </w:pPr>
      <w:r>
        <w:rPr>
          <w:rFonts w:hint="eastAsia" w:ascii="宋体" w:hAnsi="宋体" w:cs="宋体"/>
          <w:color w:val="auto"/>
          <w:highlight w:val="none"/>
        </w:rPr>
        <w:t>投标人</w:t>
      </w:r>
      <w:r>
        <w:rPr>
          <w:rFonts w:hint="eastAsia" w:ascii="宋体" w:hAnsi="宋体" w:cs="宋体"/>
          <w:color w:val="auto"/>
          <w:szCs w:val="21"/>
          <w:highlight w:val="none"/>
        </w:rPr>
        <w:t>须具有有效期内的《食品经营许可证》。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须提供有效证书复印件加盖投标人公章</w:t>
      </w:r>
      <w:r>
        <w:rPr>
          <w:rFonts w:hint="eastAsia" w:ascii="宋体" w:hAnsi="宋体" w:cs="宋体"/>
          <w:color w:val="auto"/>
          <w:szCs w:val="21"/>
          <w:highlight w:val="none"/>
          <w:lang w:eastAsia="zh-CN"/>
        </w:rPr>
        <w:t>）</w:t>
      </w:r>
    </w:p>
    <w:p w14:paraId="2D71DF78">
      <w:pPr>
        <w:bidi w:val="0"/>
        <w:ind w:firstLine="420" w:firstLineChars="200"/>
        <w:rPr>
          <w:rFonts w:hint="eastAsia" w:ascii="宋体" w:hAnsi="宋体" w:eastAsia="宋体" w:cs="宋体"/>
          <w:color w:val="auto"/>
          <w:highlight w:val="none"/>
        </w:rPr>
      </w:pPr>
      <w:r>
        <w:rPr>
          <w:rFonts w:hint="eastAsia"/>
          <w:color w:val="auto"/>
          <w:highlight w:val="none"/>
          <w:lang w:val="en-US" w:eastAsia="zh-CN"/>
        </w:rPr>
        <w:t>注：</w:t>
      </w:r>
      <w:r>
        <w:rPr>
          <w:rFonts w:hint="eastAsia" w:ascii="宋体" w:hAnsi="宋体" w:eastAsia="宋体" w:cs="宋体"/>
          <w:color w:val="auto"/>
          <w:highlight w:val="none"/>
        </w:rPr>
        <w:t>以联合体形式参加</w:t>
      </w:r>
      <w:r>
        <w:rPr>
          <w:rFonts w:hint="eastAsia" w:ascii="宋体" w:hAnsi="宋体" w:cs="宋体"/>
          <w:color w:val="auto"/>
          <w:highlight w:val="none"/>
          <w:lang w:val="en-US" w:eastAsia="zh-CN"/>
        </w:rPr>
        <w:t>投标的</w:t>
      </w:r>
      <w:r>
        <w:rPr>
          <w:rFonts w:hint="eastAsia" w:ascii="宋体" w:hAnsi="宋体" w:eastAsia="宋体" w:cs="宋体"/>
          <w:color w:val="auto"/>
          <w:highlight w:val="none"/>
        </w:rPr>
        <w:t>，联合体各方中至少有一方符合以上资质条件。</w:t>
      </w:r>
    </w:p>
    <w:p w14:paraId="2E915475">
      <w:pPr>
        <w:bidi w:val="0"/>
        <w:rPr>
          <w:rFonts w:hint="default"/>
          <w:color w:val="auto"/>
          <w:highlight w:val="none"/>
          <w:lang w:val="en-US" w:eastAsia="zh-CN"/>
        </w:rPr>
      </w:pPr>
    </w:p>
    <w:p w14:paraId="58B421D7">
      <w:pPr>
        <w:ind w:firstLine="413" w:firstLineChars="196"/>
        <w:outlineLvl w:val="1"/>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252C95CC">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w:t>
      </w:r>
    </w:p>
    <w:p w14:paraId="02AF7759">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日（节假日除外），上午9：00～12：00，下午14：30～17：30（北京时间）。</w:t>
      </w:r>
    </w:p>
    <w:p w14:paraId="723DC869">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64353574">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val="en-US" w:eastAsia="zh-CN"/>
        </w:rPr>
        <w:t>梁先生</w:t>
      </w:r>
      <w:r>
        <w:rPr>
          <w:rFonts w:hint="eastAsia" w:ascii="宋体" w:hAnsi="宋体"/>
          <w:color w:val="auto"/>
          <w:szCs w:val="21"/>
          <w:highlight w:val="none"/>
        </w:rPr>
        <w:t>。</w:t>
      </w:r>
    </w:p>
    <w:p w14:paraId="57103C54">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24E16A80">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5CC7120A">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28222EAB">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641FD816">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3DC9C57E">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55E3E99B">
      <w:pPr>
        <w:rPr>
          <w:color w:val="auto"/>
          <w:highlight w:val="none"/>
        </w:rPr>
      </w:pPr>
    </w:p>
    <w:p w14:paraId="27F74D29">
      <w:pPr>
        <w:ind w:firstLine="413" w:firstLineChars="196"/>
        <w:outlineLvl w:val="1"/>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2DEF3B8D">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61B3B78B">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4E168593">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56943B7A">
      <w:pPr>
        <w:ind w:firstLine="411" w:firstLineChars="196"/>
        <w:rPr>
          <w:rFonts w:ascii="宋体" w:hAnsi="宋体"/>
          <w:bCs/>
          <w:color w:val="auto"/>
          <w:szCs w:val="21"/>
          <w:highlight w:val="none"/>
        </w:rPr>
      </w:pPr>
    </w:p>
    <w:p w14:paraId="494647C1">
      <w:pPr>
        <w:ind w:firstLine="413" w:firstLineChars="196"/>
        <w:outlineLvl w:val="1"/>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47B866D4">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陈小姐</w:t>
      </w:r>
    </w:p>
    <w:p w14:paraId="666845DC">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东莞滨海湾新区中海路</w:t>
      </w:r>
    </w:p>
    <w:p w14:paraId="02D0187D">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color w:val="auto"/>
          <w:szCs w:val="21"/>
          <w:highlight w:val="none"/>
          <w:lang w:val="en-US" w:eastAsia="zh-CN"/>
        </w:rPr>
        <w:t>26889252</w:t>
      </w:r>
    </w:p>
    <w:p w14:paraId="0A194E1C">
      <w:pPr>
        <w:ind w:firstLine="420" w:firstLineChars="200"/>
        <w:rPr>
          <w:rFonts w:ascii="宋体" w:hAnsi="宋体"/>
          <w:color w:val="auto"/>
          <w:szCs w:val="21"/>
          <w:highlight w:val="none"/>
        </w:rPr>
      </w:pPr>
    </w:p>
    <w:p w14:paraId="749315FE">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50CB998E">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BE3E258">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265DEC72">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2984B68">
      <w:pPr>
        <w:ind w:firstLine="420" w:firstLineChars="200"/>
        <w:rPr>
          <w:color w:val="auto"/>
          <w:highlight w:val="none"/>
        </w:rPr>
      </w:pPr>
      <w:r>
        <w:rPr>
          <w:rFonts w:hint="eastAsia" w:ascii="宋体" w:hAnsi="宋体"/>
          <w:color w:val="auto"/>
          <w:szCs w:val="21"/>
          <w:highlight w:val="none"/>
        </w:rPr>
        <w:t>E－ mail：471539976@qq.com</w:t>
      </w:r>
    </w:p>
    <w:p w14:paraId="71B13F51">
      <w:pPr>
        <w:rPr>
          <w:color w:val="auto"/>
          <w:highlight w:val="none"/>
        </w:rPr>
      </w:pPr>
    </w:p>
    <w:p w14:paraId="1CDBD03E">
      <w:pPr>
        <w:ind w:right="752" w:rightChars="358"/>
        <w:jc w:val="both"/>
        <w:rPr>
          <w:color w:val="auto"/>
          <w:highlight w:val="none"/>
        </w:rPr>
      </w:pPr>
    </w:p>
    <w:p w14:paraId="78D9AE67">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5C0B4892">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14:paraId="14C91302">
      <w:pPr>
        <w:pStyle w:val="10"/>
        <w:rPr>
          <w:color w:val="auto"/>
          <w:sz w:val="21"/>
          <w:szCs w:val="21"/>
          <w:highlight w:val="none"/>
        </w:rPr>
      </w:pPr>
    </w:p>
    <w:p w14:paraId="713E2071">
      <w:pPr>
        <w:rPr>
          <w:rFonts w:hint="eastAsia"/>
          <w:color w:val="auto"/>
          <w:sz w:val="28"/>
          <w:szCs w:val="28"/>
          <w:highlight w:val="none"/>
        </w:rPr>
      </w:pPr>
      <w:bookmarkStart w:id="5" w:name="_Toc28550"/>
      <w:bookmarkStart w:id="6" w:name="_Toc28205"/>
      <w:r>
        <w:rPr>
          <w:rFonts w:hint="eastAsia"/>
          <w:color w:val="auto"/>
          <w:sz w:val="28"/>
          <w:szCs w:val="28"/>
          <w:highlight w:val="none"/>
        </w:rPr>
        <w:br w:type="page"/>
      </w:r>
    </w:p>
    <w:p w14:paraId="7FA15BF4">
      <w:pPr>
        <w:pStyle w:val="4"/>
        <w:spacing w:before="0" w:after="0" w:line="240" w:lineRule="auto"/>
        <w:outlineLvl w:val="0"/>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49C98D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0CFD8F66">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7689D4C7">
            <w:pPr>
              <w:jc w:val="center"/>
              <w:rPr>
                <w:rFonts w:ascii="宋体" w:hAnsi="宋体"/>
                <w:b/>
                <w:color w:val="auto"/>
                <w:szCs w:val="21"/>
                <w:highlight w:val="none"/>
              </w:rPr>
            </w:pPr>
            <w:r>
              <w:rPr>
                <w:rFonts w:hint="eastAsia" w:ascii="宋体" w:hAnsi="宋体"/>
                <w:b/>
                <w:color w:val="auto"/>
                <w:szCs w:val="21"/>
                <w:highlight w:val="none"/>
              </w:rPr>
              <w:t>内容</w:t>
            </w:r>
          </w:p>
        </w:tc>
      </w:tr>
      <w:tr w14:paraId="0788DF7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3FDE54A">
            <w:pPr>
              <w:jc w:val="center"/>
              <w:rPr>
                <w:rFonts w:ascii="宋体" w:hAnsi="宋体"/>
                <w:b/>
                <w:color w:val="auto"/>
                <w:szCs w:val="21"/>
                <w:highlight w:val="none"/>
              </w:rPr>
            </w:pPr>
            <w:r>
              <w:rPr>
                <w:rFonts w:hint="eastAsia" w:ascii="宋体" w:hAnsi="宋体"/>
                <w:b/>
                <w:color w:val="auto"/>
                <w:szCs w:val="21"/>
                <w:highlight w:val="none"/>
              </w:rPr>
              <w:t>一、说明</w:t>
            </w:r>
          </w:p>
        </w:tc>
      </w:tr>
      <w:tr w14:paraId="684078E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DC5A220">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7E8785A3">
            <w:pPr>
              <w:rPr>
                <w:rFonts w:ascii="宋体" w:hAnsi="宋体"/>
                <w:b/>
                <w:bCs/>
                <w:color w:val="auto"/>
                <w:szCs w:val="21"/>
                <w:highlight w:val="none"/>
              </w:rPr>
            </w:pPr>
            <w:r>
              <w:rPr>
                <w:rFonts w:hint="eastAsia" w:ascii="宋体" w:hAnsi="宋体"/>
                <w:b/>
                <w:bCs/>
                <w:color w:val="auto"/>
                <w:szCs w:val="21"/>
                <w:highlight w:val="none"/>
              </w:rPr>
              <w:t>项目类型</w:t>
            </w:r>
          </w:p>
        </w:tc>
      </w:tr>
      <w:tr w14:paraId="30B5972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BC3D17A">
            <w:pPr>
              <w:jc w:val="center"/>
              <w:rPr>
                <w:rFonts w:ascii="宋体" w:hAnsi="宋体"/>
                <w:color w:val="auto"/>
                <w:szCs w:val="21"/>
                <w:highlight w:val="none"/>
              </w:rPr>
            </w:pPr>
          </w:p>
        </w:tc>
        <w:tc>
          <w:tcPr>
            <w:tcW w:w="7532" w:type="dxa"/>
            <w:gridSpan w:val="4"/>
            <w:vAlign w:val="center"/>
          </w:tcPr>
          <w:p w14:paraId="5B6B3BB7">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71E5CC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8A9CEB6">
            <w:pPr>
              <w:jc w:val="center"/>
              <w:rPr>
                <w:rFonts w:ascii="宋体" w:hAnsi="宋体"/>
                <w:color w:val="auto"/>
                <w:szCs w:val="21"/>
                <w:highlight w:val="none"/>
              </w:rPr>
            </w:pPr>
          </w:p>
        </w:tc>
        <w:tc>
          <w:tcPr>
            <w:tcW w:w="7532" w:type="dxa"/>
            <w:gridSpan w:val="4"/>
            <w:vAlign w:val="center"/>
          </w:tcPr>
          <w:p w14:paraId="4A58AE18">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餐饮业</w:t>
            </w:r>
          </w:p>
        </w:tc>
      </w:tr>
      <w:tr w14:paraId="3386597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CE37424">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19E133E7">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534A254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8D60E6A">
            <w:pPr>
              <w:jc w:val="center"/>
              <w:rPr>
                <w:rFonts w:ascii="宋体" w:hAnsi="宋体"/>
                <w:color w:val="auto"/>
                <w:szCs w:val="21"/>
                <w:highlight w:val="none"/>
              </w:rPr>
            </w:pPr>
          </w:p>
        </w:tc>
        <w:tc>
          <w:tcPr>
            <w:tcW w:w="7532" w:type="dxa"/>
            <w:gridSpan w:val="4"/>
            <w:vAlign w:val="center"/>
          </w:tcPr>
          <w:p w14:paraId="6E7099F5">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198344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9B8192B">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3EAB0A62">
            <w:pPr>
              <w:rPr>
                <w:rFonts w:ascii="宋体" w:hAnsi="宋体"/>
                <w:b/>
                <w:color w:val="auto"/>
                <w:szCs w:val="21"/>
                <w:highlight w:val="none"/>
              </w:rPr>
            </w:pPr>
            <w:r>
              <w:rPr>
                <w:rFonts w:hint="eastAsia" w:ascii="宋体" w:hAnsi="宋体"/>
                <w:b/>
                <w:bCs/>
                <w:color w:val="auto"/>
                <w:szCs w:val="21"/>
                <w:highlight w:val="none"/>
              </w:rPr>
              <w:t>资金来源</w:t>
            </w:r>
          </w:p>
        </w:tc>
      </w:tr>
      <w:tr w14:paraId="2A0DBE9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484A83BD">
            <w:pPr>
              <w:jc w:val="center"/>
              <w:rPr>
                <w:rFonts w:ascii="宋体" w:hAnsi="宋体"/>
                <w:color w:val="auto"/>
                <w:szCs w:val="21"/>
                <w:highlight w:val="none"/>
              </w:rPr>
            </w:pPr>
          </w:p>
        </w:tc>
        <w:tc>
          <w:tcPr>
            <w:tcW w:w="7532" w:type="dxa"/>
            <w:gridSpan w:val="4"/>
            <w:vAlign w:val="center"/>
          </w:tcPr>
          <w:p w14:paraId="5CDFC915">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279EB7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E8DC368">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4E3B6162">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7C2F7C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D69D48F">
            <w:pPr>
              <w:jc w:val="center"/>
              <w:rPr>
                <w:rFonts w:ascii="宋体" w:hAnsi="宋体"/>
                <w:color w:val="auto"/>
                <w:szCs w:val="21"/>
                <w:highlight w:val="none"/>
              </w:rPr>
            </w:pPr>
          </w:p>
        </w:tc>
        <w:tc>
          <w:tcPr>
            <w:tcW w:w="7532" w:type="dxa"/>
            <w:gridSpan w:val="4"/>
            <w:vAlign w:val="center"/>
          </w:tcPr>
          <w:p w14:paraId="32216152">
            <w:pPr>
              <w:rPr>
                <w:rFonts w:ascii="宋体" w:hAnsi="宋体"/>
                <w:color w:val="auto"/>
                <w:szCs w:val="21"/>
                <w:highlight w:val="none"/>
              </w:rPr>
            </w:pPr>
            <w:r>
              <w:rPr>
                <w:rFonts w:hint="eastAsia" w:ascii="宋体" w:hAnsi="宋体"/>
                <w:bCs/>
                <w:color w:val="auto"/>
                <w:szCs w:val="21"/>
                <w:highlight w:val="none"/>
              </w:rPr>
              <w:t>与项目预算一致。</w:t>
            </w:r>
          </w:p>
        </w:tc>
      </w:tr>
      <w:tr w14:paraId="07B1DD8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7BAF738">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3BB937D8">
            <w:pPr>
              <w:rPr>
                <w:rFonts w:ascii="宋体" w:hAnsi="宋体"/>
                <w:b/>
                <w:color w:val="auto"/>
                <w:szCs w:val="21"/>
                <w:highlight w:val="none"/>
              </w:rPr>
            </w:pPr>
            <w:r>
              <w:rPr>
                <w:rFonts w:hint="eastAsia" w:ascii="宋体" w:hAnsi="宋体"/>
                <w:b/>
                <w:color w:val="auto"/>
                <w:szCs w:val="21"/>
                <w:highlight w:val="none"/>
              </w:rPr>
              <w:t>踏勘现场</w:t>
            </w:r>
          </w:p>
        </w:tc>
      </w:tr>
      <w:tr w14:paraId="77F351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6D93F51">
            <w:pPr>
              <w:jc w:val="center"/>
              <w:rPr>
                <w:rFonts w:ascii="宋体" w:hAnsi="宋体"/>
                <w:color w:val="auto"/>
                <w:szCs w:val="21"/>
                <w:highlight w:val="none"/>
              </w:rPr>
            </w:pPr>
          </w:p>
        </w:tc>
        <w:tc>
          <w:tcPr>
            <w:tcW w:w="7532" w:type="dxa"/>
            <w:gridSpan w:val="4"/>
            <w:vAlign w:val="center"/>
          </w:tcPr>
          <w:p w14:paraId="7FF87BEC">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120D5D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6856FB60">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47559E16">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071198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0511B7AD">
            <w:pPr>
              <w:jc w:val="center"/>
              <w:rPr>
                <w:rFonts w:ascii="宋体" w:hAnsi="宋体"/>
                <w:color w:val="auto"/>
                <w:szCs w:val="21"/>
                <w:highlight w:val="none"/>
              </w:rPr>
            </w:pPr>
          </w:p>
        </w:tc>
        <w:tc>
          <w:tcPr>
            <w:tcW w:w="3841" w:type="dxa"/>
            <w:gridSpan w:val="3"/>
            <w:vAlign w:val="center"/>
          </w:tcPr>
          <w:p w14:paraId="71CFF590">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1DA741B8">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38BDF1E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02C8EFBF">
            <w:pPr>
              <w:jc w:val="center"/>
              <w:rPr>
                <w:rFonts w:ascii="宋体" w:hAnsi="宋体"/>
                <w:color w:val="auto"/>
                <w:szCs w:val="21"/>
                <w:highlight w:val="none"/>
              </w:rPr>
            </w:pPr>
          </w:p>
        </w:tc>
        <w:tc>
          <w:tcPr>
            <w:tcW w:w="3841" w:type="dxa"/>
            <w:gridSpan w:val="3"/>
            <w:vAlign w:val="center"/>
          </w:tcPr>
          <w:p w14:paraId="0911D926">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7F2A3BAC">
            <w:pPr>
              <w:jc w:val="center"/>
              <w:rPr>
                <w:rFonts w:ascii="宋体" w:hAnsi="宋体"/>
                <w:b/>
                <w:color w:val="auto"/>
                <w:szCs w:val="21"/>
                <w:highlight w:val="none"/>
              </w:rPr>
            </w:pPr>
            <w:r>
              <w:rPr>
                <w:rFonts w:ascii="宋体" w:hAnsi="宋体"/>
                <w:color w:val="auto"/>
                <w:szCs w:val="21"/>
                <w:highlight w:val="none"/>
              </w:rPr>
              <w:t>http://www.ccgp.gov.cn/</w:t>
            </w:r>
          </w:p>
        </w:tc>
      </w:tr>
      <w:tr w14:paraId="26A0810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2D7D1F17">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7D4D563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EDA5B5">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60BE37E0">
            <w:pPr>
              <w:rPr>
                <w:rFonts w:ascii="宋体" w:hAnsi="宋体"/>
                <w:b/>
                <w:color w:val="auto"/>
                <w:szCs w:val="21"/>
                <w:highlight w:val="none"/>
              </w:rPr>
            </w:pPr>
            <w:r>
              <w:rPr>
                <w:rFonts w:hint="eastAsia" w:ascii="宋体" w:hAnsi="宋体"/>
                <w:b/>
                <w:color w:val="auto"/>
                <w:szCs w:val="21"/>
                <w:highlight w:val="none"/>
              </w:rPr>
              <w:t>投标语言</w:t>
            </w:r>
          </w:p>
        </w:tc>
      </w:tr>
      <w:tr w14:paraId="415098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28F3F9D">
            <w:pPr>
              <w:jc w:val="center"/>
              <w:rPr>
                <w:rFonts w:ascii="宋体" w:hAnsi="宋体"/>
                <w:color w:val="auto"/>
                <w:szCs w:val="21"/>
                <w:highlight w:val="none"/>
              </w:rPr>
            </w:pPr>
          </w:p>
        </w:tc>
        <w:tc>
          <w:tcPr>
            <w:tcW w:w="7532" w:type="dxa"/>
            <w:gridSpan w:val="4"/>
            <w:vAlign w:val="center"/>
          </w:tcPr>
          <w:p w14:paraId="07663B30">
            <w:pPr>
              <w:rPr>
                <w:rFonts w:ascii="宋体" w:hAnsi="宋体"/>
                <w:b/>
                <w:color w:val="auto"/>
                <w:szCs w:val="21"/>
                <w:highlight w:val="none"/>
              </w:rPr>
            </w:pPr>
            <w:r>
              <w:rPr>
                <w:rFonts w:hint="eastAsia" w:ascii="宋体" w:hAnsi="宋体"/>
                <w:color w:val="auto"/>
                <w:szCs w:val="21"/>
                <w:highlight w:val="none"/>
              </w:rPr>
              <w:t>中文。</w:t>
            </w:r>
          </w:p>
        </w:tc>
      </w:tr>
      <w:tr w14:paraId="0969D28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DF63ED9">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3D70D00A">
            <w:pPr>
              <w:jc w:val="both"/>
              <w:rPr>
                <w:rFonts w:ascii="宋体" w:hAnsi="宋体"/>
                <w:b/>
                <w:color w:val="auto"/>
                <w:szCs w:val="21"/>
                <w:highlight w:val="none"/>
              </w:rPr>
            </w:pPr>
            <w:r>
              <w:rPr>
                <w:rFonts w:hint="eastAsia" w:ascii="宋体" w:hAnsi="宋体"/>
                <w:b/>
                <w:color w:val="auto"/>
                <w:szCs w:val="21"/>
                <w:highlight w:val="none"/>
              </w:rPr>
              <w:t>投标报价</w:t>
            </w:r>
          </w:p>
        </w:tc>
      </w:tr>
      <w:tr w14:paraId="0ECBA7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4DB3E25">
            <w:pPr>
              <w:jc w:val="center"/>
              <w:rPr>
                <w:rFonts w:ascii="宋体" w:hAnsi="宋体"/>
                <w:color w:val="auto"/>
                <w:szCs w:val="21"/>
                <w:highlight w:val="none"/>
              </w:rPr>
            </w:pPr>
          </w:p>
        </w:tc>
        <w:tc>
          <w:tcPr>
            <w:tcW w:w="7532" w:type="dxa"/>
            <w:gridSpan w:val="4"/>
            <w:vAlign w:val="center"/>
          </w:tcPr>
          <w:p w14:paraId="2215206E">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23B553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68E7599">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1099FF08">
            <w:pPr>
              <w:jc w:val="both"/>
              <w:rPr>
                <w:rFonts w:ascii="宋体" w:hAnsi="宋体"/>
                <w:b/>
                <w:color w:val="auto"/>
                <w:szCs w:val="21"/>
                <w:highlight w:val="none"/>
              </w:rPr>
            </w:pPr>
            <w:r>
              <w:rPr>
                <w:rFonts w:hint="eastAsia" w:ascii="宋体" w:hAnsi="宋体"/>
                <w:b/>
                <w:color w:val="auto"/>
                <w:szCs w:val="21"/>
                <w:highlight w:val="none"/>
              </w:rPr>
              <w:t>投标样品</w:t>
            </w:r>
          </w:p>
        </w:tc>
      </w:tr>
      <w:tr w14:paraId="279852C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7244EF5">
            <w:pPr>
              <w:jc w:val="center"/>
              <w:rPr>
                <w:rFonts w:ascii="宋体" w:hAnsi="宋体"/>
                <w:color w:val="auto"/>
                <w:szCs w:val="21"/>
                <w:highlight w:val="none"/>
              </w:rPr>
            </w:pPr>
          </w:p>
        </w:tc>
        <w:tc>
          <w:tcPr>
            <w:tcW w:w="7532" w:type="dxa"/>
            <w:gridSpan w:val="4"/>
            <w:vAlign w:val="center"/>
          </w:tcPr>
          <w:p w14:paraId="5A8E1F7C">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73959F3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9AF59EC">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58E1AD4B">
            <w:pPr>
              <w:jc w:val="both"/>
              <w:rPr>
                <w:rFonts w:ascii="宋体" w:hAnsi="宋体"/>
                <w:color w:val="auto"/>
                <w:szCs w:val="21"/>
                <w:highlight w:val="none"/>
              </w:rPr>
            </w:pPr>
            <w:r>
              <w:rPr>
                <w:rFonts w:hint="eastAsia" w:ascii="宋体" w:hAnsi="宋体"/>
                <w:b/>
                <w:color w:val="auto"/>
                <w:szCs w:val="21"/>
                <w:highlight w:val="none"/>
              </w:rPr>
              <w:t>核心产品</w:t>
            </w:r>
          </w:p>
        </w:tc>
      </w:tr>
      <w:tr w14:paraId="3CA53C2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91F98BA">
            <w:pPr>
              <w:jc w:val="both"/>
              <w:rPr>
                <w:rFonts w:ascii="宋体" w:hAnsi="宋体"/>
                <w:color w:val="auto"/>
                <w:szCs w:val="21"/>
                <w:highlight w:val="none"/>
              </w:rPr>
            </w:pPr>
          </w:p>
        </w:tc>
        <w:tc>
          <w:tcPr>
            <w:tcW w:w="7532" w:type="dxa"/>
            <w:gridSpan w:val="4"/>
            <w:vAlign w:val="center"/>
          </w:tcPr>
          <w:p w14:paraId="1A7BF0A0">
            <w:pPr>
              <w:jc w:val="both"/>
              <w:rPr>
                <w:rFonts w:ascii="宋体" w:hAnsi="宋体"/>
                <w:color w:val="auto"/>
                <w:szCs w:val="21"/>
                <w:highlight w:val="none"/>
              </w:rPr>
            </w:pPr>
            <w:r>
              <w:rPr>
                <w:rFonts w:hint="eastAsia" w:ascii="宋体" w:hAnsi="宋体"/>
                <w:color w:val="auto"/>
                <w:szCs w:val="21"/>
                <w:highlight w:val="none"/>
              </w:rPr>
              <w:t>“●”为核心产品</w:t>
            </w:r>
          </w:p>
        </w:tc>
      </w:tr>
      <w:tr w14:paraId="07ADF26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6FAD9A3">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119A16B6">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1384BD4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A4ECF39">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2C394B3E">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17EC24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E887A1A">
            <w:pPr>
              <w:jc w:val="center"/>
              <w:rPr>
                <w:rFonts w:ascii="宋体" w:hAnsi="宋体"/>
                <w:color w:val="auto"/>
                <w:szCs w:val="21"/>
                <w:highlight w:val="none"/>
              </w:rPr>
            </w:pPr>
          </w:p>
        </w:tc>
        <w:tc>
          <w:tcPr>
            <w:tcW w:w="7532" w:type="dxa"/>
            <w:gridSpan w:val="4"/>
            <w:vAlign w:val="center"/>
          </w:tcPr>
          <w:p w14:paraId="48299246">
            <w:pPr>
              <w:jc w:val="both"/>
              <w:rPr>
                <w:rFonts w:ascii="宋体" w:hAnsi="宋体"/>
                <w:b/>
                <w:color w:val="auto"/>
                <w:szCs w:val="21"/>
                <w:highlight w:val="none"/>
              </w:rPr>
            </w:pPr>
            <w:r>
              <w:rPr>
                <w:rFonts w:hint="eastAsia" w:ascii="宋体" w:hAnsi="宋体"/>
                <w:color w:val="auto"/>
                <w:szCs w:val="21"/>
                <w:highlight w:val="none"/>
              </w:rPr>
              <w:t>九十天。</w:t>
            </w:r>
          </w:p>
        </w:tc>
      </w:tr>
      <w:tr w14:paraId="6B1EEE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8262AC5">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35EEF285">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7B82EAB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EE34E0">
            <w:pPr>
              <w:jc w:val="center"/>
              <w:rPr>
                <w:rFonts w:ascii="宋体" w:hAnsi="宋体"/>
                <w:color w:val="auto"/>
                <w:szCs w:val="21"/>
                <w:highlight w:val="none"/>
              </w:rPr>
            </w:pPr>
          </w:p>
        </w:tc>
        <w:tc>
          <w:tcPr>
            <w:tcW w:w="3766" w:type="dxa"/>
            <w:gridSpan w:val="2"/>
            <w:vAlign w:val="center"/>
          </w:tcPr>
          <w:p w14:paraId="7BA303C1">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08668ED7">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57430B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366F9E">
            <w:pPr>
              <w:jc w:val="center"/>
              <w:rPr>
                <w:rFonts w:ascii="宋体" w:hAnsi="宋体"/>
                <w:color w:val="auto"/>
                <w:szCs w:val="21"/>
                <w:highlight w:val="none"/>
              </w:rPr>
            </w:pPr>
          </w:p>
        </w:tc>
        <w:tc>
          <w:tcPr>
            <w:tcW w:w="3766" w:type="dxa"/>
            <w:gridSpan w:val="2"/>
            <w:vAlign w:val="center"/>
          </w:tcPr>
          <w:p w14:paraId="021A117D">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4CF86C52">
            <w:pPr>
              <w:jc w:val="center"/>
              <w:rPr>
                <w:rFonts w:ascii="宋体" w:hAnsi="宋体"/>
                <w:color w:val="auto"/>
                <w:szCs w:val="21"/>
                <w:highlight w:val="none"/>
              </w:rPr>
            </w:pPr>
            <w:r>
              <w:rPr>
                <w:rFonts w:ascii="宋体" w:hAnsi="宋体"/>
                <w:color w:val="auto"/>
                <w:szCs w:val="21"/>
                <w:highlight w:val="none"/>
              </w:rPr>
              <w:t>http://www.ccgp.gov.cn/</w:t>
            </w:r>
          </w:p>
        </w:tc>
      </w:tr>
      <w:tr w14:paraId="78823D1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3754268F">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25BADFF1">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04E01E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EA287F7">
            <w:pPr>
              <w:jc w:val="center"/>
              <w:rPr>
                <w:rFonts w:ascii="宋体" w:hAnsi="宋体"/>
                <w:color w:val="auto"/>
                <w:szCs w:val="21"/>
                <w:highlight w:val="none"/>
              </w:rPr>
            </w:pPr>
          </w:p>
        </w:tc>
        <w:tc>
          <w:tcPr>
            <w:tcW w:w="2608" w:type="dxa"/>
            <w:vAlign w:val="center"/>
          </w:tcPr>
          <w:p w14:paraId="7E85DAA1">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3572C5C9">
            <w:pPr>
              <w:jc w:val="center"/>
              <w:rPr>
                <w:rFonts w:ascii="宋体" w:hAnsi="宋体"/>
                <w:b/>
                <w:color w:val="auto"/>
                <w:szCs w:val="21"/>
                <w:highlight w:val="none"/>
              </w:rPr>
            </w:pPr>
            <w:r>
              <w:rPr>
                <w:rFonts w:hint="eastAsia" w:ascii="宋体" w:hAnsi="宋体"/>
                <w:b/>
                <w:color w:val="auto"/>
                <w:szCs w:val="21"/>
                <w:highlight w:val="none"/>
              </w:rPr>
              <w:t>份数</w:t>
            </w:r>
          </w:p>
        </w:tc>
      </w:tr>
      <w:tr w14:paraId="40F556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C5CA0D1">
            <w:pPr>
              <w:jc w:val="center"/>
              <w:rPr>
                <w:rFonts w:ascii="宋体" w:hAnsi="宋体"/>
                <w:color w:val="auto"/>
                <w:szCs w:val="21"/>
                <w:highlight w:val="none"/>
              </w:rPr>
            </w:pPr>
          </w:p>
        </w:tc>
        <w:tc>
          <w:tcPr>
            <w:tcW w:w="2608" w:type="dxa"/>
            <w:vAlign w:val="center"/>
          </w:tcPr>
          <w:p w14:paraId="70EA150C">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297A3C3C">
            <w:pPr>
              <w:jc w:val="center"/>
              <w:rPr>
                <w:rFonts w:ascii="宋体" w:hAnsi="宋体"/>
                <w:b/>
                <w:color w:val="auto"/>
                <w:szCs w:val="21"/>
                <w:highlight w:val="none"/>
              </w:rPr>
            </w:pPr>
            <w:r>
              <w:rPr>
                <w:rFonts w:hint="eastAsia" w:ascii="宋体" w:hAnsi="宋体"/>
                <w:b/>
                <w:color w:val="auto"/>
                <w:szCs w:val="21"/>
                <w:highlight w:val="none"/>
              </w:rPr>
              <w:t>1</w:t>
            </w:r>
          </w:p>
        </w:tc>
      </w:tr>
      <w:tr w14:paraId="1D394B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78D055E">
            <w:pPr>
              <w:jc w:val="center"/>
              <w:rPr>
                <w:rFonts w:ascii="宋体" w:hAnsi="宋体"/>
                <w:color w:val="auto"/>
                <w:szCs w:val="21"/>
                <w:highlight w:val="none"/>
              </w:rPr>
            </w:pPr>
          </w:p>
        </w:tc>
        <w:tc>
          <w:tcPr>
            <w:tcW w:w="2608" w:type="dxa"/>
            <w:vAlign w:val="center"/>
          </w:tcPr>
          <w:p w14:paraId="7AC66EEF">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6B603C67">
            <w:pPr>
              <w:jc w:val="center"/>
              <w:rPr>
                <w:rFonts w:ascii="宋体" w:hAnsi="宋体"/>
                <w:b/>
                <w:color w:val="auto"/>
                <w:szCs w:val="21"/>
                <w:highlight w:val="none"/>
              </w:rPr>
            </w:pPr>
            <w:r>
              <w:rPr>
                <w:rFonts w:hint="eastAsia" w:ascii="宋体" w:hAnsi="宋体"/>
                <w:b/>
                <w:color w:val="auto"/>
                <w:szCs w:val="21"/>
                <w:highlight w:val="none"/>
              </w:rPr>
              <w:t>1</w:t>
            </w:r>
          </w:p>
        </w:tc>
      </w:tr>
      <w:tr w14:paraId="51A56A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1E929BE">
            <w:pPr>
              <w:jc w:val="center"/>
              <w:rPr>
                <w:rFonts w:ascii="宋体" w:hAnsi="宋体"/>
                <w:color w:val="auto"/>
                <w:szCs w:val="21"/>
                <w:highlight w:val="none"/>
              </w:rPr>
            </w:pPr>
          </w:p>
        </w:tc>
        <w:tc>
          <w:tcPr>
            <w:tcW w:w="2608" w:type="dxa"/>
            <w:vAlign w:val="center"/>
          </w:tcPr>
          <w:p w14:paraId="01FF80A3">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2AAB1DBB">
            <w:pPr>
              <w:jc w:val="center"/>
              <w:rPr>
                <w:rFonts w:ascii="宋体" w:hAnsi="宋体"/>
                <w:b/>
                <w:color w:val="auto"/>
                <w:szCs w:val="21"/>
                <w:highlight w:val="none"/>
              </w:rPr>
            </w:pPr>
            <w:r>
              <w:rPr>
                <w:rFonts w:hint="eastAsia" w:ascii="宋体" w:hAnsi="宋体"/>
                <w:b/>
                <w:color w:val="auto"/>
                <w:szCs w:val="21"/>
                <w:highlight w:val="none"/>
              </w:rPr>
              <w:t>5</w:t>
            </w:r>
          </w:p>
        </w:tc>
      </w:tr>
      <w:tr w14:paraId="3B32FA8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14949D5">
            <w:pPr>
              <w:jc w:val="center"/>
              <w:rPr>
                <w:rFonts w:ascii="宋体" w:hAnsi="宋体"/>
                <w:color w:val="auto"/>
                <w:szCs w:val="21"/>
                <w:highlight w:val="none"/>
              </w:rPr>
            </w:pPr>
          </w:p>
        </w:tc>
        <w:tc>
          <w:tcPr>
            <w:tcW w:w="2608" w:type="dxa"/>
            <w:vAlign w:val="center"/>
          </w:tcPr>
          <w:p w14:paraId="53091BB4">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43ABC2F4">
            <w:pPr>
              <w:jc w:val="center"/>
              <w:rPr>
                <w:rFonts w:ascii="宋体" w:hAnsi="宋体"/>
                <w:b/>
                <w:color w:val="auto"/>
                <w:szCs w:val="21"/>
                <w:highlight w:val="none"/>
              </w:rPr>
            </w:pPr>
            <w:r>
              <w:rPr>
                <w:rFonts w:hint="eastAsia" w:ascii="宋体" w:hAnsi="宋体"/>
                <w:b/>
                <w:color w:val="auto"/>
                <w:szCs w:val="21"/>
                <w:highlight w:val="none"/>
              </w:rPr>
              <w:t>1</w:t>
            </w:r>
          </w:p>
        </w:tc>
      </w:tr>
      <w:tr w14:paraId="61F16F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6089E086">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4BEA653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9A8EA3F">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32EB679E">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6309B6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663AEA6">
            <w:pPr>
              <w:jc w:val="center"/>
              <w:rPr>
                <w:rFonts w:ascii="宋体" w:hAnsi="宋体"/>
                <w:color w:val="auto"/>
                <w:szCs w:val="21"/>
                <w:highlight w:val="none"/>
              </w:rPr>
            </w:pPr>
          </w:p>
        </w:tc>
        <w:tc>
          <w:tcPr>
            <w:tcW w:w="7532" w:type="dxa"/>
            <w:gridSpan w:val="4"/>
            <w:vAlign w:val="center"/>
          </w:tcPr>
          <w:p w14:paraId="6E052902">
            <w:pPr>
              <w:jc w:val="both"/>
              <w:rPr>
                <w:rFonts w:ascii="宋体" w:hAnsi="宋体"/>
                <w:b/>
                <w:color w:val="auto"/>
                <w:szCs w:val="21"/>
                <w:highlight w:val="none"/>
              </w:rPr>
            </w:pPr>
            <w:r>
              <w:rPr>
                <w:rFonts w:hint="eastAsia" w:ascii="宋体" w:hAnsi="宋体"/>
                <w:color w:val="auto"/>
                <w:szCs w:val="21"/>
                <w:highlight w:val="none"/>
              </w:rPr>
              <w:t>综合评分法。</w:t>
            </w:r>
          </w:p>
        </w:tc>
      </w:tr>
      <w:tr w14:paraId="578F2AA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22178D1B">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1B8E2CA8">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3FB2B1F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A7B4E1C">
            <w:pPr>
              <w:jc w:val="center"/>
              <w:rPr>
                <w:rFonts w:ascii="宋体" w:hAnsi="宋体"/>
                <w:color w:val="auto"/>
                <w:szCs w:val="21"/>
                <w:highlight w:val="none"/>
              </w:rPr>
            </w:pPr>
          </w:p>
        </w:tc>
        <w:tc>
          <w:tcPr>
            <w:tcW w:w="7532" w:type="dxa"/>
            <w:gridSpan w:val="4"/>
            <w:vAlign w:val="center"/>
          </w:tcPr>
          <w:p w14:paraId="4D6737C3">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1977A2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6466A0B">
            <w:pPr>
              <w:jc w:val="center"/>
              <w:rPr>
                <w:rFonts w:ascii="宋体" w:hAnsi="宋体"/>
                <w:color w:val="auto"/>
                <w:szCs w:val="21"/>
                <w:highlight w:val="none"/>
              </w:rPr>
            </w:pPr>
          </w:p>
        </w:tc>
        <w:tc>
          <w:tcPr>
            <w:tcW w:w="7532" w:type="dxa"/>
            <w:gridSpan w:val="4"/>
            <w:vAlign w:val="center"/>
          </w:tcPr>
          <w:p w14:paraId="04E78E6B">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05FEA5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B9F74C1">
            <w:pPr>
              <w:jc w:val="center"/>
              <w:rPr>
                <w:rFonts w:ascii="宋体" w:hAnsi="宋体"/>
                <w:color w:val="auto"/>
                <w:szCs w:val="21"/>
                <w:highlight w:val="none"/>
              </w:rPr>
            </w:pPr>
          </w:p>
        </w:tc>
        <w:tc>
          <w:tcPr>
            <w:tcW w:w="7532" w:type="dxa"/>
            <w:gridSpan w:val="4"/>
            <w:vAlign w:val="center"/>
          </w:tcPr>
          <w:p w14:paraId="5E0111C0">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52168D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2F65717">
            <w:pPr>
              <w:jc w:val="center"/>
              <w:rPr>
                <w:rFonts w:ascii="宋体" w:hAnsi="宋体"/>
                <w:color w:val="auto"/>
                <w:szCs w:val="21"/>
                <w:highlight w:val="none"/>
              </w:rPr>
            </w:pPr>
          </w:p>
        </w:tc>
        <w:tc>
          <w:tcPr>
            <w:tcW w:w="7532" w:type="dxa"/>
            <w:gridSpan w:val="4"/>
            <w:vAlign w:val="center"/>
          </w:tcPr>
          <w:p w14:paraId="38055F43">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114C29D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62A864E">
            <w:pPr>
              <w:jc w:val="center"/>
              <w:rPr>
                <w:rFonts w:ascii="宋体" w:hAnsi="宋体"/>
                <w:color w:val="auto"/>
                <w:szCs w:val="21"/>
                <w:highlight w:val="none"/>
              </w:rPr>
            </w:pPr>
          </w:p>
        </w:tc>
        <w:tc>
          <w:tcPr>
            <w:tcW w:w="7532" w:type="dxa"/>
            <w:gridSpan w:val="4"/>
            <w:vAlign w:val="center"/>
          </w:tcPr>
          <w:p w14:paraId="2B975747">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43EE289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67258AB9">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2E7AEB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0CA3046B">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19A1793C">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77C55D1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7CE43FA">
            <w:pPr>
              <w:jc w:val="center"/>
              <w:rPr>
                <w:rFonts w:ascii="宋体" w:hAnsi="宋体"/>
                <w:color w:val="auto"/>
                <w:szCs w:val="21"/>
                <w:highlight w:val="none"/>
              </w:rPr>
            </w:pPr>
          </w:p>
        </w:tc>
        <w:tc>
          <w:tcPr>
            <w:tcW w:w="7532" w:type="dxa"/>
            <w:gridSpan w:val="4"/>
            <w:shd w:val="clear" w:color="auto" w:fill="auto"/>
            <w:vAlign w:val="center"/>
          </w:tcPr>
          <w:p w14:paraId="01C8AE4A">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53D8F1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0A534BA0">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23975862">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6BCF67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6399D2AB">
            <w:pPr>
              <w:jc w:val="center"/>
              <w:rPr>
                <w:rFonts w:ascii="宋体" w:hAnsi="宋体"/>
                <w:color w:val="auto"/>
                <w:szCs w:val="21"/>
                <w:highlight w:val="none"/>
              </w:rPr>
            </w:pPr>
          </w:p>
        </w:tc>
        <w:tc>
          <w:tcPr>
            <w:tcW w:w="7532" w:type="dxa"/>
            <w:gridSpan w:val="4"/>
            <w:vAlign w:val="center"/>
          </w:tcPr>
          <w:p w14:paraId="345484C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w:t>
            </w:r>
            <w:r>
              <w:rPr>
                <w:rFonts w:hint="eastAsia" w:ascii="宋体" w:hAnsi="宋体"/>
                <w:color w:val="auto"/>
                <w:szCs w:val="21"/>
                <w:highlight w:val="none"/>
                <w:lang w:val="en-US" w:eastAsia="zh-CN"/>
              </w:rPr>
              <w:t>陆万</w:t>
            </w:r>
            <w:r>
              <w:rPr>
                <w:rFonts w:hint="eastAsia" w:ascii="宋体" w:hAnsi="宋体"/>
                <w:color w:val="auto"/>
                <w:szCs w:val="21"/>
                <w:highlight w:val="none"/>
                <w:lang w:eastAsia="zh-CN"/>
              </w:rPr>
              <w:t>元</w:t>
            </w:r>
            <w:r>
              <w:rPr>
                <w:rFonts w:hint="eastAsia" w:ascii="宋体" w:hAnsi="宋体"/>
                <w:color w:val="auto"/>
                <w:szCs w:val="21"/>
                <w:highlight w:val="none"/>
                <w:lang w:val="en-US" w:eastAsia="zh-CN"/>
              </w:rPr>
              <w:t>整</w:t>
            </w:r>
            <w:r>
              <w:rPr>
                <w:rFonts w:hint="eastAsia" w:ascii="宋体" w:hAnsi="宋体"/>
                <w:color w:val="auto"/>
                <w:szCs w:val="21"/>
                <w:highlight w:val="none"/>
              </w:rPr>
              <w:t>向中标单位收取。</w:t>
            </w:r>
          </w:p>
        </w:tc>
      </w:tr>
      <w:tr w14:paraId="322E4F4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6627BAB2">
            <w:pPr>
              <w:jc w:val="center"/>
              <w:rPr>
                <w:rFonts w:ascii="宋体" w:hAnsi="宋体"/>
                <w:color w:val="auto"/>
                <w:szCs w:val="21"/>
                <w:highlight w:val="none"/>
              </w:rPr>
            </w:pPr>
          </w:p>
        </w:tc>
        <w:tc>
          <w:tcPr>
            <w:tcW w:w="7532" w:type="dxa"/>
            <w:gridSpan w:val="4"/>
            <w:vAlign w:val="center"/>
          </w:tcPr>
          <w:p w14:paraId="481C557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58B21B7C">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71400E8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C71AE3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57438F6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79DEE824">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701378D4">
      <w:pPr>
        <w:rPr>
          <w:color w:val="auto"/>
          <w:highlight w:val="none"/>
        </w:rPr>
      </w:pPr>
    </w:p>
    <w:p w14:paraId="74911728">
      <w:pPr>
        <w:bidi w:val="0"/>
        <w:rPr>
          <w:color w:val="auto"/>
          <w:highlight w:val="none"/>
        </w:rPr>
      </w:pPr>
    </w:p>
    <w:p w14:paraId="30C971C7">
      <w:pPr>
        <w:bidi w:val="0"/>
        <w:rPr>
          <w:color w:val="auto"/>
          <w:highlight w:val="none"/>
        </w:rPr>
      </w:pPr>
    </w:p>
    <w:p w14:paraId="6B332602">
      <w:pPr>
        <w:bidi w:val="0"/>
        <w:rPr>
          <w:color w:val="auto"/>
          <w:highlight w:val="none"/>
        </w:rPr>
      </w:pPr>
    </w:p>
    <w:p w14:paraId="11C4A71F">
      <w:pPr>
        <w:bidi w:val="0"/>
        <w:rPr>
          <w:color w:val="auto"/>
          <w:highlight w:val="none"/>
        </w:rPr>
      </w:pPr>
    </w:p>
    <w:p w14:paraId="750F4836">
      <w:pPr>
        <w:bidi w:val="0"/>
        <w:rPr>
          <w:color w:val="auto"/>
          <w:highlight w:val="none"/>
        </w:rPr>
      </w:pPr>
    </w:p>
    <w:p w14:paraId="635E70A3">
      <w:pPr>
        <w:bidi w:val="0"/>
        <w:rPr>
          <w:color w:val="auto"/>
          <w:highlight w:val="none"/>
        </w:rPr>
      </w:pPr>
    </w:p>
    <w:p w14:paraId="54BED228">
      <w:pPr>
        <w:bidi w:val="0"/>
        <w:rPr>
          <w:color w:val="auto"/>
          <w:highlight w:val="none"/>
        </w:rPr>
      </w:pPr>
    </w:p>
    <w:p w14:paraId="2D173B57">
      <w:pPr>
        <w:bidi w:val="0"/>
        <w:rPr>
          <w:color w:val="auto"/>
          <w:highlight w:val="none"/>
        </w:rPr>
      </w:pPr>
    </w:p>
    <w:p w14:paraId="41D37B30">
      <w:pPr>
        <w:bidi w:val="0"/>
        <w:rPr>
          <w:color w:val="auto"/>
          <w:highlight w:val="none"/>
        </w:rPr>
      </w:pPr>
    </w:p>
    <w:p w14:paraId="1C2C264E">
      <w:pPr>
        <w:pStyle w:val="10"/>
        <w:rPr>
          <w:color w:val="auto"/>
          <w:highlight w:val="none"/>
        </w:rPr>
      </w:pPr>
    </w:p>
    <w:p w14:paraId="23B6AA05">
      <w:pPr>
        <w:bidi w:val="0"/>
        <w:rPr>
          <w:color w:val="auto"/>
          <w:highlight w:val="none"/>
        </w:rPr>
      </w:pPr>
    </w:p>
    <w:p w14:paraId="260887A2">
      <w:pPr>
        <w:bidi w:val="0"/>
        <w:rPr>
          <w:color w:val="auto"/>
          <w:highlight w:val="none"/>
        </w:rPr>
      </w:pPr>
    </w:p>
    <w:p w14:paraId="1AC43FC8">
      <w:pPr>
        <w:bidi w:val="0"/>
        <w:rPr>
          <w:color w:val="auto"/>
          <w:highlight w:val="none"/>
        </w:rPr>
      </w:pPr>
    </w:p>
    <w:p w14:paraId="2D17C542">
      <w:pPr>
        <w:bidi w:val="0"/>
        <w:rPr>
          <w:color w:val="auto"/>
          <w:highlight w:val="none"/>
        </w:rPr>
      </w:pPr>
    </w:p>
    <w:p w14:paraId="18E9B526">
      <w:pPr>
        <w:bidi w:val="0"/>
        <w:rPr>
          <w:color w:val="auto"/>
          <w:highlight w:val="none"/>
        </w:rPr>
      </w:pPr>
    </w:p>
    <w:p w14:paraId="7ADA8189">
      <w:pPr>
        <w:bidi w:val="0"/>
        <w:rPr>
          <w:color w:val="auto"/>
          <w:highlight w:val="none"/>
        </w:rPr>
      </w:pPr>
    </w:p>
    <w:p w14:paraId="5ACD1126">
      <w:pPr>
        <w:bidi w:val="0"/>
        <w:rPr>
          <w:color w:val="auto"/>
          <w:highlight w:val="none"/>
        </w:rPr>
      </w:pPr>
    </w:p>
    <w:p w14:paraId="024EB677">
      <w:pPr>
        <w:bidi w:val="0"/>
        <w:rPr>
          <w:color w:val="auto"/>
          <w:highlight w:val="none"/>
        </w:rPr>
      </w:pPr>
    </w:p>
    <w:p w14:paraId="1E6F3934">
      <w:pPr>
        <w:bidi w:val="0"/>
        <w:rPr>
          <w:color w:val="auto"/>
          <w:highlight w:val="none"/>
        </w:rPr>
      </w:pPr>
    </w:p>
    <w:p w14:paraId="04EACF07">
      <w:pPr>
        <w:bidi w:val="0"/>
        <w:rPr>
          <w:color w:val="auto"/>
          <w:highlight w:val="none"/>
        </w:rPr>
      </w:pPr>
    </w:p>
    <w:p w14:paraId="756AABA3">
      <w:pPr>
        <w:pStyle w:val="10"/>
        <w:rPr>
          <w:color w:val="auto"/>
          <w:highlight w:val="none"/>
        </w:rPr>
      </w:pPr>
    </w:p>
    <w:p w14:paraId="314EFD2B">
      <w:pPr>
        <w:rPr>
          <w:color w:val="auto"/>
          <w:highlight w:val="none"/>
        </w:rPr>
      </w:pPr>
    </w:p>
    <w:p w14:paraId="29B72707">
      <w:pPr>
        <w:pStyle w:val="4"/>
        <w:spacing w:before="0" w:after="0" w:line="360" w:lineRule="auto"/>
        <w:outlineLvl w:val="0"/>
        <w:rPr>
          <w:color w:val="auto"/>
          <w:highlight w:val="none"/>
        </w:rPr>
      </w:pPr>
      <w:bookmarkStart w:id="8" w:name="_Toc10230"/>
      <w:bookmarkStart w:id="9" w:name="_Toc13473"/>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4C453644">
      <w:pPr>
        <w:pStyle w:val="5"/>
        <w:spacing w:line="240" w:lineRule="auto"/>
        <w:jc w:val="center"/>
        <w:rPr>
          <w:rFonts w:ascii="宋体" w:hAnsi="宋体" w:cs="宋体"/>
          <w:color w:val="auto"/>
          <w:sz w:val="24"/>
          <w:szCs w:val="24"/>
          <w:highlight w:val="none"/>
        </w:rPr>
      </w:pPr>
      <w:bookmarkStart w:id="15" w:name="_Toc18413"/>
      <w:bookmarkStart w:id="16" w:name="_Toc4861"/>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97"/>
        <w:gridCol w:w="680"/>
        <w:gridCol w:w="5923"/>
      </w:tblGrid>
      <w:tr w14:paraId="3819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14:paraId="0FFC25C2">
            <w:pPr>
              <w:pStyle w:val="43"/>
              <w:spacing w:line="240" w:lineRule="auto"/>
              <w:ind w:firstLine="0" w:firstLineChars="0"/>
              <w:jc w:val="center"/>
              <w:rPr>
                <w:rFonts w:hint="eastAsia" w:ascii="宋体" w:hAnsi="宋体" w:eastAsia="宋体" w:cs="宋体"/>
                <w:color w:val="auto"/>
                <w:sz w:val="21"/>
                <w:szCs w:val="21"/>
                <w:highlight w:val="none"/>
              </w:rPr>
            </w:pPr>
            <w:bookmarkStart w:id="17" w:name="_Toc29685"/>
            <w:bookmarkStart w:id="18" w:name="_Toc2479"/>
            <w:bookmarkStart w:id="19" w:name="_Toc14146"/>
            <w:r>
              <w:rPr>
                <w:rFonts w:hint="eastAsia" w:ascii="宋体" w:hAnsi="宋体" w:eastAsia="宋体" w:cs="宋体"/>
                <w:color w:val="auto"/>
                <w:sz w:val="21"/>
                <w:szCs w:val="21"/>
                <w:highlight w:val="none"/>
              </w:rPr>
              <w:t>序号</w:t>
            </w:r>
          </w:p>
        </w:tc>
        <w:tc>
          <w:tcPr>
            <w:tcW w:w="1297" w:type="dxa"/>
            <w:tcBorders>
              <w:top w:val="single" w:color="auto" w:sz="4" w:space="0"/>
              <w:left w:val="single" w:color="auto" w:sz="4" w:space="0"/>
              <w:bottom w:val="single" w:color="auto" w:sz="4" w:space="0"/>
              <w:right w:val="single" w:color="auto" w:sz="4" w:space="0"/>
            </w:tcBorders>
            <w:vAlign w:val="center"/>
          </w:tcPr>
          <w:p w14:paraId="71486C95">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680" w:type="dxa"/>
            <w:tcBorders>
              <w:top w:val="single" w:color="auto" w:sz="4" w:space="0"/>
              <w:left w:val="single" w:color="auto" w:sz="4" w:space="0"/>
              <w:bottom w:val="single" w:color="auto" w:sz="4" w:space="0"/>
              <w:right w:val="single" w:color="auto" w:sz="4" w:space="0"/>
            </w:tcBorders>
            <w:vAlign w:val="center"/>
          </w:tcPr>
          <w:p w14:paraId="7AE9F0C4">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923" w:type="dxa"/>
            <w:tcBorders>
              <w:top w:val="single" w:color="auto" w:sz="4" w:space="0"/>
              <w:left w:val="single" w:color="auto" w:sz="4" w:space="0"/>
              <w:bottom w:val="single" w:color="auto" w:sz="4" w:space="0"/>
              <w:right w:val="single" w:color="auto" w:sz="4" w:space="0"/>
            </w:tcBorders>
            <w:vAlign w:val="center"/>
          </w:tcPr>
          <w:p w14:paraId="12726BB5">
            <w:pPr>
              <w:pStyle w:val="43"/>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5437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14:paraId="14406EF2">
            <w:pPr>
              <w:pStyle w:val="43"/>
              <w:spacing w:line="24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50分</w:t>
            </w:r>
            <w:r>
              <w:rPr>
                <w:rFonts w:hint="eastAsia" w:ascii="宋体" w:hAnsi="宋体" w:eastAsia="宋体" w:cs="宋体"/>
                <w:color w:val="auto"/>
                <w:sz w:val="21"/>
                <w:szCs w:val="21"/>
                <w:highlight w:val="none"/>
                <w:lang w:eastAsia="zh-CN"/>
              </w:rPr>
              <w:t>）</w:t>
            </w:r>
          </w:p>
        </w:tc>
      </w:tr>
      <w:tr w14:paraId="721A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14:paraId="718A363A">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7" w:type="dxa"/>
            <w:tcBorders>
              <w:top w:val="single" w:color="auto" w:sz="4" w:space="0"/>
              <w:left w:val="single" w:color="auto" w:sz="4" w:space="0"/>
              <w:right w:val="single" w:color="auto" w:sz="4" w:space="0"/>
            </w:tcBorders>
            <w:vAlign w:val="center"/>
          </w:tcPr>
          <w:p w14:paraId="7ABD9A59">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体系认证</w:t>
            </w:r>
          </w:p>
        </w:tc>
        <w:tc>
          <w:tcPr>
            <w:tcW w:w="680" w:type="dxa"/>
            <w:tcBorders>
              <w:top w:val="single" w:color="auto" w:sz="4" w:space="0"/>
              <w:left w:val="single" w:color="auto" w:sz="4" w:space="0"/>
              <w:bottom w:val="single" w:color="auto" w:sz="4" w:space="0"/>
              <w:right w:val="single" w:color="auto" w:sz="4" w:space="0"/>
            </w:tcBorders>
            <w:vAlign w:val="center"/>
          </w:tcPr>
          <w:p w14:paraId="077D4190">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14</w:t>
            </w:r>
          </w:p>
        </w:tc>
        <w:tc>
          <w:tcPr>
            <w:tcW w:w="5923" w:type="dxa"/>
            <w:tcBorders>
              <w:top w:val="single" w:color="auto" w:sz="4" w:space="0"/>
              <w:left w:val="single" w:color="auto" w:sz="4" w:space="0"/>
              <w:bottom w:val="single" w:color="auto" w:sz="4" w:space="0"/>
              <w:right w:val="single" w:color="auto" w:sz="4" w:space="0"/>
            </w:tcBorders>
            <w:vAlign w:val="center"/>
          </w:tcPr>
          <w:p w14:paraId="0CA174A0">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具有由国家认监委批准设立的认证机构颁发并在有效期内的：</w:t>
            </w:r>
          </w:p>
          <w:p w14:paraId="2DDF3CE9">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质量管理体系认证</w:t>
            </w:r>
            <w:r>
              <w:rPr>
                <w:rFonts w:hint="eastAsia" w:ascii="宋体" w:hAnsi="宋体" w:eastAsia="宋体" w:cs="宋体"/>
                <w:color w:val="auto"/>
                <w:sz w:val="21"/>
                <w:szCs w:val="21"/>
                <w:highlight w:val="none"/>
              </w:rPr>
              <w:t>证书</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52180589">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职业健康安全管理体系认证</w:t>
            </w:r>
            <w:r>
              <w:rPr>
                <w:rFonts w:hint="eastAsia" w:ascii="宋体" w:hAnsi="宋体" w:eastAsia="宋体" w:cs="宋体"/>
                <w:color w:val="auto"/>
                <w:sz w:val="21"/>
                <w:szCs w:val="21"/>
                <w:highlight w:val="none"/>
              </w:rPr>
              <w:t>证书</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0F2AAB69">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rPr>
              <w:t>环境管理体系认证</w:t>
            </w:r>
            <w:r>
              <w:rPr>
                <w:rFonts w:hint="eastAsia" w:ascii="宋体" w:hAnsi="宋体" w:eastAsia="宋体" w:cs="宋体"/>
                <w:color w:val="auto"/>
                <w:sz w:val="21"/>
                <w:szCs w:val="21"/>
                <w:highlight w:val="none"/>
              </w:rPr>
              <w:t>证书</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6BD4015A">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食品安全管理体系认证</w:t>
            </w:r>
            <w:r>
              <w:rPr>
                <w:rFonts w:hint="eastAsia" w:ascii="宋体" w:hAnsi="宋体" w:eastAsia="宋体" w:cs="宋体"/>
                <w:color w:val="auto"/>
                <w:sz w:val="21"/>
                <w:szCs w:val="21"/>
                <w:highlight w:val="none"/>
              </w:rPr>
              <w:t>证书</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7856AE23">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color w:val="auto"/>
                <w:sz w:val="21"/>
                <w:szCs w:val="21"/>
                <w:highlight w:val="none"/>
              </w:rPr>
              <w:t>HACCP危害分析与关键控制点认证证书</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7DDF5299">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供应商综合实力评价体系认证证书，得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1EF932A4">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顾客满意度评价体系认证证书</w:t>
            </w:r>
            <w:r>
              <w:rPr>
                <w:rFonts w:hint="eastAsia" w:asci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zh-CN"/>
              </w:rPr>
              <w:t>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本项最高得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w:t>
            </w:r>
          </w:p>
          <w:p w14:paraId="4B34FE08">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lang w:val="en-US" w:eastAsia="zh-CN"/>
              </w:rPr>
              <w:t>须提供证书复印件并加盖公章，否则不得分</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lang w:val="zh-CN" w:eastAsia="zh-CN"/>
              </w:rPr>
              <w:t>（若联合体投标，联合体之一具备即可得分）</w:t>
            </w:r>
          </w:p>
        </w:tc>
      </w:tr>
      <w:tr w14:paraId="330B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14:paraId="2BA7F3D0">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2</w:t>
            </w:r>
          </w:p>
        </w:tc>
        <w:tc>
          <w:tcPr>
            <w:tcW w:w="1297" w:type="dxa"/>
            <w:tcBorders>
              <w:left w:val="single" w:color="auto" w:sz="4" w:space="0"/>
              <w:right w:val="single" w:color="auto" w:sz="4" w:space="0"/>
            </w:tcBorders>
            <w:vAlign w:val="center"/>
          </w:tcPr>
          <w:p w14:paraId="7DBE1C30">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业绩</w:t>
            </w:r>
          </w:p>
        </w:tc>
        <w:tc>
          <w:tcPr>
            <w:tcW w:w="680" w:type="dxa"/>
            <w:tcBorders>
              <w:left w:val="single" w:color="auto" w:sz="4" w:space="0"/>
              <w:right w:val="single" w:color="auto" w:sz="4" w:space="0"/>
            </w:tcBorders>
            <w:vAlign w:val="center"/>
          </w:tcPr>
          <w:p w14:paraId="770F95E4">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c>
          <w:tcPr>
            <w:tcW w:w="5923" w:type="dxa"/>
            <w:tcBorders>
              <w:top w:val="single" w:color="auto" w:sz="4" w:space="0"/>
              <w:left w:val="single" w:color="auto" w:sz="4" w:space="0"/>
              <w:right w:val="single" w:color="auto" w:sz="4" w:space="0"/>
            </w:tcBorders>
            <w:vAlign w:val="center"/>
          </w:tcPr>
          <w:p w14:paraId="35079DA7">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kern w:val="2"/>
                <w:sz w:val="21"/>
                <w:szCs w:val="21"/>
                <w:highlight w:val="none"/>
                <w:lang w:val="en-US" w:eastAsia="zh-CN"/>
              </w:rPr>
              <w:t>投标人具有食堂（饭堂）承包（或服务）项目业绩，每提供一个业绩得</w:t>
            </w:r>
            <w:r>
              <w:rPr>
                <w:rFonts w:hint="eastAsia" w:asci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en-US" w:eastAsia="zh-CN"/>
              </w:rPr>
              <w:t>分，本项最高得</w:t>
            </w:r>
            <w:r>
              <w:rPr>
                <w:rFonts w:hint="eastAsia" w:asci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en-US" w:eastAsia="zh-CN"/>
              </w:rPr>
              <w:t>分。</w:t>
            </w:r>
          </w:p>
          <w:p w14:paraId="70C4948E">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eastAsia="zh-CN"/>
              </w:rPr>
              <w:t>注：</w:t>
            </w:r>
            <w:r>
              <w:rPr>
                <w:rFonts w:hint="eastAsia" w:ascii="宋体" w:hAnsi="宋体" w:eastAsia="宋体" w:cs="宋体"/>
                <w:bCs/>
                <w:color w:val="auto"/>
                <w:sz w:val="21"/>
                <w:szCs w:val="21"/>
                <w:highlight w:val="none"/>
                <w:lang w:val="en-US" w:eastAsia="zh-CN"/>
              </w:rPr>
              <w:t>须提供</w:t>
            </w:r>
            <w:r>
              <w:rPr>
                <w:rFonts w:hint="eastAsia" w:ascii="宋体" w:hAnsi="宋体" w:eastAsia="宋体" w:cs="宋体"/>
                <w:bCs/>
                <w:color w:val="auto"/>
                <w:sz w:val="21"/>
                <w:szCs w:val="21"/>
                <w:highlight w:val="none"/>
                <w:lang w:val="pt-BR" w:eastAsia="zh-CN"/>
              </w:rPr>
              <w:t>合同</w:t>
            </w:r>
            <w:r>
              <w:rPr>
                <w:rFonts w:hint="eastAsia" w:ascii="宋体" w:hAnsi="宋体" w:eastAsia="宋体" w:cs="宋体"/>
                <w:bCs/>
                <w:color w:val="auto"/>
                <w:sz w:val="21"/>
                <w:szCs w:val="21"/>
                <w:highlight w:val="none"/>
                <w:lang w:val="en-US" w:eastAsia="zh-CN"/>
              </w:rPr>
              <w:t>复印件</w:t>
            </w:r>
            <w:r>
              <w:rPr>
                <w:rFonts w:hint="eastAsia" w:ascii="宋体" w:hAnsi="宋体" w:eastAsia="宋体" w:cs="宋体"/>
                <w:color w:val="auto"/>
                <w:sz w:val="21"/>
                <w:szCs w:val="21"/>
                <w:highlight w:val="none"/>
              </w:rPr>
              <w:t>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否则不得分。（若联合体投标，联合体之一具备即可得分）</w:t>
            </w:r>
          </w:p>
        </w:tc>
      </w:tr>
      <w:tr w14:paraId="118C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14:paraId="4F6CFC31">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en-US" w:eastAsia="zh-CN"/>
              </w:rPr>
              <w:t>3</w:t>
            </w:r>
          </w:p>
        </w:tc>
        <w:tc>
          <w:tcPr>
            <w:tcW w:w="1297" w:type="dxa"/>
            <w:tcBorders>
              <w:left w:val="single" w:color="auto" w:sz="4" w:space="0"/>
              <w:right w:val="single" w:color="auto" w:sz="4" w:space="0"/>
            </w:tcBorders>
            <w:vAlign w:val="center"/>
          </w:tcPr>
          <w:p w14:paraId="3FBDCEF9">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拟安排项目负责人（仅限一人）</w:t>
            </w:r>
          </w:p>
        </w:tc>
        <w:tc>
          <w:tcPr>
            <w:tcW w:w="680" w:type="dxa"/>
            <w:tcBorders>
              <w:left w:val="single" w:color="auto" w:sz="4" w:space="0"/>
              <w:right w:val="single" w:color="auto" w:sz="4" w:space="0"/>
            </w:tcBorders>
            <w:vAlign w:val="center"/>
          </w:tcPr>
          <w:p w14:paraId="31E8DB70">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5923" w:type="dxa"/>
            <w:tcBorders>
              <w:top w:val="single" w:color="auto" w:sz="4" w:space="0"/>
              <w:left w:val="single" w:color="auto" w:sz="4" w:space="0"/>
              <w:right w:val="single" w:color="auto" w:sz="4" w:space="0"/>
            </w:tcBorders>
            <w:vAlign w:val="center"/>
          </w:tcPr>
          <w:p w14:paraId="6FFA95CC">
            <w:pPr>
              <w:pStyle w:val="43"/>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拟安排项目负责人（仅限一人）：</w:t>
            </w:r>
            <w:r>
              <w:rPr>
                <w:rFonts w:hint="eastAsia" w:ascii="宋体" w:hAnsi="宋体" w:eastAsia="宋体" w:cs="宋体"/>
                <w:color w:val="auto"/>
                <w:sz w:val="21"/>
                <w:szCs w:val="21"/>
                <w:highlight w:val="none"/>
                <w:lang w:val="en-US" w:eastAsia="zh-CN"/>
              </w:rPr>
              <w:t>每提供一项以下证书得2分，最高得14分：</w:t>
            </w:r>
          </w:p>
          <w:p w14:paraId="504CD98E">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w:t>
            </w:r>
            <w:r>
              <w:rPr>
                <w:rFonts w:hint="eastAsia" w:ascii="宋体" w:hAnsi="宋体" w:eastAsia="宋体" w:cs="宋体"/>
                <w:b/>
                <w:bCs/>
                <w:color w:val="auto"/>
                <w:sz w:val="21"/>
                <w:szCs w:val="21"/>
                <w:highlight w:val="none"/>
                <w:lang w:val="en-US" w:eastAsia="zh-CN"/>
              </w:rPr>
              <w:t>高级食品安全管理（员）师证书；</w:t>
            </w:r>
          </w:p>
          <w:p w14:paraId="30E780EE">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w:t>
            </w:r>
            <w:r>
              <w:rPr>
                <w:rFonts w:hint="eastAsia" w:ascii="宋体" w:hAnsi="宋体" w:eastAsia="宋体" w:cs="宋体"/>
                <w:b/>
                <w:bCs/>
                <w:color w:val="auto"/>
                <w:sz w:val="21"/>
                <w:szCs w:val="21"/>
                <w:highlight w:val="none"/>
                <w:lang w:val="en-US" w:eastAsia="zh-CN"/>
              </w:rPr>
              <w:t>高级农畜特产品加工师证书；</w:t>
            </w:r>
          </w:p>
          <w:p w14:paraId="7B38C9FB">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w:t>
            </w:r>
            <w:r>
              <w:rPr>
                <w:rFonts w:hint="eastAsia" w:ascii="宋体" w:hAnsi="宋体" w:eastAsia="宋体" w:cs="宋体"/>
                <w:b/>
                <w:bCs/>
                <w:color w:val="auto"/>
                <w:sz w:val="21"/>
                <w:szCs w:val="21"/>
                <w:highlight w:val="none"/>
                <w:lang w:val="en-US" w:eastAsia="zh-CN"/>
              </w:rPr>
              <w:t>高级食品质量管理师证书；</w:t>
            </w:r>
          </w:p>
          <w:p w14:paraId="4A0D6C95">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（4）具有</w:t>
            </w:r>
            <w:r>
              <w:rPr>
                <w:rFonts w:hint="eastAsia" w:ascii="宋体" w:hAnsi="宋体" w:eastAsia="宋体" w:cs="宋体"/>
                <w:b/>
                <w:bCs/>
                <w:color w:val="auto"/>
                <w:sz w:val="21"/>
                <w:szCs w:val="21"/>
                <w:highlight w:val="none"/>
                <w:lang w:val="en-US" w:eastAsia="zh-CN"/>
              </w:rPr>
              <w:t>高级食品配送员证书；</w:t>
            </w:r>
          </w:p>
          <w:p w14:paraId="37C9BE05">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（5）具有</w:t>
            </w:r>
            <w:r>
              <w:rPr>
                <w:rFonts w:hint="eastAsia" w:ascii="宋体" w:hAnsi="宋体" w:eastAsia="宋体" w:cs="宋体"/>
                <w:b/>
                <w:bCs/>
                <w:color w:val="auto"/>
                <w:sz w:val="21"/>
                <w:szCs w:val="21"/>
                <w:highlight w:val="none"/>
                <w:lang w:val="en-US" w:eastAsia="zh-CN"/>
              </w:rPr>
              <w:t>高级食品采购师证书；</w:t>
            </w:r>
          </w:p>
          <w:p w14:paraId="5C221F1E">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（6）具有</w:t>
            </w:r>
            <w:r>
              <w:rPr>
                <w:rFonts w:hint="eastAsia" w:ascii="宋体" w:hAnsi="宋体" w:eastAsia="宋体" w:cs="宋体"/>
                <w:b/>
                <w:bCs/>
                <w:color w:val="auto"/>
                <w:sz w:val="21"/>
                <w:szCs w:val="21"/>
                <w:highlight w:val="none"/>
                <w:lang w:val="en-US" w:eastAsia="zh-CN"/>
              </w:rPr>
              <w:t>高级仓储管理师证书；</w:t>
            </w:r>
          </w:p>
          <w:p w14:paraId="46C4B9DA">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（7）具有</w:t>
            </w:r>
            <w:r>
              <w:rPr>
                <w:rFonts w:hint="eastAsia" w:ascii="宋体" w:hAnsi="宋体" w:eastAsia="宋体" w:cs="宋体"/>
                <w:b/>
                <w:bCs/>
                <w:color w:val="auto"/>
                <w:sz w:val="21"/>
                <w:szCs w:val="21"/>
                <w:highlight w:val="none"/>
                <w:lang w:val="en-US" w:eastAsia="zh-CN"/>
              </w:rPr>
              <w:t>高级食品检验师证书。</w:t>
            </w:r>
          </w:p>
          <w:p w14:paraId="14075A4E">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w:t>
            </w:r>
            <w:r>
              <w:rPr>
                <w:rFonts w:hint="eastAsia" w:ascii="宋体" w:eastAsia="宋体" w:cs="宋体"/>
                <w:color w:val="auto"/>
                <w:sz w:val="21"/>
                <w:szCs w:val="21"/>
                <w:highlight w:val="none"/>
                <w:lang w:val="en-US" w:eastAsia="zh-CN"/>
              </w:rPr>
              <w:t>项目负责人</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（若联合体投标，联合体之一具备即可得分）</w:t>
            </w:r>
          </w:p>
        </w:tc>
      </w:tr>
      <w:tr w14:paraId="04B5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7" w:type="dxa"/>
            <w:tcBorders>
              <w:left w:val="single" w:color="auto" w:sz="4" w:space="0"/>
              <w:right w:val="single" w:color="auto" w:sz="4" w:space="0"/>
            </w:tcBorders>
            <w:vAlign w:val="center"/>
          </w:tcPr>
          <w:p w14:paraId="453DA684">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en-US" w:eastAsia="zh-CN"/>
              </w:rPr>
              <w:t>4</w:t>
            </w:r>
          </w:p>
        </w:tc>
        <w:tc>
          <w:tcPr>
            <w:tcW w:w="1297" w:type="dxa"/>
            <w:tcBorders>
              <w:left w:val="single" w:color="auto" w:sz="4" w:space="0"/>
              <w:right w:val="single" w:color="auto" w:sz="4" w:space="0"/>
            </w:tcBorders>
            <w:vAlign w:val="center"/>
          </w:tcPr>
          <w:p w14:paraId="6DF64D82">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拟安排的项目团队成员（项目负责人除外）</w:t>
            </w:r>
          </w:p>
        </w:tc>
        <w:tc>
          <w:tcPr>
            <w:tcW w:w="680" w:type="dxa"/>
            <w:tcBorders>
              <w:left w:val="single" w:color="auto" w:sz="4" w:space="0"/>
              <w:right w:val="single" w:color="auto" w:sz="4" w:space="0"/>
            </w:tcBorders>
            <w:vAlign w:val="center"/>
          </w:tcPr>
          <w:p w14:paraId="5899CC24">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5923" w:type="dxa"/>
            <w:tcBorders>
              <w:top w:val="single" w:color="auto" w:sz="4" w:space="0"/>
              <w:left w:val="single" w:color="auto" w:sz="4" w:space="0"/>
              <w:right w:val="single" w:color="auto" w:sz="4" w:space="0"/>
            </w:tcBorders>
            <w:vAlign w:val="center"/>
          </w:tcPr>
          <w:p w14:paraId="26900B0F">
            <w:pPr>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拟安排的项目团队成员（项目负责人除外）：</w:t>
            </w:r>
            <w:r>
              <w:rPr>
                <w:rFonts w:hint="eastAsia" w:ascii="宋体" w:hAnsi="宋体" w:eastAsia="宋体" w:cs="宋体"/>
                <w:color w:val="auto"/>
                <w:sz w:val="21"/>
                <w:szCs w:val="21"/>
                <w:highlight w:val="none"/>
                <w:lang w:val="en-US" w:eastAsia="zh-CN"/>
              </w:rPr>
              <w:t xml:space="preserve"> 每提供以下一项证书得2分，最高得14分：</w:t>
            </w:r>
          </w:p>
          <w:p w14:paraId="25F81FCD">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w:t>
            </w:r>
            <w:r>
              <w:rPr>
                <w:rFonts w:hint="eastAsia" w:ascii="宋体" w:hAnsi="宋体" w:eastAsia="宋体" w:cs="宋体"/>
                <w:b/>
                <w:color w:val="auto"/>
                <w:sz w:val="21"/>
                <w:szCs w:val="21"/>
                <w:highlight w:val="none"/>
                <w:lang w:val="en-US" w:eastAsia="zh-CN"/>
              </w:rPr>
              <w:t>高级售后服务管理师证书；</w:t>
            </w:r>
          </w:p>
          <w:p w14:paraId="5260A441">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）具有</w:t>
            </w:r>
            <w:r>
              <w:rPr>
                <w:rFonts w:hint="eastAsia" w:ascii="宋体" w:hAnsi="宋体" w:eastAsia="宋体" w:cs="宋体"/>
                <w:b/>
                <w:color w:val="auto"/>
                <w:sz w:val="21"/>
                <w:szCs w:val="21"/>
                <w:highlight w:val="none"/>
              </w:rPr>
              <w:t>高级食品营销师证书</w:t>
            </w:r>
            <w:r>
              <w:rPr>
                <w:rFonts w:hint="eastAsia" w:ascii="宋体" w:hAnsi="宋体" w:eastAsia="宋体" w:cs="宋体"/>
                <w:color w:val="auto"/>
                <w:sz w:val="21"/>
                <w:szCs w:val="21"/>
                <w:highlight w:val="none"/>
                <w:lang w:val="en-US" w:eastAsia="zh-CN"/>
              </w:rPr>
              <w:t>；</w:t>
            </w:r>
          </w:p>
          <w:p w14:paraId="27087BAC">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）具有</w:t>
            </w:r>
            <w:r>
              <w:rPr>
                <w:rFonts w:hint="eastAsia" w:ascii="宋体" w:hAnsi="宋体" w:eastAsia="宋体" w:cs="宋体"/>
                <w:b/>
                <w:color w:val="auto"/>
                <w:sz w:val="21"/>
                <w:szCs w:val="21"/>
                <w:highlight w:val="none"/>
              </w:rPr>
              <w:t>高级</w:t>
            </w:r>
            <w:r>
              <w:rPr>
                <w:rFonts w:hint="eastAsia" w:ascii="宋体" w:hAnsi="宋体" w:eastAsia="宋体" w:cs="宋体"/>
                <w:b/>
                <w:bCs/>
                <w:color w:val="auto"/>
                <w:sz w:val="21"/>
                <w:szCs w:val="21"/>
                <w:highlight w:val="none"/>
              </w:rPr>
              <w:t>农畜特产品加工师</w:t>
            </w:r>
            <w:r>
              <w:rPr>
                <w:rFonts w:hint="eastAsia" w:ascii="宋体" w:hAnsi="宋体" w:eastAsia="宋体" w:cs="宋体"/>
                <w:b/>
                <w:color w:val="auto"/>
                <w:sz w:val="21"/>
                <w:szCs w:val="21"/>
                <w:highlight w:val="none"/>
              </w:rPr>
              <w:t>证书</w:t>
            </w:r>
            <w:r>
              <w:rPr>
                <w:rFonts w:hint="eastAsia" w:ascii="宋体" w:hAnsi="宋体" w:eastAsia="宋体" w:cs="宋体"/>
                <w:color w:val="auto"/>
                <w:sz w:val="21"/>
                <w:szCs w:val="21"/>
                <w:highlight w:val="none"/>
                <w:lang w:val="en-US" w:eastAsia="zh-CN"/>
              </w:rPr>
              <w:t>；</w:t>
            </w:r>
          </w:p>
          <w:p w14:paraId="0CF1423C">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）具有</w:t>
            </w:r>
            <w:r>
              <w:rPr>
                <w:rFonts w:hint="eastAsia" w:ascii="宋体" w:hAnsi="宋体" w:eastAsia="宋体" w:cs="宋体"/>
                <w:b/>
                <w:color w:val="auto"/>
                <w:sz w:val="21"/>
                <w:szCs w:val="21"/>
                <w:highlight w:val="none"/>
              </w:rPr>
              <w:t>高级食品安全管理员证书</w:t>
            </w:r>
            <w:r>
              <w:rPr>
                <w:rFonts w:hint="eastAsia" w:ascii="宋体" w:hAnsi="宋体" w:eastAsia="宋体" w:cs="宋体"/>
                <w:color w:val="auto"/>
                <w:sz w:val="21"/>
                <w:szCs w:val="21"/>
                <w:highlight w:val="none"/>
                <w:lang w:val="en-US" w:eastAsia="zh-CN"/>
              </w:rPr>
              <w:t>；</w:t>
            </w:r>
          </w:p>
          <w:p w14:paraId="50BC06D7">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）具有</w:t>
            </w:r>
            <w:r>
              <w:rPr>
                <w:rFonts w:hint="eastAsia" w:ascii="宋体" w:hAnsi="宋体" w:eastAsia="宋体" w:cs="宋体"/>
                <w:b/>
                <w:color w:val="auto"/>
                <w:sz w:val="21"/>
                <w:szCs w:val="21"/>
                <w:highlight w:val="none"/>
              </w:rPr>
              <w:t>高级食品配送员证书</w:t>
            </w:r>
            <w:r>
              <w:rPr>
                <w:rFonts w:hint="eastAsia" w:ascii="宋体" w:hAnsi="宋体" w:eastAsia="宋体" w:cs="宋体"/>
                <w:color w:val="auto"/>
                <w:sz w:val="21"/>
                <w:szCs w:val="21"/>
                <w:highlight w:val="none"/>
                <w:lang w:val="en-US" w:eastAsia="zh-CN"/>
              </w:rPr>
              <w:t>；</w:t>
            </w:r>
          </w:p>
          <w:p w14:paraId="46AFD147">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）具有</w:t>
            </w:r>
            <w:r>
              <w:rPr>
                <w:rFonts w:hint="eastAsia" w:ascii="宋体" w:hAnsi="宋体" w:eastAsia="宋体" w:cs="宋体"/>
                <w:b/>
                <w:color w:val="auto"/>
                <w:sz w:val="21"/>
                <w:szCs w:val="21"/>
                <w:highlight w:val="none"/>
              </w:rPr>
              <w:t>高级食品采购师证书</w:t>
            </w:r>
            <w:r>
              <w:rPr>
                <w:rFonts w:hint="eastAsia" w:ascii="宋体" w:hAnsi="宋体" w:eastAsia="宋体" w:cs="宋体"/>
                <w:color w:val="auto"/>
                <w:sz w:val="21"/>
                <w:szCs w:val="21"/>
                <w:highlight w:val="none"/>
                <w:lang w:val="en-US" w:eastAsia="zh-CN"/>
              </w:rPr>
              <w:t>；</w:t>
            </w:r>
          </w:p>
          <w:p w14:paraId="310658E4">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（7）具有</w:t>
            </w:r>
            <w:r>
              <w:rPr>
                <w:rFonts w:hint="eastAsia" w:ascii="宋体" w:hAnsi="宋体" w:eastAsia="宋体" w:cs="宋体"/>
                <w:b/>
                <w:color w:val="auto"/>
                <w:sz w:val="21"/>
                <w:szCs w:val="21"/>
                <w:highlight w:val="none"/>
                <w:lang w:val="en-US" w:eastAsia="zh-CN"/>
              </w:rPr>
              <w:t>食品检验员（或食品检验师或食品检验工）证书。</w:t>
            </w:r>
          </w:p>
          <w:p w14:paraId="1B542DED">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Cs w:val="21"/>
                <w:highlight w:val="none"/>
                <w:lang w:eastAsia="zh-CN"/>
              </w:rPr>
              <w:t>（若联合体投标，联合体之一具备即可得分）</w:t>
            </w:r>
          </w:p>
        </w:tc>
      </w:tr>
      <w:tr w14:paraId="0956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7" w:type="dxa"/>
            <w:tcBorders>
              <w:left w:val="single" w:color="auto" w:sz="4" w:space="0"/>
              <w:right w:val="single" w:color="auto" w:sz="4" w:space="0"/>
            </w:tcBorders>
            <w:vAlign w:val="center"/>
          </w:tcPr>
          <w:p w14:paraId="0AD7A2FB">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c>
          <w:tcPr>
            <w:tcW w:w="1297" w:type="dxa"/>
            <w:tcBorders>
              <w:left w:val="single" w:color="auto" w:sz="4" w:space="0"/>
              <w:right w:val="single" w:color="auto" w:sz="4" w:space="0"/>
            </w:tcBorders>
            <w:vAlign w:val="center"/>
          </w:tcPr>
          <w:p w14:paraId="48E947C8">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增加人员投入承诺</w:t>
            </w:r>
          </w:p>
        </w:tc>
        <w:tc>
          <w:tcPr>
            <w:tcW w:w="680" w:type="dxa"/>
            <w:tcBorders>
              <w:left w:val="single" w:color="auto" w:sz="4" w:space="0"/>
              <w:right w:val="single" w:color="auto" w:sz="4" w:space="0"/>
            </w:tcBorders>
            <w:vAlign w:val="center"/>
          </w:tcPr>
          <w:p w14:paraId="08C6B098">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c>
          <w:tcPr>
            <w:tcW w:w="5923" w:type="dxa"/>
            <w:tcBorders>
              <w:top w:val="single" w:color="auto" w:sz="4" w:space="0"/>
              <w:left w:val="single" w:color="auto" w:sz="4" w:space="0"/>
              <w:right w:val="single" w:color="auto" w:sz="4" w:space="0"/>
            </w:tcBorders>
            <w:vAlign w:val="center"/>
          </w:tcPr>
          <w:p w14:paraId="1246280D">
            <w:pPr>
              <w:pStyle w:val="2"/>
              <w:rPr>
                <w:rFonts w:hint="eastAsia" w:ascii="宋体" w:hAnsi="宋体" w:eastAsia="宋体" w:cs="宋体"/>
                <w:color w:val="auto"/>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根据投标人承诺在满足本项目《用户需求》中“人员配置”基础上</w:t>
            </w:r>
            <w:r>
              <w:rPr>
                <w:rFonts w:hint="eastAsia" w:ascii="宋体" w:eastAsia="宋体" w:cs="宋体"/>
                <w:color w:val="auto"/>
                <w:sz w:val="21"/>
                <w:szCs w:val="21"/>
                <w:highlight w:val="none"/>
                <w:lang w:val="en-US" w:eastAsia="zh-CN"/>
              </w:rPr>
              <w:t>增加人员投入情况</w:t>
            </w:r>
            <w:r>
              <w:rPr>
                <w:rFonts w:hint="eastAsia" w:ascii="宋体" w:hAnsi="宋体" w:eastAsia="宋体" w:cs="宋体"/>
                <w:color w:val="auto"/>
                <w:sz w:val="21"/>
                <w:szCs w:val="21"/>
                <w:highlight w:val="none"/>
                <w:lang w:val="en-US" w:eastAsia="zh-CN" w:bidi="ar-SA"/>
              </w:rPr>
              <w:t>进行评审：</w:t>
            </w:r>
          </w:p>
          <w:p w14:paraId="69F83471">
            <w:pPr>
              <w:pStyle w:val="2"/>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（1）投标人承诺在满足本项目《用户需求》中“人员配置”基础上</w:t>
            </w:r>
            <w:r>
              <w:rPr>
                <w:rFonts w:hint="eastAsia" w:ascii="宋体" w:eastAsia="宋体" w:cs="宋体"/>
                <w:color w:val="auto"/>
                <w:sz w:val="21"/>
                <w:szCs w:val="21"/>
                <w:highlight w:val="none"/>
                <w:lang w:val="en-US" w:eastAsia="zh-CN"/>
              </w:rPr>
              <w:t>增加3名人员投入</w:t>
            </w:r>
            <w:r>
              <w:rPr>
                <w:rFonts w:hint="eastAsia" w:ascii="宋体" w:hAnsi="宋体" w:eastAsia="宋体" w:cs="宋体"/>
                <w:bCs/>
                <w:color w:val="auto"/>
                <w:kern w:val="2"/>
                <w:sz w:val="21"/>
                <w:szCs w:val="21"/>
                <w:highlight w:val="none"/>
                <w:lang w:val="en-US" w:eastAsia="zh-CN" w:bidi="ar-SA"/>
              </w:rPr>
              <w:t>的，得3分；</w:t>
            </w:r>
          </w:p>
          <w:p w14:paraId="4C5503A8">
            <w:pPr>
              <w:pStyle w:val="2"/>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（2）投标人承诺在满足本项目《用户需求》中“人员配置”基础上</w:t>
            </w:r>
            <w:r>
              <w:rPr>
                <w:rFonts w:hint="eastAsia" w:ascii="宋体" w:eastAsia="宋体" w:cs="宋体"/>
                <w:color w:val="auto"/>
                <w:sz w:val="21"/>
                <w:szCs w:val="21"/>
                <w:highlight w:val="none"/>
                <w:lang w:val="en-US" w:eastAsia="zh-CN"/>
              </w:rPr>
              <w:t>增加2名人员投入</w:t>
            </w:r>
            <w:r>
              <w:rPr>
                <w:rFonts w:hint="eastAsia" w:ascii="宋体" w:hAnsi="宋体" w:eastAsia="宋体" w:cs="宋体"/>
                <w:bCs/>
                <w:color w:val="auto"/>
                <w:kern w:val="2"/>
                <w:sz w:val="21"/>
                <w:szCs w:val="21"/>
                <w:highlight w:val="none"/>
                <w:lang w:val="en-US" w:eastAsia="zh-CN" w:bidi="ar-SA"/>
              </w:rPr>
              <w:t>的，得2分；</w:t>
            </w:r>
          </w:p>
          <w:p w14:paraId="1ECD6EF3">
            <w:pPr>
              <w:pStyle w:val="2"/>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（3）投标人承诺在满足本项目《用户需求》中“人员配置”基础上</w:t>
            </w:r>
            <w:r>
              <w:rPr>
                <w:rFonts w:hint="eastAsia" w:ascii="宋体" w:eastAsia="宋体" w:cs="宋体"/>
                <w:color w:val="auto"/>
                <w:sz w:val="21"/>
                <w:szCs w:val="21"/>
                <w:highlight w:val="none"/>
                <w:lang w:val="en-US" w:eastAsia="zh-CN"/>
              </w:rPr>
              <w:t>增加1名人员投入</w:t>
            </w:r>
            <w:r>
              <w:rPr>
                <w:rFonts w:hint="eastAsia" w:ascii="宋体" w:hAnsi="宋体" w:eastAsia="宋体" w:cs="宋体"/>
                <w:bCs/>
                <w:color w:val="auto"/>
                <w:kern w:val="2"/>
                <w:sz w:val="21"/>
                <w:szCs w:val="21"/>
                <w:highlight w:val="none"/>
                <w:lang w:val="en-US" w:eastAsia="zh-CN" w:bidi="ar-SA"/>
              </w:rPr>
              <w:t>的，得1分；</w:t>
            </w:r>
          </w:p>
          <w:p w14:paraId="29F82774">
            <w:pPr>
              <w:pStyle w:val="2"/>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其它</w:t>
            </w:r>
            <w:r>
              <w:rPr>
                <w:rFonts w:hint="eastAsia" w:ascii="宋体" w:hAnsi="宋体" w:eastAsia="宋体" w:cs="宋体"/>
                <w:bCs/>
                <w:color w:val="auto"/>
                <w:sz w:val="21"/>
                <w:szCs w:val="21"/>
                <w:highlight w:val="none"/>
                <w:lang w:val="en-US" w:eastAsia="zh-CN"/>
              </w:rPr>
              <w:t>情况</w:t>
            </w:r>
            <w:r>
              <w:rPr>
                <w:rFonts w:hint="eastAsia" w:ascii="宋体" w:hAnsi="宋体" w:eastAsia="宋体" w:cs="宋体"/>
                <w:bCs/>
                <w:color w:val="auto"/>
                <w:sz w:val="21"/>
                <w:szCs w:val="21"/>
                <w:highlight w:val="none"/>
              </w:rPr>
              <w:t>不得分</w:t>
            </w:r>
            <w:r>
              <w:rPr>
                <w:rFonts w:hint="eastAsia" w:ascii="宋体" w:hAnsi="宋体" w:eastAsia="宋体" w:cs="宋体"/>
                <w:bCs/>
                <w:color w:val="auto"/>
                <w:sz w:val="21"/>
                <w:szCs w:val="21"/>
                <w:highlight w:val="none"/>
                <w:lang w:eastAsia="zh-CN"/>
              </w:rPr>
              <w:t>；</w:t>
            </w:r>
          </w:p>
          <w:p w14:paraId="6BCDE73C">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rPr>
              <w:t>注：须提供承诺书并加盖投标人公章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否则</w:t>
            </w:r>
            <w:r>
              <w:rPr>
                <w:rFonts w:hint="eastAsia" w:ascii="宋体" w:hAnsi="宋体" w:eastAsia="宋体" w:cs="宋体"/>
                <w:bCs/>
                <w:color w:val="auto"/>
                <w:kern w:val="2"/>
                <w:sz w:val="21"/>
                <w:szCs w:val="21"/>
                <w:highlight w:val="none"/>
                <w:lang w:val="zh-CN" w:eastAsia="zh-CN" w:bidi="ar-SA"/>
              </w:rPr>
              <w:t>不得分。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承诺书</w:t>
            </w:r>
            <w:r>
              <w:rPr>
                <w:rFonts w:hint="eastAsia" w:ascii="宋体" w:hAnsi="宋体" w:eastAsia="宋体" w:cs="宋体"/>
                <w:bCs/>
                <w:color w:val="auto"/>
                <w:sz w:val="21"/>
                <w:szCs w:val="21"/>
                <w:highlight w:val="none"/>
                <w:lang w:val="en-US" w:eastAsia="zh-CN"/>
              </w:rPr>
              <w:t>格式自拟</w:t>
            </w:r>
            <w:r>
              <w:rPr>
                <w:rFonts w:hint="eastAsia" w:ascii="宋体" w:hAnsi="宋体" w:eastAsia="宋体" w:cs="宋体"/>
                <w:bCs/>
                <w:color w:val="auto"/>
                <w:sz w:val="21"/>
                <w:szCs w:val="21"/>
                <w:highlight w:val="none"/>
                <w:lang w:eastAsia="zh-CN"/>
              </w:rPr>
              <w:t>）</w:t>
            </w:r>
          </w:p>
        </w:tc>
      </w:tr>
      <w:tr w14:paraId="7749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14:paraId="6344CEB1">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50分</w:t>
            </w:r>
            <w:r>
              <w:rPr>
                <w:rFonts w:hint="eastAsia" w:ascii="宋体" w:hAnsi="宋体" w:eastAsia="宋体" w:cs="宋体"/>
                <w:color w:val="auto"/>
                <w:sz w:val="21"/>
                <w:szCs w:val="21"/>
                <w:highlight w:val="none"/>
                <w:lang w:eastAsia="zh-CN"/>
              </w:rPr>
              <w:t>）</w:t>
            </w:r>
          </w:p>
        </w:tc>
      </w:tr>
      <w:tr w14:paraId="4AB2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14:paraId="26CAEF99">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297" w:type="dxa"/>
            <w:tcBorders>
              <w:top w:val="single" w:color="auto" w:sz="4" w:space="0"/>
              <w:left w:val="single" w:color="auto" w:sz="4" w:space="0"/>
              <w:bottom w:val="single" w:color="auto" w:sz="4" w:space="0"/>
              <w:right w:val="single" w:color="auto" w:sz="4" w:space="0"/>
            </w:tcBorders>
            <w:vAlign w:val="center"/>
          </w:tcPr>
          <w:p w14:paraId="19917BC9">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项目经营方案</w:t>
            </w:r>
          </w:p>
        </w:tc>
        <w:tc>
          <w:tcPr>
            <w:tcW w:w="680" w:type="dxa"/>
            <w:tcBorders>
              <w:top w:val="single" w:color="auto" w:sz="4" w:space="0"/>
              <w:left w:val="single" w:color="auto" w:sz="4" w:space="0"/>
              <w:bottom w:val="single" w:color="auto" w:sz="4" w:space="0"/>
              <w:right w:val="single" w:color="auto" w:sz="4" w:space="0"/>
            </w:tcBorders>
            <w:vAlign w:val="center"/>
          </w:tcPr>
          <w:p w14:paraId="1620110B">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13</w:t>
            </w:r>
          </w:p>
        </w:tc>
        <w:tc>
          <w:tcPr>
            <w:tcW w:w="5923" w:type="dxa"/>
            <w:tcBorders>
              <w:top w:val="single" w:color="auto" w:sz="4" w:space="0"/>
              <w:left w:val="single" w:color="auto" w:sz="4" w:space="0"/>
              <w:bottom w:val="single" w:color="auto" w:sz="4" w:space="0"/>
              <w:right w:val="single" w:color="auto" w:sz="4" w:space="0"/>
            </w:tcBorders>
            <w:vAlign w:val="top"/>
          </w:tcPr>
          <w:p w14:paraId="7A250751">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根据投标人项目服务方案的人员组织架构、分配安排、教育培训、责任监督制度等进行综合评审：  </w:t>
            </w:r>
          </w:p>
          <w:p w14:paraId="0405073B">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（1）组织架构完善具体，分配安排准确到位，教育培训、责任监督体制合理可行性强，内容完整的，得</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分；</w:t>
            </w:r>
          </w:p>
          <w:p w14:paraId="2B7C43CB">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（2）组织架构比较完善，分配安排较为合理，教育培训、责任监督体制合理可行性较强，内容较完整的，得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48019B4F">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（3）组织架构不够完善，分配安排一般，教育培训、责任监督体制合理可行性一般，内容不够完整的，得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3CAF0975">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（4）组织架构缺失，分配安排不够具体，教育培训、责任监督体制合理可行性差，内容完整的，得1分；  </w:t>
            </w:r>
          </w:p>
          <w:p w14:paraId="578870D3">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（5）未提供方案不得分。</w:t>
            </w:r>
          </w:p>
        </w:tc>
      </w:tr>
      <w:tr w14:paraId="5649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14:paraId="51FC0A69">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w:t>
            </w:r>
          </w:p>
        </w:tc>
        <w:tc>
          <w:tcPr>
            <w:tcW w:w="1297" w:type="dxa"/>
            <w:tcBorders>
              <w:top w:val="single" w:color="auto" w:sz="4" w:space="0"/>
              <w:left w:val="single" w:color="auto" w:sz="4" w:space="0"/>
              <w:bottom w:val="single" w:color="auto" w:sz="4" w:space="0"/>
              <w:right w:val="single" w:color="auto" w:sz="4" w:space="0"/>
            </w:tcBorders>
            <w:vAlign w:val="center"/>
          </w:tcPr>
          <w:p w14:paraId="068C8D74">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伙食供应方案</w:t>
            </w:r>
          </w:p>
        </w:tc>
        <w:tc>
          <w:tcPr>
            <w:tcW w:w="680" w:type="dxa"/>
            <w:tcBorders>
              <w:top w:val="single" w:color="auto" w:sz="4" w:space="0"/>
              <w:left w:val="single" w:color="auto" w:sz="4" w:space="0"/>
              <w:bottom w:val="single" w:color="auto" w:sz="4" w:space="0"/>
              <w:right w:val="single" w:color="auto" w:sz="4" w:space="0"/>
            </w:tcBorders>
            <w:vAlign w:val="center"/>
          </w:tcPr>
          <w:p w14:paraId="32BBB1B2">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13</w:t>
            </w:r>
          </w:p>
        </w:tc>
        <w:tc>
          <w:tcPr>
            <w:tcW w:w="5923" w:type="dxa"/>
            <w:tcBorders>
              <w:top w:val="single" w:color="auto" w:sz="4" w:space="0"/>
              <w:left w:val="single" w:color="auto" w:sz="4" w:space="0"/>
              <w:bottom w:val="single" w:color="auto" w:sz="4" w:space="0"/>
              <w:right w:val="single" w:color="auto" w:sz="4" w:space="0"/>
            </w:tcBorders>
            <w:vAlign w:val="top"/>
          </w:tcPr>
          <w:p w14:paraId="26277E77">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根据投标人提供的伙食供应方案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重点考察菜式品种搭配设计方案、菜式营养与科学搭配分析等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的科学性和合理性进行</w:t>
            </w:r>
            <w:r>
              <w:rPr>
                <w:rFonts w:hint="eastAsia" w:ascii="宋体" w:hAnsi="宋体" w:eastAsia="宋体" w:cs="宋体"/>
                <w:color w:val="auto"/>
                <w:sz w:val="21"/>
                <w:szCs w:val="21"/>
                <w:highlight w:val="none"/>
                <w:lang w:val="en-US" w:eastAsia="zh-CN"/>
              </w:rPr>
              <w:t>综合评审</w:t>
            </w:r>
            <w:r>
              <w:rPr>
                <w:rFonts w:hint="eastAsia" w:ascii="宋体" w:hAnsi="宋体" w:eastAsia="宋体" w:cs="宋体"/>
                <w:color w:val="auto"/>
                <w:sz w:val="21"/>
                <w:szCs w:val="21"/>
                <w:highlight w:val="none"/>
              </w:rPr>
              <w:t xml:space="preserve">： </w:t>
            </w:r>
          </w:p>
          <w:p w14:paraId="5B3C331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菜式品种、菜式营养搭配科学合理，伙食供应方案具体详细，得</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 xml:space="preserve">分； </w:t>
            </w:r>
          </w:p>
          <w:p w14:paraId="160D1F0B">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菜式品种、菜式营养搭配较为科学合理，伙食供应方案较具体详细，得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分； </w:t>
            </w:r>
          </w:p>
          <w:p w14:paraId="791DEA55">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菜式品种、菜式营养搭配欠科学合理，伙食供应方案一般，得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5F0A05F8">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菜式品种、菜式营养搭配不科学合理，伙食供应方案差，得1分。 </w:t>
            </w:r>
          </w:p>
          <w:p w14:paraId="0F354B90">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未提供伙食供应方案不得分。</w:t>
            </w:r>
          </w:p>
        </w:tc>
      </w:tr>
      <w:tr w14:paraId="56F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14:paraId="03EF8B4C">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c>
          <w:tcPr>
            <w:tcW w:w="1297" w:type="dxa"/>
            <w:tcBorders>
              <w:left w:val="single" w:color="auto" w:sz="4" w:space="0"/>
              <w:right w:val="single" w:color="auto" w:sz="4" w:space="0"/>
            </w:tcBorders>
            <w:vAlign w:val="center"/>
          </w:tcPr>
          <w:p w14:paraId="7A09BFE5">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服务质量管理方案</w:t>
            </w:r>
          </w:p>
        </w:tc>
        <w:tc>
          <w:tcPr>
            <w:tcW w:w="680" w:type="dxa"/>
            <w:tcBorders>
              <w:top w:val="single" w:color="auto" w:sz="4" w:space="0"/>
              <w:left w:val="single" w:color="auto" w:sz="4" w:space="0"/>
              <w:bottom w:val="single" w:color="auto" w:sz="4" w:space="0"/>
              <w:right w:val="single" w:color="auto" w:sz="4" w:space="0"/>
            </w:tcBorders>
            <w:vAlign w:val="center"/>
          </w:tcPr>
          <w:p w14:paraId="40342A5B">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c>
          <w:tcPr>
            <w:tcW w:w="5923" w:type="dxa"/>
            <w:tcBorders>
              <w:top w:val="single" w:color="auto" w:sz="4" w:space="0"/>
              <w:left w:val="single" w:color="auto" w:sz="4" w:space="0"/>
              <w:bottom w:val="single" w:color="auto" w:sz="4" w:space="0"/>
              <w:right w:val="single" w:color="auto" w:sz="4" w:space="0"/>
            </w:tcBorders>
            <w:vAlign w:val="top"/>
          </w:tcPr>
          <w:p w14:paraId="602E7243">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根据投标人提供的服务质量管理方案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重点考察服务质量管理要求、员工监督机制、征求意见方案等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的完整性和合理性进行</w:t>
            </w:r>
            <w:r>
              <w:rPr>
                <w:rFonts w:hint="eastAsia" w:ascii="宋体" w:hAnsi="宋体" w:eastAsia="宋体" w:cs="宋体"/>
                <w:color w:val="auto"/>
                <w:sz w:val="21"/>
                <w:szCs w:val="21"/>
                <w:highlight w:val="none"/>
                <w:lang w:val="en-US" w:eastAsia="zh-CN"/>
              </w:rPr>
              <w:t>综合评审：</w:t>
            </w:r>
          </w:p>
          <w:p w14:paraId="71C62A1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（1）服务质量管理方案完整，可行性高，可操作性强，得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 xml:space="preserve">分； </w:t>
            </w:r>
          </w:p>
          <w:p w14:paraId="53DEBEA9">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（2）服务质量管理方案较完整，可行性较高，可操作性较强，得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分； </w:t>
            </w:r>
          </w:p>
          <w:p w14:paraId="4F3E5994">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（3）服务质量管理方案基本完整，可行性一般，可操作性一般，得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030D0F76">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（4）服务质量管理方案不完整，可行性差，可操作性差，得1分。 </w:t>
            </w:r>
          </w:p>
          <w:p w14:paraId="0DCBDA81">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（5）未提供服务质量管理方案不得分。</w:t>
            </w:r>
          </w:p>
        </w:tc>
      </w:tr>
      <w:tr w14:paraId="730A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14:paraId="21F8CC68">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297" w:type="dxa"/>
            <w:tcBorders>
              <w:left w:val="single" w:color="auto" w:sz="4" w:space="0"/>
              <w:right w:val="single" w:color="auto" w:sz="4" w:space="0"/>
            </w:tcBorders>
            <w:vAlign w:val="center"/>
          </w:tcPr>
          <w:p w14:paraId="52E026AD">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应急保障措施</w:t>
            </w:r>
          </w:p>
        </w:tc>
        <w:tc>
          <w:tcPr>
            <w:tcW w:w="680" w:type="dxa"/>
            <w:tcBorders>
              <w:top w:val="single" w:color="auto" w:sz="4" w:space="0"/>
              <w:left w:val="single" w:color="auto" w:sz="4" w:space="0"/>
              <w:bottom w:val="single" w:color="auto" w:sz="4" w:space="0"/>
              <w:right w:val="single" w:color="auto" w:sz="4" w:space="0"/>
            </w:tcBorders>
            <w:vAlign w:val="center"/>
          </w:tcPr>
          <w:p w14:paraId="6203B47B">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c>
          <w:tcPr>
            <w:tcW w:w="5923" w:type="dxa"/>
            <w:tcBorders>
              <w:top w:val="single" w:color="auto" w:sz="4" w:space="0"/>
              <w:left w:val="single" w:color="auto" w:sz="4" w:space="0"/>
              <w:bottom w:val="single" w:color="auto" w:sz="4" w:space="0"/>
              <w:right w:val="single" w:color="auto" w:sz="4" w:space="0"/>
            </w:tcBorders>
            <w:vAlign w:val="top"/>
          </w:tcPr>
          <w:p w14:paraId="393FBADA">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对投标人制定的突发事件安全应急预案（如：停水、停电或其他特殊原因引致断餐处理的应急预案）进行综合评审：  </w:t>
            </w:r>
          </w:p>
          <w:p w14:paraId="6DABDBB3">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（1）具备完整的应急处理、资源保障体系，具备丰富的应急配餐经验，方案全面详细、科学合理，得</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rPr>
              <w:t xml:space="preserve">分； </w:t>
            </w:r>
          </w:p>
          <w:p w14:paraId="4286811D">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（2）具备较完整的应急处理、资源保障体系，具备应急配餐经验，方案较详细、较科学合理，得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分； </w:t>
            </w:r>
          </w:p>
          <w:p w14:paraId="5E166DEC">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（3）具备一定的应急处理、资源保障体系，基本具备应急配餐经验，方案基本合理，得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22247262">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（4）应急处理、资源保障体系不完整，应急配餐经验少，方案合理性差，得 1分；  </w:t>
            </w:r>
          </w:p>
          <w:p w14:paraId="139DCD67">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（5）未提供应急保障措施不得分。</w:t>
            </w:r>
          </w:p>
        </w:tc>
      </w:tr>
      <w:tr w14:paraId="3094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14:paraId="6BA7CAF4">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1C3222E1">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068CA3DF">
            <w:pPr>
              <w:widowControl w:val="0"/>
              <w:tabs>
                <w:tab w:val="left" w:pos="907"/>
              </w:tabs>
              <w:adjustRightInd/>
              <w:snapToGrid/>
              <w:spacing w:after="0" w:line="240" w:lineRule="auto"/>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14:paraId="046A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14:paraId="037BFF84">
            <w:pPr>
              <w:pStyle w:val="43"/>
              <w:spacing w:line="240" w:lineRule="auto"/>
              <w:ind w:firstLine="0" w:firstLineChars="0"/>
              <w:jc w:val="cente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0分</w:t>
            </w:r>
            <w:r>
              <w:rPr>
                <w:rFonts w:hint="eastAsia" w:ascii="宋体" w:hAnsi="宋体" w:eastAsia="宋体" w:cs="宋体"/>
                <w:color w:val="auto"/>
                <w:sz w:val="21"/>
                <w:szCs w:val="21"/>
                <w:highlight w:val="none"/>
                <w:lang w:eastAsia="zh-CN"/>
              </w:rPr>
              <w:t>）</w:t>
            </w:r>
          </w:p>
        </w:tc>
      </w:tr>
    </w:tbl>
    <w:p w14:paraId="6D803647">
      <w:pPr>
        <w:pStyle w:val="10"/>
        <w:rPr>
          <w:rFonts w:hint="eastAsia"/>
          <w:color w:val="auto"/>
          <w:highlight w:val="none"/>
        </w:rPr>
      </w:pPr>
    </w:p>
    <w:p w14:paraId="3EDA1317">
      <w:pPr>
        <w:pStyle w:val="11"/>
        <w:rPr>
          <w:rFonts w:hint="eastAsia"/>
          <w:color w:val="auto"/>
          <w:highlight w:val="none"/>
        </w:rPr>
      </w:pPr>
    </w:p>
    <w:p w14:paraId="71D1AB34">
      <w:pPr>
        <w:pStyle w:val="11"/>
        <w:rPr>
          <w:rFonts w:hint="eastAsia"/>
          <w:color w:val="auto"/>
          <w:highlight w:val="none"/>
        </w:rPr>
      </w:pPr>
    </w:p>
    <w:p w14:paraId="1906A47F">
      <w:pPr>
        <w:pStyle w:val="11"/>
        <w:rPr>
          <w:rFonts w:hint="eastAsia"/>
          <w:color w:val="auto"/>
          <w:highlight w:val="none"/>
        </w:rPr>
      </w:pPr>
    </w:p>
    <w:p w14:paraId="4369D483">
      <w:pPr>
        <w:pStyle w:val="11"/>
        <w:rPr>
          <w:rFonts w:hint="eastAsia"/>
          <w:color w:val="auto"/>
          <w:highlight w:val="none"/>
        </w:rPr>
      </w:pPr>
    </w:p>
    <w:p w14:paraId="5E35035F">
      <w:pPr>
        <w:pStyle w:val="11"/>
        <w:rPr>
          <w:rFonts w:hint="eastAsia"/>
          <w:color w:val="auto"/>
          <w:highlight w:val="none"/>
        </w:rPr>
      </w:pPr>
    </w:p>
    <w:p w14:paraId="78C1825A">
      <w:pPr>
        <w:pStyle w:val="11"/>
        <w:rPr>
          <w:rFonts w:hint="eastAsia"/>
          <w:color w:val="auto"/>
          <w:highlight w:val="none"/>
        </w:rPr>
      </w:pPr>
    </w:p>
    <w:p w14:paraId="06CB8F20">
      <w:pPr>
        <w:pStyle w:val="11"/>
        <w:rPr>
          <w:rFonts w:hint="eastAsia"/>
          <w:color w:val="auto"/>
          <w:highlight w:val="none"/>
        </w:rPr>
      </w:pPr>
    </w:p>
    <w:p w14:paraId="2F076847">
      <w:pPr>
        <w:pStyle w:val="11"/>
        <w:rPr>
          <w:rFonts w:hint="eastAsia"/>
          <w:color w:val="auto"/>
          <w:highlight w:val="none"/>
        </w:rPr>
      </w:pPr>
    </w:p>
    <w:p w14:paraId="092096D2">
      <w:pPr>
        <w:pStyle w:val="11"/>
        <w:rPr>
          <w:rFonts w:hint="eastAsia"/>
          <w:color w:val="auto"/>
          <w:highlight w:val="none"/>
        </w:rPr>
      </w:pPr>
    </w:p>
    <w:p w14:paraId="469329BD">
      <w:pPr>
        <w:pStyle w:val="11"/>
        <w:rPr>
          <w:rFonts w:hint="eastAsia"/>
          <w:color w:val="auto"/>
          <w:highlight w:val="none"/>
        </w:rPr>
      </w:pPr>
    </w:p>
    <w:p w14:paraId="7B6C96F1">
      <w:pPr>
        <w:pStyle w:val="11"/>
        <w:rPr>
          <w:rFonts w:hint="eastAsia"/>
          <w:color w:val="auto"/>
          <w:highlight w:val="none"/>
        </w:rPr>
      </w:pPr>
    </w:p>
    <w:p w14:paraId="6D66DD61">
      <w:pPr>
        <w:pStyle w:val="11"/>
        <w:rPr>
          <w:rFonts w:hint="eastAsia"/>
          <w:color w:val="auto"/>
          <w:highlight w:val="none"/>
        </w:rPr>
      </w:pPr>
    </w:p>
    <w:p w14:paraId="4E935142">
      <w:pPr>
        <w:pStyle w:val="4"/>
        <w:spacing w:before="0" w:after="0" w:line="240" w:lineRule="auto"/>
        <w:outlineLvl w:val="0"/>
        <w:rPr>
          <w:color w:val="auto"/>
          <w:sz w:val="24"/>
          <w:szCs w:val="24"/>
          <w:highlight w:val="none"/>
        </w:rPr>
      </w:pPr>
      <w:bookmarkStart w:id="20" w:name="_Toc9650"/>
      <w:r>
        <w:rPr>
          <w:rFonts w:hint="eastAsia"/>
          <w:color w:val="auto"/>
          <w:sz w:val="28"/>
          <w:szCs w:val="28"/>
          <w:highlight w:val="none"/>
        </w:rPr>
        <w:t>第四部分 投标人须知</w:t>
      </w:r>
      <w:bookmarkEnd w:id="17"/>
      <w:bookmarkEnd w:id="18"/>
      <w:bookmarkEnd w:id="20"/>
    </w:p>
    <w:p w14:paraId="3882AFBF">
      <w:pPr>
        <w:pStyle w:val="5"/>
        <w:spacing w:line="480" w:lineRule="auto"/>
        <w:jc w:val="center"/>
        <w:outlineLvl w:val="1"/>
        <w:rPr>
          <w:rFonts w:ascii="宋体" w:hAnsi="宋体"/>
          <w:color w:val="auto"/>
          <w:highlight w:val="none"/>
        </w:rPr>
      </w:pPr>
      <w:bookmarkStart w:id="21" w:name="_Toc3095"/>
      <w:bookmarkStart w:id="22" w:name="_Toc23400"/>
      <w:bookmarkStart w:id="23" w:name="_Toc19746"/>
      <w:r>
        <w:rPr>
          <w:rFonts w:hint="eastAsia" w:ascii="宋体" w:hAnsi="宋体"/>
          <w:color w:val="auto"/>
          <w:highlight w:val="none"/>
        </w:rPr>
        <w:t>第一章说明</w:t>
      </w:r>
      <w:bookmarkEnd w:id="21"/>
      <w:bookmarkEnd w:id="22"/>
      <w:bookmarkEnd w:id="23"/>
    </w:p>
    <w:p w14:paraId="15BA5FDA">
      <w:pPr>
        <w:pStyle w:val="6"/>
        <w:widowControl w:val="0"/>
        <w:overflowPunct w:val="0"/>
        <w:spacing w:line="240" w:lineRule="auto"/>
        <w:outlineLvl w:val="2"/>
        <w:rPr>
          <w:rFonts w:ascii="宋体" w:hAnsi="宋体"/>
          <w:color w:val="auto"/>
          <w:sz w:val="21"/>
          <w:szCs w:val="21"/>
          <w:highlight w:val="none"/>
        </w:rPr>
      </w:pPr>
      <w:bookmarkStart w:id="24" w:name="_Toc300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14:paraId="567395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4A4778D0">
      <w:pPr>
        <w:rPr>
          <w:color w:val="auto"/>
          <w:highlight w:val="none"/>
        </w:rPr>
      </w:pPr>
    </w:p>
    <w:p w14:paraId="340F976B">
      <w:pPr>
        <w:pStyle w:val="6"/>
        <w:widowControl w:val="0"/>
        <w:overflowPunct w:val="0"/>
        <w:spacing w:line="240" w:lineRule="auto"/>
        <w:outlineLvl w:val="2"/>
        <w:rPr>
          <w:rFonts w:ascii="宋体" w:hAnsi="宋体"/>
          <w:color w:val="auto"/>
          <w:sz w:val="21"/>
          <w:szCs w:val="21"/>
          <w:highlight w:val="none"/>
        </w:rPr>
      </w:pPr>
      <w:bookmarkStart w:id="27" w:name="_Toc13400"/>
      <w:bookmarkStart w:id="28" w:name="_Toc16848"/>
      <w:bookmarkStart w:id="29" w:name="_Toc10684"/>
      <w:r>
        <w:rPr>
          <w:rFonts w:hint="eastAsia" w:ascii="宋体" w:hAnsi="宋体"/>
          <w:color w:val="auto"/>
          <w:sz w:val="21"/>
          <w:szCs w:val="21"/>
          <w:highlight w:val="none"/>
        </w:rPr>
        <w:t>2.</w:t>
      </w:r>
      <w:bookmarkStart w:id="30" w:name="_Toc298847174"/>
      <w:bookmarkStart w:id="31" w:name="_Toc1530"/>
      <w:bookmarkStart w:id="32" w:name="_Toc382049092"/>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2F92BF70">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33F13C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6B11239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561CC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387FB2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414C53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0DB8E87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1BB45E6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1677BE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3124A1E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40233B3D">
      <w:pPr>
        <w:rPr>
          <w:color w:val="auto"/>
          <w:highlight w:val="none"/>
        </w:rPr>
      </w:pPr>
    </w:p>
    <w:p w14:paraId="62240410">
      <w:pPr>
        <w:pStyle w:val="6"/>
        <w:widowControl w:val="0"/>
        <w:overflowPunct w:val="0"/>
        <w:spacing w:line="240" w:lineRule="auto"/>
        <w:outlineLvl w:val="2"/>
        <w:rPr>
          <w:rFonts w:ascii="宋体" w:hAnsi="宋体"/>
          <w:color w:val="auto"/>
          <w:sz w:val="21"/>
          <w:szCs w:val="21"/>
          <w:highlight w:val="none"/>
        </w:rPr>
      </w:pPr>
      <w:bookmarkStart w:id="34" w:name="_Toc9710"/>
      <w:bookmarkStart w:id="35" w:name="_Toc3780"/>
      <w:bookmarkStart w:id="36" w:name="_Toc11860"/>
      <w:r>
        <w:rPr>
          <w:rFonts w:hint="eastAsia" w:ascii="宋体" w:hAnsi="宋体"/>
          <w:color w:val="auto"/>
          <w:sz w:val="21"/>
          <w:szCs w:val="21"/>
          <w:highlight w:val="none"/>
        </w:rPr>
        <w:t>3.货物和服务</w:t>
      </w:r>
      <w:bookmarkEnd w:id="34"/>
      <w:bookmarkEnd w:id="35"/>
      <w:bookmarkEnd w:id="36"/>
    </w:p>
    <w:p w14:paraId="4EA31458">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165B079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042283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3AF5F2A4">
      <w:pPr>
        <w:rPr>
          <w:color w:val="auto"/>
          <w:highlight w:val="none"/>
        </w:rPr>
      </w:pPr>
    </w:p>
    <w:p w14:paraId="7238FB4F">
      <w:pPr>
        <w:pStyle w:val="6"/>
        <w:widowControl w:val="0"/>
        <w:overflowPunct w:val="0"/>
        <w:spacing w:line="240" w:lineRule="auto"/>
        <w:outlineLvl w:val="2"/>
        <w:rPr>
          <w:rFonts w:ascii="宋体" w:hAnsi="宋体"/>
          <w:color w:val="auto"/>
          <w:sz w:val="21"/>
          <w:szCs w:val="21"/>
          <w:highlight w:val="none"/>
        </w:rPr>
      </w:pPr>
      <w:bookmarkStart w:id="37" w:name="_Toc15945"/>
      <w:bookmarkStart w:id="38" w:name="_Toc13909"/>
      <w:bookmarkStart w:id="39" w:name="_Toc544"/>
      <w:r>
        <w:rPr>
          <w:rFonts w:hint="eastAsia" w:ascii="宋体" w:hAnsi="宋体"/>
          <w:color w:val="auto"/>
          <w:sz w:val="21"/>
          <w:szCs w:val="21"/>
          <w:highlight w:val="none"/>
        </w:rPr>
        <w:t>4.投标费用</w:t>
      </w:r>
      <w:bookmarkEnd w:id="37"/>
      <w:bookmarkEnd w:id="38"/>
      <w:bookmarkEnd w:id="39"/>
    </w:p>
    <w:p w14:paraId="55199478">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5CB6644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2D5B1777">
      <w:pPr>
        <w:widowControl w:val="0"/>
        <w:adjustRightInd/>
        <w:snapToGrid/>
        <w:spacing w:line="360" w:lineRule="exact"/>
        <w:jc w:val="both"/>
        <w:rPr>
          <w:rFonts w:ascii="宋体" w:hAnsi="宋体"/>
          <w:color w:val="auto"/>
          <w:szCs w:val="21"/>
          <w:highlight w:val="none"/>
        </w:rPr>
      </w:pPr>
    </w:p>
    <w:p w14:paraId="52166F8C">
      <w:pPr>
        <w:pStyle w:val="6"/>
        <w:widowControl w:val="0"/>
        <w:overflowPunct w:val="0"/>
        <w:spacing w:line="240" w:lineRule="auto"/>
        <w:outlineLvl w:val="2"/>
        <w:rPr>
          <w:rFonts w:ascii="宋体" w:hAnsi="宋体"/>
          <w:color w:val="auto"/>
          <w:sz w:val="21"/>
          <w:szCs w:val="21"/>
          <w:highlight w:val="none"/>
        </w:rPr>
      </w:pPr>
      <w:bookmarkStart w:id="40" w:name="_Toc19532"/>
      <w:bookmarkStart w:id="41" w:name="_Toc18803"/>
      <w:bookmarkStart w:id="42" w:name="_Toc25040"/>
      <w:r>
        <w:rPr>
          <w:rFonts w:hint="eastAsia" w:ascii="宋体" w:hAnsi="宋体"/>
          <w:color w:val="auto"/>
          <w:sz w:val="21"/>
          <w:szCs w:val="21"/>
          <w:highlight w:val="none"/>
        </w:rPr>
        <w:t>5.知识产权</w:t>
      </w:r>
      <w:bookmarkEnd w:id="40"/>
      <w:bookmarkEnd w:id="41"/>
      <w:bookmarkEnd w:id="42"/>
    </w:p>
    <w:p w14:paraId="5D4EB42D">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60DBB7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29596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2297692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4897865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5BD089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6044EA0F">
      <w:pPr>
        <w:widowControl w:val="0"/>
        <w:adjustRightInd/>
        <w:snapToGrid/>
        <w:spacing w:line="360" w:lineRule="exact"/>
        <w:ind w:left="567"/>
        <w:jc w:val="both"/>
        <w:rPr>
          <w:rFonts w:ascii="宋体" w:hAnsi="宋体"/>
          <w:color w:val="auto"/>
          <w:szCs w:val="21"/>
          <w:highlight w:val="none"/>
        </w:rPr>
      </w:pPr>
    </w:p>
    <w:p w14:paraId="6A3A3D10">
      <w:pPr>
        <w:pStyle w:val="6"/>
        <w:widowControl w:val="0"/>
        <w:overflowPunct w:val="0"/>
        <w:spacing w:line="240" w:lineRule="auto"/>
        <w:outlineLvl w:val="2"/>
        <w:rPr>
          <w:rFonts w:ascii="宋体" w:hAnsi="宋体"/>
          <w:color w:val="auto"/>
          <w:sz w:val="21"/>
          <w:szCs w:val="21"/>
          <w:highlight w:val="none"/>
        </w:rPr>
      </w:pPr>
      <w:bookmarkStart w:id="43" w:name="_Toc21930"/>
      <w:bookmarkStart w:id="44" w:name="_Toc31885"/>
      <w:bookmarkStart w:id="45" w:name="_Toc13575"/>
      <w:r>
        <w:rPr>
          <w:rFonts w:hint="eastAsia" w:ascii="宋体" w:hAnsi="宋体"/>
          <w:color w:val="auto"/>
          <w:sz w:val="21"/>
          <w:szCs w:val="21"/>
          <w:highlight w:val="none"/>
        </w:rPr>
        <w:t>6.关于联合体投标</w:t>
      </w:r>
      <w:bookmarkEnd w:id="43"/>
      <w:bookmarkEnd w:id="44"/>
      <w:bookmarkEnd w:id="45"/>
    </w:p>
    <w:p w14:paraId="6329F502">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4264D4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373815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78474E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04A093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7763C0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7258D6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0E53E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17857F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74767A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5EE702B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497256B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1C45CCD2">
      <w:pPr>
        <w:widowControl w:val="0"/>
        <w:adjustRightInd/>
        <w:snapToGrid/>
        <w:spacing w:line="360" w:lineRule="exact"/>
        <w:ind w:left="567"/>
        <w:jc w:val="both"/>
        <w:rPr>
          <w:rFonts w:ascii="宋体" w:hAnsi="宋体"/>
          <w:color w:val="auto"/>
          <w:szCs w:val="21"/>
          <w:highlight w:val="none"/>
        </w:rPr>
      </w:pPr>
    </w:p>
    <w:p w14:paraId="293870EB">
      <w:pPr>
        <w:pStyle w:val="6"/>
        <w:widowControl w:val="0"/>
        <w:overflowPunct w:val="0"/>
        <w:spacing w:line="240" w:lineRule="auto"/>
        <w:outlineLvl w:val="2"/>
        <w:rPr>
          <w:rFonts w:ascii="宋体" w:hAnsi="宋体"/>
          <w:color w:val="auto"/>
          <w:sz w:val="21"/>
          <w:szCs w:val="21"/>
          <w:highlight w:val="none"/>
        </w:rPr>
      </w:pPr>
      <w:bookmarkStart w:id="46" w:name="_Toc32331"/>
      <w:bookmarkStart w:id="47" w:name="_Toc16571"/>
      <w:bookmarkStart w:id="48" w:name="_Toc20630"/>
      <w:bookmarkStart w:id="49" w:name="_Toc17879"/>
      <w:r>
        <w:rPr>
          <w:rFonts w:hint="eastAsia" w:ascii="宋体" w:hAnsi="宋体"/>
          <w:color w:val="auto"/>
          <w:sz w:val="21"/>
          <w:szCs w:val="21"/>
          <w:highlight w:val="none"/>
        </w:rPr>
        <w:t>7.关于分支机构投标</w:t>
      </w:r>
      <w:bookmarkEnd w:id="46"/>
      <w:bookmarkEnd w:id="47"/>
      <w:bookmarkEnd w:id="48"/>
    </w:p>
    <w:p w14:paraId="2F2E9EC6">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2E9EE02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1D3A2F3D">
      <w:pPr>
        <w:rPr>
          <w:color w:val="auto"/>
          <w:highlight w:val="none"/>
        </w:rPr>
      </w:pPr>
    </w:p>
    <w:p w14:paraId="4E64FCC2">
      <w:pPr>
        <w:pStyle w:val="5"/>
        <w:spacing w:line="480" w:lineRule="auto"/>
        <w:jc w:val="center"/>
        <w:outlineLvl w:val="1"/>
        <w:rPr>
          <w:rFonts w:ascii="宋体" w:hAnsi="宋体"/>
          <w:color w:val="auto"/>
          <w:highlight w:val="none"/>
        </w:rPr>
      </w:pPr>
      <w:bookmarkStart w:id="51" w:name="_Toc14900"/>
      <w:bookmarkStart w:id="52" w:name="_Toc18115"/>
      <w:r>
        <w:rPr>
          <w:rFonts w:hint="eastAsia" w:ascii="宋体" w:hAnsi="宋体"/>
          <w:color w:val="auto"/>
          <w:highlight w:val="none"/>
        </w:rPr>
        <w:t>第二章招标文件</w:t>
      </w:r>
      <w:bookmarkEnd w:id="49"/>
      <w:bookmarkEnd w:id="51"/>
      <w:bookmarkEnd w:id="52"/>
    </w:p>
    <w:p w14:paraId="045E6041">
      <w:pPr>
        <w:pStyle w:val="6"/>
        <w:widowControl w:val="0"/>
        <w:overflowPunct w:val="0"/>
        <w:spacing w:line="240" w:lineRule="auto"/>
        <w:rPr>
          <w:rFonts w:ascii="宋体" w:hAnsi="宋体"/>
          <w:color w:val="auto"/>
          <w:sz w:val="21"/>
          <w:szCs w:val="21"/>
          <w:highlight w:val="none"/>
        </w:rPr>
      </w:pPr>
      <w:bookmarkStart w:id="53" w:name="_Toc744"/>
      <w:bookmarkStart w:id="54" w:name="_Toc21771"/>
      <w:bookmarkStart w:id="55" w:name="_Toc13494"/>
      <w:r>
        <w:rPr>
          <w:rFonts w:hint="eastAsia" w:ascii="宋体" w:hAnsi="宋体"/>
          <w:color w:val="auto"/>
          <w:sz w:val="21"/>
          <w:szCs w:val="21"/>
          <w:highlight w:val="none"/>
        </w:rPr>
        <w:t>8.招标文件的组成</w:t>
      </w:r>
      <w:bookmarkEnd w:id="53"/>
      <w:bookmarkEnd w:id="54"/>
      <w:bookmarkEnd w:id="55"/>
    </w:p>
    <w:p w14:paraId="5D0895BF">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14:paraId="5923071E">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0DF67EA8">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03263635">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261B8B38">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EAD9B3E">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15DD76FA">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7141B3BF">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708E4AE">
      <w:pPr>
        <w:rPr>
          <w:color w:val="auto"/>
          <w:highlight w:val="none"/>
        </w:rPr>
      </w:pPr>
    </w:p>
    <w:p w14:paraId="4DC11430">
      <w:pPr>
        <w:pStyle w:val="6"/>
        <w:widowControl w:val="0"/>
        <w:overflowPunct w:val="0"/>
        <w:rPr>
          <w:rFonts w:ascii="宋体" w:hAnsi="宋体"/>
          <w:color w:val="auto"/>
          <w:sz w:val="21"/>
          <w:szCs w:val="21"/>
          <w:highlight w:val="none"/>
        </w:rPr>
      </w:pPr>
      <w:bookmarkStart w:id="56" w:name="_Toc17274"/>
      <w:bookmarkStart w:id="57" w:name="_Toc14217"/>
      <w:bookmarkStart w:id="58" w:name="_Toc10453"/>
      <w:r>
        <w:rPr>
          <w:rFonts w:hint="eastAsia" w:ascii="宋体" w:hAnsi="宋体"/>
          <w:color w:val="auto"/>
          <w:sz w:val="21"/>
          <w:szCs w:val="21"/>
          <w:highlight w:val="none"/>
        </w:rPr>
        <w:t>9.招标文件的澄清或修改</w:t>
      </w:r>
      <w:bookmarkEnd w:id="56"/>
      <w:bookmarkEnd w:id="57"/>
      <w:bookmarkEnd w:id="58"/>
    </w:p>
    <w:p w14:paraId="31B66FEF">
      <w:pPr>
        <w:pStyle w:val="40"/>
        <w:widowControl w:val="0"/>
        <w:numPr>
          <w:ilvl w:val="0"/>
          <w:numId w:val="3"/>
        </w:numPr>
        <w:adjustRightInd/>
        <w:snapToGrid/>
        <w:ind w:firstLineChars="0"/>
        <w:jc w:val="both"/>
        <w:rPr>
          <w:rFonts w:ascii="宋体" w:hAnsi="宋体"/>
          <w:vanish/>
          <w:color w:val="auto"/>
          <w:szCs w:val="21"/>
          <w:highlight w:val="none"/>
        </w:rPr>
      </w:pPr>
    </w:p>
    <w:p w14:paraId="73328F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1C3834D">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6E8D0208">
      <w:pPr>
        <w:widowControl w:val="0"/>
        <w:adjustRightInd/>
        <w:snapToGrid/>
        <w:spacing w:line="360" w:lineRule="exact"/>
        <w:ind w:left="567"/>
        <w:jc w:val="both"/>
        <w:rPr>
          <w:rFonts w:ascii="宋体" w:hAnsi="宋体"/>
          <w:color w:val="auto"/>
          <w:szCs w:val="21"/>
          <w:highlight w:val="none"/>
        </w:rPr>
      </w:pPr>
    </w:p>
    <w:p w14:paraId="4305F161">
      <w:pPr>
        <w:pStyle w:val="5"/>
        <w:spacing w:line="480" w:lineRule="auto"/>
        <w:jc w:val="center"/>
        <w:outlineLvl w:val="1"/>
        <w:rPr>
          <w:rFonts w:ascii="宋体" w:hAnsi="宋体"/>
          <w:color w:val="auto"/>
          <w:highlight w:val="none"/>
        </w:rPr>
      </w:pPr>
      <w:bookmarkStart w:id="59" w:name="_Toc16712"/>
      <w:bookmarkStart w:id="60" w:name="_Toc17631"/>
      <w:bookmarkStart w:id="61" w:name="_Toc23726"/>
      <w:r>
        <w:rPr>
          <w:rFonts w:hint="eastAsia" w:ascii="宋体" w:hAnsi="宋体"/>
          <w:color w:val="auto"/>
          <w:highlight w:val="none"/>
        </w:rPr>
        <w:t>第三章投标文件的编制</w:t>
      </w:r>
      <w:bookmarkEnd w:id="59"/>
      <w:bookmarkEnd w:id="60"/>
      <w:bookmarkEnd w:id="61"/>
    </w:p>
    <w:p w14:paraId="1BEEF387">
      <w:pPr>
        <w:pStyle w:val="6"/>
        <w:widowControl w:val="0"/>
        <w:overflowPunct w:val="0"/>
        <w:rPr>
          <w:rFonts w:ascii="宋体" w:hAnsi="宋体"/>
          <w:color w:val="auto"/>
          <w:sz w:val="21"/>
          <w:szCs w:val="21"/>
          <w:highlight w:val="none"/>
        </w:rPr>
      </w:pPr>
      <w:bookmarkStart w:id="62" w:name="_Toc23938"/>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14:paraId="17AAD7EF">
      <w:pPr>
        <w:pStyle w:val="40"/>
        <w:widowControl w:val="0"/>
        <w:numPr>
          <w:ilvl w:val="0"/>
          <w:numId w:val="3"/>
        </w:numPr>
        <w:adjustRightInd/>
        <w:snapToGrid/>
        <w:ind w:firstLineChars="0"/>
        <w:jc w:val="both"/>
        <w:rPr>
          <w:rFonts w:ascii="宋体" w:hAnsi="宋体"/>
          <w:vanish/>
          <w:color w:val="auto"/>
          <w:szCs w:val="21"/>
          <w:highlight w:val="none"/>
        </w:rPr>
      </w:pPr>
    </w:p>
    <w:p w14:paraId="535F128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444092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719180A8">
      <w:pPr>
        <w:widowControl w:val="0"/>
        <w:adjustRightInd/>
        <w:snapToGrid/>
        <w:ind w:left="567"/>
        <w:jc w:val="both"/>
        <w:rPr>
          <w:rFonts w:ascii="宋体" w:hAnsi="宋体"/>
          <w:color w:val="auto"/>
          <w:szCs w:val="21"/>
          <w:highlight w:val="none"/>
        </w:rPr>
      </w:pPr>
    </w:p>
    <w:p w14:paraId="1EBE7D37">
      <w:pPr>
        <w:pStyle w:val="6"/>
        <w:widowControl w:val="0"/>
        <w:overflowPunct w:val="0"/>
        <w:rPr>
          <w:rFonts w:ascii="宋体" w:hAnsi="宋体"/>
          <w:color w:val="auto"/>
          <w:sz w:val="21"/>
          <w:szCs w:val="21"/>
          <w:highlight w:val="none"/>
        </w:rPr>
      </w:pPr>
      <w:bookmarkStart w:id="65" w:name="_Toc303084256"/>
      <w:bookmarkStart w:id="66" w:name="_Toc382049103"/>
      <w:bookmarkStart w:id="67" w:name="_Toc307934854"/>
      <w:bookmarkStart w:id="68" w:name="_Toc12145"/>
      <w:bookmarkStart w:id="69" w:name="_Toc19141"/>
      <w:bookmarkStart w:id="70" w:name="_Toc28866"/>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4BB078C0">
      <w:pPr>
        <w:pStyle w:val="40"/>
        <w:widowControl w:val="0"/>
        <w:numPr>
          <w:ilvl w:val="0"/>
          <w:numId w:val="3"/>
        </w:numPr>
        <w:adjustRightInd/>
        <w:snapToGrid/>
        <w:ind w:firstLineChars="0"/>
        <w:jc w:val="both"/>
        <w:rPr>
          <w:rFonts w:ascii="宋体" w:hAnsi="宋体"/>
          <w:vanish/>
          <w:color w:val="auto"/>
          <w:szCs w:val="21"/>
          <w:highlight w:val="none"/>
        </w:rPr>
      </w:pPr>
    </w:p>
    <w:p w14:paraId="4B59254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6F05E748">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69A2AA1A">
      <w:pPr>
        <w:rPr>
          <w:color w:val="auto"/>
          <w:highlight w:val="none"/>
        </w:rPr>
      </w:pPr>
    </w:p>
    <w:p w14:paraId="5A9476FC">
      <w:pPr>
        <w:pStyle w:val="6"/>
        <w:widowControl w:val="0"/>
        <w:overflowPunct w:val="0"/>
        <w:rPr>
          <w:rFonts w:ascii="宋体" w:hAnsi="宋体"/>
          <w:color w:val="auto"/>
          <w:sz w:val="21"/>
          <w:szCs w:val="21"/>
          <w:highlight w:val="none"/>
        </w:rPr>
      </w:pPr>
      <w:bookmarkStart w:id="72" w:name="_Toc21747"/>
      <w:bookmarkStart w:id="73" w:name="_Toc9506"/>
      <w:bookmarkStart w:id="74" w:name="_Toc30189"/>
      <w:r>
        <w:rPr>
          <w:rFonts w:hint="eastAsia" w:ascii="宋体" w:hAnsi="宋体"/>
          <w:color w:val="auto"/>
          <w:sz w:val="21"/>
          <w:szCs w:val="21"/>
          <w:highlight w:val="none"/>
        </w:rPr>
        <w:t>12.投标文件编制</w:t>
      </w:r>
      <w:bookmarkEnd w:id="72"/>
      <w:bookmarkEnd w:id="73"/>
      <w:bookmarkEnd w:id="74"/>
    </w:p>
    <w:p w14:paraId="0007E92E">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29BE6F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544FFB8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06D543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143499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577DEB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39092E12">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39CC9040">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1684374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3107F890">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DAC4718">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155910E4">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6B634C4">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40E0DA02">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318A360F">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71917B95">
      <w:pPr>
        <w:widowControl w:val="0"/>
        <w:adjustRightInd/>
        <w:snapToGrid/>
        <w:spacing w:line="360" w:lineRule="exact"/>
        <w:jc w:val="both"/>
        <w:rPr>
          <w:color w:val="auto"/>
          <w:highlight w:val="none"/>
        </w:rPr>
      </w:pPr>
    </w:p>
    <w:p w14:paraId="05A068B2">
      <w:pPr>
        <w:pStyle w:val="6"/>
        <w:widowControl w:val="0"/>
        <w:overflowPunct w:val="0"/>
        <w:rPr>
          <w:rFonts w:ascii="宋体" w:hAnsi="宋体"/>
          <w:color w:val="auto"/>
          <w:sz w:val="21"/>
          <w:szCs w:val="21"/>
          <w:highlight w:val="none"/>
        </w:rPr>
      </w:pPr>
      <w:bookmarkStart w:id="76" w:name="_Toc17188"/>
      <w:bookmarkStart w:id="77" w:name="_Toc6284"/>
      <w:bookmarkStart w:id="78" w:name="_Toc259"/>
      <w:r>
        <w:rPr>
          <w:rFonts w:hint="eastAsia" w:ascii="宋体" w:hAnsi="宋体"/>
          <w:color w:val="auto"/>
          <w:sz w:val="21"/>
          <w:szCs w:val="21"/>
          <w:highlight w:val="none"/>
        </w:rPr>
        <w:t>13.投标报价说明</w:t>
      </w:r>
      <w:bookmarkEnd w:id="76"/>
      <w:bookmarkEnd w:id="77"/>
      <w:bookmarkEnd w:id="78"/>
    </w:p>
    <w:p w14:paraId="1C98DBFE">
      <w:pPr>
        <w:pStyle w:val="40"/>
        <w:widowControl w:val="0"/>
        <w:numPr>
          <w:ilvl w:val="0"/>
          <w:numId w:val="3"/>
        </w:numPr>
        <w:adjustRightInd/>
        <w:snapToGrid/>
        <w:ind w:firstLineChars="0"/>
        <w:jc w:val="both"/>
        <w:rPr>
          <w:rFonts w:ascii="宋体" w:hAnsi="宋体"/>
          <w:vanish/>
          <w:color w:val="auto"/>
          <w:szCs w:val="21"/>
          <w:highlight w:val="none"/>
        </w:rPr>
      </w:pPr>
    </w:p>
    <w:p w14:paraId="00E25EB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2BB45E9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0B1A5F5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64DC5A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4B2BE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23A6A669">
      <w:pPr>
        <w:rPr>
          <w:color w:val="auto"/>
          <w:highlight w:val="none"/>
        </w:rPr>
      </w:pPr>
    </w:p>
    <w:p w14:paraId="73F8F247">
      <w:pPr>
        <w:pStyle w:val="6"/>
        <w:widowControl w:val="0"/>
        <w:overflowPunct w:val="0"/>
        <w:rPr>
          <w:rFonts w:ascii="宋体" w:hAnsi="宋体"/>
          <w:color w:val="auto"/>
          <w:sz w:val="21"/>
          <w:szCs w:val="21"/>
          <w:highlight w:val="none"/>
        </w:rPr>
      </w:pPr>
      <w:bookmarkStart w:id="79" w:name="_Toc15360"/>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20E2761D">
      <w:pPr>
        <w:pStyle w:val="40"/>
        <w:widowControl w:val="0"/>
        <w:numPr>
          <w:ilvl w:val="0"/>
          <w:numId w:val="3"/>
        </w:numPr>
        <w:adjustRightInd/>
        <w:snapToGrid/>
        <w:ind w:firstLineChars="0"/>
        <w:jc w:val="both"/>
        <w:rPr>
          <w:rFonts w:ascii="宋体" w:hAnsi="宋体"/>
          <w:vanish/>
          <w:color w:val="auto"/>
          <w:szCs w:val="21"/>
          <w:highlight w:val="none"/>
        </w:rPr>
      </w:pPr>
    </w:p>
    <w:p w14:paraId="3A49E858">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18C57542">
      <w:pPr>
        <w:pStyle w:val="40"/>
        <w:widowControl w:val="0"/>
        <w:adjustRightInd/>
        <w:snapToGrid/>
        <w:ind w:left="425" w:firstLine="0" w:firstLineChars="0"/>
        <w:jc w:val="both"/>
        <w:rPr>
          <w:color w:val="auto"/>
          <w:highlight w:val="none"/>
        </w:rPr>
      </w:pPr>
    </w:p>
    <w:p w14:paraId="6BE7BF0F">
      <w:pPr>
        <w:pStyle w:val="6"/>
        <w:widowControl w:val="0"/>
        <w:overflowPunct w:val="0"/>
        <w:rPr>
          <w:rFonts w:ascii="宋体" w:hAnsi="宋体"/>
          <w:color w:val="auto"/>
          <w:sz w:val="21"/>
          <w:szCs w:val="21"/>
          <w:highlight w:val="none"/>
        </w:rPr>
      </w:pPr>
      <w:bookmarkStart w:id="84" w:name="_Toc22169"/>
      <w:bookmarkStart w:id="85" w:name="_Toc2303"/>
      <w:bookmarkStart w:id="86" w:name="_Toc19520"/>
      <w:r>
        <w:rPr>
          <w:rFonts w:hint="eastAsia" w:ascii="宋体" w:hAnsi="宋体"/>
          <w:color w:val="auto"/>
          <w:sz w:val="21"/>
          <w:szCs w:val="21"/>
          <w:highlight w:val="none"/>
        </w:rPr>
        <w:t>15.★投标有效期</w:t>
      </w:r>
      <w:bookmarkEnd w:id="84"/>
      <w:bookmarkEnd w:id="85"/>
      <w:bookmarkEnd w:id="86"/>
    </w:p>
    <w:p w14:paraId="063DE2A1">
      <w:pPr>
        <w:pStyle w:val="40"/>
        <w:widowControl w:val="0"/>
        <w:numPr>
          <w:ilvl w:val="0"/>
          <w:numId w:val="3"/>
        </w:numPr>
        <w:adjustRightInd/>
        <w:snapToGrid/>
        <w:ind w:firstLineChars="0"/>
        <w:jc w:val="both"/>
        <w:rPr>
          <w:rFonts w:ascii="宋体" w:hAnsi="宋体"/>
          <w:vanish/>
          <w:color w:val="auto"/>
          <w:szCs w:val="21"/>
          <w:highlight w:val="none"/>
        </w:rPr>
      </w:pPr>
    </w:p>
    <w:p w14:paraId="2E0DB98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70CC9E8D">
      <w:pPr>
        <w:widowControl w:val="0"/>
        <w:adjustRightInd/>
        <w:snapToGrid/>
        <w:ind w:left="567"/>
        <w:jc w:val="both"/>
        <w:rPr>
          <w:color w:val="auto"/>
          <w:highlight w:val="none"/>
        </w:rPr>
      </w:pPr>
    </w:p>
    <w:p w14:paraId="5196F201">
      <w:pPr>
        <w:pStyle w:val="6"/>
        <w:widowControl w:val="0"/>
        <w:overflowPunct w:val="0"/>
        <w:rPr>
          <w:rFonts w:ascii="宋体" w:hAnsi="宋体"/>
          <w:color w:val="auto"/>
          <w:sz w:val="21"/>
          <w:szCs w:val="21"/>
          <w:highlight w:val="none"/>
        </w:rPr>
      </w:pPr>
      <w:bookmarkStart w:id="87" w:name="_Toc30257"/>
      <w:bookmarkStart w:id="88" w:name="_Toc12456"/>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21EA3023">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1809457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1852714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65E66EB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14FA24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37E845D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7A5CC6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6844CDE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1B19ED7">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355362D7">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3E43E3F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7C13063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19D08A5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415A584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7AFC0DE1">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75FCC5A0">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6D03FE40">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6E885159">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5279DD3F">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67688AF6">
      <w:pPr>
        <w:rPr>
          <w:color w:val="auto"/>
          <w:highlight w:val="none"/>
        </w:rPr>
      </w:pPr>
    </w:p>
    <w:p w14:paraId="62E442A4">
      <w:pPr>
        <w:pStyle w:val="5"/>
        <w:spacing w:line="480" w:lineRule="auto"/>
        <w:jc w:val="center"/>
        <w:outlineLvl w:val="1"/>
        <w:rPr>
          <w:rFonts w:ascii="宋体" w:hAnsi="宋体"/>
          <w:color w:val="auto"/>
          <w:highlight w:val="none"/>
        </w:rPr>
      </w:pPr>
      <w:bookmarkStart w:id="91" w:name="_Toc24537"/>
      <w:bookmarkStart w:id="92" w:name="_Toc3200"/>
      <w:bookmarkStart w:id="93" w:name="_Toc31124"/>
      <w:r>
        <w:rPr>
          <w:rFonts w:hint="eastAsia" w:ascii="宋体" w:hAnsi="宋体"/>
          <w:color w:val="auto"/>
          <w:highlight w:val="none"/>
        </w:rPr>
        <w:t>第四章投标文件的递交</w:t>
      </w:r>
      <w:bookmarkEnd w:id="91"/>
      <w:bookmarkEnd w:id="92"/>
      <w:bookmarkEnd w:id="93"/>
    </w:p>
    <w:p w14:paraId="25455B0B">
      <w:pPr>
        <w:pStyle w:val="6"/>
        <w:widowControl w:val="0"/>
        <w:overflowPunct w:val="0"/>
        <w:rPr>
          <w:rFonts w:ascii="宋体" w:hAnsi="宋体"/>
          <w:color w:val="auto"/>
          <w:sz w:val="21"/>
          <w:szCs w:val="21"/>
          <w:highlight w:val="none"/>
        </w:rPr>
      </w:pPr>
      <w:bookmarkStart w:id="94" w:name="_Toc5641"/>
      <w:bookmarkStart w:id="95" w:name="_Toc382049111"/>
      <w:bookmarkStart w:id="96" w:name="_Toc23678"/>
      <w:bookmarkStart w:id="97" w:name="_Toc29590"/>
      <w:bookmarkStart w:id="98" w:name="_Toc24997"/>
      <w:bookmarkStart w:id="99"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68820078">
      <w:pPr>
        <w:pStyle w:val="40"/>
        <w:widowControl w:val="0"/>
        <w:numPr>
          <w:ilvl w:val="0"/>
          <w:numId w:val="3"/>
        </w:numPr>
        <w:adjustRightInd/>
        <w:snapToGrid/>
        <w:ind w:firstLineChars="0"/>
        <w:jc w:val="both"/>
        <w:rPr>
          <w:rFonts w:ascii="宋体" w:hAnsi="宋体"/>
          <w:vanish/>
          <w:color w:val="auto"/>
          <w:szCs w:val="21"/>
          <w:highlight w:val="none"/>
        </w:rPr>
      </w:pPr>
    </w:p>
    <w:p w14:paraId="1A9DE3D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49E7937A">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069DE34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21085DC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4D431E1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22751FD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64776D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3C98322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42AE92E0">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6A1ABF8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3388EFCC">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4C7E8ACC">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464550F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48EA847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0E7AB9E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2276F13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2777930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6F59CAD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5A6E55DB">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28905920">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46375C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45D6DFC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6DC750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72233A85">
      <w:pPr>
        <w:rPr>
          <w:color w:val="auto"/>
          <w:highlight w:val="none"/>
        </w:rPr>
      </w:pPr>
    </w:p>
    <w:p w14:paraId="68365EE7">
      <w:pPr>
        <w:pStyle w:val="6"/>
        <w:widowControl w:val="0"/>
        <w:overflowPunct w:val="0"/>
        <w:rPr>
          <w:rFonts w:ascii="宋体" w:hAnsi="宋体"/>
          <w:color w:val="auto"/>
          <w:sz w:val="21"/>
          <w:szCs w:val="21"/>
          <w:highlight w:val="none"/>
        </w:rPr>
      </w:pPr>
      <w:bookmarkStart w:id="100" w:name="_Toc17744"/>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14:paraId="75033737">
      <w:pPr>
        <w:pStyle w:val="40"/>
        <w:widowControl w:val="0"/>
        <w:numPr>
          <w:ilvl w:val="0"/>
          <w:numId w:val="3"/>
        </w:numPr>
        <w:adjustRightInd/>
        <w:snapToGrid/>
        <w:ind w:firstLineChars="0"/>
        <w:jc w:val="both"/>
        <w:rPr>
          <w:rFonts w:ascii="宋体" w:hAnsi="宋体"/>
          <w:vanish/>
          <w:color w:val="auto"/>
          <w:szCs w:val="21"/>
          <w:highlight w:val="none"/>
        </w:rPr>
      </w:pPr>
    </w:p>
    <w:p w14:paraId="161894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40AF100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3BAD423F">
      <w:pPr>
        <w:rPr>
          <w:color w:val="auto"/>
          <w:highlight w:val="none"/>
        </w:rPr>
      </w:pPr>
    </w:p>
    <w:p w14:paraId="6D5A6CDD">
      <w:pPr>
        <w:pStyle w:val="6"/>
        <w:widowControl w:val="0"/>
        <w:overflowPunct w:val="0"/>
        <w:rPr>
          <w:rFonts w:ascii="宋体" w:hAnsi="宋体"/>
          <w:color w:val="auto"/>
          <w:sz w:val="21"/>
          <w:szCs w:val="21"/>
          <w:highlight w:val="none"/>
        </w:rPr>
      </w:pPr>
      <w:bookmarkStart w:id="103" w:name="_Toc13212"/>
      <w:bookmarkStart w:id="104" w:name="_Toc1960"/>
      <w:bookmarkStart w:id="105" w:name="_Toc19649"/>
      <w:r>
        <w:rPr>
          <w:rFonts w:hint="eastAsia" w:ascii="宋体" w:hAnsi="宋体"/>
          <w:color w:val="auto"/>
          <w:sz w:val="21"/>
          <w:szCs w:val="21"/>
          <w:highlight w:val="none"/>
        </w:rPr>
        <w:t>19.投标样品（如需提交）</w:t>
      </w:r>
      <w:bookmarkEnd w:id="103"/>
      <w:bookmarkEnd w:id="104"/>
      <w:bookmarkEnd w:id="105"/>
    </w:p>
    <w:p w14:paraId="390D1F15">
      <w:pPr>
        <w:pStyle w:val="40"/>
        <w:widowControl w:val="0"/>
        <w:numPr>
          <w:ilvl w:val="0"/>
          <w:numId w:val="3"/>
        </w:numPr>
        <w:adjustRightInd/>
        <w:snapToGrid/>
        <w:ind w:firstLineChars="0"/>
        <w:jc w:val="both"/>
        <w:rPr>
          <w:rFonts w:ascii="宋体" w:hAnsi="宋体"/>
          <w:vanish/>
          <w:color w:val="auto"/>
          <w:szCs w:val="21"/>
          <w:highlight w:val="none"/>
        </w:rPr>
      </w:pPr>
    </w:p>
    <w:p w14:paraId="7A97C4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36C725C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0A05CCF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25F788BC">
      <w:pPr>
        <w:rPr>
          <w:color w:val="auto"/>
          <w:highlight w:val="none"/>
        </w:rPr>
      </w:pPr>
    </w:p>
    <w:p w14:paraId="6C39457F">
      <w:pPr>
        <w:pStyle w:val="6"/>
        <w:widowControl w:val="0"/>
        <w:overflowPunct w:val="0"/>
        <w:rPr>
          <w:rFonts w:ascii="宋体" w:hAnsi="宋体"/>
          <w:color w:val="auto"/>
          <w:sz w:val="21"/>
          <w:szCs w:val="21"/>
          <w:highlight w:val="none"/>
        </w:rPr>
      </w:pPr>
      <w:bookmarkStart w:id="106" w:name="_Toc303084265"/>
      <w:bookmarkStart w:id="107" w:name="_Toc5900"/>
      <w:bookmarkStart w:id="108" w:name="_Toc382049112"/>
      <w:bookmarkStart w:id="109" w:name="_Toc16133"/>
      <w:bookmarkStart w:id="110" w:name="_Toc9777"/>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6A473ED2">
      <w:pPr>
        <w:pStyle w:val="40"/>
        <w:widowControl w:val="0"/>
        <w:numPr>
          <w:ilvl w:val="0"/>
          <w:numId w:val="3"/>
        </w:numPr>
        <w:adjustRightInd/>
        <w:snapToGrid/>
        <w:ind w:firstLineChars="0"/>
        <w:jc w:val="both"/>
        <w:rPr>
          <w:rFonts w:ascii="宋体" w:hAnsi="宋体"/>
          <w:vanish/>
          <w:color w:val="auto"/>
          <w:szCs w:val="21"/>
          <w:highlight w:val="none"/>
        </w:rPr>
      </w:pPr>
    </w:p>
    <w:p w14:paraId="12B3FF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41055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73D049BD">
      <w:pPr>
        <w:rPr>
          <w:color w:val="auto"/>
          <w:highlight w:val="none"/>
        </w:rPr>
      </w:pPr>
    </w:p>
    <w:p w14:paraId="7FF69612">
      <w:pPr>
        <w:pStyle w:val="6"/>
        <w:widowControl w:val="0"/>
        <w:overflowPunct w:val="0"/>
        <w:rPr>
          <w:rFonts w:ascii="宋体" w:hAnsi="宋体"/>
          <w:color w:val="auto"/>
          <w:sz w:val="21"/>
          <w:szCs w:val="21"/>
          <w:highlight w:val="none"/>
        </w:rPr>
      </w:pPr>
      <w:bookmarkStart w:id="112" w:name="_Toc11133"/>
      <w:bookmarkStart w:id="113" w:name="_Toc6003"/>
      <w:bookmarkStart w:id="114" w:name="_Toc4340"/>
      <w:r>
        <w:rPr>
          <w:rFonts w:hint="eastAsia" w:ascii="宋体" w:hAnsi="宋体"/>
          <w:color w:val="auto"/>
          <w:sz w:val="21"/>
          <w:szCs w:val="21"/>
          <w:highlight w:val="none"/>
        </w:rPr>
        <w:t>21.投标文件的补充、修改与撤回</w:t>
      </w:r>
      <w:bookmarkEnd w:id="112"/>
      <w:bookmarkEnd w:id="113"/>
      <w:bookmarkEnd w:id="114"/>
    </w:p>
    <w:p w14:paraId="1E415ABB">
      <w:pPr>
        <w:pStyle w:val="40"/>
        <w:widowControl w:val="0"/>
        <w:numPr>
          <w:ilvl w:val="0"/>
          <w:numId w:val="3"/>
        </w:numPr>
        <w:adjustRightInd/>
        <w:snapToGrid/>
        <w:ind w:firstLineChars="0"/>
        <w:jc w:val="both"/>
        <w:rPr>
          <w:rFonts w:ascii="宋体" w:hAnsi="宋体"/>
          <w:vanish/>
          <w:color w:val="auto"/>
          <w:szCs w:val="21"/>
          <w:highlight w:val="none"/>
        </w:rPr>
      </w:pPr>
    </w:p>
    <w:p w14:paraId="081C3E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A0A06B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92AA7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65ECDA9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09908407">
      <w:pPr>
        <w:pStyle w:val="10"/>
        <w:rPr>
          <w:color w:val="auto"/>
          <w:highlight w:val="none"/>
        </w:rPr>
      </w:pPr>
    </w:p>
    <w:p w14:paraId="4A0CC94F">
      <w:pPr>
        <w:pStyle w:val="5"/>
        <w:spacing w:line="480" w:lineRule="auto"/>
        <w:jc w:val="center"/>
        <w:outlineLvl w:val="1"/>
        <w:rPr>
          <w:rFonts w:ascii="宋体" w:hAnsi="宋体"/>
          <w:color w:val="auto"/>
          <w:highlight w:val="none"/>
        </w:rPr>
      </w:pPr>
      <w:bookmarkStart w:id="115" w:name="_Toc23466"/>
      <w:bookmarkStart w:id="116" w:name="_Toc6530"/>
      <w:bookmarkStart w:id="117" w:name="_Toc29574"/>
      <w:r>
        <w:rPr>
          <w:rFonts w:hint="eastAsia" w:ascii="宋体" w:hAnsi="宋体"/>
          <w:color w:val="auto"/>
          <w:highlight w:val="none"/>
        </w:rPr>
        <w:t>第五章开标与评标</w:t>
      </w:r>
      <w:bookmarkEnd w:id="115"/>
      <w:bookmarkEnd w:id="116"/>
      <w:bookmarkEnd w:id="117"/>
    </w:p>
    <w:p w14:paraId="51450FC2">
      <w:pPr>
        <w:pStyle w:val="6"/>
        <w:widowControl w:val="0"/>
        <w:overflowPunct w:val="0"/>
        <w:rPr>
          <w:rFonts w:ascii="宋体" w:hAnsi="宋体"/>
          <w:color w:val="auto"/>
          <w:sz w:val="21"/>
          <w:szCs w:val="21"/>
          <w:highlight w:val="none"/>
        </w:rPr>
      </w:pPr>
      <w:bookmarkStart w:id="118" w:name="_Toc4470"/>
      <w:bookmarkStart w:id="119" w:name="_Toc28458"/>
      <w:bookmarkStart w:id="120" w:name="_Toc27700"/>
      <w:r>
        <w:rPr>
          <w:rFonts w:hint="eastAsia" w:ascii="宋体" w:hAnsi="宋体"/>
          <w:color w:val="auto"/>
          <w:sz w:val="21"/>
          <w:szCs w:val="21"/>
          <w:highlight w:val="none"/>
        </w:rPr>
        <w:t>22.开标</w:t>
      </w:r>
      <w:bookmarkEnd w:id="118"/>
      <w:bookmarkEnd w:id="119"/>
      <w:bookmarkEnd w:id="120"/>
    </w:p>
    <w:p w14:paraId="088929EB">
      <w:pPr>
        <w:pStyle w:val="40"/>
        <w:widowControl w:val="0"/>
        <w:numPr>
          <w:ilvl w:val="0"/>
          <w:numId w:val="3"/>
        </w:numPr>
        <w:adjustRightInd/>
        <w:snapToGrid/>
        <w:ind w:firstLineChars="0"/>
        <w:jc w:val="both"/>
        <w:rPr>
          <w:rFonts w:ascii="宋体" w:hAnsi="宋体"/>
          <w:vanish/>
          <w:color w:val="auto"/>
          <w:szCs w:val="21"/>
          <w:highlight w:val="none"/>
        </w:rPr>
      </w:pPr>
    </w:p>
    <w:p w14:paraId="6C8EC4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C76D24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62585DD5">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147E127F">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050CFF91">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7705597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18D2EF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27538D7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06BE8E52">
      <w:pPr>
        <w:widowControl w:val="0"/>
        <w:adjustRightInd/>
        <w:snapToGrid/>
        <w:ind w:left="567"/>
        <w:jc w:val="both"/>
        <w:rPr>
          <w:color w:val="auto"/>
          <w:highlight w:val="none"/>
        </w:rPr>
      </w:pPr>
    </w:p>
    <w:p w14:paraId="2F24A5FE">
      <w:pPr>
        <w:pStyle w:val="6"/>
        <w:widowControl w:val="0"/>
        <w:overflowPunct w:val="0"/>
        <w:rPr>
          <w:rFonts w:ascii="宋体" w:hAnsi="宋体"/>
          <w:color w:val="auto"/>
          <w:sz w:val="21"/>
          <w:szCs w:val="21"/>
          <w:highlight w:val="none"/>
        </w:rPr>
      </w:pPr>
      <w:bookmarkStart w:id="121" w:name="_Toc5524"/>
      <w:bookmarkStart w:id="122" w:name="_Toc3761"/>
      <w:bookmarkStart w:id="123" w:name="_Toc5974"/>
      <w:r>
        <w:rPr>
          <w:rFonts w:hint="eastAsia" w:ascii="宋体" w:hAnsi="宋体"/>
          <w:color w:val="auto"/>
          <w:sz w:val="21"/>
          <w:szCs w:val="21"/>
          <w:highlight w:val="none"/>
        </w:rPr>
        <w:t>23.评标委员会及评标方法</w:t>
      </w:r>
      <w:bookmarkEnd w:id="121"/>
      <w:bookmarkEnd w:id="122"/>
      <w:bookmarkEnd w:id="123"/>
    </w:p>
    <w:p w14:paraId="1A4045F0">
      <w:pPr>
        <w:pStyle w:val="40"/>
        <w:widowControl w:val="0"/>
        <w:numPr>
          <w:ilvl w:val="0"/>
          <w:numId w:val="3"/>
        </w:numPr>
        <w:adjustRightInd/>
        <w:snapToGrid/>
        <w:ind w:firstLineChars="0"/>
        <w:jc w:val="both"/>
        <w:rPr>
          <w:rFonts w:ascii="宋体" w:hAnsi="宋体"/>
          <w:vanish/>
          <w:color w:val="auto"/>
          <w:szCs w:val="21"/>
          <w:highlight w:val="none"/>
        </w:rPr>
      </w:pPr>
    </w:p>
    <w:p w14:paraId="050DC0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7241D5B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490D3B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78E230A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177872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00E509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17E361D7">
      <w:pPr>
        <w:rPr>
          <w:color w:val="auto"/>
          <w:highlight w:val="none"/>
        </w:rPr>
      </w:pPr>
    </w:p>
    <w:p w14:paraId="6D49CEAF">
      <w:pPr>
        <w:pStyle w:val="6"/>
        <w:widowControl w:val="0"/>
        <w:overflowPunct w:val="0"/>
        <w:rPr>
          <w:rFonts w:ascii="宋体" w:hAnsi="宋体"/>
          <w:color w:val="auto"/>
          <w:sz w:val="21"/>
          <w:szCs w:val="21"/>
          <w:highlight w:val="none"/>
        </w:rPr>
      </w:pPr>
      <w:bookmarkStart w:id="124" w:name="_Toc23019"/>
      <w:bookmarkStart w:id="125" w:name="_Toc3273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24E358DC">
      <w:pPr>
        <w:pStyle w:val="40"/>
        <w:widowControl w:val="0"/>
        <w:numPr>
          <w:ilvl w:val="0"/>
          <w:numId w:val="3"/>
        </w:numPr>
        <w:adjustRightInd/>
        <w:snapToGrid/>
        <w:ind w:firstLineChars="0"/>
        <w:jc w:val="both"/>
        <w:rPr>
          <w:rFonts w:ascii="宋体" w:hAnsi="宋体"/>
          <w:vanish/>
          <w:color w:val="auto"/>
          <w:szCs w:val="21"/>
          <w:highlight w:val="none"/>
        </w:rPr>
      </w:pPr>
    </w:p>
    <w:p w14:paraId="02960E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641BB04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5D7DA2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3906BF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7C24B028">
      <w:pPr>
        <w:rPr>
          <w:color w:val="auto"/>
          <w:highlight w:val="none"/>
        </w:rPr>
      </w:pPr>
    </w:p>
    <w:p w14:paraId="7349EC99">
      <w:pPr>
        <w:pStyle w:val="6"/>
        <w:widowControl w:val="0"/>
        <w:overflowPunct w:val="0"/>
        <w:rPr>
          <w:rFonts w:ascii="宋体" w:hAnsi="宋体"/>
          <w:color w:val="auto"/>
          <w:sz w:val="21"/>
          <w:szCs w:val="21"/>
          <w:highlight w:val="none"/>
        </w:rPr>
      </w:pPr>
      <w:bookmarkStart w:id="127" w:name="_Toc3762"/>
      <w:bookmarkStart w:id="128" w:name="_Toc6378"/>
      <w:bookmarkStart w:id="129" w:name="_Toc18436"/>
      <w:r>
        <w:rPr>
          <w:rFonts w:hint="eastAsia" w:ascii="宋体" w:hAnsi="宋体"/>
          <w:color w:val="auto"/>
          <w:sz w:val="21"/>
          <w:szCs w:val="21"/>
          <w:highlight w:val="none"/>
        </w:rPr>
        <w:t>25.投标文件的初审</w:t>
      </w:r>
      <w:bookmarkEnd w:id="127"/>
      <w:bookmarkEnd w:id="128"/>
      <w:bookmarkEnd w:id="129"/>
    </w:p>
    <w:p w14:paraId="1FC4E7EA">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2AFD9A2">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6CA2DBC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3AD8DD3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177B0E8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65917B28">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24A5F5E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3E70083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1A9FADF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D5E460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1151023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49743B8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517E5C5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782DFA1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19AC6F3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6A513BB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172C54B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706552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71190CE5">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C724447">
      <w:pPr>
        <w:rPr>
          <w:color w:val="auto"/>
          <w:highlight w:val="none"/>
        </w:rPr>
      </w:pPr>
    </w:p>
    <w:p w14:paraId="0C412C19">
      <w:pPr>
        <w:pStyle w:val="6"/>
        <w:widowControl w:val="0"/>
        <w:overflowPunct w:val="0"/>
        <w:rPr>
          <w:rFonts w:ascii="宋体" w:hAnsi="宋体"/>
          <w:color w:val="auto"/>
          <w:sz w:val="21"/>
          <w:szCs w:val="21"/>
          <w:highlight w:val="none"/>
        </w:rPr>
      </w:pPr>
      <w:bookmarkStart w:id="130" w:name="_Toc32150"/>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3A0A0738">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212DE02">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691708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5E445C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49B12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31B1192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F7D0B6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0BDBD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3047470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6969048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7E455E8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3DE3B3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79CE556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3C51D33">
      <w:pPr>
        <w:widowControl w:val="0"/>
        <w:tabs>
          <w:tab w:val="left" w:pos="907"/>
        </w:tabs>
        <w:adjustRightInd/>
        <w:snapToGrid/>
        <w:spacing w:line="360" w:lineRule="exact"/>
        <w:ind w:left="567"/>
        <w:jc w:val="both"/>
        <w:rPr>
          <w:rFonts w:ascii="宋体" w:hAnsi="宋体"/>
          <w:color w:val="auto"/>
          <w:szCs w:val="21"/>
          <w:highlight w:val="none"/>
        </w:rPr>
      </w:pPr>
    </w:p>
    <w:p w14:paraId="528BD810">
      <w:pPr>
        <w:pStyle w:val="6"/>
        <w:widowControl w:val="0"/>
        <w:overflowPunct w:val="0"/>
        <w:rPr>
          <w:rFonts w:ascii="宋体" w:hAnsi="宋体"/>
          <w:color w:val="auto"/>
          <w:sz w:val="21"/>
          <w:szCs w:val="21"/>
          <w:highlight w:val="none"/>
        </w:rPr>
      </w:pPr>
      <w:bookmarkStart w:id="133" w:name="_Toc22192"/>
      <w:bookmarkStart w:id="134" w:name="_Toc17683"/>
      <w:bookmarkStart w:id="135" w:name="_Toc8074"/>
      <w:r>
        <w:rPr>
          <w:rFonts w:hint="eastAsia" w:ascii="宋体" w:hAnsi="宋体"/>
          <w:color w:val="auto"/>
          <w:sz w:val="21"/>
          <w:szCs w:val="21"/>
          <w:highlight w:val="none"/>
        </w:rPr>
        <w:t>27.优惠政策</w:t>
      </w:r>
      <w:bookmarkEnd w:id="133"/>
      <w:bookmarkEnd w:id="134"/>
      <w:bookmarkEnd w:id="135"/>
    </w:p>
    <w:p w14:paraId="5B9ECC16">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6DE9BF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522900B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工业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11E0B83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633C5BB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25DDC39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14:paraId="0FB760F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62A8DB22">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3FF971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0E99C62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FF95C8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409B179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05A150D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4C7E3AE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7623988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CC05AB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56AFBC4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4394313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14748E93">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0212A35A">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01E39EA4">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3B0E72C0">
      <w:pPr>
        <w:widowControl w:val="0"/>
        <w:tabs>
          <w:tab w:val="left" w:pos="907"/>
        </w:tabs>
        <w:adjustRightInd/>
        <w:snapToGrid/>
        <w:ind w:left="567"/>
        <w:jc w:val="both"/>
        <w:rPr>
          <w:rFonts w:ascii="宋体" w:hAnsi="宋体"/>
          <w:color w:val="auto"/>
          <w:szCs w:val="21"/>
          <w:highlight w:val="none"/>
        </w:rPr>
      </w:pPr>
    </w:p>
    <w:p w14:paraId="3DA87FC1">
      <w:pPr>
        <w:pStyle w:val="6"/>
        <w:widowControl w:val="0"/>
        <w:overflowPunct w:val="0"/>
        <w:rPr>
          <w:rFonts w:ascii="宋体" w:hAnsi="宋体"/>
          <w:color w:val="auto"/>
          <w:sz w:val="21"/>
          <w:szCs w:val="21"/>
          <w:highlight w:val="none"/>
        </w:rPr>
      </w:pPr>
      <w:bookmarkStart w:id="136" w:name="_Toc316375620"/>
      <w:bookmarkStart w:id="137" w:name="_Toc31141"/>
      <w:bookmarkStart w:id="138" w:name="_Toc22591"/>
      <w:bookmarkStart w:id="139" w:name="_Toc382049120"/>
      <w:bookmarkStart w:id="140" w:name="_Toc20328"/>
      <w:bookmarkStart w:id="141" w:name="_Toc27386"/>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49D0F5E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6BBF9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76827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4C1F097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39CDA419">
      <w:pPr>
        <w:rPr>
          <w:color w:val="auto"/>
          <w:highlight w:val="none"/>
        </w:rPr>
      </w:pPr>
    </w:p>
    <w:p w14:paraId="14C30B27">
      <w:pPr>
        <w:pStyle w:val="5"/>
        <w:spacing w:line="480" w:lineRule="auto"/>
        <w:jc w:val="center"/>
        <w:outlineLvl w:val="1"/>
        <w:rPr>
          <w:rFonts w:ascii="宋体" w:hAnsi="宋体"/>
          <w:color w:val="auto"/>
          <w:highlight w:val="none"/>
        </w:rPr>
      </w:pPr>
      <w:bookmarkStart w:id="142" w:name="_Toc29310"/>
      <w:bookmarkStart w:id="143" w:name="_Toc20787"/>
      <w:bookmarkStart w:id="144" w:name="_Toc12251"/>
      <w:r>
        <w:rPr>
          <w:rFonts w:hint="eastAsia" w:ascii="宋体" w:hAnsi="宋体"/>
          <w:color w:val="auto"/>
          <w:highlight w:val="none"/>
        </w:rPr>
        <w:t>第六章授予合同</w:t>
      </w:r>
      <w:bookmarkEnd w:id="142"/>
      <w:bookmarkEnd w:id="143"/>
      <w:bookmarkEnd w:id="144"/>
    </w:p>
    <w:p w14:paraId="0C5C868E">
      <w:pPr>
        <w:pStyle w:val="6"/>
        <w:widowControl w:val="0"/>
        <w:overflowPunct w:val="0"/>
        <w:rPr>
          <w:rFonts w:ascii="宋体" w:hAnsi="宋体"/>
          <w:color w:val="auto"/>
          <w:sz w:val="21"/>
          <w:szCs w:val="21"/>
          <w:highlight w:val="none"/>
        </w:rPr>
      </w:pPr>
      <w:bookmarkStart w:id="145" w:name="_Toc28569"/>
      <w:bookmarkStart w:id="146" w:name="_Toc6696"/>
      <w:bookmarkStart w:id="147" w:name="_Toc27817"/>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75336666">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5610DC2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55A14846">
      <w:pPr>
        <w:rPr>
          <w:color w:val="auto"/>
          <w:highlight w:val="none"/>
        </w:rPr>
      </w:pPr>
    </w:p>
    <w:p w14:paraId="4B026674">
      <w:pPr>
        <w:pStyle w:val="6"/>
        <w:widowControl w:val="0"/>
        <w:overflowPunct w:val="0"/>
        <w:rPr>
          <w:rFonts w:ascii="宋体" w:hAnsi="宋体"/>
          <w:color w:val="auto"/>
          <w:sz w:val="21"/>
          <w:szCs w:val="21"/>
          <w:highlight w:val="none"/>
        </w:rPr>
      </w:pPr>
      <w:bookmarkStart w:id="149" w:name="_Toc29283"/>
      <w:bookmarkStart w:id="150" w:name="_Toc24871"/>
      <w:bookmarkStart w:id="151" w:name="_Toc508284013"/>
      <w:bookmarkStart w:id="152" w:name="_Toc23136"/>
      <w:r>
        <w:rPr>
          <w:rFonts w:hint="eastAsia" w:ascii="宋体" w:hAnsi="宋体"/>
          <w:color w:val="auto"/>
          <w:sz w:val="21"/>
          <w:szCs w:val="21"/>
          <w:highlight w:val="none"/>
        </w:rPr>
        <w:t>30.发布采购结果</w:t>
      </w:r>
      <w:bookmarkEnd w:id="149"/>
      <w:bookmarkEnd w:id="150"/>
      <w:bookmarkEnd w:id="151"/>
      <w:bookmarkEnd w:id="152"/>
    </w:p>
    <w:p w14:paraId="448C53E0">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65A0D4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3FBBE5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374A8FA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08E926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6699EAB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5F4F9EB0">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4A78387">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31A9B76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D3E03BA">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8A4C6F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4BFCE1C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2C6B30C3">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2939E98">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2F2E956F">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65121BD8">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3867D3B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886A8B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64210AE1">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488D56D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263991B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244724A9">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3C7C629">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47E67CB4">
      <w:pPr>
        <w:rPr>
          <w:color w:val="auto"/>
          <w:highlight w:val="none"/>
        </w:rPr>
      </w:pPr>
    </w:p>
    <w:p w14:paraId="1F1623DB">
      <w:pPr>
        <w:pStyle w:val="6"/>
        <w:widowControl w:val="0"/>
        <w:overflowPunct w:val="0"/>
        <w:rPr>
          <w:rFonts w:ascii="宋体" w:hAnsi="宋体"/>
          <w:color w:val="auto"/>
          <w:sz w:val="21"/>
          <w:szCs w:val="21"/>
          <w:highlight w:val="none"/>
        </w:rPr>
      </w:pPr>
      <w:bookmarkStart w:id="153" w:name="_Toc22451"/>
      <w:bookmarkStart w:id="154" w:name="_Toc9831"/>
      <w:bookmarkStart w:id="155" w:name="_Toc27279"/>
      <w:r>
        <w:rPr>
          <w:rFonts w:hint="eastAsia" w:ascii="宋体" w:hAnsi="宋体"/>
          <w:color w:val="auto"/>
          <w:sz w:val="21"/>
          <w:szCs w:val="21"/>
          <w:highlight w:val="none"/>
        </w:rPr>
        <w:t>31.合同的签订与履行</w:t>
      </w:r>
      <w:bookmarkEnd w:id="153"/>
      <w:bookmarkEnd w:id="154"/>
      <w:bookmarkEnd w:id="155"/>
    </w:p>
    <w:p w14:paraId="1B53FBE9">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3CA4897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7A6688F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5870308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2647E6C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45B5791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7FC3F87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137A597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748F2DFD">
      <w:pPr>
        <w:rPr>
          <w:color w:val="auto"/>
          <w:highlight w:val="none"/>
        </w:rPr>
      </w:pPr>
    </w:p>
    <w:p w14:paraId="0FF34BC1">
      <w:pPr>
        <w:pStyle w:val="6"/>
        <w:widowControl w:val="0"/>
        <w:overflowPunct w:val="0"/>
        <w:rPr>
          <w:rFonts w:ascii="宋体" w:hAnsi="宋体"/>
          <w:color w:val="auto"/>
          <w:sz w:val="21"/>
          <w:szCs w:val="21"/>
          <w:highlight w:val="none"/>
        </w:rPr>
      </w:pPr>
      <w:bookmarkStart w:id="156" w:name="_Toc18525"/>
      <w:bookmarkStart w:id="157" w:name="_Toc29009"/>
      <w:bookmarkStart w:id="158" w:name="_Toc303084277"/>
      <w:bookmarkStart w:id="159" w:name="_Toc7405"/>
      <w:bookmarkStart w:id="160" w:name="_Toc382049124"/>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1FA5AA79">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23681F1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1D7A146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76AB58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5C47FE0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3354192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457347A">
      <w:pPr>
        <w:rPr>
          <w:color w:val="auto"/>
          <w:highlight w:val="none"/>
        </w:rPr>
      </w:pPr>
    </w:p>
    <w:p w14:paraId="24442FBD">
      <w:pPr>
        <w:pStyle w:val="5"/>
        <w:spacing w:line="480" w:lineRule="auto"/>
        <w:jc w:val="center"/>
        <w:outlineLvl w:val="1"/>
        <w:rPr>
          <w:rFonts w:ascii="宋体" w:hAnsi="宋体"/>
          <w:color w:val="auto"/>
          <w:highlight w:val="none"/>
        </w:rPr>
      </w:pPr>
      <w:bookmarkStart w:id="162" w:name="_Toc7360"/>
      <w:bookmarkStart w:id="163" w:name="_Toc3854"/>
      <w:bookmarkStart w:id="164" w:name="_Toc13694"/>
      <w:r>
        <w:rPr>
          <w:rFonts w:hint="eastAsia" w:ascii="宋体" w:hAnsi="宋体"/>
          <w:color w:val="auto"/>
          <w:highlight w:val="none"/>
        </w:rPr>
        <w:t>第七章询问或质疑</w:t>
      </w:r>
      <w:bookmarkEnd w:id="162"/>
      <w:bookmarkEnd w:id="163"/>
      <w:bookmarkEnd w:id="164"/>
    </w:p>
    <w:p w14:paraId="7EE0077C">
      <w:pPr>
        <w:pStyle w:val="6"/>
        <w:widowControl w:val="0"/>
        <w:overflowPunct w:val="0"/>
        <w:rPr>
          <w:rFonts w:ascii="宋体" w:hAnsi="宋体"/>
          <w:color w:val="auto"/>
          <w:sz w:val="21"/>
          <w:szCs w:val="21"/>
          <w:highlight w:val="none"/>
        </w:rPr>
      </w:pPr>
      <w:bookmarkStart w:id="165" w:name="_Toc2872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14:paraId="3AEF6A0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4CE10B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3C10BF43">
      <w:pPr>
        <w:widowControl w:val="0"/>
        <w:tabs>
          <w:tab w:val="left" w:pos="907"/>
        </w:tabs>
        <w:adjustRightInd/>
        <w:snapToGrid/>
        <w:ind w:left="567"/>
        <w:jc w:val="both"/>
        <w:rPr>
          <w:rFonts w:ascii="宋体" w:hAnsi="宋体"/>
          <w:color w:val="auto"/>
          <w:szCs w:val="21"/>
          <w:highlight w:val="none"/>
        </w:rPr>
      </w:pPr>
    </w:p>
    <w:p w14:paraId="757578F2">
      <w:pPr>
        <w:pStyle w:val="6"/>
        <w:widowControl w:val="0"/>
        <w:overflowPunct w:val="0"/>
        <w:rPr>
          <w:rFonts w:ascii="宋体" w:hAnsi="宋体"/>
          <w:color w:val="auto"/>
          <w:sz w:val="21"/>
          <w:szCs w:val="21"/>
          <w:highlight w:val="none"/>
        </w:rPr>
      </w:pPr>
      <w:bookmarkStart w:id="168" w:name="_Toc8234"/>
      <w:bookmarkStart w:id="169" w:name="_Toc11264"/>
      <w:bookmarkStart w:id="170" w:name="_Toc15426"/>
      <w:r>
        <w:rPr>
          <w:rFonts w:hint="eastAsia" w:ascii="宋体" w:hAnsi="宋体"/>
          <w:color w:val="auto"/>
          <w:sz w:val="21"/>
          <w:szCs w:val="21"/>
          <w:highlight w:val="none"/>
        </w:rPr>
        <w:t>34.质疑</w:t>
      </w:r>
      <w:bookmarkEnd w:id="168"/>
      <w:bookmarkEnd w:id="169"/>
      <w:bookmarkEnd w:id="170"/>
    </w:p>
    <w:p w14:paraId="1CDC0E3E">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0074CEE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48AA7E0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6BF20D4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41EDD60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5720EEC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556DF61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47A43AC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637FF70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279696F5">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0D7C4A1D">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6A5BFE5F">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973A37D">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747F9AB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1F7BAF49">
      <w:pPr>
        <w:rPr>
          <w:color w:val="auto"/>
          <w:highlight w:val="none"/>
        </w:rPr>
      </w:pPr>
    </w:p>
    <w:p w14:paraId="789532D8">
      <w:pPr>
        <w:pStyle w:val="5"/>
        <w:spacing w:line="480" w:lineRule="auto"/>
        <w:jc w:val="center"/>
        <w:outlineLvl w:val="1"/>
        <w:rPr>
          <w:rFonts w:ascii="宋体" w:hAnsi="宋体"/>
          <w:color w:val="auto"/>
          <w:highlight w:val="none"/>
        </w:rPr>
      </w:pPr>
      <w:bookmarkStart w:id="171" w:name="_Toc8919"/>
      <w:bookmarkStart w:id="172" w:name="_Toc24383"/>
      <w:bookmarkStart w:id="173" w:name="_Toc7172"/>
      <w:r>
        <w:rPr>
          <w:rFonts w:hint="eastAsia" w:ascii="宋体" w:hAnsi="宋体"/>
          <w:color w:val="auto"/>
          <w:highlight w:val="none"/>
        </w:rPr>
        <w:t>第八章其他</w:t>
      </w:r>
      <w:bookmarkEnd w:id="171"/>
      <w:bookmarkEnd w:id="172"/>
      <w:bookmarkEnd w:id="173"/>
    </w:p>
    <w:p w14:paraId="4D02D144">
      <w:pPr>
        <w:pStyle w:val="6"/>
        <w:widowControl w:val="0"/>
        <w:overflowPunct w:val="0"/>
        <w:rPr>
          <w:rFonts w:ascii="宋体" w:hAnsi="宋体"/>
          <w:color w:val="auto"/>
          <w:sz w:val="21"/>
          <w:szCs w:val="21"/>
          <w:highlight w:val="none"/>
        </w:rPr>
      </w:pPr>
      <w:bookmarkStart w:id="174" w:name="_Toc6548"/>
      <w:bookmarkStart w:id="175" w:name="_Toc14765"/>
      <w:bookmarkStart w:id="176" w:name="_Toc10082"/>
      <w:r>
        <w:rPr>
          <w:rFonts w:hint="eastAsia" w:ascii="宋体" w:hAnsi="宋体"/>
          <w:color w:val="auto"/>
          <w:sz w:val="21"/>
          <w:szCs w:val="21"/>
          <w:highlight w:val="none"/>
        </w:rPr>
        <w:t>35.招标文件的解释权</w:t>
      </w:r>
      <w:bookmarkEnd w:id="174"/>
      <w:bookmarkEnd w:id="175"/>
      <w:bookmarkEnd w:id="176"/>
    </w:p>
    <w:p w14:paraId="482894C3">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14:paraId="1951225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132D2350">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2ECC3741">
      <w:pPr>
        <w:rPr>
          <w:color w:val="auto"/>
          <w:highlight w:val="none"/>
        </w:rPr>
      </w:pPr>
    </w:p>
    <w:bookmarkEnd w:id="19"/>
    <w:p w14:paraId="7D5254B6">
      <w:pPr>
        <w:jc w:val="center"/>
        <w:rPr>
          <w:color w:val="auto"/>
          <w:highlight w:val="none"/>
        </w:rPr>
      </w:pPr>
      <w:r>
        <w:rPr>
          <w:rFonts w:hint="eastAsia"/>
          <w:color w:val="auto"/>
          <w:highlight w:val="none"/>
        </w:rPr>
        <w:br w:type="page"/>
      </w:r>
    </w:p>
    <w:p w14:paraId="491E1304">
      <w:pPr>
        <w:pStyle w:val="4"/>
        <w:spacing w:before="0" w:after="0" w:line="240" w:lineRule="auto"/>
        <w:outlineLvl w:val="0"/>
        <w:rPr>
          <w:color w:val="auto"/>
          <w:sz w:val="28"/>
          <w:szCs w:val="28"/>
          <w:highlight w:val="none"/>
        </w:rPr>
      </w:pPr>
      <w:bookmarkStart w:id="177" w:name="_Toc7011"/>
      <w:bookmarkStart w:id="178" w:name="_Toc31854"/>
      <w:bookmarkStart w:id="179" w:name="_Toc20433"/>
      <w:r>
        <w:rPr>
          <w:rFonts w:hint="eastAsia"/>
          <w:color w:val="auto"/>
          <w:sz w:val="28"/>
          <w:szCs w:val="28"/>
          <w:highlight w:val="none"/>
        </w:rPr>
        <w:t>第五部分 用户需求书</w:t>
      </w:r>
      <w:bookmarkEnd w:id="177"/>
      <w:bookmarkEnd w:id="178"/>
      <w:bookmarkEnd w:id="179"/>
    </w:p>
    <w:p w14:paraId="6F230E93">
      <w:pPr>
        <w:pStyle w:val="5"/>
        <w:jc w:val="center"/>
        <w:outlineLvl w:val="1"/>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29"/>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4C998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4E21C089">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1F9FD2E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2D7A30C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5FB1C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14:paraId="41E4BF8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14:paraId="6D933B3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0404376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合同签订之日起</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年。其中第一年为试用期，如考核月平均分低于80分的，</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rPr>
              <w:t>有权单方终止合同，中标人须无条件退场。</w:t>
            </w:r>
          </w:p>
        </w:tc>
      </w:tr>
      <w:tr w14:paraId="012D4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8" w:hRule="atLeast"/>
        </w:trPr>
        <w:tc>
          <w:tcPr>
            <w:tcW w:w="718" w:type="dxa"/>
            <w:vAlign w:val="center"/>
          </w:tcPr>
          <w:p w14:paraId="53F59F9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14:paraId="260064A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530C308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eastAsia="zh-CN"/>
              </w:rPr>
              <w:t>不向</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支付任何承包、管理费用，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也不需要向</w:t>
            </w:r>
            <w:r>
              <w:rPr>
                <w:rFonts w:hint="eastAsia" w:ascii="宋体" w:hAnsi="宋体" w:cs="宋体"/>
                <w:color w:val="auto"/>
                <w:sz w:val="21"/>
                <w:szCs w:val="21"/>
                <w:highlight w:val="none"/>
                <w:lang w:val="en-US" w:eastAsia="zh-CN"/>
              </w:rPr>
              <w:t>委托人</w:t>
            </w:r>
            <w:r>
              <w:rPr>
                <w:rFonts w:hint="eastAsia" w:ascii="宋体" w:hAnsi="宋体" w:eastAsia="宋体" w:cs="宋体"/>
                <w:color w:val="auto"/>
                <w:sz w:val="21"/>
                <w:szCs w:val="21"/>
                <w:highlight w:val="none"/>
                <w:lang w:eastAsia="zh-CN"/>
              </w:rPr>
              <w:t>交纳任何</w:t>
            </w:r>
            <w:r>
              <w:rPr>
                <w:rFonts w:hint="eastAsia" w:ascii="宋体" w:hAnsi="宋体" w:cs="宋体"/>
                <w:color w:val="auto"/>
                <w:sz w:val="21"/>
                <w:szCs w:val="21"/>
                <w:highlight w:val="none"/>
                <w:lang w:val="en-US" w:eastAsia="zh-CN"/>
              </w:rPr>
              <w:t>场地租赁费、</w:t>
            </w:r>
            <w:r>
              <w:rPr>
                <w:rFonts w:hint="eastAsia" w:ascii="宋体" w:hAnsi="宋体" w:eastAsia="宋体" w:cs="宋体"/>
                <w:color w:val="auto"/>
                <w:sz w:val="21"/>
                <w:szCs w:val="21"/>
                <w:highlight w:val="none"/>
                <w:lang w:eastAsia="zh-CN"/>
              </w:rPr>
              <w:t>管理费，食堂范围内所产生的</w:t>
            </w:r>
            <w:r>
              <w:rPr>
                <w:rFonts w:hint="eastAsia" w:ascii="宋体" w:hAnsi="宋体" w:cs="宋体"/>
                <w:color w:val="auto"/>
                <w:sz w:val="21"/>
                <w:szCs w:val="21"/>
                <w:highlight w:val="none"/>
                <w:lang w:val="en-US" w:eastAsia="zh-CN"/>
              </w:rPr>
              <w:t>人员工资、保险、</w:t>
            </w:r>
            <w:r>
              <w:rPr>
                <w:rFonts w:hint="eastAsia" w:ascii="宋体" w:hAnsi="宋体" w:eastAsia="宋体" w:cs="宋体"/>
                <w:color w:val="auto"/>
                <w:sz w:val="21"/>
                <w:szCs w:val="21"/>
                <w:highlight w:val="none"/>
                <w:lang w:eastAsia="zh-CN"/>
              </w:rPr>
              <w:t>水电费</w:t>
            </w:r>
            <w:r>
              <w:rPr>
                <w:rFonts w:hint="eastAsia" w:ascii="宋体" w:hAnsi="宋体" w:cs="宋体"/>
                <w:color w:val="auto"/>
                <w:sz w:val="21"/>
                <w:szCs w:val="21"/>
                <w:highlight w:val="none"/>
                <w:lang w:val="en-US" w:eastAsia="zh-CN"/>
              </w:rPr>
              <w:t>等运营成本</w:t>
            </w:r>
            <w:r>
              <w:rPr>
                <w:rFonts w:hint="eastAsia" w:ascii="宋体" w:hAnsi="宋体" w:eastAsia="宋体" w:cs="宋体"/>
                <w:color w:val="auto"/>
                <w:sz w:val="21"/>
                <w:szCs w:val="21"/>
                <w:highlight w:val="none"/>
                <w:lang w:eastAsia="zh-CN"/>
              </w:rPr>
              <w:t>由</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支付。食堂的VI广告由中标人统一策划制作，费用由中标人承担。</w:t>
            </w:r>
          </w:p>
        </w:tc>
      </w:tr>
      <w:tr w14:paraId="3F98F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14:paraId="2B81660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0301269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经营方式</w:t>
            </w:r>
          </w:p>
        </w:tc>
        <w:tc>
          <w:tcPr>
            <w:tcW w:w="6466" w:type="dxa"/>
            <w:vAlign w:val="center"/>
          </w:tcPr>
          <w:p w14:paraId="63294E8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中标人独立经营，自负盈亏。不得私自转让或委托他人经营</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一经发现，采购人有权取消其承包资格。</w:t>
            </w:r>
          </w:p>
          <w:p w14:paraId="3FCBEEA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中标人包工包料，</w:t>
            </w:r>
            <w:r>
              <w:rPr>
                <w:rFonts w:hint="eastAsia" w:ascii="宋体" w:hAnsi="宋体" w:cs="宋体"/>
                <w:color w:val="auto"/>
                <w:kern w:val="0"/>
                <w:sz w:val="21"/>
                <w:szCs w:val="21"/>
                <w:highlight w:val="none"/>
                <w:lang w:val="en-US" w:eastAsia="zh-CN" w:bidi="ar-SA"/>
              </w:rPr>
              <w:t>食材及物资采购采用竞争机制，需引入不少于3家具备相关资质的集中配货供应商；</w:t>
            </w:r>
            <w:r>
              <w:rPr>
                <w:rFonts w:hint="eastAsia" w:ascii="宋体" w:hAnsi="宋体" w:eastAsia="宋体" w:cs="宋体"/>
                <w:color w:val="auto"/>
                <w:sz w:val="21"/>
                <w:szCs w:val="21"/>
                <w:highlight w:val="none"/>
              </w:rPr>
              <w:t>食堂工作人员由中标人自行安排，</w:t>
            </w:r>
            <w:r>
              <w:rPr>
                <w:rFonts w:hint="eastAsia" w:ascii="宋体" w:hAnsi="宋体" w:cs="宋体"/>
                <w:color w:val="auto"/>
                <w:sz w:val="21"/>
                <w:szCs w:val="21"/>
                <w:highlight w:val="none"/>
                <w:lang w:val="en-US" w:eastAsia="zh-CN"/>
              </w:rPr>
              <w:t>重点岗位，如食堂项目经理、主厨等工作人员需经采购人核定后入职；中标人</w:t>
            </w:r>
            <w:r>
              <w:rPr>
                <w:rFonts w:hint="eastAsia" w:ascii="宋体" w:hAnsi="宋体" w:eastAsia="宋体" w:cs="宋体"/>
                <w:color w:val="auto"/>
                <w:sz w:val="21"/>
                <w:szCs w:val="21"/>
                <w:highlight w:val="none"/>
              </w:rPr>
              <w:t>负责食堂</w:t>
            </w:r>
            <w:r>
              <w:rPr>
                <w:rFonts w:hint="eastAsia" w:ascii="宋体" w:hAnsi="宋体" w:cs="宋体"/>
                <w:color w:val="auto"/>
                <w:sz w:val="21"/>
                <w:szCs w:val="21"/>
                <w:highlight w:val="none"/>
                <w:lang w:val="en-US" w:eastAsia="zh-CN"/>
              </w:rPr>
              <w:t>前厅、后厨各项事务</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根据委托方要求</w:t>
            </w:r>
            <w:r>
              <w:rPr>
                <w:rFonts w:hint="eastAsia" w:ascii="宋体" w:hAnsi="宋体" w:eastAsia="宋体" w:cs="宋体"/>
                <w:color w:val="auto"/>
                <w:sz w:val="21"/>
                <w:szCs w:val="21"/>
                <w:highlight w:val="none"/>
              </w:rPr>
              <w:t>按时完成开膳工作。</w:t>
            </w:r>
          </w:p>
          <w:p w14:paraId="4D4BD6B1">
            <w:pPr>
              <w:ind w:firstLine="420" w:firstLineChars="200"/>
              <w:rPr>
                <w:rFonts w:hint="eastAsia"/>
                <w:color w:val="auto"/>
                <w:highlight w:val="none"/>
              </w:rPr>
            </w:pPr>
            <w:r>
              <w:rPr>
                <w:rFonts w:hint="eastAsia" w:ascii="宋体" w:hAnsi="宋体" w:eastAsia="宋体" w:cs="宋体"/>
                <w:color w:val="auto"/>
                <w:kern w:val="0"/>
                <w:sz w:val="21"/>
                <w:szCs w:val="21"/>
                <w:highlight w:val="none"/>
                <w:lang w:val="en-US" w:eastAsia="zh-CN" w:bidi="ar-SA"/>
              </w:rPr>
              <w:t>中标人对食堂各项收费需明码标价，坚持财务公示制度，每月对食堂采购物品品种、数量、价格等进行公示，服务期间如需调价，需由膳食管理委员会审核确定，公示</w:t>
            </w:r>
            <w:r>
              <w:rPr>
                <w:rFonts w:hint="eastAsia" w:ascii="宋体" w:hAnsi="宋体" w:cs="宋体"/>
                <w:color w:val="auto"/>
                <w:kern w:val="0"/>
                <w:sz w:val="21"/>
                <w:szCs w:val="21"/>
                <w:highlight w:val="none"/>
                <w:lang w:val="en-US" w:eastAsia="zh-CN" w:bidi="ar-SA"/>
              </w:rPr>
              <w:t>并经</w:t>
            </w:r>
            <w:r>
              <w:rPr>
                <w:rFonts w:hint="eastAsia" w:ascii="宋体" w:hAnsi="宋体" w:eastAsia="宋体" w:cs="宋体"/>
                <w:color w:val="auto"/>
                <w:sz w:val="21"/>
                <w:szCs w:val="21"/>
                <w:highlight w:val="none"/>
              </w:rPr>
              <w:t>政府相关主管部门备案或许可后</w:t>
            </w:r>
            <w:r>
              <w:rPr>
                <w:rFonts w:hint="eastAsia" w:ascii="宋体" w:hAnsi="宋体" w:cs="宋体"/>
                <w:color w:val="auto"/>
                <w:sz w:val="21"/>
                <w:szCs w:val="21"/>
                <w:highlight w:val="none"/>
                <w:lang w:val="en-US" w:eastAsia="zh-CN"/>
              </w:rPr>
              <w:t>调整</w:t>
            </w:r>
            <w:r>
              <w:rPr>
                <w:rFonts w:hint="eastAsia" w:ascii="宋体" w:hAnsi="宋体" w:eastAsia="宋体" w:cs="宋体"/>
                <w:color w:val="auto"/>
                <w:sz w:val="21"/>
                <w:szCs w:val="21"/>
                <w:highlight w:val="none"/>
              </w:rPr>
              <w:t>。</w:t>
            </w:r>
          </w:p>
          <w:p w14:paraId="2094587A">
            <w:pPr>
              <w:keepNext w:val="0"/>
              <w:keepLines w:val="0"/>
              <w:pageBreakBefore w:val="0"/>
              <w:widowControl/>
              <w:kinsoku/>
              <w:wordWrap/>
              <w:overflowPunct/>
              <w:topLinePunct w:val="0"/>
              <w:autoSpaceDE/>
              <w:autoSpaceDN/>
              <w:bidi w:val="0"/>
              <w:adjustRightInd w:val="0"/>
              <w:snapToGrid w:val="0"/>
              <w:spacing w:line="360" w:lineRule="auto"/>
              <w:ind w:firstLine="424" w:firstLineChars="202"/>
              <w:textAlignment w:val="auto"/>
              <w:rPr>
                <w:rFonts w:hint="eastAsia" w:ascii="宋体" w:hAnsi="宋体" w:cs="宋体"/>
                <w:color w:val="auto"/>
                <w:sz w:val="21"/>
                <w:szCs w:val="21"/>
                <w:highlight w:val="none"/>
                <w:lang w:eastAsia="zh-CN"/>
              </w:rPr>
            </w:pPr>
            <w:r>
              <w:rPr>
                <w:rFonts w:hint="eastAsia" w:ascii="宋体" w:hAnsi="宋体" w:cs="宋体"/>
                <w:bCs/>
                <w:color w:val="auto"/>
                <w:sz w:val="21"/>
                <w:szCs w:val="21"/>
                <w:highlight w:val="none"/>
                <w:lang w:val="en-US" w:eastAsia="zh-CN"/>
              </w:rPr>
              <w:t>食堂内各项设施、设备、用具交由中标人使用后，中标人具有保管责任。</w:t>
            </w:r>
            <w:r>
              <w:rPr>
                <w:rFonts w:hint="eastAsia" w:ascii="宋体" w:hAnsi="宋体" w:eastAsia="宋体" w:cs="宋体"/>
                <w:bCs/>
                <w:color w:val="auto"/>
                <w:sz w:val="21"/>
                <w:szCs w:val="21"/>
                <w:highlight w:val="none"/>
              </w:rPr>
              <w:t>食堂经营期内所有厨具、设备设施所产生的维修、维护、保养等费用，全部由</w:t>
            </w:r>
            <w:r>
              <w:rPr>
                <w:rFonts w:hint="eastAsia" w:ascii="宋体" w:hAnsi="宋体" w:eastAsia="宋体" w:cs="宋体"/>
                <w:color w:val="auto"/>
                <w:sz w:val="21"/>
                <w:szCs w:val="21"/>
                <w:highlight w:val="none"/>
              </w:rPr>
              <w:t>中标人</w:t>
            </w:r>
            <w:r>
              <w:rPr>
                <w:rFonts w:hint="eastAsia" w:ascii="宋体" w:hAnsi="宋体" w:eastAsia="宋体" w:cs="宋体"/>
                <w:bCs/>
                <w:color w:val="auto"/>
                <w:sz w:val="21"/>
                <w:szCs w:val="21"/>
                <w:highlight w:val="none"/>
              </w:rPr>
              <w:t>承担</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服务期满，食堂内各项设施、设备、用具在未正式移交至采购人前，如有</w:t>
            </w:r>
            <w:r>
              <w:rPr>
                <w:rFonts w:hint="eastAsia" w:ascii="宋体" w:hAnsi="宋体" w:eastAsia="宋体" w:cs="宋体"/>
                <w:bCs/>
                <w:color w:val="auto"/>
                <w:sz w:val="21"/>
                <w:szCs w:val="21"/>
                <w:highlight w:val="none"/>
              </w:rPr>
              <w:t>丢失</w:t>
            </w:r>
            <w:r>
              <w:rPr>
                <w:rFonts w:hint="eastAsia" w:ascii="宋体" w:hAnsi="宋体" w:cs="宋体"/>
                <w:bCs/>
                <w:color w:val="auto"/>
                <w:sz w:val="21"/>
                <w:szCs w:val="21"/>
                <w:highlight w:val="none"/>
                <w:lang w:val="en-US" w:eastAsia="zh-CN"/>
              </w:rPr>
              <w:t>或损坏</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由中标人负责购置</w:t>
            </w:r>
            <w:r>
              <w:rPr>
                <w:rFonts w:hint="eastAsia" w:ascii="宋体" w:hAnsi="宋体" w:eastAsia="宋体" w:cs="宋体"/>
                <w:bCs/>
                <w:color w:val="auto"/>
                <w:sz w:val="21"/>
                <w:szCs w:val="21"/>
                <w:highlight w:val="none"/>
              </w:rPr>
              <w:t>补充</w:t>
            </w:r>
            <w:r>
              <w:rPr>
                <w:rFonts w:hint="eastAsia" w:ascii="宋体" w:hAnsi="宋体" w:cs="宋体"/>
                <w:bCs/>
                <w:color w:val="auto"/>
                <w:sz w:val="21"/>
                <w:szCs w:val="21"/>
                <w:highlight w:val="none"/>
                <w:lang w:val="en-US" w:eastAsia="zh-CN"/>
              </w:rPr>
              <w:t>相同产品或照价赔偿</w:t>
            </w:r>
            <w:r>
              <w:rPr>
                <w:rFonts w:hint="eastAsia" w:ascii="宋体" w:hAnsi="宋体" w:eastAsia="宋体" w:cs="宋体"/>
                <w:bCs/>
                <w:color w:val="auto"/>
                <w:sz w:val="21"/>
                <w:szCs w:val="21"/>
                <w:highlight w:val="none"/>
              </w:rPr>
              <w:t>。</w:t>
            </w:r>
          </w:p>
        </w:tc>
      </w:tr>
      <w:tr w14:paraId="5B804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14:paraId="77197C4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14:paraId="7215CF0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49EEA60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东莞滨海湾未来学校食堂。</w:t>
            </w:r>
          </w:p>
        </w:tc>
      </w:tr>
      <w:tr w14:paraId="05EFB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598036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14:paraId="5D819DE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72D45B4C">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由于人数不确定，</w:t>
            </w:r>
            <w:r>
              <w:rPr>
                <w:rFonts w:hint="eastAsia" w:ascii="宋体" w:hAnsi="宋体" w:cs="宋体"/>
                <w:color w:val="auto"/>
                <w:sz w:val="21"/>
                <w:szCs w:val="21"/>
                <w:highlight w:val="none"/>
                <w:lang w:val="en-US" w:eastAsia="zh-CN"/>
              </w:rPr>
              <w:t>投标报价</w:t>
            </w:r>
            <w:r>
              <w:rPr>
                <w:rFonts w:hint="eastAsia" w:ascii="宋体" w:hAnsi="宋体" w:eastAsia="宋体" w:cs="宋体"/>
                <w:color w:val="auto"/>
                <w:sz w:val="21"/>
                <w:szCs w:val="21"/>
                <w:highlight w:val="none"/>
              </w:rPr>
              <w:t>统一按本项目</w:t>
            </w:r>
            <w:r>
              <w:rPr>
                <w:rFonts w:hint="eastAsia" w:ascii="宋体" w:hAnsi="宋体" w:cs="宋体"/>
                <w:color w:val="auto"/>
                <w:sz w:val="21"/>
                <w:szCs w:val="21"/>
                <w:highlight w:val="none"/>
                <w:lang w:val="en-US" w:eastAsia="zh-CN"/>
              </w:rPr>
              <w:t>技术需求书中《餐费标准及定价规则》的</w:t>
            </w:r>
            <w:r>
              <w:rPr>
                <w:rFonts w:hint="eastAsia" w:ascii="宋体" w:hAnsi="宋体" w:eastAsia="宋体" w:cs="宋体"/>
                <w:color w:val="auto"/>
                <w:sz w:val="21"/>
                <w:szCs w:val="21"/>
                <w:highlight w:val="none"/>
              </w:rPr>
              <w:t>价格</w:t>
            </w:r>
            <w:r>
              <w:rPr>
                <w:rFonts w:hint="eastAsia" w:ascii="宋体" w:hAnsi="宋体" w:cs="宋体"/>
                <w:color w:val="auto"/>
                <w:sz w:val="21"/>
                <w:szCs w:val="21"/>
                <w:highlight w:val="none"/>
                <w:lang w:val="en-US" w:eastAsia="zh-CN"/>
              </w:rPr>
              <w:t>作为依据</w:t>
            </w:r>
            <w:r>
              <w:rPr>
                <w:rFonts w:hint="eastAsia" w:ascii="宋体" w:hAnsi="宋体" w:eastAsia="宋体" w:cs="宋体"/>
                <w:color w:val="auto"/>
                <w:sz w:val="21"/>
                <w:szCs w:val="21"/>
                <w:highlight w:val="none"/>
              </w:rPr>
              <w:t>。</w:t>
            </w:r>
          </w:p>
          <w:p w14:paraId="3658A949">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应以人民币为结算单位，报价应包括：投标人派驻人员工资、福利、服装、社保、清洁消毒剂、日常膳食材料费、劳保用品、防护用品、卫生用品及完成该项目所需工具、一切税费及合同实施过程中的不可预见费用等全部费用</w:t>
            </w:r>
            <w:r>
              <w:rPr>
                <w:rFonts w:hint="eastAsia" w:ascii="宋体" w:hAnsi="宋体" w:eastAsia="宋体" w:cs="宋体"/>
                <w:color w:val="auto"/>
                <w:sz w:val="21"/>
                <w:szCs w:val="21"/>
                <w:highlight w:val="none"/>
                <w:lang w:eastAsia="zh-CN"/>
              </w:rPr>
              <w:t>。</w:t>
            </w:r>
          </w:p>
        </w:tc>
      </w:tr>
      <w:tr w14:paraId="6B530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14:paraId="02805AE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51D88C8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有效期</w:t>
            </w:r>
          </w:p>
        </w:tc>
        <w:tc>
          <w:tcPr>
            <w:tcW w:w="6466" w:type="dxa"/>
            <w:vAlign w:val="center"/>
          </w:tcPr>
          <w:p w14:paraId="5BF16CA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083EF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14:paraId="24FBC20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14:paraId="05A80C9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tc>
        <w:tc>
          <w:tcPr>
            <w:tcW w:w="6466" w:type="dxa"/>
            <w:vAlign w:val="center"/>
          </w:tcPr>
          <w:p w14:paraId="76B2FEE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所供应的货品必须符合国家和东莞市的相关安全质量标准、卫生标准等，同时符合采购人的使用要求，包括但不限于各分包所列的货品质量要求。中标人在接受订单时须确认采购人对货品的使用要求，对于不符合采购人要求的货品，采购人有权拒收或要求更换。</w:t>
            </w:r>
          </w:p>
        </w:tc>
      </w:tr>
      <w:tr w14:paraId="70A76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14:paraId="0213EAA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14:paraId="57C160F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373C71E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实质响应合同各条款。</w:t>
            </w:r>
            <w:r>
              <w:rPr>
                <w:color w:val="auto"/>
                <w:highlight w:val="none"/>
              </w:rPr>
              <w:t>投标人应充分结合本招标文件上下文了解项目招标需求、采购文件未尽事宜，将在合同签订或项目执行过程中双方协商确定，供应商须无条件满足采购单位的合理要求。</w:t>
            </w:r>
          </w:p>
        </w:tc>
      </w:tr>
      <w:tr w14:paraId="2ED11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718" w:type="dxa"/>
            <w:vAlign w:val="center"/>
          </w:tcPr>
          <w:p w14:paraId="4B8F64F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14:paraId="62321FC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其他要求</w:t>
            </w:r>
          </w:p>
        </w:tc>
        <w:tc>
          <w:tcPr>
            <w:tcW w:w="6466" w:type="dxa"/>
            <w:vAlign w:val="center"/>
          </w:tcPr>
          <w:p w14:paraId="1BBF842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color w:val="auto"/>
                <w:sz w:val="21"/>
                <w:szCs w:val="21"/>
                <w:highlight w:val="none"/>
                <w:lang w:val="en-US" w:eastAsia="zh-CN"/>
              </w:rPr>
            </w:pPr>
            <w:r>
              <w:rPr>
                <w:rFonts w:hint="eastAsia" w:ascii="宋体" w:hAnsi="宋体" w:eastAsia="宋体" w:cs="宋体"/>
                <w:b w:val="0"/>
                <w:bCs/>
                <w:color w:val="auto"/>
                <w:sz w:val="21"/>
                <w:highlight w:val="none"/>
              </w:rPr>
              <w:t>★</w:t>
            </w:r>
            <w:r>
              <w:rPr>
                <w:rFonts w:hint="eastAsia" w:ascii="宋体" w:hAnsi="宋体" w:eastAsia="宋体" w:cs="宋体"/>
                <w:b w:val="0"/>
                <w:bCs/>
                <w:color w:val="auto"/>
                <w:sz w:val="21"/>
                <w:highlight w:val="none"/>
                <w:lang w:eastAsia="zh-CN"/>
              </w:rPr>
              <w:t>（</w:t>
            </w:r>
            <w:r>
              <w:rPr>
                <w:rFonts w:hint="eastAsia" w:ascii="宋体" w:hAnsi="宋体" w:eastAsia="宋体" w:cs="宋体"/>
                <w:b w:val="0"/>
                <w:bCs/>
                <w:color w:val="auto"/>
                <w:sz w:val="21"/>
                <w:highlight w:val="none"/>
                <w:lang w:val="en-US" w:eastAsia="zh-CN"/>
              </w:rPr>
              <w:t>1</w:t>
            </w:r>
            <w:r>
              <w:rPr>
                <w:rFonts w:hint="eastAsia" w:ascii="宋体" w:hAnsi="宋体" w:eastAsia="宋体" w:cs="宋体"/>
                <w:b w:val="0"/>
                <w:bCs/>
                <w:color w:val="auto"/>
                <w:sz w:val="21"/>
                <w:highlight w:val="none"/>
                <w:lang w:eastAsia="zh-CN"/>
              </w:rPr>
              <w:t>）</w:t>
            </w:r>
            <w:r>
              <w:rPr>
                <w:rFonts w:hint="eastAsia" w:ascii="宋体" w:hAnsi="宋体" w:eastAsia="宋体" w:cs="宋体"/>
                <w:b w:val="0"/>
                <w:bCs/>
                <w:color w:val="auto"/>
                <w:sz w:val="21"/>
                <w:highlight w:val="none"/>
              </w:rPr>
              <w:t>中标人须符合国家相关规定，服从采购人和市场监督部门的监督管理及要求，配合采购人及时更新所提供的符合市场监督部门的有效证明材料，如营业执照、产品合格证、食品经营许可证、备案等。（须提供承诺函并加盖投标人公章）。</w:t>
            </w:r>
          </w:p>
        </w:tc>
      </w:tr>
    </w:tbl>
    <w:p w14:paraId="1FD0EA83">
      <w:pPr>
        <w:rPr>
          <w:color w:val="auto"/>
          <w:highlight w:val="none"/>
        </w:rPr>
      </w:pPr>
    </w:p>
    <w:p w14:paraId="1A7313A3">
      <w:pPr>
        <w:pStyle w:val="10"/>
        <w:rPr>
          <w:color w:val="auto"/>
          <w:highlight w:val="none"/>
          <w:lang w:val="en-US"/>
        </w:rPr>
      </w:pPr>
    </w:p>
    <w:p w14:paraId="5C5FDB1A">
      <w:pPr>
        <w:pStyle w:val="12"/>
        <w:rPr>
          <w:color w:val="auto"/>
          <w:highlight w:val="none"/>
          <w:lang w:val="en-US"/>
        </w:rPr>
      </w:pPr>
    </w:p>
    <w:p w14:paraId="6A378AB3">
      <w:pPr>
        <w:rPr>
          <w:rFonts w:hint="eastAsia" w:ascii="Tahoma" w:hAnsi="Tahoma" w:eastAsia="宋体" w:cstheme="minorBidi"/>
          <w:b/>
          <w:bCs/>
          <w:color w:val="auto"/>
          <w:sz w:val="28"/>
          <w:szCs w:val="32"/>
          <w:highlight w:val="none"/>
          <w:lang w:val="en-US" w:eastAsia="zh-CN" w:bidi="ar-SA"/>
        </w:rPr>
      </w:pPr>
      <w:bookmarkStart w:id="181" w:name="_Toc9702"/>
      <w:r>
        <w:rPr>
          <w:rFonts w:hint="eastAsia" w:ascii="Tahoma" w:hAnsi="Tahoma" w:eastAsia="宋体" w:cstheme="minorBidi"/>
          <w:b/>
          <w:bCs/>
          <w:color w:val="auto"/>
          <w:sz w:val="28"/>
          <w:szCs w:val="32"/>
          <w:highlight w:val="none"/>
          <w:lang w:val="en-US" w:eastAsia="zh-CN" w:bidi="ar-SA"/>
        </w:rPr>
        <w:br w:type="page"/>
      </w:r>
    </w:p>
    <w:p w14:paraId="52234AE7">
      <w:pPr>
        <w:pStyle w:val="5"/>
        <w:numPr>
          <w:ilvl w:val="0"/>
          <w:numId w:val="0"/>
        </w:numPr>
        <w:jc w:val="center"/>
        <w:outlineLvl w:val="1"/>
        <w:rPr>
          <w:color w:val="auto"/>
          <w:highlight w:val="none"/>
        </w:rPr>
      </w:pPr>
      <w:r>
        <w:rPr>
          <w:rFonts w:hint="eastAsia" w:ascii="Tahoma" w:hAnsi="Tahoma" w:eastAsia="宋体" w:cstheme="minorBidi"/>
          <w:b/>
          <w:bCs/>
          <w:color w:val="auto"/>
          <w:sz w:val="28"/>
          <w:szCs w:val="32"/>
          <w:highlight w:val="none"/>
          <w:lang w:val="en-US" w:eastAsia="zh-CN" w:bidi="ar-SA"/>
        </w:rPr>
        <w:t>第二章</w:t>
      </w:r>
      <w:r>
        <w:rPr>
          <w:rFonts w:hint="eastAsia" w:ascii="宋体" w:hAnsi="宋体"/>
          <w:color w:val="auto"/>
          <w:highlight w:val="none"/>
        </w:rPr>
        <w:t>技术需求书</w:t>
      </w:r>
      <w:bookmarkEnd w:id="181"/>
    </w:p>
    <w:p w14:paraId="58A3BCA3">
      <w:pPr>
        <w:pStyle w:val="6"/>
        <w:pageBreakBefore w:val="0"/>
        <w:kinsoku/>
        <w:wordWrap/>
        <w:overflowPunct/>
        <w:topLinePunct w:val="0"/>
        <w:autoSpaceDE/>
        <w:autoSpaceDN/>
        <w:bidi w:val="0"/>
        <w:spacing w:line="360" w:lineRule="auto"/>
        <w:textAlignment w:val="auto"/>
        <w:rPr>
          <w:rFonts w:hint="eastAsia"/>
          <w:color w:val="auto"/>
          <w:highlight w:val="none"/>
        </w:rPr>
      </w:pPr>
      <w:bookmarkStart w:id="182" w:name="_Toc13112"/>
      <w:bookmarkStart w:id="183" w:name="_Toc14462"/>
      <w:bookmarkStart w:id="184" w:name="_Toc31278"/>
      <w:bookmarkStart w:id="185" w:name="_Toc24679"/>
      <w:r>
        <w:rPr>
          <w:rFonts w:hint="eastAsia"/>
          <w:color w:val="auto"/>
          <w:highlight w:val="none"/>
        </w:rPr>
        <w:t>一、项目概况</w:t>
      </w:r>
    </w:p>
    <w:p w14:paraId="4706ECE9">
      <w:pPr>
        <w:keepNext w:val="0"/>
        <w:keepLines w:val="0"/>
        <w:pageBreakBefore w:val="0"/>
        <w:widowControl/>
        <w:kinsoku/>
        <w:wordWrap/>
        <w:overflowPunct/>
        <w:topLinePunct w:val="0"/>
        <w:autoSpaceDE/>
        <w:autoSpaceDN/>
        <w:bidi w:val="0"/>
        <w:adjustRightInd w:val="0"/>
        <w:snapToGrid w:val="0"/>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一</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学校规模</w:t>
      </w:r>
    </w:p>
    <w:p w14:paraId="3D5B0E1E">
      <w:pPr>
        <w:pageBreakBefore w:val="0"/>
        <w:kinsoku/>
        <w:wordWrap/>
        <w:overflowPunct/>
        <w:topLinePunct w:val="0"/>
        <w:autoSpaceDE/>
        <w:autoSpaceDN/>
        <w:bidi w:val="0"/>
        <w:spacing w:line="360" w:lineRule="auto"/>
        <w:ind w:firstLine="424" w:firstLineChars="202"/>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东莞滨海湾未来学校（简称“未来学校”）是滨海湾新区第一所九年一贯制公办学校，投资12亿，占地约110亩，建筑总面积超15万平方米，小学和初中共建设96个教学班，</w:t>
      </w:r>
      <w:r>
        <w:rPr>
          <w:rFonts w:hint="eastAsia" w:ascii="宋体" w:hAnsi="宋体" w:eastAsia="宋体" w:cs="宋体"/>
          <w:color w:val="auto"/>
          <w:sz w:val="21"/>
          <w:szCs w:val="21"/>
          <w:highlight w:val="none"/>
          <w:lang w:val="en-US" w:eastAsia="zh-CN"/>
        </w:rPr>
        <w:t>提供4560学位</w:t>
      </w:r>
      <w:r>
        <w:rPr>
          <w:rFonts w:hint="eastAsia" w:ascii="宋体" w:hAnsi="宋体" w:eastAsia="宋体" w:cs="宋体"/>
          <w:color w:val="auto"/>
          <w:sz w:val="21"/>
          <w:szCs w:val="21"/>
          <w:highlight w:val="none"/>
        </w:rPr>
        <w:t>。</w:t>
      </w:r>
      <w:r>
        <w:rPr>
          <w:rFonts w:hint="eastAsia" w:ascii="宋体" w:hAnsi="宋体" w:cs="宋体"/>
          <w:color w:val="auto"/>
          <w:kern w:val="0"/>
          <w:sz w:val="21"/>
          <w:szCs w:val="21"/>
          <w:highlight w:val="none"/>
          <w:lang w:val="en-US" w:eastAsia="zh-CN" w:bidi="ar-SA"/>
        </w:rPr>
        <w:t>首年服务人数共约800人，其中学生约600人、教职工约100人、后勤人员约100人，服务人数将随招生规模逐年递增。</w:t>
      </w:r>
      <w:r>
        <w:rPr>
          <w:rFonts w:hint="eastAsia" w:ascii="宋体" w:hAnsi="宋体" w:eastAsia="宋体" w:cs="宋体"/>
          <w:color w:val="auto"/>
          <w:sz w:val="21"/>
          <w:szCs w:val="21"/>
          <w:highlight w:val="none"/>
        </w:rPr>
        <w:t>未来学校食堂分为A区和B区，其中A区位于1号楼和3号楼，B区位于6号楼。A区食堂共三层。地下室，设置了仓储及初加工区，面积约670平方米；一层位于3号楼，规划为中学学生餐厅和后厨烹饪区，配备10个取餐口，开设粉面档口，可容纳480人就餐；二层位于3号楼，规划为中学学生餐厅和教职工餐厅（含包间），配备10个取餐口，开设粉面档口，可容纳596人就餐，其中学生餐厅可容纳436人就餐，教职工餐厅可容纳160人就餐。B区食堂共两层，位于6号楼，没有配备加工烹调区，只设就餐区。其中一层为小学餐厅，配备7个取餐口，可容纳536人就餐；二层为小学餐厅，配备7个取餐口，可容纳376人就餐。</w:t>
      </w:r>
    </w:p>
    <w:p w14:paraId="76C542B2">
      <w:pPr>
        <w:pStyle w:val="2"/>
        <w:numPr>
          <w:ilvl w:val="0"/>
          <w:numId w:val="0"/>
        </w:numPr>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val="en-US" w:eastAsia="zh-CN"/>
        </w:rPr>
        <w:t>用餐区域安排</w:t>
      </w:r>
    </w:p>
    <w:p w14:paraId="5C79A430">
      <w:pPr>
        <w:pStyle w:val="2"/>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学校第一年仅开放</w:t>
      </w:r>
      <w:r>
        <w:rPr>
          <w:rFonts w:hint="eastAsia" w:ascii="宋体" w:hAnsi="宋体" w:eastAsia="宋体" w:cs="宋体"/>
          <w:color w:val="auto"/>
          <w:sz w:val="21"/>
          <w:szCs w:val="21"/>
          <w:highlight w:val="none"/>
        </w:rPr>
        <w:t>3号楼</w:t>
      </w:r>
      <w:r>
        <w:rPr>
          <w:rFonts w:hint="eastAsia" w:ascii="宋体" w:hAnsi="宋体" w:cs="宋体"/>
          <w:color w:val="auto"/>
          <w:sz w:val="21"/>
          <w:szCs w:val="21"/>
          <w:highlight w:val="none"/>
          <w:lang w:val="en-US" w:eastAsia="zh-CN"/>
        </w:rPr>
        <w:t>二层</w:t>
      </w:r>
      <w:r>
        <w:rPr>
          <w:rFonts w:hint="eastAsia" w:ascii="宋体" w:hAnsi="宋体" w:eastAsia="宋体" w:cs="宋体"/>
          <w:color w:val="auto"/>
          <w:sz w:val="21"/>
          <w:szCs w:val="21"/>
          <w:highlight w:val="none"/>
          <w:lang w:val="en-US" w:eastAsia="zh-CN"/>
        </w:rPr>
        <w:t>就餐区域，第二年结合实际情况，由学校明确是否开放</w:t>
      </w:r>
      <w:r>
        <w:rPr>
          <w:rFonts w:hint="eastAsia" w:ascii="宋体" w:hAnsi="宋体" w:cs="宋体"/>
          <w:color w:val="auto"/>
          <w:sz w:val="21"/>
          <w:szCs w:val="21"/>
          <w:highlight w:val="none"/>
          <w:lang w:val="en-US" w:eastAsia="zh-CN"/>
        </w:rPr>
        <w:t>B区食堂</w:t>
      </w:r>
      <w:r>
        <w:rPr>
          <w:rFonts w:hint="eastAsia" w:ascii="宋体" w:hAnsi="宋体" w:eastAsia="宋体" w:cs="宋体"/>
          <w:color w:val="auto"/>
          <w:sz w:val="21"/>
          <w:szCs w:val="21"/>
          <w:highlight w:val="none"/>
          <w:lang w:val="en-US" w:eastAsia="zh-CN"/>
        </w:rPr>
        <w:t>就餐区域。</w:t>
      </w:r>
    </w:p>
    <w:p w14:paraId="0FD8A6A6">
      <w:pPr>
        <w:pageBreakBefore w:val="0"/>
        <w:numPr>
          <w:ilvl w:val="0"/>
          <w:numId w:val="0"/>
        </w:numPr>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lang w:val="en-US" w:eastAsia="zh-CN"/>
        </w:rPr>
        <w:t>用餐方式</w:t>
      </w:r>
      <w:r>
        <w:rPr>
          <w:rFonts w:hint="eastAsia" w:ascii="宋体" w:hAnsi="宋体" w:eastAsia="宋体" w:cs="宋体"/>
          <w:color w:val="auto"/>
          <w:sz w:val="21"/>
          <w:szCs w:val="21"/>
          <w:highlight w:val="none"/>
          <w:lang w:val="en-US" w:eastAsia="zh-CN"/>
        </w:rPr>
        <w:t xml:space="preserve">  </w:t>
      </w:r>
    </w:p>
    <w:p w14:paraId="35259400">
      <w:pPr>
        <w:pStyle w:val="9"/>
        <w:pageBreakBefore w:val="0"/>
        <w:kinsoku/>
        <w:wordWrap/>
        <w:overflowPunct/>
        <w:topLinePunct w:val="0"/>
        <w:autoSpaceDE/>
        <w:autoSpaceDN/>
        <w:bidi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color w:val="auto"/>
          <w:highlight w:val="none"/>
          <w:lang w:val="en-US" w:eastAsia="zh-CN"/>
        </w:rPr>
        <w:t>小学套餐，中学一菜一价（最终</w:t>
      </w:r>
      <w:r>
        <w:rPr>
          <w:rFonts w:hint="eastAsia" w:ascii="宋体" w:hAnsi="宋体" w:eastAsia="宋体" w:cs="宋体"/>
          <w:color w:val="auto"/>
          <w:sz w:val="21"/>
          <w:szCs w:val="21"/>
          <w:highlight w:val="none"/>
          <w:lang w:val="en-US" w:eastAsia="zh-CN"/>
        </w:rPr>
        <w:t>以校方安排为准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p w14:paraId="6ECC12CA">
      <w:pPr>
        <w:pageBreakBefore w:val="0"/>
        <w:numPr>
          <w:ilvl w:val="0"/>
          <w:numId w:val="0"/>
        </w:numPr>
        <w:kinsoku/>
        <w:wordWrap/>
        <w:overflowPunct/>
        <w:topLinePunct w:val="0"/>
        <w:autoSpaceDE/>
        <w:autoSpaceDN/>
        <w:bidi w:val="0"/>
        <w:spacing w:line="360" w:lineRule="auto"/>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val="en-US" w:eastAsia="zh-CN"/>
        </w:rPr>
        <w:t xml:space="preserve">餐费标准及定价规则  </w:t>
      </w:r>
      <w:r>
        <w:rPr>
          <w:rFonts w:hint="eastAsia" w:ascii="宋体" w:hAnsi="宋体" w:eastAsia="宋体" w:cs="宋体"/>
          <w:color w:val="auto"/>
          <w:sz w:val="21"/>
          <w:szCs w:val="21"/>
          <w:highlight w:val="non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094"/>
        <w:gridCol w:w="1981"/>
        <w:gridCol w:w="3510"/>
      </w:tblGrid>
      <w:tr w14:paraId="6B1B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noWrap w:val="0"/>
            <w:vAlign w:val="top"/>
          </w:tcPr>
          <w:p w14:paraId="1A68235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人群</w:t>
            </w:r>
          </w:p>
        </w:tc>
        <w:tc>
          <w:tcPr>
            <w:tcW w:w="2094" w:type="dxa"/>
            <w:noWrap w:val="0"/>
            <w:vAlign w:val="top"/>
          </w:tcPr>
          <w:p w14:paraId="1F9DFA7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餐别</w:t>
            </w:r>
          </w:p>
        </w:tc>
        <w:tc>
          <w:tcPr>
            <w:tcW w:w="1981" w:type="dxa"/>
            <w:noWrap w:val="0"/>
            <w:vAlign w:val="top"/>
          </w:tcPr>
          <w:p w14:paraId="3F05D929">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就餐模式</w:t>
            </w:r>
          </w:p>
        </w:tc>
        <w:tc>
          <w:tcPr>
            <w:tcW w:w="3510" w:type="dxa"/>
            <w:noWrap w:val="0"/>
            <w:vAlign w:val="top"/>
          </w:tcPr>
          <w:p w14:paraId="39900AA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餐费标准</w:t>
            </w:r>
          </w:p>
        </w:tc>
      </w:tr>
      <w:tr w14:paraId="38A7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noWrap w:val="0"/>
            <w:vAlign w:val="top"/>
          </w:tcPr>
          <w:p w14:paraId="329F646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673367B8">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小学</w:t>
            </w:r>
          </w:p>
        </w:tc>
        <w:tc>
          <w:tcPr>
            <w:tcW w:w="2094" w:type="dxa"/>
            <w:noWrap w:val="0"/>
            <w:vAlign w:val="top"/>
          </w:tcPr>
          <w:p w14:paraId="5068C22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早餐</w:t>
            </w:r>
          </w:p>
        </w:tc>
        <w:tc>
          <w:tcPr>
            <w:tcW w:w="1981" w:type="dxa"/>
            <w:noWrap w:val="0"/>
            <w:vAlign w:val="top"/>
          </w:tcPr>
          <w:p w14:paraId="6AF142C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套餐</w:t>
            </w:r>
          </w:p>
          <w:p w14:paraId="6864A2A8">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（2选1，包点+蛋+粥/豆浆）</w:t>
            </w:r>
          </w:p>
        </w:tc>
        <w:tc>
          <w:tcPr>
            <w:tcW w:w="3510" w:type="dxa"/>
            <w:noWrap w:val="0"/>
            <w:vAlign w:val="top"/>
          </w:tcPr>
          <w:p w14:paraId="79B2E1E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6元</w:t>
            </w:r>
          </w:p>
        </w:tc>
      </w:tr>
      <w:tr w14:paraId="42F2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2DE69B8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noWrap w:val="0"/>
            <w:vAlign w:val="top"/>
          </w:tcPr>
          <w:p w14:paraId="5EE44AC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09DE755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午餐</w:t>
            </w:r>
          </w:p>
        </w:tc>
        <w:tc>
          <w:tcPr>
            <w:tcW w:w="1981" w:type="dxa"/>
            <w:noWrap w:val="0"/>
            <w:vAlign w:val="top"/>
          </w:tcPr>
          <w:p w14:paraId="5E3F672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套餐</w:t>
            </w:r>
          </w:p>
          <w:p w14:paraId="3552860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（3选1，1主+2副+青菜+例汤）</w:t>
            </w:r>
          </w:p>
        </w:tc>
        <w:tc>
          <w:tcPr>
            <w:tcW w:w="3510" w:type="dxa"/>
            <w:noWrap w:val="0"/>
            <w:vAlign w:val="top"/>
          </w:tcPr>
          <w:p w14:paraId="46C446F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78648D8">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12元</w:t>
            </w:r>
          </w:p>
        </w:tc>
      </w:tr>
      <w:tr w14:paraId="6D3A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noWrap w:val="0"/>
            <w:vAlign w:val="top"/>
          </w:tcPr>
          <w:p w14:paraId="7358128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6BA6BEB4">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3A9295E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4A0579D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F4CC1D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67E10E5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初中</w:t>
            </w:r>
          </w:p>
        </w:tc>
        <w:tc>
          <w:tcPr>
            <w:tcW w:w="2094" w:type="dxa"/>
            <w:noWrap w:val="0"/>
            <w:vAlign w:val="top"/>
          </w:tcPr>
          <w:p w14:paraId="7B79808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5583121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早餐</w:t>
            </w:r>
          </w:p>
        </w:tc>
        <w:tc>
          <w:tcPr>
            <w:tcW w:w="1981" w:type="dxa"/>
            <w:noWrap w:val="0"/>
            <w:vAlign w:val="top"/>
          </w:tcPr>
          <w:p w14:paraId="7A77A059">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2F61B554">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自选</w:t>
            </w:r>
          </w:p>
          <w:p w14:paraId="0EF4939F">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（一菜一价，不低于8个）</w:t>
            </w:r>
          </w:p>
        </w:tc>
        <w:tc>
          <w:tcPr>
            <w:tcW w:w="3510" w:type="dxa"/>
            <w:noWrap w:val="0"/>
            <w:vAlign w:val="top"/>
          </w:tcPr>
          <w:p w14:paraId="4848AA0D">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①粗粮、包点、蛋奶类：1-5元（含中西式面包、蛋糕）</w:t>
            </w:r>
          </w:p>
          <w:p w14:paraId="19E46AD1">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②粉面类：3-7元</w:t>
            </w:r>
          </w:p>
          <w:p w14:paraId="20BB6CBD">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③粥类：0.5-3元</w:t>
            </w:r>
          </w:p>
        </w:tc>
      </w:tr>
      <w:tr w14:paraId="4BC0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338CE23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restart"/>
            <w:noWrap w:val="0"/>
            <w:vAlign w:val="top"/>
          </w:tcPr>
          <w:p w14:paraId="2E3D8E3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28EA404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0974D22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6B1F532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3177956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午/晚餐</w:t>
            </w:r>
          </w:p>
        </w:tc>
        <w:tc>
          <w:tcPr>
            <w:tcW w:w="1981" w:type="dxa"/>
            <w:noWrap w:val="0"/>
            <w:vAlign w:val="top"/>
          </w:tcPr>
          <w:p w14:paraId="380A9B86">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717673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自选</w:t>
            </w:r>
          </w:p>
          <w:p w14:paraId="4D9F6F9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（一菜一价，不低于8个）</w:t>
            </w:r>
          </w:p>
        </w:tc>
        <w:tc>
          <w:tcPr>
            <w:tcW w:w="3510" w:type="dxa"/>
            <w:noWrap w:val="0"/>
            <w:vAlign w:val="top"/>
          </w:tcPr>
          <w:p w14:paraId="3724DE83">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①净肉主荤8-10元</w:t>
            </w:r>
          </w:p>
          <w:p w14:paraId="52A99C52">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②大荤6-8元</w:t>
            </w:r>
          </w:p>
          <w:p w14:paraId="7F4989E7">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③半荤菜4-5元</w:t>
            </w:r>
          </w:p>
          <w:p w14:paraId="4B44B0D0">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④素菜1-3元</w:t>
            </w:r>
          </w:p>
          <w:p w14:paraId="75FEA985">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⑤米饭0.5元</w:t>
            </w:r>
          </w:p>
        </w:tc>
      </w:tr>
      <w:tr w14:paraId="6C1C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32EBB2B8">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continue"/>
            <w:noWrap w:val="0"/>
            <w:vAlign w:val="top"/>
          </w:tcPr>
          <w:p w14:paraId="7CE779A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1981" w:type="dxa"/>
            <w:noWrap w:val="0"/>
            <w:vAlign w:val="top"/>
          </w:tcPr>
          <w:p w14:paraId="685A187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特色窗口</w:t>
            </w:r>
          </w:p>
          <w:p w14:paraId="21379E9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（含西式、全国地方特色菜等）</w:t>
            </w:r>
          </w:p>
        </w:tc>
        <w:tc>
          <w:tcPr>
            <w:tcW w:w="3510" w:type="dxa"/>
            <w:noWrap w:val="0"/>
            <w:vAlign w:val="top"/>
          </w:tcPr>
          <w:p w14:paraId="4C4D3FF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E30B34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8-18元/套</w:t>
            </w:r>
          </w:p>
        </w:tc>
      </w:tr>
      <w:tr w14:paraId="104C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60D4812F">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continue"/>
            <w:noWrap w:val="0"/>
            <w:vAlign w:val="top"/>
          </w:tcPr>
          <w:p w14:paraId="7B2EB2F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1981" w:type="dxa"/>
            <w:noWrap w:val="0"/>
            <w:vAlign w:val="top"/>
          </w:tcPr>
          <w:p w14:paraId="5E8EB276">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粉面档</w:t>
            </w:r>
          </w:p>
        </w:tc>
        <w:tc>
          <w:tcPr>
            <w:tcW w:w="3510" w:type="dxa"/>
            <w:noWrap w:val="0"/>
            <w:vAlign w:val="top"/>
          </w:tcPr>
          <w:p w14:paraId="0EF98285">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10-16元/套</w:t>
            </w:r>
          </w:p>
        </w:tc>
      </w:tr>
    </w:tbl>
    <w:p w14:paraId="68FB2EFC">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w:t>
      </w:r>
    </w:p>
    <w:p w14:paraId="0BF93980">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餐费标准：上述餐费标准为参考东莞市内同类型学校所设定的标准，待膳食管理委员会成立后，再按照规定流程进行最终定价。</w:t>
      </w:r>
    </w:p>
    <w:p w14:paraId="30E1FB6C">
      <w:pPr>
        <w:numPr>
          <w:ilvl w:val="0"/>
          <w:numId w:val="0"/>
        </w:numPr>
        <w:ind w:firstLine="420" w:firstLineChars="200"/>
        <w:rPr>
          <w:rFonts w:hint="eastAsia" w:eastAsia="宋体"/>
          <w:color w:val="auto"/>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定价规则：中标人对食堂各项收费需明码标价，坚持财务公示制度，每月对食堂采购物品品种、数量、价格等进行公示，服务期间如需调价，需请示校方，由校方组织膳食管理委员会审核确定，向政府相关主管部门备案后公示调整。</w:t>
      </w:r>
    </w:p>
    <w:p w14:paraId="08DE640D">
      <w:pPr>
        <w:pageBreakBefore w:val="0"/>
        <w:kinsoku/>
        <w:wordWrap/>
        <w:overflowPunct/>
        <w:topLinePunct w:val="0"/>
        <w:autoSpaceDE/>
        <w:autoSpaceDN/>
        <w:bidi w:val="0"/>
        <w:spacing w:line="360" w:lineRule="auto"/>
        <w:ind w:firstLine="424" w:firstLineChars="202"/>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各项收费明码标价，采购人对服务调价有监督权和参与权。采购人有义务配合经营者共同管理食堂，对食堂的财务状况、经营状况、成本、利润、服务质量、饭菜价格进行监督检查。</w:t>
      </w:r>
    </w:p>
    <w:p w14:paraId="1599728E">
      <w:pPr>
        <w:pStyle w:val="6"/>
        <w:rPr>
          <w:rFonts w:hint="eastAsia" w:ascii="宋体" w:hAnsi="宋体" w:eastAsia="宋体" w:cs="宋体"/>
          <w:color w:val="auto"/>
          <w:sz w:val="21"/>
          <w:szCs w:val="21"/>
          <w:highlight w:val="none"/>
          <w:lang w:val="en-US" w:eastAsia="zh-CN"/>
        </w:rPr>
      </w:pPr>
      <w:r>
        <w:rPr>
          <w:rFonts w:hint="eastAsia" w:eastAsia="宋体"/>
          <w:color w:val="auto"/>
          <w:highlight w:val="none"/>
          <w:lang w:val="en-US" w:eastAsia="zh-CN"/>
        </w:rPr>
        <w:t>二、项目运营方式</w:t>
      </w:r>
    </w:p>
    <w:p w14:paraId="21B3F310">
      <w:pPr>
        <w:pageBreakBefore w:val="0"/>
        <w:numPr>
          <w:ilvl w:val="0"/>
          <w:numId w:val="0"/>
        </w:numPr>
        <w:kinsoku/>
        <w:wordWrap/>
        <w:overflowPunct/>
        <w:topLinePunct w:val="0"/>
        <w:autoSpaceDE/>
        <w:autoSpaceDN/>
        <w:bidi w:val="0"/>
        <w:spacing w:line="360" w:lineRule="auto"/>
        <w:ind w:firstLine="422"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val="en-US" w:eastAsia="zh-CN"/>
        </w:rPr>
        <w:t>中标人独立经营、自负盈亏</w:t>
      </w:r>
    </w:p>
    <w:p w14:paraId="7684B785">
      <w:pPr>
        <w:pageBreakBefore w:val="0"/>
        <w:numPr>
          <w:ilvl w:val="-1"/>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采购人</w:t>
      </w:r>
      <w:r>
        <w:rPr>
          <w:rFonts w:hint="default" w:ascii="宋体" w:hAnsi="宋体" w:eastAsia="宋体" w:cs="宋体"/>
          <w:color w:val="auto"/>
          <w:sz w:val="21"/>
          <w:szCs w:val="21"/>
          <w:highlight w:val="none"/>
          <w:lang w:val="en-US" w:eastAsia="zh-CN"/>
        </w:rPr>
        <w:t>不需要向</w:t>
      </w:r>
      <w:r>
        <w:rPr>
          <w:rFonts w:hint="eastAsia" w:ascii="宋体" w:hAnsi="宋体" w:eastAsia="宋体" w:cs="宋体"/>
          <w:color w:val="auto"/>
          <w:sz w:val="21"/>
          <w:szCs w:val="21"/>
          <w:highlight w:val="none"/>
          <w:lang w:val="en-US" w:eastAsia="zh-CN"/>
        </w:rPr>
        <w:t>中标人</w:t>
      </w:r>
      <w:r>
        <w:rPr>
          <w:rFonts w:hint="default" w:ascii="宋体" w:hAnsi="宋体" w:eastAsia="宋体" w:cs="宋体"/>
          <w:color w:val="auto"/>
          <w:sz w:val="21"/>
          <w:szCs w:val="21"/>
          <w:highlight w:val="none"/>
          <w:lang w:val="en-US" w:eastAsia="zh-CN"/>
        </w:rPr>
        <w:t>支付任何承包、管理费用，</w:t>
      </w:r>
      <w:r>
        <w:rPr>
          <w:rFonts w:hint="eastAsia" w:ascii="宋体" w:hAnsi="宋体" w:eastAsia="宋体" w:cs="宋体"/>
          <w:color w:val="auto"/>
          <w:sz w:val="21"/>
          <w:szCs w:val="21"/>
          <w:highlight w:val="none"/>
          <w:lang w:val="en-US" w:eastAsia="zh-CN"/>
        </w:rPr>
        <w:t>中标人</w:t>
      </w:r>
      <w:r>
        <w:rPr>
          <w:rFonts w:hint="default" w:ascii="宋体" w:hAnsi="宋体" w:eastAsia="宋体" w:cs="宋体"/>
          <w:color w:val="auto"/>
          <w:sz w:val="21"/>
          <w:szCs w:val="21"/>
          <w:highlight w:val="none"/>
          <w:lang w:val="en-US" w:eastAsia="zh-CN"/>
        </w:rPr>
        <w:t>也不需要向</w:t>
      </w:r>
      <w:r>
        <w:rPr>
          <w:rFonts w:hint="eastAsia" w:ascii="宋体" w:hAnsi="宋体" w:eastAsia="宋体" w:cs="宋体"/>
          <w:color w:val="auto"/>
          <w:sz w:val="21"/>
          <w:szCs w:val="21"/>
          <w:highlight w:val="none"/>
          <w:lang w:val="en-US" w:eastAsia="zh-CN"/>
        </w:rPr>
        <w:t>委托人</w:t>
      </w:r>
      <w:r>
        <w:rPr>
          <w:rFonts w:hint="default" w:ascii="宋体" w:hAnsi="宋体" w:eastAsia="宋体" w:cs="宋体"/>
          <w:color w:val="auto"/>
          <w:sz w:val="21"/>
          <w:szCs w:val="21"/>
          <w:highlight w:val="none"/>
          <w:lang w:val="en-US" w:eastAsia="zh-CN"/>
        </w:rPr>
        <w:t>交纳任何</w:t>
      </w:r>
      <w:r>
        <w:rPr>
          <w:rFonts w:hint="eastAsia" w:ascii="宋体" w:hAnsi="宋体" w:eastAsia="宋体" w:cs="宋体"/>
          <w:color w:val="auto"/>
          <w:sz w:val="21"/>
          <w:szCs w:val="21"/>
          <w:highlight w:val="none"/>
          <w:lang w:val="en-US" w:eastAsia="zh-CN"/>
        </w:rPr>
        <w:t>场地租赁费、</w:t>
      </w:r>
      <w:r>
        <w:rPr>
          <w:rFonts w:hint="default" w:ascii="宋体" w:hAnsi="宋体" w:eastAsia="宋体" w:cs="宋体"/>
          <w:color w:val="auto"/>
          <w:sz w:val="21"/>
          <w:szCs w:val="21"/>
          <w:highlight w:val="none"/>
          <w:lang w:val="en-US" w:eastAsia="zh-CN"/>
        </w:rPr>
        <w:t>管理费</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食堂工作人员由</w:t>
      </w:r>
      <w:r>
        <w:rPr>
          <w:rFonts w:hint="eastAsia" w:ascii="宋体" w:hAnsi="宋体" w:cs="宋体"/>
          <w:color w:val="auto"/>
          <w:sz w:val="21"/>
          <w:szCs w:val="21"/>
          <w:highlight w:val="none"/>
          <w:lang w:val="en-US" w:eastAsia="zh-CN"/>
        </w:rPr>
        <w:t>中标人</w:t>
      </w:r>
      <w:r>
        <w:rPr>
          <w:rFonts w:hint="default" w:ascii="宋体" w:hAnsi="宋体" w:eastAsia="宋体" w:cs="宋体"/>
          <w:color w:val="auto"/>
          <w:sz w:val="21"/>
          <w:szCs w:val="21"/>
          <w:highlight w:val="none"/>
          <w:lang w:val="en-US" w:eastAsia="zh-CN"/>
        </w:rPr>
        <w:t>自行安排，</w:t>
      </w:r>
      <w:r>
        <w:rPr>
          <w:rFonts w:hint="eastAsia" w:ascii="宋体" w:hAnsi="宋体" w:cs="宋体"/>
          <w:color w:val="auto"/>
          <w:sz w:val="21"/>
          <w:szCs w:val="21"/>
          <w:highlight w:val="none"/>
          <w:lang w:val="en-US" w:eastAsia="zh-CN"/>
        </w:rPr>
        <w:t>重点岗位，如食堂项目经理、主厨等工作人员需经采购人核定后入职；</w:t>
      </w:r>
      <w:r>
        <w:rPr>
          <w:rFonts w:hint="default" w:ascii="宋体" w:hAnsi="宋体" w:eastAsia="宋体" w:cs="宋体"/>
          <w:color w:val="auto"/>
          <w:sz w:val="21"/>
          <w:szCs w:val="21"/>
          <w:highlight w:val="none"/>
          <w:lang w:val="en-US" w:eastAsia="zh-CN"/>
        </w:rPr>
        <w:t>食堂产生的人员工资、保险</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水电费</w:t>
      </w:r>
      <w:r>
        <w:rPr>
          <w:rFonts w:hint="eastAsia" w:ascii="宋体" w:hAnsi="宋体" w:eastAsia="宋体" w:cs="宋体"/>
          <w:color w:val="auto"/>
          <w:sz w:val="21"/>
          <w:szCs w:val="21"/>
          <w:highlight w:val="none"/>
          <w:lang w:val="en-US" w:eastAsia="zh-CN"/>
        </w:rPr>
        <w:t>等运营成本，及食堂使用设备的维修费、易耗品成本均</w:t>
      </w:r>
      <w:r>
        <w:rPr>
          <w:rFonts w:hint="default" w:ascii="宋体" w:hAnsi="宋体" w:eastAsia="宋体" w:cs="宋体"/>
          <w:color w:val="auto"/>
          <w:sz w:val="21"/>
          <w:szCs w:val="21"/>
          <w:highlight w:val="none"/>
          <w:lang w:val="en-US" w:eastAsia="zh-CN"/>
        </w:rPr>
        <w:t>由承包方</w:t>
      </w:r>
      <w:r>
        <w:rPr>
          <w:rFonts w:hint="eastAsia" w:ascii="宋体" w:hAnsi="宋体" w:eastAsia="宋体" w:cs="宋体"/>
          <w:color w:val="auto"/>
          <w:sz w:val="21"/>
          <w:szCs w:val="21"/>
          <w:highlight w:val="none"/>
          <w:lang w:val="en-US" w:eastAsia="zh-CN"/>
        </w:rPr>
        <w:t>自行承担</w:t>
      </w:r>
      <w:r>
        <w:rPr>
          <w:rFonts w:hint="eastAsia" w:ascii="宋体" w:hAnsi="宋体" w:cs="宋体"/>
          <w:color w:val="auto"/>
          <w:sz w:val="21"/>
          <w:szCs w:val="21"/>
          <w:highlight w:val="none"/>
          <w:lang w:val="en-US" w:eastAsia="zh-CN"/>
        </w:rPr>
        <w:t>。</w:t>
      </w:r>
    </w:p>
    <w:p w14:paraId="00FBA0E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2.中标人</w:t>
      </w:r>
      <w:r>
        <w:rPr>
          <w:rFonts w:hint="default" w:ascii="宋体" w:hAnsi="宋体" w:eastAsia="宋体" w:cs="宋体"/>
          <w:color w:val="auto"/>
          <w:sz w:val="21"/>
          <w:szCs w:val="21"/>
          <w:highlight w:val="none"/>
          <w:lang w:val="en-US" w:eastAsia="zh-CN"/>
        </w:rPr>
        <w:t>包工包料，</w:t>
      </w:r>
      <w:r>
        <w:rPr>
          <w:rFonts w:hint="eastAsia" w:ascii="宋体" w:hAnsi="宋体" w:eastAsia="宋体" w:cs="宋体"/>
          <w:color w:val="auto"/>
          <w:sz w:val="21"/>
          <w:szCs w:val="21"/>
          <w:highlight w:val="none"/>
          <w:lang w:val="en-US" w:eastAsia="zh-CN"/>
        </w:rPr>
        <w:t>食材及物资采购采用竞争机制，</w:t>
      </w:r>
      <w:r>
        <w:rPr>
          <w:rFonts w:hint="eastAsia" w:ascii="宋体" w:hAnsi="宋体" w:cs="宋体"/>
          <w:color w:val="auto"/>
          <w:sz w:val="21"/>
          <w:szCs w:val="21"/>
          <w:highlight w:val="none"/>
          <w:lang w:val="en-US" w:eastAsia="zh-CN"/>
        </w:rPr>
        <w:t>配送食材/物资</w:t>
      </w:r>
      <w:r>
        <w:rPr>
          <w:rFonts w:hint="eastAsia" w:ascii="宋体" w:hAnsi="宋体" w:eastAsia="宋体" w:cs="宋体"/>
          <w:color w:val="auto"/>
          <w:sz w:val="21"/>
          <w:szCs w:val="21"/>
          <w:highlight w:val="none"/>
          <w:lang w:val="en-US" w:eastAsia="zh-CN"/>
        </w:rPr>
        <w:t>需引入不少于3家具备相关资质的</w:t>
      </w:r>
      <w:r>
        <w:rPr>
          <w:rFonts w:hint="eastAsia" w:ascii="宋体" w:hAnsi="宋体" w:cs="宋体"/>
          <w:color w:val="auto"/>
          <w:sz w:val="21"/>
          <w:szCs w:val="21"/>
          <w:highlight w:val="none"/>
          <w:lang w:val="en-US" w:eastAsia="zh-CN"/>
        </w:rPr>
        <w:t>全品类</w:t>
      </w:r>
      <w:r>
        <w:rPr>
          <w:rFonts w:hint="eastAsia" w:ascii="宋体" w:hAnsi="宋体" w:eastAsia="宋体" w:cs="宋体"/>
          <w:color w:val="auto"/>
          <w:sz w:val="21"/>
          <w:szCs w:val="21"/>
          <w:highlight w:val="none"/>
          <w:lang w:val="en-US" w:eastAsia="zh-CN"/>
        </w:rPr>
        <w:t>集中配货供应商</w:t>
      </w:r>
      <w:r>
        <w:rPr>
          <w:rFonts w:hint="eastAsia" w:ascii="宋体" w:hAnsi="宋体" w:cs="宋体"/>
          <w:color w:val="auto"/>
          <w:sz w:val="21"/>
          <w:szCs w:val="21"/>
          <w:highlight w:val="none"/>
          <w:lang w:val="en-US" w:eastAsia="zh-CN"/>
        </w:rPr>
        <w:t>，校方及采购人具有监督权，对于配送不符合要求食材及物资的</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，校方及采购人有权要求直接更换</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w:t>
      </w:r>
    </w:p>
    <w:p w14:paraId="4D475AFD">
      <w:pPr>
        <w:pStyle w:val="2"/>
        <w:numPr>
          <w:ilvl w:val="-1"/>
          <w:numId w:val="0"/>
        </w:numPr>
        <w:ind w:firstLine="422" w:firstLineChars="200"/>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（二）项目相关主体关系及主要责任</w:t>
      </w:r>
    </w:p>
    <w:p w14:paraId="24973427">
      <w:pPr>
        <w:ind w:firstLine="420" w:firstLineChars="200"/>
        <w:rPr>
          <w:rFonts w:hint="eastAsia" w:ascii="宋体" w:hAnsi="宋体" w:eastAsia="宋体" w:cs="宋体"/>
          <w:i w:val="0"/>
          <w:iCs w:val="0"/>
          <w:caps w:val="0"/>
          <w:color w:val="auto"/>
          <w:spacing w:val="0"/>
          <w:sz w:val="21"/>
          <w:szCs w:val="21"/>
          <w:highlight w:val="none"/>
          <w:shd w:val="clear"/>
        </w:rPr>
      </w:pPr>
      <w:r>
        <w:rPr>
          <w:rFonts w:hint="eastAsia" w:ascii="宋体" w:hAnsi="宋体" w:cs="宋体"/>
          <w:i w:val="0"/>
          <w:iCs w:val="0"/>
          <w:caps w:val="0"/>
          <w:color w:val="auto"/>
          <w:spacing w:val="0"/>
          <w:sz w:val="21"/>
          <w:szCs w:val="21"/>
          <w:highlight w:val="none"/>
          <w:shd w:val="clear"/>
          <w:lang w:val="en-US" w:eastAsia="zh-CN"/>
        </w:rPr>
        <w:t>1.</w:t>
      </w:r>
      <w:r>
        <w:rPr>
          <w:rFonts w:hint="eastAsia" w:ascii="宋体" w:hAnsi="宋体" w:eastAsia="宋体" w:cs="宋体"/>
          <w:i w:val="0"/>
          <w:iCs w:val="0"/>
          <w:caps w:val="0"/>
          <w:color w:val="auto"/>
          <w:spacing w:val="0"/>
          <w:sz w:val="21"/>
          <w:szCs w:val="21"/>
          <w:highlight w:val="none"/>
          <w:shd w:val="clear"/>
        </w:rPr>
        <w:t>采购人：项目采购方，直接或间接管理中标人，对项目整体具有监管责任。主要负责项目运营的整体监管工作。</w:t>
      </w:r>
      <w:r>
        <w:rPr>
          <w:rFonts w:hint="eastAsia" w:ascii="宋体" w:hAnsi="宋体" w:eastAsia="宋体" w:cs="宋体"/>
          <w:i w:val="0"/>
          <w:iCs w:val="0"/>
          <w:caps w:val="0"/>
          <w:color w:val="auto"/>
          <w:spacing w:val="0"/>
          <w:sz w:val="21"/>
          <w:szCs w:val="21"/>
          <w:highlight w:val="none"/>
        </w:rPr>
        <w:br w:type="textWrapping"/>
      </w:r>
      <w:r>
        <w:rPr>
          <w:rFonts w:hint="eastAsia" w:ascii="宋体" w:hAnsi="宋体" w:cs="宋体"/>
          <w:i w:val="0"/>
          <w:iCs w:val="0"/>
          <w:caps w:val="0"/>
          <w:color w:val="auto"/>
          <w:spacing w:val="0"/>
          <w:sz w:val="21"/>
          <w:szCs w:val="21"/>
          <w:highlight w:val="none"/>
          <w:lang w:val="en-US" w:eastAsia="zh-CN"/>
        </w:rPr>
        <w:t xml:space="preserve">    2.</w:t>
      </w:r>
      <w:r>
        <w:rPr>
          <w:rFonts w:hint="eastAsia" w:ascii="宋体" w:hAnsi="宋体" w:eastAsia="宋体" w:cs="宋体"/>
          <w:i w:val="0"/>
          <w:iCs w:val="0"/>
          <w:caps w:val="0"/>
          <w:color w:val="auto"/>
          <w:spacing w:val="0"/>
          <w:sz w:val="21"/>
          <w:szCs w:val="21"/>
          <w:highlight w:val="none"/>
          <w:shd w:val="clear"/>
        </w:rPr>
        <w:t>中标人：项目实施方，满足校方提出的各项需求，受采购人及校方管理</w:t>
      </w:r>
      <w:r>
        <w:rPr>
          <w:rFonts w:hint="eastAsia" w:ascii="宋体" w:hAnsi="宋体" w:cs="宋体"/>
          <w:i w:val="0"/>
          <w:iCs w:val="0"/>
          <w:caps w:val="0"/>
          <w:color w:val="auto"/>
          <w:spacing w:val="0"/>
          <w:sz w:val="21"/>
          <w:szCs w:val="21"/>
          <w:highlight w:val="none"/>
          <w:shd w:val="clear"/>
          <w:lang w:eastAsia="zh-CN"/>
        </w:rPr>
        <w:t>、</w:t>
      </w:r>
      <w:r>
        <w:rPr>
          <w:rFonts w:hint="eastAsia" w:ascii="宋体" w:hAnsi="宋体" w:eastAsia="宋体" w:cs="宋体"/>
          <w:i w:val="0"/>
          <w:iCs w:val="0"/>
          <w:caps w:val="0"/>
          <w:color w:val="auto"/>
          <w:spacing w:val="0"/>
          <w:sz w:val="21"/>
          <w:szCs w:val="21"/>
          <w:highlight w:val="none"/>
          <w:shd w:val="clear"/>
        </w:rPr>
        <w:t>监管。主要负责负责食堂前厅、后厨各项事务，根据委托方、校方要求按时完成开膳工作。</w:t>
      </w:r>
    </w:p>
    <w:p w14:paraId="66B1DB05">
      <w:pPr>
        <w:ind w:firstLine="420" w:firstLineChars="200"/>
        <w:rPr>
          <w:rFonts w:hint="default" w:ascii="宋体" w:hAnsi="宋体" w:cs="宋体"/>
          <w:color w:val="auto"/>
          <w:sz w:val="21"/>
          <w:szCs w:val="21"/>
          <w:highlight w:val="none"/>
          <w:lang w:val="en-US" w:eastAsia="zh-CN"/>
        </w:rPr>
      </w:pPr>
      <w:r>
        <w:rPr>
          <w:rFonts w:hint="eastAsia" w:ascii="宋体" w:hAnsi="宋体" w:cs="宋体"/>
          <w:i w:val="0"/>
          <w:iCs w:val="0"/>
          <w:caps w:val="0"/>
          <w:color w:val="auto"/>
          <w:spacing w:val="0"/>
          <w:sz w:val="21"/>
          <w:szCs w:val="21"/>
          <w:highlight w:val="none"/>
          <w:shd w:val="clear"/>
          <w:lang w:val="en-US" w:eastAsia="zh-CN"/>
        </w:rPr>
        <w:t>3.</w:t>
      </w:r>
      <w:r>
        <w:rPr>
          <w:rFonts w:hint="eastAsia" w:ascii="宋体" w:hAnsi="宋体" w:eastAsia="宋体" w:cs="宋体"/>
          <w:i w:val="0"/>
          <w:iCs w:val="0"/>
          <w:caps w:val="0"/>
          <w:color w:val="auto"/>
          <w:spacing w:val="0"/>
          <w:sz w:val="21"/>
          <w:szCs w:val="21"/>
          <w:highlight w:val="none"/>
          <w:shd w:val="clear"/>
        </w:rPr>
        <w:t>校方：项目使用方，直接管理中标人。主要负责直接对标中标人反馈日常服务需求及建议，是中标人日常运营情况的第一监管人。</w:t>
      </w:r>
    </w:p>
    <w:p w14:paraId="3189759F">
      <w:pPr>
        <w:pStyle w:val="6"/>
        <w:pageBreakBefore w:val="0"/>
        <w:numPr>
          <w:ilvl w:val="-1"/>
          <w:numId w:val="0"/>
        </w:numPr>
        <w:kinsoku/>
        <w:wordWrap/>
        <w:overflowPunct/>
        <w:topLinePunct w:val="0"/>
        <w:autoSpaceDE/>
        <w:autoSpaceDN/>
        <w:bidi w:val="0"/>
        <w:spacing w:line="240" w:lineRule="auto"/>
        <w:ind w:leftChars="0"/>
        <w:textAlignment w:val="auto"/>
        <w:rPr>
          <w:rFonts w:hint="eastAsia" w:ascii="宋体" w:hAnsi="宋体" w:cs="宋体"/>
          <w:b/>
          <w:bCs/>
          <w:color w:val="auto"/>
          <w:sz w:val="21"/>
          <w:szCs w:val="21"/>
          <w:highlight w:val="none"/>
          <w:lang w:val="en-US" w:eastAsia="zh-CN"/>
        </w:rPr>
      </w:pPr>
      <w:r>
        <w:rPr>
          <w:rFonts w:hint="eastAsia"/>
          <w:color w:val="auto"/>
          <w:highlight w:val="none"/>
          <w:lang w:val="en-US" w:eastAsia="zh-CN"/>
        </w:rPr>
        <w:t>三、</w:t>
      </w:r>
      <w:r>
        <w:rPr>
          <w:rFonts w:hint="eastAsia" w:eastAsia="宋体"/>
          <w:color w:val="auto"/>
          <w:highlight w:val="none"/>
        </w:rPr>
        <w:t>食堂</w:t>
      </w:r>
      <w:r>
        <w:rPr>
          <w:rFonts w:hint="eastAsia"/>
          <w:color w:val="auto"/>
          <w:highlight w:val="none"/>
          <w:lang w:val="en-US" w:eastAsia="zh-CN"/>
        </w:rPr>
        <w:t>运营管理具体要求</w:t>
      </w:r>
    </w:p>
    <w:p w14:paraId="47CC6270">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（一）总体要求</w:t>
      </w:r>
    </w:p>
    <w:p w14:paraId="5DC38BC5">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中标人须</w:t>
      </w:r>
      <w:r>
        <w:rPr>
          <w:rFonts w:hint="eastAsia" w:ascii="宋体" w:hAnsi="宋体" w:eastAsia="宋体" w:cs="宋体"/>
          <w:color w:val="auto"/>
          <w:sz w:val="21"/>
          <w:szCs w:val="21"/>
          <w:highlight w:val="none"/>
        </w:rPr>
        <w:t>具备“统一采购、统一检测、统一配送、现场即做即售”服务体系。</w:t>
      </w:r>
    </w:p>
    <w:p w14:paraId="3F63FA85">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中标人</w:t>
      </w:r>
      <w:r>
        <w:rPr>
          <w:rFonts w:hint="eastAsia" w:ascii="宋体" w:hAnsi="宋体" w:eastAsia="宋体" w:cs="宋体"/>
          <w:color w:val="auto"/>
          <w:sz w:val="21"/>
          <w:szCs w:val="21"/>
          <w:highlight w:val="none"/>
          <w:lang w:val="en-US" w:eastAsia="zh-CN"/>
        </w:rPr>
        <w:t>每年</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en-US" w:eastAsia="zh-CN"/>
        </w:rPr>
        <w:t>至少购买</w:t>
      </w:r>
      <w:r>
        <w:rPr>
          <w:rFonts w:hint="eastAsia" w:ascii="宋体" w:hAnsi="宋体" w:eastAsia="宋体" w:cs="宋体"/>
          <w:color w:val="auto"/>
          <w:sz w:val="21"/>
          <w:szCs w:val="21"/>
          <w:highlight w:val="none"/>
        </w:rPr>
        <w:t>一份额度不低于人民币</w:t>
      </w:r>
      <w:r>
        <w:rPr>
          <w:rFonts w:hint="eastAsia" w:ascii="宋体" w:hAnsi="宋体" w:eastAsia="宋体" w:cs="宋体"/>
          <w:color w:val="auto"/>
          <w:sz w:val="21"/>
          <w:szCs w:val="21"/>
          <w:highlight w:val="none"/>
          <w:lang w:val="en-US" w:eastAsia="zh-CN"/>
        </w:rPr>
        <w:t xml:space="preserve"> 500</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公众责任险。</w:t>
      </w:r>
    </w:p>
    <w:p w14:paraId="6DEE668A">
      <w:pPr>
        <w:ind w:firstLine="424" w:firstLineChars="202"/>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中标人在服务期间须严格按照《中华人民共和国食品安全法》、《</w:t>
      </w:r>
      <w:r>
        <w:rPr>
          <w:rFonts w:hint="eastAsia" w:ascii="宋体" w:hAnsi="宋体" w:cs="宋体"/>
          <w:color w:val="auto"/>
          <w:sz w:val="21"/>
          <w:szCs w:val="21"/>
          <w:highlight w:val="none"/>
          <w:lang w:val="en-US" w:eastAsia="zh-CN"/>
        </w:rPr>
        <w:t>学校食品安全与营养健康管理规定</w:t>
      </w:r>
      <w:r>
        <w:rPr>
          <w:rFonts w:hint="eastAsia" w:ascii="宋体" w:hAnsi="宋体" w:eastAsia="宋体" w:cs="宋体"/>
          <w:color w:val="auto"/>
          <w:sz w:val="21"/>
          <w:szCs w:val="21"/>
          <w:highlight w:val="none"/>
        </w:rPr>
        <w:t>》等相关法律法规及地方规定执行。在饮食卫生安全等方面必须符合国家及省市的相关规定和要求；整个食堂的卫生防疫、就餐环境等必须达到市卫生</w:t>
      </w:r>
      <w:r>
        <w:rPr>
          <w:rFonts w:hint="eastAsia" w:ascii="宋体" w:hAnsi="宋体" w:eastAsia="宋体" w:cs="宋体"/>
          <w:color w:val="auto"/>
          <w:sz w:val="21"/>
          <w:szCs w:val="21"/>
          <w:highlight w:val="none"/>
          <w:lang w:val="en-US" w:eastAsia="zh-CN"/>
        </w:rPr>
        <w:t>健康</w:t>
      </w:r>
      <w:r>
        <w:rPr>
          <w:rFonts w:hint="eastAsia" w:ascii="宋体" w:hAnsi="宋体" w:eastAsia="宋体" w:cs="宋体"/>
          <w:color w:val="auto"/>
          <w:sz w:val="21"/>
          <w:szCs w:val="21"/>
          <w:highlight w:val="none"/>
        </w:rPr>
        <w:t>局、市教育局制定的标准。</w:t>
      </w:r>
    </w:p>
    <w:p w14:paraId="0634F725">
      <w:pPr>
        <w:ind w:firstLine="424" w:firstLineChars="202"/>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4.中标人须</w:t>
      </w:r>
      <w:r>
        <w:rPr>
          <w:rFonts w:hint="eastAsia" w:ascii="宋体" w:hAnsi="宋体" w:eastAsia="宋体" w:cs="宋体"/>
          <w:color w:val="auto"/>
          <w:sz w:val="21"/>
          <w:szCs w:val="21"/>
          <w:highlight w:val="none"/>
        </w:rPr>
        <w:t>规范经营，</w:t>
      </w:r>
      <w:r>
        <w:rPr>
          <w:rFonts w:hint="eastAsia" w:ascii="宋体" w:hAnsi="宋体" w:cs="宋体"/>
          <w:color w:val="auto"/>
          <w:sz w:val="21"/>
          <w:szCs w:val="21"/>
          <w:highlight w:val="none"/>
          <w:lang w:val="en-US" w:eastAsia="zh-CN"/>
        </w:rPr>
        <w:t>在食堂运行的过程中，积极落实采购人及校方需求，在食堂运行的采购、验收、贮存、加工、销售、服务等环节，确保安全、高质。</w:t>
      </w:r>
    </w:p>
    <w:p w14:paraId="0C7D9535">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中标人必须严格执行采购人的各项规章制度，服从采购人监督管理，并制订配套的内容管理制度，</w:t>
      </w:r>
      <w:r>
        <w:rPr>
          <w:rFonts w:hint="eastAsia" w:ascii="宋体" w:hAnsi="宋体" w:eastAsia="宋体" w:cs="宋体"/>
          <w:color w:val="auto"/>
          <w:spacing w:val="8"/>
          <w:sz w:val="21"/>
          <w:szCs w:val="21"/>
          <w:highlight w:val="none"/>
        </w:rPr>
        <w:t>建立包括岗位职责、监督检查制度、仓库管理制度、技术培训制度及各项保障措施（卫生管理措施、食品安全管理制度、服务质量保障措施、设备设施维护保养措施（应急措施或预案））等，并在显眼位置公告粘贴。</w:t>
      </w:r>
      <w:r>
        <w:rPr>
          <w:rFonts w:hint="eastAsia" w:ascii="宋体" w:hAnsi="宋体" w:eastAsia="宋体" w:cs="宋体"/>
          <w:color w:val="auto"/>
          <w:sz w:val="21"/>
          <w:szCs w:val="21"/>
          <w:highlight w:val="none"/>
        </w:rPr>
        <w:t>并有专人负责对“明厨亮灶”系统进行数据的管理与报送。严禁出现任何损害采购人利益的行为。</w:t>
      </w:r>
    </w:p>
    <w:p w14:paraId="214AA01E">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6.中标人须根据采购人及校方明确后的餐别、就餐方式、餐费标准形成菜品库，并不定期根据时令、校方需求对菜品库进行更新，每项菜品须制定明确的食材组成明细，</w:t>
      </w:r>
      <w:r>
        <w:rPr>
          <w:rFonts w:hint="eastAsia" w:ascii="宋体" w:hAnsi="宋体" w:eastAsia="宋体" w:cs="宋体"/>
          <w:color w:val="auto"/>
          <w:sz w:val="21"/>
          <w:szCs w:val="21"/>
          <w:highlight w:val="none"/>
        </w:rPr>
        <w:t>菜谱</w:t>
      </w:r>
      <w:r>
        <w:rPr>
          <w:rFonts w:hint="eastAsia" w:ascii="宋体" w:hAnsi="宋体" w:eastAsia="宋体" w:cs="宋体"/>
          <w:color w:val="auto"/>
          <w:sz w:val="21"/>
          <w:szCs w:val="21"/>
          <w:highlight w:val="none"/>
          <w:lang w:val="en-US" w:eastAsia="zh-CN"/>
        </w:rPr>
        <w:t>内容须</w:t>
      </w:r>
      <w:r>
        <w:rPr>
          <w:rFonts w:hint="eastAsia" w:ascii="宋体" w:hAnsi="宋体" w:eastAsia="宋体" w:cs="宋体"/>
          <w:color w:val="auto"/>
          <w:sz w:val="21"/>
          <w:szCs w:val="21"/>
          <w:highlight w:val="none"/>
        </w:rPr>
        <w:t>书面上报采购人</w:t>
      </w:r>
      <w:r>
        <w:rPr>
          <w:rFonts w:hint="eastAsia" w:ascii="宋体" w:hAnsi="宋体" w:eastAsia="宋体" w:cs="宋体"/>
          <w:color w:val="auto"/>
          <w:sz w:val="21"/>
          <w:szCs w:val="21"/>
          <w:highlight w:val="none"/>
          <w:lang w:val="en-US" w:eastAsia="zh-CN"/>
        </w:rPr>
        <w:t>及校方</w:t>
      </w:r>
      <w:r>
        <w:rPr>
          <w:rFonts w:hint="eastAsia" w:ascii="宋体" w:hAnsi="宋体" w:eastAsia="宋体" w:cs="宋体"/>
          <w:color w:val="auto"/>
          <w:sz w:val="21"/>
          <w:szCs w:val="21"/>
          <w:highlight w:val="none"/>
        </w:rPr>
        <w:t>审核同意后方可公示并实施。</w:t>
      </w:r>
    </w:p>
    <w:p w14:paraId="5580E4B0">
      <w:pPr>
        <w:pageBreakBefore w:val="0"/>
        <w:kinsoku/>
        <w:wordWrap/>
        <w:overflowPunct/>
        <w:topLinePunct w:val="0"/>
        <w:autoSpaceDE/>
        <w:autoSpaceDN/>
        <w:bidi w:val="0"/>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由中标人每周拟定下周菜单，菜单要求食材结构合理、营养均衡，烹饪方式多样，应避免出现炸品过多、预包装食品过多等菜单，菜单拟定完成后，中标方需将菜单发至校方审核，对于校方提出的修改意见，中标方应无条件修改。</w:t>
      </w:r>
    </w:p>
    <w:p w14:paraId="4DEC2CE2">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8.中标人须</w:t>
      </w:r>
      <w:r>
        <w:rPr>
          <w:rFonts w:hint="eastAsia" w:ascii="宋体" w:hAnsi="宋体" w:eastAsia="宋体" w:cs="宋体"/>
          <w:color w:val="auto"/>
          <w:sz w:val="21"/>
          <w:szCs w:val="21"/>
          <w:highlight w:val="none"/>
        </w:rPr>
        <w:t>建立食品安全追溯体系，如实、准确、完整记录并保存食品进货查验等信息，保证食品可追溯。</w:t>
      </w:r>
      <w:r>
        <w:rPr>
          <w:rFonts w:hint="eastAsia" w:ascii="宋体" w:hAnsi="宋体" w:eastAsia="宋体" w:cs="宋体"/>
          <w:color w:val="auto"/>
          <w:sz w:val="21"/>
          <w:szCs w:val="21"/>
          <w:highlight w:val="none"/>
          <w:lang w:val="en-US" w:eastAsia="zh-CN"/>
        </w:rPr>
        <w:t>建议中标人</w:t>
      </w:r>
      <w:r>
        <w:rPr>
          <w:rFonts w:hint="eastAsia" w:ascii="宋体" w:hAnsi="宋体" w:eastAsia="宋体" w:cs="宋体"/>
          <w:color w:val="auto"/>
          <w:sz w:val="21"/>
          <w:szCs w:val="21"/>
          <w:highlight w:val="none"/>
        </w:rPr>
        <w:t>采用信息化手段采集、留存食品经营信息。</w:t>
      </w:r>
    </w:p>
    <w:p w14:paraId="70752780">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中标人必须提供所供食材的经国家认可检测机构出具的检验合格报告及公司自检报告。</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校方有权监督，并</w:t>
      </w:r>
      <w:r>
        <w:rPr>
          <w:rFonts w:hint="eastAsia" w:ascii="宋体" w:hAnsi="宋体" w:cs="宋体"/>
          <w:color w:val="auto"/>
          <w:sz w:val="21"/>
          <w:szCs w:val="21"/>
          <w:highlight w:val="none"/>
          <w:lang w:val="en-US" w:eastAsia="zh-CN"/>
        </w:rPr>
        <w:t>不定期</w:t>
      </w:r>
      <w:r>
        <w:rPr>
          <w:rFonts w:hint="eastAsia" w:ascii="宋体" w:hAnsi="宋体" w:eastAsia="宋体" w:cs="宋体"/>
          <w:color w:val="auto"/>
          <w:sz w:val="21"/>
          <w:szCs w:val="21"/>
          <w:highlight w:val="none"/>
        </w:rPr>
        <w:t>检查或委托第三方专业机构检测、抽查。</w:t>
      </w:r>
    </w:p>
    <w:p w14:paraId="7D9A2626">
      <w:pPr>
        <w:numPr>
          <w:ilvl w:val="0"/>
          <w:numId w:val="0"/>
        </w:num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10.中标方需</w:t>
      </w:r>
      <w:r>
        <w:rPr>
          <w:rFonts w:hint="eastAsia" w:ascii="宋体" w:hAnsi="宋体" w:eastAsia="宋体" w:cs="宋体"/>
          <w:color w:val="auto"/>
          <w:sz w:val="21"/>
          <w:szCs w:val="21"/>
          <w:highlight w:val="none"/>
        </w:rPr>
        <w:t>开通食堂服务工作微信群，并定期公布以下内容：一周菜谱、学生就餐照片、食材信息，以及学校领导、学生家长等进入食堂参观监督等照片。</w:t>
      </w:r>
    </w:p>
    <w:p w14:paraId="5373F634">
      <w:pPr>
        <w:numPr>
          <w:ilvl w:val="0"/>
          <w:numId w:val="0"/>
        </w:numPr>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11.中标人须</w:t>
      </w: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val="en-US" w:eastAsia="zh-CN"/>
        </w:rPr>
        <w:t>校方</w:t>
      </w:r>
      <w:r>
        <w:rPr>
          <w:rFonts w:hint="eastAsia" w:ascii="宋体" w:hAnsi="宋体" w:eastAsia="宋体" w:cs="宋体"/>
          <w:color w:val="auto"/>
          <w:sz w:val="21"/>
          <w:szCs w:val="21"/>
          <w:highlight w:val="none"/>
        </w:rPr>
        <w:t>规定的时段经营（变化情况以学校通知为准），不得扰乱正常的教学教育秩序</w:t>
      </w:r>
      <w:r>
        <w:rPr>
          <w:rFonts w:hint="eastAsia" w:ascii="宋体" w:hAnsi="宋体" w:cs="宋体"/>
          <w:color w:val="auto"/>
          <w:sz w:val="21"/>
          <w:szCs w:val="21"/>
          <w:highlight w:val="none"/>
          <w:lang w:eastAsia="zh-CN"/>
        </w:rPr>
        <w:t>。</w:t>
      </w:r>
    </w:p>
    <w:p w14:paraId="2B505E0B">
      <w:pPr>
        <w:numPr>
          <w:ilvl w:val="0"/>
          <w:numId w:val="0"/>
        </w:numPr>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12.中标人须如期、足量、高质的准备好各餐膳食。</w:t>
      </w:r>
    </w:p>
    <w:p w14:paraId="28278013">
      <w:pPr>
        <w:ind w:firstLine="424" w:firstLineChars="202"/>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lang w:eastAsia="zh-CN"/>
        </w:rPr>
        <w:t>中标人</w:t>
      </w:r>
      <w:r>
        <w:rPr>
          <w:rFonts w:hint="eastAsia" w:ascii="宋体" w:hAnsi="宋体" w:cs="宋体"/>
          <w:color w:val="auto"/>
          <w:sz w:val="21"/>
          <w:szCs w:val="21"/>
          <w:highlight w:val="none"/>
        </w:rPr>
        <w:t>应具备在30分钟内响应</w:t>
      </w:r>
      <w:r>
        <w:rPr>
          <w:rFonts w:hint="eastAsia" w:ascii="宋体" w:hAnsi="宋体" w:cs="宋体"/>
          <w:color w:val="auto"/>
          <w:sz w:val="21"/>
          <w:szCs w:val="21"/>
          <w:highlight w:val="none"/>
          <w:lang w:eastAsia="zh-CN"/>
        </w:rPr>
        <w:t>采购人</w:t>
      </w:r>
      <w:r>
        <w:rPr>
          <w:rFonts w:hint="eastAsia" w:ascii="宋体" w:hAnsi="宋体" w:cs="宋体"/>
          <w:color w:val="auto"/>
          <w:sz w:val="21"/>
          <w:szCs w:val="21"/>
          <w:highlight w:val="none"/>
        </w:rPr>
        <w:t>提出的应急供餐需求的能力。</w:t>
      </w:r>
    </w:p>
    <w:p w14:paraId="62B9BA0F">
      <w:pPr>
        <w:ind w:firstLine="424" w:firstLineChars="202"/>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14.服务过程中可能发生的突发事件，中标人须有应急预案，及时进行妥善处置，确保供餐正常进行。</w:t>
      </w:r>
      <w:r>
        <w:rPr>
          <w:rFonts w:hint="eastAsia" w:ascii="宋体" w:hAnsi="宋体" w:eastAsia="宋体" w:cs="宋体"/>
          <w:color w:val="auto"/>
          <w:sz w:val="21"/>
          <w:szCs w:val="21"/>
          <w:highlight w:val="none"/>
        </w:rPr>
        <w:t>如在服务期内发生食物中毒或其他食源性疾患等重大责任事故，损害就餐</w:t>
      </w:r>
      <w:r>
        <w:rPr>
          <w:rFonts w:hint="eastAsia" w:ascii="宋体" w:hAnsi="宋体" w:eastAsia="宋体" w:cs="宋体"/>
          <w:color w:val="auto"/>
          <w:sz w:val="21"/>
          <w:szCs w:val="21"/>
          <w:highlight w:val="none"/>
          <w:lang w:val="en-US" w:eastAsia="zh-CN"/>
        </w:rPr>
        <w:t>人员身体健康，中标人必须承担由此造成的一切责任和经济损失，采购人有权无条件终止合同，保留追诉相关法律责任的权利。</w:t>
      </w:r>
    </w:p>
    <w:p w14:paraId="1EA008FE">
      <w:pPr>
        <w:pStyle w:val="6"/>
        <w:pageBreakBefore w:val="0"/>
        <w:numPr>
          <w:ilvl w:val="0"/>
          <w:numId w:val="0"/>
        </w:numPr>
        <w:kinsoku/>
        <w:wordWrap/>
        <w:overflowPunct/>
        <w:topLinePunct w:val="0"/>
        <w:autoSpaceDE/>
        <w:autoSpaceDN/>
        <w:bidi w:val="0"/>
        <w:spacing w:line="360" w:lineRule="auto"/>
        <w:ind w:leftChars="228"/>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（二）人员配置及管理要求</w:t>
      </w:r>
    </w:p>
    <w:p w14:paraId="52A22442">
      <w:pPr>
        <w:pStyle w:val="2"/>
        <w:numPr>
          <w:ilvl w:val="0"/>
          <w:numId w:val="0"/>
        </w:numPr>
        <w:ind w:firstLine="422" w:firstLineChars="200"/>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1.人员配置</w:t>
      </w:r>
    </w:p>
    <w:p w14:paraId="71FC76DA">
      <w:pPr>
        <w:pStyle w:val="2"/>
        <w:ind w:left="420" w:leftChars="200"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1.1第一年总人数不低于20人</w:t>
      </w:r>
    </w:p>
    <w:p w14:paraId="75A30F80">
      <w:pPr>
        <w:pStyle w:val="2"/>
        <w:ind w:left="420" w:leftChars="200" w:firstLine="0" w:firstLineChars="0"/>
        <w:rPr>
          <w:rFonts w:hint="eastAsia"/>
          <w:color w:val="auto"/>
          <w:highlight w:val="none"/>
          <w:lang w:val="en-US" w:eastAsia="zh-CN"/>
        </w:rPr>
      </w:pPr>
      <w:r>
        <w:rPr>
          <w:rFonts w:hint="eastAsia" w:ascii="宋体" w:hAnsi="宋体" w:cs="宋体"/>
          <w:color w:val="auto"/>
          <w:sz w:val="21"/>
          <w:szCs w:val="21"/>
          <w:highlight w:val="none"/>
          <w:lang w:val="en-US" w:eastAsia="zh-CN"/>
        </w:rPr>
        <w:t>1.2第二年总人数不低于32人</w:t>
      </w:r>
    </w:p>
    <w:p w14:paraId="5AB3E0BD">
      <w:pPr>
        <w:pageBreakBefore w:val="0"/>
        <w:kinsoku/>
        <w:wordWrap/>
        <w:overflowPunct/>
        <w:topLinePunct w:val="0"/>
        <w:autoSpaceDE/>
        <w:autoSpaceDN/>
        <w:bidi w:val="0"/>
        <w:spacing w:line="360" w:lineRule="auto"/>
        <w:ind w:firstLine="426" w:firstLineChars="202"/>
        <w:textAlignment w:val="auto"/>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 xml:space="preserve">2.岗位职责及要求 </w:t>
      </w:r>
      <w:r>
        <w:rPr>
          <w:rFonts w:hint="eastAsia" w:ascii="宋体" w:hAnsi="宋体" w:cs="宋体"/>
          <w:color w:val="auto"/>
          <w:sz w:val="21"/>
          <w:szCs w:val="21"/>
          <w:highlight w:val="none"/>
          <w:lang w:val="en-US" w:eastAsia="zh-CN"/>
        </w:rPr>
        <w:t xml:space="preserve">                     </w:t>
      </w:r>
    </w:p>
    <w:tbl>
      <w:tblPr>
        <w:tblStyle w:val="30"/>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7"/>
        <w:gridCol w:w="1155"/>
        <w:gridCol w:w="5764"/>
      </w:tblGrid>
      <w:tr w14:paraId="6C01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888E2C6">
            <w:pPr>
              <w:pStyle w:val="2"/>
              <w:spacing w:line="240" w:lineRule="auto"/>
              <w:ind w:firstLine="0" w:firstLineChars="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岗位</w:t>
            </w:r>
          </w:p>
        </w:tc>
        <w:tc>
          <w:tcPr>
            <w:tcW w:w="1137" w:type="dxa"/>
          </w:tcPr>
          <w:p w14:paraId="0C7E7039">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第一年最低人数</w:t>
            </w:r>
          </w:p>
        </w:tc>
        <w:tc>
          <w:tcPr>
            <w:tcW w:w="1155" w:type="dxa"/>
          </w:tcPr>
          <w:p w14:paraId="2329500A">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第二年最低人数</w:t>
            </w:r>
          </w:p>
        </w:tc>
        <w:tc>
          <w:tcPr>
            <w:tcW w:w="5764" w:type="dxa"/>
          </w:tcPr>
          <w:p w14:paraId="05272F35">
            <w:pPr>
              <w:pStyle w:val="2"/>
              <w:spacing w:line="240" w:lineRule="auto"/>
              <w:ind w:firstLine="0" w:firstLineChars="0"/>
              <w:jc w:val="center"/>
              <w:rPr>
                <w:rFonts w:hint="eastAsia" w:ascii="宋体" w:hAnsi="宋体" w:eastAsia="宋体" w:cs="宋体"/>
                <w:color w:val="auto"/>
                <w:sz w:val="21"/>
                <w:szCs w:val="21"/>
                <w:highlight w:val="none"/>
                <w:lang w:val="en-US" w:eastAsia="zh-CN"/>
              </w:rPr>
            </w:pPr>
          </w:p>
          <w:p w14:paraId="77CBCAE0">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岗位职责</w:t>
            </w:r>
          </w:p>
        </w:tc>
      </w:tr>
      <w:tr w14:paraId="1C54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3E693FD">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项目经理</w:t>
            </w:r>
          </w:p>
        </w:tc>
        <w:tc>
          <w:tcPr>
            <w:tcW w:w="1137" w:type="dxa"/>
          </w:tcPr>
          <w:p w14:paraId="3E947E7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2C5F025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68B4BFBB">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1、全面负责食堂管理工作；</w:t>
            </w:r>
          </w:p>
          <w:p w14:paraId="2FD483A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2、负责每天召开晨会，传达当天注意事项；</w:t>
            </w:r>
          </w:p>
          <w:p w14:paraId="62175924">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3、检查原材料切配，做到物尽其用、不浪费；</w:t>
            </w:r>
          </w:p>
          <w:p w14:paraId="0B335BF6">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4、检查卫生、温度、湿度、食材存货量及保质期，仓库、雪柜或雪库食材是否按要求摆放等；</w:t>
            </w:r>
          </w:p>
          <w:p w14:paraId="23213081">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5、查看当天数据，农残检测、台账上传监管部门，查看当天菜单、食材进货价格等；</w:t>
            </w:r>
          </w:p>
          <w:p w14:paraId="7D6F2A40">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6、与校方沟通了解当天注意事项，监督厨师烹调制作学生餐以及教师餐菜式；</w:t>
            </w:r>
          </w:p>
          <w:p w14:paraId="5DF70AC4">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7、现场监督服务人员分派学生餐及分汤、派面、疏导、卫生、餐具收放等现场服务；</w:t>
            </w:r>
          </w:p>
          <w:p w14:paraId="151F8AA4">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8、每天检查员工仪容仪表，个人卫生及精神状况等，严格执行食品安全管理要求；</w:t>
            </w:r>
          </w:p>
          <w:p w14:paraId="1D01894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9、随时走动跟进学生、教师用餐菜式及出品售卖的情况，快速安排师傅制作菜品，处理现场各种情况；</w:t>
            </w:r>
          </w:p>
          <w:p w14:paraId="6AAC5053">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10、严格按要求巡査各岗位的卫生情况，确保设备、用具及所有区间卫生干净、无死角、无污渍；检查水、电、气、空调、风扇、门窗等的开关是否关闭。</w:t>
            </w:r>
          </w:p>
          <w:p w14:paraId="6CD40EC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11、兼职：综合管理办的顶岗、前厅岗位缺岗。</w:t>
            </w:r>
          </w:p>
        </w:tc>
      </w:tr>
      <w:tr w14:paraId="7E1C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3C59D1E3">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行政文员/食安员</w:t>
            </w:r>
          </w:p>
        </w:tc>
        <w:tc>
          <w:tcPr>
            <w:tcW w:w="1137" w:type="dxa"/>
          </w:tcPr>
          <w:p w14:paraId="6909897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2E68D41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1A91BEAC">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从事食品安全管理具体工作，承担下列职责：</w:t>
            </w:r>
          </w:p>
          <w:p w14:paraId="096AF633">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1、督促落实食品生产经营过程控制要求；</w:t>
            </w:r>
          </w:p>
          <w:p w14:paraId="6306E56A">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2、检查食品安全管理制度执行情况，管理维护食品安全生产经营过程记录材料，按照要求保存相关资料；</w:t>
            </w:r>
          </w:p>
          <w:p w14:paraId="217AE98A">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3、对不符合食品安全标准的食品或者有证据证明可能危害人体健康的食品以及发现的食品安全风险隐患，及时采取有效措施整改并报告；</w:t>
            </w:r>
          </w:p>
          <w:p w14:paraId="44E763DA">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4、记录和管理从业人员健康状况、卫生状况；</w:t>
            </w:r>
          </w:p>
          <w:p w14:paraId="68066223">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5、配合有关部门调查处理食品安全事故；</w:t>
            </w:r>
          </w:p>
          <w:p w14:paraId="0E3AC892">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6、其他食品安全管理责任；</w:t>
            </w:r>
          </w:p>
          <w:p w14:paraId="251B7C3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7、负责核对报表及充值、负责农残检测及记录、负责每日餐品留样及餐版拍照；</w:t>
            </w:r>
          </w:p>
          <w:p w14:paraId="5C3AC091">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8、办公室区域卫生及整理，每日各项食品安全监控表格监督和检查；</w:t>
            </w:r>
          </w:p>
          <w:p w14:paraId="05E3ED91">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9、每日群内信息回复（角色：客服）；</w:t>
            </w:r>
          </w:p>
          <w:p w14:paraId="5139C014">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10、协助项目经理做好食安运营管理；</w:t>
            </w:r>
          </w:p>
          <w:p w14:paraId="28D4E63D">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11、营业报表、系统管理、办卡、收费及退餐；</w:t>
            </w:r>
          </w:p>
          <w:p w14:paraId="5A8EC8F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12、负责每周食谱公示。</w:t>
            </w:r>
          </w:p>
        </w:tc>
      </w:tr>
      <w:tr w14:paraId="3986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52BC5DBB">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仓管员</w:t>
            </w:r>
          </w:p>
        </w:tc>
        <w:tc>
          <w:tcPr>
            <w:tcW w:w="1137" w:type="dxa"/>
          </w:tcPr>
          <w:p w14:paraId="32E9F41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311D7AF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3BDFC03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1、制定储存规则，确保不同食材的存放条件和温度要求得到满足；</w:t>
            </w:r>
          </w:p>
          <w:p w14:paraId="114F622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2、定期进行库存盘点， 以确保及时采购和避免浪费；</w:t>
            </w:r>
          </w:p>
          <w:p w14:paraId="150E3AE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3、标记和分类食材， 以方便使用和管理；</w:t>
            </w:r>
          </w:p>
          <w:p w14:paraId="4D625AE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4、根据经后厨审批的领料单内容，做好食材的领用分配；</w:t>
            </w:r>
          </w:p>
          <w:p w14:paraId="246CC9C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5、负责仓库卫生及标准摆放；</w:t>
            </w:r>
          </w:p>
          <w:p w14:paraId="20A8DF4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6、非仓库开放时段兼职前厅机动岗位（厅面调度或是切配组协助）。</w:t>
            </w:r>
          </w:p>
          <w:p w14:paraId="3344295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7、兼职：售餐窗口/送餐岗</w:t>
            </w:r>
          </w:p>
        </w:tc>
      </w:tr>
      <w:tr w14:paraId="0E26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2B5FC858">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厨师长</w:t>
            </w:r>
          </w:p>
        </w:tc>
        <w:tc>
          <w:tcPr>
            <w:tcW w:w="1137" w:type="dxa"/>
          </w:tcPr>
          <w:p w14:paraId="49489C4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7D26E63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1AD9259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1、负责管理厨房日常事务，根据食谱准备和烹饪各种食物，确保其口味、质量和卫生符合要求，以及维护烹饪设备；</w:t>
            </w:r>
          </w:p>
          <w:p w14:paraId="6B8F40E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2、制定每周或每月的食材采购计划，根据食谱和用餐人数合理估算需求；制定采购订单，明确所需食材、数量、价格和交货日期；</w:t>
            </w:r>
          </w:p>
          <w:p w14:paraId="3316F84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3、负责管理食材切配工作，制定切配食材的标准，确保食材的一致性；</w:t>
            </w:r>
          </w:p>
          <w:p w14:paraId="6DCEFC5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4、负责后厨卫生保洁工作，保障后厨工作环境安全、卫生、整洁；</w:t>
            </w:r>
          </w:p>
          <w:p w14:paraId="58F008C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5、研究、编制菜单，定期更新学生、教师的菜式及烹调方法，确保师生用餐满意度。</w:t>
            </w:r>
          </w:p>
          <w:p w14:paraId="109D257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6、兼职：厨房任何一个空缺岗位。</w:t>
            </w:r>
          </w:p>
        </w:tc>
      </w:tr>
      <w:tr w14:paraId="735E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317E0D23">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厨师</w:t>
            </w:r>
          </w:p>
        </w:tc>
        <w:tc>
          <w:tcPr>
            <w:tcW w:w="1137" w:type="dxa"/>
          </w:tcPr>
          <w:p w14:paraId="367AEF2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3C8FF25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36FFA99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1、按照厨师长每日制定的菜谱，保质保量完成烹调任务，烹调时要掌握时间、火候，按照操作规程烹调，先烧后炒，边炒边卖的原则，保证菜肴一热三鲜；</w:t>
            </w:r>
          </w:p>
          <w:p w14:paraId="3CE0C22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2、烹调时要注意生熟原料，成品、本成品分档摆放，杜绝腐烂变质的原料下锅；</w:t>
            </w:r>
          </w:p>
          <w:p w14:paraId="489FF3D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3、烹调时注意菜肴的色、香、味、形、咸、淡适中，保持菜肴的营养成分；</w:t>
            </w:r>
          </w:p>
          <w:p w14:paraId="4F78A06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4、掌握菜肴的特性，不断在口味上创新，定期推出新品种、新口味；</w:t>
            </w:r>
          </w:p>
          <w:p w14:paraId="754581A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5、加强安全防火意识，开油锅时不能离开灶台，四季豆要煮透，剩菜要热透，防止食物中毒；</w:t>
            </w:r>
          </w:p>
          <w:p w14:paraId="7703093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6、烹调过程注意投料顺序，节约成本，避免在炒菜时把菜铲到锅外，炒完一道菜，洗一次锅，保持灶台卫生，烹调结束台，及时清扫工作区，锅中注入清水，荤食及时进冰箱；</w:t>
            </w:r>
          </w:p>
          <w:p w14:paraId="61BBA8C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7、开餐期间除补菜厨师，全部出餐线售餐。</w:t>
            </w:r>
          </w:p>
        </w:tc>
      </w:tr>
      <w:tr w14:paraId="1F39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24712A2F">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面点师</w:t>
            </w:r>
          </w:p>
        </w:tc>
        <w:tc>
          <w:tcPr>
            <w:tcW w:w="1137" w:type="dxa"/>
          </w:tcPr>
          <w:p w14:paraId="5198BCF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54BB322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751D42D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1、严格遵守白案人员特殊上下班时间，按白案班长制定的每日品种，数量、质量，保质、保量完成任务。</w:t>
            </w:r>
          </w:p>
          <w:p w14:paraId="2AAD323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2、品种质量要求色白、碱正、成形、大小均匀，分量量适当。</w:t>
            </w:r>
          </w:p>
          <w:p w14:paraId="40F36C0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3、熟悉各种蒸点的操作技能、制作程序。</w:t>
            </w:r>
          </w:p>
          <w:p w14:paraId="72ABFDF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4、善于钻研业务知识，不断提高工作效率，节约成本。</w:t>
            </w:r>
          </w:p>
          <w:p w14:paraId="2663FC1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5、根据季节，掌握一年四季的发酵时间和下碱或酵酶粉的用量。</w:t>
            </w:r>
          </w:p>
          <w:p w14:paraId="6A5D282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6、操作机械时，严禁湿手接触开关，发现故障及时修理，并及时上报。</w:t>
            </w:r>
          </w:p>
          <w:p w14:paraId="68E812B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7、工作结束时，应将各类用具、机械、地面清洗干净，并积极参加开餐工作。</w:t>
            </w:r>
          </w:p>
        </w:tc>
      </w:tr>
      <w:tr w14:paraId="77B2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67" w:type="dxa"/>
          </w:tcPr>
          <w:p w14:paraId="725B5D00">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蒸饭/煲汤</w:t>
            </w:r>
          </w:p>
        </w:tc>
        <w:tc>
          <w:tcPr>
            <w:tcW w:w="1137" w:type="dxa"/>
          </w:tcPr>
          <w:p w14:paraId="6A7E703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0DA10A3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68372FE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1、按人流量蒸米饭、按菜谱熬制例汤、糖水；</w:t>
            </w:r>
          </w:p>
          <w:p w14:paraId="768EAF2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2、了解厨具性能并严格按照流程作业；</w:t>
            </w:r>
          </w:p>
          <w:p w14:paraId="062F406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3、餐中负责补给米饭及汤类；</w:t>
            </w:r>
          </w:p>
          <w:p w14:paraId="6796D13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4、餐后清洁生产区域的卫生、维护保养好厨具；</w:t>
            </w:r>
          </w:p>
          <w:p w14:paraId="18CDB46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5、每日填写生产记录表、安全监控记录。</w:t>
            </w:r>
          </w:p>
        </w:tc>
      </w:tr>
      <w:tr w14:paraId="24E7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64760669">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切配组长</w:t>
            </w:r>
          </w:p>
        </w:tc>
        <w:tc>
          <w:tcPr>
            <w:tcW w:w="1137" w:type="dxa"/>
          </w:tcPr>
          <w:p w14:paraId="1FD6630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1B1266C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223204B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1、负责管理食材切配工作，制定切配食材的标准，确保食材的一致性；</w:t>
            </w:r>
          </w:p>
          <w:p w14:paraId="03B25FD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2、负责切配区域的保洁工作，确保工作环境安全、卫生、整洁；</w:t>
            </w:r>
          </w:p>
          <w:p w14:paraId="69921E9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3、负责切配食材的保管存放，切配前和切配后的食材分别用不同颜色的器皿存放，并且做好封存；</w:t>
            </w:r>
          </w:p>
          <w:p w14:paraId="4355C18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4、负责清洁及整理冷藏库。</w:t>
            </w:r>
          </w:p>
          <w:p w14:paraId="608393F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5、兼职：售餐窗口</w:t>
            </w:r>
          </w:p>
        </w:tc>
      </w:tr>
      <w:tr w14:paraId="2517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0E840FF4">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切配员（肉类）</w:t>
            </w:r>
          </w:p>
        </w:tc>
        <w:tc>
          <w:tcPr>
            <w:tcW w:w="1137" w:type="dxa"/>
          </w:tcPr>
          <w:p w14:paraId="2D32679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2DC82C3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21B1CD9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1、负责肉类食材的改刀及切割；</w:t>
            </w:r>
          </w:p>
          <w:p w14:paraId="34ACC08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2、负责清洁及整理冷冻库并做好安全监控记录。</w:t>
            </w:r>
          </w:p>
          <w:p w14:paraId="13BC3C3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3、兼职：售餐窗口</w:t>
            </w:r>
          </w:p>
        </w:tc>
      </w:tr>
      <w:tr w14:paraId="3EED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21EDE2BB">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切配员（素菜）</w:t>
            </w:r>
          </w:p>
        </w:tc>
        <w:tc>
          <w:tcPr>
            <w:tcW w:w="1137" w:type="dxa"/>
          </w:tcPr>
          <w:p w14:paraId="6FB6278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7A01AC3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4870DBD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1、负责蔬菜瓜果类食材的改刀及切割；</w:t>
            </w:r>
          </w:p>
          <w:p w14:paraId="104409D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2、负责清洁及整理冷藏库并做好安全监控记录。</w:t>
            </w:r>
          </w:p>
          <w:p w14:paraId="012C8B4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3、兼职：售餐窗口</w:t>
            </w:r>
          </w:p>
        </w:tc>
      </w:tr>
      <w:tr w14:paraId="62F2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B7F3EFA">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前厅主管</w:t>
            </w:r>
          </w:p>
        </w:tc>
        <w:tc>
          <w:tcPr>
            <w:tcW w:w="1137" w:type="dxa"/>
          </w:tcPr>
          <w:p w14:paraId="2119031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155E498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4C98B08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1、负责分餐工作，分餐前检查保温台温度是否正常、洁净程度是否达标、台面有无异物、分餐工具有无变形和存在异味等；分餐时确保所有员工必须戴好食品级手套、口罩、头套，不得直接接触成品；</w:t>
            </w:r>
          </w:p>
          <w:p w14:paraId="49F435E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2、开餐时及时将餐桌桌面清洁干净，做到边做边清；用餐结束后及时对餐桌桌面和地面进行全面清理；</w:t>
            </w:r>
          </w:p>
          <w:p w14:paraId="60FBF85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3、区域卫生清洁结束后，进入厨房协助切配组。</w:t>
            </w:r>
          </w:p>
          <w:p w14:paraId="1A5567B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前厅主管：一楼学生餐厅</w:t>
            </w:r>
          </w:p>
          <w:p w14:paraId="2368732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前厅组长：二楼学生餐厅、二楼老师餐厅</w:t>
            </w:r>
          </w:p>
        </w:tc>
      </w:tr>
      <w:tr w14:paraId="1419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5598C6A6">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前厅组长</w:t>
            </w:r>
          </w:p>
        </w:tc>
        <w:tc>
          <w:tcPr>
            <w:tcW w:w="1137" w:type="dxa"/>
          </w:tcPr>
          <w:p w14:paraId="62B74D1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7C7DC0D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59B92FB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1、负责分餐工作，分餐前检查保温台温度是否正常、洁净程度是否达标、台面有无异物、分餐工具有无变形和存在异味等；分餐时确保所有员工必须戴好食品级手套、口罩、头套，不得直接接触成品；</w:t>
            </w:r>
          </w:p>
          <w:p w14:paraId="49DCF43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2、开餐时及时将餐桌桌面清洁干净，做到边做边清；用餐结束后及时对餐桌桌面和地面进行全面清理；</w:t>
            </w:r>
          </w:p>
          <w:p w14:paraId="39CC037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3、区域卫生清洁结束后，进入厨房协助切配组。</w:t>
            </w:r>
          </w:p>
          <w:p w14:paraId="4F08599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前厅主管：一楼学生餐厅</w:t>
            </w:r>
          </w:p>
          <w:p w14:paraId="775BC05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前厅组长：二楼学生餐厅、二楼老师餐厅</w:t>
            </w:r>
          </w:p>
        </w:tc>
      </w:tr>
      <w:tr w14:paraId="4C26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63553DF9">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保洁员</w:t>
            </w:r>
          </w:p>
        </w:tc>
        <w:tc>
          <w:tcPr>
            <w:tcW w:w="1137" w:type="dxa"/>
          </w:tcPr>
          <w:p w14:paraId="4DCB9A8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77D54DE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70885DB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1、食堂区域内洗手间卫生、指定区域卫生及物品整理工作；</w:t>
            </w:r>
          </w:p>
          <w:p w14:paraId="4CAE397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2、厨余垃圾转运、垃圾筒的清理及清洗；</w:t>
            </w:r>
          </w:p>
          <w:p w14:paraId="193E426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3、指定学生餐区域厅面地面及桌面的清洁。</w:t>
            </w:r>
          </w:p>
          <w:p w14:paraId="13354F4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4、兼职：洗碗岗。</w:t>
            </w:r>
          </w:p>
        </w:tc>
      </w:tr>
      <w:tr w14:paraId="6207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1BA5CF34">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服务员</w:t>
            </w:r>
          </w:p>
        </w:tc>
        <w:tc>
          <w:tcPr>
            <w:tcW w:w="1137" w:type="dxa"/>
          </w:tcPr>
          <w:p w14:paraId="5C33788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2E2C58C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5764" w:type="dxa"/>
          </w:tcPr>
          <w:p w14:paraId="7F80DF6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1、餐厅销售及服务工作；</w:t>
            </w:r>
          </w:p>
          <w:p w14:paraId="321BF66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2、每餐开餐前准备工作、餐中售卖工作、餐后清洁及整理工作；</w:t>
            </w:r>
          </w:p>
          <w:p w14:paraId="3DF473D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3、非开餐时段安排协助切配或是洗碗部。</w:t>
            </w:r>
          </w:p>
          <w:p w14:paraId="18227E3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4、兼职：切配岗。</w:t>
            </w:r>
          </w:p>
        </w:tc>
      </w:tr>
      <w:tr w14:paraId="5007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09616DB">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洗碗工</w:t>
            </w:r>
          </w:p>
        </w:tc>
        <w:tc>
          <w:tcPr>
            <w:tcW w:w="1137" w:type="dxa"/>
          </w:tcPr>
          <w:p w14:paraId="1B6CDAA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161416C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263ED0C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洗涤员A：</w:t>
            </w:r>
          </w:p>
          <w:p w14:paraId="269F7C1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1、负责厨房使用工具、盛器清洗；</w:t>
            </w:r>
          </w:p>
          <w:p w14:paraId="3648F90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2、负责厨房工具消毒房清洁、整理、消毒工作。</w:t>
            </w:r>
          </w:p>
          <w:p w14:paraId="6D73D4D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洗涤员B：</w:t>
            </w:r>
          </w:p>
          <w:p w14:paraId="1B8619A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1、负责营业区域内餐具清洗；</w:t>
            </w:r>
          </w:p>
          <w:p w14:paraId="6039455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2、负责此区域清毒房/柜清洁、整理、消毒工作。</w:t>
            </w:r>
          </w:p>
        </w:tc>
      </w:tr>
      <w:tr w14:paraId="0251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5A922D7F">
            <w:pPr>
              <w:pStyle w:val="2"/>
              <w:spacing w:line="24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合计</w:t>
            </w:r>
          </w:p>
        </w:tc>
        <w:tc>
          <w:tcPr>
            <w:tcW w:w="1137" w:type="dxa"/>
          </w:tcPr>
          <w:p w14:paraId="5CEA155C">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w:t>
            </w:r>
          </w:p>
        </w:tc>
        <w:tc>
          <w:tcPr>
            <w:tcW w:w="1155" w:type="dxa"/>
          </w:tcPr>
          <w:p w14:paraId="6A917EFA">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32</w:t>
            </w:r>
          </w:p>
        </w:tc>
        <w:tc>
          <w:tcPr>
            <w:tcW w:w="5764" w:type="dxa"/>
          </w:tcPr>
          <w:p w14:paraId="7207FAEC">
            <w:pPr>
              <w:pStyle w:val="2"/>
              <w:spacing w:line="240" w:lineRule="exact"/>
              <w:rPr>
                <w:rFonts w:hint="eastAsia" w:ascii="宋体" w:hAnsi="宋体" w:eastAsia="宋体" w:cs="宋体"/>
                <w:color w:val="auto"/>
                <w:sz w:val="21"/>
                <w:szCs w:val="21"/>
                <w:highlight w:val="none"/>
                <w:vertAlign w:val="baseline"/>
                <w:lang w:val="en-US" w:eastAsia="zh-CN"/>
              </w:rPr>
            </w:pPr>
          </w:p>
        </w:tc>
      </w:tr>
    </w:tbl>
    <w:p w14:paraId="4504CEE0">
      <w:pPr>
        <w:pageBreakBefore w:val="0"/>
        <w:kinsoku/>
        <w:wordWrap/>
        <w:overflowPunct/>
        <w:topLinePunct w:val="0"/>
        <w:autoSpaceDE/>
        <w:autoSpaceDN/>
        <w:bidi w:val="0"/>
        <w:spacing w:line="360" w:lineRule="auto"/>
        <w:ind w:firstLine="426" w:firstLineChars="20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3.岗位人员管理</w:t>
      </w:r>
    </w:p>
    <w:p w14:paraId="70B2DFA8">
      <w:pPr>
        <w:widowControl/>
        <w:tabs>
          <w:tab w:val="left" w:pos="1365"/>
        </w:tabs>
        <w:autoSpaceDE/>
        <w:autoSpaceDN/>
        <w:adjustRightInd w:val="0"/>
        <w:snapToGrid w:val="0"/>
        <w:spacing w:line="360" w:lineRule="auto"/>
        <w:ind w:firstLine="420" w:firstLineChars="200"/>
        <w:rPr>
          <w:color w:val="auto"/>
          <w:szCs w:val="21"/>
          <w:highlight w:val="none"/>
        </w:rPr>
      </w:pPr>
      <w:r>
        <w:rPr>
          <w:rFonts w:hint="eastAsia" w:ascii="宋体" w:hAnsi="宋体" w:eastAsia="宋体" w:cs="宋体"/>
          <w:color w:val="auto"/>
          <w:sz w:val="21"/>
          <w:szCs w:val="21"/>
          <w:highlight w:val="none"/>
          <w:lang w:val="en-US" w:eastAsia="zh-CN"/>
        </w:rPr>
        <w:t>3.1</w:t>
      </w:r>
      <w:r>
        <w:rPr>
          <w:rFonts w:hint="eastAsia"/>
          <w:color w:val="auto"/>
          <w:szCs w:val="21"/>
          <w:highlight w:val="none"/>
          <w:lang w:val="en-US" w:eastAsia="zh-CN"/>
        </w:rPr>
        <w:t>中标人</w:t>
      </w:r>
      <w:r>
        <w:rPr>
          <w:rFonts w:hint="eastAsia"/>
          <w:color w:val="auto"/>
          <w:szCs w:val="21"/>
          <w:highlight w:val="none"/>
        </w:rPr>
        <w:t>须按照</w:t>
      </w:r>
      <w:r>
        <w:rPr>
          <w:rFonts w:hint="eastAsia"/>
          <w:color w:val="auto"/>
          <w:szCs w:val="21"/>
          <w:highlight w:val="none"/>
          <w:lang w:val="en-US" w:eastAsia="zh-CN"/>
        </w:rPr>
        <w:t>上述人数</w:t>
      </w:r>
      <w:r>
        <w:rPr>
          <w:rFonts w:hint="eastAsia"/>
          <w:color w:val="auto"/>
          <w:szCs w:val="21"/>
          <w:highlight w:val="none"/>
        </w:rPr>
        <w:t>要求，配备相应</w:t>
      </w:r>
      <w:r>
        <w:rPr>
          <w:rFonts w:hint="eastAsia"/>
          <w:color w:val="auto"/>
          <w:szCs w:val="21"/>
          <w:highlight w:val="none"/>
          <w:lang w:val="en-US" w:eastAsia="zh-CN"/>
        </w:rPr>
        <w:t>食堂</w:t>
      </w:r>
      <w:r>
        <w:rPr>
          <w:rFonts w:hint="eastAsia"/>
          <w:color w:val="auto"/>
          <w:szCs w:val="21"/>
          <w:highlight w:val="none"/>
        </w:rPr>
        <w:t>从业人员</w:t>
      </w:r>
      <w:r>
        <w:rPr>
          <w:rFonts w:hint="eastAsia"/>
          <w:color w:val="auto"/>
          <w:szCs w:val="21"/>
          <w:highlight w:val="none"/>
          <w:lang w:eastAsia="zh-CN"/>
        </w:rPr>
        <w:t>，</w:t>
      </w:r>
      <w:r>
        <w:rPr>
          <w:rFonts w:hint="eastAsia"/>
          <w:color w:val="auto"/>
          <w:szCs w:val="21"/>
          <w:highlight w:val="none"/>
        </w:rPr>
        <w:t>项目经理、</w:t>
      </w:r>
      <w:r>
        <w:rPr>
          <w:rFonts w:hint="eastAsia"/>
          <w:color w:val="auto"/>
          <w:szCs w:val="21"/>
          <w:highlight w:val="none"/>
          <w:lang w:val="en-US" w:eastAsia="zh-CN"/>
        </w:rPr>
        <w:t>厨师长</w:t>
      </w:r>
      <w:r>
        <w:rPr>
          <w:rFonts w:hint="eastAsia"/>
          <w:color w:val="auto"/>
          <w:szCs w:val="21"/>
          <w:highlight w:val="none"/>
        </w:rPr>
        <w:t>等</w:t>
      </w:r>
      <w:r>
        <w:rPr>
          <w:rFonts w:hint="eastAsia"/>
          <w:color w:val="auto"/>
          <w:szCs w:val="21"/>
          <w:highlight w:val="none"/>
          <w:lang w:val="en-US" w:eastAsia="zh-CN"/>
        </w:rPr>
        <w:t>岗位人员入职前需经采购人及校方审核</w:t>
      </w:r>
      <w:r>
        <w:rPr>
          <w:rFonts w:hint="eastAsia"/>
          <w:color w:val="auto"/>
          <w:szCs w:val="21"/>
          <w:highlight w:val="none"/>
        </w:rPr>
        <w:t>。</w:t>
      </w:r>
    </w:p>
    <w:p w14:paraId="7B9F5178">
      <w:pPr>
        <w:ind w:firstLine="424" w:firstLineChars="202"/>
        <w:jc w:val="left"/>
        <w:rPr>
          <w:rFonts w:hint="eastAsia" w:eastAsia="宋体"/>
          <w:color w:val="auto"/>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以上从业人员必须身体健康，上岗前须取得健康</w:t>
      </w:r>
      <w:r>
        <w:rPr>
          <w:rFonts w:hint="eastAsia" w:eastAsia="宋体"/>
          <w:color w:val="auto"/>
          <w:szCs w:val="21"/>
          <w:highlight w:val="none"/>
        </w:rPr>
        <w:t>证</w:t>
      </w:r>
      <w:r>
        <w:rPr>
          <w:rFonts w:hint="eastAsia" w:eastAsia="宋体"/>
          <w:color w:val="auto"/>
          <w:szCs w:val="21"/>
          <w:highlight w:val="none"/>
          <w:lang w:eastAsia="zh-CN"/>
        </w:rPr>
        <w:t>，</w:t>
      </w:r>
      <w:r>
        <w:rPr>
          <w:rFonts w:hint="eastAsia" w:eastAsia="宋体"/>
          <w:color w:val="auto"/>
          <w:szCs w:val="21"/>
          <w:highlight w:val="none"/>
        </w:rPr>
        <w:t>出现咳嗽、腹泻、发热、呕吐等有碍食品卫生的病症时，应立即离岗，待查明病因、排除病症或治愈后，方可重新上岗。</w:t>
      </w:r>
      <w:r>
        <w:rPr>
          <w:rFonts w:hint="eastAsia" w:eastAsia="宋体"/>
          <w:color w:val="auto"/>
          <w:szCs w:val="21"/>
          <w:highlight w:val="none"/>
          <w:lang w:val="en-US" w:eastAsia="zh-CN"/>
        </w:rPr>
        <w:t>中标人须</w:t>
      </w:r>
      <w:r>
        <w:rPr>
          <w:rFonts w:hint="eastAsia" w:ascii="宋体" w:hAnsi="宋体" w:cs="宋体"/>
          <w:color w:val="auto"/>
          <w:sz w:val="21"/>
          <w:szCs w:val="21"/>
          <w:highlight w:val="none"/>
        </w:rPr>
        <w:t>保证</w:t>
      </w:r>
      <w:r>
        <w:rPr>
          <w:rFonts w:hint="eastAsia" w:ascii="宋体" w:hAnsi="宋体" w:cs="宋体"/>
          <w:color w:val="auto"/>
          <w:sz w:val="21"/>
          <w:szCs w:val="21"/>
          <w:highlight w:val="none"/>
          <w:lang w:val="en-US" w:eastAsia="zh-CN"/>
        </w:rPr>
        <w:t>工作人员</w:t>
      </w:r>
      <w:r>
        <w:rPr>
          <w:rFonts w:hint="eastAsia" w:ascii="宋体" w:hAnsi="宋体" w:cs="宋体"/>
          <w:color w:val="auto"/>
          <w:sz w:val="21"/>
          <w:szCs w:val="21"/>
          <w:highlight w:val="none"/>
        </w:rPr>
        <w:t>每年一次参加体检，体检费用由中标人负责</w:t>
      </w:r>
      <w:r>
        <w:rPr>
          <w:rFonts w:hint="eastAsia" w:ascii="宋体" w:hAnsi="宋体" w:cs="宋体"/>
          <w:color w:val="auto"/>
          <w:sz w:val="21"/>
          <w:szCs w:val="21"/>
          <w:highlight w:val="none"/>
          <w:lang w:eastAsia="zh-CN"/>
        </w:rPr>
        <w:t>。</w:t>
      </w:r>
    </w:p>
    <w:p w14:paraId="0605B7AF">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凡</w:t>
      </w:r>
      <w:r>
        <w:rPr>
          <w:rFonts w:hint="eastAsia" w:ascii="宋体" w:hAnsi="宋体" w:eastAsia="宋体" w:cs="宋体"/>
          <w:color w:val="auto"/>
          <w:sz w:val="21"/>
          <w:szCs w:val="21"/>
          <w:highlight w:val="none"/>
          <w:lang w:val="en-US" w:eastAsia="zh-CN"/>
        </w:rPr>
        <w:t>中标人安排在食堂内</w:t>
      </w:r>
      <w:r>
        <w:rPr>
          <w:rFonts w:hint="eastAsia" w:ascii="宋体" w:hAnsi="宋体" w:eastAsia="宋体" w:cs="宋体"/>
          <w:color w:val="auto"/>
          <w:sz w:val="21"/>
          <w:szCs w:val="21"/>
          <w:highlight w:val="none"/>
        </w:rPr>
        <w:t>工作的人员不能有违法犯罪、劳教等记录，如出现这类问题，视为</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严重违约。</w:t>
      </w:r>
    </w:p>
    <w:p w14:paraId="505589AA">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3.4中标人须与安排在食堂内</w:t>
      </w:r>
      <w:r>
        <w:rPr>
          <w:rFonts w:hint="eastAsia" w:ascii="宋体" w:hAnsi="宋体" w:eastAsia="宋体" w:cs="宋体"/>
          <w:color w:val="auto"/>
          <w:sz w:val="21"/>
          <w:szCs w:val="21"/>
          <w:highlight w:val="none"/>
        </w:rPr>
        <w:t>工作的人员</w:t>
      </w:r>
      <w:r>
        <w:rPr>
          <w:rFonts w:hint="eastAsia" w:ascii="宋体" w:hAnsi="宋体" w:eastAsia="宋体" w:cs="宋体"/>
          <w:color w:val="auto"/>
          <w:sz w:val="21"/>
          <w:szCs w:val="21"/>
          <w:highlight w:val="none"/>
          <w:lang w:val="en-US" w:eastAsia="zh-CN"/>
        </w:rPr>
        <w:t>签订劳务合同，中标人在经营期内承担食堂所有员工工资和社保等相关福利待遇，从业人员体检、从业人员保险、伤残</w:t>
      </w:r>
      <w:r>
        <w:rPr>
          <w:rFonts w:hint="eastAsia" w:ascii="宋体" w:hAnsi="宋体" w:eastAsia="宋体" w:cs="宋体"/>
          <w:color w:val="auto"/>
          <w:sz w:val="21"/>
          <w:szCs w:val="21"/>
          <w:highlight w:val="none"/>
        </w:rPr>
        <w:t>疾病等费用均由中标人自理</w:t>
      </w:r>
      <w:r>
        <w:rPr>
          <w:rFonts w:hint="eastAsia" w:ascii="宋体" w:hAnsi="宋体" w:cs="宋体"/>
          <w:color w:val="auto"/>
          <w:sz w:val="21"/>
          <w:szCs w:val="21"/>
          <w:highlight w:val="none"/>
          <w:lang w:eastAsia="zh-CN"/>
        </w:rPr>
        <w:t>。</w:t>
      </w:r>
    </w:p>
    <w:p w14:paraId="60C4D420">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3.5食堂从业人员所产生的劳动纠纷以及安全生产事故等均由中标人承担，</w:t>
      </w:r>
      <w:r>
        <w:rPr>
          <w:rFonts w:hint="eastAsia" w:ascii="宋体" w:hAnsi="宋体" w:eastAsia="宋体" w:cs="宋体"/>
          <w:color w:val="auto"/>
          <w:sz w:val="21"/>
          <w:szCs w:val="21"/>
          <w:highlight w:val="none"/>
        </w:rPr>
        <w:t>从业人员在工作过程中的安全责任由中标人负责。如用电、用水、燃气等不注意安全引起生产事故，或发生意外伤亡事故，中标人承担全部责任和必要的经济补偿，采购人概不承担任何责任。</w:t>
      </w:r>
      <w:r>
        <w:rPr>
          <w:rFonts w:hint="eastAsia" w:ascii="宋体" w:hAnsi="宋体" w:eastAsia="宋体" w:cs="宋体"/>
          <w:color w:val="auto"/>
          <w:sz w:val="21"/>
          <w:szCs w:val="21"/>
          <w:highlight w:val="none"/>
          <w:lang w:val="en-US" w:eastAsia="zh-CN"/>
        </w:rPr>
        <w:t>食堂从业人员</w:t>
      </w:r>
      <w:r>
        <w:rPr>
          <w:rFonts w:hint="eastAsia" w:ascii="宋体" w:hAnsi="宋体" w:eastAsia="宋体" w:cs="宋体"/>
          <w:color w:val="auto"/>
          <w:sz w:val="21"/>
          <w:szCs w:val="21"/>
          <w:highlight w:val="none"/>
        </w:rPr>
        <w:t>在工作期间、上下班途中、夜不归宿及娱乐等原因发生的意外均由中标</w:t>
      </w:r>
      <w:r>
        <w:rPr>
          <w:rFonts w:hint="eastAsia" w:ascii="宋体" w:hAnsi="宋体" w:eastAsia="宋体" w:cs="宋体"/>
          <w:color w:val="auto"/>
          <w:sz w:val="21"/>
          <w:szCs w:val="21"/>
          <w:highlight w:val="none"/>
          <w:lang w:val="en-US" w:eastAsia="zh-CN"/>
        </w:rPr>
        <w:t>人自行承担，与采购人及校方无任何关系。</w:t>
      </w:r>
    </w:p>
    <w:p w14:paraId="0B880DEA">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3.6食堂从业人员要遵守食堂、学校的各项纪律、规定，文明守礼；在校期间，不得无故在校内各区域闲晃，做与工作无关的事；不得与师生发生争吵或冲突，如发现违规者，校方有权要求中标人更换工作人员。</w:t>
      </w:r>
    </w:p>
    <w:p w14:paraId="27FCA79E">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（三）食材采购、验收要求</w:t>
      </w:r>
    </w:p>
    <w:p w14:paraId="0ED5874C">
      <w:pPr>
        <w:widowControl/>
        <w:tabs>
          <w:tab w:val="left" w:pos="1365"/>
        </w:tabs>
        <w:autoSpaceDE/>
        <w:autoSpaceDN/>
        <w:adjustRightInd w:val="0"/>
        <w:snapToGrid w:val="0"/>
        <w:spacing w:line="360" w:lineRule="auto"/>
        <w:ind w:firstLine="420" w:firstLineChars="200"/>
        <w:rPr>
          <w:rFonts w:hint="default" w:eastAsia="宋体"/>
          <w:color w:val="auto"/>
          <w:szCs w:val="21"/>
          <w:highlight w:val="none"/>
          <w:lang w:val="en-US" w:eastAsia="zh-CN"/>
        </w:rPr>
      </w:pPr>
      <w:r>
        <w:rPr>
          <w:rFonts w:hint="eastAsia" w:eastAsia="宋体"/>
          <w:color w:val="auto"/>
          <w:szCs w:val="21"/>
          <w:highlight w:val="none"/>
          <w:lang w:val="en-US" w:eastAsia="zh-CN"/>
        </w:rPr>
        <w:t>1.</w:t>
      </w:r>
      <w:r>
        <w:rPr>
          <w:rFonts w:hint="eastAsia" w:ascii="宋体" w:hAnsi="宋体" w:eastAsia="宋体" w:cs="宋体"/>
          <w:color w:val="auto"/>
          <w:sz w:val="21"/>
          <w:szCs w:val="21"/>
          <w:highlight w:val="none"/>
          <w:lang w:val="en-US" w:eastAsia="zh-CN"/>
        </w:rPr>
        <w:t>食材及物资采购采用竞争机制，</w:t>
      </w:r>
      <w:r>
        <w:rPr>
          <w:rFonts w:hint="eastAsia" w:ascii="宋体" w:hAnsi="宋体" w:cs="宋体"/>
          <w:color w:val="auto"/>
          <w:sz w:val="21"/>
          <w:szCs w:val="21"/>
          <w:highlight w:val="none"/>
          <w:lang w:val="en-US" w:eastAsia="zh-CN"/>
        </w:rPr>
        <w:t>配送食材/物资</w:t>
      </w:r>
      <w:r>
        <w:rPr>
          <w:rFonts w:hint="eastAsia" w:ascii="宋体" w:hAnsi="宋体" w:eastAsia="宋体" w:cs="宋体"/>
          <w:color w:val="auto"/>
          <w:sz w:val="21"/>
          <w:szCs w:val="21"/>
          <w:highlight w:val="none"/>
          <w:lang w:val="en-US" w:eastAsia="zh-CN"/>
        </w:rPr>
        <w:t>需引入不少于3家具备相关资质的</w:t>
      </w:r>
      <w:r>
        <w:rPr>
          <w:rFonts w:hint="eastAsia" w:ascii="宋体" w:hAnsi="宋体" w:cs="宋体"/>
          <w:color w:val="auto"/>
          <w:sz w:val="21"/>
          <w:szCs w:val="21"/>
          <w:highlight w:val="none"/>
          <w:lang w:val="en-US" w:eastAsia="zh-CN"/>
        </w:rPr>
        <w:t>全品类</w:t>
      </w:r>
      <w:r>
        <w:rPr>
          <w:rFonts w:hint="eastAsia" w:ascii="宋体" w:hAnsi="宋体" w:eastAsia="宋体" w:cs="宋体"/>
          <w:color w:val="auto"/>
          <w:sz w:val="21"/>
          <w:szCs w:val="21"/>
          <w:highlight w:val="none"/>
          <w:lang w:val="en-US" w:eastAsia="zh-CN"/>
        </w:rPr>
        <w:t>集中配货供应商</w:t>
      </w:r>
      <w:r>
        <w:rPr>
          <w:rFonts w:hint="eastAsia" w:ascii="宋体" w:hAnsi="宋体" w:cs="宋体"/>
          <w:color w:val="auto"/>
          <w:sz w:val="21"/>
          <w:szCs w:val="21"/>
          <w:highlight w:val="none"/>
          <w:lang w:val="en-US" w:eastAsia="zh-CN"/>
        </w:rPr>
        <w:t>，校方及采购人具有监督权，对于配送不符合要求食材及物资的</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，校方及采购人有权要求直接更换</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w:t>
      </w:r>
    </w:p>
    <w:p w14:paraId="5CCC076F">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2.中标人</w:t>
      </w:r>
      <w:r>
        <w:rPr>
          <w:rFonts w:hint="eastAsia" w:eastAsia="宋体"/>
          <w:color w:val="auto"/>
          <w:szCs w:val="21"/>
          <w:highlight w:val="none"/>
        </w:rPr>
        <w:t>所供的食材必须符合《中华人民共和国食品卫生法》要求</w:t>
      </w:r>
      <w:r>
        <w:rPr>
          <w:rFonts w:hint="eastAsia" w:eastAsia="宋体"/>
          <w:color w:val="auto"/>
          <w:szCs w:val="21"/>
          <w:highlight w:val="none"/>
          <w:lang w:eastAsia="zh-CN"/>
        </w:rPr>
        <w:t>；</w:t>
      </w:r>
      <w:r>
        <w:rPr>
          <w:rFonts w:hint="eastAsia" w:eastAsia="宋体"/>
          <w:color w:val="auto"/>
          <w:szCs w:val="21"/>
          <w:highlight w:val="none"/>
          <w:lang w:val="en-US" w:eastAsia="zh-CN"/>
        </w:rPr>
        <w:t>中标人</w:t>
      </w:r>
      <w:r>
        <w:rPr>
          <w:rFonts w:hint="eastAsia" w:eastAsia="宋体"/>
          <w:color w:val="auto"/>
          <w:szCs w:val="21"/>
          <w:highlight w:val="none"/>
        </w:rPr>
        <w:t>需</w:t>
      </w:r>
      <w:r>
        <w:rPr>
          <w:rFonts w:hint="eastAsia" w:eastAsia="宋体"/>
          <w:color w:val="auto"/>
          <w:szCs w:val="21"/>
          <w:highlight w:val="none"/>
          <w:lang w:val="en-US" w:eastAsia="zh-CN"/>
        </w:rPr>
        <w:t>确保</w:t>
      </w:r>
      <w:r>
        <w:rPr>
          <w:rFonts w:hint="eastAsia" w:eastAsia="宋体"/>
          <w:color w:val="auto"/>
          <w:szCs w:val="21"/>
          <w:highlight w:val="none"/>
        </w:rPr>
        <w:t>所供的物品必须符合国家有关执行标准，保证无异味、无霉烂变质</w:t>
      </w:r>
      <w:r>
        <w:rPr>
          <w:rFonts w:hint="eastAsia" w:eastAsia="宋体"/>
          <w:color w:val="auto"/>
          <w:szCs w:val="21"/>
          <w:highlight w:val="none"/>
          <w:lang w:eastAsia="zh-CN"/>
        </w:rPr>
        <w:t>；</w:t>
      </w:r>
      <w:r>
        <w:rPr>
          <w:rFonts w:hint="eastAsia" w:eastAsia="宋体"/>
          <w:color w:val="auto"/>
          <w:szCs w:val="21"/>
          <w:highlight w:val="none"/>
        </w:rPr>
        <w:t>所供商品必须符合国家行业生产及经营标准，货真价实，均能提供相应批次的合格检验证明</w:t>
      </w:r>
      <w:r>
        <w:rPr>
          <w:rFonts w:hint="eastAsia" w:eastAsia="宋体"/>
          <w:color w:val="auto"/>
          <w:szCs w:val="21"/>
          <w:highlight w:val="none"/>
          <w:lang w:eastAsia="zh-CN"/>
        </w:rPr>
        <w:t>；</w:t>
      </w:r>
      <w:r>
        <w:rPr>
          <w:rFonts w:hint="eastAsia" w:eastAsia="宋体"/>
          <w:color w:val="auto"/>
          <w:szCs w:val="21"/>
          <w:highlight w:val="none"/>
        </w:rPr>
        <w:t>所供货物必须各项技术指标完全符合国家有关质量检测、环保标准及产品出厂标准。</w:t>
      </w:r>
    </w:p>
    <w:p w14:paraId="02DBC6B7">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3.中标人</w:t>
      </w:r>
      <w:r>
        <w:rPr>
          <w:rFonts w:hint="eastAsia" w:eastAsia="宋体"/>
          <w:color w:val="auto"/>
          <w:szCs w:val="21"/>
          <w:highlight w:val="none"/>
        </w:rPr>
        <w:t>须负责</w:t>
      </w:r>
      <w:r>
        <w:rPr>
          <w:rFonts w:hint="eastAsia" w:eastAsia="宋体"/>
          <w:color w:val="auto"/>
          <w:szCs w:val="21"/>
          <w:highlight w:val="none"/>
          <w:lang w:val="en-US" w:eastAsia="zh-CN"/>
        </w:rPr>
        <w:t>采购货物的验收、</w:t>
      </w:r>
      <w:r>
        <w:rPr>
          <w:rFonts w:hint="eastAsia" w:eastAsia="宋体"/>
          <w:color w:val="auto"/>
          <w:szCs w:val="21"/>
          <w:highlight w:val="none"/>
        </w:rPr>
        <w:t>质量检测</w:t>
      </w:r>
      <w:r>
        <w:rPr>
          <w:rFonts w:hint="eastAsia" w:eastAsia="宋体"/>
          <w:color w:val="auto"/>
          <w:szCs w:val="21"/>
          <w:highlight w:val="none"/>
          <w:lang w:val="en-US" w:eastAsia="zh-CN"/>
        </w:rPr>
        <w:t>工作；中标人</w:t>
      </w:r>
      <w:r>
        <w:rPr>
          <w:rFonts w:hint="eastAsia" w:eastAsia="宋体"/>
          <w:color w:val="auto"/>
          <w:szCs w:val="21"/>
          <w:highlight w:val="none"/>
        </w:rPr>
        <w:t>提供的货品必须出示真实有效的检验合格报告</w:t>
      </w:r>
      <w:r>
        <w:rPr>
          <w:rFonts w:hint="eastAsia" w:eastAsia="宋体"/>
          <w:color w:val="auto"/>
          <w:szCs w:val="21"/>
          <w:highlight w:val="none"/>
          <w:lang w:eastAsia="zh-CN"/>
        </w:rPr>
        <w:t>；</w:t>
      </w:r>
      <w:r>
        <w:rPr>
          <w:rFonts w:hint="eastAsia" w:eastAsia="宋体"/>
          <w:color w:val="auto"/>
          <w:szCs w:val="21"/>
          <w:highlight w:val="none"/>
        </w:rPr>
        <w:t>凡国家有明文规定的必须提供产品检验报告</w:t>
      </w:r>
      <w:r>
        <w:rPr>
          <w:rFonts w:hint="eastAsia" w:eastAsia="宋体"/>
          <w:color w:val="auto"/>
          <w:szCs w:val="21"/>
          <w:highlight w:val="none"/>
          <w:lang w:val="en-US" w:eastAsia="zh-CN"/>
        </w:rPr>
        <w:t>并</w:t>
      </w:r>
      <w:r>
        <w:rPr>
          <w:rFonts w:hint="eastAsia" w:eastAsia="宋体"/>
          <w:color w:val="auto"/>
          <w:szCs w:val="21"/>
          <w:highlight w:val="none"/>
        </w:rPr>
        <w:t>存档，符合国家朔源制度规定，保证供应的货品能溯源、易溯源。</w:t>
      </w:r>
    </w:p>
    <w:p w14:paraId="779D4C12">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lang w:val="en-US" w:eastAsia="zh-CN"/>
        </w:rPr>
      </w:pPr>
      <w:r>
        <w:rPr>
          <w:rFonts w:hint="eastAsia" w:eastAsia="宋体"/>
          <w:color w:val="auto"/>
          <w:szCs w:val="21"/>
          <w:highlight w:val="none"/>
          <w:lang w:val="en-US" w:eastAsia="zh-CN"/>
        </w:rPr>
        <w:t>4.中标人须对</w:t>
      </w:r>
      <w:r>
        <w:rPr>
          <w:rFonts w:hint="eastAsia" w:eastAsia="宋体"/>
          <w:color w:val="auto"/>
          <w:szCs w:val="21"/>
          <w:highlight w:val="none"/>
        </w:rPr>
        <w:t>商品进行认真验收，对不符合</w:t>
      </w:r>
      <w:r>
        <w:rPr>
          <w:rFonts w:hint="eastAsia" w:eastAsia="宋体"/>
          <w:color w:val="auto"/>
          <w:szCs w:val="21"/>
          <w:highlight w:val="none"/>
          <w:lang w:val="en-US" w:eastAsia="zh-CN"/>
        </w:rPr>
        <w:t>相关</w:t>
      </w:r>
      <w:r>
        <w:rPr>
          <w:rFonts w:hint="eastAsia" w:eastAsia="宋体"/>
          <w:color w:val="auto"/>
          <w:szCs w:val="21"/>
          <w:highlight w:val="none"/>
        </w:rPr>
        <w:t>要求的商品，</w:t>
      </w:r>
      <w:r>
        <w:rPr>
          <w:rFonts w:hint="eastAsia" w:eastAsia="宋体"/>
          <w:color w:val="auto"/>
          <w:szCs w:val="21"/>
          <w:highlight w:val="none"/>
          <w:lang w:val="en-US" w:eastAsia="zh-CN"/>
        </w:rPr>
        <w:t>中标人</w:t>
      </w:r>
      <w:r>
        <w:rPr>
          <w:rFonts w:hint="eastAsia" w:eastAsia="宋体"/>
          <w:color w:val="auto"/>
          <w:szCs w:val="21"/>
          <w:highlight w:val="none"/>
        </w:rPr>
        <w:t>必须无条件退货；</w:t>
      </w:r>
      <w:r>
        <w:rPr>
          <w:rFonts w:hint="eastAsia" w:eastAsia="宋体"/>
          <w:color w:val="auto"/>
          <w:szCs w:val="21"/>
          <w:highlight w:val="none"/>
          <w:lang w:val="en-US" w:eastAsia="zh-CN"/>
        </w:rPr>
        <w:t>中标人有责任确保</w:t>
      </w:r>
      <w:r>
        <w:rPr>
          <w:rFonts w:hint="eastAsia" w:eastAsia="宋体"/>
          <w:color w:val="auto"/>
          <w:szCs w:val="21"/>
          <w:highlight w:val="none"/>
        </w:rPr>
        <w:t>不合格、假冒伪劣、以次充好的商品</w:t>
      </w:r>
      <w:r>
        <w:rPr>
          <w:rFonts w:hint="eastAsia" w:eastAsia="宋体"/>
          <w:color w:val="auto"/>
          <w:szCs w:val="21"/>
          <w:highlight w:val="none"/>
          <w:lang w:val="en-US" w:eastAsia="zh-CN"/>
        </w:rPr>
        <w:t>进入食堂。</w:t>
      </w:r>
    </w:p>
    <w:p w14:paraId="24B51F9F">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5.对因质量问题产生退货的商品，中标人须记录退货档案，并减少</w:t>
      </w:r>
      <w:r>
        <w:rPr>
          <w:rFonts w:hint="eastAsia" w:eastAsia="宋体"/>
          <w:color w:val="auto"/>
          <w:szCs w:val="21"/>
          <w:highlight w:val="none"/>
        </w:rPr>
        <w:t>其供应</w:t>
      </w:r>
      <w:r>
        <w:rPr>
          <w:rFonts w:hint="eastAsia" w:eastAsia="宋体"/>
          <w:color w:val="auto"/>
          <w:szCs w:val="21"/>
          <w:highlight w:val="none"/>
          <w:lang w:val="en-US" w:eastAsia="zh-CN"/>
        </w:rPr>
        <w:t>份额，对于多次因质量问题产生退货的供应商，中标人须取消其供应资格</w:t>
      </w:r>
      <w:r>
        <w:rPr>
          <w:rFonts w:hint="eastAsia" w:eastAsia="宋体"/>
          <w:color w:val="auto"/>
          <w:szCs w:val="21"/>
          <w:highlight w:val="none"/>
        </w:rPr>
        <w:t>。</w:t>
      </w:r>
    </w:p>
    <w:p w14:paraId="5E0C5474">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6.</w:t>
      </w:r>
      <w:r>
        <w:rPr>
          <w:rFonts w:hint="eastAsia" w:eastAsia="宋体"/>
          <w:color w:val="auto"/>
          <w:szCs w:val="21"/>
          <w:highlight w:val="none"/>
        </w:rPr>
        <w:t>根据国家乡村振兴要求，</w:t>
      </w:r>
      <w:r>
        <w:rPr>
          <w:rFonts w:hint="eastAsia" w:eastAsia="宋体"/>
          <w:color w:val="auto"/>
          <w:szCs w:val="21"/>
          <w:highlight w:val="none"/>
          <w:lang w:val="en-US" w:eastAsia="zh-CN"/>
        </w:rPr>
        <w:t>中标人需</w:t>
      </w:r>
      <w:r>
        <w:rPr>
          <w:rFonts w:hint="eastAsia" w:eastAsia="宋体"/>
          <w:color w:val="auto"/>
          <w:szCs w:val="21"/>
          <w:highlight w:val="none"/>
        </w:rPr>
        <w:t>积极响应和配合乡村振兴政策，支持和采购乡村振兴和对口帮扶农副产品。</w:t>
      </w:r>
    </w:p>
    <w:p w14:paraId="43ADC89C">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lang w:val="en-US" w:eastAsia="zh-CN"/>
        </w:rPr>
      </w:pPr>
      <w:r>
        <w:rPr>
          <w:rFonts w:hint="eastAsia" w:eastAsia="宋体"/>
          <w:color w:val="auto"/>
          <w:szCs w:val="21"/>
          <w:highlight w:val="none"/>
          <w:lang w:val="en-US" w:eastAsia="zh-CN"/>
        </w:rPr>
        <w:t>7.对于供应商提供的商品，产品质量要求包括但不限于如下：</w:t>
      </w:r>
    </w:p>
    <w:p w14:paraId="685015F8">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7.1</w:t>
      </w:r>
      <w:r>
        <w:rPr>
          <w:rFonts w:hint="eastAsia" w:eastAsia="宋体"/>
          <w:color w:val="auto"/>
          <w:szCs w:val="21"/>
          <w:highlight w:val="none"/>
        </w:rPr>
        <w:t>蔬菜类</w:t>
      </w:r>
      <w:r>
        <w:rPr>
          <w:rFonts w:hint="eastAsia" w:eastAsia="宋体"/>
          <w:color w:val="auto"/>
          <w:szCs w:val="21"/>
          <w:highlight w:val="none"/>
          <w:lang w:eastAsia="zh-CN"/>
        </w:rPr>
        <w:t>：</w:t>
      </w:r>
      <w:r>
        <w:rPr>
          <w:rFonts w:hint="eastAsia" w:eastAsia="宋体"/>
          <w:color w:val="auto"/>
          <w:szCs w:val="21"/>
          <w:highlight w:val="none"/>
        </w:rPr>
        <w:t>提供的蔬菜必须保证每日新鲜，产品符合食品卫生安全法要求并出具有效的《农产品检验报告》</w:t>
      </w:r>
      <w:r>
        <w:rPr>
          <w:rFonts w:hint="eastAsia" w:eastAsia="宋体"/>
          <w:color w:val="auto"/>
          <w:szCs w:val="21"/>
          <w:highlight w:val="none"/>
          <w:lang w:eastAsia="zh-CN"/>
        </w:rPr>
        <w:t>；</w:t>
      </w:r>
      <w:r>
        <w:rPr>
          <w:rFonts w:hint="eastAsia" w:eastAsia="宋体"/>
          <w:color w:val="auto"/>
          <w:szCs w:val="21"/>
          <w:highlight w:val="none"/>
          <w:lang w:val="en-US" w:eastAsia="zh-CN"/>
        </w:rPr>
        <w:t>中标人须定期</w:t>
      </w:r>
      <w:r>
        <w:rPr>
          <w:rFonts w:hint="eastAsia" w:eastAsia="宋体"/>
          <w:color w:val="auto"/>
          <w:szCs w:val="21"/>
          <w:highlight w:val="none"/>
        </w:rPr>
        <w:t>使用“农药测试卡”检验蔬菜农药含量，如含量超标</w:t>
      </w:r>
      <w:r>
        <w:rPr>
          <w:rFonts w:hint="eastAsia" w:eastAsia="宋体"/>
          <w:color w:val="auto"/>
          <w:szCs w:val="21"/>
          <w:highlight w:val="none"/>
          <w:lang w:eastAsia="zh-CN"/>
        </w:rPr>
        <w:t>，</w:t>
      </w:r>
      <w:r>
        <w:rPr>
          <w:rFonts w:hint="eastAsia" w:eastAsia="宋体"/>
          <w:color w:val="auto"/>
          <w:szCs w:val="21"/>
          <w:highlight w:val="none"/>
          <w:lang w:val="en-US" w:eastAsia="zh-CN"/>
        </w:rPr>
        <w:t>须</w:t>
      </w:r>
      <w:r>
        <w:rPr>
          <w:rFonts w:hint="eastAsia" w:eastAsia="宋体"/>
          <w:color w:val="auto"/>
          <w:szCs w:val="21"/>
          <w:highlight w:val="none"/>
        </w:rPr>
        <w:t>要求</w:t>
      </w:r>
      <w:r>
        <w:rPr>
          <w:rFonts w:hint="eastAsia" w:eastAsia="宋体"/>
          <w:color w:val="auto"/>
          <w:szCs w:val="21"/>
          <w:highlight w:val="none"/>
          <w:lang w:val="en-US" w:eastAsia="zh-CN"/>
        </w:rPr>
        <w:t>供应商</w:t>
      </w:r>
      <w:r>
        <w:rPr>
          <w:rFonts w:hint="eastAsia" w:eastAsia="宋体"/>
          <w:color w:val="auto"/>
          <w:szCs w:val="21"/>
          <w:highlight w:val="none"/>
        </w:rPr>
        <w:t>无条件退货或换货，同时做好相关记录。</w:t>
      </w:r>
      <w:r>
        <w:rPr>
          <w:rFonts w:hint="eastAsia" w:eastAsia="宋体"/>
          <w:color w:val="auto"/>
          <w:szCs w:val="21"/>
          <w:highlight w:val="none"/>
          <w:lang w:val="en-US" w:eastAsia="zh-CN"/>
        </w:rPr>
        <w:t>蔬菜</w:t>
      </w:r>
      <w:r>
        <w:rPr>
          <w:rFonts w:hint="eastAsia" w:eastAsia="宋体"/>
          <w:color w:val="auto"/>
          <w:szCs w:val="21"/>
          <w:highlight w:val="none"/>
        </w:rPr>
        <w:t>应保持较好的色泽和新鲜度，不得有黄叶，不得腐烂或有异常味道，不存在</w:t>
      </w:r>
      <w:r>
        <w:rPr>
          <w:rFonts w:hint="eastAsia" w:eastAsia="宋体"/>
          <w:color w:val="auto"/>
          <w:szCs w:val="21"/>
          <w:highlight w:val="none"/>
          <w:lang w:val="en-US" w:eastAsia="zh-CN"/>
        </w:rPr>
        <w:t>大量</w:t>
      </w:r>
      <w:r>
        <w:rPr>
          <w:rFonts w:hint="eastAsia" w:eastAsia="宋体"/>
          <w:color w:val="auto"/>
          <w:szCs w:val="21"/>
          <w:highlight w:val="none"/>
        </w:rPr>
        <w:t>泥沙和异物</w:t>
      </w:r>
      <w:r>
        <w:rPr>
          <w:rFonts w:hint="eastAsia" w:eastAsia="宋体"/>
          <w:color w:val="auto"/>
          <w:szCs w:val="21"/>
          <w:highlight w:val="none"/>
          <w:lang w:eastAsia="zh-CN"/>
        </w:rPr>
        <w:t>。</w:t>
      </w:r>
      <w:r>
        <w:rPr>
          <w:rFonts w:hint="eastAsia" w:eastAsia="宋体"/>
          <w:color w:val="auto"/>
          <w:szCs w:val="21"/>
          <w:highlight w:val="none"/>
        </w:rPr>
        <w:t>不得供应转基因产品。</w:t>
      </w:r>
    </w:p>
    <w:p w14:paraId="1401ADF0">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7.2</w:t>
      </w:r>
      <w:r>
        <w:rPr>
          <w:rFonts w:hint="eastAsia" w:eastAsia="宋体"/>
          <w:color w:val="auto"/>
          <w:szCs w:val="21"/>
          <w:highlight w:val="none"/>
        </w:rPr>
        <w:t>禽畜类</w:t>
      </w:r>
      <w:r>
        <w:rPr>
          <w:rFonts w:hint="eastAsia" w:eastAsia="宋体"/>
          <w:color w:val="auto"/>
          <w:szCs w:val="21"/>
          <w:highlight w:val="none"/>
          <w:lang w:eastAsia="zh-CN"/>
        </w:rPr>
        <w:t>：</w:t>
      </w:r>
      <w:r>
        <w:rPr>
          <w:rFonts w:hint="eastAsia" w:eastAsia="宋体"/>
          <w:color w:val="auto"/>
          <w:szCs w:val="21"/>
          <w:highlight w:val="none"/>
          <w:lang w:val="en-US" w:eastAsia="zh-CN"/>
        </w:rPr>
        <w:t>供应商</w:t>
      </w:r>
      <w:r>
        <w:rPr>
          <w:rFonts w:hint="eastAsia" w:eastAsia="宋体"/>
          <w:color w:val="auto"/>
          <w:szCs w:val="21"/>
          <w:highlight w:val="none"/>
        </w:rPr>
        <w:t>所供肉类货物应保持较好的外观和质量等级，符合国家食品部门的有关标准，保证无异味、无霉烂变质，</w:t>
      </w:r>
      <w:r>
        <w:rPr>
          <w:rFonts w:hint="eastAsia" w:ascii="宋体" w:hAnsi="宋体" w:cs="宋体"/>
          <w:b w:val="0"/>
          <w:bCs w:val="0"/>
          <w:color w:val="auto"/>
          <w:sz w:val="21"/>
          <w:szCs w:val="21"/>
          <w:highlight w:val="none"/>
          <w:lang w:val="en-US" w:eastAsia="zh-CN"/>
        </w:rPr>
        <w:t>提供的猪肉牛肉羊肉均为东莞市定点屠宰厂( 场)经检疫和肉品品质检验合格的产品，具有由定点屠宰厂(场)加盖验讫印章并出具《畜产品检验证明》或《动物检疫合格证明》，所有产品并可追索。</w:t>
      </w:r>
      <w:r>
        <w:rPr>
          <w:rFonts w:hint="eastAsia" w:eastAsia="宋体"/>
          <w:color w:val="auto"/>
          <w:szCs w:val="21"/>
          <w:highlight w:val="none"/>
        </w:rPr>
        <w:t>冷冻肉类要求肉体冻实而坚硬，无化冻现象，肉质紧密而有弹性，色泽均匀，不粘手，交货时干净、新鲜、无异味。所有冷冻食品要求产品品牌、规格、类型、包装方式、包装净重、含冰量等相关参数</w:t>
      </w:r>
      <w:r>
        <w:rPr>
          <w:rFonts w:hint="eastAsia" w:eastAsia="宋体"/>
          <w:color w:val="auto"/>
          <w:szCs w:val="21"/>
          <w:highlight w:val="none"/>
          <w:lang w:val="en-US" w:eastAsia="zh-CN"/>
        </w:rPr>
        <w:t>清晰可查</w:t>
      </w:r>
      <w:r>
        <w:rPr>
          <w:rFonts w:hint="eastAsia" w:eastAsia="宋体"/>
          <w:color w:val="auto"/>
          <w:szCs w:val="21"/>
          <w:highlight w:val="none"/>
        </w:rPr>
        <w:t>。</w:t>
      </w:r>
    </w:p>
    <w:p w14:paraId="55DF47DF">
      <w:pPr>
        <w:pageBreakBefore w:val="0"/>
        <w:kinsoku/>
        <w:wordWrap/>
        <w:overflowPunct/>
        <w:topLinePunct w:val="0"/>
        <w:autoSpaceDE/>
        <w:autoSpaceDN/>
        <w:bidi w:val="0"/>
        <w:spacing w:line="360" w:lineRule="auto"/>
        <w:ind w:firstLine="424" w:firstLineChars="202"/>
        <w:textAlignment w:val="auto"/>
        <w:rPr>
          <w:rFonts w:hint="eastAsia" w:ascii="宋体" w:hAnsi="宋体" w:cs="宋体"/>
          <w:b w:val="0"/>
          <w:bCs w:val="0"/>
          <w:color w:val="auto"/>
          <w:sz w:val="21"/>
          <w:szCs w:val="21"/>
          <w:highlight w:val="none"/>
          <w:lang w:val="en-US" w:eastAsia="zh-CN"/>
        </w:rPr>
      </w:pPr>
      <w:r>
        <w:rPr>
          <w:rFonts w:hint="eastAsia" w:eastAsia="宋体"/>
          <w:color w:val="auto"/>
          <w:szCs w:val="21"/>
          <w:highlight w:val="none"/>
          <w:lang w:val="en-US" w:eastAsia="zh-CN"/>
        </w:rPr>
        <w:t>7.3其他类：供应商</w:t>
      </w:r>
      <w:r>
        <w:rPr>
          <w:rFonts w:hint="eastAsia" w:eastAsia="宋体"/>
          <w:color w:val="auto"/>
          <w:szCs w:val="21"/>
          <w:highlight w:val="none"/>
        </w:rPr>
        <w:t>所供</w:t>
      </w:r>
      <w:r>
        <w:rPr>
          <w:rFonts w:hint="eastAsia" w:ascii="宋体" w:hAnsi="宋体" w:cs="宋体"/>
          <w:b w:val="0"/>
          <w:bCs w:val="0"/>
          <w:color w:val="auto"/>
          <w:sz w:val="21"/>
          <w:szCs w:val="21"/>
          <w:highlight w:val="none"/>
          <w:lang w:val="en-US" w:eastAsia="zh-CN"/>
        </w:rPr>
        <w:t>鱼要保证每日新鲜；货物有包装的，货物的包装必须完整清洁 (无损、无污、无皱) ，中标人须拒收包装不整齐、已拆封的商品。</w:t>
      </w:r>
    </w:p>
    <w:p w14:paraId="7FE903F8">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8.采购人及校方不定期抽查食材验收情况，如发现中标人纵容</w:t>
      </w:r>
      <w:r>
        <w:rPr>
          <w:rFonts w:hint="eastAsia" w:eastAsia="宋体"/>
          <w:color w:val="auto"/>
          <w:szCs w:val="21"/>
          <w:highlight w:val="none"/>
        </w:rPr>
        <w:t>不合格、假冒伪劣、以次充好的商品</w:t>
      </w:r>
      <w:r>
        <w:rPr>
          <w:rFonts w:hint="eastAsia" w:eastAsia="宋体"/>
          <w:color w:val="auto"/>
          <w:szCs w:val="21"/>
          <w:highlight w:val="none"/>
          <w:lang w:val="en-US" w:eastAsia="zh-CN"/>
        </w:rPr>
        <w:t>进入食堂，采购人及校方根据事态恶劣情况，可直接对中标人进行扣分、或清退处理。</w:t>
      </w:r>
    </w:p>
    <w:p w14:paraId="5BA78522">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（四）食材储存要求</w:t>
      </w:r>
    </w:p>
    <w:p w14:paraId="1E9278C3">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1.食材采购除必要预留应急食材外，尽量应对照菜单采购，遵循“按需采购”准则，确保当日食材当日用，尽量减少储存量。</w:t>
      </w:r>
    </w:p>
    <w:p w14:paraId="01E74520">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2.中标人需根据食材特性实施食材储存，肉类、水产品、禽类、蔬菜、水果各类食材应分开贮存，避免交叉污染，贮存的食品应装入密封的容器中或妥善进行包裹。</w:t>
      </w:r>
      <w:r>
        <w:rPr>
          <w:rFonts w:hint="default" w:ascii="宋体" w:hAnsi="宋体" w:eastAsia="宋体" w:cs="宋体"/>
          <w:b w:val="0"/>
          <w:bCs w:val="0"/>
          <w:color w:val="auto"/>
          <w:sz w:val="21"/>
          <w:szCs w:val="21"/>
          <w:highlight w:val="none"/>
          <w:lang w:val="en-US" w:eastAsia="zh-CN"/>
        </w:rPr>
        <w:t>用于保存食品的冷藏冷冻设备，应当贴有标识，原料、半成品和成品应当分柜存放。</w:t>
      </w:r>
    </w:p>
    <w:p w14:paraId="7224D574">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不应将冷冻食品长时间放置在室温环境下，各类食品贮存的温度应符合如下要求：</w:t>
      </w:r>
    </w:p>
    <w:p w14:paraId="25142037">
      <w:pPr>
        <w:pageBreakBefore w:val="0"/>
        <w:kinsoku/>
        <w:wordWrap/>
        <w:overflowPunct/>
        <w:topLinePunct w:val="0"/>
        <w:autoSpaceDE/>
        <w:autoSpaceDN/>
        <w:bidi w:val="0"/>
        <w:spacing w:line="360" w:lineRule="auto"/>
        <w:ind w:firstLine="424" w:firstLineChars="202"/>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3.1鲜肉、禽类、鱼类和乳品：低于5℃。</w:t>
      </w:r>
    </w:p>
    <w:p w14:paraId="49064F87">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3.2鲜蛋和活的贝类：低于7℃.</w:t>
      </w:r>
    </w:p>
    <w:p w14:paraId="257AED5A">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3.3新鲜蔬菜和水果：5-7℃.</w:t>
      </w:r>
    </w:p>
    <w:p w14:paraId="57D15C8D">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3.4预包装食品一旦拆封后：低于5℃.</w:t>
      </w:r>
    </w:p>
    <w:p w14:paraId="4D03CB19">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4.中标人不得将超过贮存安全期限的食材进行制售，对于超过贮存安全期限的食材，中标人须按流程进行销毁，避免相应食材流入餐桌。</w:t>
      </w:r>
    </w:p>
    <w:p w14:paraId="5ED7BE54">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default" w:ascii="宋体" w:hAnsi="宋体" w:eastAsia="宋体" w:cs="宋体"/>
          <w:b w:val="0"/>
          <w:bCs w:val="0"/>
          <w:color w:val="auto"/>
          <w:sz w:val="21"/>
          <w:szCs w:val="21"/>
          <w:highlight w:val="none"/>
          <w:lang w:val="en-US" w:eastAsia="zh-CN"/>
        </w:rPr>
        <w:t>食品要分类、分架、隔墙离地上架存放，各类食品有明显标志。有异味或易吸潮的食品应密封保存或分库存放，易腐食品要及时处理</w:t>
      </w:r>
      <w:r>
        <w:rPr>
          <w:rFonts w:hint="eastAsia" w:ascii="宋体" w:hAnsi="宋体" w:eastAsia="宋体" w:cs="宋体"/>
          <w:b w:val="0"/>
          <w:bCs w:val="0"/>
          <w:color w:val="auto"/>
          <w:sz w:val="21"/>
          <w:szCs w:val="21"/>
          <w:highlight w:val="none"/>
          <w:lang w:val="en-US" w:eastAsia="zh-CN"/>
        </w:rPr>
        <w:t>。</w:t>
      </w:r>
      <w:r>
        <w:rPr>
          <w:rFonts w:hint="default" w:ascii="宋体" w:hAnsi="宋体" w:eastAsia="宋体" w:cs="宋体"/>
          <w:b w:val="0"/>
          <w:bCs w:val="0"/>
          <w:color w:val="auto"/>
          <w:sz w:val="21"/>
          <w:szCs w:val="21"/>
          <w:highlight w:val="none"/>
          <w:lang w:val="en-US" w:eastAsia="zh-CN"/>
        </w:rPr>
        <w:t>贮存散装食品，应当在贮存位置标明食品的名称、生产日期或者生产批号、保质期、生产者名称以及联系方式等内容。食品库房不得存放有毒、有害物品。</w:t>
      </w:r>
    </w:p>
    <w:p w14:paraId="67BF082B">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6.中标人应建立食材出库、入库制度，确保食材进出库情况可查可溯源。</w:t>
      </w:r>
    </w:p>
    <w:p w14:paraId="04F433A5">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学校食堂制作的食品在烹饪后应当尽量当餐用完，需要熟制的食品应当烧熟煮透。需要再次利用的，应当按照相关规范采取热藏或者冷藏方式存放，并在确认没有腐败变质的情况下，对需要加热的食品经高温彻底加热后食用。</w:t>
      </w:r>
    </w:p>
    <w:p w14:paraId="767560F1">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采购人及校方不定期抽查食材储存情况、食材进出库记录，如发现存在不按规定进行食物储存或储存食物超出食材储存安全期限的，可直接对中标人进行扣分，由此产生食品安全事故的，采购人及校方采购人有权无条件终止合同，保留追诉相关法律责任的权利。</w:t>
      </w:r>
    </w:p>
    <w:p w14:paraId="58BB56A6">
      <w:pPr>
        <w:pStyle w:val="6"/>
        <w:pageBreakBefore w:val="0"/>
        <w:numPr>
          <w:ilvl w:val="0"/>
          <w:numId w:val="0"/>
        </w:numPr>
        <w:kinsoku/>
        <w:wordWrap/>
        <w:overflowPunct/>
        <w:topLinePunct w:val="0"/>
        <w:autoSpaceDE/>
        <w:autoSpaceDN/>
        <w:bidi w:val="0"/>
        <w:spacing w:line="360" w:lineRule="auto"/>
        <w:ind w:leftChars="228"/>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（五）后厨加工要求</w:t>
      </w:r>
    </w:p>
    <w:p w14:paraId="7AAAFC2D">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1.后厨食物加工工作人员应严格按照菜单及菜品相应食材明细进行加工，除特殊情况下，不得更换菜单菜品，不得更换菜品相应食材明细。</w:t>
      </w:r>
    </w:p>
    <w:p w14:paraId="55C02BF5">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2.中标人不得制售冷荤类食品、生食类食品、裱花蛋糕，不得加工制作四季豆、鲜黄花菜、野生蘑菇、发芽土豆等高风险食品。</w:t>
      </w:r>
    </w:p>
    <w:p w14:paraId="525F518A">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中小学、幼儿园食堂应当对每餐次加工制作的每种食品成品进行留样，每个品种留样量应当满足检验需要，不得少于125克，并记录留样食品名称、留样量、留样时间、留样人员等。留样食品应当由专柜冷藏保存48小时以上。</w:t>
      </w:r>
    </w:p>
    <w:p w14:paraId="33CFD3D1">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4.对于需解冻的食材，中标人需将解冻的食品原料浸没在20℃以下的流动水中解冻，应避免反复对食品进行解冻、冷冻，使微生物大量繁殖。</w:t>
      </w:r>
    </w:p>
    <w:p w14:paraId="32F4ABE1">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5.中标人食材加工前应认真检查待加工食品，发现有腐败变质迹象或者其他感官性状异常的，不得加工和使用。</w:t>
      </w:r>
    </w:p>
    <w:p w14:paraId="2768E48D">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6.叶菜清洁时，中标人应将每片菜叶摘下后彻底清洗，因污物可能会进入菜的中心部分，以去除蔬菜中可能含有的农药。</w:t>
      </w:r>
    </w:p>
    <w:p w14:paraId="0E6E5AAC">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7.中标人应预防豆浆食物中毒，在豆浆烧煮时将上涌的泡沫除净，煮沸后再以文火维持沸腾5分钟左右，以去除胰蛋白酶抑制物等有害化学物质。</w:t>
      </w:r>
    </w:p>
    <w:p w14:paraId="7CF506AD">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8.中标人应避免原料加工中的交叉污染。</w:t>
      </w:r>
    </w:p>
    <w:p w14:paraId="14CBB2A8">
      <w:pPr>
        <w:pageBreakBefore w:val="0"/>
        <w:numPr>
          <w:ilvl w:val="0"/>
          <w:numId w:val="0"/>
        </w:numPr>
        <w:kinsoku/>
        <w:wordWrap/>
        <w:overflowPunct/>
        <w:topLinePunct w:val="0"/>
        <w:autoSpaceDE/>
        <w:autoSpaceDN/>
        <w:bidi w:val="0"/>
        <w:spacing w:line="360" w:lineRule="auto"/>
        <w:ind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9.中标人应在确保食品加工安全的基础上，尽量满足学校师生不同的口味需求，制作出美味可口的饭菜。采购人及校方不定期抽查食材加工过程，对于食材加工不符合要求的，</w:t>
      </w:r>
      <w:r>
        <w:rPr>
          <w:rFonts w:hint="eastAsia" w:eastAsia="宋体"/>
          <w:color w:val="auto"/>
          <w:szCs w:val="21"/>
          <w:highlight w:val="none"/>
          <w:lang w:val="en-US" w:eastAsia="zh-CN"/>
        </w:rPr>
        <w:t>采购人及校方根据事态情况，可直接对中标人进行扣分、或要求更换相关加工工作人员。</w:t>
      </w:r>
    </w:p>
    <w:p w14:paraId="3A13EED5">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（六）食堂卫生要求</w:t>
      </w:r>
    </w:p>
    <w:p w14:paraId="6FE2AEA4">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个人卫生</w:t>
      </w:r>
    </w:p>
    <w:p w14:paraId="3537A03D">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工作人员必须无传染病史，持有食品操作健康证，保证每年一次参加体检，体检费用由中标人负责。</w:t>
      </w:r>
    </w:p>
    <w:p w14:paraId="01AF3877">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工作人员上岗必须穿戴整洁统一的工作衣帽，直接接触食品的人员必须做到“三白”（口罩白、服装白、帽子白）。</w:t>
      </w:r>
    </w:p>
    <w:p w14:paraId="0D917A74">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食品操作人员不得留长指甲，涂指甲油，不得留长发、留胡子，不得带戒指、手镯，在直接用手接触食品前，必须洗手消毒</w:t>
      </w:r>
      <w:r>
        <w:rPr>
          <w:rFonts w:hint="eastAsia" w:ascii="宋体" w:hAnsi="宋体" w:cs="宋体"/>
          <w:color w:val="auto"/>
          <w:sz w:val="21"/>
          <w:szCs w:val="21"/>
          <w:highlight w:val="none"/>
          <w:lang w:eastAsia="zh-CN"/>
        </w:rPr>
        <w:t>，</w:t>
      </w:r>
      <w:r>
        <w:rPr>
          <w:rFonts w:hint="eastAsia" w:ascii="宋体" w:hAnsi="宋体" w:cs="宋体"/>
          <w:b w:val="0"/>
          <w:bCs w:val="0"/>
          <w:color w:val="auto"/>
          <w:sz w:val="21"/>
          <w:szCs w:val="21"/>
          <w:highlight w:val="none"/>
          <w:lang w:val="en-US" w:eastAsia="zh-CN"/>
        </w:rPr>
        <w:t>上卫生间前应在食品处理区内脱去工作服</w:t>
      </w:r>
      <w:r>
        <w:rPr>
          <w:rFonts w:hint="eastAsia" w:ascii="宋体" w:hAnsi="宋体" w:cs="宋体"/>
          <w:color w:val="auto"/>
          <w:sz w:val="21"/>
          <w:szCs w:val="21"/>
          <w:highlight w:val="none"/>
        </w:rPr>
        <w:t>。</w:t>
      </w:r>
    </w:p>
    <w:p w14:paraId="4EFACB8D">
      <w:pPr>
        <w:ind w:firstLine="424" w:firstLineChars="202"/>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工作人员不得在厨房、切配间等食品加工和出售场所抽烟、吃零食，不得有对着食品咳嗽、打喷嚏等有碍食品卫生的行为。</w:t>
      </w:r>
    </w:p>
    <w:p w14:paraId="41B7D4E2">
      <w:pPr>
        <w:ind w:left="0" w:leftChars="0" w:firstLine="424" w:firstLineChars="202"/>
        <w:rPr>
          <w:rFonts w:hint="eastAsia"/>
          <w:color w:val="auto"/>
          <w:highlight w:val="none"/>
        </w:rPr>
      </w:pPr>
      <w:r>
        <w:rPr>
          <w:rFonts w:hint="eastAsia" w:ascii="宋体" w:hAnsi="宋体" w:cs="宋体"/>
          <w:b w:val="0"/>
          <w:bCs w:val="0"/>
          <w:color w:val="auto"/>
          <w:sz w:val="21"/>
          <w:szCs w:val="21"/>
          <w:highlight w:val="none"/>
          <w:lang w:val="en-US" w:eastAsia="zh-CN"/>
        </w:rPr>
        <w:t>1.5不得将私人物品带入食品处理区。</w:t>
      </w:r>
    </w:p>
    <w:p w14:paraId="3A69CACE">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环境卫生</w:t>
      </w:r>
    </w:p>
    <w:p w14:paraId="49246D5C">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厨房备有固定专用的残菜容器，残菜必须一市一清，不得久放。</w:t>
      </w:r>
    </w:p>
    <w:p w14:paraId="2CAD4416">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rPr>
        <w:t>食品操作场所和供应场所有防尘、防蝇措施，有灭鼠、蝇、蟑螂的设备。</w:t>
      </w:r>
    </w:p>
    <w:p w14:paraId="1E50AC28">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2.3</w:t>
      </w:r>
      <w:r>
        <w:rPr>
          <w:rFonts w:hint="eastAsia" w:ascii="宋体" w:hAnsi="宋体" w:cs="宋体"/>
          <w:color w:val="auto"/>
          <w:sz w:val="21"/>
          <w:szCs w:val="21"/>
          <w:highlight w:val="none"/>
        </w:rPr>
        <w:t>餐厅、厨房保持整洁，地面、墙壁无污垢，天花板无蛛网，门窗明亮，空调风口无积灰，餐桌整洁，餐厅、厨房区域内的消防设施设备定期清洁，所有工作场所和餐厅无杂物。</w:t>
      </w:r>
    </w:p>
    <w:p w14:paraId="592A29F9">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过道及堆放垃圾的场所每天由专人负责清扫，做好门前三包工作，保持环境整洁。</w:t>
      </w:r>
    </w:p>
    <w:p w14:paraId="18A95649">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食品卫生</w:t>
      </w:r>
    </w:p>
    <w:p w14:paraId="2147019C">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3.1</w:t>
      </w:r>
      <w:r>
        <w:rPr>
          <w:rFonts w:hint="eastAsia" w:ascii="宋体" w:hAnsi="宋体" w:cs="宋体"/>
          <w:color w:val="auto"/>
          <w:sz w:val="21"/>
          <w:szCs w:val="21"/>
          <w:highlight w:val="none"/>
        </w:rPr>
        <w:t>食品操作生熟分开、盛器分开、人员分开、工具分开、存放场所分开。</w:t>
      </w:r>
    </w:p>
    <w:p w14:paraId="0059C98C">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3.2</w:t>
      </w:r>
      <w:r>
        <w:rPr>
          <w:rFonts w:hint="eastAsia" w:ascii="宋体" w:hAnsi="宋体" w:cs="宋体"/>
          <w:color w:val="auto"/>
          <w:sz w:val="21"/>
          <w:szCs w:val="21"/>
          <w:highlight w:val="none"/>
        </w:rPr>
        <w:t>所有食品应分类、分架存放，做到隔墙隔地、防潮、防四害、防异物。</w:t>
      </w:r>
    </w:p>
    <w:p w14:paraId="6AD66120">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餐具消毒符合卫生标准，未经消毒的餐具不得投入使用，已消毒的餐具存放专用保洁柜，柜内定期清洗，保持整洁，工具、用具、盛器保持无油腻、无污垢、无异味、无水渍。</w:t>
      </w:r>
    </w:p>
    <w:p w14:paraId="0F541C57">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洗涤水池，专池专用。分设餐具、蔬菜、水产品、肉类水池。</w:t>
      </w:r>
    </w:p>
    <w:p w14:paraId="2DDE4E1D">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加工卫生</w:t>
      </w:r>
    </w:p>
    <w:p w14:paraId="454AA94A">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4.1</w:t>
      </w:r>
      <w:r>
        <w:rPr>
          <w:rFonts w:hint="eastAsia" w:ascii="宋体" w:hAnsi="宋体" w:cs="宋体"/>
          <w:color w:val="auto"/>
          <w:sz w:val="21"/>
          <w:szCs w:val="21"/>
          <w:highlight w:val="none"/>
        </w:rPr>
        <w:t>原材料盛放冰箱必须做到生制品、半成品、熟制品专柜专放，定期冲洗冰箱，存放原材料必须做到先进先出。</w:t>
      </w:r>
    </w:p>
    <w:p w14:paraId="72ECD88D">
      <w:pPr>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4.2</w:t>
      </w:r>
      <w:r>
        <w:rPr>
          <w:rFonts w:hint="eastAsia" w:ascii="宋体" w:hAnsi="宋体" w:eastAsia="宋体" w:cs="宋体"/>
          <w:color w:val="auto"/>
          <w:szCs w:val="21"/>
          <w:highlight w:val="none"/>
        </w:rPr>
        <w:t>严格按照卫生要求加工烹制菜肴，老油重复使用不超过</w:t>
      </w:r>
      <w:r>
        <w:rPr>
          <w:rFonts w:hint="eastAsia" w:ascii="宋体" w:hAnsi="宋体" w:eastAsia="宋体" w:cs="宋体"/>
          <w:color w:val="auto"/>
          <w:szCs w:val="21"/>
          <w:highlight w:val="none"/>
          <w:lang w:val="en-US" w:eastAsia="zh-CN"/>
        </w:rPr>
        <w:t>两</w:t>
      </w:r>
      <w:r>
        <w:rPr>
          <w:rFonts w:hint="eastAsia" w:ascii="宋体" w:hAnsi="宋体" w:eastAsia="宋体" w:cs="宋体"/>
          <w:color w:val="auto"/>
          <w:szCs w:val="21"/>
          <w:highlight w:val="none"/>
        </w:rPr>
        <w:t>次。</w:t>
      </w:r>
    </w:p>
    <w:p w14:paraId="0A629FB2">
      <w:pPr>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4.3</w:t>
      </w:r>
      <w:r>
        <w:rPr>
          <w:rFonts w:hint="eastAsia" w:ascii="宋体" w:hAnsi="宋体" w:eastAsia="宋体" w:cs="宋体"/>
          <w:color w:val="auto"/>
          <w:szCs w:val="21"/>
          <w:highlight w:val="none"/>
        </w:rPr>
        <w:t>每餐供应结束后，立即对灶面、锅、勺、铲、操作台、排烟罩、地面、水池等进行清理冲洗，做到一市一清。</w:t>
      </w:r>
    </w:p>
    <w:p w14:paraId="18116FEC">
      <w:pPr>
        <w:ind w:firstLine="424" w:firstLineChars="202"/>
        <w:jc w:val="left"/>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Cs w:val="21"/>
          <w:highlight w:val="none"/>
          <w:lang w:val="en-US" w:eastAsia="zh-CN"/>
        </w:rPr>
        <w:t>4.4</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rPr>
        <w:t>学校食堂产生的餐厨废弃物应当在餐后及时清除，并按照环保要求分类处理。食堂应当设置专门的餐厨废弃物收集设施并明显标识，按照规定收集、存放餐厨废弃物，建立相关制度及台账，按照规定交由</w:t>
      </w:r>
      <w:r>
        <w:rPr>
          <w:rFonts w:hint="eastAsia" w:ascii="宋体" w:hAnsi="宋体" w:eastAsia="宋体" w:cs="宋体"/>
          <w:color w:val="auto"/>
          <w:sz w:val="21"/>
          <w:szCs w:val="21"/>
          <w:highlight w:val="none"/>
          <w:lang w:val="en-US" w:eastAsia="zh-CN"/>
        </w:rPr>
        <w:t>应做到早、午、晚清理一次垃圾，垃圾不过夜、无灰尘、无污迹、无积水、保持光亮</w:t>
      </w:r>
      <w:r>
        <w:rPr>
          <w:rFonts w:hint="eastAsia" w:ascii="宋体" w:hAnsi="宋体" w:cs="宋体"/>
          <w:b w:val="0"/>
          <w:bCs w:val="0"/>
          <w:color w:val="auto"/>
          <w:sz w:val="21"/>
          <w:szCs w:val="21"/>
          <w:highlight w:val="none"/>
          <w:lang w:val="en-US" w:eastAsia="zh-CN"/>
        </w:rPr>
        <w:t>洁净。</w:t>
      </w:r>
    </w:p>
    <w:p w14:paraId="46803B1B">
      <w:pPr>
        <w:pStyle w:val="6"/>
        <w:pageBreakBefore w:val="0"/>
        <w:numPr>
          <w:ilvl w:val="0"/>
          <w:numId w:val="0"/>
        </w:numPr>
        <w:kinsoku/>
        <w:wordWrap/>
        <w:overflowPunct/>
        <w:topLinePunct w:val="0"/>
        <w:autoSpaceDE/>
        <w:autoSpaceDN/>
        <w:bidi w:val="0"/>
        <w:spacing w:line="360" w:lineRule="auto"/>
        <w:ind w:leftChars="228"/>
        <w:textAlignment w:val="auto"/>
        <w:rPr>
          <w:rFonts w:hint="eastAsia" w:eastAsia="宋体"/>
          <w:color w:val="auto"/>
          <w:highlight w:val="none"/>
          <w:lang w:val="en-US" w:eastAsia="zh-CN"/>
        </w:rPr>
      </w:pPr>
      <w:r>
        <w:rPr>
          <w:rFonts w:hint="eastAsia"/>
          <w:color w:val="auto"/>
          <w:highlight w:val="none"/>
          <w:lang w:val="en-US" w:eastAsia="zh-CN"/>
        </w:rPr>
        <w:t>四</w:t>
      </w:r>
      <w:r>
        <w:rPr>
          <w:rFonts w:hint="eastAsia" w:eastAsia="宋体"/>
          <w:color w:val="auto"/>
          <w:highlight w:val="none"/>
          <w:lang w:val="en-US" w:eastAsia="zh-CN"/>
        </w:rPr>
        <w:t>、其他要求</w:t>
      </w:r>
    </w:p>
    <w:p w14:paraId="3A85BA54">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银行账户要求，根据《东莞市教育局关于进一步加强我市学校食堂财务管理的通知》，学生充值卡资金或按学期预交的伙食费收入应统一存入学校开设的食堂银行账户，并视食堂实际支出情况采取周结或月结方式定期将资金拨入中标人账户。</w:t>
      </w:r>
    </w:p>
    <w:p w14:paraId="71D304E9">
      <w:pPr>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食堂配水、配电、鲜风、排风系统、厨房设备设施、用餐台凳、器皿用具、IC卡充值收银系统、监控系统等设施、设备、用具已由采购人投资，相关设施、设备、用具</w:t>
      </w:r>
      <w:r>
        <w:rPr>
          <w:rFonts w:hint="eastAsia" w:ascii="宋体" w:hAnsi="宋体" w:eastAsia="宋体" w:cs="宋体"/>
          <w:color w:val="auto"/>
          <w:sz w:val="21"/>
          <w:szCs w:val="21"/>
          <w:highlight w:val="none"/>
        </w:rPr>
        <w:t>由采购人、中标人双方共同清点资产并登记确认签字后交给中标人使用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由中标人承担保管责任；</w:t>
      </w:r>
      <w:r>
        <w:rPr>
          <w:rFonts w:hint="eastAsia" w:ascii="宋体" w:hAnsi="宋体" w:eastAsia="宋体" w:cs="宋体"/>
          <w:color w:val="auto"/>
          <w:sz w:val="21"/>
          <w:szCs w:val="21"/>
          <w:highlight w:val="none"/>
        </w:rPr>
        <w:t>在承包期结束时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w:t>
      </w:r>
      <w:r>
        <w:rPr>
          <w:rFonts w:hint="eastAsia" w:ascii="宋体" w:hAnsi="宋体" w:eastAsia="宋体" w:cs="宋体"/>
          <w:color w:val="auto"/>
          <w:sz w:val="21"/>
          <w:szCs w:val="21"/>
          <w:highlight w:val="none"/>
        </w:rPr>
        <w:t>中标人按资产清单</w:t>
      </w:r>
      <w:r>
        <w:rPr>
          <w:rFonts w:hint="eastAsia" w:ascii="宋体" w:hAnsi="宋体" w:eastAsia="宋体" w:cs="宋体"/>
          <w:color w:val="auto"/>
          <w:sz w:val="21"/>
          <w:szCs w:val="21"/>
          <w:highlight w:val="none"/>
          <w:lang w:val="en-US" w:eastAsia="zh-CN"/>
        </w:rPr>
        <w:t>一一</w:t>
      </w:r>
      <w:r>
        <w:rPr>
          <w:rFonts w:hint="eastAsia" w:ascii="宋体" w:hAnsi="宋体" w:eastAsia="宋体" w:cs="宋体"/>
          <w:color w:val="auto"/>
          <w:sz w:val="21"/>
          <w:szCs w:val="21"/>
          <w:highlight w:val="none"/>
        </w:rPr>
        <w:t>归还采购人，</w:t>
      </w:r>
      <w:r>
        <w:rPr>
          <w:rFonts w:hint="eastAsia" w:ascii="宋体" w:hAnsi="宋体" w:eastAsia="宋体" w:cs="宋体"/>
          <w:color w:val="auto"/>
          <w:sz w:val="21"/>
          <w:szCs w:val="21"/>
          <w:highlight w:val="none"/>
          <w:lang w:val="en-US" w:eastAsia="zh-CN"/>
        </w:rPr>
        <w:t>如有</w:t>
      </w:r>
      <w:r>
        <w:rPr>
          <w:rFonts w:hint="eastAsia" w:ascii="宋体" w:hAnsi="宋体" w:eastAsia="宋体" w:cs="宋体"/>
          <w:color w:val="auto"/>
          <w:sz w:val="21"/>
          <w:szCs w:val="21"/>
          <w:highlight w:val="none"/>
        </w:rPr>
        <w:t>丢失</w:t>
      </w:r>
      <w:r>
        <w:rPr>
          <w:rFonts w:hint="eastAsia" w:ascii="宋体" w:hAnsi="宋体" w:eastAsia="宋体" w:cs="宋体"/>
          <w:color w:val="auto"/>
          <w:sz w:val="21"/>
          <w:szCs w:val="21"/>
          <w:highlight w:val="none"/>
          <w:lang w:val="en-US" w:eastAsia="zh-CN"/>
        </w:rPr>
        <w:t>或损坏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由中标人负责购置</w:t>
      </w:r>
      <w:r>
        <w:rPr>
          <w:rFonts w:hint="eastAsia" w:ascii="宋体" w:hAnsi="宋体" w:eastAsia="宋体" w:cs="宋体"/>
          <w:color w:val="auto"/>
          <w:sz w:val="21"/>
          <w:szCs w:val="21"/>
          <w:highlight w:val="none"/>
        </w:rPr>
        <w:t>补充</w:t>
      </w:r>
      <w:r>
        <w:rPr>
          <w:rFonts w:hint="eastAsia" w:ascii="宋体" w:hAnsi="宋体" w:eastAsia="宋体" w:cs="宋体"/>
          <w:color w:val="auto"/>
          <w:sz w:val="21"/>
          <w:szCs w:val="21"/>
          <w:highlight w:val="none"/>
          <w:lang w:val="en-US" w:eastAsia="zh-CN"/>
        </w:rPr>
        <w:t>相同产品或照价赔偿</w:t>
      </w:r>
      <w:r>
        <w:rPr>
          <w:rFonts w:hint="eastAsia" w:ascii="宋体" w:hAnsi="宋体" w:eastAsia="宋体" w:cs="宋体"/>
          <w:color w:val="auto"/>
          <w:sz w:val="21"/>
          <w:szCs w:val="21"/>
          <w:highlight w:val="none"/>
        </w:rPr>
        <w:t>。</w:t>
      </w:r>
    </w:p>
    <w:p w14:paraId="530DA431">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中标人要落实有关政策要求，按</w:t>
      </w:r>
      <w:r>
        <w:rPr>
          <w:rFonts w:hint="eastAsia" w:ascii="宋体" w:hAnsi="宋体" w:eastAsia="宋体" w:cs="宋体"/>
          <w:color w:val="auto"/>
          <w:sz w:val="21"/>
          <w:szCs w:val="21"/>
          <w:highlight w:val="none"/>
          <w:lang w:val="en-US" w:eastAsia="zh-CN"/>
        </w:rPr>
        <w:t>照</w:t>
      </w:r>
      <w:r>
        <w:rPr>
          <w:rFonts w:hint="eastAsia" w:ascii="宋体" w:hAnsi="宋体" w:eastAsia="宋体" w:cs="宋体"/>
          <w:color w:val="auto"/>
          <w:sz w:val="21"/>
          <w:szCs w:val="21"/>
          <w:highlight w:val="none"/>
        </w:rPr>
        <w:t>每年的预留比例采购贫困地区农副产品数量。</w:t>
      </w:r>
    </w:p>
    <w:p w14:paraId="242D615F">
      <w:pPr>
        <w:pageBreakBefore w:val="0"/>
        <w:kinsoku/>
        <w:wordWrap/>
        <w:overflowPunct/>
        <w:topLinePunct w:val="0"/>
        <w:autoSpaceDE/>
        <w:autoSpaceDN/>
        <w:bidi w:val="0"/>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.其他有利于教学教育工作的事宜，</w:t>
      </w:r>
      <w:r>
        <w:rPr>
          <w:rFonts w:hint="eastAsia" w:ascii="宋体" w:hAnsi="宋体" w:eastAsia="宋体" w:cs="宋体"/>
          <w:color w:val="auto"/>
          <w:sz w:val="21"/>
          <w:szCs w:val="21"/>
          <w:highlight w:val="none"/>
          <w:lang w:val="en-US" w:eastAsia="zh-CN"/>
        </w:rPr>
        <w:t>由校方</w:t>
      </w:r>
      <w:r>
        <w:rPr>
          <w:rFonts w:hint="eastAsia" w:ascii="宋体" w:hAnsi="宋体" w:eastAsia="宋体" w:cs="宋体"/>
          <w:color w:val="auto"/>
          <w:sz w:val="21"/>
          <w:szCs w:val="21"/>
          <w:highlight w:val="none"/>
        </w:rPr>
        <w:t>与中标人协商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中标人需尽力协助校方相关工作。</w:t>
      </w:r>
    </w:p>
    <w:p w14:paraId="6DF8D5FE">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每学期结束后1个月内中标人需向</w:t>
      </w:r>
      <w:r>
        <w:rPr>
          <w:rFonts w:hint="eastAsia" w:ascii="宋体" w:hAnsi="宋体" w:eastAsia="宋体" w:cs="宋体"/>
          <w:color w:val="auto"/>
          <w:sz w:val="21"/>
          <w:szCs w:val="21"/>
          <w:highlight w:val="none"/>
          <w:lang w:val="en-US" w:eastAsia="zh-CN"/>
        </w:rPr>
        <w:t>校方及</w:t>
      </w:r>
      <w:r>
        <w:rPr>
          <w:rFonts w:hint="eastAsia" w:ascii="宋体" w:hAnsi="宋体" w:eastAsia="宋体" w:cs="宋体"/>
          <w:color w:val="auto"/>
          <w:sz w:val="21"/>
          <w:szCs w:val="21"/>
          <w:highlight w:val="none"/>
        </w:rPr>
        <w:t>新区教育主管部门提交学校食堂运营报告，报告内容包括食堂运作情况、财务情况、合同执行情况、膳食委员会监督情况等。须按照会计准则列收支科目，详细列出大米、粮油、肉菜、人工成本等支出。</w:t>
      </w:r>
    </w:p>
    <w:p w14:paraId="470EEBDB">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采购人对食堂的收支情况每学期进行一次检查，检查结果要在校务公开栏公布。</w:t>
      </w:r>
    </w:p>
    <w:p w14:paraId="29EE1B18">
      <w:pPr>
        <w:pageBreakBefore w:val="0"/>
        <w:kinsoku/>
        <w:wordWrap/>
        <w:overflowPunct/>
        <w:topLinePunct w:val="0"/>
        <w:autoSpaceDE/>
        <w:autoSpaceDN/>
        <w:bidi w:val="0"/>
        <w:spacing w:line="360" w:lineRule="auto"/>
        <w:ind w:firstLine="420" w:firstLineChars="200"/>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中标人经营期间只能使用中标人公司名称开展对外业务关系，不得使用学校名称发生任何业务关系。</w:t>
      </w:r>
    </w:p>
    <w:p w14:paraId="5960E765">
      <w:pPr>
        <w:pStyle w:val="6"/>
        <w:pageBreakBefore w:val="0"/>
        <w:numPr>
          <w:ilvl w:val="0"/>
          <w:numId w:val="0"/>
        </w:numPr>
        <w:kinsoku/>
        <w:wordWrap/>
        <w:overflowPunct/>
        <w:topLinePunct w:val="0"/>
        <w:autoSpaceDE/>
        <w:autoSpaceDN/>
        <w:bidi w:val="0"/>
        <w:spacing w:line="360" w:lineRule="auto"/>
        <w:ind w:leftChars="228"/>
        <w:textAlignment w:val="auto"/>
        <w:rPr>
          <w:rFonts w:hint="eastAsia"/>
          <w:color w:val="auto"/>
          <w:highlight w:val="none"/>
          <w:lang w:val="en-US" w:eastAsia="zh-CN"/>
        </w:rPr>
      </w:pPr>
      <w:r>
        <w:rPr>
          <w:rFonts w:hint="eastAsia"/>
          <w:color w:val="auto"/>
          <w:highlight w:val="none"/>
          <w:lang w:val="en-US" w:eastAsia="zh-CN"/>
        </w:rPr>
        <w:t>五、食堂监督管理办法</w:t>
      </w:r>
    </w:p>
    <w:p w14:paraId="52DC0442">
      <w:pPr>
        <w:ind w:firstLine="426" w:firstLineChars="202"/>
        <w:jc w:val="left"/>
        <w:rPr>
          <w:rFonts w:hint="default"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（一）膳食委员会监督</w:t>
      </w:r>
    </w:p>
    <w:p w14:paraId="0B345F01">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须支持校方建立健全膳食管理委员会，发挥监督作用。建立由食品安全管理员、学校行政教师和家长代表的膳食管理委员会，落实食堂监督，规范食堂管理，校方膳食管理委员会要积极发挥监督作用，要充分了解师生对食堂的意见，对学校食堂管理提出有益的意见和建议。学校食堂管理机构和食堂管理人员应高度重视和积极回应相关意见和建议，对存在问题进行及时整改。</w:t>
      </w:r>
    </w:p>
    <w:p w14:paraId="3BA5CC6C">
      <w:pPr>
        <w:ind w:firstLine="426" w:firstLineChars="202"/>
        <w:jc w:val="left"/>
        <w:rPr>
          <w:rFonts w:hint="default"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（二）突击检查</w:t>
      </w:r>
    </w:p>
    <w:p w14:paraId="040CE510">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采购人</w:t>
      </w:r>
      <w:r>
        <w:rPr>
          <w:rFonts w:hint="eastAsia" w:ascii="宋体" w:hAnsi="宋体" w:cs="宋体"/>
          <w:color w:val="auto"/>
          <w:sz w:val="21"/>
          <w:szCs w:val="21"/>
          <w:highlight w:val="none"/>
          <w:lang w:val="en-US" w:eastAsia="zh-CN"/>
        </w:rPr>
        <w:t>或校方</w:t>
      </w:r>
      <w:r>
        <w:rPr>
          <w:rFonts w:hint="eastAsia" w:ascii="宋体" w:hAnsi="宋体" w:eastAsia="宋体" w:cs="宋体"/>
          <w:color w:val="auto"/>
          <w:sz w:val="21"/>
          <w:szCs w:val="21"/>
          <w:highlight w:val="none"/>
        </w:rPr>
        <w:t>每月至少一次到食堂了解餐饮情况，</w:t>
      </w:r>
      <w:r>
        <w:rPr>
          <w:rFonts w:hint="eastAsia" w:ascii="宋体" w:hAnsi="宋体" w:eastAsia="宋体" w:cs="宋体"/>
          <w:color w:val="auto"/>
          <w:sz w:val="21"/>
          <w:szCs w:val="21"/>
          <w:highlight w:val="none"/>
          <w:lang w:val="en-US" w:eastAsia="zh-CN"/>
        </w:rPr>
        <w:t>并</w:t>
      </w:r>
      <w:r>
        <w:rPr>
          <w:rFonts w:hint="eastAsia" w:ascii="宋体" w:hAnsi="宋体" w:eastAsia="宋体" w:cs="宋体"/>
          <w:color w:val="auto"/>
          <w:sz w:val="21"/>
          <w:szCs w:val="21"/>
          <w:highlight w:val="none"/>
        </w:rPr>
        <w:t>采取不定期、不打招呼、突击式的检查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食堂监督管理考评表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附件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对中标人食堂运营情况进行打分，</w:t>
      </w:r>
      <w:r>
        <w:rPr>
          <w:rFonts w:hint="eastAsia" w:ascii="宋体" w:hAnsi="宋体" w:eastAsia="宋体" w:cs="宋体"/>
          <w:color w:val="auto"/>
          <w:sz w:val="21"/>
          <w:szCs w:val="21"/>
          <w:highlight w:val="none"/>
        </w:rPr>
        <w:t>合同签订之日起一年</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为试用期，如考核月平均分低于80分的，</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rPr>
        <w:t>有权单方终止合同，中标人须无条件退场。</w:t>
      </w:r>
    </w:p>
    <w:p w14:paraId="7465FB33">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承包期间出现</w:t>
      </w:r>
      <w:r>
        <w:rPr>
          <w:rFonts w:hint="eastAsia" w:ascii="宋体" w:hAnsi="宋体" w:eastAsia="宋体" w:cs="宋体"/>
          <w:color w:val="auto"/>
          <w:sz w:val="21"/>
          <w:szCs w:val="21"/>
          <w:highlight w:val="none"/>
          <w:lang w:val="en-US" w:eastAsia="zh-CN"/>
        </w:rPr>
        <w:t>包括但不限于</w:t>
      </w:r>
      <w:r>
        <w:rPr>
          <w:rFonts w:hint="eastAsia" w:ascii="宋体" w:hAnsi="宋体" w:eastAsia="宋体" w:cs="宋体"/>
          <w:color w:val="auto"/>
          <w:sz w:val="21"/>
          <w:szCs w:val="21"/>
          <w:highlight w:val="none"/>
        </w:rPr>
        <w:t>下列情况之一的，取消中标人对该食堂发承包经营资格：</w:t>
      </w:r>
    </w:p>
    <w:p w14:paraId="07B206C3">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因中标人原因经营期间发生师生食物中毒，或安全生产责任事故，且造成严重后果的；中标人承担一切法律和经济赔偿责任。</w:t>
      </w:r>
    </w:p>
    <w:p w14:paraId="2E6C6B78">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因食品价格、质量、卫生和服务态度而引发学生罢餐、静坐、游行、上访、网络投诉等群体性事件，经相关部门调查认定确实为中标人责任且影响恶劣的；</w:t>
      </w:r>
    </w:p>
    <w:p w14:paraId="14A6C29B">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rPr>
        <w:t>因中标人责任，食堂卫生达不到卫生、食药监管部门达标食堂资格的；</w:t>
      </w:r>
    </w:p>
    <w:p w14:paraId="506B4E57">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rPr>
        <w:t>在经营过程中，存在掺杂作假，销售劣质、有害和无证食品等违规行为，经学校规劝，或教育、卫生、食药监等行政主管部门要求整改依然无效的；</w:t>
      </w:r>
    </w:p>
    <w:p w14:paraId="49F99FE2">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在经营过程中，存在转包、分包和挂靠经营行为的；</w:t>
      </w:r>
    </w:p>
    <w:p w14:paraId="703F2170">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rPr>
        <w:t>在招投标时以弄虚作假等欺诈手段获得准入资格的，或经营情况发生变化已不符合准入条件而又不改变的。</w:t>
      </w:r>
    </w:p>
    <w:p w14:paraId="61B3288A">
      <w:pPr>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highlight w:val="none"/>
        </w:rPr>
      </w:pPr>
    </w:p>
    <w:p w14:paraId="6D83346F">
      <w:pPr>
        <w:bidi w:val="0"/>
        <w:rPr>
          <w:rFonts w:hint="eastAsia"/>
          <w:color w:val="auto"/>
          <w:highlight w:val="none"/>
        </w:rPr>
      </w:pPr>
    </w:p>
    <w:p w14:paraId="63753391">
      <w:pPr>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51153488">
      <w:pPr>
        <w:pageBreakBefore w:val="0"/>
        <w:kinsoku/>
        <w:wordWrap/>
        <w:overflowPunct/>
        <w:topLinePunct w:val="0"/>
        <w:autoSpaceDE/>
        <w:autoSpaceDN/>
        <w:bidi w:val="0"/>
        <w:spacing w:line="360" w:lineRule="auto"/>
        <w:jc w:val="center"/>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食堂监督管理考评表</w:t>
      </w:r>
    </w:p>
    <w:tbl>
      <w:tblPr>
        <w:tblStyle w:val="29"/>
        <w:tblW w:w="0" w:type="auto"/>
        <w:tblInd w:w="93" w:type="dxa"/>
        <w:tblLayout w:type="autofit"/>
        <w:tblCellMar>
          <w:top w:w="0" w:type="dxa"/>
          <w:left w:w="108" w:type="dxa"/>
          <w:bottom w:w="0" w:type="dxa"/>
          <w:right w:w="108" w:type="dxa"/>
        </w:tblCellMar>
      </w:tblPr>
      <w:tblGrid>
        <w:gridCol w:w="490"/>
        <w:gridCol w:w="1027"/>
        <w:gridCol w:w="5408"/>
        <w:gridCol w:w="490"/>
        <w:gridCol w:w="1014"/>
      </w:tblGrid>
      <w:tr w14:paraId="61180003">
        <w:tblPrEx>
          <w:tblCellMar>
            <w:top w:w="0" w:type="dxa"/>
            <w:left w:w="108" w:type="dxa"/>
            <w:bottom w:w="0" w:type="dxa"/>
            <w:right w:w="108" w:type="dxa"/>
          </w:tblCellMar>
        </w:tblPrEx>
        <w:tc>
          <w:tcPr>
            <w:tcW w:w="0" w:type="auto"/>
            <w:tcBorders>
              <w:top w:val="single" w:color="080000" w:sz="8" w:space="0"/>
              <w:left w:val="single" w:color="080000" w:sz="8" w:space="0"/>
              <w:bottom w:val="single" w:color="080000" w:sz="8" w:space="0"/>
              <w:right w:val="single" w:color="080000" w:sz="8" w:space="0"/>
            </w:tcBorders>
            <w:vAlign w:val="center"/>
          </w:tcPr>
          <w:p w14:paraId="460B45AC">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0" w:type="auto"/>
            <w:tcBorders>
              <w:top w:val="single" w:color="080000" w:sz="8" w:space="0"/>
              <w:left w:val="nil"/>
              <w:bottom w:val="single" w:color="080000" w:sz="8" w:space="0"/>
              <w:right w:val="single" w:color="080000" w:sz="8" w:space="0"/>
            </w:tcBorders>
            <w:vAlign w:val="center"/>
          </w:tcPr>
          <w:p w14:paraId="76D332DA">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评分项目</w:t>
            </w:r>
          </w:p>
        </w:tc>
        <w:tc>
          <w:tcPr>
            <w:tcW w:w="0" w:type="auto"/>
            <w:tcBorders>
              <w:top w:val="single" w:color="080000" w:sz="8" w:space="0"/>
              <w:left w:val="nil"/>
              <w:bottom w:val="single" w:color="080000" w:sz="8" w:space="0"/>
              <w:right w:val="single" w:color="080000" w:sz="8" w:space="0"/>
            </w:tcBorders>
            <w:vAlign w:val="center"/>
          </w:tcPr>
          <w:p w14:paraId="66298292">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评分标准</w:t>
            </w:r>
          </w:p>
        </w:tc>
        <w:tc>
          <w:tcPr>
            <w:tcW w:w="0" w:type="auto"/>
            <w:tcBorders>
              <w:top w:val="single" w:color="080000" w:sz="8" w:space="0"/>
              <w:left w:val="nil"/>
              <w:bottom w:val="single" w:color="080000" w:sz="8" w:space="0"/>
              <w:right w:val="single" w:color="080000" w:sz="8" w:space="0"/>
            </w:tcBorders>
            <w:vAlign w:val="center"/>
          </w:tcPr>
          <w:p w14:paraId="55005358">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w:t>
            </w:r>
          </w:p>
        </w:tc>
        <w:tc>
          <w:tcPr>
            <w:tcW w:w="0" w:type="auto"/>
            <w:tcBorders>
              <w:top w:val="single" w:color="080000" w:sz="8" w:space="0"/>
              <w:left w:val="nil"/>
              <w:bottom w:val="single" w:color="080000" w:sz="8" w:space="0"/>
              <w:right w:val="single" w:color="080000" w:sz="8" w:space="0"/>
            </w:tcBorders>
            <w:vAlign w:val="center"/>
          </w:tcPr>
          <w:p w14:paraId="4431C86B">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备注（扣分原因）</w:t>
            </w:r>
          </w:p>
        </w:tc>
      </w:tr>
      <w:tr w14:paraId="58DE9558">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3F630F0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w:t>
            </w:r>
          </w:p>
        </w:tc>
        <w:tc>
          <w:tcPr>
            <w:tcW w:w="0" w:type="auto"/>
            <w:vMerge w:val="restart"/>
            <w:tcBorders>
              <w:top w:val="nil"/>
              <w:left w:val="single" w:color="080000" w:sz="8" w:space="0"/>
              <w:bottom w:val="single" w:color="080000" w:sz="8" w:space="0"/>
              <w:right w:val="single" w:color="080000" w:sz="8" w:space="0"/>
            </w:tcBorders>
            <w:vAlign w:val="center"/>
          </w:tcPr>
          <w:p w14:paraId="1FBAB86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制度建设（7分）</w:t>
            </w:r>
          </w:p>
        </w:tc>
        <w:tc>
          <w:tcPr>
            <w:tcW w:w="0" w:type="auto"/>
            <w:tcBorders>
              <w:top w:val="nil"/>
              <w:left w:val="nil"/>
              <w:bottom w:val="single" w:color="080000" w:sz="8" w:space="0"/>
              <w:right w:val="single" w:color="080000" w:sz="8" w:space="0"/>
            </w:tcBorders>
            <w:vAlign w:val="center"/>
          </w:tcPr>
          <w:p w14:paraId="3F8CC3E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1、证照齐全（营业执照、食品经营许可证）（共2分，缺一项扣1分）</w:t>
            </w:r>
          </w:p>
        </w:tc>
        <w:tc>
          <w:tcPr>
            <w:tcW w:w="0" w:type="auto"/>
            <w:tcBorders>
              <w:top w:val="nil"/>
              <w:left w:val="nil"/>
              <w:bottom w:val="single" w:color="080000" w:sz="8" w:space="0"/>
              <w:right w:val="single" w:color="080000" w:sz="8" w:space="0"/>
            </w:tcBorders>
            <w:vAlign w:val="center"/>
          </w:tcPr>
          <w:p w14:paraId="082AEFA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C3B45C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0005DE6">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CD669A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FFAA16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FAE1B5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2、食品卫生、人事用工、采购、仓库管理、消防安全管理制度、设备操作规程、水电管理制度、食物中毒应急预案等制度齐全。（共5分，缺一项扣0.5分）</w:t>
            </w:r>
          </w:p>
        </w:tc>
        <w:tc>
          <w:tcPr>
            <w:tcW w:w="0" w:type="auto"/>
            <w:tcBorders>
              <w:top w:val="nil"/>
              <w:left w:val="nil"/>
              <w:bottom w:val="single" w:color="080000" w:sz="8" w:space="0"/>
              <w:right w:val="single" w:color="080000" w:sz="8" w:space="0"/>
            </w:tcBorders>
            <w:vAlign w:val="center"/>
          </w:tcPr>
          <w:p w14:paraId="0AE21E4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5F5510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27E4B07">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45604DA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w:t>
            </w:r>
          </w:p>
        </w:tc>
        <w:tc>
          <w:tcPr>
            <w:tcW w:w="0" w:type="auto"/>
            <w:vMerge w:val="restart"/>
            <w:tcBorders>
              <w:top w:val="nil"/>
              <w:left w:val="single" w:color="080000" w:sz="8" w:space="0"/>
              <w:bottom w:val="single" w:color="080000" w:sz="8" w:space="0"/>
              <w:right w:val="single" w:color="080000" w:sz="8" w:space="0"/>
            </w:tcBorders>
            <w:vAlign w:val="center"/>
          </w:tcPr>
          <w:p w14:paraId="6D29E1C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人员配置（8分）</w:t>
            </w:r>
          </w:p>
        </w:tc>
        <w:tc>
          <w:tcPr>
            <w:tcW w:w="0" w:type="auto"/>
            <w:vMerge w:val="restart"/>
            <w:tcBorders>
              <w:top w:val="nil"/>
              <w:left w:val="single" w:color="080000" w:sz="8" w:space="0"/>
              <w:bottom w:val="single" w:color="080000" w:sz="8" w:space="0"/>
              <w:right w:val="single" w:color="080000" w:sz="8" w:space="0"/>
            </w:tcBorders>
            <w:vAlign w:val="center"/>
          </w:tcPr>
          <w:p w14:paraId="0008C08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1、配置优秀管理人员，</w:t>
            </w:r>
            <w:r>
              <w:rPr>
                <w:rFonts w:hint="eastAsia" w:ascii="宋体" w:hAnsi="宋体" w:cs="宋体"/>
                <w:bCs/>
                <w:color w:val="auto"/>
                <w:kern w:val="0"/>
                <w:sz w:val="21"/>
                <w:szCs w:val="21"/>
                <w:highlight w:val="none"/>
                <w:lang w:val="en-US" w:eastAsia="zh-CN"/>
              </w:rPr>
              <w:t>服务人数不少于约定要求；</w:t>
            </w:r>
            <w:r>
              <w:rPr>
                <w:rFonts w:hint="eastAsia" w:ascii="宋体" w:hAnsi="宋体" w:eastAsia="宋体" w:cs="宋体"/>
                <w:bCs/>
                <w:color w:val="auto"/>
                <w:kern w:val="0"/>
                <w:sz w:val="21"/>
                <w:szCs w:val="21"/>
                <w:highlight w:val="none"/>
              </w:rPr>
              <w:t>食品安全管理员、卫生主管、厨师、厨工等人员达到</w:t>
            </w:r>
            <w:r>
              <w:rPr>
                <w:rFonts w:hint="eastAsia" w:ascii="宋体" w:hAnsi="宋体" w:cs="宋体"/>
                <w:bCs/>
                <w:color w:val="auto"/>
                <w:kern w:val="0"/>
                <w:sz w:val="21"/>
                <w:szCs w:val="21"/>
                <w:highlight w:val="none"/>
                <w:lang w:val="en-US" w:eastAsia="zh-CN"/>
              </w:rPr>
              <w:t>用工</w:t>
            </w:r>
            <w:r>
              <w:rPr>
                <w:rFonts w:hint="eastAsia" w:ascii="宋体" w:hAnsi="宋体" w:eastAsia="宋体" w:cs="宋体"/>
                <w:bCs/>
                <w:color w:val="auto"/>
                <w:kern w:val="0"/>
                <w:sz w:val="21"/>
                <w:szCs w:val="21"/>
                <w:highlight w:val="none"/>
              </w:rPr>
              <w:t>要求。（共5分，缺一人扣1分）</w:t>
            </w:r>
          </w:p>
        </w:tc>
        <w:tc>
          <w:tcPr>
            <w:tcW w:w="0" w:type="auto"/>
            <w:tcBorders>
              <w:top w:val="nil"/>
              <w:left w:val="nil"/>
              <w:bottom w:val="nil"/>
              <w:right w:val="single" w:color="080000" w:sz="8" w:space="0"/>
            </w:tcBorders>
            <w:vAlign w:val="center"/>
          </w:tcPr>
          <w:p w14:paraId="24D994F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nil"/>
              <w:right w:val="single" w:color="080000" w:sz="8" w:space="0"/>
            </w:tcBorders>
            <w:vAlign w:val="center"/>
          </w:tcPr>
          <w:p w14:paraId="5B394C7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7DD7B03">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AA4AE1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0BC78F3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F8007B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6811BFC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533CF2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CC3667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C8E71B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6C56826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D84CAE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2、所有从业人员均持有有效健康证。（共3分，每一人不具有扣1分）</w:t>
            </w:r>
          </w:p>
        </w:tc>
        <w:tc>
          <w:tcPr>
            <w:tcW w:w="0" w:type="auto"/>
            <w:tcBorders>
              <w:top w:val="nil"/>
              <w:left w:val="nil"/>
              <w:bottom w:val="single" w:color="080000" w:sz="8" w:space="0"/>
              <w:right w:val="single" w:color="080000" w:sz="8" w:space="0"/>
            </w:tcBorders>
            <w:vAlign w:val="center"/>
          </w:tcPr>
          <w:p w14:paraId="40B7355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F7FFF9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0C9B8EC3">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4A75746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w:t>
            </w:r>
          </w:p>
        </w:tc>
        <w:tc>
          <w:tcPr>
            <w:tcW w:w="0" w:type="auto"/>
            <w:vMerge w:val="restart"/>
            <w:tcBorders>
              <w:top w:val="nil"/>
              <w:left w:val="single" w:color="080000" w:sz="8" w:space="0"/>
              <w:bottom w:val="single" w:color="080000" w:sz="8" w:space="0"/>
              <w:right w:val="single" w:color="080000" w:sz="8" w:space="0"/>
            </w:tcBorders>
            <w:vAlign w:val="center"/>
          </w:tcPr>
          <w:p w14:paraId="1DA24FF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采购管理（10分）</w:t>
            </w:r>
          </w:p>
        </w:tc>
        <w:tc>
          <w:tcPr>
            <w:tcW w:w="0" w:type="auto"/>
            <w:tcBorders>
              <w:top w:val="nil"/>
              <w:left w:val="nil"/>
              <w:bottom w:val="single" w:color="080000" w:sz="8" w:space="0"/>
              <w:right w:val="single" w:color="080000" w:sz="8" w:space="0"/>
            </w:tcBorders>
            <w:vAlign w:val="center"/>
          </w:tcPr>
          <w:p w14:paraId="45B626E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1、定点采购，建立食品进货台帐。（共4分，任何一项不符合扣1分）</w:t>
            </w:r>
          </w:p>
        </w:tc>
        <w:tc>
          <w:tcPr>
            <w:tcW w:w="0" w:type="auto"/>
            <w:tcBorders>
              <w:top w:val="nil"/>
              <w:left w:val="nil"/>
              <w:bottom w:val="single" w:color="080000" w:sz="8" w:space="0"/>
              <w:right w:val="single" w:color="080000" w:sz="8" w:space="0"/>
            </w:tcBorders>
            <w:vAlign w:val="center"/>
          </w:tcPr>
          <w:p w14:paraId="7EF155C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F69CC9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04E71A2C">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059119C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8978CF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772A72F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2、粮油、副食品等主要食品有产品质量检验报告、食品经营许可证，并与供货商签订合同。（共4分，任何一项不符合扣1分）</w:t>
            </w:r>
          </w:p>
        </w:tc>
        <w:tc>
          <w:tcPr>
            <w:tcW w:w="0" w:type="auto"/>
            <w:tcBorders>
              <w:top w:val="nil"/>
              <w:left w:val="nil"/>
              <w:bottom w:val="single" w:color="080000" w:sz="8" w:space="0"/>
              <w:right w:val="single" w:color="080000" w:sz="8" w:space="0"/>
            </w:tcBorders>
            <w:vAlign w:val="center"/>
          </w:tcPr>
          <w:p w14:paraId="59D896C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ADF50B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B56A95D">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712E135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32EDB8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72B3D3F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3、严格落实验收制度，做好验收登记。（共2分，任何一项不符合扣1分）</w:t>
            </w:r>
          </w:p>
        </w:tc>
        <w:tc>
          <w:tcPr>
            <w:tcW w:w="0" w:type="auto"/>
            <w:tcBorders>
              <w:top w:val="nil"/>
              <w:left w:val="nil"/>
              <w:bottom w:val="single" w:color="080000" w:sz="8" w:space="0"/>
              <w:right w:val="single" w:color="080000" w:sz="8" w:space="0"/>
            </w:tcBorders>
            <w:vAlign w:val="center"/>
          </w:tcPr>
          <w:p w14:paraId="29721D7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D701D0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2C893998">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302A753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四</w:t>
            </w:r>
          </w:p>
        </w:tc>
        <w:tc>
          <w:tcPr>
            <w:tcW w:w="0" w:type="auto"/>
            <w:vMerge w:val="restart"/>
            <w:tcBorders>
              <w:top w:val="nil"/>
              <w:left w:val="single" w:color="080000" w:sz="8" w:space="0"/>
              <w:bottom w:val="single" w:color="080000" w:sz="8" w:space="0"/>
              <w:right w:val="single" w:color="080000" w:sz="8" w:space="0"/>
            </w:tcBorders>
            <w:vAlign w:val="center"/>
          </w:tcPr>
          <w:p w14:paraId="087F8A9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仓储管理（7分）</w:t>
            </w:r>
          </w:p>
        </w:tc>
        <w:tc>
          <w:tcPr>
            <w:tcW w:w="0" w:type="auto"/>
            <w:tcBorders>
              <w:top w:val="nil"/>
              <w:left w:val="nil"/>
              <w:bottom w:val="single" w:color="080000" w:sz="8" w:space="0"/>
              <w:right w:val="single" w:color="080000" w:sz="8" w:space="0"/>
            </w:tcBorders>
            <w:vAlign w:val="center"/>
          </w:tcPr>
          <w:p w14:paraId="39D9F4E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1、食品库、杂物库分别独立设置。（共3分，任何一项不符合扣1分）</w:t>
            </w:r>
          </w:p>
        </w:tc>
        <w:tc>
          <w:tcPr>
            <w:tcW w:w="0" w:type="auto"/>
            <w:tcBorders>
              <w:top w:val="nil"/>
              <w:left w:val="nil"/>
              <w:bottom w:val="single" w:color="080000" w:sz="8" w:space="0"/>
              <w:right w:val="single" w:color="080000" w:sz="8" w:space="0"/>
            </w:tcBorders>
            <w:vAlign w:val="center"/>
          </w:tcPr>
          <w:p w14:paraId="536CBBB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C43659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4AA331EF">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1928609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6ABB169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5CCF2A1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2、所有物品分类摆放，离地、离墙存放，有标签标识。（共2分，任何一项不符合扣0.5分）</w:t>
            </w:r>
          </w:p>
        </w:tc>
        <w:tc>
          <w:tcPr>
            <w:tcW w:w="0" w:type="auto"/>
            <w:tcBorders>
              <w:top w:val="nil"/>
              <w:left w:val="nil"/>
              <w:bottom w:val="single" w:color="080000" w:sz="8" w:space="0"/>
              <w:right w:val="single" w:color="080000" w:sz="8" w:space="0"/>
            </w:tcBorders>
            <w:vAlign w:val="center"/>
          </w:tcPr>
          <w:p w14:paraId="31A7A23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45595C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E9C3820">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725592E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DA3C1D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77430FA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3、仓库物品做到先进先出，严格杜绝存放过期变质的物品。（共2分，发现一次变质过期物品扣1分）</w:t>
            </w:r>
          </w:p>
        </w:tc>
        <w:tc>
          <w:tcPr>
            <w:tcW w:w="0" w:type="auto"/>
            <w:tcBorders>
              <w:top w:val="nil"/>
              <w:left w:val="nil"/>
              <w:bottom w:val="single" w:color="080000" w:sz="8" w:space="0"/>
              <w:right w:val="single" w:color="080000" w:sz="8" w:space="0"/>
            </w:tcBorders>
            <w:vAlign w:val="center"/>
          </w:tcPr>
          <w:p w14:paraId="58F5EEF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E85405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415F0625">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1E9840A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w:t>
            </w:r>
          </w:p>
        </w:tc>
        <w:tc>
          <w:tcPr>
            <w:tcW w:w="0" w:type="auto"/>
            <w:vMerge w:val="restart"/>
            <w:tcBorders>
              <w:top w:val="nil"/>
              <w:left w:val="single" w:color="080000" w:sz="8" w:space="0"/>
              <w:bottom w:val="single" w:color="080000" w:sz="8" w:space="0"/>
              <w:right w:val="single" w:color="080000" w:sz="8" w:space="0"/>
            </w:tcBorders>
            <w:vAlign w:val="center"/>
          </w:tcPr>
          <w:p w14:paraId="5AA27C3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安全卫生（37分）</w:t>
            </w:r>
          </w:p>
        </w:tc>
        <w:tc>
          <w:tcPr>
            <w:tcW w:w="0" w:type="auto"/>
            <w:tcBorders>
              <w:top w:val="nil"/>
              <w:left w:val="nil"/>
              <w:bottom w:val="single" w:color="080000" w:sz="8" w:space="0"/>
              <w:right w:val="single" w:color="080000" w:sz="8" w:space="0"/>
            </w:tcBorders>
            <w:vAlign w:val="center"/>
          </w:tcPr>
          <w:p w14:paraId="0E7C12E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1、食堂内外环境干净、整洁，不留卫生死角，做好除“四害”工作，配置好纱窗。（共4分，任何一项不符合扣1分）</w:t>
            </w:r>
          </w:p>
        </w:tc>
        <w:tc>
          <w:tcPr>
            <w:tcW w:w="0" w:type="auto"/>
            <w:tcBorders>
              <w:top w:val="nil"/>
              <w:left w:val="nil"/>
              <w:bottom w:val="single" w:color="080000" w:sz="8" w:space="0"/>
              <w:right w:val="single" w:color="080000" w:sz="8" w:space="0"/>
            </w:tcBorders>
            <w:vAlign w:val="center"/>
          </w:tcPr>
          <w:p w14:paraId="2C0FA26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707C6D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C1BCC9E">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3EF6E7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B72AA3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3F8E61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2、操作间地面、厨具、餐具干净、整洁。（共4分，任何一项不符合扣1分）</w:t>
            </w:r>
          </w:p>
        </w:tc>
        <w:tc>
          <w:tcPr>
            <w:tcW w:w="0" w:type="auto"/>
            <w:tcBorders>
              <w:top w:val="nil"/>
              <w:left w:val="nil"/>
              <w:bottom w:val="single" w:color="080000" w:sz="8" w:space="0"/>
              <w:right w:val="single" w:color="080000" w:sz="8" w:space="0"/>
            </w:tcBorders>
            <w:vAlign w:val="center"/>
          </w:tcPr>
          <w:p w14:paraId="776E25A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E01A06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C2D768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1C0070B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6AC8AE7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E982DC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3、卫生管理制度挂上墙，卫生责任人明确。（共4分，任何一项不符合扣1分）</w:t>
            </w:r>
          </w:p>
        </w:tc>
        <w:tc>
          <w:tcPr>
            <w:tcW w:w="0" w:type="auto"/>
            <w:tcBorders>
              <w:top w:val="nil"/>
              <w:left w:val="nil"/>
              <w:bottom w:val="single" w:color="080000" w:sz="8" w:space="0"/>
              <w:right w:val="single" w:color="080000" w:sz="8" w:space="0"/>
            </w:tcBorders>
            <w:vAlign w:val="center"/>
          </w:tcPr>
          <w:p w14:paraId="6528EF3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CCC7E3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C1E97C0">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CB331C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AFC3BA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77D3529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4、配置熟食间，生、熟用具严格分开并有明显标识。（共4分，任何一项不符合扣1分）</w:t>
            </w:r>
          </w:p>
        </w:tc>
        <w:tc>
          <w:tcPr>
            <w:tcW w:w="0" w:type="auto"/>
            <w:tcBorders>
              <w:top w:val="nil"/>
              <w:left w:val="nil"/>
              <w:bottom w:val="single" w:color="080000" w:sz="8" w:space="0"/>
              <w:right w:val="single" w:color="080000" w:sz="8" w:space="0"/>
            </w:tcBorders>
            <w:vAlign w:val="center"/>
          </w:tcPr>
          <w:p w14:paraId="143946E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A01EF2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20433D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97AF69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B49B8C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E2BC7C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5、厨房餐具、用具实行消毒。（共2分，任何一项不符合扣1分）</w:t>
            </w:r>
          </w:p>
        </w:tc>
        <w:tc>
          <w:tcPr>
            <w:tcW w:w="0" w:type="auto"/>
            <w:tcBorders>
              <w:top w:val="nil"/>
              <w:left w:val="nil"/>
              <w:bottom w:val="single" w:color="080000" w:sz="8" w:space="0"/>
              <w:right w:val="single" w:color="080000" w:sz="8" w:space="0"/>
            </w:tcBorders>
            <w:vAlign w:val="center"/>
          </w:tcPr>
          <w:p w14:paraId="7198A16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59802DD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459A5C5">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04E9FC0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F68BFD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8FBCF9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6、员工统一着装，衣帽整洁，戴口罩和手套。（共4分，任何一项不符合扣1分）</w:t>
            </w:r>
          </w:p>
        </w:tc>
        <w:tc>
          <w:tcPr>
            <w:tcW w:w="0" w:type="auto"/>
            <w:tcBorders>
              <w:top w:val="nil"/>
              <w:left w:val="nil"/>
              <w:bottom w:val="single" w:color="080000" w:sz="8" w:space="0"/>
              <w:right w:val="single" w:color="080000" w:sz="8" w:space="0"/>
            </w:tcBorders>
            <w:vAlign w:val="center"/>
          </w:tcPr>
          <w:p w14:paraId="27D23D7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0134E57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4FDEE1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85B6D0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0BE6E1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2957B2B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7、消防设施完好齐全，随时可用，灭火器不过期，消防通道畅通，消防检查登记表。（共8分，任何一项不符合扣1分）</w:t>
            </w:r>
          </w:p>
        </w:tc>
        <w:tc>
          <w:tcPr>
            <w:tcW w:w="0" w:type="auto"/>
            <w:tcBorders>
              <w:top w:val="nil"/>
              <w:left w:val="nil"/>
              <w:bottom w:val="single" w:color="080000" w:sz="8" w:space="0"/>
              <w:right w:val="single" w:color="080000" w:sz="8" w:space="0"/>
            </w:tcBorders>
            <w:vAlign w:val="center"/>
          </w:tcPr>
          <w:p w14:paraId="4895C32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59D9003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26F92C1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14BA713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C864FB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CA1C04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8、规范使用和维护供电线路，严禁乱接电线，严禁使用煤气罐。（共4分，任何一项不符合扣1分）</w:t>
            </w:r>
          </w:p>
        </w:tc>
        <w:tc>
          <w:tcPr>
            <w:tcW w:w="0" w:type="auto"/>
            <w:tcBorders>
              <w:top w:val="nil"/>
              <w:left w:val="nil"/>
              <w:bottom w:val="single" w:color="080000" w:sz="8" w:space="0"/>
              <w:right w:val="single" w:color="080000" w:sz="8" w:space="0"/>
            </w:tcBorders>
            <w:vAlign w:val="center"/>
          </w:tcPr>
          <w:p w14:paraId="4732491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4D7D02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867A4F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71E540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05C5552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2FA2AC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9、冷藏柜不能有隔夜青菜、豆类等非肉类食物，预包装食品除外。（共3分，任何一项不符合扣1分）</w:t>
            </w:r>
          </w:p>
        </w:tc>
        <w:tc>
          <w:tcPr>
            <w:tcW w:w="0" w:type="auto"/>
            <w:tcBorders>
              <w:top w:val="nil"/>
              <w:left w:val="nil"/>
              <w:bottom w:val="single" w:color="080000" w:sz="8" w:space="0"/>
              <w:right w:val="single" w:color="080000" w:sz="8" w:space="0"/>
            </w:tcBorders>
            <w:vAlign w:val="center"/>
          </w:tcPr>
          <w:p w14:paraId="23731FF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9198DE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0327BA7F">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76F405F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六</w:t>
            </w:r>
          </w:p>
        </w:tc>
        <w:tc>
          <w:tcPr>
            <w:tcW w:w="0" w:type="auto"/>
            <w:vMerge w:val="restart"/>
            <w:tcBorders>
              <w:top w:val="nil"/>
              <w:left w:val="single" w:color="080000" w:sz="8" w:space="0"/>
              <w:bottom w:val="single" w:color="080000" w:sz="8" w:space="0"/>
              <w:right w:val="single" w:color="080000" w:sz="8" w:space="0"/>
            </w:tcBorders>
            <w:vAlign w:val="center"/>
          </w:tcPr>
          <w:p w14:paraId="2932F20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生产流程（12分）</w:t>
            </w:r>
          </w:p>
        </w:tc>
        <w:tc>
          <w:tcPr>
            <w:tcW w:w="0" w:type="auto"/>
            <w:tcBorders>
              <w:top w:val="nil"/>
              <w:left w:val="nil"/>
              <w:bottom w:val="single" w:color="080000" w:sz="8" w:space="0"/>
              <w:right w:val="single" w:color="080000" w:sz="8" w:space="0"/>
            </w:tcBorders>
            <w:vAlign w:val="center"/>
          </w:tcPr>
          <w:p w14:paraId="4DFD283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1、严格按照加工、配菜、烹调的制作程序生产制作食物。（共2分，任何一项不符合扣1分）</w:t>
            </w:r>
          </w:p>
        </w:tc>
        <w:tc>
          <w:tcPr>
            <w:tcW w:w="0" w:type="auto"/>
            <w:tcBorders>
              <w:top w:val="nil"/>
              <w:left w:val="nil"/>
              <w:bottom w:val="single" w:color="080000" w:sz="8" w:space="0"/>
              <w:right w:val="single" w:color="080000" w:sz="8" w:space="0"/>
            </w:tcBorders>
            <w:vAlign w:val="center"/>
          </w:tcPr>
          <w:p w14:paraId="2F9F3B7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ECD319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901F11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7674821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6F81C0E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BBF4AC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2、加工过程使用的所有设备严格按照操作规程使用。（共2分，任何一项不符合扣1分）</w:t>
            </w:r>
          </w:p>
        </w:tc>
        <w:tc>
          <w:tcPr>
            <w:tcW w:w="0" w:type="auto"/>
            <w:tcBorders>
              <w:top w:val="nil"/>
              <w:left w:val="nil"/>
              <w:bottom w:val="single" w:color="080000" w:sz="8" w:space="0"/>
              <w:right w:val="single" w:color="080000" w:sz="8" w:space="0"/>
            </w:tcBorders>
            <w:vAlign w:val="center"/>
          </w:tcPr>
          <w:p w14:paraId="28442D3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F00F54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4B11FFF">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2BCCD4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3ABC271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6DF920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3、生产制作过程要卫生规范，烹调加热要熟透。（共1分，任何一项不符合扣1分）</w:t>
            </w:r>
          </w:p>
        </w:tc>
        <w:tc>
          <w:tcPr>
            <w:tcW w:w="0" w:type="auto"/>
            <w:tcBorders>
              <w:top w:val="nil"/>
              <w:left w:val="nil"/>
              <w:bottom w:val="single" w:color="080000" w:sz="8" w:space="0"/>
              <w:right w:val="single" w:color="080000" w:sz="8" w:space="0"/>
            </w:tcBorders>
            <w:vAlign w:val="center"/>
          </w:tcPr>
          <w:p w14:paraId="5EFE150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588AD37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2021F8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73B5D4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B92EAC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1DD2DA9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4、落实食品留样制度（每个品种150克，分别用专用有盖容器盛装、附上日期和品种及设笔记本登记，存放于专用冰箱保存48小时）。（共7分，任何一项不符合扣1分）</w:t>
            </w:r>
          </w:p>
        </w:tc>
        <w:tc>
          <w:tcPr>
            <w:tcW w:w="0" w:type="auto"/>
            <w:tcBorders>
              <w:top w:val="nil"/>
              <w:left w:val="nil"/>
              <w:bottom w:val="single" w:color="080000" w:sz="8" w:space="0"/>
              <w:right w:val="single" w:color="080000" w:sz="8" w:space="0"/>
            </w:tcBorders>
            <w:vAlign w:val="center"/>
          </w:tcPr>
          <w:p w14:paraId="7947FF2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5A4C2A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4CAB71E4">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71BD522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七</w:t>
            </w:r>
          </w:p>
        </w:tc>
        <w:tc>
          <w:tcPr>
            <w:tcW w:w="0" w:type="auto"/>
            <w:vMerge w:val="restart"/>
            <w:tcBorders>
              <w:top w:val="nil"/>
              <w:left w:val="single" w:color="080000" w:sz="8" w:space="0"/>
              <w:bottom w:val="single" w:color="080000" w:sz="8" w:space="0"/>
              <w:right w:val="single" w:color="080000" w:sz="8" w:space="0"/>
            </w:tcBorders>
            <w:vAlign w:val="center"/>
          </w:tcPr>
          <w:p w14:paraId="23939BD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饭菜质量（10分）</w:t>
            </w:r>
          </w:p>
        </w:tc>
        <w:tc>
          <w:tcPr>
            <w:tcW w:w="0" w:type="auto"/>
            <w:tcBorders>
              <w:top w:val="nil"/>
              <w:left w:val="nil"/>
              <w:bottom w:val="single" w:color="080000" w:sz="8" w:space="0"/>
              <w:right w:val="single" w:color="080000" w:sz="8" w:space="0"/>
            </w:tcBorders>
            <w:vAlign w:val="center"/>
          </w:tcPr>
          <w:p w14:paraId="730AA21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1、主、副食烹饪制作规范，色、香、味、型俱佳。（共5分，任何一项不符合扣1分）</w:t>
            </w:r>
          </w:p>
        </w:tc>
        <w:tc>
          <w:tcPr>
            <w:tcW w:w="0" w:type="auto"/>
            <w:tcBorders>
              <w:top w:val="nil"/>
              <w:left w:val="nil"/>
              <w:bottom w:val="single" w:color="080000" w:sz="8" w:space="0"/>
              <w:right w:val="single" w:color="080000" w:sz="8" w:space="0"/>
            </w:tcBorders>
            <w:vAlign w:val="center"/>
          </w:tcPr>
          <w:p w14:paraId="308AE20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542545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96FABEC">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DC2084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4A769E2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180C33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2、品种多，一周内品种不同。（共5分，任何一项不符合扣1分）</w:t>
            </w:r>
          </w:p>
        </w:tc>
        <w:tc>
          <w:tcPr>
            <w:tcW w:w="0" w:type="auto"/>
            <w:tcBorders>
              <w:top w:val="nil"/>
              <w:left w:val="nil"/>
              <w:bottom w:val="single" w:color="080000" w:sz="8" w:space="0"/>
              <w:right w:val="single" w:color="080000" w:sz="8" w:space="0"/>
            </w:tcBorders>
            <w:vAlign w:val="center"/>
          </w:tcPr>
          <w:p w14:paraId="25FFAAA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C8A376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AB1A3E9">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03F819D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八</w:t>
            </w:r>
          </w:p>
        </w:tc>
        <w:tc>
          <w:tcPr>
            <w:tcW w:w="0" w:type="auto"/>
            <w:vMerge w:val="restart"/>
            <w:tcBorders>
              <w:top w:val="nil"/>
              <w:left w:val="single" w:color="080000" w:sz="8" w:space="0"/>
              <w:bottom w:val="single" w:color="080000" w:sz="8" w:space="0"/>
              <w:right w:val="single" w:color="080000" w:sz="8" w:space="0"/>
            </w:tcBorders>
            <w:vAlign w:val="center"/>
          </w:tcPr>
          <w:p w14:paraId="0C985FF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服务质量（9分）</w:t>
            </w:r>
          </w:p>
        </w:tc>
        <w:tc>
          <w:tcPr>
            <w:tcW w:w="0" w:type="auto"/>
            <w:tcBorders>
              <w:top w:val="nil"/>
              <w:left w:val="nil"/>
              <w:bottom w:val="single" w:color="080000" w:sz="8" w:space="0"/>
              <w:right w:val="single" w:color="080000" w:sz="8" w:space="0"/>
            </w:tcBorders>
            <w:vAlign w:val="center"/>
          </w:tcPr>
          <w:p w14:paraId="55DBC20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1、员工服务热情、文明用语、和蔼待人。（共6分，任何一项不符合扣1分）</w:t>
            </w:r>
          </w:p>
        </w:tc>
        <w:tc>
          <w:tcPr>
            <w:tcW w:w="0" w:type="auto"/>
            <w:tcBorders>
              <w:top w:val="nil"/>
              <w:left w:val="nil"/>
              <w:bottom w:val="single" w:color="080000" w:sz="8" w:space="0"/>
              <w:right w:val="single" w:color="080000" w:sz="8" w:space="0"/>
            </w:tcBorders>
            <w:vAlign w:val="center"/>
          </w:tcPr>
          <w:p w14:paraId="7A7E3F0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ECB49F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7C0E199">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494EB4E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472A7C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6B8EFA0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2、程序规范，快捷、高效。（共3分，任何一项不符合扣1分）</w:t>
            </w:r>
          </w:p>
        </w:tc>
        <w:tc>
          <w:tcPr>
            <w:tcW w:w="0" w:type="auto"/>
            <w:tcBorders>
              <w:top w:val="nil"/>
              <w:left w:val="nil"/>
              <w:bottom w:val="single" w:color="080000" w:sz="8" w:space="0"/>
              <w:right w:val="single" w:color="080000" w:sz="8" w:space="0"/>
            </w:tcBorders>
            <w:vAlign w:val="center"/>
          </w:tcPr>
          <w:p w14:paraId="4DE5395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00B7C4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3365FE4F">
        <w:tblPrEx>
          <w:tblCellMar>
            <w:top w:w="0" w:type="dxa"/>
            <w:left w:w="108" w:type="dxa"/>
            <w:bottom w:w="0" w:type="dxa"/>
            <w:right w:w="108" w:type="dxa"/>
          </w:tblCellMar>
        </w:tblPrEx>
        <w:trPr>
          <w:trHeight w:val="391" w:hRule="atLeast"/>
        </w:trPr>
        <w:tc>
          <w:tcPr>
            <w:tcW w:w="0" w:type="auto"/>
            <w:gridSpan w:val="2"/>
            <w:tcBorders>
              <w:top w:val="single" w:color="080000" w:sz="8" w:space="0"/>
              <w:left w:val="single" w:color="080000" w:sz="8" w:space="0"/>
              <w:bottom w:val="single" w:color="080000" w:sz="8" w:space="0"/>
              <w:right w:val="single" w:color="080000" w:sz="8" w:space="0"/>
            </w:tcBorders>
            <w:vAlign w:val="center"/>
          </w:tcPr>
          <w:p w14:paraId="411B52D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总得分</w:t>
            </w:r>
          </w:p>
        </w:tc>
        <w:tc>
          <w:tcPr>
            <w:tcW w:w="0" w:type="auto"/>
            <w:gridSpan w:val="3"/>
            <w:tcBorders>
              <w:top w:val="single" w:color="080000" w:sz="8" w:space="0"/>
              <w:left w:val="nil"/>
              <w:bottom w:val="single" w:color="080000" w:sz="8" w:space="0"/>
              <w:right w:val="single" w:color="080000" w:sz="8" w:space="0"/>
            </w:tcBorders>
            <w:vAlign w:val="center"/>
          </w:tcPr>
          <w:p w14:paraId="49976E9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3F110968">
        <w:tblPrEx>
          <w:tblCellMar>
            <w:top w:w="0" w:type="dxa"/>
            <w:left w:w="108" w:type="dxa"/>
            <w:bottom w:w="0" w:type="dxa"/>
            <w:right w:w="108" w:type="dxa"/>
          </w:tblCellMar>
        </w:tblPrEx>
        <w:tc>
          <w:tcPr>
            <w:tcW w:w="0" w:type="auto"/>
            <w:gridSpan w:val="2"/>
            <w:tcBorders>
              <w:top w:val="single" w:color="080000" w:sz="8" w:space="0"/>
              <w:left w:val="single" w:color="080000" w:sz="8" w:space="0"/>
              <w:bottom w:val="single" w:color="080000" w:sz="8" w:space="0"/>
              <w:right w:val="single" w:color="080000" w:sz="8" w:space="0"/>
            </w:tcBorders>
            <w:vAlign w:val="center"/>
          </w:tcPr>
          <w:p w14:paraId="78E59F7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食堂负责人确认签名</w:t>
            </w:r>
          </w:p>
        </w:tc>
        <w:tc>
          <w:tcPr>
            <w:tcW w:w="0" w:type="auto"/>
            <w:gridSpan w:val="3"/>
            <w:tcBorders>
              <w:top w:val="single" w:color="080000" w:sz="8" w:space="0"/>
              <w:left w:val="nil"/>
              <w:bottom w:val="single" w:color="080000" w:sz="8" w:space="0"/>
              <w:right w:val="single" w:color="080000" w:sz="8" w:space="0"/>
            </w:tcBorders>
            <w:vAlign w:val="center"/>
          </w:tcPr>
          <w:p w14:paraId="61806E4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auto"/>
                <w:kern w:val="0"/>
                <w:sz w:val="21"/>
                <w:szCs w:val="21"/>
                <w:highlight w:val="none"/>
              </w:rPr>
            </w:pPr>
          </w:p>
        </w:tc>
      </w:tr>
    </w:tbl>
    <w:p w14:paraId="72B4C3C6">
      <w:pPr>
        <w:pageBreakBefore w:val="0"/>
        <w:kinsoku/>
        <w:wordWrap/>
        <w:overflowPunct/>
        <w:topLinePunct w:val="0"/>
        <w:autoSpaceDE/>
        <w:autoSpaceDN/>
        <w:bidi w:val="0"/>
        <w:spacing w:after="0"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注：采购人每月按照《食堂监督管理考评表》对食堂管理进行考评。</w:t>
      </w:r>
    </w:p>
    <w:p w14:paraId="23870CF2">
      <w:pPr>
        <w:ind w:firstLine="422" w:firstLineChars="200"/>
        <w:rPr>
          <w:rFonts w:hint="eastAsia" w:ascii="宋体" w:hAnsi="宋体" w:cs="Times New Roman"/>
          <w:b/>
          <w:bCs/>
          <w:color w:val="auto"/>
          <w:szCs w:val="21"/>
          <w:highlight w:val="none"/>
        </w:rPr>
      </w:pPr>
    </w:p>
    <w:p w14:paraId="37A24004">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14:paraId="55548A59">
      <w:pPr>
        <w:rPr>
          <w:color w:val="auto"/>
          <w:highlight w:val="none"/>
        </w:rPr>
      </w:pPr>
    </w:p>
    <w:p w14:paraId="13DF0577">
      <w:pPr>
        <w:pStyle w:val="37"/>
        <w:rPr>
          <w:color w:val="auto"/>
          <w:highlight w:val="none"/>
        </w:rPr>
      </w:pPr>
    </w:p>
    <w:p w14:paraId="643E0757">
      <w:pPr>
        <w:pStyle w:val="37"/>
        <w:rPr>
          <w:color w:val="auto"/>
          <w:highlight w:val="none"/>
        </w:rPr>
      </w:pPr>
    </w:p>
    <w:p w14:paraId="663AC417">
      <w:pPr>
        <w:rPr>
          <w:rFonts w:hint="eastAsia"/>
          <w:color w:val="auto"/>
          <w:sz w:val="28"/>
          <w:szCs w:val="28"/>
          <w:highlight w:val="none"/>
        </w:rPr>
      </w:pPr>
      <w:bookmarkStart w:id="188" w:name="_Toc2361"/>
      <w:r>
        <w:rPr>
          <w:rFonts w:hint="eastAsia"/>
          <w:color w:val="auto"/>
          <w:sz w:val="28"/>
          <w:szCs w:val="28"/>
          <w:highlight w:val="none"/>
        </w:rPr>
        <w:br w:type="page"/>
      </w:r>
    </w:p>
    <w:p w14:paraId="09F710A0">
      <w:pPr>
        <w:pStyle w:val="4"/>
        <w:spacing w:before="0" w:after="0" w:line="240" w:lineRule="auto"/>
        <w:outlineLvl w:val="0"/>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1534"/>
      <w:bookmarkStart w:id="190" w:name="_Toc21155"/>
      <w:bookmarkStart w:id="191" w:name="_Toc13430"/>
    </w:p>
    <w:p w14:paraId="3E93CF13">
      <w:pPr>
        <w:pStyle w:val="5"/>
        <w:spacing w:line="240" w:lineRule="auto"/>
        <w:jc w:val="center"/>
        <w:rPr>
          <w:rFonts w:ascii="宋体" w:hAnsi="宋体" w:cs="宋体"/>
          <w:color w:val="auto"/>
          <w:highlight w:val="none"/>
        </w:rPr>
      </w:pPr>
      <w:bookmarkStart w:id="192" w:name="_Toc16730"/>
      <w:bookmarkStart w:id="193" w:name="_Toc29847"/>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672EACB2">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 　　　　　  </w:t>
      </w:r>
    </w:p>
    <w:p w14:paraId="68E15FD2">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电话： 　　　　  传真 ： 　　　  地址： 　　　   </w:t>
      </w:r>
    </w:p>
    <w:p w14:paraId="49A11D37">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乙方： 　　　　　  </w:t>
      </w:r>
    </w:p>
    <w:p w14:paraId="0984F379">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电话： 　　　　   传真：　　　   地址： 　　　   </w:t>
      </w:r>
    </w:p>
    <w:p w14:paraId="192BCA51">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5794B24">
      <w:pPr>
        <w:pageBreakBefore w:val="0"/>
        <w:widowControl w:val="0"/>
        <w:shd w:val="clear"/>
        <w:kinsoku/>
        <w:wordWrap/>
        <w:overflowPunct/>
        <w:topLinePunct w:val="0"/>
        <w:autoSpaceDE/>
        <w:autoSpaceDN/>
        <w:bidi w:val="0"/>
        <w:adjustRightInd/>
        <w:snapToGrid/>
        <w:spacing w:line="360" w:lineRule="auto"/>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根据          项目 的采购结果，按照《中华人民共和国政府采购法》，《中华人民共和国民法典(合同编)》的规定，经双方协商，本着平等互利和诚实信用的原则，一致同意遵守本合同如下。</w:t>
      </w:r>
    </w:p>
    <w:p w14:paraId="1BB35F23">
      <w:pPr>
        <w:pageBreakBefore w:val="0"/>
        <w:widowControl w:val="0"/>
        <w:shd w:val="clear"/>
        <w:kinsoku/>
        <w:wordWrap/>
        <w:overflowPunct/>
        <w:topLinePunct w:val="0"/>
        <w:autoSpaceDE/>
        <w:autoSpaceDN/>
        <w:bidi w:val="0"/>
        <w:adjustRightInd/>
        <w:snapToGrid/>
        <w:spacing w:line="360" w:lineRule="auto"/>
        <w:textAlignment w:val="auto"/>
        <w:outlineLvl w:val="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一、合同金额</w:t>
      </w:r>
    </w:p>
    <w:p w14:paraId="0FDA3647">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由于人数不确定，</w:t>
      </w:r>
      <w:r>
        <w:rPr>
          <w:rFonts w:hint="eastAsia" w:ascii="宋体" w:hAnsi="宋体" w:cs="宋体"/>
          <w:color w:val="auto"/>
          <w:sz w:val="21"/>
          <w:szCs w:val="21"/>
          <w:highlight w:val="none"/>
          <w:lang w:val="en-US" w:eastAsia="zh-CN"/>
        </w:rPr>
        <w:t>价格</w:t>
      </w:r>
      <w:r>
        <w:rPr>
          <w:rFonts w:hint="eastAsia" w:ascii="宋体" w:hAnsi="宋体" w:eastAsia="宋体" w:cs="宋体"/>
          <w:color w:val="auto"/>
          <w:sz w:val="21"/>
          <w:szCs w:val="21"/>
          <w:highlight w:val="none"/>
        </w:rPr>
        <w:t>统一按本项目</w:t>
      </w:r>
      <w:r>
        <w:rPr>
          <w:rFonts w:hint="eastAsia" w:ascii="宋体" w:hAnsi="宋体" w:eastAsia="宋体" w:cs="宋体"/>
          <w:color w:val="auto"/>
          <w:sz w:val="21"/>
          <w:szCs w:val="21"/>
          <w:highlight w:val="none"/>
          <w:lang w:val="en-US" w:eastAsia="zh-CN"/>
        </w:rPr>
        <w:t>技术需求书中《餐费标准及定价规则》的</w:t>
      </w:r>
      <w:r>
        <w:rPr>
          <w:rFonts w:hint="eastAsia" w:ascii="宋体" w:hAnsi="宋体" w:eastAsia="宋体" w:cs="宋体"/>
          <w:color w:val="auto"/>
          <w:sz w:val="21"/>
          <w:szCs w:val="21"/>
          <w:highlight w:val="none"/>
        </w:rPr>
        <w:t>价格</w:t>
      </w:r>
      <w:r>
        <w:rPr>
          <w:rFonts w:hint="eastAsia" w:ascii="宋体" w:hAnsi="宋体" w:eastAsia="宋体" w:cs="宋体"/>
          <w:color w:val="auto"/>
          <w:sz w:val="21"/>
          <w:szCs w:val="21"/>
          <w:highlight w:val="none"/>
          <w:lang w:val="en-US" w:eastAsia="zh-CN"/>
        </w:rPr>
        <w:t>作为依据</w:t>
      </w:r>
      <w:r>
        <w:rPr>
          <w:rFonts w:hint="eastAsia" w:ascii="宋体" w:hAnsi="宋体" w:eastAsia="宋体" w:cs="宋体"/>
          <w:color w:val="auto"/>
          <w:sz w:val="21"/>
          <w:szCs w:val="21"/>
          <w:highlight w:val="none"/>
        </w:rPr>
        <w:t>。</w:t>
      </w:r>
    </w:p>
    <w:p w14:paraId="0ADD0C3A">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应以人民币为结算单位，</w:t>
      </w:r>
      <w:r>
        <w:rPr>
          <w:rFonts w:hint="eastAsia" w:ascii="宋体" w:hAnsi="宋体" w:cs="宋体"/>
          <w:color w:val="auto"/>
          <w:sz w:val="21"/>
          <w:szCs w:val="21"/>
          <w:highlight w:val="none"/>
          <w:lang w:val="en-US" w:eastAsia="zh-CN"/>
        </w:rPr>
        <w:t>价格</w:t>
      </w:r>
      <w:r>
        <w:rPr>
          <w:rFonts w:hint="eastAsia" w:ascii="宋体" w:hAnsi="宋体" w:eastAsia="宋体" w:cs="宋体"/>
          <w:color w:val="auto"/>
          <w:sz w:val="21"/>
          <w:szCs w:val="21"/>
          <w:highlight w:val="none"/>
        </w:rPr>
        <w:t>应包括：</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派驻人员工资、福利、服装、社保、清洁消毒剂、日常膳食材料费、劳保用品、防护用品、卫生用品及完成该项目所需工具、一切税费及合同实施过程中的不可预见费用等全部费用</w:t>
      </w:r>
      <w:r>
        <w:rPr>
          <w:rFonts w:hint="eastAsia" w:ascii="宋体" w:hAnsi="宋体" w:eastAsia="宋体" w:cs="宋体"/>
          <w:color w:val="auto"/>
          <w:sz w:val="21"/>
          <w:szCs w:val="21"/>
          <w:highlight w:val="none"/>
          <w:lang w:eastAsia="zh-CN"/>
        </w:rPr>
        <w:t>。</w:t>
      </w:r>
    </w:p>
    <w:p w14:paraId="3A70A800">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二、服务范围</w:t>
      </w:r>
    </w:p>
    <w:p w14:paraId="0F24DA2B">
      <w:pPr>
        <w:pStyle w:val="6"/>
        <w:pageBreakBefore w:val="0"/>
        <w:kinsoku/>
        <w:wordWrap/>
        <w:overflowPunct/>
        <w:topLinePunct w:val="0"/>
        <w:autoSpaceDE/>
        <w:autoSpaceDN/>
        <w:bidi w:val="0"/>
        <w:spacing w:line="360" w:lineRule="auto"/>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rPr>
        <w:t>项目概况</w:t>
      </w:r>
    </w:p>
    <w:p w14:paraId="06E6C729">
      <w:pPr>
        <w:keepNext w:val="0"/>
        <w:keepLines w:val="0"/>
        <w:pageBreakBefore w:val="0"/>
        <w:widowControl/>
        <w:kinsoku/>
        <w:wordWrap/>
        <w:overflowPunct/>
        <w:topLinePunct w:val="0"/>
        <w:autoSpaceDE/>
        <w:autoSpaceDN/>
        <w:bidi w:val="0"/>
        <w:adjustRightInd w:val="0"/>
        <w:snapToGrid w:val="0"/>
        <w:spacing w:line="360" w:lineRule="auto"/>
        <w:ind w:firstLine="426" w:firstLineChars="202"/>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1</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rPr>
        <w:t>学校规模</w:t>
      </w:r>
    </w:p>
    <w:p w14:paraId="740672A8">
      <w:pPr>
        <w:pageBreakBefore w:val="0"/>
        <w:kinsoku/>
        <w:wordWrap/>
        <w:overflowPunct/>
        <w:topLinePunct w:val="0"/>
        <w:autoSpaceDE/>
        <w:autoSpaceDN/>
        <w:bidi w:val="0"/>
        <w:spacing w:line="360" w:lineRule="auto"/>
        <w:ind w:firstLine="424" w:firstLineChars="202"/>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东莞滨海湾未来学校（简称“未来学校”）是滨海湾新区第一所九年一贯制公办学校，投资12亿，占地约110亩，建筑总面积超15万平方米，小学和初中共建设96个教学班，</w:t>
      </w:r>
      <w:r>
        <w:rPr>
          <w:rFonts w:hint="eastAsia" w:ascii="宋体" w:hAnsi="宋体" w:eastAsia="宋体" w:cs="宋体"/>
          <w:color w:val="auto"/>
          <w:sz w:val="21"/>
          <w:szCs w:val="21"/>
          <w:highlight w:val="none"/>
          <w:lang w:val="en-US" w:eastAsia="zh-CN"/>
        </w:rPr>
        <w:t>提供4560学位</w:t>
      </w:r>
      <w:r>
        <w:rPr>
          <w:rFonts w:hint="eastAsia" w:ascii="宋体" w:hAnsi="宋体" w:eastAsia="宋体" w:cs="宋体"/>
          <w:color w:val="auto"/>
          <w:sz w:val="21"/>
          <w:szCs w:val="21"/>
          <w:highlight w:val="none"/>
        </w:rPr>
        <w:t>。</w:t>
      </w:r>
      <w:r>
        <w:rPr>
          <w:rFonts w:hint="eastAsia" w:ascii="宋体" w:hAnsi="宋体" w:cs="宋体"/>
          <w:color w:val="auto"/>
          <w:kern w:val="0"/>
          <w:sz w:val="21"/>
          <w:szCs w:val="21"/>
          <w:highlight w:val="none"/>
          <w:lang w:val="en-US" w:eastAsia="zh-CN" w:bidi="ar-SA"/>
        </w:rPr>
        <w:t>首年服务人数共约800人，其中学生约600人、教职工约100人、后勤人员约100人，服务人数将随招生规模逐年递增。</w:t>
      </w:r>
      <w:r>
        <w:rPr>
          <w:rFonts w:hint="eastAsia" w:ascii="宋体" w:hAnsi="宋体" w:eastAsia="宋体" w:cs="宋体"/>
          <w:color w:val="auto"/>
          <w:sz w:val="21"/>
          <w:szCs w:val="21"/>
          <w:highlight w:val="none"/>
        </w:rPr>
        <w:t>未来学校食堂分为A区和B区，其中A区位于1号楼和3号楼，B区位于6号楼。A区食堂共三层。地下室，设置了仓储及初加工区，面积约670平方米；一层位于3号楼，规划为中学学生餐厅和后厨烹饪区，配备10个取餐口，开设粉面档口，可容纳480人就餐；二层位于3号楼，规划为中学学生餐厅和教职工餐厅（含包间），配备10个取餐口，开设粉面档口，可容纳596人就餐，其中学生餐厅可容纳436人就餐，教职工餐厅可容纳160人就餐。B区食堂共两层，位于6号楼，没有配备加工烹调区，只设就餐区。其中一层为小学餐厅，配备7个取餐口，可容纳536人就餐；二层为小学餐厅，配备7个取餐口，可容纳376人就餐。</w:t>
      </w:r>
    </w:p>
    <w:p w14:paraId="1F03D2C2">
      <w:pPr>
        <w:pStyle w:val="2"/>
        <w:numPr>
          <w:ilvl w:val="0"/>
          <w:numId w:val="0"/>
        </w:numPr>
        <w:ind w:firstLine="422" w:firstLineChars="200"/>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用餐区域安排</w:t>
      </w:r>
    </w:p>
    <w:p w14:paraId="6935DEB5">
      <w:pPr>
        <w:pStyle w:val="2"/>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学校第一年仅开放</w:t>
      </w:r>
      <w:r>
        <w:rPr>
          <w:rFonts w:hint="eastAsia" w:ascii="宋体" w:hAnsi="宋体" w:eastAsia="宋体" w:cs="宋体"/>
          <w:color w:val="auto"/>
          <w:sz w:val="21"/>
          <w:szCs w:val="21"/>
          <w:highlight w:val="none"/>
        </w:rPr>
        <w:t>3号楼</w:t>
      </w:r>
      <w:r>
        <w:rPr>
          <w:rFonts w:hint="eastAsia" w:ascii="宋体" w:hAnsi="宋体" w:cs="宋体"/>
          <w:color w:val="auto"/>
          <w:sz w:val="21"/>
          <w:szCs w:val="21"/>
          <w:highlight w:val="none"/>
          <w:lang w:val="en-US" w:eastAsia="zh-CN"/>
        </w:rPr>
        <w:t>二层</w:t>
      </w:r>
      <w:r>
        <w:rPr>
          <w:rFonts w:hint="eastAsia" w:ascii="宋体" w:hAnsi="宋体" w:eastAsia="宋体" w:cs="宋体"/>
          <w:color w:val="auto"/>
          <w:sz w:val="21"/>
          <w:szCs w:val="21"/>
          <w:highlight w:val="none"/>
          <w:lang w:val="en-US" w:eastAsia="zh-CN"/>
        </w:rPr>
        <w:t>就餐区域，第二年结合实际情况，由学校明确是否开放</w:t>
      </w:r>
      <w:r>
        <w:rPr>
          <w:rFonts w:hint="eastAsia" w:ascii="宋体" w:hAnsi="宋体" w:cs="宋体"/>
          <w:color w:val="auto"/>
          <w:sz w:val="21"/>
          <w:szCs w:val="21"/>
          <w:highlight w:val="none"/>
          <w:lang w:val="en-US" w:eastAsia="zh-CN"/>
        </w:rPr>
        <w:t>B区食堂</w:t>
      </w:r>
      <w:r>
        <w:rPr>
          <w:rFonts w:hint="eastAsia" w:ascii="宋体" w:hAnsi="宋体" w:eastAsia="宋体" w:cs="宋体"/>
          <w:color w:val="auto"/>
          <w:sz w:val="21"/>
          <w:szCs w:val="21"/>
          <w:highlight w:val="none"/>
          <w:lang w:val="en-US" w:eastAsia="zh-CN"/>
        </w:rPr>
        <w:t>就餐区域。</w:t>
      </w:r>
    </w:p>
    <w:p w14:paraId="12CFF8F8">
      <w:pPr>
        <w:pageBreakBefore w:val="0"/>
        <w:numPr>
          <w:ilvl w:val="0"/>
          <w:numId w:val="0"/>
        </w:numPr>
        <w:kinsoku/>
        <w:wordWrap/>
        <w:overflowPunct/>
        <w:topLinePunct w:val="0"/>
        <w:autoSpaceDE/>
        <w:autoSpaceDN/>
        <w:bidi w:val="0"/>
        <w:spacing w:line="360" w:lineRule="auto"/>
        <w:ind w:firstLine="422"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用餐方式</w:t>
      </w:r>
      <w:r>
        <w:rPr>
          <w:rFonts w:hint="eastAsia" w:ascii="宋体" w:hAnsi="宋体" w:eastAsia="宋体" w:cs="宋体"/>
          <w:color w:val="auto"/>
          <w:sz w:val="21"/>
          <w:szCs w:val="21"/>
          <w:highlight w:val="none"/>
          <w:lang w:val="en-US" w:eastAsia="zh-CN"/>
        </w:rPr>
        <w:t xml:space="preserve">  </w:t>
      </w:r>
    </w:p>
    <w:p w14:paraId="1F074760">
      <w:pPr>
        <w:pStyle w:val="9"/>
        <w:pageBreakBefore w:val="0"/>
        <w:kinsoku/>
        <w:wordWrap/>
        <w:overflowPunct/>
        <w:topLinePunct w:val="0"/>
        <w:autoSpaceDE/>
        <w:autoSpaceDN/>
        <w:bidi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color w:val="auto"/>
          <w:highlight w:val="none"/>
          <w:lang w:val="en-US" w:eastAsia="zh-CN"/>
        </w:rPr>
        <w:t>小学套餐，中学一菜一价（最终</w:t>
      </w:r>
      <w:r>
        <w:rPr>
          <w:rFonts w:hint="eastAsia" w:ascii="宋体" w:hAnsi="宋体" w:eastAsia="宋体" w:cs="宋体"/>
          <w:color w:val="auto"/>
          <w:sz w:val="21"/>
          <w:szCs w:val="21"/>
          <w:highlight w:val="none"/>
          <w:lang w:val="en-US" w:eastAsia="zh-CN"/>
        </w:rPr>
        <w:t>以校方安排为准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p w14:paraId="4C50E45E">
      <w:pPr>
        <w:pageBreakBefore w:val="0"/>
        <w:numPr>
          <w:ilvl w:val="0"/>
          <w:numId w:val="0"/>
        </w:numPr>
        <w:kinsoku/>
        <w:wordWrap/>
        <w:overflowPunct/>
        <w:topLinePunct w:val="0"/>
        <w:autoSpaceDE/>
        <w:autoSpaceDN/>
        <w:bidi w:val="0"/>
        <w:spacing w:line="360" w:lineRule="auto"/>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val="en-US" w:eastAsia="zh-CN"/>
        </w:rPr>
        <w:t xml:space="preserve">餐费标准及定价规则  </w:t>
      </w:r>
      <w:r>
        <w:rPr>
          <w:rFonts w:hint="eastAsia" w:ascii="宋体" w:hAnsi="宋体" w:eastAsia="宋体" w:cs="宋体"/>
          <w:color w:val="auto"/>
          <w:sz w:val="21"/>
          <w:szCs w:val="21"/>
          <w:highlight w:val="none"/>
          <w:lang w:val="en-US" w:eastAsia="zh-CN"/>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094"/>
        <w:gridCol w:w="1981"/>
        <w:gridCol w:w="3510"/>
      </w:tblGrid>
      <w:tr w14:paraId="5C0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noWrap w:val="0"/>
            <w:vAlign w:val="top"/>
          </w:tcPr>
          <w:p w14:paraId="4BDD7D34">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人群</w:t>
            </w:r>
          </w:p>
        </w:tc>
        <w:tc>
          <w:tcPr>
            <w:tcW w:w="2094" w:type="dxa"/>
            <w:noWrap w:val="0"/>
            <w:vAlign w:val="top"/>
          </w:tcPr>
          <w:p w14:paraId="1D1C48F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餐别</w:t>
            </w:r>
          </w:p>
        </w:tc>
        <w:tc>
          <w:tcPr>
            <w:tcW w:w="1981" w:type="dxa"/>
            <w:noWrap w:val="0"/>
            <w:vAlign w:val="top"/>
          </w:tcPr>
          <w:p w14:paraId="0DF0881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就餐模式</w:t>
            </w:r>
          </w:p>
        </w:tc>
        <w:tc>
          <w:tcPr>
            <w:tcW w:w="3510" w:type="dxa"/>
            <w:noWrap w:val="0"/>
            <w:vAlign w:val="top"/>
          </w:tcPr>
          <w:p w14:paraId="34EFA95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b/>
                <w:bCs/>
                <w:color w:val="auto"/>
                <w:kern w:val="2"/>
                <w:sz w:val="21"/>
                <w:szCs w:val="21"/>
                <w:highlight w:val="none"/>
                <w:vertAlign w:val="baseline"/>
                <w:lang w:val="en-US" w:eastAsia="zh-CN" w:bidi="ar-SA"/>
              </w:rPr>
            </w:pPr>
            <w:r>
              <w:rPr>
                <w:rFonts w:hint="eastAsia" w:ascii="宋体" w:hAnsi="宋体" w:eastAsia="宋体" w:cs="宋体"/>
                <w:b/>
                <w:bCs/>
                <w:color w:val="auto"/>
                <w:kern w:val="2"/>
                <w:sz w:val="21"/>
                <w:szCs w:val="21"/>
                <w:highlight w:val="none"/>
                <w:vertAlign w:val="baseline"/>
                <w:lang w:val="en-US" w:eastAsia="zh-CN" w:bidi="ar-SA"/>
              </w:rPr>
              <w:t>餐费标准</w:t>
            </w:r>
          </w:p>
        </w:tc>
      </w:tr>
      <w:tr w14:paraId="230B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noWrap w:val="0"/>
            <w:vAlign w:val="top"/>
          </w:tcPr>
          <w:p w14:paraId="5FAF033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E6F536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小学</w:t>
            </w:r>
          </w:p>
        </w:tc>
        <w:tc>
          <w:tcPr>
            <w:tcW w:w="2094" w:type="dxa"/>
            <w:noWrap w:val="0"/>
            <w:vAlign w:val="top"/>
          </w:tcPr>
          <w:p w14:paraId="55ABBCD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早餐</w:t>
            </w:r>
          </w:p>
        </w:tc>
        <w:tc>
          <w:tcPr>
            <w:tcW w:w="1981" w:type="dxa"/>
            <w:noWrap w:val="0"/>
            <w:vAlign w:val="top"/>
          </w:tcPr>
          <w:p w14:paraId="1F4F2F1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套餐</w:t>
            </w:r>
          </w:p>
          <w:p w14:paraId="58C431B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（2选1，包点+蛋+粥/豆浆）</w:t>
            </w:r>
          </w:p>
        </w:tc>
        <w:tc>
          <w:tcPr>
            <w:tcW w:w="3510" w:type="dxa"/>
            <w:noWrap w:val="0"/>
            <w:vAlign w:val="top"/>
          </w:tcPr>
          <w:p w14:paraId="3B55B98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6元</w:t>
            </w:r>
          </w:p>
        </w:tc>
      </w:tr>
      <w:tr w14:paraId="29B7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2FBB8265">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noWrap w:val="0"/>
            <w:vAlign w:val="top"/>
          </w:tcPr>
          <w:p w14:paraId="2E40C5F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006C2D55">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午餐</w:t>
            </w:r>
          </w:p>
        </w:tc>
        <w:tc>
          <w:tcPr>
            <w:tcW w:w="1981" w:type="dxa"/>
            <w:noWrap w:val="0"/>
            <w:vAlign w:val="top"/>
          </w:tcPr>
          <w:p w14:paraId="679ECCC4">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套餐</w:t>
            </w:r>
          </w:p>
          <w:p w14:paraId="3CADFDE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（3选1，1主+2副+青菜+例汤）</w:t>
            </w:r>
          </w:p>
        </w:tc>
        <w:tc>
          <w:tcPr>
            <w:tcW w:w="3510" w:type="dxa"/>
            <w:noWrap w:val="0"/>
            <w:vAlign w:val="top"/>
          </w:tcPr>
          <w:p w14:paraId="0097B6B4">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5F95B7F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12元</w:t>
            </w:r>
          </w:p>
        </w:tc>
      </w:tr>
      <w:tr w14:paraId="5236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noWrap w:val="0"/>
            <w:vAlign w:val="top"/>
          </w:tcPr>
          <w:p w14:paraId="1BCDEFA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ED9645F">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548F2368">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CFB910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402E95F">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17B97DE">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初中</w:t>
            </w:r>
          </w:p>
        </w:tc>
        <w:tc>
          <w:tcPr>
            <w:tcW w:w="2094" w:type="dxa"/>
            <w:noWrap w:val="0"/>
            <w:vAlign w:val="top"/>
          </w:tcPr>
          <w:p w14:paraId="34888DE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7180DD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早餐</w:t>
            </w:r>
          </w:p>
        </w:tc>
        <w:tc>
          <w:tcPr>
            <w:tcW w:w="1981" w:type="dxa"/>
            <w:noWrap w:val="0"/>
            <w:vAlign w:val="top"/>
          </w:tcPr>
          <w:p w14:paraId="48D24C8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33B70C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自选</w:t>
            </w:r>
          </w:p>
          <w:p w14:paraId="3361BDD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（一菜一价，不低于8个）</w:t>
            </w:r>
          </w:p>
        </w:tc>
        <w:tc>
          <w:tcPr>
            <w:tcW w:w="3510" w:type="dxa"/>
            <w:noWrap w:val="0"/>
            <w:vAlign w:val="top"/>
          </w:tcPr>
          <w:p w14:paraId="1C0648F6">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①粗粮、包点、蛋奶类：1-5元（含中西式面包、蛋糕）</w:t>
            </w:r>
          </w:p>
          <w:p w14:paraId="0BD99EE0">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②粉面类：3-7元</w:t>
            </w:r>
          </w:p>
          <w:p w14:paraId="2BCF9467">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③粥类：0.5-3元</w:t>
            </w:r>
          </w:p>
        </w:tc>
      </w:tr>
      <w:tr w14:paraId="02A5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1B47ABF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restart"/>
            <w:noWrap w:val="0"/>
            <w:vAlign w:val="top"/>
          </w:tcPr>
          <w:p w14:paraId="5366F48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F941EB1">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1D781CC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4F066E8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7AD71E4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午/晚餐</w:t>
            </w:r>
          </w:p>
        </w:tc>
        <w:tc>
          <w:tcPr>
            <w:tcW w:w="1981" w:type="dxa"/>
            <w:noWrap w:val="0"/>
            <w:vAlign w:val="top"/>
          </w:tcPr>
          <w:p w14:paraId="509751C5">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3AFC8B52">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自选</w:t>
            </w:r>
          </w:p>
          <w:p w14:paraId="23A78D6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（一菜一价，不低于8个）</w:t>
            </w:r>
          </w:p>
        </w:tc>
        <w:tc>
          <w:tcPr>
            <w:tcW w:w="3510" w:type="dxa"/>
            <w:noWrap w:val="0"/>
            <w:vAlign w:val="top"/>
          </w:tcPr>
          <w:p w14:paraId="3C585148">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①净肉主荤8-10元</w:t>
            </w:r>
          </w:p>
          <w:p w14:paraId="4D6E26EC">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②大荤6-8元</w:t>
            </w:r>
          </w:p>
          <w:p w14:paraId="0DC02F41">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③半荤菜4-5元</w:t>
            </w:r>
          </w:p>
          <w:p w14:paraId="4B53782D">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④素菜1-3元</w:t>
            </w:r>
          </w:p>
          <w:p w14:paraId="30374934">
            <w:pPr>
              <w:pStyle w:val="78"/>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⑤米饭0.5元</w:t>
            </w:r>
          </w:p>
        </w:tc>
      </w:tr>
      <w:tr w14:paraId="41F1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0CD902DC">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continue"/>
            <w:noWrap w:val="0"/>
            <w:vAlign w:val="top"/>
          </w:tcPr>
          <w:p w14:paraId="3C73827D">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1981" w:type="dxa"/>
            <w:noWrap w:val="0"/>
            <w:vAlign w:val="top"/>
          </w:tcPr>
          <w:p w14:paraId="409BEF16">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特色窗口</w:t>
            </w:r>
          </w:p>
          <w:p w14:paraId="56F6F78A">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（含西式、全国地方特色菜等）</w:t>
            </w:r>
          </w:p>
        </w:tc>
        <w:tc>
          <w:tcPr>
            <w:tcW w:w="3510" w:type="dxa"/>
            <w:noWrap w:val="0"/>
            <w:vAlign w:val="top"/>
          </w:tcPr>
          <w:p w14:paraId="35135457">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p w14:paraId="0BD0C14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8-18元/套</w:t>
            </w:r>
          </w:p>
        </w:tc>
      </w:tr>
      <w:tr w14:paraId="1F71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noWrap w:val="0"/>
            <w:vAlign w:val="top"/>
          </w:tcPr>
          <w:p w14:paraId="6BF1E5A3">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2094" w:type="dxa"/>
            <w:vMerge w:val="continue"/>
            <w:noWrap w:val="0"/>
            <w:vAlign w:val="top"/>
          </w:tcPr>
          <w:p w14:paraId="5B877D5B">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p>
        </w:tc>
        <w:tc>
          <w:tcPr>
            <w:tcW w:w="1981" w:type="dxa"/>
            <w:noWrap w:val="0"/>
            <w:vAlign w:val="top"/>
          </w:tcPr>
          <w:p w14:paraId="6623DA20">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粉面档</w:t>
            </w:r>
          </w:p>
        </w:tc>
        <w:tc>
          <w:tcPr>
            <w:tcW w:w="3510" w:type="dxa"/>
            <w:noWrap w:val="0"/>
            <w:vAlign w:val="top"/>
          </w:tcPr>
          <w:p w14:paraId="6B66DFA6">
            <w:pPr>
              <w:pStyle w:val="78"/>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kern w:val="2"/>
                <w:sz w:val="21"/>
                <w:szCs w:val="21"/>
                <w:highlight w:val="none"/>
                <w:vertAlign w:val="baseline"/>
                <w:lang w:val="en-US" w:eastAsia="zh-CN" w:bidi="ar-SA"/>
              </w:rPr>
              <w:t>10-16元/套</w:t>
            </w:r>
          </w:p>
        </w:tc>
      </w:tr>
    </w:tbl>
    <w:p w14:paraId="042F160A">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w:t>
      </w:r>
    </w:p>
    <w:p w14:paraId="5F9EB9EF">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餐费标准：上述餐费标准为参考东莞市内同类型学校所设定的标准，待膳食管理委员会成立后，再按照规定流程进行最终定价。</w:t>
      </w:r>
    </w:p>
    <w:p w14:paraId="4128DEE6">
      <w:pPr>
        <w:numPr>
          <w:ilvl w:val="0"/>
          <w:numId w:val="0"/>
        </w:numPr>
        <w:ind w:firstLine="420" w:firstLineChars="200"/>
        <w:rPr>
          <w:rFonts w:hint="eastAsia" w:eastAsia="宋体"/>
          <w:color w:val="auto"/>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定价规则：</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对食堂各项收费需明码标价，坚持财务公示制度，每月对食堂采购物品品种、数量、价格等进行公示，服务期间如需调价，需请示校方，由校方组织膳食管理委员会审核确定，向政府相关主管部门备案后公示调整。</w:t>
      </w:r>
    </w:p>
    <w:p w14:paraId="34B6845F">
      <w:pPr>
        <w:pageBreakBefore w:val="0"/>
        <w:kinsoku/>
        <w:wordWrap/>
        <w:overflowPunct/>
        <w:topLinePunct w:val="0"/>
        <w:autoSpaceDE/>
        <w:autoSpaceDN/>
        <w:bidi w:val="0"/>
        <w:spacing w:line="360" w:lineRule="auto"/>
        <w:ind w:firstLine="424" w:firstLineChars="202"/>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各项收费明码标价，</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对服务调价有监督权和参与权。</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有义务配合经营者共同管理食堂，对食堂的财务状况、经营状况、成本、利润、服务质量、饭菜价格进行监督检查。</w:t>
      </w:r>
    </w:p>
    <w:p w14:paraId="4FCBCE49">
      <w:pPr>
        <w:pStyle w:val="6"/>
        <w:rPr>
          <w:rFonts w:hint="eastAsia" w:ascii="宋体" w:hAnsi="宋体" w:eastAsia="宋体" w:cs="宋体"/>
          <w:color w:val="auto"/>
          <w:sz w:val="21"/>
          <w:szCs w:val="21"/>
          <w:highlight w:val="none"/>
          <w:lang w:val="en-US" w:eastAsia="zh-CN"/>
        </w:rPr>
      </w:pPr>
      <w:r>
        <w:rPr>
          <w:rFonts w:hint="eastAsia" w:eastAsia="宋体"/>
          <w:color w:val="auto"/>
          <w:highlight w:val="none"/>
          <w:lang w:val="en-US" w:eastAsia="zh-CN"/>
        </w:rPr>
        <w:t>（二）项目运营方式</w:t>
      </w:r>
    </w:p>
    <w:p w14:paraId="0A419F59">
      <w:pPr>
        <w:pageBreakBefore w:val="0"/>
        <w:numPr>
          <w:ilvl w:val="0"/>
          <w:numId w:val="0"/>
        </w:numPr>
        <w:kinsoku/>
        <w:wordWrap/>
        <w:overflowPunct/>
        <w:topLinePunct w:val="0"/>
        <w:autoSpaceDE/>
        <w:autoSpaceDN/>
        <w:bidi w:val="0"/>
        <w:spacing w:line="360" w:lineRule="auto"/>
        <w:ind w:firstLine="422"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bCs/>
          <w:color w:val="auto"/>
          <w:sz w:val="21"/>
          <w:szCs w:val="21"/>
          <w:highlight w:val="none"/>
          <w:lang w:val="en-US" w:eastAsia="zh-CN"/>
        </w:rPr>
        <w:t>（1）乙方</w:t>
      </w:r>
      <w:r>
        <w:rPr>
          <w:rFonts w:hint="eastAsia" w:ascii="宋体" w:hAnsi="宋体" w:eastAsia="宋体" w:cs="宋体"/>
          <w:b/>
          <w:bCs/>
          <w:color w:val="auto"/>
          <w:sz w:val="21"/>
          <w:szCs w:val="21"/>
          <w:highlight w:val="none"/>
          <w:lang w:val="en-US" w:eastAsia="zh-CN"/>
        </w:rPr>
        <w:t>独立经营、自负盈亏</w:t>
      </w:r>
    </w:p>
    <w:p w14:paraId="722C36F9">
      <w:pPr>
        <w:pageBreakBefore w:val="0"/>
        <w:numPr>
          <w:ilvl w:val="-1"/>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1.甲方</w:t>
      </w:r>
      <w:r>
        <w:rPr>
          <w:rFonts w:hint="default" w:ascii="宋体" w:hAnsi="宋体" w:eastAsia="宋体" w:cs="宋体"/>
          <w:color w:val="auto"/>
          <w:sz w:val="21"/>
          <w:szCs w:val="21"/>
          <w:highlight w:val="none"/>
          <w:lang w:val="en-US" w:eastAsia="zh-CN"/>
        </w:rPr>
        <w:t>不需要向</w:t>
      </w:r>
      <w:r>
        <w:rPr>
          <w:rFonts w:hint="eastAsia" w:ascii="宋体" w:hAnsi="宋体" w:cs="宋体"/>
          <w:color w:val="auto"/>
          <w:sz w:val="21"/>
          <w:szCs w:val="21"/>
          <w:highlight w:val="none"/>
          <w:lang w:val="en-US" w:eastAsia="zh-CN"/>
        </w:rPr>
        <w:t>乙方</w:t>
      </w:r>
      <w:r>
        <w:rPr>
          <w:rFonts w:hint="default" w:ascii="宋体" w:hAnsi="宋体" w:eastAsia="宋体" w:cs="宋体"/>
          <w:color w:val="auto"/>
          <w:sz w:val="21"/>
          <w:szCs w:val="21"/>
          <w:highlight w:val="none"/>
          <w:lang w:val="en-US" w:eastAsia="zh-CN"/>
        </w:rPr>
        <w:t>支付任何承包、管理费用，</w:t>
      </w:r>
      <w:r>
        <w:rPr>
          <w:rFonts w:hint="eastAsia" w:ascii="宋体" w:hAnsi="宋体" w:cs="宋体"/>
          <w:color w:val="auto"/>
          <w:sz w:val="21"/>
          <w:szCs w:val="21"/>
          <w:highlight w:val="none"/>
          <w:lang w:val="en-US" w:eastAsia="zh-CN"/>
        </w:rPr>
        <w:t>乙方</w:t>
      </w:r>
      <w:r>
        <w:rPr>
          <w:rFonts w:hint="default" w:ascii="宋体" w:hAnsi="宋体" w:eastAsia="宋体" w:cs="宋体"/>
          <w:color w:val="auto"/>
          <w:sz w:val="21"/>
          <w:szCs w:val="21"/>
          <w:highlight w:val="none"/>
          <w:lang w:val="en-US" w:eastAsia="zh-CN"/>
        </w:rPr>
        <w:t>也不需要向</w:t>
      </w:r>
      <w:r>
        <w:rPr>
          <w:rFonts w:hint="eastAsia" w:ascii="宋体" w:hAnsi="宋体" w:eastAsia="宋体" w:cs="宋体"/>
          <w:color w:val="auto"/>
          <w:sz w:val="21"/>
          <w:szCs w:val="21"/>
          <w:highlight w:val="none"/>
          <w:lang w:val="en-US" w:eastAsia="zh-CN"/>
        </w:rPr>
        <w:t>委托人</w:t>
      </w:r>
      <w:r>
        <w:rPr>
          <w:rFonts w:hint="default" w:ascii="宋体" w:hAnsi="宋体" w:eastAsia="宋体" w:cs="宋体"/>
          <w:color w:val="auto"/>
          <w:sz w:val="21"/>
          <w:szCs w:val="21"/>
          <w:highlight w:val="none"/>
          <w:lang w:val="en-US" w:eastAsia="zh-CN"/>
        </w:rPr>
        <w:t>交纳任何</w:t>
      </w:r>
      <w:r>
        <w:rPr>
          <w:rFonts w:hint="eastAsia" w:ascii="宋体" w:hAnsi="宋体" w:eastAsia="宋体" w:cs="宋体"/>
          <w:color w:val="auto"/>
          <w:sz w:val="21"/>
          <w:szCs w:val="21"/>
          <w:highlight w:val="none"/>
          <w:lang w:val="en-US" w:eastAsia="zh-CN"/>
        </w:rPr>
        <w:t>场地租赁费、</w:t>
      </w:r>
      <w:r>
        <w:rPr>
          <w:rFonts w:hint="default" w:ascii="宋体" w:hAnsi="宋体" w:eastAsia="宋体" w:cs="宋体"/>
          <w:color w:val="auto"/>
          <w:sz w:val="21"/>
          <w:szCs w:val="21"/>
          <w:highlight w:val="none"/>
          <w:lang w:val="en-US" w:eastAsia="zh-CN"/>
        </w:rPr>
        <w:t>管理费</w:t>
      </w:r>
      <w:r>
        <w:rPr>
          <w:rFonts w:hint="eastAsia" w:ascii="宋体" w:hAnsi="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食堂工作人员由</w:t>
      </w:r>
      <w:r>
        <w:rPr>
          <w:rFonts w:hint="eastAsia" w:ascii="宋体" w:hAnsi="宋体" w:cs="宋体"/>
          <w:color w:val="auto"/>
          <w:sz w:val="21"/>
          <w:szCs w:val="21"/>
          <w:highlight w:val="none"/>
          <w:lang w:val="en-US" w:eastAsia="zh-CN"/>
        </w:rPr>
        <w:t>乙方</w:t>
      </w:r>
      <w:r>
        <w:rPr>
          <w:rFonts w:hint="default" w:ascii="宋体" w:hAnsi="宋体" w:eastAsia="宋体" w:cs="宋体"/>
          <w:color w:val="auto"/>
          <w:sz w:val="21"/>
          <w:szCs w:val="21"/>
          <w:highlight w:val="none"/>
          <w:lang w:val="en-US" w:eastAsia="zh-CN"/>
        </w:rPr>
        <w:t>自行安排，</w:t>
      </w:r>
      <w:r>
        <w:rPr>
          <w:rFonts w:hint="eastAsia" w:ascii="宋体" w:hAnsi="宋体" w:cs="宋体"/>
          <w:color w:val="auto"/>
          <w:sz w:val="21"/>
          <w:szCs w:val="21"/>
          <w:highlight w:val="none"/>
          <w:lang w:val="en-US" w:eastAsia="zh-CN"/>
        </w:rPr>
        <w:t>重点岗位，如食堂项目经理、主厨等工作人员需经甲方核定后入职；</w:t>
      </w:r>
      <w:r>
        <w:rPr>
          <w:rFonts w:hint="default" w:ascii="宋体" w:hAnsi="宋体" w:eastAsia="宋体" w:cs="宋体"/>
          <w:color w:val="auto"/>
          <w:sz w:val="21"/>
          <w:szCs w:val="21"/>
          <w:highlight w:val="none"/>
          <w:lang w:val="en-US" w:eastAsia="zh-CN"/>
        </w:rPr>
        <w:t>食堂产生的人员工资、保险</w:t>
      </w:r>
      <w:r>
        <w:rPr>
          <w:rFonts w:hint="eastAsia" w:ascii="宋体" w:hAnsi="宋体" w:eastAsia="宋体"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水电费</w:t>
      </w:r>
      <w:r>
        <w:rPr>
          <w:rFonts w:hint="eastAsia" w:ascii="宋体" w:hAnsi="宋体" w:eastAsia="宋体" w:cs="宋体"/>
          <w:color w:val="auto"/>
          <w:sz w:val="21"/>
          <w:szCs w:val="21"/>
          <w:highlight w:val="none"/>
          <w:lang w:val="en-US" w:eastAsia="zh-CN"/>
        </w:rPr>
        <w:t>等运营成本，及食堂使用设备的维修费、易耗品成本均</w:t>
      </w:r>
      <w:r>
        <w:rPr>
          <w:rFonts w:hint="default" w:ascii="宋体" w:hAnsi="宋体" w:eastAsia="宋体" w:cs="宋体"/>
          <w:color w:val="auto"/>
          <w:sz w:val="21"/>
          <w:szCs w:val="21"/>
          <w:highlight w:val="none"/>
          <w:lang w:val="en-US" w:eastAsia="zh-CN"/>
        </w:rPr>
        <w:t>由承包方</w:t>
      </w:r>
      <w:r>
        <w:rPr>
          <w:rFonts w:hint="eastAsia" w:ascii="宋体" w:hAnsi="宋体" w:eastAsia="宋体" w:cs="宋体"/>
          <w:color w:val="auto"/>
          <w:sz w:val="21"/>
          <w:szCs w:val="21"/>
          <w:highlight w:val="none"/>
          <w:lang w:val="en-US" w:eastAsia="zh-CN"/>
        </w:rPr>
        <w:t>自行承担</w:t>
      </w:r>
      <w:r>
        <w:rPr>
          <w:rFonts w:hint="eastAsia" w:ascii="宋体" w:hAnsi="宋体" w:cs="宋体"/>
          <w:color w:val="auto"/>
          <w:sz w:val="21"/>
          <w:szCs w:val="21"/>
          <w:highlight w:val="none"/>
          <w:lang w:val="en-US" w:eastAsia="zh-CN"/>
        </w:rPr>
        <w:t>。</w:t>
      </w:r>
    </w:p>
    <w:p w14:paraId="125EC49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2.乙方</w:t>
      </w:r>
      <w:r>
        <w:rPr>
          <w:rFonts w:hint="default" w:ascii="宋体" w:hAnsi="宋体" w:eastAsia="宋体" w:cs="宋体"/>
          <w:color w:val="auto"/>
          <w:sz w:val="21"/>
          <w:szCs w:val="21"/>
          <w:highlight w:val="none"/>
          <w:lang w:val="en-US" w:eastAsia="zh-CN"/>
        </w:rPr>
        <w:t>包工包料，</w:t>
      </w:r>
      <w:r>
        <w:rPr>
          <w:rFonts w:hint="eastAsia" w:ascii="宋体" w:hAnsi="宋体" w:eastAsia="宋体" w:cs="宋体"/>
          <w:color w:val="auto"/>
          <w:sz w:val="21"/>
          <w:szCs w:val="21"/>
          <w:highlight w:val="none"/>
          <w:lang w:val="en-US" w:eastAsia="zh-CN"/>
        </w:rPr>
        <w:t>食材及物资采购采用竞争机制，</w:t>
      </w:r>
      <w:r>
        <w:rPr>
          <w:rFonts w:hint="eastAsia" w:ascii="宋体" w:hAnsi="宋体" w:cs="宋体"/>
          <w:color w:val="auto"/>
          <w:sz w:val="21"/>
          <w:szCs w:val="21"/>
          <w:highlight w:val="none"/>
          <w:lang w:val="en-US" w:eastAsia="zh-CN"/>
        </w:rPr>
        <w:t>配送食材/物资</w:t>
      </w:r>
      <w:r>
        <w:rPr>
          <w:rFonts w:hint="eastAsia" w:ascii="宋体" w:hAnsi="宋体" w:eastAsia="宋体" w:cs="宋体"/>
          <w:color w:val="auto"/>
          <w:sz w:val="21"/>
          <w:szCs w:val="21"/>
          <w:highlight w:val="none"/>
          <w:lang w:val="en-US" w:eastAsia="zh-CN"/>
        </w:rPr>
        <w:t>需引入不少于3家具备相关资质的</w:t>
      </w:r>
      <w:r>
        <w:rPr>
          <w:rFonts w:hint="eastAsia" w:ascii="宋体" w:hAnsi="宋体" w:cs="宋体"/>
          <w:color w:val="auto"/>
          <w:sz w:val="21"/>
          <w:szCs w:val="21"/>
          <w:highlight w:val="none"/>
          <w:lang w:val="en-US" w:eastAsia="zh-CN"/>
        </w:rPr>
        <w:t>全品类</w:t>
      </w:r>
      <w:r>
        <w:rPr>
          <w:rFonts w:hint="eastAsia" w:ascii="宋体" w:hAnsi="宋体" w:eastAsia="宋体" w:cs="宋体"/>
          <w:color w:val="auto"/>
          <w:sz w:val="21"/>
          <w:szCs w:val="21"/>
          <w:highlight w:val="none"/>
          <w:lang w:val="en-US" w:eastAsia="zh-CN"/>
        </w:rPr>
        <w:t>集中配货供应商</w:t>
      </w:r>
      <w:r>
        <w:rPr>
          <w:rFonts w:hint="eastAsia" w:ascii="宋体" w:hAnsi="宋体" w:cs="宋体"/>
          <w:color w:val="auto"/>
          <w:sz w:val="21"/>
          <w:szCs w:val="21"/>
          <w:highlight w:val="none"/>
          <w:lang w:val="en-US" w:eastAsia="zh-CN"/>
        </w:rPr>
        <w:t>，校方及甲方具有监督权，对于配送不符合要求食材及物资的</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，校方及甲方有权要求直接更换</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w:t>
      </w:r>
    </w:p>
    <w:p w14:paraId="75A76381">
      <w:pPr>
        <w:pStyle w:val="2"/>
        <w:numPr>
          <w:ilvl w:val="-1"/>
          <w:numId w:val="0"/>
        </w:numPr>
        <w:ind w:firstLine="422" w:firstLineChars="200"/>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（2）项目相关主体关系及主要责任</w:t>
      </w:r>
    </w:p>
    <w:p w14:paraId="63C7E8CD">
      <w:pPr>
        <w:ind w:firstLine="420" w:firstLineChars="200"/>
        <w:rPr>
          <w:rFonts w:hint="eastAsia" w:ascii="宋体" w:hAnsi="宋体" w:eastAsia="宋体" w:cs="宋体"/>
          <w:i w:val="0"/>
          <w:iCs w:val="0"/>
          <w:caps w:val="0"/>
          <w:color w:val="auto"/>
          <w:spacing w:val="0"/>
          <w:sz w:val="21"/>
          <w:szCs w:val="21"/>
          <w:highlight w:val="none"/>
          <w:shd w:val="clear"/>
        </w:rPr>
      </w:pPr>
      <w:r>
        <w:rPr>
          <w:rFonts w:hint="eastAsia" w:ascii="宋体" w:hAnsi="宋体" w:cs="宋体"/>
          <w:i w:val="0"/>
          <w:iCs w:val="0"/>
          <w:caps w:val="0"/>
          <w:color w:val="auto"/>
          <w:spacing w:val="0"/>
          <w:sz w:val="21"/>
          <w:szCs w:val="21"/>
          <w:highlight w:val="none"/>
          <w:shd w:val="clear"/>
          <w:lang w:val="en-US" w:eastAsia="zh-CN"/>
        </w:rPr>
        <w:t>1.</w:t>
      </w:r>
      <w:r>
        <w:rPr>
          <w:rFonts w:hint="eastAsia" w:ascii="宋体" w:hAnsi="宋体" w:cs="宋体"/>
          <w:i w:val="0"/>
          <w:iCs w:val="0"/>
          <w:caps w:val="0"/>
          <w:color w:val="auto"/>
          <w:spacing w:val="0"/>
          <w:sz w:val="21"/>
          <w:szCs w:val="21"/>
          <w:highlight w:val="none"/>
          <w:shd w:val="clear"/>
          <w:lang w:eastAsia="zh-CN"/>
        </w:rPr>
        <w:t>甲方</w:t>
      </w:r>
      <w:r>
        <w:rPr>
          <w:rFonts w:hint="eastAsia" w:ascii="宋体" w:hAnsi="宋体" w:eastAsia="宋体" w:cs="宋体"/>
          <w:i w:val="0"/>
          <w:iCs w:val="0"/>
          <w:caps w:val="0"/>
          <w:color w:val="auto"/>
          <w:spacing w:val="0"/>
          <w:sz w:val="21"/>
          <w:szCs w:val="21"/>
          <w:highlight w:val="none"/>
          <w:shd w:val="clear"/>
        </w:rPr>
        <w:t>：项目采购方，直接或间接管理</w:t>
      </w:r>
      <w:r>
        <w:rPr>
          <w:rFonts w:hint="eastAsia" w:ascii="宋体" w:hAnsi="宋体" w:cs="宋体"/>
          <w:i w:val="0"/>
          <w:iCs w:val="0"/>
          <w:caps w:val="0"/>
          <w:color w:val="auto"/>
          <w:spacing w:val="0"/>
          <w:sz w:val="21"/>
          <w:szCs w:val="21"/>
          <w:highlight w:val="none"/>
          <w:shd w:val="clear"/>
          <w:lang w:eastAsia="zh-CN"/>
        </w:rPr>
        <w:t>乙方</w:t>
      </w:r>
      <w:r>
        <w:rPr>
          <w:rFonts w:hint="eastAsia" w:ascii="宋体" w:hAnsi="宋体" w:eastAsia="宋体" w:cs="宋体"/>
          <w:i w:val="0"/>
          <w:iCs w:val="0"/>
          <w:caps w:val="0"/>
          <w:color w:val="auto"/>
          <w:spacing w:val="0"/>
          <w:sz w:val="21"/>
          <w:szCs w:val="21"/>
          <w:highlight w:val="none"/>
          <w:shd w:val="clear"/>
        </w:rPr>
        <w:t>，对项目整体具有监管责任。主要负责项目运营的整体监管工作。</w:t>
      </w:r>
      <w:r>
        <w:rPr>
          <w:rFonts w:hint="eastAsia" w:ascii="宋体" w:hAnsi="宋体" w:eastAsia="宋体" w:cs="宋体"/>
          <w:i w:val="0"/>
          <w:iCs w:val="0"/>
          <w:caps w:val="0"/>
          <w:color w:val="auto"/>
          <w:spacing w:val="0"/>
          <w:sz w:val="21"/>
          <w:szCs w:val="21"/>
          <w:highlight w:val="none"/>
        </w:rPr>
        <w:br w:type="textWrapping"/>
      </w:r>
      <w:r>
        <w:rPr>
          <w:rFonts w:hint="eastAsia" w:ascii="宋体" w:hAnsi="宋体" w:cs="宋体"/>
          <w:i w:val="0"/>
          <w:iCs w:val="0"/>
          <w:caps w:val="0"/>
          <w:color w:val="auto"/>
          <w:spacing w:val="0"/>
          <w:sz w:val="21"/>
          <w:szCs w:val="21"/>
          <w:highlight w:val="none"/>
          <w:lang w:val="en-US" w:eastAsia="zh-CN"/>
        </w:rPr>
        <w:t xml:space="preserve">    2.</w:t>
      </w:r>
      <w:r>
        <w:rPr>
          <w:rFonts w:hint="eastAsia" w:ascii="宋体" w:hAnsi="宋体" w:cs="宋体"/>
          <w:i w:val="0"/>
          <w:iCs w:val="0"/>
          <w:caps w:val="0"/>
          <w:color w:val="auto"/>
          <w:spacing w:val="0"/>
          <w:sz w:val="21"/>
          <w:szCs w:val="21"/>
          <w:highlight w:val="none"/>
          <w:shd w:val="clear"/>
          <w:lang w:eastAsia="zh-CN"/>
        </w:rPr>
        <w:t>乙方</w:t>
      </w:r>
      <w:r>
        <w:rPr>
          <w:rFonts w:hint="eastAsia" w:ascii="宋体" w:hAnsi="宋体" w:eastAsia="宋体" w:cs="宋体"/>
          <w:i w:val="0"/>
          <w:iCs w:val="0"/>
          <w:caps w:val="0"/>
          <w:color w:val="auto"/>
          <w:spacing w:val="0"/>
          <w:sz w:val="21"/>
          <w:szCs w:val="21"/>
          <w:highlight w:val="none"/>
          <w:shd w:val="clear"/>
        </w:rPr>
        <w:t>：项目实施方，满足校方提出的各项需求，受</w:t>
      </w:r>
      <w:r>
        <w:rPr>
          <w:rFonts w:hint="eastAsia" w:ascii="宋体" w:hAnsi="宋体" w:cs="宋体"/>
          <w:i w:val="0"/>
          <w:iCs w:val="0"/>
          <w:caps w:val="0"/>
          <w:color w:val="auto"/>
          <w:spacing w:val="0"/>
          <w:sz w:val="21"/>
          <w:szCs w:val="21"/>
          <w:highlight w:val="none"/>
          <w:shd w:val="clear"/>
          <w:lang w:eastAsia="zh-CN"/>
        </w:rPr>
        <w:t>甲方</w:t>
      </w:r>
      <w:r>
        <w:rPr>
          <w:rFonts w:hint="eastAsia" w:ascii="宋体" w:hAnsi="宋体" w:eastAsia="宋体" w:cs="宋体"/>
          <w:i w:val="0"/>
          <w:iCs w:val="0"/>
          <w:caps w:val="0"/>
          <w:color w:val="auto"/>
          <w:spacing w:val="0"/>
          <w:sz w:val="21"/>
          <w:szCs w:val="21"/>
          <w:highlight w:val="none"/>
          <w:shd w:val="clear"/>
        </w:rPr>
        <w:t>及校方管理</w:t>
      </w:r>
      <w:r>
        <w:rPr>
          <w:rFonts w:hint="eastAsia" w:ascii="宋体" w:hAnsi="宋体" w:cs="宋体"/>
          <w:i w:val="0"/>
          <w:iCs w:val="0"/>
          <w:caps w:val="0"/>
          <w:color w:val="auto"/>
          <w:spacing w:val="0"/>
          <w:sz w:val="21"/>
          <w:szCs w:val="21"/>
          <w:highlight w:val="none"/>
          <w:shd w:val="clear"/>
          <w:lang w:eastAsia="zh-CN"/>
        </w:rPr>
        <w:t>、</w:t>
      </w:r>
      <w:r>
        <w:rPr>
          <w:rFonts w:hint="eastAsia" w:ascii="宋体" w:hAnsi="宋体" w:eastAsia="宋体" w:cs="宋体"/>
          <w:i w:val="0"/>
          <w:iCs w:val="0"/>
          <w:caps w:val="0"/>
          <w:color w:val="auto"/>
          <w:spacing w:val="0"/>
          <w:sz w:val="21"/>
          <w:szCs w:val="21"/>
          <w:highlight w:val="none"/>
          <w:shd w:val="clear"/>
        </w:rPr>
        <w:t>监管。主要负责负责食堂前厅、后厨各项事务，根据委托方、校方要求按时完成开膳工作。</w:t>
      </w:r>
    </w:p>
    <w:p w14:paraId="1BFAD7CA">
      <w:pPr>
        <w:ind w:firstLine="420" w:firstLineChars="200"/>
        <w:rPr>
          <w:rFonts w:hint="default" w:ascii="宋体" w:hAnsi="宋体" w:cs="宋体"/>
          <w:color w:val="auto"/>
          <w:sz w:val="21"/>
          <w:szCs w:val="21"/>
          <w:highlight w:val="none"/>
          <w:lang w:val="en-US" w:eastAsia="zh-CN"/>
        </w:rPr>
      </w:pPr>
      <w:r>
        <w:rPr>
          <w:rFonts w:hint="eastAsia" w:ascii="宋体" w:hAnsi="宋体" w:cs="宋体"/>
          <w:i w:val="0"/>
          <w:iCs w:val="0"/>
          <w:caps w:val="0"/>
          <w:color w:val="auto"/>
          <w:spacing w:val="0"/>
          <w:sz w:val="21"/>
          <w:szCs w:val="21"/>
          <w:highlight w:val="none"/>
          <w:shd w:val="clear"/>
          <w:lang w:val="en-US" w:eastAsia="zh-CN"/>
        </w:rPr>
        <w:t>3.</w:t>
      </w:r>
      <w:r>
        <w:rPr>
          <w:rFonts w:hint="eastAsia" w:ascii="宋体" w:hAnsi="宋体" w:eastAsia="宋体" w:cs="宋体"/>
          <w:i w:val="0"/>
          <w:iCs w:val="0"/>
          <w:caps w:val="0"/>
          <w:color w:val="auto"/>
          <w:spacing w:val="0"/>
          <w:sz w:val="21"/>
          <w:szCs w:val="21"/>
          <w:highlight w:val="none"/>
          <w:shd w:val="clear"/>
        </w:rPr>
        <w:t>校方：项目使用方，直接管理</w:t>
      </w:r>
      <w:r>
        <w:rPr>
          <w:rFonts w:hint="eastAsia" w:ascii="宋体" w:hAnsi="宋体" w:cs="宋体"/>
          <w:i w:val="0"/>
          <w:iCs w:val="0"/>
          <w:caps w:val="0"/>
          <w:color w:val="auto"/>
          <w:spacing w:val="0"/>
          <w:sz w:val="21"/>
          <w:szCs w:val="21"/>
          <w:highlight w:val="none"/>
          <w:shd w:val="clear"/>
          <w:lang w:eastAsia="zh-CN"/>
        </w:rPr>
        <w:t>乙方</w:t>
      </w:r>
      <w:r>
        <w:rPr>
          <w:rFonts w:hint="eastAsia" w:ascii="宋体" w:hAnsi="宋体" w:eastAsia="宋体" w:cs="宋体"/>
          <w:i w:val="0"/>
          <w:iCs w:val="0"/>
          <w:caps w:val="0"/>
          <w:color w:val="auto"/>
          <w:spacing w:val="0"/>
          <w:sz w:val="21"/>
          <w:szCs w:val="21"/>
          <w:highlight w:val="none"/>
          <w:shd w:val="clear"/>
        </w:rPr>
        <w:t>。主要负责直接对标</w:t>
      </w:r>
      <w:r>
        <w:rPr>
          <w:rFonts w:hint="eastAsia" w:ascii="宋体" w:hAnsi="宋体" w:cs="宋体"/>
          <w:i w:val="0"/>
          <w:iCs w:val="0"/>
          <w:caps w:val="0"/>
          <w:color w:val="auto"/>
          <w:spacing w:val="0"/>
          <w:sz w:val="21"/>
          <w:szCs w:val="21"/>
          <w:highlight w:val="none"/>
          <w:shd w:val="clear"/>
          <w:lang w:eastAsia="zh-CN"/>
        </w:rPr>
        <w:t>乙方</w:t>
      </w:r>
      <w:r>
        <w:rPr>
          <w:rFonts w:hint="eastAsia" w:ascii="宋体" w:hAnsi="宋体" w:eastAsia="宋体" w:cs="宋体"/>
          <w:i w:val="0"/>
          <w:iCs w:val="0"/>
          <w:caps w:val="0"/>
          <w:color w:val="auto"/>
          <w:spacing w:val="0"/>
          <w:sz w:val="21"/>
          <w:szCs w:val="21"/>
          <w:highlight w:val="none"/>
          <w:shd w:val="clear"/>
        </w:rPr>
        <w:t>反馈日常服务需求及建议，是</w:t>
      </w:r>
      <w:r>
        <w:rPr>
          <w:rFonts w:hint="eastAsia" w:ascii="宋体" w:hAnsi="宋体" w:cs="宋体"/>
          <w:i w:val="0"/>
          <w:iCs w:val="0"/>
          <w:caps w:val="0"/>
          <w:color w:val="auto"/>
          <w:spacing w:val="0"/>
          <w:sz w:val="21"/>
          <w:szCs w:val="21"/>
          <w:highlight w:val="none"/>
          <w:shd w:val="clear"/>
          <w:lang w:eastAsia="zh-CN"/>
        </w:rPr>
        <w:t>乙方</w:t>
      </w:r>
      <w:r>
        <w:rPr>
          <w:rFonts w:hint="eastAsia" w:ascii="宋体" w:hAnsi="宋体" w:eastAsia="宋体" w:cs="宋体"/>
          <w:i w:val="0"/>
          <w:iCs w:val="0"/>
          <w:caps w:val="0"/>
          <w:color w:val="auto"/>
          <w:spacing w:val="0"/>
          <w:sz w:val="21"/>
          <w:szCs w:val="21"/>
          <w:highlight w:val="none"/>
          <w:shd w:val="clear"/>
        </w:rPr>
        <w:t>日常运营情况的第一监管人。</w:t>
      </w:r>
    </w:p>
    <w:p w14:paraId="2607C14C">
      <w:pPr>
        <w:pStyle w:val="6"/>
        <w:pageBreakBefore w:val="0"/>
        <w:numPr>
          <w:ilvl w:val="-1"/>
          <w:numId w:val="0"/>
        </w:numPr>
        <w:kinsoku/>
        <w:wordWrap/>
        <w:overflowPunct/>
        <w:topLinePunct w:val="0"/>
        <w:autoSpaceDE/>
        <w:autoSpaceDN/>
        <w:bidi w:val="0"/>
        <w:spacing w:line="240" w:lineRule="auto"/>
        <w:ind w:leftChars="0"/>
        <w:textAlignment w:val="auto"/>
        <w:rPr>
          <w:rFonts w:hint="eastAsia" w:ascii="宋体" w:hAnsi="宋体" w:cs="宋体"/>
          <w:b/>
          <w:bCs/>
          <w:color w:val="auto"/>
          <w:sz w:val="21"/>
          <w:szCs w:val="21"/>
          <w:highlight w:val="none"/>
          <w:lang w:val="en-US" w:eastAsia="zh-CN"/>
        </w:rPr>
      </w:pPr>
      <w:r>
        <w:rPr>
          <w:rFonts w:hint="eastAsia"/>
          <w:color w:val="auto"/>
          <w:highlight w:val="none"/>
          <w:lang w:val="en-US" w:eastAsia="zh-CN"/>
        </w:rPr>
        <w:t>（三）</w:t>
      </w:r>
      <w:r>
        <w:rPr>
          <w:rFonts w:hint="eastAsia" w:eastAsia="宋体"/>
          <w:color w:val="auto"/>
          <w:highlight w:val="none"/>
        </w:rPr>
        <w:t>食堂</w:t>
      </w:r>
      <w:r>
        <w:rPr>
          <w:rFonts w:hint="eastAsia"/>
          <w:color w:val="auto"/>
          <w:highlight w:val="none"/>
          <w:lang w:val="en-US" w:eastAsia="zh-CN"/>
        </w:rPr>
        <w:t>运营管理具体要求</w:t>
      </w:r>
    </w:p>
    <w:p w14:paraId="2C5CB3F0">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（1）总体要求</w:t>
      </w:r>
    </w:p>
    <w:p w14:paraId="6B839E91">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乙方须</w:t>
      </w:r>
      <w:r>
        <w:rPr>
          <w:rFonts w:hint="eastAsia" w:ascii="宋体" w:hAnsi="宋体" w:eastAsia="宋体" w:cs="宋体"/>
          <w:color w:val="auto"/>
          <w:sz w:val="21"/>
          <w:szCs w:val="21"/>
          <w:highlight w:val="none"/>
        </w:rPr>
        <w:t>具备“统一采购、统一检测、统一配送、现场即做即售”服务体系。</w:t>
      </w:r>
    </w:p>
    <w:p w14:paraId="2F3CB9E0">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每年</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en-US" w:eastAsia="zh-CN"/>
        </w:rPr>
        <w:t>至少购买</w:t>
      </w:r>
      <w:r>
        <w:rPr>
          <w:rFonts w:hint="eastAsia" w:ascii="宋体" w:hAnsi="宋体" w:eastAsia="宋体" w:cs="宋体"/>
          <w:color w:val="auto"/>
          <w:sz w:val="21"/>
          <w:szCs w:val="21"/>
          <w:highlight w:val="none"/>
        </w:rPr>
        <w:t>一份额度不低于人民币</w:t>
      </w:r>
      <w:r>
        <w:rPr>
          <w:rFonts w:hint="eastAsia" w:ascii="宋体" w:hAnsi="宋体" w:eastAsia="宋体" w:cs="宋体"/>
          <w:color w:val="auto"/>
          <w:sz w:val="21"/>
          <w:szCs w:val="21"/>
          <w:highlight w:val="none"/>
          <w:lang w:val="en-US" w:eastAsia="zh-CN"/>
        </w:rPr>
        <w:t xml:space="preserve"> 500</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公众责任险。</w:t>
      </w:r>
    </w:p>
    <w:p w14:paraId="70AAA349">
      <w:pPr>
        <w:ind w:firstLine="424" w:firstLineChars="202"/>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在服务期间须严格按照《中华人民共和国食品安全法》、《</w:t>
      </w:r>
      <w:r>
        <w:rPr>
          <w:rFonts w:hint="eastAsia" w:ascii="宋体" w:hAnsi="宋体" w:cs="宋体"/>
          <w:color w:val="auto"/>
          <w:sz w:val="21"/>
          <w:szCs w:val="21"/>
          <w:highlight w:val="none"/>
          <w:lang w:val="en-US" w:eastAsia="zh-CN"/>
        </w:rPr>
        <w:t>学校食品安全与营养健康管理规定</w:t>
      </w:r>
      <w:r>
        <w:rPr>
          <w:rFonts w:hint="eastAsia" w:ascii="宋体" w:hAnsi="宋体" w:eastAsia="宋体" w:cs="宋体"/>
          <w:color w:val="auto"/>
          <w:sz w:val="21"/>
          <w:szCs w:val="21"/>
          <w:highlight w:val="none"/>
        </w:rPr>
        <w:t>》等相关法律法规及地方规定执行。在饮食卫生安全等方面必须符合国家及省市的相关规定和要求；整个食堂的卫生防疫、就餐环境等必须达到市卫生</w:t>
      </w:r>
      <w:r>
        <w:rPr>
          <w:rFonts w:hint="eastAsia" w:ascii="宋体" w:hAnsi="宋体" w:eastAsia="宋体" w:cs="宋体"/>
          <w:color w:val="auto"/>
          <w:sz w:val="21"/>
          <w:szCs w:val="21"/>
          <w:highlight w:val="none"/>
          <w:lang w:val="en-US" w:eastAsia="zh-CN"/>
        </w:rPr>
        <w:t>健康</w:t>
      </w:r>
      <w:r>
        <w:rPr>
          <w:rFonts w:hint="eastAsia" w:ascii="宋体" w:hAnsi="宋体" w:eastAsia="宋体" w:cs="宋体"/>
          <w:color w:val="auto"/>
          <w:sz w:val="21"/>
          <w:szCs w:val="21"/>
          <w:highlight w:val="none"/>
        </w:rPr>
        <w:t>局、市教育局制定的标准。</w:t>
      </w:r>
    </w:p>
    <w:p w14:paraId="77A4DB0D">
      <w:pPr>
        <w:ind w:firstLine="424" w:firstLineChars="202"/>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4.乙方须</w:t>
      </w:r>
      <w:r>
        <w:rPr>
          <w:rFonts w:hint="eastAsia" w:ascii="宋体" w:hAnsi="宋体" w:eastAsia="宋体" w:cs="宋体"/>
          <w:color w:val="auto"/>
          <w:sz w:val="21"/>
          <w:szCs w:val="21"/>
          <w:highlight w:val="none"/>
        </w:rPr>
        <w:t>规范经营，</w:t>
      </w:r>
      <w:r>
        <w:rPr>
          <w:rFonts w:hint="eastAsia" w:ascii="宋体" w:hAnsi="宋体" w:cs="宋体"/>
          <w:color w:val="auto"/>
          <w:sz w:val="21"/>
          <w:szCs w:val="21"/>
          <w:highlight w:val="none"/>
          <w:lang w:val="en-US" w:eastAsia="zh-CN"/>
        </w:rPr>
        <w:t>在食堂运行的过程中，积极落实甲方及校方需求，在食堂运行的采购、验收、贮存、加工、销售、服务等环节，确保安全、高质。</w:t>
      </w:r>
    </w:p>
    <w:p w14:paraId="41FE39F2">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必须严格执行</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的各项规章制度，服从</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监督管理，并制订配套的内容管理制度，</w:t>
      </w:r>
      <w:r>
        <w:rPr>
          <w:rFonts w:hint="eastAsia" w:ascii="宋体" w:hAnsi="宋体" w:eastAsia="宋体" w:cs="宋体"/>
          <w:color w:val="auto"/>
          <w:spacing w:val="8"/>
          <w:sz w:val="21"/>
          <w:szCs w:val="21"/>
          <w:highlight w:val="none"/>
        </w:rPr>
        <w:t>建立包括岗位职责、监督检查制度、仓库管理制度、技术培训制度及各项保障措施（卫生管理措施、食品安全管理制度、服务质量保障措施、设备设施维护保养措施（应急措施或预案））等，并在显眼位置公告粘贴。</w:t>
      </w:r>
      <w:r>
        <w:rPr>
          <w:rFonts w:hint="eastAsia" w:ascii="宋体" w:hAnsi="宋体" w:eastAsia="宋体" w:cs="宋体"/>
          <w:color w:val="auto"/>
          <w:sz w:val="21"/>
          <w:szCs w:val="21"/>
          <w:highlight w:val="none"/>
        </w:rPr>
        <w:t>并有专人负责对“明厨亮灶”系统进行数据的管理与报送。严禁出现任何损害</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利益的行为。</w:t>
      </w:r>
    </w:p>
    <w:p w14:paraId="11BF12E9">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须根据</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及校方明确后的餐别、就餐方式、餐费标准形成菜品库，并不定期根据时令、校方需求对菜品库进行更新，每项菜品须制定明确的食材组成明细，</w:t>
      </w:r>
      <w:r>
        <w:rPr>
          <w:rFonts w:hint="eastAsia" w:ascii="宋体" w:hAnsi="宋体" w:eastAsia="宋体" w:cs="宋体"/>
          <w:color w:val="auto"/>
          <w:sz w:val="21"/>
          <w:szCs w:val="21"/>
          <w:highlight w:val="none"/>
        </w:rPr>
        <w:t>菜谱</w:t>
      </w:r>
      <w:r>
        <w:rPr>
          <w:rFonts w:hint="eastAsia" w:ascii="宋体" w:hAnsi="宋体" w:eastAsia="宋体" w:cs="宋体"/>
          <w:color w:val="auto"/>
          <w:sz w:val="21"/>
          <w:szCs w:val="21"/>
          <w:highlight w:val="none"/>
          <w:lang w:val="en-US" w:eastAsia="zh-CN"/>
        </w:rPr>
        <w:t>内容须</w:t>
      </w:r>
      <w:r>
        <w:rPr>
          <w:rFonts w:hint="eastAsia" w:ascii="宋体" w:hAnsi="宋体" w:eastAsia="宋体" w:cs="宋体"/>
          <w:color w:val="auto"/>
          <w:sz w:val="21"/>
          <w:szCs w:val="21"/>
          <w:highlight w:val="none"/>
        </w:rPr>
        <w:t>书面上报</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lang w:val="en-US" w:eastAsia="zh-CN"/>
        </w:rPr>
        <w:t>及校方</w:t>
      </w:r>
      <w:r>
        <w:rPr>
          <w:rFonts w:hint="eastAsia" w:ascii="宋体" w:hAnsi="宋体" w:eastAsia="宋体" w:cs="宋体"/>
          <w:color w:val="auto"/>
          <w:sz w:val="21"/>
          <w:szCs w:val="21"/>
          <w:highlight w:val="none"/>
        </w:rPr>
        <w:t>审核同意后方可公示并实施。</w:t>
      </w:r>
    </w:p>
    <w:p w14:paraId="545E052B">
      <w:pPr>
        <w:pageBreakBefore w:val="0"/>
        <w:kinsoku/>
        <w:wordWrap/>
        <w:overflowPunct/>
        <w:topLinePunct w:val="0"/>
        <w:autoSpaceDE/>
        <w:autoSpaceDN/>
        <w:bidi w:val="0"/>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每周拟定下周菜单，菜单要求食材结构合理、营养均衡，烹饪方式多样，应避免出现炸品过多、预包装食品过多等菜单，菜单拟定完成后，</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需将菜单发至校方审核，对于校方提出的修改意见，</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应无条件修改。</w:t>
      </w:r>
    </w:p>
    <w:p w14:paraId="4D426A98">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建立食品安全追溯体系，如实、准确、完整记录并保存食品进货查验等信息，保证食品可追溯。</w:t>
      </w:r>
      <w:r>
        <w:rPr>
          <w:rFonts w:hint="eastAsia" w:ascii="宋体" w:hAnsi="宋体" w:eastAsia="宋体" w:cs="宋体"/>
          <w:color w:val="auto"/>
          <w:sz w:val="21"/>
          <w:szCs w:val="21"/>
          <w:highlight w:val="none"/>
          <w:lang w:val="en-US" w:eastAsia="zh-CN"/>
        </w:rPr>
        <w:t>建议</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采用信息化手段采集、留存食品经营信息。</w:t>
      </w:r>
    </w:p>
    <w:p w14:paraId="351D0D9E">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必须提供所供食材的经国家认可检测机构出具的检验合格报告及公司自检报告。</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校方有权监督，并</w:t>
      </w:r>
      <w:r>
        <w:rPr>
          <w:rFonts w:hint="eastAsia" w:ascii="宋体" w:hAnsi="宋体" w:cs="宋体"/>
          <w:color w:val="auto"/>
          <w:sz w:val="21"/>
          <w:szCs w:val="21"/>
          <w:highlight w:val="none"/>
          <w:lang w:val="en-US" w:eastAsia="zh-CN"/>
        </w:rPr>
        <w:t>不定期</w:t>
      </w:r>
      <w:r>
        <w:rPr>
          <w:rFonts w:hint="eastAsia" w:ascii="宋体" w:hAnsi="宋体" w:eastAsia="宋体" w:cs="宋体"/>
          <w:color w:val="auto"/>
          <w:sz w:val="21"/>
          <w:szCs w:val="21"/>
          <w:highlight w:val="none"/>
        </w:rPr>
        <w:t>检查或委托第三方专业机构检测、抽查。</w:t>
      </w:r>
    </w:p>
    <w:p w14:paraId="54E956F1">
      <w:pPr>
        <w:numPr>
          <w:ilvl w:val="0"/>
          <w:numId w:val="0"/>
        </w:num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10.乙方需</w:t>
      </w:r>
      <w:r>
        <w:rPr>
          <w:rFonts w:hint="eastAsia" w:ascii="宋体" w:hAnsi="宋体" w:eastAsia="宋体" w:cs="宋体"/>
          <w:color w:val="auto"/>
          <w:sz w:val="21"/>
          <w:szCs w:val="21"/>
          <w:highlight w:val="none"/>
        </w:rPr>
        <w:t>开通食堂服务工作微信群，并定期公布以下内容：一周菜谱、学生就餐照片、食材信息，以及学校领导、学生家长等进入食堂参观监督等照片。</w:t>
      </w:r>
    </w:p>
    <w:p w14:paraId="3C5ED2A5">
      <w:pPr>
        <w:numPr>
          <w:ilvl w:val="0"/>
          <w:numId w:val="0"/>
        </w:numPr>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11.乙方须</w:t>
      </w: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val="en-US" w:eastAsia="zh-CN"/>
        </w:rPr>
        <w:t>校方</w:t>
      </w:r>
      <w:r>
        <w:rPr>
          <w:rFonts w:hint="eastAsia" w:ascii="宋体" w:hAnsi="宋体" w:eastAsia="宋体" w:cs="宋体"/>
          <w:color w:val="auto"/>
          <w:sz w:val="21"/>
          <w:szCs w:val="21"/>
          <w:highlight w:val="none"/>
        </w:rPr>
        <w:t>规定的时段经营（变化情况以学校通知为准），不得扰乱正常的教学教育秩序</w:t>
      </w:r>
      <w:r>
        <w:rPr>
          <w:rFonts w:hint="eastAsia" w:ascii="宋体" w:hAnsi="宋体" w:cs="宋体"/>
          <w:color w:val="auto"/>
          <w:sz w:val="21"/>
          <w:szCs w:val="21"/>
          <w:highlight w:val="none"/>
          <w:lang w:eastAsia="zh-CN"/>
        </w:rPr>
        <w:t>。</w:t>
      </w:r>
    </w:p>
    <w:p w14:paraId="54B40F9C">
      <w:pPr>
        <w:numPr>
          <w:ilvl w:val="0"/>
          <w:numId w:val="0"/>
        </w:numPr>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12.乙方须如期、足量、高质的准备好各餐膳食。</w:t>
      </w:r>
    </w:p>
    <w:p w14:paraId="006334E2">
      <w:pPr>
        <w:ind w:firstLine="424" w:firstLineChars="202"/>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乙方应具备在30分钟内响应甲方提出的应急供餐需求的能力。</w:t>
      </w:r>
    </w:p>
    <w:p w14:paraId="6AAC4BF8">
      <w:pPr>
        <w:ind w:firstLine="424" w:firstLineChars="202"/>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14.服务过程中可能发生的突发事件，乙方须有应急预案，及时进行妥善处置，确保供餐正常进行。</w:t>
      </w:r>
      <w:r>
        <w:rPr>
          <w:rFonts w:hint="eastAsia" w:ascii="宋体" w:hAnsi="宋体" w:eastAsia="宋体" w:cs="宋体"/>
          <w:color w:val="auto"/>
          <w:sz w:val="21"/>
          <w:szCs w:val="21"/>
          <w:highlight w:val="none"/>
        </w:rPr>
        <w:t>如在服务期内发生食物中毒或其他食源性疾患等重大责任事故，损害就餐</w:t>
      </w:r>
      <w:r>
        <w:rPr>
          <w:rFonts w:hint="eastAsia" w:ascii="宋体" w:hAnsi="宋体" w:eastAsia="宋体" w:cs="宋体"/>
          <w:color w:val="auto"/>
          <w:sz w:val="21"/>
          <w:szCs w:val="21"/>
          <w:highlight w:val="none"/>
          <w:lang w:val="en-US" w:eastAsia="zh-CN"/>
        </w:rPr>
        <w:t>人员身体健康，</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必须承担由此造成的一切责任和经济损失，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有权无条件终止合同，保留追诉相关法律责任的权利。</w:t>
      </w:r>
    </w:p>
    <w:p w14:paraId="73BB31D9">
      <w:pPr>
        <w:pStyle w:val="6"/>
        <w:pageBreakBefore w:val="0"/>
        <w:numPr>
          <w:ilvl w:val="0"/>
          <w:numId w:val="0"/>
        </w:numPr>
        <w:kinsoku/>
        <w:wordWrap/>
        <w:overflowPunct/>
        <w:topLinePunct w:val="0"/>
        <w:autoSpaceDE/>
        <w:autoSpaceDN/>
        <w:bidi w:val="0"/>
        <w:spacing w:line="360" w:lineRule="auto"/>
        <w:ind w:leftChars="228"/>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（2）人员配置及管理要求</w:t>
      </w:r>
    </w:p>
    <w:p w14:paraId="5BCDFFC2">
      <w:pPr>
        <w:pStyle w:val="2"/>
        <w:numPr>
          <w:ilvl w:val="0"/>
          <w:numId w:val="0"/>
        </w:numPr>
        <w:ind w:firstLine="422" w:firstLineChars="200"/>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1.人员配置</w:t>
      </w:r>
    </w:p>
    <w:p w14:paraId="70EADA8E">
      <w:pPr>
        <w:pStyle w:val="2"/>
        <w:ind w:left="420" w:leftChars="200" w:firstLine="0" w:firstLineChars="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1.1第一年总人数不低于20人</w:t>
      </w:r>
    </w:p>
    <w:p w14:paraId="0A174A76">
      <w:pPr>
        <w:pStyle w:val="2"/>
        <w:ind w:left="420" w:leftChars="200" w:firstLine="0" w:firstLineChars="0"/>
        <w:rPr>
          <w:rFonts w:hint="eastAsia"/>
          <w:color w:val="auto"/>
          <w:highlight w:val="none"/>
          <w:lang w:val="en-US" w:eastAsia="zh-CN"/>
        </w:rPr>
      </w:pPr>
      <w:r>
        <w:rPr>
          <w:rFonts w:hint="eastAsia" w:ascii="宋体" w:hAnsi="宋体" w:cs="宋体"/>
          <w:color w:val="auto"/>
          <w:sz w:val="21"/>
          <w:szCs w:val="21"/>
          <w:highlight w:val="none"/>
          <w:lang w:val="en-US" w:eastAsia="zh-CN"/>
        </w:rPr>
        <w:t>1.2第二年总人数不低于32人</w:t>
      </w:r>
    </w:p>
    <w:p w14:paraId="6FADFC2F">
      <w:pPr>
        <w:pageBreakBefore w:val="0"/>
        <w:kinsoku/>
        <w:wordWrap/>
        <w:overflowPunct/>
        <w:topLinePunct w:val="0"/>
        <w:autoSpaceDE/>
        <w:autoSpaceDN/>
        <w:bidi w:val="0"/>
        <w:spacing w:line="360" w:lineRule="auto"/>
        <w:ind w:firstLine="426" w:firstLineChars="202"/>
        <w:textAlignment w:val="auto"/>
        <w:rPr>
          <w:rFonts w:hint="eastAsia" w:ascii="宋体" w:hAnsi="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 xml:space="preserve">2.岗位职责及要求 </w:t>
      </w:r>
      <w:r>
        <w:rPr>
          <w:rFonts w:hint="eastAsia" w:ascii="宋体" w:hAnsi="宋体" w:cs="宋体"/>
          <w:color w:val="auto"/>
          <w:sz w:val="21"/>
          <w:szCs w:val="21"/>
          <w:highlight w:val="none"/>
          <w:lang w:val="en-US" w:eastAsia="zh-CN"/>
        </w:rPr>
        <w:t xml:space="preserve">                     </w:t>
      </w:r>
    </w:p>
    <w:tbl>
      <w:tblPr>
        <w:tblStyle w:val="30"/>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7"/>
        <w:gridCol w:w="1155"/>
        <w:gridCol w:w="5764"/>
      </w:tblGrid>
      <w:tr w14:paraId="17ED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262FE19C">
            <w:pPr>
              <w:pStyle w:val="2"/>
              <w:spacing w:line="240" w:lineRule="auto"/>
              <w:ind w:firstLine="0" w:firstLineChars="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岗位</w:t>
            </w:r>
          </w:p>
        </w:tc>
        <w:tc>
          <w:tcPr>
            <w:tcW w:w="1137" w:type="dxa"/>
          </w:tcPr>
          <w:p w14:paraId="4B24D6CF">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第一年最低人数</w:t>
            </w:r>
          </w:p>
        </w:tc>
        <w:tc>
          <w:tcPr>
            <w:tcW w:w="1155" w:type="dxa"/>
          </w:tcPr>
          <w:p w14:paraId="147F3229">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第二年最低人数</w:t>
            </w:r>
          </w:p>
        </w:tc>
        <w:tc>
          <w:tcPr>
            <w:tcW w:w="5764" w:type="dxa"/>
          </w:tcPr>
          <w:p w14:paraId="33B8D6CF">
            <w:pPr>
              <w:pStyle w:val="2"/>
              <w:spacing w:line="240" w:lineRule="auto"/>
              <w:ind w:firstLine="0" w:firstLineChars="0"/>
              <w:jc w:val="center"/>
              <w:rPr>
                <w:rFonts w:hint="eastAsia" w:ascii="宋体" w:hAnsi="宋体" w:eastAsia="宋体" w:cs="宋体"/>
                <w:color w:val="auto"/>
                <w:sz w:val="21"/>
                <w:szCs w:val="21"/>
                <w:highlight w:val="none"/>
                <w:lang w:val="en-US" w:eastAsia="zh-CN"/>
              </w:rPr>
            </w:pPr>
          </w:p>
          <w:p w14:paraId="4F564C92">
            <w:pPr>
              <w:pStyle w:val="2"/>
              <w:spacing w:line="240" w:lineRule="auto"/>
              <w:ind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岗位职责</w:t>
            </w:r>
          </w:p>
        </w:tc>
      </w:tr>
      <w:tr w14:paraId="4D5C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3648278D">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项目经理</w:t>
            </w:r>
          </w:p>
        </w:tc>
        <w:tc>
          <w:tcPr>
            <w:tcW w:w="1137" w:type="dxa"/>
          </w:tcPr>
          <w:p w14:paraId="5D814AE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66A72EA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0AF50CC6">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1、全面负责食堂管理工作；</w:t>
            </w:r>
          </w:p>
          <w:p w14:paraId="4E42E925">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2、负责每天召开晨会，传达当天注意事项；</w:t>
            </w:r>
          </w:p>
          <w:p w14:paraId="48E24F6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3、检查原材料切配，做到物尽其用、不浪费；</w:t>
            </w:r>
          </w:p>
          <w:p w14:paraId="1C55AD0C">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4、检查卫生、温度、湿度、食材存货量及保质期，仓库、雪柜或雪库食材是否按要求摆放等；</w:t>
            </w:r>
          </w:p>
          <w:p w14:paraId="7C7B363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5、查看当天数据，农残检测、台账上传监管部门，查看当天菜单、食材进货价格等；</w:t>
            </w:r>
          </w:p>
          <w:p w14:paraId="3F68C5E4">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6、与校方沟通了解当天注意事项，监督厨师烹调制作学生餐以及教师餐菜式；</w:t>
            </w:r>
          </w:p>
          <w:p w14:paraId="03C5CDA0">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7、现场监督服务人员分派学生餐及分汤、派面、疏导、卫生、餐具收放等现场服务；</w:t>
            </w:r>
          </w:p>
          <w:p w14:paraId="18C28B46">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8、每天检查员工仪容仪表，个人卫生及精神状况等，严格执行食品安全管理要求；</w:t>
            </w:r>
          </w:p>
          <w:p w14:paraId="15A65AF0">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9、随时走动跟进学生、教师用餐菜式及出品售卖的情况，快速安排师傅制作菜品，处理现场各种情况；</w:t>
            </w:r>
          </w:p>
          <w:p w14:paraId="6D71E35F">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10、严格按要求巡査各岗位的卫生情况，确保设备、用具及所有区间卫生干净、无死角、无污渍；检查水、电、气、空调、风扇、门窗等的开关是否关闭。</w:t>
            </w:r>
          </w:p>
          <w:p w14:paraId="0B548E4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11、兼职：综合管理办的顶岗、前厅岗位缺岗。</w:t>
            </w:r>
          </w:p>
        </w:tc>
      </w:tr>
      <w:tr w14:paraId="5745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4D1ED395">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行政文员/食安员</w:t>
            </w:r>
          </w:p>
        </w:tc>
        <w:tc>
          <w:tcPr>
            <w:tcW w:w="1137" w:type="dxa"/>
          </w:tcPr>
          <w:p w14:paraId="2313C05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37A4581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2E9E4216">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从事食品安全管理具体工作，承担下列职责：</w:t>
            </w:r>
          </w:p>
          <w:p w14:paraId="5C676D87">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1、督促落实食品生产经营过程控制要求；</w:t>
            </w:r>
          </w:p>
          <w:p w14:paraId="6916CA70">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2、检查食品安全管理制度执行情况，管理维护食品安全生产经营过程记录材料，按照要求保存相关资料；</w:t>
            </w:r>
          </w:p>
          <w:p w14:paraId="58D0F4D7">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3、对不符合食品安全标准的食品或者有证据证明可能危害人体健康的食品以及发现的食品安全风险隐患，及时采取有效措施整改并报告；</w:t>
            </w:r>
          </w:p>
          <w:p w14:paraId="017DA7A8">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4、记录和管理从业人员健康状况、卫生状况；</w:t>
            </w:r>
          </w:p>
          <w:p w14:paraId="36132DDA">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5、配合有关部门调查处理食品安全事故；</w:t>
            </w:r>
          </w:p>
          <w:p w14:paraId="27272C1E">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6、其他食品安全管理责任；</w:t>
            </w:r>
          </w:p>
          <w:p w14:paraId="1D1DB82F">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7、负责核对报表及充值、负责农残检测及记录、负责每日餐品留样及餐版拍照；</w:t>
            </w:r>
          </w:p>
          <w:p w14:paraId="6ABBD216">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8、办公室区域卫生及整理，每日各项食品安全监控表格监督和检查；</w:t>
            </w:r>
          </w:p>
          <w:p w14:paraId="4BA2397D">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9、每日群内信息回复（角色：客服）；</w:t>
            </w:r>
          </w:p>
          <w:p w14:paraId="50650968">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10、协助项目经理做好食安运营管理；</w:t>
            </w:r>
          </w:p>
          <w:p w14:paraId="1D6039D9">
            <w:pPr>
              <w:pStyle w:val="2"/>
              <w:spacing w:line="2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11、营业报表、系统管理、办卡、收费及退餐；</w:t>
            </w:r>
          </w:p>
          <w:p w14:paraId="1827D56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12、负责每周食谱公示。</w:t>
            </w:r>
          </w:p>
        </w:tc>
      </w:tr>
      <w:tr w14:paraId="174C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5DFA1CA7">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仓管员</w:t>
            </w:r>
          </w:p>
        </w:tc>
        <w:tc>
          <w:tcPr>
            <w:tcW w:w="1137" w:type="dxa"/>
          </w:tcPr>
          <w:p w14:paraId="787958E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2EFCE1D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6573B35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1、制定储存规则，确保不同食材的存放条件和温度要求得到满足；</w:t>
            </w:r>
          </w:p>
          <w:p w14:paraId="521BD5D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2、定期进行库存盘点， 以确保及时采购和避免浪费；</w:t>
            </w:r>
          </w:p>
          <w:p w14:paraId="6042105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3、标记和分类食材， 以方便使用和管理；</w:t>
            </w:r>
          </w:p>
          <w:p w14:paraId="51A9448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4、根据经后厨审批的领料单内容，做好食材的领用分配；</w:t>
            </w:r>
          </w:p>
          <w:p w14:paraId="3252CC0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5、负责仓库卫生及标准摆放；</w:t>
            </w:r>
          </w:p>
          <w:p w14:paraId="0CF5AA5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6、非仓库开放时段兼职前厅机动岗位（厅面调度或是切配组协助）。</w:t>
            </w:r>
          </w:p>
          <w:p w14:paraId="480F488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7、兼职：售餐窗口/送餐岗</w:t>
            </w:r>
          </w:p>
        </w:tc>
      </w:tr>
      <w:tr w14:paraId="2347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1CE1418C">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厨师长</w:t>
            </w:r>
          </w:p>
        </w:tc>
        <w:tc>
          <w:tcPr>
            <w:tcW w:w="1137" w:type="dxa"/>
          </w:tcPr>
          <w:p w14:paraId="5884EEF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1279627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3108D04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1、负责管理厨房日常事务，根据食谱准备和烹饪各种食物，确保其口味、质量和卫生符合要求，以及维护烹饪设备；</w:t>
            </w:r>
          </w:p>
          <w:p w14:paraId="3AD847A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2、制定每周或每月的食材采购计划，根据食谱和用餐人数合理估算需求；制定采购订单，明确所需食材、数量、价格和交货日期；</w:t>
            </w:r>
          </w:p>
          <w:p w14:paraId="2B1B01A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3、负责管理食材切配工作，制定切配食材的标准，确保食材的一致性；</w:t>
            </w:r>
          </w:p>
          <w:p w14:paraId="4EBC0BC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4、负责后厨卫生保洁工作，保障后厨工作环境安全、卫生、整洁；</w:t>
            </w:r>
          </w:p>
          <w:p w14:paraId="110A754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5、研究、编制菜单，定期更新学生、教师的菜式及烹调方法，确保师生用餐满意度。</w:t>
            </w:r>
          </w:p>
          <w:p w14:paraId="66539FF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6、兼职：厨房任何一个空缺岗位。</w:t>
            </w:r>
          </w:p>
        </w:tc>
      </w:tr>
      <w:tr w14:paraId="6434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6783577F">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厨师</w:t>
            </w:r>
          </w:p>
        </w:tc>
        <w:tc>
          <w:tcPr>
            <w:tcW w:w="1137" w:type="dxa"/>
          </w:tcPr>
          <w:p w14:paraId="475BBB1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177C42C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1C93D96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1、按照厨师长每日制定的菜谱，保质保量完成烹调任务，烹调时要掌握时间、火候，按照操作规程烹调，先烧后炒，边炒边卖的原则，保证菜肴一热三鲜；</w:t>
            </w:r>
          </w:p>
          <w:p w14:paraId="37E9ECE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2、烹调时要注意生熟原料，成品、本成品分档摆放，杜绝腐烂变质的原料下锅；</w:t>
            </w:r>
          </w:p>
          <w:p w14:paraId="36B23CD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3、烹调时注意菜肴的色、香、味、形、咸、淡适中，保持菜肴的营养成分；</w:t>
            </w:r>
          </w:p>
          <w:p w14:paraId="1CCCFF7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4、掌握菜肴的特性，不断在口味上创新，定期推出新品种、新口味；</w:t>
            </w:r>
          </w:p>
          <w:p w14:paraId="40B4A94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5、加强安全防火意识，开油锅时不能离开灶台，四季豆要煮透，剩菜要热透，防止食物中毒；</w:t>
            </w:r>
          </w:p>
          <w:p w14:paraId="00C5ED1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6、烹调过程注意投料顺序，节约成本，避免在炒菜时把菜铲到锅外，炒完一道菜，洗一次锅，保持灶台卫生，烹调结束台，及时清扫工作区，锅中注入清水，荤食及时进冰箱；</w:t>
            </w:r>
          </w:p>
          <w:p w14:paraId="27A3254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7、开餐期间除补菜厨师，全部出餐线售餐。</w:t>
            </w:r>
          </w:p>
        </w:tc>
      </w:tr>
      <w:tr w14:paraId="2727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8C6CA7D">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面点师</w:t>
            </w:r>
          </w:p>
        </w:tc>
        <w:tc>
          <w:tcPr>
            <w:tcW w:w="1137" w:type="dxa"/>
          </w:tcPr>
          <w:p w14:paraId="0AAC025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35F61CF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131C564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1、严格遵守白案人员特殊上下班时间，按白案班长制定的每日品种，数量、质量，保质、保量完成任务。</w:t>
            </w:r>
          </w:p>
          <w:p w14:paraId="4CA31F2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2、品种质量要求色白、碱正、成形、大小均匀，分量量适当。</w:t>
            </w:r>
          </w:p>
          <w:p w14:paraId="448B940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3、熟悉各种蒸点的操作技能、制作程序。</w:t>
            </w:r>
          </w:p>
          <w:p w14:paraId="02C5220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4、善于钻研业务知识，不断提高工作效率，节约成本。</w:t>
            </w:r>
          </w:p>
          <w:p w14:paraId="02D1177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5、根据季节，掌握一年四季的发酵时间和下碱或酵酶粉的用量。</w:t>
            </w:r>
          </w:p>
          <w:p w14:paraId="29377A9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6、操作机械时，严禁湿手接触开关，发现故障及时修理，并及时上报。</w:t>
            </w:r>
          </w:p>
          <w:p w14:paraId="4A745CC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7、工作结束时，应将各类用具、机械、地面清洗干净，并积极参加开餐工作。</w:t>
            </w:r>
          </w:p>
        </w:tc>
      </w:tr>
      <w:tr w14:paraId="4EDF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67" w:type="dxa"/>
          </w:tcPr>
          <w:p w14:paraId="5C43B836">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蒸饭/煲汤</w:t>
            </w:r>
          </w:p>
        </w:tc>
        <w:tc>
          <w:tcPr>
            <w:tcW w:w="1137" w:type="dxa"/>
          </w:tcPr>
          <w:p w14:paraId="4944034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7157006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641FADD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1、按人流量蒸米饭、按菜谱熬制例汤、糖水；</w:t>
            </w:r>
          </w:p>
          <w:p w14:paraId="6770493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2、了解厨具性能并严格按照流程作业；</w:t>
            </w:r>
          </w:p>
          <w:p w14:paraId="5B0A4CE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3、餐中负责补给米饭及汤类；</w:t>
            </w:r>
          </w:p>
          <w:p w14:paraId="028A131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4、餐后清洁生产区域的卫生、维护保养好厨具；</w:t>
            </w:r>
          </w:p>
          <w:p w14:paraId="34CC011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5、每日填写生产记录表、安全监控记录。</w:t>
            </w:r>
          </w:p>
        </w:tc>
      </w:tr>
      <w:tr w14:paraId="4DC9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04E314C6">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切配组长</w:t>
            </w:r>
          </w:p>
        </w:tc>
        <w:tc>
          <w:tcPr>
            <w:tcW w:w="1137" w:type="dxa"/>
          </w:tcPr>
          <w:p w14:paraId="5944AD2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0289200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1477B5E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1、负责管理食材切配工作，制定切配食材的标准，确保食材的一致性；</w:t>
            </w:r>
          </w:p>
          <w:p w14:paraId="7C6D1D5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2、负责切配区域的保洁工作，确保工作环境安全、卫生、整洁；</w:t>
            </w:r>
          </w:p>
          <w:p w14:paraId="62917B9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3、负责切配食材的保管存放，切配前和切配后的食材分别用不同颜色的器皿存放，并且做好封存；</w:t>
            </w:r>
          </w:p>
          <w:p w14:paraId="59F431B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4、负责清洁及整理冷藏库。</w:t>
            </w:r>
          </w:p>
          <w:p w14:paraId="2386A84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5、兼职：售餐窗口</w:t>
            </w:r>
          </w:p>
        </w:tc>
      </w:tr>
      <w:tr w14:paraId="42E0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828F5E5">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切配员（肉类）</w:t>
            </w:r>
          </w:p>
        </w:tc>
        <w:tc>
          <w:tcPr>
            <w:tcW w:w="1137" w:type="dxa"/>
          </w:tcPr>
          <w:p w14:paraId="7C58F0C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65A2CB8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7083690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1、负责肉类食材的改刀及切割；</w:t>
            </w:r>
          </w:p>
          <w:p w14:paraId="3ED3017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2、负责清洁及整理冷冻库并做好安全监控记录。</w:t>
            </w:r>
          </w:p>
          <w:p w14:paraId="5650301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3、兼职：售餐窗口</w:t>
            </w:r>
          </w:p>
        </w:tc>
      </w:tr>
      <w:tr w14:paraId="2B76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4D809B6B">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切配员（素菜）</w:t>
            </w:r>
          </w:p>
        </w:tc>
        <w:tc>
          <w:tcPr>
            <w:tcW w:w="1137" w:type="dxa"/>
          </w:tcPr>
          <w:p w14:paraId="6ED9144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77469A7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1AC50BA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1、负责蔬菜瓜果类食材的改刀及切割；</w:t>
            </w:r>
          </w:p>
          <w:p w14:paraId="10300F9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2、负责清洁及整理冷藏库并做好安全监控记录。</w:t>
            </w:r>
          </w:p>
          <w:p w14:paraId="4F270A1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3、兼职：售餐窗口</w:t>
            </w:r>
          </w:p>
        </w:tc>
      </w:tr>
      <w:tr w14:paraId="5F26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0CF36596">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前厅主管</w:t>
            </w:r>
          </w:p>
        </w:tc>
        <w:tc>
          <w:tcPr>
            <w:tcW w:w="1137" w:type="dxa"/>
          </w:tcPr>
          <w:p w14:paraId="487B0BE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5AA15774">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5764" w:type="dxa"/>
          </w:tcPr>
          <w:p w14:paraId="0F3EAA7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1、负责分餐工作，分餐前检查保温台温度是否正常、洁净程度是否达标、台面有无异物、分餐工具有无变形和存在异味等；分餐时确保所有员工必须戴好食品级手套、口罩、头套，不得直接接触成品；</w:t>
            </w:r>
          </w:p>
          <w:p w14:paraId="7F224F7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2、开餐时及时将餐桌桌面清洁干净，做到边做边清；用餐结束后及时对餐桌桌面和地面进行全面清理；</w:t>
            </w:r>
          </w:p>
          <w:p w14:paraId="36FB2D2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3、区域卫生清洁结束后，进入厨房协助切配组。</w:t>
            </w:r>
          </w:p>
          <w:p w14:paraId="5A4E5C0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前厅主管：一楼学生餐厅</w:t>
            </w:r>
          </w:p>
          <w:p w14:paraId="2CF3ABC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前厅组长：二楼学生餐厅、二楼老师餐厅</w:t>
            </w:r>
          </w:p>
        </w:tc>
      </w:tr>
      <w:tr w14:paraId="37F6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049A2E1A">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前厅组长</w:t>
            </w:r>
          </w:p>
        </w:tc>
        <w:tc>
          <w:tcPr>
            <w:tcW w:w="1137" w:type="dxa"/>
          </w:tcPr>
          <w:p w14:paraId="612153F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1155" w:type="dxa"/>
          </w:tcPr>
          <w:p w14:paraId="5519909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4520BC9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1、负责分餐工作，分餐前检查保温台温度是否正常、洁净程度是否达标、台面有无异物、分餐工具有无变形和存在异味等；分餐时确保所有员工必须戴好食品级手套、口罩、头套，不得直接接触成品；</w:t>
            </w:r>
          </w:p>
          <w:p w14:paraId="32AC88A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2、开餐时及时将餐桌桌面清洁干净，做到边做边清；用餐结束后及时对餐桌桌面和地面进行全面清理；</w:t>
            </w:r>
          </w:p>
          <w:p w14:paraId="47DEEE7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3、区域卫生清洁结束后，进入厨房协助切配组。</w:t>
            </w:r>
          </w:p>
          <w:p w14:paraId="5C327F4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前厅主管：一楼学生餐厅</w:t>
            </w:r>
          </w:p>
          <w:p w14:paraId="5A0CE58C">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前厅组长：二楼学生餐厅、二楼老师餐厅</w:t>
            </w:r>
          </w:p>
        </w:tc>
      </w:tr>
      <w:tr w14:paraId="233F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07D628E9">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保洁员</w:t>
            </w:r>
          </w:p>
        </w:tc>
        <w:tc>
          <w:tcPr>
            <w:tcW w:w="1137" w:type="dxa"/>
          </w:tcPr>
          <w:p w14:paraId="667F5B6B">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1A16ABA3">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5764" w:type="dxa"/>
          </w:tcPr>
          <w:p w14:paraId="0FA73A69">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1、食堂区域内洗手间卫生、指定区域卫生及物品整理工作；</w:t>
            </w:r>
          </w:p>
          <w:p w14:paraId="6CB5858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2、厨余垃圾转运、垃圾筒的清理及清洗；</w:t>
            </w:r>
          </w:p>
          <w:p w14:paraId="3FD4B2C8">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3、指定学生餐区域厅面地面及桌面的清洁。</w:t>
            </w:r>
          </w:p>
          <w:p w14:paraId="503D63B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4、兼职：洗碗岗。</w:t>
            </w:r>
          </w:p>
        </w:tc>
      </w:tr>
      <w:tr w14:paraId="7CF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377B2621">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服务员</w:t>
            </w:r>
          </w:p>
        </w:tc>
        <w:tc>
          <w:tcPr>
            <w:tcW w:w="1137" w:type="dxa"/>
          </w:tcPr>
          <w:p w14:paraId="5805B29E">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4B5420B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5</w:t>
            </w:r>
          </w:p>
        </w:tc>
        <w:tc>
          <w:tcPr>
            <w:tcW w:w="5764" w:type="dxa"/>
          </w:tcPr>
          <w:p w14:paraId="5DC9CEC7">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1、餐厅销售及服务工作；</w:t>
            </w:r>
          </w:p>
          <w:p w14:paraId="260B14BA">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2、每餐开餐前准备工作、餐中售卖工作、餐后清洁及整理工作；</w:t>
            </w:r>
          </w:p>
          <w:p w14:paraId="0386D10F">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3、非开餐时段安排协助切配或是洗碗部。</w:t>
            </w:r>
          </w:p>
          <w:p w14:paraId="27463A1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4、兼职：切配岗。</w:t>
            </w:r>
          </w:p>
        </w:tc>
      </w:tr>
      <w:tr w14:paraId="2D71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5082F935">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洗碗工</w:t>
            </w:r>
          </w:p>
        </w:tc>
        <w:tc>
          <w:tcPr>
            <w:tcW w:w="1137" w:type="dxa"/>
          </w:tcPr>
          <w:p w14:paraId="55AA3EBD">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1155" w:type="dxa"/>
          </w:tcPr>
          <w:p w14:paraId="658D7370">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4</w:t>
            </w:r>
          </w:p>
        </w:tc>
        <w:tc>
          <w:tcPr>
            <w:tcW w:w="5764" w:type="dxa"/>
          </w:tcPr>
          <w:p w14:paraId="394609F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洗涤员A：</w:t>
            </w:r>
          </w:p>
          <w:p w14:paraId="17580215">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1、负责厨房使用工具、盛器清洗；</w:t>
            </w:r>
          </w:p>
          <w:p w14:paraId="1C936A9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2、负责厨房工具消毒房清洁、整理、消毒工作。</w:t>
            </w:r>
          </w:p>
          <w:p w14:paraId="086DBD41">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洗涤员B：</w:t>
            </w:r>
          </w:p>
          <w:p w14:paraId="2ED1B116">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1、负责营业区域内餐具清洗；</w:t>
            </w:r>
          </w:p>
          <w:p w14:paraId="373B5B62">
            <w:pPr>
              <w:pStyle w:val="2"/>
              <w:spacing w:line="240" w:lineRule="exac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2、负责此区域清毒房/柜清洁、整理、消毒工作。</w:t>
            </w:r>
          </w:p>
        </w:tc>
      </w:tr>
      <w:tr w14:paraId="4D0E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tcPr>
          <w:p w14:paraId="7D207DA9">
            <w:pPr>
              <w:pStyle w:val="2"/>
              <w:spacing w:line="24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合计</w:t>
            </w:r>
          </w:p>
        </w:tc>
        <w:tc>
          <w:tcPr>
            <w:tcW w:w="1137" w:type="dxa"/>
          </w:tcPr>
          <w:p w14:paraId="34A20CA9">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20</w:t>
            </w:r>
          </w:p>
        </w:tc>
        <w:tc>
          <w:tcPr>
            <w:tcW w:w="1155" w:type="dxa"/>
          </w:tcPr>
          <w:p w14:paraId="074EAF4A">
            <w:pPr>
              <w:pStyle w:val="2"/>
              <w:spacing w:line="240" w:lineRule="exact"/>
              <w:ind w:firstLine="0" w:firstLineChars="0"/>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32</w:t>
            </w:r>
          </w:p>
        </w:tc>
        <w:tc>
          <w:tcPr>
            <w:tcW w:w="5764" w:type="dxa"/>
          </w:tcPr>
          <w:p w14:paraId="617A7A53">
            <w:pPr>
              <w:pStyle w:val="2"/>
              <w:spacing w:line="240" w:lineRule="exact"/>
              <w:rPr>
                <w:rFonts w:hint="eastAsia" w:ascii="宋体" w:hAnsi="宋体" w:eastAsia="宋体" w:cs="宋体"/>
                <w:color w:val="auto"/>
                <w:sz w:val="21"/>
                <w:szCs w:val="21"/>
                <w:highlight w:val="none"/>
                <w:vertAlign w:val="baseline"/>
                <w:lang w:val="en-US" w:eastAsia="zh-CN"/>
              </w:rPr>
            </w:pPr>
          </w:p>
        </w:tc>
      </w:tr>
    </w:tbl>
    <w:p w14:paraId="211079A1">
      <w:pPr>
        <w:pageBreakBefore w:val="0"/>
        <w:kinsoku/>
        <w:wordWrap/>
        <w:overflowPunct/>
        <w:topLinePunct w:val="0"/>
        <w:autoSpaceDE/>
        <w:autoSpaceDN/>
        <w:bidi w:val="0"/>
        <w:spacing w:line="360" w:lineRule="auto"/>
        <w:ind w:firstLine="426" w:firstLineChars="20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3.岗位人员管理</w:t>
      </w:r>
    </w:p>
    <w:p w14:paraId="243701B9">
      <w:pPr>
        <w:widowControl/>
        <w:tabs>
          <w:tab w:val="left" w:pos="1365"/>
        </w:tabs>
        <w:autoSpaceDE/>
        <w:autoSpaceDN/>
        <w:adjustRightInd w:val="0"/>
        <w:snapToGrid w:val="0"/>
        <w:spacing w:line="360" w:lineRule="auto"/>
        <w:ind w:firstLine="420" w:firstLineChars="200"/>
        <w:rPr>
          <w:color w:val="auto"/>
          <w:szCs w:val="21"/>
          <w:highlight w:val="none"/>
        </w:rPr>
      </w:pPr>
      <w:r>
        <w:rPr>
          <w:rFonts w:hint="eastAsia" w:ascii="宋体" w:hAnsi="宋体" w:eastAsia="宋体" w:cs="宋体"/>
          <w:color w:val="auto"/>
          <w:sz w:val="21"/>
          <w:szCs w:val="21"/>
          <w:highlight w:val="none"/>
          <w:lang w:val="en-US" w:eastAsia="zh-CN"/>
        </w:rPr>
        <w:t>3.1</w:t>
      </w:r>
      <w:r>
        <w:rPr>
          <w:rFonts w:hint="eastAsia"/>
          <w:color w:val="auto"/>
          <w:szCs w:val="21"/>
          <w:highlight w:val="none"/>
          <w:lang w:val="en-US" w:eastAsia="zh-CN"/>
        </w:rPr>
        <w:t>乙方</w:t>
      </w:r>
      <w:r>
        <w:rPr>
          <w:rFonts w:hint="eastAsia"/>
          <w:color w:val="auto"/>
          <w:szCs w:val="21"/>
          <w:highlight w:val="none"/>
        </w:rPr>
        <w:t>须按照</w:t>
      </w:r>
      <w:r>
        <w:rPr>
          <w:rFonts w:hint="eastAsia"/>
          <w:color w:val="auto"/>
          <w:szCs w:val="21"/>
          <w:highlight w:val="none"/>
          <w:lang w:val="en-US" w:eastAsia="zh-CN"/>
        </w:rPr>
        <w:t>上述人数</w:t>
      </w:r>
      <w:r>
        <w:rPr>
          <w:rFonts w:hint="eastAsia"/>
          <w:color w:val="auto"/>
          <w:szCs w:val="21"/>
          <w:highlight w:val="none"/>
        </w:rPr>
        <w:t>要求，配备相应</w:t>
      </w:r>
      <w:r>
        <w:rPr>
          <w:rFonts w:hint="eastAsia"/>
          <w:color w:val="auto"/>
          <w:szCs w:val="21"/>
          <w:highlight w:val="none"/>
          <w:lang w:val="en-US" w:eastAsia="zh-CN"/>
        </w:rPr>
        <w:t>食堂</w:t>
      </w:r>
      <w:r>
        <w:rPr>
          <w:rFonts w:hint="eastAsia"/>
          <w:color w:val="auto"/>
          <w:szCs w:val="21"/>
          <w:highlight w:val="none"/>
        </w:rPr>
        <w:t>从业人员</w:t>
      </w:r>
      <w:r>
        <w:rPr>
          <w:rFonts w:hint="eastAsia"/>
          <w:color w:val="auto"/>
          <w:szCs w:val="21"/>
          <w:highlight w:val="none"/>
          <w:lang w:eastAsia="zh-CN"/>
        </w:rPr>
        <w:t>，</w:t>
      </w:r>
      <w:r>
        <w:rPr>
          <w:rFonts w:hint="eastAsia"/>
          <w:color w:val="auto"/>
          <w:szCs w:val="21"/>
          <w:highlight w:val="none"/>
        </w:rPr>
        <w:t>项目经理、</w:t>
      </w:r>
      <w:r>
        <w:rPr>
          <w:rFonts w:hint="eastAsia"/>
          <w:color w:val="auto"/>
          <w:szCs w:val="21"/>
          <w:highlight w:val="none"/>
          <w:lang w:val="en-US" w:eastAsia="zh-CN"/>
        </w:rPr>
        <w:t>厨师长</w:t>
      </w:r>
      <w:r>
        <w:rPr>
          <w:rFonts w:hint="eastAsia"/>
          <w:color w:val="auto"/>
          <w:szCs w:val="21"/>
          <w:highlight w:val="none"/>
        </w:rPr>
        <w:t>等</w:t>
      </w:r>
      <w:r>
        <w:rPr>
          <w:rFonts w:hint="eastAsia"/>
          <w:color w:val="auto"/>
          <w:szCs w:val="21"/>
          <w:highlight w:val="none"/>
          <w:lang w:val="en-US" w:eastAsia="zh-CN"/>
        </w:rPr>
        <w:t>岗位人员入职前需经甲方及校方审核</w:t>
      </w:r>
      <w:r>
        <w:rPr>
          <w:rFonts w:hint="eastAsia"/>
          <w:color w:val="auto"/>
          <w:szCs w:val="21"/>
          <w:highlight w:val="none"/>
        </w:rPr>
        <w:t>。</w:t>
      </w:r>
    </w:p>
    <w:p w14:paraId="27868190">
      <w:pPr>
        <w:ind w:firstLine="424" w:firstLineChars="202"/>
        <w:jc w:val="left"/>
        <w:rPr>
          <w:rFonts w:hint="eastAsia" w:eastAsia="宋体"/>
          <w:color w:val="auto"/>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以上从业人员必须身体健康，上岗前须取得健康</w:t>
      </w:r>
      <w:r>
        <w:rPr>
          <w:rFonts w:hint="eastAsia" w:eastAsia="宋体"/>
          <w:color w:val="auto"/>
          <w:szCs w:val="21"/>
          <w:highlight w:val="none"/>
        </w:rPr>
        <w:t>证</w:t>
      </w:r>
      <w:r>
        <w:rPr>
          <w:rFonts w:hint="eastAsia" w:eastAsia="宋体"/>
          <w:color w:val="auto"/>
          <w:szCs w:val="21"/>
          <w:highlight w:val="none"/>
          <w:lang w:eastAsia="zh-CN"/>
        </w:rPr>
        <w:t>，</w:t>
      </w:r>
      <w:r>
        <w:rPr>
          <w:rFonts w:hint="eastAsia" w:eastAsia="宋体"/>
          <w:color w:val="auto"/>
          <w:szCs w:val="21"/>
          <w:highlight w:val="none"/>
        </w:rPr>
        <w:t>出现咳嗽、腹泻、发热、呕吐等有碍食品卫生的病症时，应立即离岗，待查明病因、排除病症或治愈后，方可重新上岗。</w:t>
      </w:r>
      <w:r>
        <w:rPr>
          <w:rFonts w:hint="eastAsia"/>
          <w:color w:val="auto"/>
          <w:szCs w:val="21"/>
          <w:highlight w:val="none"/>
          <w:lang w:val="en-US" w:eastAsia="zh-CN"/>
        </w:rPr>
        <w:t>乙方</w:t>
      </w:r>
      <w:r>
        <w:rPr>
          <w:rFonts w:hint="eastAsia" w:eastAsia="宋体"/>
          <w:color w:val="auto"/>
          <w:szCs w:val="21"/>
          <w:highlight w:val="none"/>
          <w:lang w:val="en-US" w:eastAsia="zh-CN"/>
        </w:rPr>
        <w:t>须</w:t>
      </w:r>
      <w:r>
        <w:rPr>
          <w:rFonts w:hint="eastAsia" w:ascii="宋体" w:hAnsi="宋体" w:cs="宋体"/>
          <w:color w:val="auto"/>
          <w:sz w:val="21"/>
          <w:szCs w:val="21"/>
          <w:highlight w:val="none"/>
        </w:rPr>
        <w:t>保证</w:t>
      </w:r>
      <w:r>
        <w:rPr>
          <w:rFonts w:hint="eastAsia" w:ascii="宋体" w:hAnsi="宋体" w:cs="宋体"/>
          <w:color w:val="auto"/>
          <w:sz w:val="21"/>
          <w:szCs w:val="21"/>
          <w:highlight w:val="none"/>
          <w:lang w:val="en-US" w:eastAsia="zh-CN"/>
        </w:rPr>
        <w:t>工作人员</w:t>
      </w:r>
      <w:r>
        <w:rPr>
          <w:rFonts w:hint="eastAsia" w:ascii="宋体" w:hAnsi="宋体" w:cs="宋体"/>
          <w:color w:val="auto"/>
          <w:sz w:val="21"/>
          <w:szCs w:val="21"/>
          <w:highlight w:val="none"/>
        </w:rPr>
        <w:t>每年一次参加体检，体检费用由</w:t>
      </w:r>
      <w:r>
        <w:rPr>
          <w:rFonts w:hint="eastAsia" w:ascii="宋体" w:hAnsi="宋体" w:cs="宋体"/>
          <w:color w:val="auto"/>
          <w:sz w:val="21"/>
          <w:szCs w:val="21"/>
          <w:highlight w:val="none"/>
          <w:lang w:eastAsia="zh-CN"/>
        </w:rPr>
        <w:t>乙方</w:t>
      </w:r>
      <w:r>
        <w:rPr>
          <w:rFonts w:hint="eastAsia" w:ascii="宋体" w:hAnsi="宋体" w:cs="宋体"/>
          <w:color w:val="auto"/>
          <w:sz w:val="21"/>
          <w:szCs w:val="21"/>
          <w:highlight w:val="none"/>
        </w:rPr>
        <w:t>负责</w:t>
      </w:r>
      <w:r>
        <w:rPr>
          <w:rFonts w:hint="eastAsia" w:ascii="宋体" w:hAnsi="宋体" w:cs="宋体"/>
          <w:color w:val="auto"/>
          <w:sz w:val="21"/>
          <w:szCs w:val="21"/>
          <w:highlight w:val="none"/>
          <w:lang w:eastAsia="zh-CN"/>
        </w:rPr>
        <w:t>。</w:t>
      </w:r>
    </w:p>
    <w:p w14:paraId="0BC1AD78">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凡</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安排在食堂内</w:t>
      </w:r>
      <w:r>
        <w:rPr>
          <w:rFonts w:hint="eastAsia" w:ascii="宋体" w:hAnsi="宋体" w:eastAsia="宋体" w:cs="宋体"/>
          <w:color w:val="auto"/>
          <w:sz w:val="21"/>
          <w:szCs w:val="21"/>
          <w:highlight w:val="none"/>
        </w:rPr>
        <w:t>工作的人员不能有违法犯罪、劳教等记录，如出现这类问题，视为</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严重违约。</w:t>
      </w:r>
    </w:p>
    <w:p w14:paraId="3C2441EB">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3.4</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须与安排在食堂内</w:t>
      </w:r>
      <w:r>
        <w:rPr>
          <w:rFonts w:hint="eastAsia" w:ascii="宋体" w:hAnsi="宋体" w:eastAsia="宋体" w:cs="宋体"/>
          <w:color w:val="auto"/>
          <w:sz w:val="21"/>
          <w:szCs w:val="21"/>
          <w:highlight w:val="none"/>
        </w:rPr>
        <w:t>工作的人员</w:t>
      </w:r>
      <w:r>
        <w:rPr>
          <w:rFonts w:hint="eastAsia" w:ascii="宋体" w:hAnsi="宋体" w:eastAsia="宋体" w:cs="宋体"/>
          <w:color w:val="auto"/>
          <w:sz w:val="21"/>
          <w:szCs w:val="21"/>
          <w:highlight w:val="none"/>
          <w:lang w:val="en-US" w:eastAsia="zh-CN"/>
        </w:rPr>
        <w:t>签订劳务合同，</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在经营期内承担食堂所有员工工资和社保等相关福利待遇，从业人员体检、从业人员保险、伤残</w:t>
      </w:r>
      <w:r>
        <w:rPr>
          <w:rFonts w:hint="eastAsia" w:ascii="宋体" w:hAnsi="宋体" w:eastAsia="宋体" w:cs="宋体"/>
          <w:color w:val="auto"/>
          <w:sz w:val="21"/>
          <w:szCs w:val="21"/>
          <w:highlight w:val="none"/>
        </w:rPr>
        <w:t>疾病等费用均由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自理</w:t>
      </w:r>
      <w:r>
        <w:rPr>
          <w:rFonts w:hint="eastAsia" w:ascii="宋体" w:hAnsi="宋体" w:cs="宋体"/>
          <w:color w:val="auto"/>
          <w:sz w:val="21"/>
          <w:szCs w:val="21"/>
          <w:highlight w:val="none"/>
          <w:lang w:eastAsia="zh-CN"/>
        </w:rPr>
        <w:t>。</w:t>
      </w:r>
    </w:p>
    <w:p w14:paraId="564F7F10">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3.5食堂从业人员所产生的劳动纠纷以及安全生产事故等均由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w:t>
      </w:r>
      <w:r>
        <w:rPr>
          <w:rFonts w:hint="eastAsia" w:ascii="宋体" w:hAnsi="宋体" w:eastAsia="宋体" w:cs="宋体"/>
          <w:color w:val="auto"/>
          <w:sz w:val="21"/>
          <w:szCs w:val="21"/>
          <w:highlight w:val="none"/>
        </w:rPr>
        <w:t>从业人员在工作过程中的安全责任由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负责。如用电、用水、燃气等不注意安全引起生产事故，或发生意外伤亡事故，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承担全部责任和必要的经济补偿，</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概不承担任何责任。</w:t>
      </w:r>
      <w:r>
        <w:rPr>
          <w:rFonts w:hint="eastAsia" w:ascii="宋体" w:hAnsi="宋体" w:eastAsia="宋体" w:cs="宋体"/>
          <w:color w:val="auto"/>
          <w:sz w:val="21"/>
          <w:szCs w:val="21"/>
          <w:highlight w:val="none"/>
          <w:lang w:val="en-US" w:eastAsia="zh-CN"/>
        </w:rPr>
        <w:t>食堂从业人员</w:t>
      </w:r>
      <w:r>
        <w:rPr>
          <w:rFonts w:hint="eastAsia" w:ascii="宋体" w:hAnsi="宋体" w:eastAsia="宋体" w:cs="宋体"/>
          <w:color w:val="auto"/>
          <w:sz w:val="21"/>
          <w:szCs w:val="21"/>
          <w:highlight w:val="none"/>
        </w:rPr>
        <w:t>在工作期间、上下班途中、夜不归宿及娱乐等原因发生的意外均由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自行承担，与</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及校方无任何关系。</w:t>
      </w:r>
    </w:p>
    <w:p w14:paraId="349096C0">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3.6食堂从业人员要遵守食堂、学校的各项纪律、规定，文明守礼；在校期间，不得无故在校内各区域闲晃，做与工作无关的事；不得与师生发生争吵或冲突，如发现违规者，校方有权要求</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更换工作人员。</w:t>
      </w:r>
    </w:p>
    <w:p w14:paraId="20524E3A">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（3）食材采购、验收要求</w:t>
      </w:r>
    </w:p>
    <w:p w14:paraId="509F3B45">
      <w:pPr>
        <w:widowControl/>
        <w:tabs>
          <w:tab w:val="left" w:pos="1365"/>
        </w:tabs>
        <w:autoSpaceDE/>
        <w:autoSpaceDN/>
        <w:adjustRightInd w:val="0"/>
        <w:snapToGrid w:val="0"/>
        <w:spacing w:line="360" w:lineRule="auto"/>
        <w:ind w:firstLine="420" w:firstLineChars="200"/>
        <w:rPr>
          <w:rFonts w:hint="default" w:eastAsia="宋体"/>
          <w:color w:val="auto"/>
          <w:szCs w:val="21"/>
          <w:highlight w:val="none"/>
          <w:lang w:val="en-US" w:eastAsia="zh-CN"/>
        </w:rPr>
      </w:pPr>
      <w:r>
        <w:rPr>
          <w:rFonts w:hint="eastAsia" w:eastAsia="宋体"/>
          <w:color w:val="auto"/>
          <w:szCs w:val="21"/>
          <w:highlight w:val="none"/>
          <w:lang w:val="en-US" w:eastAsia="zh-CN"/>
        </w:rPr>
        <w:t>1.</w:t>
      </w:r>
      <w:r>
        <w:rPr>
          <w:rFonts w:hint="eastAsia" w:ascii="宋体" w:hAnsi="宋体" w:eastAsia="宋体" w:cs="宋体"/>
          <w:color w:val="auto"/>
          <w:sz w:val="21"/>
          <w:szCs w:val="21"/>
          <w:highlight w:val="none"/>
          <w:lang w:val="en-US" w:eastAsia="zh-CN"/>
        </w:rPr>
        <w:t>食材及物资采购采用竞争机制，</w:t>
      </w:r>
      <w:r>
        <w:rPr>
          <w:rFonts w:hint="eastAsia" w:ascii="宋体" w:hAnsi="宋体" w:cs="宋体"/>
          <w:color w:val="auto"/>
          <w:sz w:val="21"/>
          <w:szCs w:val="21"/>
          <w:highlight w:val="none"/>
          <w:lang w:val="en-US" w:eastAsia="zh-CN"/>
        </w:rPr>
        <w:t>配送食材/物资</w:t>
      </w:r>
      <w:r>
        <w:rPr>
          <w:rFonts w:hint="eastAsia" w:ascii="宋体" w:hAnsi="宋体" w:eastAsia="宋体" w:cs="宋体"/>
          <w:color w:val="auto"/>
          <w:sz w:val="21"/>
          <w:szCs w:val="21"/>
          <w:highlight w:val="none"/>
          <w:lang w:val="en-US" w:eastAsia="zh-CN"/>
        </w:rPr>
        <w:t>需引入不少于3家具备相关资质的</w:t>
      </w:r>
      <w:r>
        <w:rPr>
          <w:rFonts w:hint="eastAsia" w:ascii="宋体" w:hAnsi="宋体" w:cs="宋体"/>
          <w:color w:val="auto"/>
          <w:sz w:val="21"/>
          <w:szCs w:val="21"/>
          <w:highlight w:val="none"/>
          <w:lang w:val="en-US" w:eastAsia="zh-CN"/>
        </w:rPr>
        <w:t>全品类</w:t>
      </w:r>
      <w:r>
        <w:rPr>
          <w:rFonts w:hint="eastAsia" w:ascii="宋体" w:hAnsi="宋体" w:eastAsia="宋体" w:cs="宋体"/>
          <w:color w:val="auto"/>
          <w:sz w:val="21"/>
          <w:szCs w:val="21"/>
          <w:highlight w:val="none"/>
          <w:lang w:val="en-US" w:eastAsia="zh-CN"/>
        </w:rPr>
        <w:t>集中配货供应商</w:t>
      </w:r>
      <w:r>
        <w:rPr>
          <w:rFonts w:hint="eastAsia" w:ascii="宋体" w:hAnsi="宋体" w:cs="宋体"/>
          <w:color w:val="auto"/>
          <w:sz w:val="21"/>
          <w:szCs w:val="21"/>
          <w:highlight w:val="none"/>
          <w:lang w:val="en-US" w:eastAsia="zh-CN"/>
        </w:rPr>
        <w:t>，校方及甲方具有监督权，对于配送不符合要求食材及物资的</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，校方及甲方有权要求直接更换</w:t>
      </w:r>
      <w:r>
        <w:rPr>
          <w:rFonts w:hint="eastAsia" w:ascii="宋体" w:hAnsi="宋体" w:eastAsia="宋体" w:cs="宋体"/>
          <w:color w:val="auto"/>
          <w:sz w:val="21"/>
          <w:szCs w:val="21"/>
          <w:highlight w:val="none"/>
          <w:lang w:val="en-US" w:eastAsia="zh-CN"/>
        </w:rPr>
        <w:t>配货供应商</w:t>
      </w:r>
      <w:r>
        <w:rPr>
          <w:rFonts w:hint="eastAsia" w:ascii="宋体" w:hAnsi="宋体" w:cs="宋体"/>
          <w:color w:val="auto"/>
          <w:sz w:val="21"/>
          <w:szCs w:val="21"/>
          <w:highlight w:val="none"/>
          <w:lang w:val="en-US" w:eastAsia="zh-CN"/>
        </w:rPr>
        <w:t>。</w:t>
      </w:r>
    </w:p>
    <w:p w14:paraId="3CBE4BF3">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2.</w:t>
      </w:r>
      <w:r>
        <w:rPr>
          <w:rFonts w:hint="eastAsia"/>
          <w:color w:val="auto"/>
          <w:szCs w:val="21"/>
          <w:highlight w:val="none"/>
          <w:lang w:val="en-US" w:eastAsia="zh-CN"/>
        </w:rPr>
        <w:t>乙方</w:t>
      </w:r>
      <w:r>
        <w:rPr>
          <w:rFonts w:hint="eastAsia" w:eastAsia="宋体"/>
          <w:color w:val="auto"/>
          <w:szCs w:val="21"/>
          <w:highlight w:val="none"/>
        </w:rPr>
        <w:t>所供的食材必须符合《中华人民共和国食品卫生法》要求</w:t>
      </w:r>
      <w:r>
        <w:rPr>
          <w:rFonts w:hint="eastAsia" w:eastAsia="宋体"/>
          <w:color w:val="auto"/>
          <w:szCs w:val="21"/>
          <w:highlight w:val="none"/>
          <w:lang w:eastAsia="zh-CN"/>
        </w:rPr>
        <w:t>；</w:t>
      </w:r>
      <w:r>
        <w:rPr>
          <w:rFonts w:hint="eastAsia"/>
          <w:color w:val="auto"/>
          <w:szCs w:val="21"/>
          <w:highlight w:val="none"/>
          <w:lang w:val="en-US" w:eastAsia="zh-CN"/>
        </w:rPr>
        <w:t>乙方</w:t>
      </w:r>
      <w:r>
        <w:rPr>
          <w:rFonts w:hint="eastAsia" w:eastAsia="宋体"/>
          <w:color w:val="auto"/>
          <w:szCs w:val="21"/>
          <w:highlight w:val="none"/>
        </w:rPr>
        <w:t>需</w:t>
      </w:r>
      <w:r>
        <w:rPr>
          <w:rFonts w:hint="eastAsia" w:eastAsia="宋体"/>
          <w:color w:val="auto"/>
          <w:szCs w:val="21"/>
          <w:highlight w:val="none"/>
          <w:lang w:val="en-US" w:eastAsia="zh-CN"/>
        </w:rPr>
        <w:t>确保</w:t>
      </w:r>
      <w:r>
        <w:rPr>
          <w:rFonts w:hint="eastAsia" w:eastAsia="宋体"/>
          <w:color w:val="auto"/>
          <w:szCs w:val="21"/>
          <w:highlight w:val="none"/>
        </w:rPr>
        <w:t>所供的物品必须符合国家有关执行标准，保证无异味、无霉烂变质</w:t>
      </w:r>
      <w:r>
        <w:rPr>
          <w:rFonts w:hint="eastAsia" w:eastAsia="宋体"/>
          <w:color w:val="auto"/>
          <w:szCs w:val="21"/>
          <w:highlight w:val="none"/>
          <w:lang w:eastAsia="zh-CN"/>
        </w:rPr>
        <w:t>；</w:t>
      </w:r>
      <w:r>
        <w:rPr>
          <w:rFonts w:hint="eastAsia" w:eastAsia="宋体"/>
          <w:color w:val="auto"/>
          <w:szCs w:val="21"/>
          <w:highlight w:val="none"/>
        </w:rPr>
        <w:t>所供商品必须符合国家行业生产及经营标准，货真价实，均能提供相应批次的合格检验证明</w:t>
      </w:r>
      <w:r>
        <w:rPr>
          <w:rFonts w:hint="eastAsia" w:eastAsia="宋体"/>
          <w:color w:val="auto"/>
          <w:szCs w:val="21"/>
          <w:highlight w:val="none"/>
          <w:lang w:eastAsia="zh-CN"/>
        </w:rPr>
        <w:t>；</w:t>
      </w:r>
      <w:r>
        <w:rPr>
          <w:rFonts w:hint="eastAsia" w:eastAsia="宋体"/>
          <w:color w:val="auto"/>
          <w:szCs w:val="21"/>
          <w:highlight w:val="none"/>
        </w:rPr>
        <w:t>所供货物必须各项技术指标完全符合国家有关质量检测、环保标准及产品出厂标准。</w:t>
      </w:r>
    </w:p>
    <w:p w14:paraId="534C5D80">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3.</w:t>
      </w:r>
      <w:r>
        <w:rPr>
          <w:rFonts w:hint="eastAsia"/>
          <w:color w:val="auto"/>
          <w:szCs w:val="21"/>
          <w:highlight w:val="none"/>
          <w:lang w:val="en-US" w:eastAsia="zh-CN"/>
        </w:rPr>
        <w:t>乙方</w:t>
      </w:r>
      <w:r>
        <w:rPr>
          <w:rFonts w:hint="eastAsia" w:eastAsia="宋体"/>
          <w:color w:val="auto"/>
          <w:szCs w:val="21"/>
          <w:highlight w:val="none"/>
        </w:rPr>
        <w:t>须负责</w:t>
      </w:r>
      <w:r>
        <w:rPr>
          <w:rFonts w:hint="eastAsia" w:eastAsia="宋体"/>
          <w:color w:val="auto"/>
          <w:szCs w:val="21"/>
          <w:highlight w:val="none"/>
          <w:lang w:val="en-US" w:eastAsia="zh-CN"/>
        </w:rPr>
        <w:t>采购货物的验收、</w:t>
      </w:r>
      <w:r>
        <w:rPr>
          <w:rFonts w:hint="eastAsia" w:eastAsia="宋体"/>
          <w:color w:val="auto"/>
          <w:szCs w:val="21"/>
          <w:highlight w:val="none"/>
        </w:rPr>
        <w:t>质量检测</w:t>
      </w:r>
      <w:r>
        <w:rPr>
          <w:rFonts w:hint="eastAsia" w:eastAsia="宋体"/>
          <w:color w:val="auto"/>
          <w:szCs w:val="21"/>
          <w:highlight w:val="none"/>
          <w:lang w:val="en-US" w:eastAsia="zh-CN"/>
        </w:rPr>
        <w:t>工作；</w:t>
      </w:r>
      <w:r>
        <w:rPr>
          <w:rFonts w:hint="eastAsia"/>
          <w:color w:val="auto"/>
          <w:szCs w:val="21"/>
          <w:highlight w:val="none"/>
          <w:lang w:val="en-US" w:eastAsia="zh-CN"/>
        </w:rPr>
        <w:t>乙方</w:t>
      </w:r>
      <w:r>
        <w:rPr>
          <w:rFonts w:hint="eastAsia" w:eastAsia="宋体"/>
          <w:color w:val="auto"/>
          <w:szCs w:val="21"/>
          <w:highlight w:val="none"/>
        </w:rPr>
        <w:t>提供的货品必须出示真实有效的检验合格报告</w:t>
      </w:r>
      <w:r>
        <w:rPr>
          <w:rFonts w:hint="eastAsia" w:eastAsia="宋体"/>
          <w:color w:val="auto"/>
          <w:szCs w:val="21"/>
          <w:highlight w:val="none"/>
          <w:lang w:eastAsia="zh-CN"/>
        </w:rPr>
        <w:t>；</w:t>
      </w:r>
      <w:r>
        <w:rPr>
          <w:rFonts w:hint="eastAsia" w:eastAsia="宋体"/>
          <w:color w:val="auto"/>
          <w:szCs w:val="21"/>
          <w:highlight w:val="none"/>
        </w:rPr>
        <w:t>凡国家有明文规定的必须提供产品检验报告</w:t>
      </w:r>
      <w:r>
        <w:rPr>
          <w:rFonts w:hint="eastAsia" w:eastAsia="宋体"/>
          <w:color w:val="auto"/>
          <w:szCs w:val="21"/>
          <w:highlight w:val="none"/>
          <w:lang w:val="en-US" w:eastAsia="zh-CN"/>
        </w:rPr>
        <w:t>并</w:t>
      </w:r>
      <w:r>
        <w:rPr>
          <w:rFonts w:hint="eastAsia" w:eastAsia="宋体"/>
          <w:color w:val="auto"/>
          <w:szCs w:val="21"/>
          <w:highlight w:val="none"/>
        </w:rPr>
        <w:t>存档，符合国家朔源制度规定，保证供应的货品能溯源、易溯源。</w:t>
      </w:r>
    </w:p>
    <w:p w14:paraId="5808C0AD">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lang w:val="en-US" w:eastAsia="zh-CN"/>
        </w:rPr>
      </w:pPr>
      <w:r>
        <w:rPr>
          <w:rFonts w:hint="eastAsia" w:eastAsia="宋体"/>
          <w:color w:val="auto"/>
          <w:szCs w:val="21"/>
          <w:highlight w:val="none"/>
          <w:lang w:val="en-US" w:eastAsia="zh-CN"/>
        </w:rPr>
        <w:t>4.</w:t>
      </w:r>
      <w:r>
        <w:rPr>
          <w:rFonts w:hint="eastAsia"/>
          <w:color w:val="auto"/>
          <w:szCs w:val="21"/>
          <w:highlight w:val="none"/>
          <w:lang w:val="en-US" w:eastAsia="zh-CN"/>
        </w:rPr>
        <w:t>乙方</w:t>
      </w:r>
      <w:r>
        <w:rPr>
          <w:rFonts w:hint="eastAsia" w:eastAsia="宋体"/>
          <w:color w:val="auto"/>
          <w:szCs w:val="21"/>
          <w:highlight w:val="none"/>
          <w:lang w:val="en-US" w:eastAsia="zh-CN"/>
        </w:rPr>
        <w:t>须对</w:t>
      </w:r>
      <w:r>
        <w:rPr>
          <w:rFonts w:hint="eastAsia" w:eastAsia="宋体"/>
          <w:color w:val="auto"/>
          <w:szCs w:val="21"/>
          <w:highlight w:val="none"/>
        </w:rPr>
        <w:t>商品进行认真验收，对不符合</w:t>
      </w:r>
      <w:r>
        <w:rPr>
          <w:rFonts w:hint="eastAsia" w:eastAsia="宋体"/>
          <w:color w:val="auto"/>
          <w:szCs w:val="21"/>
          <w:highlight w:val="none"/>
          <w:lang w:val="en-US" w:eastAsia="zh-CN"/>
        </w:rPr>
        <w:t>相关</w:t>
      </w:r>
      <w:r>
        <w:rPr>
          <w:rFonts w:hint="eastAsia" w:eastAsia="宋体"/>
          <w:color w:val="auto"/>
          <w:szCs w:val="21"/>
          <w:highlight w:val="none"/>
        </w:rPr>
        <w:t>要求的商品，</w:t>
      </w:r>
      <w:r>
        <w:rPr>
          <w:rFonts w:hint="eastAsia"/>
          <w:color w:val="auto"/>
          <w:szCs w:val="21"/>
          <w:highlight w:val="none"/>
          <w:lang w:val="en-US" w:eastAsia="zh-CN"/>
        </w:rPr>
        <w:t>乙方</w:t>
      </w:r>
      <w:r>
        <w:rPr>
          <w:rFonts w:hint="eastAsia" w:eastAsia="宋体"/>
          <w:color w:val="auto"/>
          <w:szCs w:val="21"/>
          <w:highlight w:val="none"/>
        </w:rPr>
        <w:t>必须无条件退货；</w:t>
      </w:r>
      <w:r>
        <w:rPr>
          <w:rFonts w:hint="eastAsia"/>
          <w:color w:val="auto"/>
          <w:szCs w:val="21"/>
          <w:highlight w:val="none"/>
          <w:lang w:val="en-US" w:eastAsia="zh-CN"/>
        </w:rPr>
        <w:t>乙方</w:t>
      </w:r>
      <w:r>
        <w:rPr>
          <w:rFonts w:hint="eastAsia" w:eastAsia="宋体"/>
          <w:color w:val="auto"/>
          <w:szCs w:val="21"/>
          <w:highlight w:val="none"/>
          <w:lang w:val="en-US" w:eastAsia="zh-CN"/>
        </w:rPr>
        <w:t>有责任确保</w:t>
      </w:r>
      <w:r>
        <w:rPr>
          <w:rFonts w:hint="eastAsia" w:eastAsia="宋体"/>
          <w:color w:val="auto"/>
          <w:szCs w:val="21"/>
          <w:highlight w:val="none"/>
        </w:rPr>
        <w:t>不合格、假冒伪劣、以次充好的商品</w:t>
      </w:r>
      <w:r>
        <w:rPr>
          <w:rFonts w:hint="eastAsia" w:eastAsia="宋体"/>
          <w:color w:val="auto"/>
          <w:szCs w:val="21"/>
          <w:highlight w:val="none"/>
          <w:lang w:val="en-US" w:eastAsia="zh-CN"/>
        </w:rPr>
        <w:t>进入食堂。</w:t>
      </w:r>
    </w:p>
    <w:p w14:paraId="4EFEE1E6">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5.对因质量问题产生退货的商品，</w:t>
      </w:r>
      <w:r>
        <w:rPr>
          <w:rFonts w:hint="eastAsia"/>
          <w:color w:val="auto"/>
          <w:szCs w:val="21"/>
          <w:highlight w:val="none"/>
          <w:lang w:val="en-US" w:eastAsia="zh-CN"/>
        </w:rPr>
        <w:t>乙方</w:t>
      </w:r>
      <w:r>
        <w:rPr>
          <w:rFonts w:hint="eastAsia" w:eastAsia="宋体"/>
          <w:color w:val="auto"/>
          <w:szCs w:val="21"/>
          <w:highlight w:val="none"/>
          <w:lang w:val="en-US" w:eastAsia="zh-CN"/>
        </w:rPr>
        <w:t>须记录退货档案，并减少</w:t>
      </w:r>
      <w:r>
        <w:rPr>
          <w:rFonts w:hint="eastAsia" w:eastAsia="宋体"/>
          <w:color w:val="auto"/>
          <w:szCs w:val="21"/>
          <w:highlight w:val="none"/>
        </w:rPr>
        <w:t>其供应</w:t>
      </w:r>
      <w:r>
        <w:rPr>
          <w:rFonts w:hint="eastAsia" w:eastAsia="宋体"/>
          <w:color w:val="auto"/>
          <w:szCs w:val="21"/>
          <w:highlight w:val="none"/>
          <w:lang w:val="en-US" w:eastAsia="zh-CN"/>
        </w:rPr>
        <w:t>份额，对于多次因质量问题产生退货的供应商，</w:t>
      </w:r>
      <w:r>
        <w:rPr>
          <w:rFonts w:hint="eastAsia"/>
          <w:color w:val="auto"/>
          <w:szCs w:val="21"/>
          <w:highlight w:val="none"/>
          <w:lang w:val="en-US" w:eastAsia="zh-CN"/>
        </w:rPr>
        <w:t>乙方</w:t>
      </w:r>
      <w:r>
        <w:rPr>
          <w:rFonts w:hint="eastAsia" w:eastAsia="宋体"/>
          <w:color w:val="auto"/>
          <w:szCs w:val="21"/>
          <w:highlight w:val="none"/>
          <w:lang w:val="en-US" w:eastAsia="zh-CN"/>
        </w:rPr>
        <w:t>须取消其供应资格</w:t>
      </w:r>
      <w:r>
        <w:rPr>
          <w:rFonts w:hint="eastAsia" w:eastAsia="宋体"/>
          <w:color w:val="auto"/>
          <w:szCs w:val="21"/>
          <w:highlight w:val="none"/>
        </w:rPr>
        <w:t>。</w:t>
      </w:r>
    </w:p>
    <w:p w14:paraId="2C0B57C4">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6.</w:t>
      </w:r>
      <w:r>
        <w:rPr>
          <w:rFonts w:hint="eastAsia" w:eastAsia="宋体"/>
          <w:color w:val="auto"/>
          <w:szCs w:val="21"/>
          <w:highlight w:val="none"/>
        </w:rPr>
        <w:t>根据国家乡村振兴要求，</w:t>
      </w:r>
      <w:r>
        <w:rPr>
          <w:rFonts w:hint="eastAsia"/>
          <w:color w:val="auto"/>
          <w:szCs w:val="21"/>
          <w:highlight w:val="none"/>
          <w:lang w:val="en-US" w:eastAsia="zh-CN"/>
        </w:rPr>
        <w:t>乙方</w:t>
      </w:r>
      <w:r>
        <w:rPr>
          <w:rFonts w:hint="eastAsia" w:eastAsia="宋体"/>
          <w:color w:val="auto"/>
          <w:szCs w:val="21"/>
          <w:highlight w:val="none"/>
          <w:lang w:val="en-US" w:eastAsia="zh-CN"/>
        </w:rPr>
        <w:t>需</w:t>
      </w:r>
      <w:r>
        <w:rPr>
          <w:rFonts w:hint="eastAsia" w:eastAsia="宋体"/>
          <w:color w:val="auto"/>
          <w:szCs w:val="21"/>
          <w:highlight w:val="none"/>
        </w:rPr>
        <w:t>积极响应和配合乡村振兴政策，支持和采购乡村振兴和对口帮扶农副产品。</w:t>
      </w:r>
    </w:p>
    <w:p w14:paraId="7E5B7538">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lang w:val="en-US" w:eastAsia="zh-CN"/>
        </w:rPr>
      </w:pPr>
      <w:r>
        <w:rPr>
          <w:rFonts w:hint="eastAsia" w:eastAsia="宋体"/>
          <w:color w:val="auto"/>
          <w:szCs w:val="21"/>
          <w:highlight w:val="none"/>
          <w:lang w:val="en-US" w:eastAsia="zh-CN"/>
        </w:rPr>
        <w:t>7.对于供应商提供的商品，产品质量要求包括但不限于如下：</w:t>
      </w:r>
    </w:p>
    <w:p w14:paraId="1C907E1A">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7.1</w:t>
      </w:r>
      <w:r>
        <w:rPr>
          <w:rFonts w:hint="eastAsia" w:eastAsia="宋体"/>
          <w:color w:val="auto"/>
          <w:szCs w:val="21"/>
          <w:highlight w:val="none"/>
        </w:rPr>
        <w:t>蔬菜类</w:t>
      </w:r>
      <w:r>
        <w:rPr>
          <w:rFonts w:hint="eastAsia" w:eastAsia="宋体"/>
          <w:color w:val="auto"/>
          <w:szCs w:val="21"/>
          <w:highlight w:val="none"/>
          <w:lang w:eastAsia="zh-CN"/>
        </w:rPr>
        <w:t>：</w:t>
      </w:r>
      <w:r>
        <w:rPr>
          <w:rFonts w:hint="eastAsia" w:eastAsia="宋体"/>
          <w:color w:val="auto"/>
          <w:szCs w:val="21"/>
          <w:highlight w:val="none"/>
        </w:rPr>
        <w:t>提供的蔬菜必须保证每日新鲜，产品符合食品卫生安全法要求并出具有效的《农产品检验报告》</w:t>
      </w:r>
      <w:r>
        <w:rPr>
          <w:rFonts w:hint="eastAsia" w:eastAsia="宋体"/>
          <w:color w:val="auto"/>
          <w:szCs w:val="21"/>
          <w:highlight w:val="none"/>
          <w:lang w:eastAsia="zh-CN"/>
        </w:rPr>
        <w:t>；</w:t>
      </w:r>
      <w:r>
        <w:rPr>
          <w:rFonts w:hint="eastAsia"/>
          <w:color w:val="auto"/>
          <w:szCs w:val="21"/>
          <w:highlight w:val="none"/>
          <w:lang w:val="en-US" w:eastAsia="zh-CN"/>
        </w:rPr>
        <w:t>乙方</w:t>
      </w:r>
      <w:r>
        <w:rPr>
          <w:rFonts w:hint="eastAsia" w:eastAsia="宋体"/>
          <w:color w:val="auto"/>
          <w:szCs w:val="21"/>
          <w:highlight w:val="none"/>
          <w:lang w:val="en-US" w:eastAsia="zh-CN"/>
        </w:rPr>
        <w:t>须定期</w:t>
      </w:r>
      <w:r>
        <w:rPr>
          <w:rFonts w:hint="eastAsia" w:eastAsia="宋体"/>
          <w:color w:val="auto"/>
          <w:szCs w:val="21"/>
          <w:highlight w:val="none"/>
        </w:rPr>
        <w:t>使用“农药测试卡”检验蔬菜农药含量，如含量超标</w:t>
      </w:r>
      <w:r>
        <w:rPr>
          <w:rFonts w:hint="eastAsia" w:eastAsia="宋体"/>
          <w:color w:val="auto"/>
          <w:szCs w:val="21"/>
          <w:highlight w:val="none"/>
          <w:lang w:eastAsia="zh-CN"/>
        </w:rPr>
        <w:t>，</w:t>
      </w:r>
      <w:r>
        <w:rPr>
          <w:rFonts w:hint="eastAsia" w:eastAsia="宋体"/>
          <w:color w:val="auto"/>
          <w:szCs w:val="21"/>
          <w:highlight w:val="none"/>
          <w:lang w:val="en-US" w:eastAsia="zh-CN"/>
        </w:rPr>
        <w:t>须</w:t>
      </w:r>
      <w:r>
        <w:rPr>
          <w:rFonts w:hint="eastAsia" w:eastAsia="宋体"/>
          <w:color w:val="auto"/>
          <w:szCs w:val="21"/>
          <w:highlight w:val="none"/>
        </w:rPr>
        <w:t>要求</w:t>
      </w:r>
      <w:r>
        <w:rPr>
          <w:rFonts w:hint="eastAsia" w:eastAsia="宋体"/>
          <w:color w:val="auto"/>
          <w:szCs w:val="21"/>
          <w:highlight w:val="none"/>
          <w:lang w:val="en-US" w:eastAsia="zh-CN"/>
        </w:rPr>
        <w:t>供应商</w:t>
      </w:r>
      <w:r>
        <w:rPr>
          <w:rFonts w:hint="eastAsia" w:eastAsia="宋体"/>
          <w:color w:val="auto"/>
          <w:szCs w:val="21"/>
          <w:highlight w:val="none"/>
        </w:rPr>
        <w:t>无条件退货或换货，同时做好相关记录。</w:t>
      </w:r>
      <w:r>
        <w:rPr>
          <w:rFonts w:hint="eastAsia" w:eastAsia="宋体"/>
          <w:color w:val="auto"/>
          <w:szCs w:val="21"/>
          <w:highlight w:val="none"/>
          <w:lang w:val="en-US" w:eastAsia="zh-CN"/>
        </w:rPr>
        <w:t>蔬菜</w:t>
      </w:r>
      <w:r>
        <w:rPr>
          <w:rFonts w:hint="eastAsia" w:eastAsia="宋体"/>
          <w:color w:val="auto"/>
          <w:szCs w:val="21"/>
          <w:highlight w:val="none"/>
        </w:rPr>
        <w:t>应保持较好的色泽和新鲜度，不得有黄叶，不得腐烂或有异常味道，不存在</w:t>
      </w:r>
      <w:r>
        <w:rPr>
          <w:rFonts w:hint="eastAsia" w:eastAsia="宋体"/>
          <w:color w:val="auto"/>
          <w:szCs w:val="21"/>
          <w:highlight w:val="none"/>
          <w:lang w:val="en-US" w:eastAsia="zh-CN"/>
        </w:rPr>
        <w:t>大量</w:t>
      </w:r>
      <w:r>
        <w:rPr>
          <w:rFonts w:hint="eastAsia" w:eastAsia="宋体"/>
          <w:color w:val="auto"/>
          <w:szCs w:val="21"/>
          <w:highlight w:val="none"/>
        </w:rPr>
        <w:t>泥沙和异物</w:t>
      </w:r>
      <w:r>
        <w:rPr>
          <w:rFonts w:hint="eastAsia" w:eastAsia="宋体"/>
          <w:color w:val="auto"/>
          <w:szCs w:val="21"/>
          <w:highlight w:val="none"/>
          <w:lang w:eastAsia="zh-CN"/>
        </w:rPr>
        <w:t>。</w:t>
      </w:r>
      <w:r>
        <w:rPr>
          <w:rFonts w:hint="eastAsia" w:eastAsia="宋体"/>
          <w:color w:val="auto"/>
          <w:szCs w:val="21"/>
          <w:highlight w:val="none"/>
        </w:rPr>
        <w:t>不得供应转基因产品。</w:t>
      </w:r>
    </w:p>
    <w:p w14:paraId="1B2BB351">
      <w:pPr>
        <w:widowControl/>
        <w:tabs>
          <w:tab w:val="left" w:pos="1365"/>
        </w:tabs>
        <w:autoSpaceDE/>
        <w:autoSpaceDN/>
        <w:adjustRightInd w:val="0"/>
        <w:snapToGrid w:val="0"/>
        <w:spacing w:line="360" w:lineRule="auto"/>
        <w:ind w:firstLine="420" w:firstLineChars="200"/>
        <w:rPr>
          <w:rFonts w:hint="eastAsia" w:eastAsia="宋体"/>
          <w:color w:val="auto"/>
          <w:szCs w:val="21"/>
          <w:highlight w:val="none"/>
        </w:rPr>
      </w:pPr>
      <w:r>
        <w:rPr>
          <w:rFonts w:hint="eastAsia" w:eastAsia="宋体"/>
          <w:color w:val="auto"/>
          <w:szCs w:val="21"/>
          <w:highlight w:val="none"/>
          <w:lang w:val="en-US" w:eastAsia="zh-CN"/>
        </w:rPr>
        <w:t>7.2</w:t>
      </w:r>
      <w:r>
        <w:rPr>
          <w:rFonts w:hint="eastAsia" w:eastAsia="宋体"/>
          <w:color w:val="auto"/>
          <w:szCs w:val="21"/>
          <w:highlight w:val="none"/>
        </w:rPr>
        <w:t>禽畜类</w:t>
      </w:r>
      <w:r>
        <w:rPr>
          <w:rFonts w:hint="eastAsia" w:eastAsia="宋体"/>
          <w:color w:val="auto"/>
          <w:szCs w:val="21"/>
          <w:highlight w:val="none"/>
          <w:lang w:eastAsia="zh-CN"/>
        </w:rPr>
        <w:t>：</w:t>
      </w:r>
      <w:r>
        <w:rPr>
          <w:rFonts w:hint="eastAsia" w:eastAsia="宋体"/>
          <w:color w:val="auto"/>
          <w:szCs w:val="21"/>
          <w:highlight w:val="none"/>
          <w:lang w:val="en-US" w:eastAsia="zh-CN"/>
        </w:rPr>
        <w:t>供应商</w:t>
      </w:r>
      <w:r>
        <w:rPr>
          <w:rFonts w:hint="eastAsia" w:eastAsia="宋体"/>
          <w:color w:val="auto"/>
          <w:szCs w:val="21"/>
          <w:highlight w:val="none"/>
        </w:rPr>
        <w:t>所供肉类货物应保持较好的外观和质量等级，符合国家食品部门的有关标准，保证无异味、无霉烂变质，</w:t>
      </w:r>
      <w:r>
        <w:rPr>
          <w:rFonts w:hint="eastAsia" w:ascii="宋体" w:hAnsi="宋体" w:cs="宋体"/>
          <w:b w:val="0"/>
          <w:bCs w:val="0"/>
          <w:color w:val="auto"/>
          <w:sz w:val="21"/>
          <w:szCs w:val="21"/>
          <w:highlight w:val="none"/>
          <w:lang w:val="en-US" w:eastAsia="zh-CN"/>
        </w:rPr>
        <w:t>提供的猪肉牛肉羊肉均为东莞市定点屠宰厂( 场)经检疫和肉品品质检验合格的产品，具有由定点屠宰厂(场)加盖验讫印章并出具《畜产品检验证明》或《动物检疫合格证明》，所有产品并可追索。</w:t>
      </w:r>
      <w:r>
        <w:rPr>
          <w:rFonts w:hint="eastAsia" w:eastAsia="宋体"/>
          <w:color w:val="auto"/>
          <w:szCs w:val="21"/>
          <w:highlight w:val="none"/>
        </w:rPr>
        <w:t>冷冻肉类要求肉体冻实而坚硬，无化冻现象，肉质紧密而有弹性，色泽均匀，不粘手，交货时干净、新鲜、无异味。所有冷冻食品要求产品品牌、规格、类型、包装方式、包装净重、含冰量等相关参数</w:t>
      </w:r>
      <w:r>
        <w:rPr>
          <w:rFonts w:hint="eastAsia" w:eastAsia="宋体"/>
          <w:color w:val="auto"/>
          <w:szCs w:val="21"/>
          <w:highlight w:val="none"/>
          <w:lang w:val="en-US" w:eastAsia="zh-CN"/>
        </w:rPr>
        <w:t>清晰可查</w:t>
      </w:r>
      <w:r>
        <w:rPr>
          <w:rFonts w:hint="eastAsia" w:eastAsia="宋体"/>
          <w:color w:val="auto"/>
          <w:szCs w:val="21"/>
          <w:highlight w:val="none"/>
        </w:rPr>
        <w:t>。</w:t>
      </w:r>
    </w:p>
    <w:p w14:paraId="0B8A972B">
      <w:pPr>
        <w:pageBreakBefore w:val="0"/>
        <w:kinsoku/>
        <w:wordWrap/>
        <w:overflowPunct/>
        <w:topLinePunct w:val="0"/>
        <w:autoSpaceDE/>
        <w:autoSpaceDN/>
        <w:bidi w:val="0"/>
        <w:spacing w:line="360" w:lineRule="auto"/>
        <w:ind w:firstLine="424" w:firstLineChars="202"/>
        <w:textAlignment w:val="auto"/>
        <w:rPr>
          <w:rFonts w:hint="eastAsia" w:ascii="宋体" w:hAnsi="宋体" w:cs="宋体"/>
          <w:b w:val="0"/>
          <w:bCs w:val="0"/>
          <w:color w:val="auto"/>
          <w:sz w:val="21"/>
          <w:szCs w:val="21"/>
          <w:highlight w:val="none"/>
          <w:lang w:val="en-US" w:eastAsia="zh-CN"/>
        </w:rPr>
      </w:pPr>
      <w:r>
        <w:rPr>
          <w:rFonts w:hint="eastAsia" w:eastAsia="宋体"/>
          <w:color w:val="auto"/>
          <w:szCs w:val="21"/>
          <w:highlight w:val="none"/>
          <w:lang w:val="en-US" w:eastAsia="zh-CN"/>
        </w:rPr>
        <w:t>7.3其他类：供应商</w:t>
      </w:r>
      <w:r>
        <w:rPr>
          <w:rFonts w:hint="eastAsia" w:eastAsia="宋体"/>
          <w:color w:val="auto"/>
          <w:szCs w:val="21"/>
          <w:highlight w:val="none"/>
        </w:rPr>
        <w:t>所供</w:t>
      </w:r>
      <w:r>
        <w:rPr>
          <w:rFonts w:hint="eastAsia" w:ascii="宋体" w:hAnsi="宋体" w:cs="宋体"/>
          <w:b w:val="0"/>
          <w:bCs w:val="0"/>
          <w:color w:val="auto"/>
          <w:sz w:val="21"/>
          <w:szCs w:val="21"/>
          <w:highlight w:val="none"/>
          <w:lang w:val="en-US" w:eastAsia="zh-CN"/>
        </w:rPr>
        <w:t>鱼要保证每日新鲜；货物有包装的，货物的包装必须完整清洁 (无损、无污、无皱) ，乙方须拒收包装不整齐、已拆封的商品。</w:t>
      </w:r>
    </w:p>
    <w:p w14:paraId="3503E336">
      <w:pPr>
        <w:pageBreakBefore w:val="0"/>
        <w:numPr>
          <w:ilvl w:val="0"/>
          <w:numId w:val="0"/>
        </w:numPr>
        <w:kinsoku/>
        <w:wordWrap/>
        <w:overflowPunct/>
        <w:topLinePunct w:val="0"/>
        <w:autoSpaceDE/>
        <w:autoSpaceDN/>
        <w:bidi w:val="0"/>
        <w:spacing w:line="360" w:lineRule="auto"/>
        <w:ind w:firstLine="420" w:firstLineChars="200"/>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8.甲方及校方不定期抽查食材验收情况，如发现乙方纵容</w:t>
      </w:r>
      <w:r>
        <w:rPr>
          <w:rFonts w:hint="eastAsia" w:eastAsia="宋体"/>
          <w:color w:val="auto"/>
          <w:szCs w:val="21"/>
          <w:highlight w:val="none"/>
        </w:rPr>
        <w:t>不合格、假冒伪劣、以次充好的商品</w:t>
      </w:r>
      <w:r>
        <w:rPr>
          <w:rFonts w:hint="eastAsia" w:eastAsia="宋体"/>
          <w:color w:val="auto"/>
          <w:szCs w:val="21"/>
          <w:highlight w:val="none"/>
          <w:lang w:val="en-US" w:eastAsia="zh-CN"/>
        </w:rPr>
        <w:t>进入食堂，</w:t>
      </w:r>
      <w:r>
        <w:rPr>
          <w:rFonts w:hint="eastAsia"/>
          <w:color w:val="auto"/>
          <w:szCs w:val="21"/>
          <w:highlight w:val="none"/>
          <w:lang w:val="en-US" w:eastAsia="zh-CN"/>
        </w:rPr>
        <w:t>甲方</w:t>
      </w:r>
      <w:r>
        <w:rPr>
          <w:rFonts w:hint="eastAsia" w:eastAsia="宋体"/>
          <w:color w:val="auto"/>
          <w:szCs w:val="21"/>
          <w:highlight w:val="none"/>
          <w:lang w:val="en-US" w:eastAsia="zh-CN"/>
        </w:rPr>
        <w:t>及校方根据事态恶劣情况，可直接对</w:t>
      </w:r>
      <w:r>
        <w:rPr>
          <w:rFonts w:hint="eastAsia"/>
          <w:color w:val="auto"/>
          <w:szCs w:val="21"/>
          <w:highlight w:val="none"/>
          <w:lang w:val="en-US" w:eastAsia="zh-CN"/>
        </w:rPr>
        <w:t>乙方</w:t>
      </w:r>
      <w:r>
        <w:rPr>
          <w:rFonts w:hint="eastAsia" w:eastAsia="宋体"/>
          <w:color w:val="auto"/>
          <w:szCs w:val="21"/>
          <w:highlight w:val="none"/>
          <w:lang w:val="en-US" w:eastAsia="zh-CN"/>
        </w:rPr>
        <w:t>进行扣分、或清退处理。</w:t>
      </w:r>
    </w:p>
    <w:p w14:paraId="59F951BF">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（4）食材储存要求</w:t>
      </w:r>
    </w:p>
    <w:p w14:paraId="3CDEA559">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1.食材采购除必要预留应急食材外，尽量应对照菜单采购，遵循“按需采购”准则，确保当日食材当日用，尽量减少储存量。</w:t>
      </w:r>
    </w:p>
    <w:p w14:paraId="605CF070">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需根据食材特性实施食材储存，肉类、水产品、禽类、蔬菜、水果各类食材应分开贮存，避免交叉污染，贮存的食品应装入密封的容器中或妥善进行包裹。</w:t>
      </w:r>
      <w:r>
        <w:rPr>
          <w:rFonts w:hint="default" w:ascii="宋体" w:hAnsi="宋体" w:eastAsia="宋体" w:cs="宋体"/>
          <w:b w:val="0"/>
          <w:bCs w:val="0"/>
          <w:color w:val="auto"/>
          <w:sz w:val="21"/>
          <w:szCs w:val="21"/>
          <w:highlight w:val="none"/>
          <w:lang w:val="en-US" w:eastAsia="zh-CN"/>
        </w:rPr>
        <w:t>用于保存食品的冷藏冷冻设备，应当贴有标识，原料、半成品和成品应当分柜存放。</w:t>
      </w:r>
    </w:p>
    <w:p w14:paraId="355E31AA">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不应将冷冻食品长时间放置在室温环境下，各类食品贮存的温度应符合如下要求：</w:t>
      </w:r>
    </w:p>
    <w:p w14:paraId="7BD83392">
      <w:pPr>
        <w:pageBreakBefore w:val="0"/>
        <w:kinsoku/>
        <w:wordWrap/>
        <w:overflowPunct/>
        <w:topLinePunct w:val="0"/>
        <w:autoSpaceDE/>
        <w:autoSpaceDN/>
        <w:bidi w:val="0"/>
        <w:spacing w:line="360" w:lineRule="auto"/>
        <w:ind w:firstLine="424" w:firstLineChars="202"/>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3.1鲜肉、禽类、鱼类和乳品：低于5℃。</w:t>
      </w:r>
    </w:p>
    <w:p w14:paraId="764834DA">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3.2鲜蛋和活的贝类：低于7℃.</w:t>
      </w:r>
    </w:p>
    <w:p w14:paraId="6A5F1655">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3.3新鲜蔬菜和水果：5-7℃.</w:t>
      </w:r>
    </w:p>
    <w:p w14:paraId="1DB2FBEE">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3.4预包装食品一旦拆封后：低于5℃.</w:t>
      </w:r>
    </w:p>
    <w:p w14:paraId="2C33151E">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不得将超过贮存安全期限的食材进行制售，对于超过贮存安全期限的食材，</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须按流程进行销毁，避免相应食材流入餐桌。</w:t>
      </w:r>
    </w:p>
    <w:p w14:paraId="1BB078F1">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default" w:ascii="宋体" w:hAnsi="宋体" w:eastAsia="宋体" w:cs="宋体"/>
          <w:b w:val="0"/>
          <w:bCs w:val="0"/>
          <w:color w:val="auto"/>
          <w:sz w:val="21"/>
          <w:szCs w:val="21"/>
          <w:highlight w:val="none"/>
          <w:lang w:val="en-US" w:eastAsia="zh-CN"/>
        </w:rPr>
        <w:t>食品要分类、分架、隔墙离地上架存放，各类食品有明显标志。有异味或易吸潮的食品应密封保存或分库存放，易腐食品要及时处理</w:t>
      </w:r>
      <w:r>
        <w:rPr>
          <w:rFonts w:hint="eastAsia" w:ascii="宋体" w:hAnsi="宋体" w:eastAsia="宋体" w:cs="宋体"/>
          <w:b w:val="0"/>
          <w:bCs w:val="0"/>
          <w:color w:val="auto"/>
          <w:sz w:val="21"/>
          <w:szCs w:val="21"/>
          <w:highlight w:val="none"/>
          <w:lang w:val="en-US" w:eastAsia="zh-CN"/>
        </w:rPr>
        <w:t>。</w:t>
      </w:r>
      <w:r>
        <w:rPr>
          <w:rFonts w:hint="default" w:ascii="宋体" w:hAnsi="宋体" w:eastAsia="宋体" w:cs="宋体"/>
          <w:b w:val="0"/>
          <w:bCs w:val="0"/>
          <w:color w:val="auto"/>
          <w:sz w:val="21"/>
          <w:szCs w:val="21"/>
          <w:highlight w:val="none"/>
          <w:lang w:val="en-US" w:eastAsia="zh-CN"/>
        </w:rPr>
        <w:t>贮存散装食品，应当在贮存位置标明食品的名称、生产日期或者生产批号、保质期、生产者名称以及联系方式等内容。食品库房不得存放有毒、有害物品。</w:t>
      </w:r>
    </w:p>
    <w:p w14:paraId="04570845">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应建立食材出库、入库制度，确保食材进出库情况可查可溯源。</w:t>
      </w:r>
    </w:p>
    <w:p w14:paraId="72E9E658">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学校食堂制作的食品在烹饪后应当尽量当餐用完，需要熟制的食品应当烧熟煮透。需要再次利用的，应当按照相关规范采取热藏或者冷藏方式存放，并在确认没有腐败变质的情况下，对需要加热的食品经高温彻底加热后食用。</w:t>
      </w:r>
    </w:p>
    <w:p w14:paraId="067C7D03">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及校方不定期抽查食材储存情况、食材进出库记录，如发现存在不按规定进行食物储存或储存食物超出食材储存安全期限的，可直接对</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进行扣分，由此产生食品安全事故的，</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及校方</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有权无条件终止合同，保留追诉相关法律责任的权利。</w:t>
      </w:r>
    </w:p>
    <w:p w14:paraId="435CE658">
      <w:pPr>
        <w:pStyle w:val="6"/>
        <w:pageBreakBefore w:val="0"/>
        <w:numPr>
          <w:ilvl w:val="0"/>
          <w:numId w:val="0"/>
        </w:numPr>
        <w:kinsoku/>
        <w:wordWrap/>
        <w:overflowPunct/>
        <w:topLinePunct w:val="0"/>
        <w:autoSpaceDE/>
        <w:autoSpaceDN/>
        <w:bidi w:val="0"/>
        <w:spacing w:line="360" w:lineRule="auto"/>
        <w:ind w:leftChars="228"/>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（5）后厨加工要求</w:t>
      </w:r>
    </w:p>
    <w:p w14:paraId="45AD6FFD">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1.后厨食物加工工作人员应严格按照菜单及菜品相应食材明细进行加工，除特殊情况下，不得更换菜单菜品，不得更换菜品相应食材明细。</w:t>
      </w:r>
    </w:p>
    <w:p w14:paraId="1E936220">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不得制售冷荤类食品、生食类食品、裱花蛋糕，不得加工制作四季豆、鲜黄花菜、野生蘑菇、发芽土豆等高风险食品。</w:t>
      </w:r>
    </w:p>
    <w:p w14:paraId="01896077">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中小学、幼儿园食堂应当对每餐次加工制作的每种食品成品进行留样，每个品种留样量应当满足检验需要，不得少于125克，并记录留样食品名称、留样量、留样时间、留样人员等。留样食品应当由专柜冷藏保存48小时以上。</w:t>
      </w:r>
    </w:p>
    <w:p w14:paraId="2EE3BA3E">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4.对于需解冻的食材，</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需将解冻的食品原料浸没在20℃以下的流动水中解冻，应避免反复对食品进行解冻、冷冻，使微生物大量繁殖。</w:t>
      </w:r>
    </w:p>
    <w:p w14:paraId="58A23077">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食材加工前应认真检查待加工食品，发现有腐败变质迹象或者其他感官性状异常的，不得加工和使用。</w:t>
      </w:r>
    </w:p>
    <w:p w14:paraId="7FD50BFC">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6.叶菜清洁时，</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应将每片菜叶摘下后彻底清洗，因污物可能会进入菜的中心部分，以去除蔬菜中可能含有的农药。</w:t>
      </w:r>
    </w:p>
    <w:p w14:paraId="0561D10E">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应预防豆浆食物中毒，在豆浆烧煮时将上涌的泡沫除净，煮沸后再以文火维持沸腾5分钟左右，以去除胰蛋白酶抑制物等有害化学物质。</w:t>
      </w:r>
    </w:p>
    <w:p w14:paraId="58710F97">
      <w:pPr>
        <w:pageBreakBefore w:val="0"/>
        <w:numPr>
          <w:ilvl w:val="0"/>
          <w:numId w:val="0"/>
        </w:numPr>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应避免原料加工中的交叉污染。</w:t>
      </w:r>
    </w:p>
    <w:p w14:paraId="13B9DF29">
      <w:pPr>
        <w:pageBreakBefore w:val="0"/>
        <w:numPr>
          <w:ilvl w:val="0"/>
          <w:numId w:val="0"/>
        </w:numPr>
        <w:kinsoku/>
        <w:wordWrap/>
        <w:overflowPunct/>
        <w:topLinePunct w:val="0"/>
        <w:autoSpaceDE/>
        <w:autoSpaceDN/>
        <w:bidi w:val="0"/>
        <w:spacing w:line="360" w:lineRule="auto"/>
        <w:ind w:firstLine="420" w:firstLineChars="200"/>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w:t>
      </w:r>
      <w:r>
        <w:rPr>
          <w:rFonts w:hint="eastAsia" w:ascii="宋体" w:hAnsi="宋体" w:cs="宋体"/>
          <w:b w:val="0"/>
          <w:bCs w:val="0"/>
          <w:color w:val="auto"/>
          <w:sz w:val="21"/>
          <w:szCs w:val="21"/>
          <w:highlight w:val="none"/>
          <w:lang w:val="en-US" w:eastAsia="zh-CN"/>
        </w:rPr>
        <w:t>乙方</w:t>
      </w:r>
      <w:r>
        <w:rPr>
          <w:rFonts w:hint="eastAsia" w:ascii="宋体" w:hAnsi="宋体" w:eastAsia="宋体" w:cs="宋体"/>
          <w:b w:val="0"/>
          <w:bCs w:val="0"/>
          <w:color w:val="auto"/>
          <w:sz w:val="21"/>
          <w:szCs w:val="21"/>
          <w:highlight w:val="none"/>
          <w:lang w:val="en-US" w:eastAsia="zh-CN"/>
        </w:rPr>
        <w:t>应在确保食品加工安全的基础上，尽量满足学校师生不同的口味需求，制作出美味可口的饭菜。</w:t>
      </w:r>
      <w:r>
        <w:rPr>
          <w:rFonts w:hint="eastAsia" w:ascii="宋体" w:hAnsi="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val="en-US" w:eastAsia="zh-CN"/>
        </w:rPr>
        <w:t>及校方不定期抽查食材加工过程，对于食材加工不符合要求的，</w:t>
      </w:r>
      <w:r>
        <w:rPr>
          <w:rFonts w:hint="eastAsia"/>
          <w:color w:val="auto"/>
          <w:szCs w:val="21"/>
          <w:highlight w:val="none"/>
          <w:lang w:val="en-US" w:eastAsia="zh-CN"/>
        </w:rPr>
        <w:t>甲方</w:t>
      </w:r>
      <w:r>
        <w:rPr>
          <w:rFonts w:hint="eastAsia" w:eastAsia="宋体"/>
          <w:color w:val="auto"/>
          <w:szCs w:val="21"/>
          <w:highlight w:val="none"/>
          <w:lang w:val="en-US" w:eastAsia="zh-CN"/>
        </w:rPr>
        <w:t>及校方根据事态情况，可直接对</w:t>
      </w:r>
      <w:r>
        <w:rPr>
          <w:rFonts w:hint="eastAsia"/>
          <w:color w:val="auto"/>
          <w:szCs w:val="21"/>
          <w:highlight w:val="none"/>
          <w:lang w:val="en-US" w:eastAsia="zh-CN"/>
        </w:rPr>
        <w:t>乙方</w:t>
      </w:r>
      <w:r>
        <w:rPr>
          <w:rFonts w:hint="eastAsia" w:eastAsia="宋体"/>
          <w:color w:val="auto"/>
          <w:szCs w:val="21"/>
          <w:highlight w:val="none"/>
          <w:lang w:val="en-US" w:eastAsia="zh-CN"/>
        </w:rPr>
        <w:t>进行扣分、或要求更换相关加工工作人员。</w:t>
      </w:r>
    </w:p>
    <w:p w14:paraId="6A1475CD">
      <w:pPr>
        <w:pStyle w:val="6"/>
        <w:pageBreakBefore w:val="0"/>
        <w:numPr>
          <w:ilvl w:val="0"/>
          <w:numId w:val="0"/>
        </w:numPr>
        <w:kinsoku/>
        <w:wordWrap/>
        <w:overflowPunct/>
        <w:topLinePunct w:val="0"/>
        <w:autoSpaceDE/>
        <w:autoSpaceDN/>
        <w:bidi w:val="0"/>
        <w:spacing w:line="360" w:lineRule="auto"/>
        <w:ind w:leftChars="228"/>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（6）食堂卫生要求</w:t>
      </w:r>
    </w:p>
    <w:p w14:paraId="7C47E96D">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个人卫生</w:t>
      </w:r>
    </w:p>
    <w:p w14:paraId="01715EAA">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工作人员必须无传染病史，持有食品操作健康证，保证每年一次参加体检，体检费用由</w:t>
      </w:r>
      <w:r>
        <w:rPr>
          <w:rFonts w:hint="eastAsia" w:ascii="宋体" w:hAnsi="宋体" w:cs="宋体"/>
          <w:color w:val="auto"/>
          <w:sz w:val="21"/>
          <w:szCs w:val="21"/>
          <w:highlight w:val="none"/>
          <w:lang w:eastAsia="zh-CN"/>
        </w:rPr>
        <w:t>乙方</w:t>
      </w:r>
      <w:r>
        <w:rPr>
          <w:rFonts w:hint="eastAsia" w:ascii="宋体" w:hAnsi="宋体" w:cs="宋体"/>
          <w:color w:val="auto"/>
          <w:sz w:val="21"/>
          <w:szCs w:val="21"/>
          <w:highlight w:val="none"/>
        </w:rPr>
        <w:t>负责。</w:t>
      </w:r>
    </w:p>
    <w:p w14:paraId="1DD85894">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工作人员上岗必须穿戴整洁统一的工作衣帽，直接接触食品的人员必须做到“三白”（口罩白、服装白、帽子白）。</w:t>
      </w:r>
    </w:p>
    <w:p w14:paraId="63C2478C">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食品操作人员不得留长指甲，涂指甲油，不得留长发、留胡子，不得带戒指、手镯，在直接用手接触食品前，必须洗手消毒</w:t>
      </w:r>
      <w:r>
        <w:rPr>
          <w:rFonts w:hint="eastAsia" w:ascii="宋体" w:hAnsi="宋体" w:cs="宋体"/>
          <w:color w:val="auto"/>
          <w:sz w:val="21"/>
          <w:szCs w:val="21"/>
          <w:highlight w:val="none"/>
          <w:lang w:eastAsia="zh-CN"/>
        </w:rPr>
        <w:t>，</w:t>
      </w:r>
      <w:r>
        <w:rPr>
          <w:rFonts w:hint="eastAsia" w:ascii="宋体" w:hAnsi="宋体" w:cs="宋体"/>
          <w:b w:val="0"/>
          <w:bCs w:val="0"/>
          <w:color w:val="auto"/>
          <w:sz w:val="21"/>
          <w:szCs w:val="21"/>
          <w:highlight w:val="none"/>
          <w:lang w:val="en-US" w:eastAsia="zh-CN"/>
        </w:rPr>
        <w:t>上卫生间前应在食品处理区内脱去工作服</w:t>
      </w:r>
      <w:r>
        <w:rPr>
          <w:rFonts w:hint="eastAsia" w:ascii="宋体" w:hAnsi="宋体" w:cs="宋体"/>
          <w:color w:val="auto"/>
          <w:sz w:val="21"/>
          <w:szCs w:val="21"/>
          <w:highlight w:val="none"/>
        </w:rPr>
        <w:t>。</w:t>
      </w:r>
    </w:p>
    <w:p w14:paraId="1833C102">
      <w:pPr>
        <w:ind w:firstLine="424" w:firstLineChars="202"/>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工作人员不得在厨房、切配间等食品加工和出售场所抽烟、吃零食，不得有对着食品咳嗽、打喷嚏等有碍食品卫生的行为。</w:t>
      </w:r>
    </w:p>
    <w:p w14:paraId="5E69CE7F">
      <w:pPr>
        <w:ind w:left="0" w:leftChars="0" w:firstLine="424" w:firstLineChars="202"/>
        <w:rPr>
          <w:rFonts w:hint="eastAsia"/>
          <w:color w:val="auto"/>
          <w:highlight w:val="none"/>
        </w:rPr>
      </w:pPr>
      <w:r>
        <w:rPr>
          <w:rFonts w:hint="eastAsia" w:ascii="宋体" w:hAnsi="宋体" w:cs="宋体"/>
          <w:b w:val="0"/>
          <w:bCs w:val="0"/>
          <w:color w:val="auto"/>
          <w:sz w:val="21"/>
          <w:szCs w:val="21"/>
          <w:highlight w:val="none"/>
          <w:lang w:val="en-US" w:eastAsia="zh-CN"/>
        </w:rPr>
        <w:t>1.5不得将私人物品带入食品处理区。</w:t>
      </w:r>
    </w:p>
    <w:p w14:paraId="0E421CBE">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环境卫生</w:t>
      </w:r>
    </w:p>
    <w:p w14:paraId="161B8F8E">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厨房备有固定专用的残菜容器，残菜必须一市一清，不得久放。</w:t>
      </w:r>
    </w:p>
    <w:p w14:paraId="3CB2A580">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rPr>
        <w:t>食品操作场所和供应场所有防尘、防蝇措施，有灭鼠、蝇、蟑螂的设备。</w:t>
      </w:r>
    </w:p>
    <w:p w14:paraId="651CAA2A">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2.3</w:t>
      </w:r>
      <w:r>
        <w:rPr>
          <w:rFonts w:hint="eastAsia" w:ascii="宋体" w:hAnsi="宋体" w:cs="宋体"/>
          <w:color w:val="auto"/>
          <w:sz w:val="21"/>
          <w:szCs w:val="21"/>
          <w:highlight w:val="none"/>
        </w:rPr>
        <w:t>餐厅、厨房保持整洁，地面、墙壁无污垢，天花板无蛛网，门窗明亮，空调风口无积灰，餐桌整洁，餐厅、厨房区域内的消防设施设备定期清洁，所有工作场所和餐厅无杂物。</w:t>
      </w:r>
    </w:p>
    <w:p w14:paraId="4A097686">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过道及堆放垃圾的场所每天由专人负责清扫，做好门前三包工作，保持环境整洁。</w:t>
      </w:r>
    </w:p>
    <w:p w14:paraId="4FBDB5FA">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食品卫生</w:t>
      </w:r>
    </w:p>
    <w:p w14:paraId="53DB1C4B">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3.1</w:t>
      </w:r>
      <w:r>
        <w:rPr>
          <w:rFonts w:hint="eastAsia" w:ascii="宋体" w:hAnsi="宋体" w:cs="宋体"/>
          <w:color w:val="auto"/>
          <w:sz w:val="21"/>
          <w:szCs w:val="21"/>
          <w:highlight w:val="none"/>
        </w:rPr>
        <w:t>食品操作生熟分开、盛器分开、人员分开、工具分开、存放场所分开。</w:t>
      </w:r>
    </w:p>
    <w:p w14:paraId="7A64E6B1">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3.2</w:t>
      </w:r>
      <w:r>
        <w:rPr>
          <w:rFonts w:hint="eastAsia" w:ascii="宋体" w:hAnsi="宋体" w:cs="宋体"/>
          <w:color w:val="auto"/>
          <w:sz w:val="21"/>
          <w:szCs w:val="21"/>
          <w:highlight w:val="none"/>
        </w:rPr>
        <w:t>所有食品应分类、分架存放，做到隔墙隔地、防潮、防四害、防异物。</w:t>
      </w:r>
    </w:p>
    <w:p w14:paraId="3F891E18">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餐具消毒符合卫生标准，未经消毒的餐具不得投入使用，已消毒的餐具存放专用保洁柜，柜内定期清洗，保持整洁，工具、用具、盛器保持无油腻、无污垢、无异味、无水渍。</w:t>
      </w:r>
    </w:p>
    <w:p w14:paraId="141F7340">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洗涤水池，专池专用。分设餐具、蔬菜、水产品、肉类水池。</w:t>
      </w:r>
    </w:p>
    <w:p w14:paraId="57444EC7">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加工卫生</w:t>
      </w:r>
    </w:p>
    <w:p w14:paraId="52C5D2BA">
      <w:pPr>
        <w:ind w:firstLine="424" w:firstLineChars="202"/>
        <w:jc w:val="left"/>
        <w:rPr>
          <w:rFonts w:hint="eastAsia" w:ascii="宋体" w:hAnsi="宋体" w:cs="宋体"/>
          <w:color w:val="auto"/>
          <w:szCs w:val="21"/>
          <w:highlight w:val="none"/>
        </w:rPr>
      </w:pPr>
      <w:r>
        <w:rPr>
          <w:rFonts w:hint="eastAsia" w:ascii="宋体" w:hAnsi="宋体" w:cs="宋体"/>
          <w:color w:val="auto"/>
          <w:sz w:val="21"/>
          <w:szCs w:val="21"/>
          <w:highlight w:val="none"/>
          <w:lang w:val="en-US" w:eastAsia="zh-CN"/>
        </w:rPr>
        <w:t>4.1</w:t>
      </w:r>
      <w:r>
        <w:rPr>
          <w:rFonts w:hint="eastAsia" w:ascii="宋体" w:hAnsi="宋体" w:cs="宋体"/>
          <w:color w:val="auto"/>
          <w:sz w:val="21"/>
          <w:szCs w:val="21"/>
          <w:highlight w:val="none"/>
        </w:rPr>
        <w:t>原材料盛放冰箱必须做到生制品、半成品、熟制品专柜专放，定期冲洗冰箱，存放原材料必须做到先进先出。</w:t>
      </w:r>
    </w:p>
    <w:p w14:paraId="38E764B1">
      <w:pPr>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4.2</w:t>
      </w:r>
      <w:r>
        <w:rPr>
          <w:rFonts w:hint="eastAsia" w:ascii="宋体" w:hAnsi="宋体" w:eastAsia="宋体" w:cs="宋体"/>
          <w:color w:val="auto"/>
          <w:szCs w:val="21"/>
          <w:highlight w:val="none"/>
        </w:rPr>
        <w:t>严格按照卫生要求加工烹制菜肴，老油重复使用不超过</w:t>
      </w:r>
      <w:r>
        <w:rPr>
          <w:rFonts w:hint="eastAsia" w:ascii="宋体" w:hAnsi="宋体" w:eastAsia="宋体" w:cs="宋体"/>
          <w:color w:val="auto"/>
          <w:szCs w:val="21"/>
          <w:highlight w:val="none"/>
          <w:lang w:val="en-US" w:eastAsia="zh-CN"/>
        </w:rPr>
        <w:t>两</w:t>
      </w:r>
      <w:r>
        <w:rPr>
          <w:rFonts w:hint="eastAsia" w:ascii="宋体" w:hAnsi="宋体" w:eastAsia="宋体" w:cs="宋体"/>
          <w:color w:val="auto"/>
          <w:szCs w:val="21"/>
          <w:highlight w:val="none"/>
        </w:rPr>
        <w:t>次。</w:t>
      </w:r>
    </w:p>
    <w:p w14:paraId="5AB49F2F">
      <w:pPr>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4.3</w:t>
      </w:r>
      <w:r>
        <w:rPr>
          <w:rFonts w:hint="eastAsia" w:ascii="宋体" w:hAnsi="宋体" w:eastAsia="宋体" w:cs="宋体"/>
          <w:color w:val="auto"/>
          <w:szCs w:val="21"/>
          <w:highlight w:val="none"/>
        </w:rPr>
        <w:t>每餐供应结束后，立即对灶面、锅、勺、铲、操作台、排烟罩、地面、水池等进行清理冲洗，做到一市一清。</w:t>
      </w:r>
    </w:p>
    <w:p w14:paraId="363DF65A">
      <w:pPr>
        <w:ind w:firstLine="424" w:firstLineChars="202"/>
        <w:jc w:val="left"/>
        <w:rPr>
          <w:rFonts w:hint="eastAsia" w:ascii="宋体" w:hAnsi="宋体" w:cs="宋体"/>
          <w:b w:val="0"/>
          <w:bCs w:val="0"/>
          <w:color w:val="auto"/>
          <w:sz w:val="21"/>
          <w:szCs w:val="21"/>
          <w:highlight w:val="none"/>
          <w:lang w:val="en-US" w:eastAsia="zh-CN"/>
        </w:rPr>
      </w:pPr>
      <w:r>
        <w:rPr>
          <w:rFonts w:hint="eastAsia" w:ascii="宋体" w:hAnsi="宋体" w:eastAsia="宋体" w:cs="宋体"/>
          <w:color w:val="auto"/>
          <w:szCs w:val="21"/>
          <w:highlight w:val="none"/>
          <w:lang w:val="en-US" w:eastAsia="zh-CN"/>
        </w:rPr>
        <w:t>4.4</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rPr>
        <w:t>学校食堂产生的餐厨废弃物应当在餐后及时清除，并按照环保要求分类处理。食堂应当设置专门的餐厨废弃物收集设施并明显标识，按照规定收集、存放餐厨废弃物，建立相关制度及台账，按照规定交由</w:t>
      </w:r>
      <w:r>
        <w:rPr>
          <w:rFonts w:hint="eastAsia" w:ascii="宋体" w:hAnsi="宋体" w:eastAsia="宋体" w:cs="宋体"/>
          <w:color w:val="auto"/>
          <w:sz w:val="21"/>
          <w:szCs w:val="21"/>
          <w:highlight w:val="none"/>
          <w:lang w:val="en-US" w:eastAsia="zh-CN"/>
        </w:rPr>
        <w:t>应做到早、午、晚清理一次垃圾，垃圾不过夜、无灰尘、无污迹、无积水、保持光亮</w:t>
      </w:r>
      <w:r>
        <w:rPr>
          <w:rFonts w:hint="eastAsia" w:ascii="宋体" w:hAnsi="宋体" w:cs="宋体"/>
          <w:b w:val="0"/>
          <w:bCs w:val="0"/>
          <w:color w:val="auto"/>
          <w:sz w:val="21"/>
          <w:szCs w:val="21"/>
          <w:highlight w:val="none"/>
          <w:lang w:val="en-US" w:eastAsia="zh-CN"/>
        </w:rPr>
        <w:t>洁净。</w:t>
      </w:r>
    </w:p>
    <w:p w14:paraId="610572F0">
      <w:pPr>
        <w:pStyle w:val="6"/>
        <w:pageBreakBefore w:val="0"/>
        <w:numPr>
          <w:ilvl w:val="0"/>
          <w:numId w:val="0"/>
        </w:numPr>
        <w:kinsoku/>
        <w:wordWrap/>
        <w:overflowPunct/>
        <w:topLinePunct w:val="0"/>
        <w:autoSpaceDE/>
        <w:autoSpaceDN/>
        <w:bidi w:val="0"/>
        <w:spacing w:line="360" w:lineRule="auto"/>
        <w:ind w:leftChars="228"/>
        <w:textAlignment w:val="auto"/>
        <w:rPr>
          <w:rFonts w:hint="eastAsia" w:eastAsia="宋体"/>
          <w:color w:val="auto"/>
          <w:highlight w:val="none"/>
          <w:lang w:val="en-US" w:eastAsia="zh-CN"/>
        </w:rPr>
      </w:pPr>
      <w:r>
        <w:rPr>
          <w:rFonts w:hint="eastAsia" w:eastAsia="宋体"/>
          <w:color w:val="auto"/>
          <w:highlight w:val="none"/>
          <w:lang w:val="en-US" w:eastAsia="zh-CN"/>
        </w:rPr>
        <w:t>（四）其他要求</w:t>
      </w:r>
    </w:p>
    <w:p w14:paraId="04C89041">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银行账户要求，根据《东莞市教育局关于进一步加强我市学校食堂财务管理的通知》，学生充值卡资金或按学期预交的伙食费收入应统一存入学校开设的食堂银行账户，并视食堂实际支出情况采取周结或月结方式定期将资金拨入</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账户。</w:t>
      </w:r>
    </w:p>
    <w:p w14:paraId="78BCA0EC">
      <w:pPr>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食堂配水、配电、鲜风、排风系统、厨房设备设施、用餐台凳、器皿用具、IC卡充值收银系统、监控系统等设施、设备、用具已由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投资，相关设施、设备、用具</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双方共同清点资产并登记确认签字后交给</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使用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承担保管责任；</w:t>
      </w:r>
      <w:r>
        <w:rPr>
          <w:rFonts w:hint="eastAsia" w:ascii="宋体" w:hAnsi="宋体" w:eastAsia="宋体" w:cs="宋体"/>
          <w:color w:val="auto"/>
          <w:sz w:val="21"/>
          <w:szCs w:val="21"/>
          <w:highlight w:val="none"/>
        </w:rPr>
        <w:t>在承包期结束时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按资产清单</w:t>
      </w:r>
      <w:r>
        <w:rPr>
          <w:rFonts w:hint="eastAsia" w:ascii="宋体" w:hAnsi="宋体" w:eastAsia="宋体" w:cs="宋体"/>
          <w:color w:val="auto"/>
          <w:sz w:val="21"/>
          <w:szCs w:val="21"/>
          <w:highlight w:val="none"/>
          <w:lang w:val="en-US" w:eastAsia="zh-CN"/>
        </w:rPr>
        <w:t>一一</w:t>
      </w:r>
      <w:r>
        <w:rPr>
          <w:rFonts w:hint="eastAsia" w:ascii="宋体" w:hAnsi="宋体" w:eastAsia="宋体" w:cs="宋体"/>
          <w:color w:val="auto"/>
          <w:sz w:val="21"/>
          <w:szCs w:val="21"/>
          <w:highlight w:val="none"/>
        </w:rPr>
        <w:t>归还</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如有</w:t>
      </w:r>
      <w:r>
        <w:rPr>
          <w:rFonts w:hint="eastAsia" w:ascii="宋体" w:hAnsi="宋体" w:eastAsia="宋体" w:cs="宋体"/>
          <w:color w:val="auto"/>
          <w:sz w:val="21"/>
          <w:szCs w:val="21"/>
          <w:highlight w:val="none"/>
        </w:rPr>
        <w:t>丢失</w:t>
      </w:r>
      <w:r>
        <w:rPr>
          <w:rFonts w:hint="eastAsia" w:ascii="宋体" w:hAnsi="宋体" w:eastAsia="宋体" w:cs="宋体"/>
          <w:color w:val="auto"/>
          <w:sz w:val="21"/>
          <w:szCs w:val="21"/>
          <w:highlight w:val="none"/>
          <w:lang w:val="en-US" w:eastAsia="zh-CN"/>
        </w:rPr>
        <w:t>或损坏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负责购置</w:t>
      </w:r>
      <w:r>
        <w:rPr>
          <w:rFonts w:hint="eastAsia" w:ascii="宋体" w:hAnsi="宋体" w:eastAsia="宋体" w:cs="宋体"/>
          <w:color w:val="auto"/>
          <w:sz w:val="21"/>
          <w:szCs w:val="21"/>
          <w:highlight w:val="none"/>
        </w:rPr>
        <w:t>补充</w:t>
      </w:r>
      <w:r>
        <w:rPr>
          <w:rFonts w:hint="eastAsia" w:ascii="宋体" w:hAnsi="宋体" w:eastAsia="宋体" w:cs="宋体"/>
          <w:color w:val="auto"/>
          <w:sz w:val="21"/>
          <w:szCs w:val="21"/>
          <w:highlight w:val="none"/>
          <w:lang w:val="en-US" w:eastAsia="zh-CN"/>
        </w:rPr>
        <w:t>相同产品或照价赔偿</w:t>
      </w:r>
      <w:r>
        <w:rPr>
          <w:rFonts w:hint="eastAsia" w:ascii="宋体" w:hAnsi="宋体" w:eastAsia="宋体" w:cs="宋体"/>
          <w:color w:val="auto"/>
          <w:sz w:val="21"/>
          <w:szCs w:val="21"/>
          <w:highlight w:val="none"/>
        </w:rPr>
        <w:t>。</w:t>
      </w:r>
    </w:p>
    <w:p w14:paraId="218A37D1">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要落实有关政策要求，按</w:t>
      </w:r>
      <w:r>
        <w:rPr>
          <w:rFonts w:hint="eastAsia" w:ascii="宋体" w:hAnsi="宋体" w:eastAsia="宋体" w:cs="宋体"/>
          <w:color w:val="auto"/>
          <w:sz w:val="21"/>
          <w:szCs w:val="21"/>
          <w:highlight w:val="none"/>
          <w:lang w:val="en-US" w:eastAsia="zh-CN"/>
        </w:rPr>
        <w:t>照</w:t>
      </w:r>
      <w:r>
        <w:rPr>
          <w:rFonts w:hint="eastAsia" w:ascii="宋体" w:hAnsi="宋体" w:eastAsia="宋体" w:cs="宋体"/>
          <w:color w:val="auto"/>
          <w:sz w:val="21"/>
          <w:szCs w:val="21"/>
          <w:highlight w:val="none"/>
        </w:rPr>
        <w:t>每年的预留比例采购贫困地区农副产品数量。</w:t>
      </w:r>
    </w:p>
    <w:p w14:paraId="1898C47F">
      <w:pPr>
        <w:pageBreakBefore w:val="0"/>
        <w:kinsoku/>
        <w:wordWrap/>
        <w:overflowPunct/>
        <w:topLinePunct w:val="0"/>
        <w:autoSpaceDE/>
        <w:autoSpaceDN/>
        <w:bidi w:val="0"/>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.其他有利于教学教育工作的事宜，</w:t>
      </w:r>
      <w:r>
        <w:rPr>
          <w:rFonts w:hint="eastAsia" w:ascii="宋体" w:hAnsi="宋体" w:eastAsia="宋体" w:cs="宋体"/>
          <w:color w:val="auto"/>
          <w:sz w:val="21"/>
          <w:szCs w:val="21"/>
          <w:highlight w:val="none"/>
          <w:lang w:val="en-US" w:eastAsia="zh-CN"/>
        </w:rPr>
        <w:t>由校方</w:t>
      </w:r>
      <w:r>
        <w:rPr>
          <w:rFonts w:hint="eastAsia" w:ascii="宋体" w:hAnsi="宋体" w:eastAsia="宋体" w:cs="宋体"/>
          <w:color w:val="auto"/>
          <w:sz w:val="21"/>
          <w:szCs w:val="21"/>
          <w:highlight w:val="none"/>
        </w:rPr>
        <w:t>与</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协商</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需尽力协助校方相关工作。</w:t>
      </w:r>
    </w:p>
    <w:p w14:paraId="1DA9A1C8">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每学期结束后1个月内</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需向</w:t>
      </w:r>
      <w:r>
        <w:rPr>
          <w:rFonts w:hint="eastAsia" w:ascii="宋体" w:hAnsi="宋体" w:eastAsia="宋体" w:cs="宋体"/>
          <w:color w:val="auto"/>
          <w:sz w:val="21"/>
          <w:szCs w:val="21"/>
          <w:highlight w:val="none"/>
          <w:lang w:val="en-US" w:eastAsia="zh-CN"/>
        </w:rPr>
        <w:t>校方及</w:t>
      </w:r>
      <w:r>
        <w:rPr>
          <w:rFonts w:hint="eastAsia" w:ascii="宋体" w:hAnsi="宋体" w:eastAsia="宋体" w:cs="宋体"/>
          <w:color w:val="auto"/>
          <w:sz w:val="21"/>
          <w:szCs w:val="21"/>
          <w:highlight w:val="none"/>
        </w:rPr>
        <w:t>新区教育主管部门提交学校食堂运营报告，报告内容包括食堂运作情况、财务情况、合同执行情况、膳食委员会监督情况等。须按照会计准则列收支科目，详细列出大米、粮油、肉菜、人工成本等支出。</w:t>
      </w:r>
    </w:p>
    <w:p w14:paraId="55415587">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对食堂的收支情况每学期进行一次检查，检查结果要在校务公开栏公布。</w:t>
      </w:r>
    </w:p>
    <w:p w14:paraId="4E71FE44">
      <w:pPr>
        <w:pageBreakBefore w:val="0"/>
        <w:kinsoku/>
        <w:wordWrap/>
        <w:overflowPunct/>
        <w:topLinePunct w:val="0"/>
        <w:autoSpaceDE/>
        <w:autoSpaceDN/>
        <w:bidi w:val="0"/>
        <w:spacing w:line="360" w:lineRule="auto"/>
        <w:ind w:firstLine="420" w:firstLineChars="200"/>
        <w:textAlignment w:val="auto"/>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7</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经营期间只能使用</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公司名称开展对外业务关系，不得使用学校名称发生任何业务关系。</w:t>
      </w:r>
    </w:p>
    <w:p w14:paraId="5A673C0E">
      <w:pPr>
        <w:pStyle w:val="6"/>
        <w:pageBreakBefore w:val="0"/>
        <w:numPr>
          <w:ilvl w:val="0"/>
          <w:numId w:val="0"/>
        </w:numPr>
        <w:kinsoku/>
        <w:wordWrap/>
        <w:overflowPunct/>
        <w:topLinePunct w:val="0"/>
        <w:autoSpaceDE/>
        <w:autoSpaceDN/>
        <w:bidi w:val="0"/>
        <w:spacing w:line="360" w:lineRule="auto"/>
        <w:ind w:leftChars="228"/>
        <w:textAlignment w:val="auto"/>
        <w:rPr>
          <w:rFonts w:hint="eastAsia"/>
          <w:color w:val="auto"/>
          <w:highlight w:val="none"/>
          <w:lang w:val="en-US" w:eastAsia="zh-CN"/>
        </w:rPr>
      </w:pPr>
      <w:r>
        <w:rPr>
          <w:rFonts w:hint="eastAsia"/>
          <w:color w:val="auto"/>
          <w:highlight w:val="none"/>
          <w:lang w:val="en-US" w:eastAsia="zh-CN"/>
        </w:rPr>
        <w:t>（五）食堂监督管理办法</w:t>
      </w:r>
    </w:p>
    <w:p w14:paraId="06F38A0A">
      <w:pPr>
        <w:ind w:firstLine="426" w:firstLineChars="202"/>
        <w:jc w:val="left"/>
        <w:rPr>
          <w:rFonts w:hint="default"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w:t>
      </w:r>
      <w:r>
        <w:rPr>
          <w:rFonts w:hint="eastAsia" w:ascii="宋体" w:hAnsi="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lang w:val="en-US" w:eastAsia="zh-CN" w:bidi="ar-SA"/>
        </w:rPr>
        <w:t>）膳食委员会监督</w:t>
      </w:r>
    </w:p>
    <w:p w14:paraId="702D37B1">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须支持校方建立健全膳食管理委员会，发挥监督作用。建立由食品安全管理员、学校行政教师和家长代表的膳食管理委员会，落实食堂监督，规范食堂管理，校方膳食管理委员会要积极发挥监督作用，要充分了解师生对食堂的意见，对学校食堂管理提出有益的意见和建议。学校食堂管理机构和食堂管理人员应高度重视和积极回应相关意见和建议，对存在问题进行及时整改。</w:t>
      </w:r>
    </w:p>
    <w:p w14:paraId="281DC948">
      <w:pPr>
        <w:ind w:firstLine="426" w:firstLineChars="202"/>
        <w:jc w:val="left"/>
        <w:rPr>
          <w:rFonts w:hint="default" w:ascii="宋体" w:hAnsi="宋体" w:eastAsia="宋体" w:cs="宋体"/>
          <w:b/>
          <w:bCs/>
          <w:color w:val="auto"/>
          <w:sz w:val="21"/>
          <w:szCs w:val="21"/>
          <w:highlight w:val="none"/>
          <w:lang w:val="en-US" w:eastAsia="zh-CN" w:bidi="ar-SA"/>
        </w:rPr>
      </w:pPr>
      <w:r>
        <w:rPr>
          <w:rFonts w:hint="eastAsia" w:ascii="宋体" w:hAnsi="宋体" w:eastAsia="宋体" w:cs="宋体"/>
          <w:b/>
          <w:bCs/>
          <w:color w:val="auto"/>
          <w:sz w:val="21"/>
          <w:szCs w:val="21"/>
          <w:highlight w:val="none"/>
          <w:lang w:val="en-US" w:eastAsia="zh-CN" w:bidi="ar-SA"/>
        </w:rPr>
        <w:t>（</w:t>
      </w:r>
      <w:r>
        <w:rPr>
          <w:rFonts w:hint="eastAsia" w:ascii="宋体" w:hAnsi="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bidi="ar-SA"/>
        </w:rPr>
        <w:t>）突击检查</w:t>
      </w:r>
    </w:p>
    <w:p w14:paraId="690E524C">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甲方</w:t>
      </w:r>
      <w:r>
        <w:rPr>
          <w:rFonts w:hint="eastAsia" w:ascii="宋体" w:hAnsi="宋体" w:cs="宋体"/>
          <w:color w:val="auto"/>
          <w:sz w:val="21"/>
          <w:szCs w:val="21"/>
          <w:highlight w:val="none"/>
          <w:lang w:val="en-US" w:eastAsia="zh-CN"/>
        </w:rPr>
        <w:t>或校方</w:t>
      </w:r>
      <w:r>
        <w:rPr>
          <w:rFonts w:hint="eastAsia" w:ascii="宋体" w:hAnsi="宋体" w:eastAsia="宋体" w:cs="宋体"/>
          <w:color w:val="auto"/>
          <w:sz w:val="21"/>
          <w:szCs w:val="21"/>
          <w:highlight w:val="none"/>
        </w:rPr>
        <w:t>每月至少一次到食堂了解餐饮情况，</w:t>
      </w:r>
      <w:r>
        <w:rPr>
          <w:rFonts w:hint="eastAsia" w:ascii="宋体" w:hAnsi="宋体" w:eastAsia="宋体" w:cs="宋体"/>
          <w:color w:val="auto"/>
          <w:sz w:val="21"/>
          <w:szCs w:val="21"/>
          <w:highlight w:val="none"/>
          <w:lang w:val="en-US" w:eastAsia="zh-CN"/>
        </w:rPr>
        <w:t>并</w:t>
      </w:r>
      <w:r>
        <w:rPr>
          <w:rFonts w:hint="eastAsia" w:ascii="宋体" w:hAnsi="宋体" w:eastAsia="宋体" w:cs="宋体"/>
          <w:color w:val="auto"/>
          <w:sz w:val="21"/>
          <w:szCs w:val="21"/>
          <w:highlight w:val="none"/>
        </w:rPr>
        <w:t>采取不定期、不打招呼、突击式的检查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食堂监督管理考评表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附件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对</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食堂运营情况进行打分，</w:t>
      </w:r>
      <w:r>
        <w:rPr>
          <w:rFonts w:hint="eastAsia" w:ascii="宋体" w:hAnsi="宋体" w:eastAsia="宋体" w:cs="宋体"/>
          <w:color w:val="auto"/>
          <w:sz w:val="21"/>
          <w:szCs w:val="21"/>
          <w:highlight w:val="none"/>
        </w:rPr>
        <w:t>合同签订之日起一年</w:t>
      </w:r>
      <w:r>
        <w:rPr>
          <w:rFonts w:hint="eastAsia" w:ascii="宋体" w:hAnsi="宋体" w:eastAsia="宋体" w:cs="宋体"/>
          <w:color w:val="auto"/>
          <w:sz w:val="21"/>
          <w:szCs w:val="21"/>
          <w:highlight w:val="none"/>
          <w:lang w:val="en-US" w:eastAsia="zh-CN"/>
        </w:rPr>
        <w:t>内</w:t>
      </w:r>
      <w:r>
        <w:rPr>
          <w:rFonts w:hint="eastAsia" w:ascii="宋体" w:hAnsi="宋体" w:eastAsia="宋体" w:cs="宋体"/>
          <w:color w:val="auto"/>
          <w:sz w:val="21"/>
          <w:szCs w:val="21"/>
          <w:highlight w:val="none"/>
        </w:rPr>
        <w:t>为试用期，如考核月平均分低于80分的，</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有权单方终止合同，</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须无条件退场。</w:t>
      </w:r>
    </w:p>
    <w:p w14:paraId="626B4969">
      <w:pPr>
        <w:pageBreakBefore w:val="0"/>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承包期间出现</w:t>
      </w:r>
      <w:r>
        <w:rPr>
          <w:rFonts w:hint="eastAsia" w:ascii="宋体" w:hAnsi="宋体" w:eastAsia="宋体" w:cs="宋体"/>
          <w:color w:val="auto"/>
          <w:sz w:val="21"/>
          <w:szCs w:val="21"/>
          <w:highlight w:val="none"/>
          <w:lang w:val="en-US" w:eastAsia="zh-CN"/>
        </w:rPr>
        <w:t>包括但不限于</w:t>
      </w:r>
      <w:r>
        <w:rPr>
          <w:rFonts w:hint="eastAsia" w:ascii="宋体" w:hAnsi="宋体" w:eastAsia="宋体" w:cs="宋体"/>
          <w:color w:val="auto"/>
          <w:sz w:val="21"/>
          <w:szCs w:val="21"/>
          <w:highlight w:val="none"/>
        </w:rPr>
        <w:t>下列情况之一的，取消</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对该食堂发承包经营资格：</w:t>
      </w:r>
    </w:p>
    <w:p w14:paraId="7961DA6E">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2.1</w:t>
      </w:r>
      <w:r>
        <w:rPr>
          <w:rFonts w:hint="eastAsia" w:ascii="宋体" w:hAnsi="宋体" w:eastAsia="宋体" w:cs="宋体"/>
          <w:color w:val="auto"/>
          <w:sz w:val="21"/>
          <w:szCs w:val="21"/>
          <w:highlight w:val="none"/>
        </w:rPr>
        <w:t>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原因经营期间发生师生食物中毒，或安全生产责任事故，且造成严重后果的；</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承担一切法律和经济赔偿责任。</w:t>
      </w:r>
    </w:p>
    <w:p w14:paraId="713ECF34">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rPr>
        <w:t>因食品价格、质量、卫生和服务态度而引发学生罢餐、静坐、游行、上访、网络投诉等群体性事件，经相关部门调查认定确实为</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责任且影响恶劣的；</w:t>
      </w:r>
    </w:p>
    <w:p w14:paraId="7A0A4536">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2.3</w:t>
      </w:r>
      <w:r>
        <w:rPr>
          <w:rFonts w:hint="eastAsia" w:ascii="宋体" w:hAnsi="宋体" w:eastAsia="宋体" w:cs="宋体"/>
          <w:color w:val="auto"/>
          <w:sz w:val="21"/>
          <w:szCs w:val="21"/>
          <w:highlight w:val="none"/>
        </w:rPr>
        <w:t>因</w:t>
      </w: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责任，食堂卫生达不到卫生、食药监管部门达标食堂资格的；</w:t>
      </w:r>
    </w:p>
    <w:p w14:paraId="41CE9667">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2.4</w:t>
      </w:r>
      <w:r>
        <w:rPr>
          <w:rFonts w:hint="eastAsia" w:ascii="宋体" w:hAnsi="宋体" w:eastAsia="宋体" w:cs="宋体"/>
          <w:color w:val="auto"/>
          <w:sz w:val="21"/>
          <w:szCs w:val="21"/>
          <w:highlight w:val="none"/>
        </w:rPr>
        <w:t>在经营过程中，存在掺杂作假，销售劣质、有害和无证食品等违规行为，经学校规劝，或教育、卫生、食药监等行政主管部门要求整改依然无效的；</w:t>
      </w:r>
    </w:p>
    <w:p w14:paraId="4BCDEAF2">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rPr>
        <w:t>在经营过程中，存在转包、分包和挂靠经营行为的；</w:t>
      </w:r>
    </w:p>
    <w:p w14:paraId="76A2CB2B">
      <w:pPr>
        <w:pageBreakBefore w:val="0"/>
        <w:kinsoku/>
        <w:wordWrap/>
        <w:overflowPunct/>
        <w:topLinePunct w:val="0"/>
        <w:autoSpaceDE/>
        <w:autoSpaceDN/>
        <w:bidi w:val="0"/>
        <w:spacing w:line="360" w:lineRule="auto"/>
        <w:ind w:firstLine="424" w:firstLineChars="202"/>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rPr>
        <w:t>在招投标时以弄虚作假等欺诈手段获得准入资格的，或经营情况发生变化已不符合准入条件而又不改变的。</w:t>
      </w:r>
    </w:p>
    <w:p w14:paraId="7F6C8439">
      <w:pPr>
        <w:pageBreakBefore w:val="0"/>
        <w:kinsoku/>
        <w:wordWrap/>
        <w:overflowPunct/>
        <w:topLinePunct w:val="0"/>
        <w:autoSpaceDE/>
        <w:autoSpaceDN/>
        <w:bidi w:val="0"/>
        <w:spacing w:line="360" w:lineRule="auto"/>
        <w:textAlignment w:val="auto"/>
        <w:rPr>
          <w:rFonts w:hint="eastAsia" w:ascii="宋体" w:hAnsi="宋体" w:eastAsia="宋体" w:cs="宋体"/>
          <w:color w:val="auto"/>
          <w:sz w:val="21"/>
          <w:szCs w:val="21"/>
          <w:highlight w:val="none"/>
        </w:rPr>
      </w:pPr>
    </w:p>
    <w:p w14:paraId="1224D524">
      <w:pPr>
        <w:bidi w:val="0"/>
        <w:rPr>
          <w:rFonts w:hint="eastAsia"/>
          <w:color w:val="auto"/>
          <w:highlight w:val="none"/>
        </w:rPr>
      </w:pPr>
    </w:p>
    <w:p w14:paraId="67DE9A8F">
      <w:pPr>
        <w:pageBreakBefore w:val="0"/>
        <w:kinsoku/>
        <w:wordWrap/>
        <w:overflowPunct/>
        <w:topLinePunct w:val="0"/>
        <w:autoSpaceDE/>
        <w:autoSpaceDN/>
        <w:bidi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38EC351C">
      <w:pPr>
        <w:pageBreakBefore w:val="0"/>
        <w:kinsoku/>
        <w:wordWrap/>
        <w:overflowPunct/>
        <w:topLinePunct w:val="0"/>
        <w:autoSpaceDE/>
        <w:autoSpaceDN/>
        <w:bidi w:val="0"/>
        <w:spacing w:line="360" w:lineRule="auto"/>
        <w:jc w:val="center"/>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食堂监督管理考评表</w:t>
      </w:r>
    </w:p>
    <w:tbl>
      <w:tblPr>
        <w:tblStyle w:val="29"/>
        <w:tblW w:w="0" w:type="auto"/>
        <w:tblInd w:w="93" w:type="dxa"/>
        <w:tblLayout w:type="autofit"/>
        <w:tblCellMar>
          <w:top w:w="0" w:type="dxa"/>
          <w:left w:w="108" w:type="dxa"/>
          <w:bottom w:w="0" w:type="dxa"/>
          <w:right w:w="108" w:type="dxa"/>
        </w:tblCellMar>
      </w:tblPr>
      <w:tblGrid>
        <w:gridCol w:w="490"/>
        <w:gridCol w:w="1027"/>
        <w:gridCol w:w="5408"/>
        <w:gridCol w:w="490"/>
        <w:gridCol w:w="1014"/>
      </w:tblGrid>
      <w:tr w14:paraId="14F32529">
        <w:tblPrEx>
          <w:tblCellMar>
            <w:top w:w="0" w:type="dxa"/>
            <w:left w:w="108" w:type="dxa"/>
            <w:bottom w:w="0" w:type="dxa"/>
            <w:right w:w="108" w:type="dxa"/>
          </w:tblCellMar>
        </w:tblPrEx>
        <w:tc>
          <w:tcPr>
            <w:tcW w:w="0" w:type="auto"/>
            <w:tcBorders>
              <w:top w:val="single" w:color="080000" w:sz="8" w:space="0"/>
              <w:left w:val="single" w:color="080000" w:sz="8" w:space="0"/>
              <w:bottom w:val="single" w:color="080000" w:sz="8" w:space="0"/>
              <w:right w:val="single" w:color="080000" w:sz="8" w:space="0"/>
            </w:tcBorders>
            <w:vAlign w:val="center"/>
          </w:tcPr>
          <w:p w14:paraId="16FAA2C1">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0" w:type="auto"/>
            <w:tcBorders>
              <w:top w:val="single" w:color="080000" w:sz="8" w:space="0"/>
              <w:left w:val="nil"/>
              <w:bottom w:val="single" w:color="080000" w:sz="8" w:space="0"/>
              <w:right w:val="single" w:color="080000" w:sz="8" w:space="0"/>
            </w:tcBorders>
            <w:vAlign w:val="center"/>
          </w:tcPr>
          <w:p w14:paraId="1EC9FBA9">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评分项目</w:t>
            </w:r>
          </w:p>
        </w:tc>
        <w:tc>
          <w:tcPr>
            <w:tcW w:w="0" w:type="auto"/>
            <w:tcBorders>
              <w:top w:val="single" w:color="080000" w:sz="8" w:space="0"/>
              <w:left w:val="nil"/>
              <w:bottom w:val="single" w:color="080000" w:sz="8" w:space="0"/>
              <w:right w:val="single" w:color="080000" w:sz="8" w:space="0"/>
            </w:tcBorders>
            <w:vAlign w:val="center"/>
          </w:tcPr>
          <w:p w14:paraId="1B061239">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评分标准</w:t>
            </w:r>
          </w:p>
        </w:tc>
        <w:tc>
          <w:tcPr>
            <w:tcW w:w="0" w:type="auto"/>
            <w:tcBorders>
              <w:top w:val="single" w:color="080000" w:sz="8" w:space="0"/>
              <w:left w:val="nil"/>
              <w:bottom w:val="single" w:color="080000" w:sz="8" w:space="0"/>
              <w:right w:val="single" w:color="080000" w:sz="8" w:space="0"/>
            </w:tcBorders>
            <w:vAlign w:val="center"/>
          </w:tcPr>
          <w:p w14:paraId="3080C05B">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评分</w:t>
            </w:r>
          </w:p>
        </w:tc>
        <w:tc>
          <w:tcPr>
            <w:tcW w:w="0" w:type="auto"/>
            <w:tcBorders>
              <w:top w:val="single" w:color="080000" w:sz="8" w:space="0"/>
              <w:left w:val="nil"/>
              <w:bottom w:val="single" w:color="080000" w:sz="8" w:space="0"/>
              <w:right w:val="single" w:color="080000" w:sz="8" w:space="0"/>
            </w:tcBorders>
            <w:vAlign w:val="center"/>
          </w:tcPr>
          <w:p w14:paraId="29BC9421">
            <w:pPr>
              <w:pageBreakBefore w:val="0"/>
              <w:widowControl/>
              <w:kinsoku/>
              <w:wordWrap/>
              <w:overflowPunct/>
              <w:topLinePunct w:val="0"/>
              <w:autoSpaceDE/>
              <w:autoSpaceDN/>
              <w:bidi w:val="0"/>
              <w:spacing w:line="360" w:lineRule="auto"/>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备注（扣分原因）</w:t>
            </w:r>
          </w:p>
        </w:tc>
      </w:tr>
      <w:tr w14:paraId="388F1564">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35326FD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一</w:t>
            </w:r>
          </w:p>
        </w:tc>
        <w:tc>
          <w:tcPr>
            <w:tcW w:w="0" w:type="auto"/>
            <w:vMerge w:val="restart"/>
            <w:tcBorders>
              <w:top w:val="nil"/>
              <w:left w:val="single" w:color="080000" w:sz="8" w:space="0"/>
              <w:bottom w:val="single" w:color="080000" w:sz="8" w:space="0"/>
              <w:right w:val="single" w:color="080000" w:sz="8" w:space="0"/>
            </w:tcBorders>
            <w:vAlign w:val="center"/>
          </w:tcPr>
          <w:p w14:paraId="6538092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制度建设（7分）</w:t>
            </w:r>
          </w:p>
        </w:tc>
        <w:tc>
          <w:tcPr>
            <w:tcW w:w="0" w:type="auto"/>
            <w:tcBorders>
              <w:top w:val="nil"/>
              <w:left w:val="nil"/>
              <w:bottom w:val="single" w:color="080000" w:sz="8" w:space="0"/>
              <w:right w:val="single" w:color="080000" w:sz="8" w:space="0"/>
            </w:tcBorders>
            <w:vAlign w:val="center"/>
          </w:tcPr>
          <w:p w14:paraId="6AC12A7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1、证照齐全（营业执照、食品经营许可证）（共2分，缺一项扣1分）</w:t>
            </w:r>
          </w:p>
        </w:tc>
        <w:tc>
          <w:tcPr>
            <w:tcW w:w="0" w:type="auto"/>
            <w:tcBorders>
              <w:top w:val="nil"/>
              <w:left w:val="nil"/>
              <w:bottom w:val="single" w:color="080000" w:sz="8" w:space="0"/>
              <w:right w:val="single" w:color="080000" w:sz="8" w:space="0"/>
            </w:tcBorders>
            <w:vAlign w:val="center"/>
          </w:tcPr>
          <w:p w14:paraId="27839C6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D04F94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BEC8C57">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BB0659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E17383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FF41D2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2、食品卫生、人事用工、采购、仓库管理、消防安全管理制度、设备操作规程、水电管理制度、食物中毒应急预案等制度齐全。（共5分，缺一项扣0.5分）</w:t>
            </w:r>
          </w:p>
        </w:tc>
        <w:tc>
          <w:tcPr>
            <w:tcW w:w="0" w:type="auto"/>
            <w:tcBorders>
              <w:top w:val="nil"/>
              <w:left w:val="nil"/>
              <w:bottom w:val="single" w:color="080000" w:sz="8" w:space="0"/>
              <w:right w:val="single" w:color="080000" w:sz="8" w:space="0"/>
            </w:tcBorders>
            <w:vAlign w:val="center"/>
          </w:tcPr>
          <w:p w14:paraId="7CF760D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59A2D5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B6B7A1D">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7CD5AE0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二</w:t>
            </w:r>
          </w:p>
        </w:tc>
        <w:tc>
          <w:tcPr>
            <w:tcW w:w="0" w:type="auto"/>
            <w:vMerge w:val="restart"/>
            <w:tcBorders>
              <w:top w:val="nil"/>
              <w:left w:val="single" w:color="080000" w:sz="8" w:space="0"/>
              <w:bottom w:val="single" w:color="080000" w:sz="8" w:space="0"/>
              <w:right w:val="single" w:color="080000" w:sz="8" w:space="0"/>
            </w:tcBorders>
            <w:vAlign w:val="center"/>
          </w:tcPr>
          <w:p w14:paraId="5633539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人员配置（8分）</w:t>
            </w:r>
          </w:p>
        </w:tc>
        <w:tc>
          <w:tcPr>
            <w:tcW w:w="0" w:type="auto"/>
            <w:vMerge w:val="restart"/>
            <w:tcBorders>
              <w:top w:val="nil"/>
              <w:left w:val="single" w:color="080000" w:sz="8" w:space="0"/>
              <w:bottom w:val="single" w:color="080000" w:sz="8" w:space="0"/>
              <w:right w:val="single" w:color="080000" w:sz="8" w:space="0"/>
            </w:tcBorders>
            <w:vAlign w:val="center"/>
          </w:tcPr>
          <w:p w14:paraId="4BF6358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1、配置优秀管理人员，</w:t>
            </w:r>
            <w:r>
              <w:rPr>
                <w:rFonts w:hint="eastAsia" w:ascii="宋体" w:hAnsi="宋体" w:cs="宋体"/>
                <w:bCs/>
                <w:color w:val="auto"/>
                <w:kern w:val="0"/>
                <w:sz w:val="21"/>
                <w:szCs w:val="21"/>
                <w:highlight w:val="none"/>
                <w:lang w:val="en-US" w:eastAsia="zh-CN"/>
              </w:rPr>
              <w:t>服务人数不少于约定要求；</w:t>
            </w:r>
            <w:r>
              <w:rPr>
                <w:rFonts w:hint="eastAsia" w:ascii="宋体" w:hAnsi="宋体" w:eastAsia="宋体" w:cs="宋体"/>
                <w:bCs/>
                <w:color w:val="auto"/>
                <w:kern w:val="0"/>
                <w:sz w:val="21"/>
                <w:szCs w:val="21"/>
                <w:highlight w:val="none"/>
              </w:rPr>
              <w:t>食品安全管理员、卫生主管、厨师、厨工等人员达到</w:t>
            </w:r>
            <w:r>
              <w:rPr>
                <w:rFonts w:hint="eastAsia" w:ascii="宋体" w:hAnsi="宋体" w:cs="宋体"/>
                <w:bCs/>
                <w:color w:val="auto"/>
                <w:kern w:val="0"/>
                <w:sz w:val="21"/>
                <w:szCs w:val="21"/>
                <w:highlight w:val="none"/>
                <w:lang w:val="en-US" w:eastAsia="zh-CN"/>
              </w:rPr>
              <w:t>用工</w:t>
            </w:r>
            <w:r>
              <w:rPr>
                <w:rFonts w:hint="eastAsia" w:ascii="宋体" w:hAnsi="宋体" w:eastAsia="宋体" w:cs="宋体"/>
                <w:bCs/>
                <w:color w:val="auto"/>
                <w:kern w:val="0"/>
                <w:sz w:val="21"/>
                <w:szCs w:val="21"/>
                <w:highlight w:val="none"/>
              </w:rPr>
              <w:t>要求。（共5分，缺一人扣1分）</w:t>
            </w:r>
          </w:p>
        </w:tc>
        <w:tc>
          <w:tcPr>
            <w:tcW w:w="0" w:type="auto"/>
            <w:tcBorders>
              <w:top w:val="nil"/>
              <w:left w:val="nil"/>
              <w:bottom w:val="nil"/>
              <w:right w:val="single" w:color="080000" w:sz="8" w:space="0"/>
            </w:tcBorders>
            <w:vAlign w:val="center"/>
          </w:tcPr>
          <w:p w14:paraId="7F37135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nil"/>
              <w:right w:val="single" w:color="080000" w:sz="8" w:space="0"/>
            </w:tcBorders>
            <w:vAlign w:val="center"/>
          </w:tcPr>
          <w:p w14:paraId="34A1C52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991CD59">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91020C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55F83D7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57CB2A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22E1380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B54252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EF350EB">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9D8BBA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03EFC15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63B022F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2、所有从业人员均持有有效健康证。（共3分，每一人不具有扣1分）</w:t>
            </w:r>
          </w:p>
        </w:tc>
        <w:tc>
          <w:tcPr>
            <w:tcW w:w="0" w:type="auto"/>
            <w:tcBorders>
              <w:top w:val="nil"/>
              <w:left w:val="nil"/>
              <w:bottom w:val="single" w:color="080000" w:sz="8" w:space="0"/>
              <w:right w:val="single" w:color="080000" w:sz="8" w:space="0"/>
            </w:tcBorders>
            <w:vAlign w:val="center"/>
          </w:tcPr>
          <w:p w14:paraId="2D38B45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0738E3A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10E7BA4">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7003BD9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三</w:t>
            </w:r>
          </w:p>
        </w:tc>
        <w:tc>
          <w:tcPr>
            <w:tcW w:w="0" w:type="auto"/>
            <w:vMerge w:val="restart"/>
            <w:tcBorders>
              <w:top w:val="nil"/>
              <w:left w:val="single" w:color="080000" w:sz="8" w:space="0"/>
              <w:bottom w:val="single" w:color="080000" w:sz="8" w:space="0"/>
              <w:right w:val="single" w:color="080000" w:sz="8" w:space="0"/>
            </w:tcBorders>
            <w:vAlign w:val="center"/>
          </w:tcPr>
          <w:p w14:paraId="10269F9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采购管理（10分）</w:t>
            </w:r>
          </w:p>
        </w:tc>
        <w:tc>
          <w:tcPr>
            <w:tcW w:w="0" w:type="auto"/>
            <w:tcBorders>
              <w:top w:val="nil"/>
              <w:left w:val="nil"/>
              <w:bottom w:val="single" w:color="080000" w:sz="8" w:space="0"/>
              <w:right w:val="single" w:color="080000" w:sz="8" w:space="0"/>
            </w:tcBorders>
            <w:vAlign w:val="center"/>
          </w:tcPr>
          <w:p w14:paraId="25C340F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1、定点采购，建立食品进货台帐。（共4分，任何一项不符合扣1分）</w:t>
            </w:r>
          </w:p>
        </w:tc>
        <w:tc>
          <w:tcPr>
            <w:tcW w:w="0" w:type="auto"/>
            <w:tcBorders>
              <w:top w:val="nil"/>
              <w:left w:val="nil"/>
              <w:bottom w:val="single" w:color="080000" w:sz="8" w:space="0"/>
              <w:right w:val="single" w:color="080000" w:sz="8" w:space="0"/>
            </w:tcBorders>
            <w:vAlign w:val="center"/>
          </w:tcPr>
          <w:p w14:paraId="3E4D8BD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25E5AA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C178966">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0369B7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B0F31B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5FB12AF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2、粮油、副食品等主要食品有产品质量检验报告、食品经营许可证，并与供货商签订合同。（共4分，任何一项不符合扣1分）</w:t>
            </w:r>
          </w:p>
        </w:tc>
        <w:tc>
          <w:tcPr>
            <w:tcW w:w="0" w:type="auto"/>
            <w:tcBorders>
              <w:top w:val="nil"/>
              <w:left w:val="nil"/>
              <w:bottom w:val="single" w:color="080000" w:sz="8" w:space="0"/>
              <w:right w:val="single" w:color="080000" w:sz="8" w:space="0"/>
            </w:tcBorders>
            <w:vAlign w:val="center"/>
          </w:tcPr>
          <w:p w14:paraId="0CD5AEE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5744EB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002B982F">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1436074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66C2E0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635AAD5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3、严格落实验收制度，做好验收登记。（共2分，任何一项不符合扣1分）</w:t>
            </w:r>
          </w:p>
        </w:tc>
        <w:tc>
          <w:tcPr>
            <w:tcW w:w="0" w:type="auto"/>
            <w:tcBorders>
              <w:top w:val="nil"/>
              <w:left w:val="nil"/>
              <w:bottom w:val="single" w:color="080000" w:sz="8" w:space="0"/>
              <w:right w:val="single" w:color="080000" w:sz="8" w:space="0"/>
            </w:tcBorders>
            <w:vAlign w:val="center"/>
          </w:tcPr>
          <w:p w14:paraId="3BB2C25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E90E12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CF2DEEA">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5FC705D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四</w:t>
            </w:r>
          </w:p>
        </w:tc>
        <w:tc>
          <w:tcPr>
            <w:tcW w:w="0" w:type="auto"/>
            <w:vMerge w:val="restart"/>
            <w:tcBorders>
              <w:top w:val="nil"/>
              <w:left w:val="single" w:color="080000" w:sz="8" w:space="0"/>
              <w:bottom w:val="single" w:color="080000" w:sz="8" w:space="0"/>
              <w:right w:val="single" w:color="080000" w:sz="8" w:space="0"/>
            </w:tcBorders>
            <w:vAlign w:val="center"/>
          </w:tcPr>
          <w:p w14:paraId="719AC3F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仓储管理（7分）</w:t>
            </w:r>
          </w:p>
        </w:tc>
        <w:tc>
          <w:tcPr>
            <w:tcW w:w="0" w:type="auto"/>
            <w:tcBorders>
              <w:top w:val="nil"/>
              <w:left w:val="nil"/>
              <w:bottom w:val="single" w:color="080000" w:sz="8" w:space="0"/>
              <w:right w:val="single" w:color="080000" w:sz="8" w:space="0"/>
            </w:tcBorders>
            <w:vAlign w:val="center"/>
          </w:tcPr>
          <w:p w14:paraId="4DE6F8B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1、食品库、杂物库分别独立设置。（共3分，任何一项不符合扣1分）</w:t>
            </w:r>
          </w:p>
        </w:tc>
        <w:tc>
          <w:tcPr>
            <w:tcW w:w="0" w:type="auto"/>
            <w:tcBorders>
              <w:top w:val="nil"/>
              <w:left w:val="nil"/>
              <w:bottom w:val="single" w:color="080000" w:sz="8" w:space="0"/>
              <w:right w:val="single" w:color="080000" w:sz="8" w:space="0"/>
            </w:tcBorders>
            <w:vAlign w:val="center"/>
          </w:tcPr>
          <w:p w14:paraId="7C6FB23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2BF6CC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283E785D">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7B03D0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EACEC2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299BBBA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2、所有物品分类摆放，离地、离墙存放，有标签标识。（共2分，任何一项不符合扣0.5分）</w:t>
            </w:r>
          </w:p>
        </w:tc>
        <w:tc>
          <w:tcPr>
            <w:tcW w:w="0" w:type="auto"/>
            <w:tcBorders>
              <w:top w:val="nil"/>
              <w:left w:val="nil"/>
              <w:bottom w:val="single" w:color="080000" w:sz="8" w:space="0"/>
              <w:right w:val="single" w:color="080000" w:sz="8" w:space="0"/>
            </w:tcBorders>
            <w:vAlign w:val="center"/>
          </w:tcPr>
          <w:p w14:paraId="5D0F10F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FA7111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DA3D8F3">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26E168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3862427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41518B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3、仓库物品做到先进先出，严格杜绝存放过期变质的物品。（共2分，发现一次变质过期物品扣1分）</w:t>
            </w:r>
          </w:p>
        </w:tc>
        <w:tc>
          <w:tcPr>
            <w:tcW w:w="0" w:type="auto"/>
            <w:tcBorders>
              <w:top w:val="nil"/>
              <w:left w:val="nil"/>
              <w:bottom w:val="single" w:color="080000" w:sz="8" w:space="0"/>
              <w:right w:val="single" w:color="080000" w:sz="8" w:space="0"/>
            </w:tcBorders>
            <w:vAlign w:val="center"/>
          </w:tcPr>
          <w:p w14:paraId="7920D75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0808DEC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2EE25288">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2041D11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五</w:t>
            </w:r>
          </w:p>
        </w:tc>
        <w:tc>
          <w:tcPr>
            <w:tcW w:w="0" w:type="auto"/>
            <w:vMerge w:val="restart"/>
            <w:tcBorders>
              <w:top w:val="nil"/>
              <w:left w:val="single" w:color="080000" w:sz="8" w:space="0"/>
              <w:bottom w:val="single" w:color="080000" w:sz="8" w:space="0"/>
              <w:right w:val="single" w:color="080000" w:sz="8" w:space="0"/>
            </w:tcBorders>
            <w:vAlign w:val="center"/>
          </w:tcPr>
          <w:p w14:paraId="7215EED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安全卫生（37分）</w:t>
            </w:r>
          </w:p>
        </w:tc>
        <w:tc>
          <w:tcPr>
            <w:tcW w:w="0" w:type="auto"/>
            <w:tcBorders>
              <w:top w:val="nil"/>
              <w:left w:val="nil"/>
              <w:bottom w:val="single" w:color="080000" w:sz="8" w:space="0"/>
              <w:right w:val="single" w:color="080000" w:sz="8" w:space="0"/>
            </w:tcBorders>
            <w:vAlign w:val="center"/>
          </w:tcPr>
          <w:p w14:paraId="09D4309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1、食堂内外环境干净、整洁，不留卫生死角，做好除“四害”工作，配置好纱窗。（共4分，任何一项不符合扣1分）</w:t>
            </w:r>
          </w:p>
        </w:tc>
        <w:tc>
          <w:tcPr>
            <w:tcW w:w="0" w:type="auto"/>
            <w:tcBorders>
              <w:top w:val="nil"/>
              <w:left w:val="nil"/>
              <w:bottom w:val="single" w:color="080000" w:sz="8" w:space="0"/>
              <w:right w:val="single" w:color="080000" w:sz="8" w:space="0"/>
            </w:tcBorders>
            <w:vAlign w:val="center"/>
          </w:tcPr>
          <w:p w14:paraId="06AE4A9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4B972E0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2C940D3">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39D21BF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09F7FC1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9FDD5F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2、操作间地面、厨具、餐具干净、整洁。（共4分，任何一项不符合扣1分）</w:t>
            </w:r>
          </w:p>
        </w:tc>
        <w:tc>
          <w:tcPr>
            <w:tcW w:w="0" w:type="auto"/>
            <w:tcBorders>
              <w:top w:val="nil"/>
              <w:left w:val="nil"/>
              <w:bottom w:val="single" w:color="080000" w:sz="8" w:space="0"/>
              <w:right w:val="single" w:color="080000" w:sz="8" w:space="0"/>
            </w:tcBorders>
            <w:vAlign w:val="center"/>
          </w:tcPr>
          <w:p w14:paraId="58C29B4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42CB211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7EC1AC5">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085176F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52D6121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2042486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3、卫生管理制度挂上墙，卫生责任人明确。（共4分，任何一项不符合扣1分）</w:t>
            </w:r>
          </w:p>
        </w:tc>
        <w:tc>
          <w:tcPr>
            <w:tcW w:w="0" w:type="auto"/>
            <w:tcBorders>
              <w:top w:val="nil"/>
              <w:left w:val="nil"/>
              <w:bottom w:val="single" w:color="080000" w:sz="8" w:space="0"/>
              <w:right w:val="single" w:color="080000" w:sz="8" w:space="0"/>
            </w:tcBorders>
            <w:vAlign w:val="center"/>
          </w:tcPr>
          <w:p w14:paraId="3BABA63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7618826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2D4C4A2">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6E36800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F3F318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FAD26F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4、配置熟食间，生、熟用具严格分开并有明显标识。（共4分，任何一项不符合扣1分）</w:t>
            </w:r>
          </w:p>
        </w:tc>
        <w:tc>
          <w:tcPr>
            <w:tcW w:w="0" w:type="auto"/>
            <w:tcBorders>
              <w:top w:val="nil"/>
              <w:left w:val="nil"/>
              <w:bottom w:val="single" w:color="080000" w:sz="8" w:space="0"/>
              <w:right w:val="single" w:color="080000" w:sz="8" w:space="0"/>
            </w:tcBorders>
            <w:vAlign w:val="center"/>
          </w:tcPr>
          <w:p w14:paraId="6B62A78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014E52C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E888BC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42EED7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6096160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00B37A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5、厨房餐具、用具实行消毒。（共2分，任何一项不符合扣1分）</w:t>
            </w:r>
          </w:p>
        </w:tc>
        <w:tc>
          <w:tcPr>
            <w:tcW w:w="0" w:type="auto"/>
            <w:tcBorders>
              <w:top w:val="nil"/>
              <w:left w:val="nil"/>
              <w:bottom w:val="single" w:color="080000" w:sz="8" w:space="0"/>
              <w:right w:val="single" w:color="080000" w:sz="8" w:space="0"/>
            </w:tcBorders>
            <w:vAlign w:val="center"/>
          </w:tcPr>
          <w:p w14:paraId="37DB21E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42DCB69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535C32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18F6340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2018E6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445C0A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6、员工统一着装，衣帽整洁，戴口罩和手套。（共4分，任何一项不符合扣1分）</w:t>
            </w:r>
          </w:p>
        </w:tc>
        <w:tc>
          <w:tcPr>
            <w:tcW w:w="0" w:type="auto"/>
            <w:tcBorders>
              <w:top w:val="nil"/>
              <w:left w:val="nil"/>
              <w:bottom w:val="single" w:color="080000" w:sz="8" w:space="0"/>
              <w:right w:val="single" w:color="080000" w:sz="8" w:space="0"/>
            </w:tcBorders>
            <w:vAlign w:val="center"/>
          </w:tcPr>
          <w:p w14:paraId="7AAD039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BD0DD0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0A434DB">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289BB0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4D873A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10E53F7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7、消防设施完好齐全，随时可用，灭火器不过期，消防通道畅通，消防检查登记表。（共8分，任何一项不符合扣1分）</w:t>
            </w:r>
          </w:p>
        </w:tc>
        <w:tc>
          <w:tcPr>
            <w:tcW w:w="0" w:type="auto"/>
            <w:tcBorders>
              <w:top w:val="nil"/>
              <w:left w:val="nil"/>
              <w:bottom w:val="single" w:color="080000" w:sz="8" w:space="0"/>
              <w:right w:val="single" w:color="080000" w:sz="8" w:space="0"/>
            </w:tcBorders>
            <w:vAlign w:val="center"/>
          </w:tcPr>
          <w:p w14:paraId="5C5CAAC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546D596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5C15CE8">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337608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771B0E8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5323535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8、规范使用和维护供电线路，严禁乱接电线，严禁使用煤气罐。（共4分，任何一项不符合扣1分）</w:t>
            </w:r>
          </w:p>
        </w:tc>
        <w:tc>
          <w:tcPr>
            <w:tcW w:w="0" w:type="auto"/>
            <w:tcBorders>
              <w:top w:val="nil"/>
              <w:left w:val="nil"/>
              <w:bottom w:val="single" w:color="080000" w:sz="8" w:space="0"/>
              <w:right w:val="single" w:color="080000" w:sz="8" w:space="0"/>
            </w:tcBorders>
            <w:vAlign w:val="center"/>
          </w:tcPr>
          <w:p w14:paraId="080FC9B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48F7DB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8D7FB7F">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A31344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6F1B1D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B30D5F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9、冷藏柜不能有隔夜青菜、豆类等非肉类食物，预包装食品除外。（共3分，任何一项不符合扣1分）</w:t>
            </w:r>
          </w:p>
        </w:tc>
        <w:tc>
          <w:tcPr>
            <w:tcW w:w="0" w:type="auto"/>
            <w:tcBorders>
              <w:top w:val="nil"/>
              <w:left w:val="nil"/>
              <w:bottom w:val="single" w:color="080000" w:sz="8" w:space="0"/>
              <w:right w:val="single" w:color="080000" w:sz="8" w:space="0"/>
            </w:tcBorders>
            <w:vAlign w:val="center"/>
          </w:tcPr>
          <w:p w14:paraId="77F3762E">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5217525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AF45AA6">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6251BDD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六</w:t>
            </w:r>
          </w:p>
        </w:tc>
        <w:tc>
          <w:tcPr>
            <w:tcW w:w="0" w:type="auto"/>
            <w:vMerge w:val="restart"/>
            <w:tcBorders>
              <w:top w:val="nil"/>
              <w:left w:val="single" w:color="080000" w:sz="8" w:space="0"/>
              <w:bottom w:val="single" w:color="080000" w:sz="8" w:space="0"/>
              <w:right w:val="single" w:color="080000" w:sz="8" w:space="0"/>
            </w:tcBorders>
            <w:vAlign w:val="center"/>
          </w:tcPr>
          <w:p w14:paraId="6DFF189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生产流程（12分）</w:t>
            </w:r>
          </w:p>
        </w:tc>
        <w:tc>
          <w:tcPr>
            <w:tcW w:w="0" w:type="auto"/>
            <w:tcBorders>
              <w:top w:val="nil"/>
              <w:left w:val="nil"/>
              <w:bottom w:val="single" w:color="080000" w:sz="8" w:space="0"/>
              <w:right w:val="single" w:color="080000" w:sz="8" w:space="0"/>
            </w:tcBorders>
            <w:vAlign w:val="center"/>
          </w:tcPr>
          <w:p w14:paraId="61772C9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1、严格按照加工、配菜、烹调的制作程序生产制作食物。（共2分，任何一项不符合扣1分）</w:t>
            </w:r>
          </w:p>
        </w:tc>
        <w:tc>
          <w:tcPr>
            <w:tcW w:w="0" w:type="auto"/>
            <w:tcBorders>
              <w:top w:val="nil"/>
              <w:left w:val="nil"/>
              <w:bottom w:val="single" w:color="080000" w:sz="8" w:space="0"/>
              <w:right w:val="single" w:color="080000" w:sz="8" w:space="0"/>
            </w:tcBorders>
            <w:vAlign w:val="center"/>
          </w:tcPr>
          <w:p w14:paraId="5D7711A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0E7532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666EF72">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0CACE8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D21243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2DC677F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2、加工过程使用的所有设备严格按照操作规程使用。（共2分，任何一项不符合扣1分）</w:t>
            </w:r>
          </w:p>
        </w:tc>
        <w:tc>
          <w:tcPr>
            <w:tcW w:w="0" w:type="auto"/>
            <w:tcBorders>
              <w:top w:val="nil"/>
              <w:left w:val="nil"/>
              <w:bottom w:val="single" w:color="080000" w:sz="8" w:space="0"/>
              <w:right w:val="single" w:color="080000" w:sz="8" w:space="0"/>
            </w:tcBorders>
            <w:vAlign w:val="center"/>
          </w:tcPr>
          <w:p w14:paraId="33D307D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DEF126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4241CDFF">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6F2DC93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37E90E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300272E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3、生产制作过程要卫生规范，烹调加热要熟透。（共1分，任何一项不符合扣1分）</w:t>
            </w:r>
          </w:p>
        </w:tc>
        <w:tc>
          <w:tcPr>
            <w:tcW w:w="0" w:type="auto"/>
            <w:tcBorders>
              <w:top w:val="nil"/>
              <w:left w:val="nil"/>
              <w:bottom w:val="single" w:color="080000" w:sz="8" w:space="0"/>
              <w:right w:val="single" w:color="080000" w:sz="8" w:space="0"/>
            </w:tcBorders>
            <w:vAlign w:val="center"/>
          </w:tcPr>
          <w:p w14:paraId="2B1B2DD1">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29357882">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B5BF5CB">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4302B5E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286CF8D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0B4AAAA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4、落实食品留样制度（每个品种150克，分别用专用有盖容器盛装、附上日期和品种及设笔记本登记，存放于专用冰箱保存48小时）。（共7分，任何一项不符合扣1分）</w:t>
            </w:r>
          </w:p>
        </w:tc>
        <w:tc>
          <w:tcPr>
            <w:tcW w:w="0" w:type="auto"/>
            <w:tcBorders>
              <w:top w:val="nil"/>
              <w:left w:val="nil"/>
              <w:bottom w:val="single" w:color="080000" w:sz="8" w:space="0"/>
              <w:right w:val="single" w:color="080000" w:sz="8" w:space="0"/>
            </w:tcBorders>
            <w:vAlign w:val="center"/>
          </w:tcPr>
          <w:p w14:paraId="36C678D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38F03B6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6C615B54">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70702A6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七</w:t>
            </w:r>
          </w:p>
        </w:tc>
        <w:tc>
          <w:tcPr>
            <w:tcW w:w="0" w:type="auto"/>
            <w:vMerge w:val="restart"/>
            <w:tcBorders>
              <w:top w:val="nil"/>
              <w:left w:val="single" w:color="080000" w:sz="8" w:space="0"/>
              <w:bottom w:val="single" w:color="080000" w:sz="8" w:space="0"/>
              <w:right w:val="single" w:color="080000" w:sz="8" w:space="0"/>
            </w:tcBorders>
            <w:vAlign w:val="center"/>
          </w:tcPr>
          <w:p w14:paraId="13069C0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饭菜质量（10分）</w:t>
            </w:r>
          </w:p>
        </w:tc>
        <w:tc>
          <w:tcPr>
            <w:tcW w:w="0" w:type="auto"/>
            <w:tcBorders>
              <w:top w:val="nil"/>
              <w:left w:val="nil"/>
              <w:bottom w:val="single" w:color="080000" w:sz="8" w:space="0"/>
              <w:right w:val="single" w:color="080000" w:sz="8" w:space="0"/>
            </w:tcBorders>
            <w:vAlign w:val="center"/>
          </w:tcPr>
          <w:p w14:paraId="16760B4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1、主、副食烹饪制作规范，色、香、味、型俱佳。（共5分，任何一项不符合扣1分）</w:t>
            </w:r>
          </w:p>
        </w:tc>
        <w:tc>
          <w:tcPr>
            <w:tcW w:w="0" w:type="auto"/>
            <w:tcBorders>
              <w:top w:val="nil"/>
              <w:left w:val="nil"/>
              <w:bottom w:val="single" w:color="080000" w:sz="8" w:space="0"/>
              <w:right w:val="single" w:color="080000" w:sz="8" w:space="0"/>
            </w:tcBorders>
            <w:vAlign w:val="center"/>
          </w:tcPr>
          <w:p w14:paraId="34CC0C4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4E944EB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15D080FD">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27356A84">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3A712C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616902C8">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2、品种多，一周内品种不同。（共5分，任何一项不符合扣1分）</w:t>
            </w:r>
          </w:p>
        </w:tc>
        <w:tc>
          <w:tcPr>
            <w:tcW w:w="0" w:type="auto"/>
            <w:tcBorders>
              <w:top w:val="nil"/>
              <w:left w:val="nil"/>
              <w:bottom w:val="single" w:color="080000" w:sz="8" w:space="0"/>
              <w:right w:val="single" w:color="080000" w:sz="8" w:space="0"/>
            </w:tcBorders>
            <w:vAlign w:val="center"/>
          </w:tcPr>
          <w:p w14:paraId="4A5F708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66031E03">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29BB329">
        <w:tblPrEx>
          <w:tblCellMar>
            <w:top w:w="0" w:type="dxa"/>
            <w:left w:w="108" w:type="dxa"/>
            <w:bottom w:w="0" w:type="dxa"/>
            <w:right w:w="108" w:type="dxa"/>
          </w:tblCellMar>
        </w:tblPrEx>
        <w:tc>
          <w:tcPr>
            <w:tcW w:w="0" w:type="auto"/>
            <w:vMerge w:val="restart"/>
            <w:tcBorders>
              <w:top w:val="nil"/>
              <w:left w:val="single" w:color="080000" w:sz="8" w:space="0"/>
              <w:bottom w:val="single" w:color="080000" w:sz="8" w:space="0"/>
              <w:right w:val="single" w:color="080000" w:sz="8" w:space="0"/>
            </w:tcBorders>
            <w:vAlign w:val="center"/>
          </w:tcPr>
          <w:p w14:paraId="56C6F13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八</w:t>
            </w:r>
          </w:p>
        </w:tc>
        <w:tc>
          <w:tcPr>
            <w:tcW w:w="0" w:type="auto"/>
            <w:vMerge w:val="restart"/>
            <w:tcBorders>
              <w:top w:val="nil"/>
              <w:left w:val="single" w:color="080000" w:sz="8" w:space="0"/>
              <w:bottom w:val="single" w:color="080000" w:sz="8" w:space="0"/>
              <w:right w:val="single" w:color="080000" w:sz="8" w:space="0"/>
            </w:tcBorders>
            <w:vAlign w:val="center"/>
          </w:tcPr>
          <w:p w14:paraId="50E086E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服务质量（9分）</w:t>
            </w:r>
          </w:p>
        </w:tc>
        <w:tc>
          <w:tcPr>
            <w:tcW w:w="0" w:type="auto"/>
            <w:tcBorders>
              <w:top w:val="nil"/>
              <w:left w:val="nil"/>
              <w:bottom w:val="single" w:color="080000" w:sz="8" w:space="0"/>
              <w:right w:val="single" w:color="080000" w:sz="8" w:space="0"/>
            </w:tcBorders>
            <w:vAlign w:val="center"/>
          </w:tcPr>
          <w:p w14:paraId="4B2F6B9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1、员工服务热情、文明用语、和蔼待人。（共6分，任何一项不符合扣1分）</w:t>
            </w:r>
          </w:p>
        </w:tc>
        <w:tc>
          <w:tcPr>
            <w:tcW w:w="0" w:type="auto"/>
            <w:tcBorders>
              <w:top w:val="nil"/>
              <w:left w:val="nil"/>
              <w:bottom w:val="single" w:color="080000" w:sz="8" w:space="0"/>
              <w:right w:val="single" w:color="080000" w:sz="8" w:space="0"/>
            </w:tcBorders>
            <w:vAlign w:val="center"/>
          </w:tcPr>
          <w:p w14:paraId="3D5D1EE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1C7FE2FA">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50E2D1E4">
        <w:tblPrEx>
          <w:tblCellMar>
            <w:top w:w="0" w:type="dxa"/>
            <w:left w:w="108" w:type="dxa"/>
            <w:bottom w:w="0" w:type="dxa"/>
            <w:right w:w="108" w:type="dxa"/>
          </w:tblCellMar>
        </w:tblPrEx>
        <w:tc>
          <w:tcPr>
            <w:tcW w:w="0" w:type="auto"/>
            <w:vMerge w:val="continue"/>
            <w:tcBorders>
              <w:top w:val="nil"/>
              <w:left w:val="single" w:color="080000" w:sz="8" w:space="0"/>
              <w:bottom w:val="single" w:color="080000" w:sz="8" w:space="0"/>
              <w:right w:val="single" w:color="080000" w:sz="8" w:space="0"/>
            </w:tcBorders>
            <w:vAlign w:val="center"/>
          </w:tcPr>
          <w:p w14:paraId="5F4D80DD">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vMerge w:val="continue"/>
            <w:tcBorders>
              <w:top w:val="nil"/>
              <w:left w:val="single" w:color="080000" w:sz="8" w:space="0"/>
              <w:bottom w:val="single" w:color="080000" w:sz="8" w:space="0"/>
              <w:right w:val="single" w:color="080000" w:sz="8" w:space="0"/>
            </w:tcBorders>
            <w:vAlign w:val="center"/>
          </w:tcPr>
          <w:p w14:paraId="11436DDF">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p>
        </w:tc>
        <w:tc>
          <w:tcPr>
            <w:tcW w:w="0" w:type="auto"/>
            <w:tcBorders>
              <w:top w:val="nil"/>
              <w:left w:val="nil"/>
              <w:bottom w:val="single" w:color="080000" w:sz="8" w:space="0"/>
              <w:right w:val="single" w:color="080000" w:sz="8" w:space="0"/>
            </w:tcBorders>
            <w:vAlign w:val="center"/>
          </w:tcPr>
          <w:p w14:paraId="49E3AFC0">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2、程序规范，快捷、高效。（共3分，任何一项不符合扣1分）</w:t>
            </w:r>
          </w:p>
        </w:tc>
        <w:tc>
          <w:tcPr>
            <w:tcW w:w="0" w:type="auto"/>
            <w:tcBorders>
              <w:top w:val="nil"/>
              <w:left w:val="nil"/>
              <w:bottom w:val="single" w:color="080000" w:sz="8" w:space="0"/>
              <w:right w:val="single" w:color="080000" w:sz="8" w:space="0"/>
            </w:tcBorders>
            <w:vAlign w:val="center"/>
          </w:tcPr>
          <w:p w14:paraId="19607C37">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c>
          <w:tcPr>
            <w:tcW w:w="0" w:type="auto"/>
            <w:tcBorders>
              <w:top w:val="nil"/>
              <w:left w:val="nil"/>
              <w:bottom w:val="single" w:color="080000" w:sz="8" w:space="0"/>
              <w:right w:val="single" w:color="080000" w:sz="8" w:space="0"/>
            </w:tcBorders>
            <w:vAlign w:val="center"/>
          </w:tcPr>
          <w:p w14:paraId="03078E2B">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485D23B5">
        <w:tblPrEx>
          <w:tblCellMar>
            <w:top w:w="0" w:type="dxa"/>
            <w:left w:w="108" w:type="dxa"/>
            <w:bottom w:w="0" w:type="dxa"/>
            <w:right w:w="108" w:type="dxa"/>
          </w:tblCellMar>
        </w:tblPrEx>
        <w:trPr>
          <w:trHeight w:val="391" w:hRule="atLeast"/>
        </w:trPr>
        <w:tc>
          <w:tcPr>
            <w:tcW w:w="0" w:type="auto"/>
            <w:gridSpan w:val="2"/>
            <w:tcBorders>
              <w:top w:val="single" w:color="080000" w:sz="8" w:space="0"/>
              <w:left w:val="single" w:color="080000" w:sz="8" w:space="0"/>
              <w:bottom w:val="single" w:color="080000" w:sz="8" w:space="0"/>
              <w:right w:val="single" w:color="080000" w:sz="8" w:space="0"/>
            </w:tcBorders>
            <w:vAlign w:val="center"/>
          </w:tcPr>
          <w:p w14:paraId="0242CB06">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总得分</w:t>
            </w:r>
          </w:p>
        </w:tc>
        <w:tc>
          <w:tcPr>
            <w:tcW w:w="0" w:type="auto"/>
            <w:gridSpan w:val="3"/>
            <w:tcBorders>
              <w:top w:val="single" w:color="080000" w:sz="8" w:space="0"/>
              <w:left w:val="nil"/>
              <w:bottom w:val="single" w:color="080000" w:sz="8" w:space="0"/>
              <w:right w:val="single" w:color="080000" w:sz="8" w:space="0"/>
            </w:tcBorders>
            <w:vAlign w:val="center"/>
          </w:tcPr>
          <w:p w14:paraId="2D5A40A5">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 </w:t>
            </w:r>
          </w:p>
        </w:tc>
      </w:tr>
      <w:tr w14:paraId="77C2BEAA">
        <w:tblPrEx>
          <w:tblCellMar>
            <w:top w:w="0" w:type="dxa"/>
            <w:left w:w="108" w:type="dxa"/>
            <w:bottom w:w="0" w:type="dxa"/>
            <w:right w:w="108" w:type="dxa"/>
          </w:tblCellMar>
        </w:tblPrEx>
        <w:tc>
          <w:tcPr>
            <w:tcW w:w="0" w:type="auto"/>
            <w:gridSpan w:val="2"/>
            <w:tcBorders>
              <w:top w:val="single" w:color="080000" w:sz="8" w:space="0"/>
              <w:left w:val="single" w:color="080000" w:sz="8" w:space="0"/>
              <w:bottom w:val="single" w:color="080000" w:sz="8" w:space="0"/>
              <w:right w:val="single" w:color="080000" w:sz="8" w:space="0"/>
            </w:tcBorders>
            <w:vAlign w:val="center"/>
          </w:tcPr>
          <w:p w14:paraId="33BB734C">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食堂负责人确认签名</w:t>
            </w:r>
          </w:p>
        </w:tc>
        <w:tc>
          <w:tcPr>
            <w:tcW w:w="0" w:type="auto"/>
            <w:gridSpan w:val="3"/>
            <w:tcBorders>
              <w:top w:val="single" w:color="080000" w:sz="8" w:space="0"/>
              <w:left w:val="nil"/>
              <w:bottom w:val="single" w:color="080000" w:sz="8" w:space="0"/>
              <w:right w:val="single" w:color="080000" w:sz="8" w:space="0"/>
            </w:tcBorders>
            <w:vAlign w:val="center"/>
          </w:tcPr>
          <w:p w14:paraId="01A25A99">
            <w:pPr>
              <w:pageBreakBefore w:val="0"/>
              <w:widowControl/>
              <w:kinsoku/>
              <w:wordWrap/>
              <w:overflowPunct/>
              <w:topLinePunct w:val="0"/>
              <w:autoSpaceDE/>
              <w:autoSpaceDN/>
              <w:bidi w:val="0"/>
              <w:spacing w:line="360" w:lineRule="auto"/>
              <w:jc w:val="left"/>
              <w:textAlignment w:val="auto"/>
              <w:rPr>
                <w:rFonts w:hint="eastAsia" w:ascii="宋体" w:hAnsi="宋体" w:eastAsia="宋体" w:cs="宋体"/>
                <w:color w:val="auto"/>
                <w:kern w:val="0"/>
                <w:sz w:val="21"/>
                <w:szCs w:val="21"/>
                <w:highlight w:val="none"/>
              </w:rPr>
            </w:pPr>
          </w:p>
        </w:tc>
      </w:tr>
    </w:tbl>
    <w:p w14:paraId="1D2F872C">
      <w:pPr>
        <w:rPr>
          <w:color w:val="auto"/>
          <w:highlight w:val="none"/>
        </w:rPr>
      </w:pPr>
      <w:r>
        <w:rPr>
          <w:rFonts w:hint="eastAsia" w:ascii="宋体" w:hAnsi="宋体" w:eastAsia="宋体" w:cs="宋体"/>
          <w:b/>
          <w:color w:val="auto"/>
          <w:sz w:val="21"/>
          <w:szCs w:val="21"/>
          <w:highlight w:val="none"/>
        </w:rPr>
        <w:t>注：</w:t>
      </w:r>
      <w:r>
        <w:rPr>
          <w:rFonts w:hint="eastAsia" w:ascii="宋体" w:hAnsi="宋体" w:cs="宋体"/>
          <w:b/>
          <w:color w:val="auto"/>
          <w:sz w:val="21"/>
          <w:szCs w:val="21"/>
          <w:highlight w:val="none"/>
          <w:lang w:eastAsia="zh-CN"/>
        </w:rPr>
        <w:t>甲方</w:t>
      </w:r>
      <w:r>
        <w:rPr>
          <w:rFonts w:hint="eastAsia" w:ascii="宋体" w:hAnsi="宋体" w:eastAsia="宋体" w:cs="宋体"/>
          <w:b/>
          <w:color w:val="auto"/>
          <w:sz w:val="21"/>
          <w:szCs w:val="21"/>
          <w:highlight w:val="none"/>
        </w:rPr>
        <w:t>每月按照《食堂监督管理考评表》对食堂管理进行考评。</w:t>
      </w:r>
    </w:p>
    <w:p w14:paraId="06413D50">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三、甲方乙方的权利和义务</w:t>
      </w:r>
    </w:p>
    <w:p w14:paraId="3F891FD2">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1.甲方的权利和义务</w:t>
      </w:r>
    </w:p>
    <w:p w14:paraId="47C03E78">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（1）甲方应协助乙方开展本项目的相关工作，并提供相关资料。</w:t>
      </w:r>
    </w:p>
    <w:p w14:paraId="53216673">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（2）甲方应按本合同有关规定及时支付相关费用。</w:t>
      </w:r>
    </w:p>
    <w:p w14:paraId="4153B154">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（3）甲方有权对乙方履行本合同情况进行监督，就乙方工作不足之处，甲方有权提出整改意见，乙方应当按甲方要求完成整改。</w:t>
      </w:r>
    </w:p>
    <w:p w14:paraId="1200A931">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2.乙方的权利和义务</w:t>
      </w:r>
    </w:p>
    <w:p w14:paraId="0BC8B9E8">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（1）乙方必须根据采购文件及有关的技术要求、国家现行有关设计标准、技术规范、规程、甲方要求完成合同约定范围内的全部任务，并按规定向甲方交付合格</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，确保</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质量与进度。</w:t>
      </w:r>
    </w:p>
    <w:p w14:paraId="0AA89253">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（2）乙方应按时召开内部沟通会议，跟进项目进度，并及时向甲方汇报项目进展情况，及时参加甲方召开的项目会议。</w:t>
      </w:r>
    </w:p>
    <w:p w14:paraId="3201C041">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（3）乙方应保证服务质量，因乙方自身原因出现错误或遗漏或甲方不满意之处，必须按甲方意见进行修改完善。</w:t>
      </w:r>
    </w:p>
    <w:p w14:paraId="0369E539">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（4）乙方人员在委托服务期间造成甲方、第三方人身损害或财产损失的，由乙方承担民事赔偿责任。</w:t>
      </w:r>
    </w:p>
    <w:p w14:paraId="386722A1">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（5）乙方人员在委托服务期间发生工伤事故及其他一切事故造成的损害均由乙方全部承担，与甲方无关。</w:t>
      </w:r>
    </w:p>
    <w:p w14:paraId="0E41030F">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（6）乙方严禁转包，未经甲方书面同意不得分包。</w:t>
      </w:r>
    </w:p>
    <w:p w14:paraId="5EED4A94">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四、服务期间及服务地点（项目完成期限）</w:t>
      </w:r>
    </w:p>
    <w:p w14:paraId="048963B3">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1.服务期限：合同签订之日起</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年。其中第一年为试用期，如考核月平均分低于80分的，</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有权单方终止合同，</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须无条件退场。</w:t>
      </w:r>
    </w:p>
    <w:p w14:paraId="6273E239">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2.服务地点：</w:t>
      </w:r>
      <w:r>
        <w:rPr>
          <w:rFonts w:hint="eastAsia" w:ascii="宋体" w:hAnsi="宋体" w:cs="宋体"/>
          <w:color w:val="auto"/>
          <w:sz w:val="21"/>
          <w:szCs w:val="21"/>
          <w:highlight w:val="none"/>
          <w:lang w:eastAsia="zh-CN"/>
        </w:rPr>
        <w:t>东莞滨海湾未来学校食堂。</w:t>
      </w:r>
    </w:p>
    <w:p w14:paraId="57753056">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3.委托服务期间自______年______月______日至______年______月______日止。</w:t>
      </w:r>
    </w:p>
    <w:p w14:paraId="4AC39138">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val="zh-CN"/>
        </w:rPr>
        <w:t>验收要求</w:t>
      </w:r>
    </w:p>
    <w:p w14:paraId="243173EA">
      <w:pPr>
        <w:pageBreakBefore w:val="0"/>
        <w:widowControl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所供应的货品必须符合国家和东莞市的相关安全质量标准、卫生标准等，同时符合</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的使用要求，包括但不限于各分包所列的货品质量要求。</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在接受订单时须确认</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对货品的使用要求，对于不符合</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要求的货品，</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有权拒收或要求更换。</w:t>
      </w:r>
    </w:p>
    <w:p w14:paraId="7FA211A2">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rPr>
        <w:t>六、</w:t>
      </w:r>
      <w:r>
        <w:rPr>
          <w:rFonts w:hint="eastAsia" w:ascii="宋体" w:hAnsi="宋体" w:eastAsia="宋体" w:cs="宋体"/>
          <w:b/>
          <w:bCs/>
          <w:color w:val="auto"/>
          <w:sz w:val="21"/>
          <w:szCs w:val="21"/>
          <w:highlight w:val="none"/>
          <w:lang w:val="zh-CN"/>
        </w:rPr>
        <w:t>履约保证金</w:t>
      </w:r>
    </w:p>
    <w:p w14:paraId="42058BCE">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乙方应在领取中标通知书之后签订合同之前递交履约保证金，履约保证金金额为合同金额的5%，履约保证金可采用保证金（银行转账、电汇）方式，或采用银行出具的履约担保函方式。①以银行转账形式提供履约担保的，履约保证金在最终验收合格后，乙方向甲方提交退回履约保证金的申请、履约保证金汇款凭证复印件、采购合同、采购项目验收报告原件、中标通知书复印件，前往甲方办理履约保证金退还手续。在本项目合同执行期间，如因乙方的过失或工作不配合的原因造成甲方经济损失的，甲方有权根据损失的数额直接在履约保证金中扣除并书面通知乙方。发生下列情况之一的，履约保证金不予退还：（1）乙方将本项目转让给他人，或者在投标文件中未说明，且未经甲方同意，将中标项目分包给他人的，甲方可依法不予退还其履约保证金；（2）乙方在履行采购合同期间，违反有关法律法规的规定及合同约定的条款，损害了甲方的利益，甲方可依法不予退还其履约保证金。②以履约保函形式提供履约担保的，乙方履行完毕合同义务后，及履约保证函到期时，甲方将履约保函退回给乙方。在本项目合同执行期间，如因乙方的过失或工作不配合的原因造成甲方经济损失的，甲方有权按照履约保函中的条款执行并书面通知乙方。</w:t>
      </w:r>
    </w:p>
    <w:p w14:paraId="435E9349">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七、付款方式</w:t>
      </w:r>
    </w:p>
    <w:p w14:paraId="717B1E60">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zh-CN" w:eastAsia="zh-CN"/>
        </w:rPr>
        <w:t>不向</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lang w:val="zh-CN" w:eastAsia="zh-CN"/>
        </w:rPr>
        <w:t>支付任何承包、管理费用，</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zh-CN" w:eastAsia="zh-CN"/>
        </w:rPr>
        <w:t>也不需要向</w:t>
      </w:r>
      <w:r>
        <w:rPr>
          <w:rFonts w:hint="eastAsia" w:ascii="宋体" w:hAnsi="宋体" w:eastAsia="宋体" w:cs="宋体"/>
          <w:color w:val="auto"/>
          <w:sz w:val="21"/>
          <w:szCs w:val="21"/>
          <w:highlight w:val="none"/>
          <w:lang w:val="en-US" w:eastAsia="zh-CN"/>
        </w:rPr>
        <w:t>委托人</w:t>
      </w:r>
      <w:r>
        <w:rPr>
          <w:rFonts w:hint="eastAsia" w:ascii="宋体" w:hAnsi="宋体" w:eastAsia="宋体" w:cs="宋体"/>
          <w:color w:val="auto"/>
          <w:sz w:val="21"/>
          <w:szCs w:val="21"/>
          <w:highlight w:val="none"/>
          <w:lang w:val="zh-CN" w:eastAsia="zh-CN"/>
        </w:rPr>
        <w:t>交纳任何</w:t>
      </w:r>
      <w:r>
        <w:rPr>
          <w:rFonts w:hint="eastAsia" w:ascii="宋体" w:hAnsi="宋体" w:eastAsia="宋体" w:cs="宋体"/>
          <w:color w:val="auto"/>
          <w:sz w:val="21"/>
          <w:szCs w:val="21"/>
          <w:highlight w:val="none"/>
          <w:lang w:val="en-US" w:eastAsia="zh-CN"/>
        </w:rPr>
        <w:t>场地租赁费、</w:t>
      </w:r>
      <w:r>
        <w:rPr>
          <w:rFonts w:hint="eastAsia" w:ascii="宋体" w:hAnsi="宋体" w:eastAsia="宋体" w:cs="宋体"/>
          <w:color w:val="auto"/>
          <w:sz w:val="21"/>
          <w:szCs w:val="21"/>
          <w:highlight w:val="none"/>
          <w:lang w:val="zh-CN" w:eastAsia="zh-CN"/>
        </w:rPr>
        <w:t>管理费，食堂范围内所产生的</w:t>
      </w:r>
      <w:r>
        <w:rPr>
          <w:rFonts w:hint="eastAsia" w:ascii="宋体" w:hAnsi="宋体" w:eastAsia="宋体" w:cs="宋体"/>
          <w:color w:val="auto"/>
          <w:sz w:val="21"/>
          <w:szCs w:val="21"/>
          <w:highlight w:val="none"/>
          <w:lang w:val="en-US" w:eastAsia="zh-CN"/>
        </w:rPr>
        <w:t>人员工资、保险、</w:t>
      </w:r>
      <w:r>
        <w:rPr>
          <w:rFonts w:hint="eastAsia" w:ascii="宋体" w:hAnsi="宋体" w:eastAsia="宋体" w:cs="宋体"/>
          <w:color w:val="auto"/>
          <w:sz w:val="21"/>
          <w:szCs w:val="21"/>
          <w:highlight w:val="none"/>
          <w:lang w:val="zh-CN" w:eastAsia="zh-CN"/>
        </w:rPr>
        <w:t>水电费</w:t>
      </w:r>
      <w:r>
        <w:rPr>
          <w:rFonts w:hint="eastAsia" w:ascii="宋体" w:hAnsi="宋体" w:eastAsia="宋体" w:cs="宋体"/>
          <w:color w:val="auto"/>
          <w:sz w:val="21"/>
          <w:szCs w:val="21"/>
          <w:highlight w:val="none"/>
          <w:lang w:val="en-US" w:eastAsia="zh-CN"/>
        </w:rPr>
        <w:t>等运营成本</w:t>
      </w:r>
      <w:r>
        <w:rPr>
          <w:rFonts w:hint="eastAsia" w:ascii="宋体" w:hAnsi="宋体" w:eastAsia="宋体" w:cs="宋体"/>
          <w:color w:val="auto"/>
          <w:sz w:val="21"/>
          <w:szCs w:val="21"/>
          <w:highlight w:val="none"/>
          <w:lang w:val="zh-CN" w:eastAsia="zh-CN"/>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zh-CN" w:eastAsia="zh-CN"/>
        </w:rPr>
        <w:t>支付。食堂的VI广告由</w:t>
      </w: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统一策划制作，费用由</w:t>
      </w: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承担。</w:t>
      </w:r>
    </w:p>
    <w:p w14:paraId="06669033">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八</w:t>
      </w:r>
      <w:r>
        <w:rPr>
          <w:rFonts w:hint="eastAsia" w:ascii="宋体" w:hAnsi="宋体" w:eastAsia="宋体" w:cs="宋体"/>
          <w:b/>
          <w:bCs/>
          <w:color w:val="auto"/>
          <w:sz w:val="21"/>
          <w:szCs w:val="21"/>
          <w:highlight w:val="none"/>
        </w:rPr>
        <w:t>、经营方式</w:t>
      </w:r>
    </w:p>
    <w:p w14:paraId="005401B9">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独立经营，自负盈亏。不得私自转让或委托他人经营，一经发现，</w:t>
      </w:r>
      <w:r>
        <w:rPr>
          <w:rFonts w:hint="eastAsia" w:ascii="宋体" w:hAnsi="宋体" w:cs="宋体"/>
          <w:color w:val="auto"/>
          <w:sz w:val="21"/>
          <w:szCs w:val="21"/>
          <w:highlight w:val="none"/>
          <w:lang w:val="zh-CN" w:eastAsia="zh-CN"/>
        </w:rPr>
        <w:t>甲方</w:t>
      </w:r>
      <w:r>
        <w:rPr>
          <w:rFonts w:hint="eastAsia" w:ascii="宋体" w:hAnsi="宋体" w:eastAsia="宋体" w:cs="宋体"/>
          <w:color w:val="auto"/>
          <w:sz w:val="21"/>
          <w:szCs w:val="21"/>
          <w:highlight w:val="none"/>
          <w:lang w:val="zh-CN" w:eastAsia="zh-CN"/>
        </w:rPr>
        <w:t>有权取消其承包资格。</w:t>
      </w:r>
    </w:p>
    <w:p w14:paraId="1ADFE392">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包工包料，</w:t>
      </w:r>
      <w:r>
        <w:rPr>
          <w:rFonts w:hint="eastAsia" w:ascii="宋体" w:hAnsi="宋体" w:eastAsia="宋体" w:cs="宋体"/>
          <w:color w:val="auto"/>
          <w:sz w:val="21"/>
          <w:szCs w:val="21"/>
          <w:highlight w:val="none"/>
          <w:lang w:val="en-US" w:eastAsia="zh-CN"/>
        </w:rPr>
        <w:t>食材及物资采购采用竞争机制，需引入不少于3家具备相关资质的集中配货供应商；</w:t>
      </w:r>
      <w:r>
        <w:rPr>
          <w:rFonts w:hint="eastAsia" w:ascii="宋体" w:hAnsi="宋体" w:eastAsia="宋体" w:cs="宋体"/>
          <w:color w:val="auto"/>
          <w:sz w:val="21"/>
          <w:szCs w:val="21"/>
          <w:highlight w:val="none"/>
          <w:lang w:val="zh-CN" w:eastAsia="zh-CN"/>
        </w:rPr>
        <w:t>食堂工作人员由</w:t>
      </w: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自行安排，</w:t>
      </w:r>
      <w:r>
        <w:rPr>
          <w:rFonts w:hint="eastAsia" w:ascii="宋体" w:hAnsi="宋体" w:eastAsia="宋体" w:cs="宋体"/>
          <w:color w:val="auto"/>
          <w:sz w:val="21"/>
          <w:szCs w:val="21"/>
          <w:highlight w:val="none"/>
          <w:lang w:val="en-US" w:eastAsia="zh-CN"/>
        </w:rPr>
        <w:t>重点岗位，如食堂项目经理、主厨等工作人员需经</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核定后入职；</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zh-CN" w:eastAsia="zh-CN"/>
        </w:rPr>
        <w:t>负责食堂</w:t>
      </w:r>
      <w:r>
        <w:rPr>
          <w:rFonts w:hint="eastAsia" w:ascii="宋体" w:hAnsi="宋体" w:eastAsia="宋体" w:cs="宋体"/>
          <w:color w:val="auto"/>
          <w:sz w:val="21"/>
          <w:szCs w:val="21"/>
          <w:highlight w:val="none"/>
          <w:lang w:val="en-US" w:eastAsia="zh-CN"/>
        </w:rPr>
        <w:t>前厅、后厨各项事务</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根据委托方要求</w:t>
      </w:r>
      <w:r>
        <w:rPr>
          <w:rFonts w:hint="eastAsia" w:ascii="宋体" w:hAnsi="宋体" w:eastAsia="宋体" w:cs="宋体"/>
          <w:color w:val="auto"/>
          <w:sz w:val="21"/>
          <w:szCs w:val="21"/>
          <w:highlight w:val="none"/>
          <w:lang w:val="zh-CN" w:eastAsia="zh-CN"/>
        </w:rPr>
        <w:t>按时完成开膳工作。</w:t>
      </w:r>
    </w:p>
    <w:p w14:paraId="48533EA8">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对食堂各项收费需明码标价，坚持财务公示制度，每月对食堂采购物品品种、数量、价格等进行公示，服务期间如需调价，需由膳食管理委员会审核确定，公示并经</w:t>
      </w:r>
      <w:r>
        <w:rPr>
          <w:rFonts w:hint="eastAsia" w:ascii="宋体" w:hAnsi="宋体" w:eastAsia="宋体" w:cs="宋体"/>
          <w:color w:val="auto"/>
          <w:sz w:val="21"/>
          <w:szCs w:val="21"/>
          <w:highlight w:val="none"/>
          <w:lang w:val="zh-CN" w:eastAsia="zh-CN"/>
        </w:rPr>
        <w:t>政府相关主管部门备案或许可后</w:t>
      </w:r>
      <w:r>
        <w:rPr>
          <w:rFonts w:hint="eastAsia" w:ascii="宋体" w:hAnsi="宋体" w:eastAsia="宋体" w:cs="宋体"/>
          <w:color w:val="auto"/>
          <w:sz w:val="21"/>
          <w:szCs w:val="21"/>
          <w:highlight w:val="none"/>
          <w:lang w:val="en-US" w:eastAsia="zh-CN"/>
        </w:rPr>
        <w:t>调整</w:t>
      </w:r>
      <w:r>
        <w:rPr>
          <w:rFonts w:hint="eastAsia" w:ascii="宋体" w:hAnsi="宋体" w:eastAsia="宋体" w:cs="宋体"/>
          <w:color w:val="auto"/>
          <w:sz w:val="21"/>
          <w:szCs w:val="21"/>
          <w:highlight w:val="none"/>
          <w:lang w:val="zh-CN" w:eastAsia="zh-CN"/>
        </w:rPr>
        <w:t>。</w:t>
      </w:r>
    </w:p>
    <w:p w14:paraId="47CA7F74">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食堂内各项设施、设备、用具交由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使用后，</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具有保管责任。</w:t>
      </w:r>
      <w:r>
        <w:rPr>
          <w:rFonts w:hint="eastAsia" w:ascii="宋体" w:hAnsi="宋体" w:eastAsia="宋体" w:cs="宋体"/>
          <w:color w:val="auto"/>
          <w:sz w:val="21"/>
          <w:szCs w:val="21"/>
          <w:highlight w:val="none"/>
          <w:lang w:val="zh-CN" w:eastAsia="zh-CN"/>
        </w:rPr>
        <w:t>食堂经营期内所有厨具、设备设施所产生的维修、维护、保养等费用，全部由</w:t>
      </w:r>
      <w:r>
        <w:rPr>
          <w:rFonts w:hint="eastAsia" w:ascii="宋体" w:hAnsi="宋体" w:cs="宋体"/>
          <w:color w:val="auto"/>
          <w:sz w:val="21"/>
          <w:szCs w:val="21"/>
          <w:highlight w:val="none"/>
          <w:lang w:val="zh-CN" w:eastAsia="zh-CN"/>
        </w:rPr>
        <w:t>乙方</w:t>
      </w:r>
      <w:r>
        <w:rPr>
          <w:rFonts w:hint="eastAsia" w:ascii="宋体" w:hAnsi="宋体" w:eastAsia="宋体" w:cs="宋体"/>
          <w:color w:val="auto"/>
          <w:sz w:val="21"/>
          <w:szCs w:val="21"/>
          <w:highlight w:val="none"/>
          <w:lang w:val="zh-CN" w:eastAsia="zh-CN"/>
        </w:rPr>
        <w:t>承担；</w:t>
      </w:r>
      <w:r>
        <w:rPr>
          <w:rFonts w:hint="eastAsia" w:ascii="宋体" w:hAnsi="宋体" w:eastAsia="宋体" w:cs="宋体"/>
          <w:color w:val="auto"/>
          <w:sz w:val="21"/>
          <w:szCs w:val="21"/>
          <w:highlight w:val="none"/>
          <w:lang w:val="en-US" w:eastAsia="zh-CN"/>
        </w:rPr>
        <w:t>服务期满，食堂内各项设施、设备、用具在未正式移交至</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前，如有</w:t>
      </w:r>
      <w:r>
        <w:rPr>
          <w:rFonts w:hint="eastAsia" w:ascii="宋体" w:hAnsi="宋体" w:eastAsia="宋体" w:cs="宋体"/>
          <w:color w:val="auto"/>
          <w:sz w:val="21"/>
          <w:szCs w:val="21"/>
          <w:highlight w:val="none"/>
          <w:lang w:val="zh-CN" w:eastAsia="zh-CN"/>
        </w:rPr>
        <w:t>丢失</w:t>
      </w:r>
      <w:r>
        <w:rPr>
          <w:rFonts w:hint="eastAsia" w:ascii="宋体" w:hAnsi="宋体" w:eastAsia="宋体" w:cs="宋体"/>
          <w:color w:val="auto"/>
          <w:sz w:val="21"/>
          <w:szCs w:val="21"/>
          <w:highlight w:val="none"/>
          <w:lang w:val="en-US" w:eastAsia="zh-CN"/>
        </w:rPr>
        <w:t>或损坏</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由</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负责购置</w:t>
      </w:r>
      <w:r>
        <w:rPr>
          <w:rFonts w:hint="eastAsia" w:ascii="宋体" w:hAnsi="宋体" w:eastAsia="宋体" w:cs="宋体"/>
          <w:color w:val="auto"/>
          <w:sz w:val="21"/>
          <w:szCs w:val="21"/>
          <w:highlight w:val="none"/>
          <w:lang w:val="zh-CN" w:eastAsia="zh-CN"/>
        </w:rPr>
        <w:t>补充</w:t>
      </w:r>
      <w:r>
        <w:rPr>
          <w:rFonts w:hint="eastAsia" w:ascii="宋体" w:hAnsi="宋体" w:eastAsia="宋体" w:cs="宋体"/>
          <w:color w:val="auto"/>
          <w:sz w:val="21"/>
          <w:szCs w:val="21"/>
          <w:highlight w:val="none"/>
          <w:lang w:val="en-US" w:eastAsia="zh-CN"/>
        </w:rPr>
        <w:t>相同产品或照价赔偿</w:t>
      </w:r>
      <w:r>
        <w:rPr>
          <w:rFonts w:hint="eastAsia" w:ascii="宋体" w:hAnsi="宋体" w:eastAsia="宋体" w:cs="宋体"/>
          <w:color w:val="auto"/>
          <w:sz w:val="21"/>
          <w:szCs w:val="21"/>
          <w:highlight w:val="none"/>
          <w:lang w:val="zh-CN" w:eastAsia="zh-CN"/>
        </w:rPr>
        <w:t>。</w:t>
      </w:r>
    </w:p>
    <w:p w14:paraId="4FB7B9F6">
      <w:pPr>
        <w:pageBreakBefore w:val="0"/>
        <w:widowControl w:val="0"/>
        <w:shd w:val="clear"/>
        <w:kinsoku/>
        <w:wordWrap/>
        <w:overflowPunct/>
        <w:topLinePunct w:val="0"/>
        <w:autoSpaceDE/>
        <w:autoSpaceDN/>
        <w:bidi w:val="0"/>
        <w:adjustRightInd/>
        <w:snapToGrid/>
        <w:spacing w:line="360" w:lineRule="auto"/>
        <w:textAlignment w:val="auto"/>
        <w:outlineLvl w:val="0"/>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九</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其他要求</w:t>
      </w:r>
    </w:p>
    <w:p w14:paraId="752FEB2F">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cs="宋体"/>
          <w:b w:val="0"/>
          <w:bCs/>
          <w:color w:val="auto"/>
          <w:sz w:val="21"/>
          <w:highlight w:val="none"/>
          <w:lang w:eastAsia="zh-CN"/>
        </w:rPr>
        <w:t>乙方</w:t>
      </w:r>
      <w:r>
        <w:rPr>
          <w:rFonts w:hint="eastAsia" w:ascii="宋体" w:hAnsi="宋体" w:eastAsia="宋体" w:cs="宋体"/>
          <w:b w:val="0"/>
          <w:bCs/>
          <w:color w:val="auto"/>
          <w:sz w:val="21"/>
          <w:highlight w:val="none"/>
        </w:rPr>
        <w:t>须符合国家相关规定，服从</w:t>
      </w:r>
      <w:r>
        <w:rPr>
          <w:rFonts w:hint="eastAsia" w:ascii="宋体" w:hAnsi="宋体" w:cs="宋体"/>
          <w:b w:val="0"/>
          <w:bCs/>
          <w:color w:val="auto"/>
          <w:sz w:val="21"/>
          <w:highlight w:val="none"/>
          <w:lang w:eastAsia="zh-CN"/>
        </w:rPr>
        <w:t>甲方</w:t>
      </w:r>
      <w:r>
        <w:rPr>
          <w:rFonts w:hint="eastAsia" w:ascii="宋体" w:hAnsi="宋体" w:eastAsia="宋体" w:cs="宋体"/>
          <w:b w:val="0"/>
          <w:bCs/>
          <w:color w:val="auto"/>
          <w:sz w:val="21"/>
          <w:highlight w:val="none"/>
        </w:rPr>
        <w:t>和市场监督部门的监督管理及要求，配合</w:t>
      </w:r>
      <w:r>
        <w:rPr>
          <w:rFonts w:hint="eastAsia" w:ascii="宋体" w:hAnsi="宋体" w:cs="宋体"/>
          <w:b w:val="0"/>
          <w:bCs/>
          <w:color w:val="auto"/>
          <w:sz w:val="21"/>
          <w:highlight w:val="none"/>
          <w:lang w:eastAsia="zh-CN"/>
        </w:rPr>
        <w:t>甲方</w:t>
      </w:r>
      <w:r>
        <w:rPr>
          <w:rFonts w:hint="eastAsia" w:ascii="宋体" w:hAnsi="宋体" w:eastAsia="宋体" w:cs="宋体"/>
          <w:b w:val="0"/>
          <w:bCs/>
          <w:color w:val="auto"/>
          <w:sz w:val="21"/>
          <w:highlight w:val="none"/>
        </w:rPr>
        <w:t>及时更新所提供的符合市场监督部门的有效证明材料，如营业执照、产品合格证、食品经营许可证、备案等。（须提供承诺函并加盖</w:t>
      </w:r>
      <w:r>
        <w:rPr>
          <w:rFonts w:hint="eastAsia" w:ascii="宋体" w:hAnsi="宋体" w:cs="宋体"/>
          <w:b w:val="0"/>
          <w:bCs/>
          <w:color w:val="auto"/>
          <w:sz w:val="21"/>
          <w:highlight w:val="none"/>
          <w:lang w:eastAsia="zh-CN"/>
        </w:rPr>
        <w:t>乙方</w:t>
      </w:r>
      <w:r>
        <w:rPr>
          <w:rFonts w:hint="eastAsia" w:ascii="宋体" w:hAnsi="宋体" w:eastAsia="宋体" w:cs="宋体"/>
          <w:b w:val="0"/>
          <w:bCs/>
          <w:color w:val="auto"/>
          <w:sz w:val="21"/>
          <w:highlight w:val="none"/>
        </w:rPr>
        <w:t>公章）。</w:t>
      </w:r>
    </w:p>
    <w:p w14:paraId="67788A6B">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十</w:t>
      </w:r>
      <w:r>
        <w:rPr>
          <w:rFonts w:hint="eastAsia" w:ascii="宋体" w:hAnsi="宋体" w:eastAsia="宋体" w:cs="宋体"/>
          <w:b/>
          <w:bCs/>
          <w:color w:val="auto"/>
          <w:sz w:val="21"/>
          <w:szCs w:val="21"/>
          <w:highlight w:val="none"/>
        </w:rPr>
        <w:t>、保密</w:t>
      </w:r>
    </w:p>
    <w:p w14:paraId="0E18724C">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未经甲方事先书面同意，乙方不得将在签订、履行本合同过程中所获悉的属于甲方及其关联方的且无法自公开渠道获得的文件及资料提供给与本合同无关的任何第三方，不得将其用于履行本合同之外的其它用途。即使向与履行本合同有关的人员提供，也应注意保密并限于履行合同所必需的范围。本合同终止后，乙方仍须履行该保密义务，并须将甲方提供的所有资料予以归还，不得自行复制、留存。</w:t>
      </w:r>
    </w:p>
    <w:p w14:paraId="4581A54C">
      <w:pPr>
        <w:pageBreakBefore w:val="0"/>
        <w:widowControl w:val="0"/>
        <w:numPr>
          <w:ilvl w:val="0"/>
          <w:numId w:val="0"/>
        </w:numPr>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bidi="ar-SA"/>
        </w:rPr>
        <w:t>十一、</w:t>
      </w:r>
      <w:r>
        <w:rPr>
          <w:rFonts w:hint="eastAsia" w:ascii="宋体" w:hAnsi="宋体" w:eastAsia="宋体" w:cs="宋体"/>
          <w:b/>
          <w:bCs/>
          <w:color w:val="auto"/>
          <w:sz w:val="21"/>
          <w:szCs w:val="21"/>
          <w:highlight w:val="none"/>
          <w:lang w:val="en-US" w:eastAsia="zh-CN"/>
        </w:rPr>
        <w:t>知识产权和所有权</w:t>
      </w:r>
    </w:p>
    <w:p w14:paraId="6C4863A7">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highlight w:val="none"/>
          <w:lang w:val="en-US" w:eastAsia="zh-CN"/>
        </w:rPr>
      </w:pPr>
      <w:r>
        <w:rPr>
          <w:rFonts w:hint="eastAsia" w:ascii="宋体" w:hAnsi="宋体" w:eastAsia="宋体" w:cs="宋体"/>
          <w:color w:val="auto"/>
          <w:kern w:val="2"/>
          <w:sz w:val="21"/>
          <w:szCs w:val="21"/>
          <w:highlight w:val="none"/>
          <w:lang w:val="zh-CN" w:eastAsia="zh-CN" w:bidi="zh-CN"/>
        </w:rPr>
        <w:t>本合同项下所有服务成果 (包括乙方在合同履行过程中形成的阶段性服务成果及最终交付的服务成果)的知识产权和所有权全部归属于甲方。未经甲方书面同意，乙方不得擅自将前述服务成果以及与之相关的任何资料用于本合同之外的任何场合或者向任何第三方转让、泄露;否则，由乙方承担全部的赔偿责任。</w:t>
      </w:r>
    </w:p>
    <w:p w14:paraId="0661A84E">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十二</w:t>
      </w:r>
      <w:r>
        <w:rPr>
          <w:rFonts w:hint="eastAsia" w:ascii="宋体" w:hAnsi="宋体" w:eastAsia="宋体" w:cs="宋体"/>
          <w:b/>
          <w:bCs/>
          <w:color w:val="auto"/>
          <w:sz w:val="21"/>
          <w:szCs w:val="21"/>
          <w:highlight w:val="none"/>
        </w:rPr>
        <w:t>、违约责任与赔偿损失</w:t>
      </w:r>
    </w:p>
    <w:p w14:paraId="2D7FC301">
      <w:pPr>
        <w:pageBreakBefore w:val="0"/>
        <w:widowControl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1.乙方提供的服务不符合本合同规定的，甲方有权拒收，并且乙方须向甲方方支付本合同总价5%的违约金。</w:t>
      </w:r>
    </w:p>
    <w:p w14:paraId="2CA67D95">
      <w:pPr>
        <w:pageBreakBefore w:val="0"/>
        <w:widowControl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2.乙方未能按本合同规定的交货时间提供服务，从逾期之日起每日按本合同总价3‰的数额向甲方支付违约金；逾期半个月以上的，甲方有权终止合同，由此造成的甲方经济损失由乙方承担。</w:t>
      </w:r>
    </w:p>
    <w:p w14:paraId="3D56B328">
      <w:pPr>
        <w:pageBreakBefore w:val="0"/>
        <w:widowControl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因自身原因要求终止或解除合同，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应向</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支付合同总价款20%的违约金，并应向</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退还已支付的费用。</w:t>
      </w:r>
    </w:p>
    <w:p w14:paraId="6F770DA3">
      <w:pPr>
        <w:pageBreakBefore w:val="0"/>
        <w:widowControl w:val="0"/>
        <w:shd w:val="clear"/>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.甲方无正当理由拒收接受服务，到期拒付服务款项的，甲方向乙方偿付本合同总的5%的违约金。甲方逾期付款，则每日按本合同总价的3‰向乙方偿付违约金。</w:t>
      </w:r>
    </w:p>
    <w:p w14:paraId="6550AE9D">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.对于因甲方原因导致变更、中止或者终止政府采购合同的，甲方应当依照以下合同约定对供应商受到的损失予以赔偿或者补偿。</w:t>
      </w:r>
    </w:p>
    <w:p w14:paraId="6C69E59C">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.其它违约责任按《中华人民共和国民法典(合同编)》处理。</w:t>
      </w:r>
    </w:p>
    <w:p w14:paraId="0475006C">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十三</w:t>
      </w:r>
      <w:r>
        <w:rPr>
          <w:rFonts w:hint="eastAsia" w:ascii="宋体" w:hAnsi="宋体" w:eastAsia="宋体" w:cs="宋体"/>
          <w:b/>
          <w:bCs/>
          <w:color w:val="auto"/>
          <w:sz w:val="21"/>
          <w:szCs w:val="21"/>
          <w:highlight w:val="none"/>
        </w:rPr>
        <w:t>、争议的解决</w:t>
      </w:r>
    </w:p>
    <w:p w14:paraId="57D76A36">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合同执行过程中发生的任何争议，如双方不能通过友好协商解决，任何一方可以向甲方所在地人民法院提起诉讼。</w:t>
      </w:r>
    </w:p>
    <w:p w14:paraId="6C1122A8">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、不可抗力</w:t>
      </w:r>
    </w:p>
    <w:p w14:paraId="62D59484">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595F4190">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五</w:t>
      </w:r>
      <w:r>
        <w:rPr>
          <w:rFonts w:hint="eastAsia" w:ascii="宋体" w:hAnsi="宋体" w:eastAsia="宋体" w:cs="宋体"/>
          <w:b/>
          <w:bCs/>
          <w:color w:val="auto"/>
          <w:sz w:val="21"/>
          <w:szCs w:val="21"/>
          <w:highlight w:val="none"/>
        </w:rPr>
        <w:t>、税费</w:t>
      </w:r>
    </w:p>
    <w:p w14:paraId="458C8A9C">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在中国境内、外发生的与本合同执行有关的一切税费均由乙方负担。</w:t>
      </w:r>
    </w:p>
    <w:p w14:paraId="66DFD36A">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、其它</w:t>
      </w:r>
    </w:p>
    <w:p w14:paraId="1EF79C43">
      <w:pPr>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1.本合同所有附件、</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通知书均为合同的有效组成部分，与本合同具有同等法律效力。</w:t>
      </w:r>
    </w:p>
    <w:p w14:paraId="0D1DA989">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2.在执行本合同的过程中，所有经双方签署确认的文件（包括会议纪要、补充协议、往来信函）即成为本合同的有效组成部分。</w:t>
      </w:r>
    </w:p>
    <w:p w14:paraId="20826A84">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3.如一方地址、电话、传真号码有变更，应在变更当日内书面通知对方，否则，应承担相应责任。</w:t>
      </w:r>
    </w:p>
    <w:p w14:paraId="2C672C17">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4.除甲方事先书面同意外，乙方不得部分或全部转让其应履行的合同项下的义务。</w:t>
      </w:r>
    </w:p>
    <w:p w14:paraId="3D917AEA">
      <w:pPr>
        <w:pageBreakBefore w:val="0"/>
        <w:widowControl w:val="0"/>
        <w:shd w:val="clear"/>
        <w:kinsoku/>
        <w:wordWrap/>
        <w:overflowPunct/>
        <w:topLinePunct w:val="0"/>
        <w:autoSpaceDE/>
        <w:autoSpaceDN/>
        <w:bidi w:val="0"/>
        <w:adjustRightInd/>
        <w:snapToGrid/>
        <w:spacing w:line="360" w:lineRule="auto"/>
        <w:textAlignment w:val="auto"/>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十</w:t>
      </w: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、合同生效</w:t>
      </w:r>
    </w:p>
    <w:p w14:paraId="1AA85E8A">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1.本合同在甲乙双方法人代表或其授权代表签字盖章后生效。</w:t>
      </w:r>
    </w:p>
    <w:p w14:paraId="317066E3">
      <w:pPr>
        <w:pageBreakBefore w:val="0"/>
        <w:widowControl w:val="0"/>
        <w:shd w:val="clear"/>
        <w:kinsoku/>
        <w:wordWrap/>
        <w:overflowPunct/>
        <w:topLinePunct w:val="0"/>
        <w:autoSpaceDE/>
        <w:autoSpaceDN/>
        <w:bidi w:val="0"/>
        <w:adjustRightInd/>
        <w:snapToGrid/>
        <w:spacing w:line="360" w:lineRule="auto"/>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2.合同一式    份。</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CA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62F6FF39">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甲方（盖章）：</w:t>
            </w:r>
          </w:p>
        </w:tc>
        <w:tc>
          <w:tcPr>
            <w:tcW w:w="2500" w:type="pct"/>
            <w:tcBorders>
              <w:top w:val="nil"/>
              <w:left w:val="nil"/>
              <w:bottom w:val="nil"/>
              <w:right w:val="nil"/>
            </w:tcBorders>
            <w:vAlign w:val="center"/>
          </w:tcPr>
          <w:p w14:paraId="259FC76A">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乙方（盖章）：</w:t>
            </w:r>
          </w:p>
        </w:tc>
      </w:tr>
      <w:tr w14:paraId="0125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1C950D6D">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代表：</w:t>
            </w:r>
          </w:p>
        </w:tc>
        <w:tc>
          <w:tcPr>
            <w:tcW w:w="2500" w:type="pct"/>
            <w:tcBorders>
              <w:top w:val="nil"/>
              <w:left w:val="nil"/>
              <w:bottom w:val="nil"/>
              <w:right w:val="nil"/>
            </w:tcBorders>
            <w:vAlign w:val="center"/>
          </w:tcPr>
          <w:p w14:paraId="62E5B4C4">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代表：</w:t>
            </w:r>
          </w:p>
        </w:tc>
      </w:tr>
      <w:tr w14:paraId="1E5B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20F4112E">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签定地点：</w:t>
            </w:r>
          </w:p>
        </w:tc>
        <w:tc>
          <w:tcPr>
            <w:tcW w:w="2500" w:type="pct"/>
            <w:tcBorders>
              <w:top w:val="nil"/>
              <w:left w:val="nil"/>
              <w:bottom w:val="nil"/>
              <w:right w:val="nil"/>
            </w:tcBorders>
            <w:vAlign w:val="center"/>
          </w:tcPr>
          <w:p w14:paraId="528E809D">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p>
        </w:tc>
      </w:tr>
      <w:tr w14:paraId="2E4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390AB61B">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签定日期：　　年　月　日</w:t>
            </w:r>
          </w:p>
        </w:tc>
        <w:tc>
          <w:tcPr>
            <w:tcW w:w="2500" w:type="pct"/>
            <w:tcBorders>
              <w:top w:val="nil"/>
              <w:left w:val="nil"/>
              <w:bottom w:val="nil"/>
              <w:right w:val="nil"/>
            </w:tcBorders>
            <w:vAlign w:val="center"/>
          </w:tcPr>
          <w:p w14:paraId="227E671D">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签定日期：　　年　月　日</w:t>
            </w:r>
          </w:p>
        </w:tc>
      </w:tr>
      <w:tr w14:paraId="75C1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456FA4F6">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2500" w:type="pct"/>
            <w:tcBorders>
              <w:top w:val="nil"/>
              <w:left w:val="nil"/>
              <w:bottom w:val="nil"/>
              <w:right w:val="nil"/>
            </w:tcBorders>
            <w:vAlign w:val="center"/>
          </w:tcPr>
          <w:p w14:paraId="4D39A86B">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p>
        </w:tc>
      </w:tr>
      <w:tr w14:paraId="448C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17B5318E">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银行帐号：</w:t>
            </w:r>
          </w:p>
        </w:tc>
        <w:tc>
          <w:tcPr>
            <w:tcW w:w="2500" w:type="pct"/>
            <w:tcBorders>
              <w:top w:val="nil"/>
              <w:left w:val="nil"/>
              <w:bottom w:val="nil"/>
              <w:right w:val="nil"/>
            </w:tcBorders>
            <w:vAlign w:val="center"/>
          </w:tcPr>
          <w:p w14:paraId="3140F7FF">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p>
        </w:tc>
      </w:tr>
      <w:tr w14:paraId="61FC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nil"/>
              <w:left w:val="nil"/>
              <w:bottom w:val="nil"/>
              <w:right w:val="nil"/>
            </w:tcBorders>
            <w:vAlign w:val="center"/>
          </w:tcPr>
          <w:p w14:paraId="05C2DF7B">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开户行：</w:t>
            </w:r>
          </w:p>
        </w:tc>
        <w:tc>
          <w:tcPr>
            <w:tcW w:w="2500" w:type="pct"/>
            <w:tcBorders>
              <w:top w:val="nil"/>
              <w:left w:val="nil"/>
              <w:bottom w:val="nil"/>
              <w:right w:val="nil"/>
            </w:tcBorders>
            <w:vAlign w:val="center"/>
          </w:tcPr>
          <w:p w14:paraId="279C5202">
            <w:pPr>
              <w:pageBreakBefore w:val="0"/>
              <w:widowControl w:val="0"/>
              <w:shd w:val="clear"/>
              <w:kinsoku/>
              <w:wordWrap/>
              <w:overflowPunct/>
              <w:topLinePunct w:val="0"/>
              <w:autoSpaceDE/>
              <w:autoSpaceDN/>
              <w:bidi w:val="0"/>
              <w:adjustRightInd/>
              <w:snapToGrid/>
              <w:spacing w:line="360" w:lineRule="auto"/>
              <w:jc w:val="left"/>
              <w:textAlignment w:val="auto"/>
              <w:rPr>
                <w:rFonts w:ascii="宋体" w:hAnsi="宋体" w:eastAsia="宋体" w:cs="宋体"/>
                <w:color w:val="auto"/>
                <w:sz w:val="21"/>
                <w:szCs w:val="21"/>
                <w:highlight w:val="none"/>
              </w:rPr>
            </w:pPr>
          </w:p>
        </w:tc>
      </w:tr>
    </w:tbl>
    <w:p w14:paraId="0BF1AFE3">
      <w:pPr>
        <w:rPr>
          <w:rFonts w:hint="eastAsia" w:ascii="宋体" w:hAnsi="宋体"/>
          <w:b/>
          <w:color w:val="auto"/>
          <w:szCs w:val="21"/>
          <w:highlight w:val="none"/>
        </w:rPr>
      </w:pPr>
    </w:p>
    <w:p w14:paraId="68A62227">
      <w:pPr>
        <w:rPr>
          <w:rFonts w:ascii="宋体" w:hAnsi="宋体"/>
          <w:b/>
          <w:color w:val="auto"/>
          <w:szCs w:val="21"/>
          <w:highlight w:val="none"/>
        </w:rPr>
      </w:pPr>
      <w:r>
        <w:rPr>
          <w:rFonts w:hint="eastAsia" w:ascii="宋体" w:hAnsi="宋体"/>
          <w:b/>
          <w:color w:val="auto"/>
          <w:szCs w:val="21"/>
          <w:highlight w:val="none"/>
        </w:rPr>
        <w:t>此仅为合同书样本，</w:t>
      </w:r>
      <w:r>
        <w:rPr>
          <w:rFonts w:hint="eastAsia" w:ascii="宋体" w:hAnsi="宋体"/>
          <w:b/>
          <w:color w:val="auto"/>
          <w:szCs w:val="21"/>
          <w:highlight w:val="none"/>
          <w:lang w:eastAsia="zh-CN"/>
        </w:rPr>
        <w:t>乙方</w:t>
      </w:r>
      <w:r>
        <w:rPr>
          <w:rFonts w:hint="eastAsia" w:ascii="宋体" w:hAnsi="宋体"/>
          <w:b/>
          <w:color w:val="auto"/>
          <w:szCs w:val="21"/>
          <w:highlight w:val="none"/>
        </w:rPr>
        <w:t>需根据实际情况和甲方签订相应的合同！</w:t>
      </w:r>
    </w:p>
    <w:p w14:paraId="710B3DDF">
      <w:pPr>
        <w:rPr>
          <w:rFonts w:ascii="宋体" w:hAnsi="宋体"/>
          <w:b/>
          <w:color w:val="auto"/>
          <w:szCs w:val="21"/>
          <w:highlight w:val="none"/>
        </w:rPr>
      </w:pPr>
      <w:r>
        <w:rPr>
          <w:rFonts w:hint="eastAsia" w:ascii="宋体" w:hAnsi="宋体"/>
          <w:b/>
          <w:color w:val="auto"/>
          <w:szCs w:val="21"/>
          <w:highlight w:val="none"/>
        </w:rPr>
        <w:br w:type="page"/>
      </w:r>
    </w:p>
    <w:p w14:paraId="7453D3B9">
      <w:pPr>
        <w:pStyle w:val="4"/>
        <w:spacing w:before="0" w:after="0" w:line="240" w:lineRule="auto"/>
        <w:outlineLvl w:val="0"/>
        <w:rPr>
          <w:color w:val="auto"/>
          <w:sz w:val="28"/>
          <w:szCs w:val="28"/>
          <w:highlight w:val="none"/>
        </w:rPr>
      </w:pPr>
      <w:bookmarkStart w:id="195" w:name="_Toc23749"/>
      <w:bookmarkStart w:id="196" w:name="_Toc31587"/>
      <w:bookmarkStart w:id="197" w:name="_Toc4144"/>
      <w:r>
        <w:rPr>
          <w:rFonts w:hint="eastAsia"/>
          <w:color w:val="auto"/>
          <w:sz w:val="28"/>
          <w:szCs w:val="28"/>
          <w:highlight w:val="none"/>
        </w:rPr>
        <w:t>第七部分  投标文件格式</w:t>
      </w:r>
      <w:bookmarkEnd w:id="195"/>
      <w:bookmarkEnd w:id="196"/>
      <w:bookmarkEnd w:id="197"/>
    </w:p>
    <w:p w14:paraId="093B999E">
      <w:pPr>
        <w:rPr>
          <w:color w:val="auto"/>
          <w:highlight w:val="none"/>
        </w:rPr>
      </w:pPr>
    </w:p>
    <w:p w14:paraId="44BADF14">
      <w:pPr>
        <w:pStyle w:val="5"/>
        <w:rPr>
          <w:color w:val="auto"/>
          <w:highlight w:val="none"/>
        </w:rPr>
      </w:pPr>
      <w:bookmarkStart w:id="198" w:name="_Toc20408"/>
      <w:bookmarkStart w:id="199" w:name="_Toc6790"/>
      <w:bookmarkStart w:id="200" w:name="_Toc26830"/>
      <w:r>
        <w:rPr>
          <w:rFonts w:hint="eastAsia"/>
          <w:color w:val="auto"/>
          <w:highlight w:val="none"/>
        </w:rPr>
        <w:t>投标文件目录</w:t>
      </w:r>
      <w:bookmarkEnd w:id="198"/>
      <w:bookmarkEnd w:id="199"/>
      <w:bookmarkEnd w:id="200"/>
    </w:p>
    <w:p w14:paraId="60F33F33">
      <w:pPr>
        <w:jc w:val="center"/>
        <w:rPr>
          <w:rFonts w:ascii="黑体" w:eastAsia="黑体"/>
          <w:color w:val="auto"/>
          <w:sz w:val="32"/>
          <w:szCs w:val="32"/>
          <w:highlight w:val="none"/>
        </w:rPr>
      </w:pPr>
    </w:p>
    <w:p w14:paraId="794C2B77">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40B95681">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575FCD8E">
      <w:pPr>
        <w:adjustRightInd/>
        <w:snapToGrid/>
        <w:spacing w:line="276" w:lineRule="auto"/>
        <w:rPr>
          <w:rFonts w:ascii="宋体" w:hAnsi="宋体"/>
          <w:color w:val="auto"/>
          <w:szCs w:val="21"/>
          <w:highlight w:val="none"/>
        </w:rPr>
      </w:pPr>
    </w:p>
    <w:p w14:paraId="00F82110">
      <w:pPr>
        <w:adjustRightInd/>
        <w:snapToGrid/>
        <w:spacing w:line="276" w:lineRule="auto"/>
        <w:rPr>
          <w:rFonts w:ascii="宋体" w:hAnsi="宋体"/>
          <w:color w:val="auto"/>
          <w:szCs w:val="21"/>
          <w:highlight w:val="none"/>
        </w:rPr>
      </w:pPr>
    </w:p>
    <w:p w14:paraId="35B5407B">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60A1281">
      <w:pPr>
        <w:pStyle w:val="5"/>
        <w:rPr>
          <w:color w:val="auto"/>
          <w:highlight w:val="none"/>
        </w:rPr>
      </w:pPr>
      <w:bookmarkStart w:id="201" w:name="_Toc25502"/>
      <w:bookmarkStart w:id="202" w:name="_Toc6102"/>
      <w:bookmarkStart w:id="203" w:name="_Toc18893"/>
      <w:r>
        <w:rPr>
          <w:rFonts w:hint="eastAsia"/>
          <w:color w:val="auto"/>
          <w:highlight w:val="none"/>
        </w:rPr>
        <w:t>评分标准索引表</w:t>
      </w:r>
      <w:bookmarkEnd w:id="201"/>
      <w:bookmarkEnd w:id="202"/>
      <w:bookmarkEnd w:id="203"/>
    </w:p>
    <w:p w14:paraId="647C441E">
      <w:pPr>
        <w:adjustRightInd/>
        <w:snapToGrid/>
        <w:spacing w:line="276" w:lineRule="auto"/>
        <w:rPr>
          <w:rFonts w:ascii="宋体" w:hAnsi="宋体"/>
          <w:color w:val="auto"/>
          <w:szCs w:val="21"/>
          <w:highlight w:val="none"/>
        </w:rPr>
      </w:pPr>
    </w:p>
    <w:p w14:paraId="79D34F84">
      <w:pPr>
        <w:jc w:val="center"/>
        <w:outlineLvl w:val="0"/>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26C76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F6A6C6B">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30AB0A7C">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734CB77">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3872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73945B36">
            <w:pPr>
              <w:pStyle w:val="38"/>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11C8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A75D26A">
            <w:pPr>
              <w:pStyle w:val="38"/>
              <w:jc w:val="both"/>
              <w:rPr>
                <w:rFonts w:ascii="宋体" w:hAnsi="宋体" w:cs="宋体"/>
                <w:color w:val="auto"/>
                <w:szCs w:val="21"/>
                <w:highlight w:val="none"/>
              </w:rPr>
            </w:pPr>
          </w:p>
        </w:tc>
        <w:tc>
          <w:tcPr>
            <w:tcW w:w="5028" w:type="dxa"/>
            <w:vAlign w:val="center"/>
          </w:tcPr>
          <w:p w14:paraId="7A44720D">
            <w:pPr>
              <w:pStyle w:val="38"/>
              <w:jc w:val="both"/>
              <w:rPr>
                <w:rFonts w:ascii="宋体" w:hAnsi="宋体" w:cs="宋体"/>
                <w:color w:val="auto"/>
                <w:szCs w:val="21"/>
                <w:highlight w:val="none"/>
              </w:rPr>
            </w:pPr>
          </w:p>
        </w:tc>
        <w:tc>
          <w:tcPr>
            <w:tcW w:w="2126" w:type="dxa"/>
            <w:vAlign w:val="center"/>
          </w:tcPr>
          <w:p w14:paraId="46841C13">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8CF8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4969D70">
            <w:pPr>
              <w:pStyle w:val="38"/>
              <w:jc w:val="both"/>
              <w:rPr>
                <w:rFonts w:ascii="宋体" w:hAnsi="宋体" w:cs="宋体"/>
                <w:color w:val="auto"/>
                <w:szCs w:val="21"/>
                <w:highlight w:val="none"/>
              </w:rPr>
            </w:pPr>
          </w:p>
        </w:tc>
        <w:tc>
          <w:tcPr>
            <w:tcW w:w="5028" w:type="dxa"/>
            <w:vAlign w:val="center"/>
          </w:tcPr>
          <w:p w14:paraId="4B40BE71">
            <w:pPr>
              <w:pStyle w:val="38"/>
              <w:jc w:val="both"/>
              <w:rPr>
                <w:rFonts w:ascii="宋体" w:hAnsi="宋体" w:cs="宋体"/>
                <w:color w:val="auto"/>
                <w:szCs w:val="21"/>
                <w:highlight w:val="none"/>
              </w:rPr>
            </w:pPr>
          </w:p>
        </w:tc>
        <w:tc>
          <w:tcPr>
            <w:tcW w:w="2126" w:type="dxa"/>
            <w:vAlign w:val="center"/>
          </w:tcPr>
          <w:p w14:paraId="2739FD48">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D0DC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BA5AF54">
            <w:pPr>
              <w:pStyle w:val="38"/>
              <w:jc w:val="both"/>
              <w:rPr>
                <w:rFonts w:ascii="宋体" w:hAnsi="宋体" w:cs="宋体"/>
                <w:color w:val="auto"/>
                <w:szCs w:val="21"/>
                <w:highlight w:val="none"/>
              </w:rPr>
            </w:pPr>
          </w:p>
        </w:tc>
        <w:tc>
          <w:tcPr>
            <w:tcW w:w="5028" w:type="dxa"/>
            <w:vAlign w:val="center"/>
          </w:tcPr>
          <w:p w14:paraId="3A5798B0">
            <w:pPr>
              <w:pStyle w:val="38"/>
              <w:jc w:val="both"/>
              <w:rPr>
                <w:rFonts w:ascii="宋体" w:hAnsi="宋体" w:cs="宋体"/>
                <w:color w:val="auto"/>
                <w:szCs w:val="21"/>
                <w:highlight w:val="none"/>
              </w:rPr>
            </w:pPr>
          </w:p>
        </w:tc>
        <w:tc>
          <w:tcPr>
            <w:tcW w:w="2126" w:type="dxa"/>
            <w:vAlign w:val="center"/>
          </w:tcPr>
          <w:p w14:paraId="3DC9F5F6">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923F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BDC9A2F">
            <w:pPr>
              <w:pStyle w:val="38"/>
              <w:jc w:val="both"/>
              <w:rPr>
                <w:rFonts w:ascii="宋体" w:hAnsi="宋体" w:cs="宋体"/>
                <w:color w:val="auto"/>
                <w:szCs w:val="21"/>
                <w:highlight w:val="none"/>
              </w:rPr>
            </w:pPr>
          </w:p>
        </w:tc>
        <w:tc>
          <w:tcPr>
            <w:tcW w:w="5028" w:type="dxa"/>
            <w:vAlign w:val="center"/>
          </w:tcPr>
          <w:p w14:paraId="19FEB3BB">
            <w:pPr>
              <w:pStyle w:val="38"/>
              <w:jc w:val="both"/>
              <w:rPr>
                <w:rFonts w:ascii="宋体" w:hAnsi="宋体" w:cs="宋体"/>
                <w:color w:val="auto"/>
                <w:szCs w:val="21"/>
                <w:highlight w:val="none"/>
              </w:rPr>
            </w:pPr>
          </w:p>
        </w:tc>
        <w:tc>
          <w:tcPr>
            <w:tcW w:w="2126" w:type="dxa"/>
            <w:vAlign w:val="center"/>
          </w:tcPr>
          <w:p w14:paraId="2B55069A">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718C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5FFD7EA">
            <w:pPr>
              <w:pStyle w:val="38"/>
              <w:jc w:val="both"/>
              <w:rPr>
                <w:rFonts w:ascii="宋体" w:hAnsi="宋体" w:cs="宋体"/>
                <w:color w:val="auto"/>
                <w:szCs w:val="21"/>
                <w:highlight w:val="none"/>
              </w:rPr>
            </w:pPr>
          </w:p>
        </w:tc>
        <w:tc>
          <w:tcPr>
            <w:tcW w:w="5028" w:type="dxa"/>
            <w:vAlign w:val="center"/>
          </w:tcPr>
          <w:p w14:paraId="36A25346">
            <w:pPr>
              <w:pStyle w:val="38"/>
              <w:jc w:val="both"/>
              <w:rPr>
                <w:rFonts w:ascii="宋体" w:hAnsi="宋体" w:cs="宋体"/>
                <w:color w:val="auto"/>
                <w:szCs w:val="21"/>
                <w:highlight w:val="none"/>
              </w:rPr>
            </w:pPr>
          </w:p>
        </w:tc>
        <w:tc>
          <w:tcPr>
            <w:tcW w:w="2126" w:type="dxa"/>
            <w:vAlign w:val="center"/>
          </w:tcPr>
          <w:p w14:paraId="03FC5996">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59E4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6FF1BC3E">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3E507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68A7865">
            <w:pPr>
              <w:pStyle w:val="38"/>
              <w:jc w:val="both"/>
              <w:rPr>
                <w:rFonts w:ascii="宋体" w:hAnsi="宋体" w:cs="宋体"/>
                <w:color w:val="auto"/>
                <w:szCs w:val="21"/>
                <w:highlight w:val="none"/>
              </w:rPr>
            </w:pPr>
          </w:p>
        </w:tc>
        <w:tc>
          <w:tcPr>
            <w:tcW w:w="5028" w:type="dxa"/>
            <w:vAlign w:val="center"/>
          </w:tcPr>
          <w:p w14:paraId="6D6A0EBC">
            <w:pPr>
              <w:pStyle w:val="38"/>
              <w:jc w:val="both"/>
              <w:rPr>
                <w:rFonts w:ascii="宋体" w:hAnsi="宋体" w:cs="宋体"/>
                <w:color w:val="auto"/>
                <w:szCs w:val="21"/>
                <w:highlight w:val="none"/>
              </w:rPr>
            </w:pPr>
          </w:p>
        </w:tc>
        <w:tc>
          <w:tcPr>
            <w:tcW w:w="2126" w:type="dxa"/>
            <w:vAlign w:val="center"/>
          </w:tcPr>
          <w:p w14:paraId="6DCCB3BB">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0632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60A5551">
            <w:pPr>
              <w:pStyle w:val="38"/>
              <w:jc w:val="both"/>
              <w:rPr>
                <w:rFonts w:ascii="宋体" w:hAnsi="宋体" w:cs="宋体"/>
                <w:color w:val="auto"/>
                <w:szCs w:val="21"/>
                <w:highlight w:val="none"/>
              </w:rPr>
            </w:pPr>
          </w:p>
        </w:tc>
        <w:tc>
          <w:tcPr>
            <w:tcW w:w="5028" w:type="dxa"/>
            <w:vAlign w:val="center"/>
          </w:tcPr>
          <w:p w14:paraId="7561D327">
            <w:pPr>
              <w:pStyle w:val="38"/>
              <w:jc w:val="both"/>
              <w:rPr>
                <w:rFonts w:ascii="宋体" w:hAnsi="宋体" w:cs="宋体"/>
                <w:color w:val="auto"/>
                <w:szCs w:val="21"/>
                <w:highlight w:val="none"/>
              </w:rPr>
            </w:pPr>
          </w:p>
        </w:tc>
        <w:tc>
          <w:tcPr>
            <w:tcW w:w="2126" w:type="dxa"/>
            <w:vAlign w:val="center"/>
          </w:tcPr>
          <w:p w14:paraId="55339C57">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D962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C36CACA">
            <w:pPr>
              <w:pStyle w:val="38"/>
              <w:jc w:val="both"/>
              <w:rPr>
                <w:rFonts w:ascii="宋体" w:hAnsi="宋体" w:cs="宋体"/>
                <w:color w:val="auto"/>
                <w:szCs w:val="21"/>
                <w:highlight w:val="none"/>
              </w:rPr>
            </w:pPr>
          </w:p>
        </w:tc>
        <w:tc>
          <w:tcPr>
            <w:tcW w:w="5028" w:type="dxa"/>
            <w:vAlign w:val="center"/>
          </w:tcPr>
          <w:p w14:paraId="144389C1">
            <w:pPr>
              <w:pStyle w:val="38"/>
              <w:jc w:val="both"/>
              <w:rPr>
                <w:rFonts w:ascii="宋体" w:hAnsi="宋体" w:cs="宋体"/>
                <w:color w:val="auto"/>
                <w:szCs w:val="21"/>
                <w:highlight w:val="none"/>
              </w:rPr>
            </w:pPr>
          </w:p>
        </w:tc>
        <w:tc>
          <w:tcPr>
            <w:tcW w:w="2126" w:type="dxa"/>
            <w:vAlign w:val="center"/>
          </w:tcPr>
          <w:p w14:paraId="526F92C5">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0A30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BEF0A13">
            <w:pPr>
              <w:pStyle w:val="38"/>
              <w:jc w:val="both"/>
              <w:rPr>
                <w:rFonts w:ascii="宋体" w:hAnsi="宋体" w:cs="宋体"/>
                <w:color w:val="auto"/>
                <w:szCs w:val="21"/>
                <w:highlight w:val="none"/>
              </w:rPr>
            </w:pPr>
          </w:p>
        </w:tc>
        <w:tc>
          <w:tcPr>
            <w:tcW w:w="5028" w:type="dxa"/>
            <w:vAlign w:val="center"/>
          </w:tcPr>
          <w:p w14:paraId="065808CD">
            <w:pPr>
              <w:pStyle w:val="38"/>
              <w:jc w:val="both"/>
              <w:rPr>
                <w:rFonts w:ascii="宋体" w:hAnsi="宋体" w:cs="宋体"/>
                <w:color w:val="auto"/>
                <w:szCs w:val="21"/>
                <w:highlight w:val="none"/>
              </w:rPr>
            </w:pPr>
          </w:p>
        </w:tc>
        <w:tc>
          <w:tcPr>
            <w:tcW w:w="2126" w:type="dxa"/>
            <w:vAlign w:val="center"/>
          </w:tcPr>
          <w:p w14:paraId="5EFA8B5D">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8632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2D98360">
            <w:pPr>
              <w:pStyle w:val="38"/>
              <w:jc w:val="both"/>
              <w:rPr>
                <w:rFonts w:ascii="宋体" w:hAnsi="宋体" w:cs="宋体"/>
                <w:color w:val="auto"/>
                <w:szCs w:val="21"/>
                <w:highlight w:val="none"/>
              </w:rPr>
            </w:pPr>
          </w:p>
        </w:tc>
        <w:tc>
          <w:tcPr>
            <w:tcW w:w="5028" w:type="dxa"/>
            <w:vAlign w:val="center"/>
          </w:tcPr>
          <w:p w14:paraId="6EE37FA6">
            <w:pPr>
              <w:pStyle w:val="38"/>
              <w:jc w:val="both"/>
              <w:rPr>
                <w:rFonts w:ascii="宋体" w:hAnsi="宋体" w:cs="宋体"/>
                <w:color w:val="auto"/>
                <w:szCs w:val="21"/>
                <w:highlight w:val="none"/>
              </w:rPr>
            </w:pPr>
          </w:p>
        </w:tc>
        <w:tc>
          <w:tcPr>
            <w:tcW w:w="2126" w:type="dxa"/>
            <w:vAlign w:val="center"/>
          </w:tcPr>
          <w:p w14:paraId="5AF076A9">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08AD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E2290FD">
            <w:pPr>
              <w:pStyle w:val="38"/>
              <w:jc w:val="both"/>
              <w:rPr>
                <w:rFonts w:ascii="宋体" w:hAnsi="宋体" w:cs="宋体"/>
                <w:color w:val="auto"/>
                <w:szCs w:val="21"/>
                <w:highlight w:val="none"/>
              </w:rPr>
            </w:pPr>
          </w:p>
        </w:tc>
        <w:tc>
          <w:tcPr>
            <w:tcW w:w="5028" w:type="dxa"/>
            <w:vAlign w:val="center"/>
          </w:tcPr>
          <w:p w14:paraId="6A893151">
            <w:pPr>
              <w:pStyle w:val="38"/>
              <w:jc w:val="both"/>
              <w:rPr>
                <w:rFonts w:ascii="宋体" w:hAnsi="宋体" w:cs="宋体"/>
                <w:color w:val="auto"/>
                <w:szCs w:val="21"/>
                <w:highlight w:val="none"/>
              </w:rPr>
            </w:pPr>
          </w:p>
        </w:tc>
        <w:tc>
          <w:tcPr>
            <w:tcW w:w="2126" w:type="dxa"/>
            <w:vAlign w:val="center"/>
          </w:tcPr>
          <w:p w14:paraId="68A92DE0">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5120EDB9">
      <w:pPr>
        <w:rPr>
          <w:rFonts w:ascii="宋体" w:hAnsi="宋体"/>
          <w:color w:val="auto"/>
          <w:szCs w:val="21"/>
          <w:highlight w:val="none"/>
        </w:rPr>
      </w:pPr>
    </w:p>
    <w:p w14:paraId="69A79B4A">
      <w:pPr>
        <w:rPr>
          <w:rFonts w:ascii="宋体" w:hAnsi="宋体"/>
          <w:color w:val="auto"/>
          <w:szCs w:val="21"/>
          <w:highlight w:val="none"/>
        </w:rPr>
      </w:pPr>
      <w:r>
        <w:rPr>
          <w:rFonts w:hint="eastAsia" w:ascii="宋体" w:hAnsi="宋体"/>
          <w:color w:val="auto"/>
          <w:szCs w:val="21"/>
          <w:highlight w:val="none"/>
        </w:rPr>
        <w:t>注：</w:t>
      </w:r>
    </w:p>
    <w:p w14:paraId="7AD933ED">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7B5D97DF">
      <w:pPr>
        <w:pStyle w:val="10"/>
        <w:spacing w:before="0"/>
        <w:ind w:left="0"/>
        <w:rPr>
          <w:color w:val="auto"/>
          <w:highlight w:val="none"/>
        </w:rPr>
      </w:pPr>
    </w:p>
    <w:p w14:paraId="717B6897">
      <w:pPr>
        <w:adjustRightInd/>
        <w:snapToGrid/>
        <w:spacing w:line="276" w:lineRule="auto"/>
        <w:rPr>
          <w:rFonts w:ascii="宋体" w:hAnsi="宋体"/>
          <w:color w:val="auto"/>
          <w:szCs w:val="21"/>
          <w:highlight w:val="none"/>
        </w:rPr>
      </w:pPr>
    </w:p>
    <w:p w14:paraId="05835EAB">
      <w:pPr>
        <w:adjustRightInd/>
        <w:snapToGrid/>
        <w:spacing w:line="276" w:lineRule="auto"/>
        <w:rPr>
          <w:rFonts w:ascii="宋体" w:hAnsi="宋体"/>
          <w:color w:val="auto"/>
          <w:szCs w:val="21"/>
          <w:highlight w:val="none"/>
        </w:rPr>
      </w:pPr>
    </w:p>
    <w:p w14:paraId="2205B951">
      <w:pPr>
        <w:adjustRightInd/>
        <w:snapToGrid/>
        <w:spacing w:line="276" w:lineRule="auto"/>
        <w:rPr>
          <w:rFonts w:ascii="宋体" w:hAnsi="宋体"/>
          <w:color w:val="auto"/>
          <w:szCs w:val="21"/>
          <w:highlight w:val="none"/>
        </w:rPr>
      </w:pPr>
    </w:p>
    <w:p w14:paraId="71190E67">
      <w:pPr>
        <w:adjustRightInd/>
        <w:snapToGrid/>
        <w:spacing w:line="276" w:lineRule="auto"/>
        <w:rPr>
          <w:rFonts w:ascii="宋体" w:hAnsi="宋体"/>
          <w:color w:val="auto"/>
          <w:szCs w:val="21"/>
          <w:highlight w:val="none"/>
        </w:rPr>
      </w:pPr>
    </w:p>
    <w:p w14:paraId="4D33A120">
      <w:pPr>
        <w:adjustRightInd/>
        <w:snapToGrid/>
        <w:spacing w:line="276" w:lineRule="auto"/>
        <w:rPr>
          <w:rFonts w:ascii="宋体" w:hAnsi="宋体"/>
          <w:color w:val="auto"/>
          <w:szCs w:val="21"/>
          <w:highlight w:val="none"/>
        </w:rPr>
      </w:pPr>
    </w:p>
    <w:p w14:paraId="4859904A">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6329F2E7">
      <w:pPr>
        <w:pStyle w:val="5"/>
        <w:jc w:val="center"/>
        <w:outlineLvl w:val="1"/>
        <w:rPr>
          <w:color w:val="auto"/>
          <w:highlight w:val="none"/>
        </w:rPr>
      </w:pPr>
      <w:bookmarkStart w:id="204" w:name="_Toc22080"/>
      <w:bookmarkStart w:id="205" w:name="_Toc12878"/>
      <w:bookmarkStart w:id="206" w:name="_Toc30640"/>
      <w:r>
        <w:rPr>
          <w:rFonts w:hint="eastAsia"/>
          <w:color w:val="auto"/>
          <w:highlight w:val="none"/>
        </w:rPr>
        <w:t>第一章价格文件</w:t>
      </w:r>
      <w:bookmarkEnd w:id="204"/>
      <w:bookmarkEnd w:id="205"/>
    </w:p>
    <w:p w14:paraId="1D77F8B0">
      <w:pPr>
        <w:pStyle w:val="5"/>
        <w:jc w:val="center"/>
        <w:rPr>
          <w:color w:val="auto"/>
          <w:highlight w:val="none"/>
        </w:rPr>
      </w:pPr>
      <w:bookmarkStart w:id="207" w:name="_Toc13730"/>
      <w:bookmarkStart w:id="208" w:name="_Toc4168"/>
      <w:r>
        <w:rPr>
          <w:rFonts w:hint="eastAsia"/>
          <w:color w:val="auto"/>
          <w:highlight w:val="none"/>
        </w:rPr>
        <w:t>一、唱标一览表</w:t>
      </w:r>
      <w:bookmarkEnd w:id="207"/>
      <w:bookmarkEnd w:id="208"/>
    </w:p>
    <w:p w14:paraId="4DB28632">
      <w:pPr>
        <w:rPr>
          <w:color w:val="auto"/>
          <w:highlight w:val="none"/>
        </w:rPr>
      </w:pP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759"/>
        <w:gridCol w:w="2833"/>
        <w:gridCol w:w="1854"/>
      </w:tblGrid>
      <w:tr w14:paraId="0DC26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216" w:type="pct"/>
            <w:tcBorders>
              <w:tl2br w:val="nil"/>
              <w:tr2bl w:val="nil"/>
            </w:tcBorders>
            <w:vAlign w:val="center"/>
          </w:tcPr>
          <w:p w14:paraId="10F8825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032" w:type="pct"/>
            <w:tcBorders>
              <w:tl2br w:val="nil"/>
              <w:tr2bl w:val="nil"/>
            </w:tcBorders>
            <w:vAlign w:val="center"/>
          </w:tcPr>
          <w:p w14:paraId="68FE210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1662" w:type="pct"/>
            <w:tcBorders>
              <w:tl2br w:val="nil"/>
              <w:tr2bl w:val="nil"/>
            </w:tcBorders>
            <w:vAlign w:val="center"/>
          </w:tcPr>
          <w:p w14:paraId="1993EFB1">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w:t>
            </w:r>
          </w:p>
        </w:tc>
        <w:tc>
          <w:tcPr>
            <w:tcW w:w="1088" w:type="pct"/>
            <w:tcBorders>
              <w:tl2br w:val="nil"/>
              <w:tr2bl w:val="nil"/>
            </w:tcBorders>
            <w:vAlign w:val="center"/>
          </w:tcPr>
          <w:p w14:paraId="2FC09139">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3F436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11" w:hRule="atLeast"/>
          <w:jc w:val="center"/>
        </w:trPr>
        <w:tc>
          <w:tcPr>
            <w:tcW w:w="1216" w:type="pct"/>
            <w:tcBorders>
              <w:tl2br w:val="nil"/>
              <w:tr2bl w:val="nil"/>
            </w:tcBorders>
          </w:tcPr>
          <w:p w14:paraId="5EC9747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Cs w:val="21"/>
                <w:highlight w:val="none"/>
                <w:lang w:eastAsia="zh-CN"/>
              </w:rPr>
              <w:t>东莞滨海湾未来学校食堂运营服务采购项目</w:t>
            </w:r>
          </w:p>
        </w:tc>
        <w:tc>
          <w:tcPr>
            <w:tcW w:w="1032" w:type="pct"/>
            <w:tcBorders>
              <w:tl2br w:val="nil"/>
              <w:tr2bl w:val="nil"/>
            </w:tcBorders>
            <w:vAlign w:val="center"/>
          </w:tcPr>
          <w:p w14:paraId="5DBD40D9">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s="宋体"/>
                <w:color w:val="auto"/>
                <w:sz w:val="21"/>
                <w:szCs w:val="21"/>
                <w:highlight w:val="none"/>
              </w:rPr>
              <w:t>按本项目</w:t>
            </w:r>
            <w:r>
              <w:rPr>
                <w:rFonts w:hint="eastAsia" w:ascii="宋体" w:hAnsi="宋体" w:cs="宋体"/>
                <w:color w:val="auto"/>
                <w:sz w:val="21"/>
                <w:szCs w:val="21"/>
                <w:highlight w:val="none"/>
                <w:lang w:val="en-US" w:eastAsia="zh-CN"/>
              </w:rPr>
              <w:t>技术需求书中《餐费标准及定价规则》的</w:t>
            </w:r>
            <w:r>
              <w:rPr>
                <w:rFonts w:hint="eastAsia" w:ascii="宋体" w:hAnsi="宋体" w:eastAsia="宋体" w:cs="宋体"/>
                <w:color w:val="auto"/>
                <w:sz w:val="21"/>
                <w:szCs w:val="21"/>
                <w:highlight w:val="none"/>
              </w:rPr>
              <w:t>价格</w:t>
            </w:r>
            <w:r>
              <w:rPr>
                <w:rFonts w:hint="eastAsia" w:ascii="宋体" w:hAnsi="宋体" w:cs="宋体"/>
                <w:color w:val="auto"/>
                <w:sz w:val="21"/>
                <w:szCs w:val="21"/>
                <w:highlight w:val="none"/>
                <w:lang w:val="en-US" w:eastAsia="zh-CN"/>
              </w:rPr>
              <w:t>作为依据</w:t>
            </w:r>
          </w:p>
        </w:tc>
        <w:tc>
          <w:tcPr>
            <w:tcW w:w="1662" w:type="pct"/>
            <w:tcBorders>
              <w:tl2br w:val="nil"/>
              <w:tr2bl w:val="nil"/>
            </w:tcBorders>
          </w:tcPr>
          <w:p w14:paraId="37E28F06">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color w:val="auto"/>
                <w:sz w:val="21"/>
                <w:szCs w:val="21"/>
                <w:highlight w:val="none"/>
                <w:lang w:val="en-US" w:eastAsia="zh-CN"/>
              </w:rPr>
            </w:pPr>
            <w:r>
              <w:rPr>
                <w:rFonts w:hint="eastAsia" w:ascii="宋体" w:hAnsi="宋体" w:eastAsia="宋体" w:cs="宋体"/>
                <w:color w:val="auto"/>
                <w:sz w:val="21"/>
                <w:szCs w:val="21"/>
                <w:highlight w:val="none"/>
              </w:rPr>
              <w:t>合同签订之日起</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年。其中第一年为试用期，如考核月平均分低于80分的，</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rPr>
              <w:t>有权单方终止合同，中标人须无条件退场。</w:t>
            </w:r>
          </w:p>
        </w:tc>
        <w:tc>
          <w:tcPr>
            <w:tcW w:w="1088" w:type="pct"/>
            <w:tcBorders>
              <w:tl2br w:val="nil"/>
              <w:tr2bl w:val="nil"/>
            </w:tcBorders>
          </w:tcPr>
          <w:p w14:paraId="1F4C921B">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报价：</w:t>
            </w:r>
            <w:r>
              <w:rPr>
                <w:rFonts w:hint="eastAsia" w:ascii="宋体" w:hAnsi="宋体" w:eastAsia="宋体" w:cs="宋体"/>
                <w:color w:val="auto"/>
                <w:sz w:val="21"/>
                <w:szCs w:val="21"/>
                <w:highlight w:val="none"/>
              </w:rPr>
              <w:t>按本项目</w:t>
            </w:r>
            <w:r>
              <w:rPr>
                <w:rFonts w:hint="eastAsia" w:ascii="宋体" w:hAnsi="宋体" w:cs="宋体"/>
                <w:color w:val="auto"/>
                <w:sz w:val="21"/>
                <w:szCs w:val="21"/>
                <w:highlight w:val="none"/>
                <w:lang w:val="en-US" w:eastAsia="zh-CN"/>
              </w:rPr>
              <w:t>技术需求书中《就餐时间与标准》的</w:t>
            </w:r>
            <w:r>
              <w:rPr>
                <w:rFonts w:hint="eastAsia" w:ascii="宋体" w:hAnsi="宋体" w:eastAsia="宋体" w:cs="宋体"/>
                <w:color w:val="auto"/>
                <w:sz w:val="21"/>
                <w:szCs w:val="21"/>
                <w:highlight w:val="none"/>
              </w:rPr>
              <w:t>价格</w:t>
            </w:r>
            <w:r>
              <w:rPr>
                <w:rFonts w:hint="eastAsia" w:ascii="宋体" w:hAnsi="宋体" w:cs="宋体"/>
                <w:color w:val="auto"/>
                <w:sz w:val="21"/>
                <w:szCs w:val="21"/>
                <w:highlight w:val="none"/>
                <w:lang w:val="en-US" w:eastAsia="zh-CN"/>
              </w:rPr>
              <w:t>作为依据</w:t>
            </w:r>
          </w:p>
        </w:tc>
      </w:tr>
    </w:tbl>
    <w:p w14:paraId="5CD709B2">
      <w:pPr>
        <w:spacing w:after="0" w:line="360" w:lineRule="auto"/>
        <w:rPr>
          <w:rFonts w:ascii="宋体" w:hAnsi="宋体" w:eastAsia="宋体"/>
          <w:color w:val="auto"/>
          <w:sz w:val="21"/>
          <w:szCs w:val="21"/>
          <w:highlight w:val="none"/>
        </w:rPr>
      </w:pPr>
    </w:p>
    <w:p w14:paraId="3DDD7A3C">
      <w:pPr>
        <w:spacing w:after="0" w:line="360" w:lineRule="auto"/>
        <w:ind w:firstLine="359" w:firstLineChars="171"/>
        <w:rPr>
          <w:rFonts w:ascii="宋体" w:hAnsi="宋体" w:eastAsia="宋体"/>
          <w:color w:val="auto"/>
          <w:sz w:val="21"/>
          <w:szCs w:val="21"/>
          <w:highlight w:val="none"/>
        </w:rPr>
      </w:pPr>
    </w:p>
    <w:p w14:paraId="33782C80">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443DF82A">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5104970D">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377D14C3">
      <w:pPr>
        <w:spacing w:after="0" w:line="360" w:lineRule="auto"/>
        <w:ind w:firstLine="359" w:firstLineChars="171"/>
        <w:rPr>
          <w:rFonts w:ascii="宋体" w:hAnsi="宋体" w:eastAsia="宋体"/>
          <w:color w:val="auto"/>
          <w:sz w:val="21"/>
          <w:szCs w:val="21"/>
          <w:highlight w:val="none"/>
        </w:rPr>
      </w:pPr>
    </w:p>
    <w:p w14:paraId="61BC390E">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14:paraId="02C9712F">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1C06A9D3">
      <w:pPr>
        <w:pStyle w:val="10"/>
        <w:rPr>
          <w:color w:val="auto"/>
          <w:highlight w:val="none"/>
        </w:rPr>
      </w:pPr>
    </w:p>
    <w:p w14:paraId="6239604C">
      <w:pPr>
        <w:rPr>
          <w:color w:val="auto"/>
          <w:highlight w:val="none"/>
        </w:rPr>
      </w:pPr>
    </w:p>
    <w:p w14:paraId="654BDB56">
      <w:pPr>
        <w:rPr>
          <w:color w:val="auto"/>
          <w:highlight w:val="none"/>
        </w:rPr>
      </w:pPr>
    </w:p>
    <w:p w14:paraId="75A7F43D">
      <w:pPr>
        <w:rPr>
          <w:color w:val="auto"/>
          <w:highlight w:val="none"/>
        </w:rPr>
      </w:pPr>
    </w:p>
    <w:p w14:paraId="3D48AE0F">
      <w:pPr>
        <w:rPr>
          <w:color w:val="auto"/>
          <w:highlight w:val="none"/>
        </w:rPr>
      </w:pPr>
    </w:p>
    <w:p w14:paraId="5FF39F0B">
      <w:pPr>
        <w:rPr>
          <w:color w:val="auto"/>
          <w:highlight w:val="none"/>
        </w:rPr>
      </w:pPr>
    </w:p>
    <w:p w14:paraId="79ED394A">
      <w:pPr>
        <w:rPr>
          <w:color w:val="auto"/>
          <w:highlight w:val="none"/>
        </w:rPr>
      </w:pPr>
    </w:p>
    <w:p w14:paraId="222292DA">
      <w:pPr>
        <w:rPr>
          <w:color w:val="auto"/>
          <w:highlight w:val="none"/>
        </w:rPr>
      </w:pPr>
    </w:p>
    <w:p w14:paraId="4AC8F0A9">
      <w:pPr>
        <w:rPr>
          <w:color w:val="auto"/>
          <w:highlight w:val="none"/>
        </w:rPr>
      </w:pPr>
    </w:p>
    <w:p w14:paraId="08ED6E39">
      <w:pPr>
        <w:rPr>
          <w:color w:val="auto"/>
          <w:highlight w:val="none"/>
        </w:rPr>
      </w:pPr>
    </w:p>
    <w:p w14:paraId="4BC7CF7F">
      <w:pPr>
        <w:rPr>
          <w:color w:val="auto"/>
          <w:highlight w:val="none"/>
        </w:rPr>
      </w:pPr>
    </w:p>
    <w:p w14:paraId="143744A9">
      <w:pPr>
        <w:pStyle w:val="10"/>
        <w:rPr>
          <w:color w:val="auto"/>
          <w:highlight w:val="none"/>
        </w:rPr>
      </w:pPr>
    </w:p>
    <w:p w14:paraId="0A4E5838">
      <w:pPr>
        <w:rPr>
          <w:color w:val="auto"/>
          <w:highlight w:val="none"/>
        </w:rPr>
      </w:pPr>
    </w:p>
    <w:p w14:paraId="273A8C1D">
      <w:pPr>
        <w:pStyle w:val="5"/>
        <w:jc w:val="center"/>
        <w:rPr>
          <w:color w:val="auto"/>
          <w:highlight w:val="none"/>
        </w:rPr>
      </w:pPr>
      <w:bookmarkStart w:id="209" w:name="_Toc29152"/>
      <w:bookmarkStart w:id="210" w:name="_Toc31062"/>
      <w:r>
        <w:rPr>
          <w:rFonts w:hint="eastAsia"/>
          <w:color w:val="auto"/>
          <w:highlight w:val="none"/>
        </w:rPr>
        <w:t>二、报价明细表</w:t>
      </w:r>
      <w:bookmarkEnd w:id="209"/>
      <w:bookmarkEnd w:id="210"/>
    </w:p>
    <w:p w14:paraId="279FEAB6">
      <w:pPr>
        <w:pStyle w:val="38"/>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0F61A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1286BE4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70FC5DD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14E3F1C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51C1287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B3FB2C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188F5FA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4969D8C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259B9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9D28AD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32363E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4B3E74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8A99CA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C07B76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5984C8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675BDAD">
            <w:pPr>
              <w:spacing w:before="100" w:beforeAutospacing="1" w:after="100" w:afterAutospacing="1"/>
              <w:jc w:val="center"/>
              <w:rPr>
                <w:rFonts w:ascii="宋体" w:hAnsi="宋体"/>
                <w:color w:val="auto"/>
                <w:szCs w:val="21"/>
                <w:highlight w:val="none"/>
              </w:rPr>
            </w:pPr>
          </w:p>
        </w:tc>
      </w:tr>
      <w:tr w14:paraId="39858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468D4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CF9966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2690CD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D3BBBB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34DB0A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C8799E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34E6ADF">
            <w:pPr>
              <w:spacing w:before="100" w:beforeAutospacing="1" w:after="100" w:afterAutospacing="1"/>
              <w:jc w:val="center"/>
              <w:rPr>
                <w:rFonts w:ascii="宋体" w:hAnsi="宋体"/>
                <w:color w:val="auto"/>
                <w:szCs w:val="21"/>
                <w:highlight w:val="none"/>
              </w:rPr>
            </w:pPr>
          </w:p>
        </w:tc>
      </w:tr>
      <w:tr w14:paraId="49D68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7EBF77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E0D7A5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1CAECB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229DD9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65922E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388438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708B5E7">
            <w:pPr>
              <w:spacing w:before="100" w:beforeAutospacing="1" w:after="100" w:afterAutospacing="1"/>
              <w:jc w:val="center"/>
              <w:rPr>
                <w:rFonts w:ascii="宋体" w:hAnsi="宋体"/>
                <w:color w:val="auto"/>
                <w:szCs w:val="21"/>
                <w:highlight w:val="none"/>
              </w:rPr>
            </w:pPr>
          </w:p>
        </w:tc>
      </w:tr>
      <w:tr w14:paraId="73434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DE02CC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20BD5E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2CF698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945739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DE53DA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236BFD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9F74748">
            <w:pPr>
              <w:spacing w:before="100" w:beforeAutospacing="1" w:after="100" w:afterAutospacing="1"/>
              <w:jc w:val="center"/>
              <w:rPr>
                <w:rFonts w:ascii="宋体" w:hAnsi="宋体"/>
                <w:color w:val="auto"/>
                <w:szCs w:val="21"/>
                <w:highlight w:val="none"/>
              </w:rPr>
            </w:pPr>
          </w:p>
        </w:tc>
      </w:tr>
      <w:tr w14:paraId="6289A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AD026B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3E789C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4C79BA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A771A0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A8075A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5407CD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B8DAEC1">
            <w:pPr>
              <w:spacing w:before="100" w:beforeAutospacing="1" w:after="100" w:afterAutospacing="1"/>
              <w:jc w:val="center"/>
              <w:rPr>
                <w:rFonts w:ascii="宋体" w:hAnsi="宋体"/>
                <w:color w:val="auto"/>
                <w:szCs w:val="21"/>
                <w:highlight w:val="none"/>
              </w:rPr>
            </w:pPr>
          </w:p>
        </w:tc>
      </w:tr>
      <w:tr w14:paraId="58B76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8564C8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B2F175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7A3A6D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F8A7A2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43D5F8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7492B5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55BA3C7">
            <w:pPr>
              <w:spacing w:before="100" w:beforeAutospacing="1" w:after="100" w:afterAutospacing="1"/>
              <w:jc w:val="center"/>
              <w:rPr>
                <w:rFonts w:ascii="宋体" w:hAnsi="宋体"/>
                <w:color w:val="auto"/>
                <w:szCs w:val="21"/>
                <w:highlight w:val="none"/>
              </w:rPr>
            </w:pPr>
          </w:p>
        </w:tc>
      </w:tr>
      <w:tr w14:paraId="5A30A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6697D5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5464A1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9A2CA2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EBCE16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A5EB3A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778CF8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56D7813">
            <w:pPr>
              <w:spacing w:before="100" w:beforeAutospacing="1" w:after="100" w:afterAutospacing="1"/>
              <w:jc w:val="center"/>
              <w:rPr>
                <w:rFonts w:ascii="宋体" w:hAnsi="宋体"/>
                <w:color w:val="auto"/>
                <w:szCs w:val="21"/>
                <w:highlight w:val="none"/>
              </w:rPr>
            </w:pPr>
          </w:p>
        </w:tc>
      </w:tr>
      <w:tr w14:paraId="43847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DBC134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C8A04C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001AFE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320922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35AF88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AE3CC4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76992D4">
            <w:pPr>
              <w:spacing w:before="100" w:beforeAutospacing="1" w:after="100" w:afterAutospacing="1"/>
              <w:jc w:val="center"/>
              <w:rPr>
                <w:rFonts w:ascii="宋体" w:hAnsi="宋体"/>
                <w:color w:val="auto"/>
                <w:szCs w:val="21"/>
                <w:highlight w:val="none"/>
              </w:rPr>
            </w:pPr>
          </w:p>
        </w:tc>
      </w:tr>
      <w:tr w14:paraId="65B9F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4B4DF9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38658B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38C7E0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18AF9A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4DBED3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469186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A09CC26">
            <w:pPr>
              <w:spacing w:before="100" w:beforeAutospacing="1" w:after="100" w:afterAutospacing="1"/>
              <w:jc w:val="center"/>
              <w:rPr>
                <w:rFonts w:ascii="宋体" w:hAnsi="宋体"/>
                <w:color w:val="auto"/>
                <w:szCs w:val="21"/>
                <w:highlight w:val="none"/>
              </w:rPr>
            </w:pPr>
          </w:p>
        </w:tc>
      </w:tr>
      <w:tr w14:paraId="70178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817789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6F8A55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709EF5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E4B572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62DEF1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178BBB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E7157F8">
            <w:pPr>
              <w:spacing w:before="100" w:beforeAutospacing="1" w:after="100" w:afterAutospacing="1"/>
              <w:jc w:val="center"/>
              <w:rPr>
                <w:rFonts w:ascii="宋体" w:hAnsi="宋体"/>
                <w:color w:val="auto"/>
                <w:szCs w:val="21"/>
                <w:highlight w:val="none"/>
              </w:rPr>
            </w:pPr>
          </w:p>
        </w:tc>
      </w:tr>
      <w:tr w14:paraId="10F7A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4B4C61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95333E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AF4061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3836F1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406D2E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2D1804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CB2DED5">
            <w:pPr>
              <w:spacing w:before="100" w:beforeAutospacing="1" w:after="100" w:afterAutospacing="1"/>
              <w:jc w:val="center"/>
              <w:rPr>
                <w:rFonts w:ascii="宋体" w:hAnsi="宋体"/>
                <w:color w:val="auto"/>
                <w:szCs w:val="21"/>
                <w:highlight w:val="none"/>
              </w:rPr>
            </w:pPr>
          </w:p>
        </w:tc>
      </w:tr>
      <w:tr w14:paraId="5CFC1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82D031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E8FCB9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B5C2C2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1425EB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B7057A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A8F0D1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584769D">
            <w:pPr>
              <w:spacing w:before="100" w:beforeAutospacing="1" w:after="100" w:afterAutospacing="1"/>
              <w:jc w:val="center"/>
              <w:rPr>
                <w:rFonts w:ascii="宋体" w:hAnsi="宋体"/>
                <w:color w:val="auto"/>
                <w:szCs w:val="21"/>
                <w:highlight w:val="none"/>
              </w:rPr>
            </w:pPr>
          </w:p>
        </w:tc>
      </w:tr>
      <w:tr w14:paraId="66D31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9B6D07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0722EA47">
            <w:pPr>
              <w:spacing w:before="100" w:beforeAutospacing="1" w:after="100" w:afterAutospacing="1"/>
              <w:jc w:val="center"/>
              <w:rPr>
                <w:rFonts w:ascii="宋体" w:hAnsi="宋体"/>
                <w:color w:val="auto"/>
                <w:szCs w:val="21"/>
                <w:highlight w:val="none"/>
              </w:rPr>
            </w:pPr>
          </w:p>
        </w:tc>
      </w:tr>
    </w:tbl>
    <w:p w14:paraId="6BF92DD2">
      <w:pPr>
        <w:rPr>
          <w:rFonts w:ascii="宋体" w:hAnsi="宋体" w:cs="宋体"/>
          <w:b/>
          <w:color w:val="auto"/>
          <w:szCs w:val="21"/>
          <w:highlight w:val="none"/>
        </w:rPr>
      </w:pPr>
    </w:p>
    <w:p w14:paraId="0268E322">
      <w:pPr>
        <w:rPr>
          <w:color w:val="auto"/>
          <w:highlight w:val="none"/>
        </w:rPr>
      </w:pPr>
    </w:p>
    <w:p w14:paraId="2BD3A0A3">
      <w:pPr>
        <w:rPr>
          <w:rFonts w:ascii="宋体" w:hAnsi="宋体"/>
          <w:color w:val="auto"/>
          <w:szCs w:val="21"/>
          <w:highlight w:val="none"/>
        </w:rPr>
      </w:pPr>
      <w:r>
        <w:rPr>
          <w:rFonts w:hint="eastAsia" w:ascii="宋体" w:hAnsi="宋体"/>
          <w:color w:val="auto"/>
          <w:szCs w:val="21"/>
          <w:highlight w:val="none"/>
        </w:rPr>
        <w:t>投标人代表签字：</w:t>
      </w:r>
    </w:p>
    <w:p w14:paraId="111E39D1">
      <w:pPr>
        <w:rPr>
          <w:rFonts w:ascii="宋体" w:hAnsi="宋体"/>
          <w:color w:val="auto"/>
          <w:szCs w:val="21"/>
          <w:highlight w:val="none"/>
        </w:rPr>
      </w:pPr>
      <w:r>
        <w:rPr>
          <w:rFonts w:hint="eastAsia" w:ascii="宋体" w:hAnsi="宋体"/>
          <w:color w:val="auto"/>
          <w:szCs w:val="21"/>
          <w:highlight w:val="none"/>
        </w:rPr>
        <w:t>投标人盖章：</w:t>
      </w:r>
    </w:p>
    <w:p w14:paraId="5047334C">
      <w:pPr>
        <w:rPr>
          <w:rFonts w:ascii="宋体" w:hAnsi="宋体" w:cs="宋体"/>
          <w:b/>
          <w:color w:val="auto"/>
          <w:szCs w:val="21"/>
          <w:highlight w:val="none"/>
        </w:rPr>
      </w:pPr>
      <w:r>
        <w:rPr>
          <w:rFonts w:hint="eastAsia" w:ascii="宋体" w:hAnsi="宋体"/>
          <w:color w:val="auto"/>
          <w:szCs w:val="21"/>
          <w:highlight w:val="none"/>
        </w:rPr>
        <w:t>日期：</w:t>
      </w:r>
    </w:p>
    <w:p w14:paraId="0048880E">
      <w:pPr>
        <w:pStyle w:val="38"/>
        <w:rPr>
          <w:rFonts w:ascii="黑体" w:eastAsia="黑体"/>
          <w:color w:val="auto"/>
          <w:sz w:val="32"/>
          <w:szCs w:val="32"/>
          <w:highlight w:val="none"/>
        </w:rPr>
      </w:pPr>
    </w:p>
    <w:p w14:paraId="6B514EA4">
      <w:pPr>
        <w:pStyle w:val="38"/>
        <w:rPr>
          <w:rFonts w:ascii="黑体" w:eastAsia="黑体"/>
          <w:color w:val="auto"/>
          <w:sz w:val="32"/>
          <w:szCs w:val="32"/>
          <w:highlight w:val="none"/>
        </w:rPr>
      </w:pPr>
    </w:p>
    <w:p w14:paraId="4A252593">
      <w:pPr>
        <w:pStyle w:val="5"/>
        <w:jc w:val="center"/>
        <w:rPr>
          <w:color w:val="auto"/>
          <w:highlight w:val="none"/>
        </w:rPr>
      </w:pPr>
      <w:bookmarkStart w:id="211" w:name="_Toc28456"/>
      <w:bookmarkStart w:id="212" w:name="_Toc20974"/>
      <w:r>
        <w:rPr>
          <w:rFonts w:hint="eastAsia"/>
          <w:color w:val="auto"/>
          <w:highlight w:val="none"/>
        </w:rPr>
        <w:t>三、小型或微型企业（货物/服务/承担的工程）明细表</w:t>
      </w:r>
      <w:bookmarkEnd w:id="211"/>
      <w:bookmarkEnd w:id="212"/>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6CC6E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15AEBC86">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23D6D58A">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0BA74370">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63362FCF">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6615E54F">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2313A92F">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5F66B738">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7961603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3E8152D6">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65756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676EDC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F7BDBA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704AC6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461034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AA1E14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06F849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91E4B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EB4820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F9329AC">
            <w:pPr>
              <w:jc w:val="center"/>
              <w:textAlignment w:val="bottom"/>
              <w:rPr>
                <w:rFonts w:ascii="宋体" w:hAnsi="宋体" w:cs="宋体"/>
                <w:color w:val="auto"/>
                <w:szCs w:val="21"/>
                <w:highlight w:val="none"/>
              </w:rPr>
            </w:pPr>
          </w:p>
        </w:tc>
      </w:tr>
      <w:tr w14:paraId="016A6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D1D87F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DF92F2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6D9424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A69439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AE628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A5922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4B579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A8E91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FEF0B6D">
            <w:pPr>
              <w:jc w:val="center"/>
              <w:textAlignment w:val="bottom"/>
              <w:rPr>
                <w:rFonts w:ascii="宋体" w:hAnsi="宋体" w:cs="宋体"/>
                <w:color w:val="auto"/>
                <w:szCs w:val="21"/>
                <w:highlight w:val="none"/>
              </w:rPr>
            </w:pPr>
          </w:p>
        </w:tc>
      </w:tr>
      <w:tr w14:paraId="61601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5F0DC0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9BA9AA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F8DAAF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6E0E15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600C3B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477E9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B2038A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4C0389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7900272">
            <w:pPr>
              <w:jc w:val="center"/>
              <w:textAlignment w:val="bottom"/>
              <w:rPr>
                <w:rFonts w:ascii="宋体" w:hAnsi="宋体" w:cs="宋体"/>
                <w:color w:val="auto"/>
                <w:szCs w:val="21"/>
                <w:highlight w:val="none"/>
              </w:rPr>
            </w:pPr>
          </w:p>
        </w:tc>
      </w:tr>
      <w:tr w14:paraId="2FEDD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D48255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342769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75C46D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6295FD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519BC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91F4BD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46F0EB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3B9EA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1F29AEA">
            <w:pPr>
              <w:jc w:val="center"/>
              <w:textAlignment w:val="bottom"/>
              <w:rPr>
                <w:rFonts w:ascii="宋体" w:hAnsi="宋体" w:cs="宋体"/>
                <w:color w:val="auto"/>
                <w:szCs w:val="21"/>
                <w:highlight w:val="none"/>
              </w:rPr>
            </w:pPr>
          </w:p>
        </w:tc>
      </w:tr>
      <w:tr w14:paraId="04C69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9E23B14">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B78283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464BCF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447429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36E2AF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95214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A5C06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6DE9EA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56799BB">
            <w:pPr>
              <w:jc w:val="center"/>
              <w:textAlignment w:val="bottom"/>
              <w:rPr>
                <w:rFonts w:ascii="宋体" w:hAnsi="宋体" w:cs="宋体"/>
                <w:color w:val="auto"/>
                <w:szCs w:val="21"/>
                <w:highlight w:val="none"/>
              </w:rPr>
            </w:pPr>
          </w:p>
        </w:tc>
      </w:tr>
      <w:tr w14:paraId="47914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C97585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903A17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826F50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99540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DAF46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C660A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F19356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69B795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ACC13F9">
            <w:pPr>
              <w:jc w:val="center"/>
              <w:textAlignment w:val="bottom"/>
              <w:rPr>
                <w:rFonts w:ascii="宋体" w:hAnsi="宋体" w:cs="宋体"/>
                <w:color w:val="auto"/>
                <w:szCs w:val="21"/>
                <w:highlight w:val="none"/>
              </w:rPr>
            </w:pPr>
          </w:p>
        </w:tc>
      </w:tr>
      <w:tr w14:paraId="4239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A4DDAA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2645E0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A2AF6A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AB32BC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0C69A1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88F1D5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9F4F8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E5652F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EB44610">
            <w:pPr>
              <w:jc w:val="center"/>
              <w:textAlignment w:val="bottom"/>
              <w:rPr>
                <w:rFonts w:ascii="宋体" w:hAnsi="宋体" w:cs="宋体"/>
                <w:color w:val="auto"/>
                <w:szCs w:val="21"/>
                <w:highlight w:val="none"/>
              </w:rPr>
            </w:pPr>
          </w:p>
        </w:tc>
      </w:tr>
      <w:tr w14:paraId="2A877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6A2323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76395B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E6CE85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0E5724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50FF32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B80CC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6505D7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B269E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50DB26D">
            <w:pPr>
              <w:jc w:val="center"/>
              <w:textAlignment w:val="bottom"/>
              <w:rPr>
                <w:rFonts w:ascii="宋体" w:hAnsi="宋体" w:cs="宋体"/>
                <w:color w:val="auto"/>
                <w:szCs w:val="21"/>
                <w:highlight w:val="none"/>
              </w:rPr>
            </w:pPr>
          </w:p>
        </w:tc>
      </w:tr>
      <w:tr w14:paraId="1A8E4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50EE82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528755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EC09AB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5DD33D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CC28C3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D55D0F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ED644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CA7214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5AF6899">
            <w:pPr>
              <w:jc w:val="center"/>
              <w:textAlignment w:val="bottom"/>
              <w:rPr>
                <w:rFonts w:ascii="宋体" w:hAnsi="宋体" w:cs="宋体"/>
                <w:color w:val="auto"/>
                <w:szCs w:val="21"/>
                <w:highlight w:val="none"/>
              </w:rPr>
            </w:pPr>
          </w:p>
        </w:tc>
      </w:tr>
      <w:tr w14:paraId="15FC8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4B24506D">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1F4B83EF">
            <w:pPr>
              <w:rPr>
                <w:rFonts w:ascii="宋体" w:hAnsi="宋体" w:cs="宋体"/>
                <w:color w:val="auto"/>
                <w:szCs w:val="21"/>
                <w:highlight w:val="none"/>
              </w:rPr>
            </w:pPr>
          </w:p>
        </w:tc>
      </w:tr>
    </w:tbl>
    <w:p w14:paraId="6A4A5DE8">
      <w:pPr>
        <w:rPr>
          <w:rFonts w:ascii="宋体" w:hAnsi="宋体"/>
          <w:color w:val="auto"/>
          <w:szCs w:val="21"/>
          <w:highlight w:val="none"/>
        </w:rPr>
      </w:pPr>
    </w:p>
    <w:p w14:paraId="3D99979B">
      <w:pPr>
        <w:rPr>
          <w:rFonts w:ascii="宋体" w:hAnsi="宋体"/>
          <w:color w:val="auto"/>
          <w:szCs w:val="21"/>
          <w:highlight w:val="none"/>
        </w:rPr>
      </w:pPr>
    </w:p>
    <w:p w14:paraId="23192DCD">
      <w:pPr>
        <w:rPr>
          <w:rFonts w:ascii="宋体" w:hAnsi="宋体"/>
          <w:color w:val="auto"/>
          <w:szCs w:val="21"/>
          <w:highlight w:val="none"/>
        </w:rPr>
      </w:pPr>
      <w:r>
        <w:rPr>
          <w:rFonts w:hint="eastAsia" w:ascii="宋体" w:hAnsi="宋体"/>
          <w:color w:val="auto"/>
          <w:szCs w:val="21"/>
          <w:highlight w:val="none"/>
        </w:rPr>
        <w:t>投标人代表签字：</w:t>
      </w:r>
    </w:p>
    <w:p w14:paraId="20C8DBED">
      <w:pPr>
        <w:rPr>
          <w:rFonts w:ascii="宋体" w:hAnsi="宋体"/>
          <w:color w:val="auto"/>
          <w:szCs w:val="21"/>
          <w:highlight w:val="none"/>
        </w:rPr>
      </w:pPr>
      <w:r>
        <w:rPr>
          <w:rFonts w:hint="eastAsia" w:ascii="宋体" w:hAnsi="宋体"/>
          <w:color w:val="auto"/>
          <w:szCs w:val="21"/>
          <w:highlight w:val="none"/>
        </w:rPr>
        <w:t>投标人盖章：</w:t>
      </w:r>
    </w:p>
    <w:p w14:paraId="4FF3ED92">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6AF93AE1">
      <w:pPr>
        <w:rPr>
          <w:color w:val="auto"/>
          <w:highlight w:val="none"/>
        </w:rPr>
      </w:pPr>
    </w:p>
    <w:p w14:paraId="7A047FE4">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2957DC7A">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48737451">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74840DBF">
      <w:pPr>
        <w:pStyle w:val="5"/>
        <w:jc w:val="center"/>
        <w:rPr>
          <w:color w:val="auto"/>
          <w:highlight w:val="none"/>
        </w:rPr>
      </w:pPr>
      <w:bookmarkStart w:id="213" w:name="_Toc16718"/>
      <w:bookmarkStart w:id="214" w:name="_Toc4919"/>
      <w:r>
        <w:rPr>
          <w:rFonts w:hint="eastAsia"/>
          <w:color w:val="auto"/>
          <w:highlight w:val="none"/>
        </w:rPr>
        <w:t>四、节能产品或环境标志产品明细表</w:t>
      </w:r>
      <w:bookmarkEnd w:id="213"/>
      <w:bookmarkEnd w:id="214"/>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131CC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620D2E06">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42A10EE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77871BA8">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5F78226B">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3757BF93">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6DB1CDA2">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52DF8ECA">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54898DBD">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4D5C5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7AC1C6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9A97FA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CEC032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8EB561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EADFDA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11635B6">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D3E158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9C63F26">
            <w:pPr>
              <w:jc w:val="center"/>
              <w:textAlignment w:val="bottom"/>
              <w:rPr>
                <w:rFonts w:ascii="宋体" w:hAnsi="宋体" w:cs="宋体"/>
                <w:color w:val="auto"/>
                <w:szCs w:val="21"/>
                <w:highlight w:val="none"/>
              </w:rPr>
            </w:pPr>
          </w:p>
        </w:tc>
      </w:tr>
      <w:tr w14:paraId="63F02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799235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CCB9B9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2CBE76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D3018C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305839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0223E4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688E64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D636DDF">
            <w:pPr>
              <w:jc w:val="center"/>
              <w:textAlignment w:val="bottom"/>
              <w:rPr>
                <w:rFonts w:ascii="宋体" w:hAnsi="宋体" w:cs="宋体"/>
                <w:color w:val="auto"/>
                <w:szCs w:val="21"/>
                <w:highlight w:val="none"/>
              </w:rPr>
            </w:pPr>
          </w:p>
        </w:tc>
      </w:tr>
      <w:tr w14:paraId="4F1C3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3C2C5E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B38480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75B0CD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4A9786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6616B2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A1C5AD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B6E2B0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5B792A8">
            <w:pPr>
              <w:jc w:val="center"/>
              <w:textAlignment w:val="bottom"/>
              <w:rPr>
                <w:rFonts w:ascii="宋体" w:hAnsi="宋体" w:cs="宋体"/>
                <w:color w:val="auto"/>
                <w:szCs w:val="21"/>
                <w:highlight w:val="none"/>
              </w:rPr>
            </w:pPr>
          </w:p>
        </w:tc>
      </w:tr>
      <w:tr w14:paraId="1013D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B87E903">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FC6794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7CE824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4C3879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8201F2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0B4F33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53B99F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13E1760">
            <w:pPr>
              <w:jc w:val="center"/>
              <w:textAlignment w:val="bottom"/>
              <w:rPr>
                <w:rFonts w:ascii="宋体" w:hAnsi="宋体" w:cs="宋体"/>
                <w:color w:val="auto"/>
                <w:szCs w:val="21"/>
                <w:highlight w:val="none"/>
              </w:rPr>
            </w:pPr>
          </w:p>
        </w:tc>
      </w:tr>
      <w:tr w14:paraId="2DD68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915412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E1BF12D">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25113E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DEF3C5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AF7BEF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CEEE65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901C87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CD59C0C">
            <w:pPr>
              <w:jc w:val="center"/>
              <w:textAlignment w:val="bottom"/>
              <w:rPr>
                <w:rFonts w:ascii="宋体" w:hAnsi="宋体" w:cs="宋体"/>
                <w:color w:val="auto"/>
                <w:szCs w:val="21"/>
                <w:highlight w:val="none"/>
              </w:rPr>
            </w:pPr>
          </w:p>
        </w:tc>
      </w:tr>
      <w:tr w14:paraId="05A90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0493D7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C99F7A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96429C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A35316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E9F278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909334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740475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46DEF4C">
            <w:pPr>
              <w:jc w:val="center"/>
              <w:textAlignment w:val="bottom"/>
              <w:rPr>
                <w:rFonts w:ascii="宋体" w:hAnsi="宋体" w:cs="宋体"/>
                <w:color w:val="auto"/>
                <w:szCs w:val="21"/>
                <w:highlight w:val="none"/>
              </w:rPr>
            </w:pPr>
          </w:p>
        </w:tc>
      </w:tr>
      <w:tr w14:paraId="6FADD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94DB70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8BA8E9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3FB069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2555DE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7D12E2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0956B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29475D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088599C">
            <w:pPr>
              <w:jc w:val="center"/>
              <w:textAlignment w:val="bottom"/>
              <w:rPr>
                <w:rFonts w:ascii="宋体" w:hAnsi="宋体" w:cs="宋体"/>
                <w:color w:val="auto"/>
                <w:szCs w:val="21"/>
                <w:highlight w:val="none"/>
              </w:rPr>
            </w:pPr>
          </w:p>
        </w:tc>
      </w:tr>
      <w:tr w14:paraId="3C8D4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FBFD1C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06C37A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0F7869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AEF934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1783C8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A6140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8E5995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120A9F">
            <w:pPr>
              <w:jc w:val="center"/>
              <w:textAlignment w:val="bottom"/>
              <w:rPr>
                <w:rFonts w:ascii="宋体" w:hAnsi="宋体" w:cs="宋体"/>
                <w:color w:val="auto"/>
                <w:szCs w:val="21"/>
                <w:highlight w:val="none"/>
              </w:rPr>
            </w:pPr>
          </w:p>
        </w:tc>
      </w:tr>
      <w:tr w14:paraId="667FA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D153B8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1B763B1">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2B043C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68726E0">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CE767B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CF9D30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9E4BB8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B4E0EB2">
            <w:pPr>
              <w:jc w:val="center"/>
              <w:textAlignment w:val="bottom"/>
              <w:rPr>
                <w:rFonts w:ascii="宋体" w:hAnsi="宋体" w:cs="宋体"/>
                <w:color w:val="auto"/>
                <w:szCs w:val="21"/>
                <w:highlight w:val="none"/>
              </w:rPr>
            </w:pPr>
          </w:p>
        </w:tc>
      </w:tr>
      <w:tr w14:paraId="3E98C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14BC32F8">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24072E44">
            <w:pPr>
              <w:rPr>
                <w:rFonts w:ascii="宋体" w:hAnsi="宋体" w:cs="宋体"/>
                <w:color w:val="auto"/>
                <w:szCs w:val="21"/>
                <w:highlight w:val="none"/>
              </w:rPr>
            </w:pPr>
          </w:p>
        </w:tc>
      </w:tr>
    </w:tbl>
    <w:p w14:paraId="57C06B3C">
      <w:pPr>
        <w:rPr>
          <w:rFonts w:ascii="宋体" w:hAnsi="宋体"/>
          <w:color w:val="auto"/>
          <w:szCs w:val="21"/>
          <w:highlight w:val="none"/>
        </w:rPr>
      </w:pPr>
    </w:p>
    <w:p w14:paraId="324C49E1">
      <w:pPr>
        <w:rPr>
          <w:rFonts w:ascii="宋体" w:hAnsi="宋体"/>
          <w:color w:val="auto"/>
          <w:szCs w:val="21"/>
          <w:highlight w:val="none"/>
        </w:rPr>
      </w:pPr>
    </w:p>
    <w:p w14:paraId="1A61D464">
      <w:pPr>
        <w:rPr>
          <w:rFonts w:ascii="宋体" w:hAnsi="宋体"/>
          <w:color w:val="auto"/>
          <w:szCs w:val="21"/>
          <w:highlight w:val="none"/>
        </w:rPr>
      </w:pPr>
      <w:r>
        <w:rPr>
          <w:rFonts w:hint="eastAsia" w:ascii="宋体" w:hAnsi="宋体"/>
          <w:color w:val="auto"/>
          <w:szCs w:val="21"/>
          <w:highlight w:val="none"/>
        </w:rPr>
        <w:t>投标人代表签字：</w:t>
      </w:r>
    </w:p>
    <w:p w14:paraId="50F4CE6F">
      <w:pPr>
        <w:rPr>
          <w:rFonts w:ascii="宋体" w:hAnsi="宋体"/>
          <w:color w:val="auto"/>
          <w:szCs w:val="21"/>
          <w:highlight w:val="none"/>
        </w:rPr>
      </w:pPr>
      <w:r>
        <w:rPr>
          <w:rFonts w:hint="eastAsia" w:ascii="宋体" w:hAnsi="宋体"/>
          <w:color w:val="auto"/>
          <w:szCs w:val="21"/>
          <w:highlight w:val="none"/>
        </w:rPr>
        <w:t>投标人盖章：</w:t>
      </w:r>
    </w:p>
    <w:p w14:paraId="3EF091A5">
      <w:pPr>
        <w:jc w:val="both"/>
        <w:rPr>
          <w:rFonts w:ascii="宋体" w:hAnsi="宋体"/>
          <w:color w:val="auto"/>
          <w:szCs w:val="21"/>
          <w:highlight w:val="none"/>
        </w:rPr>
      </w:pPr>
      <w:r>
        <w:rPr>
          <w:rFonts w:hint="eastAsia" w:ascii="宋体" w:hAnsi="宋体"/>
          <w:color w:val="auto"/>
          <w:szCs w:val="21"/>
          <w:highlight w:val="none"/>
        </w:rPr>
        <w:t>日期：</w:t>
      </w:r>
    </w:p>
    <w:p w14:paraId="1A1FA7E9">
      <w:pPr>
        <w:pStyle w:val="38"/>
        <w:rPr>
          <w:color w:val="auto"/>
          <w:highlight w:val="none"/>
        </w:rPr>
      </w:pPr>
    </w:p>
    <w:p w14:paraId="422D2525">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1445691D">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5219388B">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3E582413">
      <w:pPr>
        <w:pStyle w:val="5"/>
        <w:jc w:val="center"/>
        <w:rPr>
          <w:color w:val="auto"/>
          <w:highlight w:val="none"/>
        </w:rPr>
      </w:pPr>
      <w:bookmarkStart w:id="215" w:name="_Toc10853"/>
      <w:bookmarkStart w:id="216" w:name="_Toc32139"/>
      <w:r>
        <w:rPr>
          <w:rFonts w:hint="eastAsia"/>
          <w:color w:val="auto"/>
          <w:highlight w:val="none"/>
        </w:rPr>
        <w:t>五、中小企业声明函</w:t>
      </w:r>
      <w:bookmarkEnd w:id="215"/>
      <w:bookmarkEnd w:id="216"/>
    </w:p>
    <w:p w14:paraId="0469DE23">
      <w:pPr>
        <w:jc w:val="center"/>
        <w:outlineLvl w:val="1"/>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373553AF">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2159F818">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7E435E0">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1A4D680">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04589D79">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E183241">
      <w:pPr>
        <w:ind w:firstLine="420" w:firstLineChars="200"/>
        <w:rPr>
          <w:color w:val="auto"/>
          <w:highlight w:val="none"/>
        </w:rPr>
      </w:pPr>
      <w:r>
        <w:rPr>
          <w:rFonts w:hint="eastAsia"/>
          <w:color w:val="auto"/>
          <w:highlight w:val="none"/>
        </w:rPr>
        <w:t>本企业对上诉声明内容的真实性负责。如有虚假，将依法承担相应责任。</w:t>
      </w:r>
    </w:p>
    <w:p w14:paraId="5FCB7C01">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4F0CD8E">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0BB5FAF">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1A77878B">
      <w:pPr>
        <w:rPr>
          <w:rFonts w:ascii="宋体" w:hAnsi="宋体"/>
          <w:b/>
          <w:bCs/>
          <w:color w:val="auto"/>
          <w:szCs w:val="21"/>
          <w:highlight w:val="none"/>
        </w:rPr>
      </w:pPr>
    </w:p>
    <w:p w14:paraId="3B18FBD5">
      <w:pPr>
        <w:ind w:firstLine="422" w:firstLineChars="200"/>
        <w:rPr>
          <w:rFonts w:ascii="宋体" w:hAnsi="宋体"/>
          <w:b/>
          <w:bCs/>
          <w:color w:val="auto"/>
          <w:szCs w:val="21"/>
          <w:highlight w:val="none"/>
        </w:rPr>
      </w:pPr>
    </w:p>
    <w:p w14:paraId="09DFC316">
      <w:pPr>
        <w:ind w:firstLine="422" w:firstLineChars="200"/>
        <w:rPr>
          <w:rFonts w:ascii="宋体" w:hAnsi="宋体"/>
          <w:b/>
          <w:bCs/>
          <w:color w:val="auto"/>
          <w:szCs w:val="21"/>
          <w:highlight w:val="none"/>
        </w:rPr>
      </w:pPr>
    </w:p>
    <w:p w14:paraId="63A6E598">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0765878">
      <w:pPr>
        <w:spacing w:line="480" w:lineRule="auto"/>
        <w:jc w:val="center"/>
        <w:outlineLvl w:val="1"/>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224A6B9E">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DDCF3EC">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3A74EB3">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EEB0D8A">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1BD85FDF">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5AE98A40">
      <w:pPr>
        <w:ind w:firstLine="420" w:firstLineChars="200"/>
        <w:rPr>
          <w:color w:val="auto"/>
          <w:highlight w:val="none"/>
        </w:rPr>
      </w:pPr>
      <w:r>
        <w:rPr>
          <w:rFonts w:hint="eastAsia"/>
          <w:color w:val="auto"/>
          <w:highlight w:val="none"/>
        </w:rPr>
        <w:t>本企业对上诉声明内容的真实性负责。如有虚假，将依法承担相应责任。</w:t>
      </w:r>
    </w:p>
    <w:p w14:paraId="5915EB43">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761C85F0">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0FA9BD8B">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6FCC1E5E">
      <w:pPr>
        <w:rPr>
          <w:rFonts w:ascii="宋体" w:hAnsi="宋体"/>
          <w:b/>
          <w:bCs/>
          <w:color w:val="auto"/>
          <w:szCs w:val="21"/>
          <w:highlight w:val="none"/>
        </w:rPr>
      </w:pPr>
    </w:p>
    <w:p w14:paraId="58A854C0">
      <w:pPr>
        <w:rPr>
          <w:rFonts w:ascii="宋体" w:hAnsi="宋体"/>
          <w:b/>
          <w:bCs/>
          <w:color w:val="auto"/>
          <w:szCs w:val="21"/>
          <w:highlight w:val="none"/>
        </w:rPr>
      </w:pPr>
    </w:p>
    <w:p w14:paraId="52CE5D23">
      <w:pPr>
        <w:rPr>
          <w:rFonts w:ascii="宋体" w:hAnsi="宋体"/>
          <w:b/>
          <w:bCs/>
          <w:color w:val="auto"/>
          <w:szCs w:val="21"/>
          <w:highlight w:val="none"/>
        </w:rPr>
      </w:pPr>
    </w:p>
    <w:p w14:paraId="550B605E">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9756DCB">
      <w:pPr>
        <w:rPr>
          <w:rFonts w:ascii="宋体" w:hAnsi="宋体"/>
          <w:b/>
          <w:bCs/>
          <w:color w:val="auto"/>
          <w:szCs w:val="21"/>
          <w:highlight w:val="none"/>
        </w:rPr>
      </w:pPr>
      <w:r>
        <w:rPr>
          <w:rFonts w:hint="eastAsia" w:ascii="宋体" w:hAnsi="宋体"/>
          <w:b/>
          <w:bCs/>
          <w:color w:val="auto"/>
          <w:szCs w:val="21"/>
          <w:highlight w:val="none"/>
        </w:rPr>
        <w:t>说明：</w:t>
      </w:r>
    </w:p>
    <w:p w14:paraId="29EA29B0">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0AB97F60">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31502B08">
      <w:pPr>
        <w:rPr>
          <w:rFonts w:ascii="楷体_GB2312" w:eastAsia="楷体_GB2312"/>
          <w:color w:val="auto"/>
          <w:sz w:val="24"/>
          <w:highlight w:val="none"/>
        </w:rPr>
      </w:pPr>
    </w:p>
    <w:p w14:paraId="2025EC45">
      <w:pPr>
        <w:adjustRightInd/>
        <w:snapToGrid/>
        <w:spacing w:line="276" w:lineRule="auto"/>
        <w:rPr>
          <w:color w:val="auto"/>
          <w:highlight w:val="none"/>
        </w:rPr>
      </w:pPr>
      <w:r>
        <w:rPr>
          <w:rFonts w:ascii="楷体_GB2312" w:eastAsia="楷体_GB2312"/>
          <w:color w:val="auto"/>
          <w:sz w:val="24"/>
          <w:highlight w:val="none"/>
        </w:rPr>
        <w:br w:type="page"/>
      </w:r>
    </w:p>
    <w:p w14:paraId="418B7447">
      <w:pPr>
        <w:pStyle w:val="5"/>
        <w:jc w:val="center"/>
        <w:rPr>
          <w:color w:val="auto"/>
          <w:highlight w:val="none"/>
        </w:rPr>
      </w:pPr>
      <w:bookmarkStart w:id="217" w:name="_Toc31865"/>
      <w:bookmarkStart w:id="218" w:name="_Toc8560"/>
      <w:r>
        <w:rPr>
          <w:rFonts w:hint="eastAsia"/>
          <w:color w:val="auto"/>
          <w:highlight w:val="none"/>
        </w:rPr>
        <w:t>六、残疾人福利性单位声明函</w:t>
      </w:r>
      <w:bookmarkEnd w:id="217"/>
      <w:bookmarkEnd w:id="218"/>
    </w:p>
    <w:p w14:paraId="604D06B3">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65A6A32">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4152794B">
      <w:pPr>
        <w:spacing w:line="480" w:lineRule="auto"/>
        <w:jc w:val="right"/>
        <w:rPr>
          <w:rFonts w:ascii="宋体" w:hAnsi="宋体"/>
          <w:color w:val="auto"/>
          <w:szCs w:val="21"/>
          <w:highlight w:val="none"/>
        </w:rPr>
      </w:pPr>
    </w:p>
    <w:p w14:paraId="12FC265E">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19" w:name="_Toc508958703"/>
      <w:bookmarkStart w:id="220" w:name="_Toc509479530"/>
      <w:bookmarkStart w:id="221" w:name="_Toc17761"/>
      <w:bookmarkStart w:id="222" w:name="_Toc508960153"/>
      <w:bookmarkStart w:id="223" w:name="_Toc30247"/>
      <w:bookmarkStart w:id="224" w:name="_Toc20910"/>
      <w:bookmarkStart w:id="225" w:name="_Toc30277"/>
      <w:bookmarkStart w:id="226" w:name="_Toc509927455"/>
      <w:bookmarkStart w:id="227" w:name="_Toc509844825"/>
      <w:bookmarkStart w:id="228" w:name="_Toc508898066"/>
      <w:bookmarkStart w:id="229" w:name="_Toc510171693"/>
      <w:bookmarkStart w:id="230" w:name="_Toc22970"/>
    </w:p>
    <w:p w14:paraId="6F5B4BD2">
      <w:pPr>
        <w:jc w:val="center"/>
        <w:rPr>
          <w:rFonts w:ascii="宋体" w:hAnsi="宋体"/>
          <w:color w:val="auto"/>
          <w:szCs w:val="21"/>
          <w:highlight w:val="none"/>
        </w:rPr>
      </w:pPr>
      <w:r>
        <w:rPr>
          <w:rFonts w:hint="eastAsia" w:ascii="宋体" w:hAnsi="宋体"/>
          <w:color w:val="auto"/>
          <w:szCs w:val="21"/>
          <w:highlight w:val="none"/>
        </w:rPr>
        <w:t xml:space="preserve">                   日  期：</w:t>
      </w:r>
      <w:bookmarkEnd w:id="219"/>
      <w:bookmarkEnd w:id="220"/>
      <w:bookmarkEnd w:id="221"/>
      <w:bookmarkEnd w:id="222"/>
      <w:bookmarkEnd w:id="223"/>
      <w:bookmarkEnd w:id="224"/>
      <w:bookmarkEnd w:id="225"/>
      <w:bookmarkEnd w:id="226"/>
      <w:bookmarkEnd w:id="227"/>
      <w:bookmarkEnd w:id="228"/>
      <w:bookmarkEnd w:id="229"/>
      <w:bookmarkEnd w:id="230"/>
    </w:p>
    <w:p w14:paraId="4950C5C8">
      <w:pPr>
        <w:pStyle w:val="10"/>
        <w:rPr>
          <w:color w:val="auto"/>
          <w:highlight w:val="none"/>
        </w:rPr>
      </w:pPr>
    </w:p>
    <w:p w14:paraId="51904BF6">
      <w:pPr>
        <w:ind w:firstLine="420" w:firstLineChars="200"/>
        <w:rPr>
          <w:rFonts w:ascii="宋体" w:hAnsi="宋体"/>
          <w:color w:val="auto"/>
          <w:szCs w:val="21"/>
          <w:highlight w:val="none"/>
        </w:rPr>
      </w:pPr>
      <w:bookmarkStart w:id="231" w:name="_Toc508958704"/>
      <w:bookmarkStart w:id="232" w:name="_Toc509844826"/>
      <w:bookmarkStart w:id="233" w:name="_Toc508960154"/>
      <w:bookmarkStart w:id="234" w:name="_Toc509927456"/>
      <w:bookmarkStart w:id="235" w:name="_Toc21053"/>
      <w:bookmarkStart w:id="236" w:name="_Toc5447"/>
      <w:bookmarkStart w:id="237" w:name="_Toc31520"/>
      <w:bookmarkStart w:id="238" w:name="_Toc509479531"/>
      <w:bookmarkStart w:id="239" w:name="_Toc26216"/>
      <w:bookmarkStart w:id="240" w:name="_Toc510171694"/>
      <w:bookmarkStart w:id="241" w:name="_Toc508898067"/>
      <w:bookmarkStart w:id="242" w:name="_Toc28527"/>
      <w:r>
        <w:rPr>
          <w:rFonts w:hint="eastAsia" w:ascii="宋体" w:hAnsi="宋体"/>
          <w:color w:val="auto"/>
          <w:szCs w:val="21"/>
          <w:highlight w:val="none"/>
        </w:rPr>
        <w:t>注：</w:t>
      </w:r>
    </w:p>
    <w:p w14:paraId="21E2E70A">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1"/>
      <w:bookmarkEnd w:id="232"/>
      <w:bookmarkEnd w:id="233"/>
      <w:bookmarkEnd w:id="234"/>
      <w:bookmarkEnd w:id="235"/>
      <w:bookmarkEnd w:id="236"/>
      <w:bookmarkEnd w:id="237"/>
      <w:bookmarkEnd w:id="238"/>
      <w:bookmarkEnd w:id="239"/>
      <w:bookmarkEnd w:id="240"/>
      <w:bookmarkEnd w:id="241"/>
      <w:bookmarkEnd w:id="242"/>
    </w:p>
    <w:p w14:paraId="02626192">
      <w:pPr>
        <w:ind w:firstLine="420" w:firstLineChars="200"/>
        <w:rPr>
          <w:rFonts w:ascii="宋体" w:hAnsi="宋体"/>
          <w:color w:val="auto"/>
          <w:szCs w:val="21"/>
          <w:highlight w:val="none"/>
        </w:rPr>
      </w:pPr>
      <w:bookmarkStart w:id="243" w:name="_Toc508960155"/>
      <w:bookmarkStart w:id="244" w:name="_Toc24848"/>
      <w:bookmarkStart w:id="245" w:name="_Toc509479532"/>
      <w:bookmarkStart w:id="246" w:name="_Toc14653"/>
      <w:bookmarkStart w:id="247" w:name="_Toc509927457"/>
      <w:bookmarkStart w:id="248" w:name="_Toc508898068"/>
      <w:bookmarkStart w:id="249" w:name="_Toc28126"/>
      <w:bookmarkStart w:id="250" w:name="_Toc9148"/>
      <w:bookmarkStart w:id="251" w:name="_Toc508958705"/>
      <w:bookmarkStart w:id="252" w:name="_Toc509844827"/>
      <w:bookmarkStart w:id="253" w:name="_Toc510171695"/>
      <w:bookmarkStart w:id="254"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3"/>
      <w:bookmarkEnd w:id="244"/>
      <w:bookmarkEnd w:id="245"/>
      <w:bookmarkEnd w:id="246"/>
      <w:bookmarkEnd w:id="247"/>
      <w:bookmarkEnd w:id="248"/>
      <w:bookmarkEnd w:id="249"/>
      <w:bookmarkEnd w:id="250"/>
      <w:bookmarkEnd w:id="251"/>
      <w:bookmarkEnd w:id="252"/>
      <w:bookmarkEnd w:id="253"/>
      <w:bookmarkEnd w:id="254"/>
    </w:p>
    <w:p w14:paraId="50A91B4B">
      <w:pPr>
        <w:ind w:firstLine="420" w:firstLineChars="200"/>
        <w:rPr>
          <w:rFonts w:ascii="宋体" w:hAnsi="宋体"/>
          <w:color w:val="auto"/>
          <w:szCs w:val="21"/>
          <w:highlight w:val="none"/>
        </w:rPr>
      </w:pPr>
      <w:bookmarkStart w:id="255" w:name="_Toc28686"/>
      <w:bookmarkStart w:id="256" w:name="_Toc22981"/>
      <w:bookmarkStart w:id="257" w:name="_Toc509479533"/>
      <w:bookmarkStart w:id="258" w:name="_Toc508960156"/>
      <w:bookmarkStart w:id="259" w:name="_Toc28044"/>
      <w:bookmarkStart w:id="260" w:name="_Toc508958706"/>
      <w:bookmarkStart w:id="261" w:name="_Toc508898069"/>
      <w:bookmarkStart w:id="262" w:name="_Toc509844828"/>
      <w:bookmarkStart w:id="263" w:name="_Toc7858"/>
      <w:bookmarkStart w:id="264" w:name="_Toc510171696"/>
      <w:bookmarkStart w:id="265" w:name="_Toc9837"/>
      <w:bookmarkStart w:id="266" w:name="_Toc5099274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5"/>
      <w:bookmarkEnd w:id="256"/>
      <w:bookmarkEnd w:id="257"/>
      <w:bookmarkEnd w:id="258"/>
      <w:bookmarkEnd w:id="259"/>
      <w:bookmarkEnd w:id="260"/>
      <w:bookmarkEnd w:id="261"/>
      <w:bookmarkEnd w:id="262"/>
      <w:bookmarkEnd w:id="263"/>
      <w:bookmarkEnd w:id="264"/>
      <w:bookmarkEnd w:id="265"/>
      <w:bookmarkEnd w:id="266"/>
    </w:p>
    <w:p w14:paraId="48F4CFD5">
      <w:pPr>
        <w:ind w:firstLine="420" w:firstLineChars="200"/>
        <w:rPr>
          <w:rFonts w:ascii="宋体" w:hAnsi="宋体"/>
          <w:color w:val="auto"/>
          <w:szCs w:val="21"/>
          <w:highlight w:val="none"/>
        </w:rPr>
      </w:pPr>
      <w:bookmarkStart w:id="267" w:name="_Toc509927459"/>
      <w:bookmarkStart w:id="268" w:name="_Toc508960157"/>
      <w:bookmarkStart w:id="269" w:name="_Toc18843"/>
      <w:bookmarkStart w:id="270" w:name="_Toc508958707"/>
      <w:bookmarkStart w:id="271" w:name="_Toc510171697"/>
      <w:bookmarkStart w:id="272" w:name="_Toc5289"/>
      <w:bookmarkStart w:id="273" w:name="_Toc508898070"/>
      <w:bookmarkStart w:id="274" w:name="_Toc509844829"/>
      <w:bookmarkStart w:id="275" w:name="_Toc509479534"/>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67"/>
      <w:bookmarkEnd w:id="268"/>
      <w:bookmarkEnd w:id="269"/>
      <w:bookmarkEnd w:id="270"/>
      <w:bookmarkEnd w:id="271"/>
      <w:bookmarkEnd w:id="272"/>
      <w:bookmarkEnd w:id="273"/>
      <w:bookmarkEnd w:id="274"/>
      <w:bookmarkEnd w:id="275"/>
    </w:p>
    <w:p w14:paraId="66311000">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F5C4E23">
      <w:pPr>
        <w:adjustRightInd/>
        <w:snapToGrid/>
        <w:spacing w:line="276" w:lineRule="auto"/>
        <w:rPr>
          <w:color w:val="auto"/>
          <w:highlight w:val="none"/>
        </w:rPr>
      </w:pPr>
      <w:r>
        <w:rPr>
          <w:rFonts w:hint="eastAsia" w:ascii="宋体" w:hAnsi="宋体"/>
          <w:bCs/>
          <w:color w:val="auto"/>
          <w:szCs w:val="21"/>
          <w:highlight w:val="none"/>
        </w:rPr>
        <w:br w:type="page"/>
      </w:r>
    </w:p>
    <w:p w14:paraId="2ADECA1B">
      <w:pPr>
        <w:pStyle w:val="5"/>
        <w:jc w:val="center"/>
        <w:outlineLvl w:val="1"/>
        <w:rPr>
          <w:color w:val="auto"/>
          <w:highlight w:val="none"/>
        </w:rPr>
      </w:pPr>
      <w:bookmarkStart w:id="276" w:name="_Toc16797"/>
      <w:bookmarkStart w:id="277" w:name="_Toc23948"/>
      <w:r>
        <w:rPr>
          <w:rFonts w:hint="eastAsia"/>
          <w:color w:val="auto"/>
          <w:highlight w:val="none"/>
        </w:rPr>
        <w:t>第二章商务文件</w:t>
      </w:r>
      <w:bookmarkEnd w:id="276"/>
      <w:bookmarkEnd w:id="277"/>
    </w:p>
    <w:bookmarkEnd w:id="206"/>
    <w:p w14:paraId="60468EA5">
      <w:pPr>
        <w:pStyle w:val="5"/>
        <w:jc w:val="center"/>
        <w:rPr>
          <w:color w:val="auto"/>
          <w:highlight w:val="none"/>
        </w:rPr>
      </w:pPr>
      <w:bookmarkStart w:id="278" w:name="_Toc23787"/>
      <w:bookmarkStart w:id="279" w:name="_Toc31063"/>
      <w:r>
        <w:rPr>
          <w:rFonts w:hint="eastAsia"/>
          <w:color w:val="auto"/>
          <w:highlight w:val="none"/>
        </w:rPr>
        <w:t>一、投标函</w:t>
      </w:r>
      <w:bookmarkEnd w:id="278"/>
      <w:bookmarkEnd w:id="279"/>
    </w:p>
    <w:p w14:paraId="69123825">
      <w:pPr>
        <w:rPr>
          <w:rFonts w:ascii="宋体" w:hAnsi="宋体"/>
          <w:color w:val="auto"/>
          <w:szCs w:val="21"/>
          <w:highlight w:val="none"/>
        </w:rPr>
      </w:pPr>
      <w:r>
        <w:rPr>
          <w:rFonts w:hint="eastAsia" w:ascii="宋体" w:hAnsi="宋体"/>
          <w:color w:val="auto"/>
          <w:szCs w:val="21"/>
          <w:highlight w:val="none"/>
        </w:rPr>
        <w:t>致广东政通招标有限公司：</w:t>
      </w:r>
    </w:p>
    <w:p w14:paraId="12D39A78">
      <w:pPr>
        <w:rPr>
          <w:rFonts w:ascii="宋体" w:hAnsi="宋体"/>
          <w:color w:val="auto"/>
          <w:szCs w:val="21"/>
          <w:highlight w:val="none"/>
        </w:rPr>
      </w:pPr>
    </w:p>
    <w:p w14:paraId="353CD127">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0817452">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5978C4DA">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37680541">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42551F8B">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6E219E85">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22EC2FBC">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21C35E38">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49D89FDF">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45AFF0C7">
      <w:pPr>
        <w:rPr>
          <w:rFonts w:ascii="宋体" w:hAnsi="宋体"/>
          <w:color w:val="auto"/>
          <w:szCs w:val="21"/>
          <w:highlight w:val="none"/>
        </w:rPr>
      </w:pPr>
    </w:p>
    <w:p w14:paraId="303FD963">
      <w:pPr>
        <w:rPr>
          <w:rFonts w:ascii="宋体" w:hAnsi="宋体"/>
          <w:color w:val="auto"/>
          <w:szCs w:val="21"/>
          <w:highlight w:val="none"/>
        </w:rPr>
      </w:pPr>
      <w:r>
        <w:rPr>
          <w:rFonts w:hint="eastAsia" w:ascii="宋体" w:hAnsi="宋体"/>
          <w:color w:val="auto"/>
          <w:szCs w:val="21"/>
          <w:highlight w:val="none"/>
        </w:rPr>
        <w:t>地址：　　　　　　　　　　　　　　　</w:t>
      </w:r>
    </w:p>
    <w:p w14:paraId="0010A039">
      <w:pPr>
        <w:rPr>
          <w:rFonts w:ascii="宋体" w:hAnsi="宋体"/>
          <w:color w:val="auto"/>
          <w:szCs w:val="21"/>
          <w:highlight w:val="none"/>
        </w:rPr>
      </w:pPr>
      <w:r>
        <w:rPr>
          <w:rFonts w:hint="eastAsia" w:ascii="宋体" w:hAnsi="宋体"/>
          <w:color w:val="auto"/>
          <w:szCs w:val="21"/>
          <w:highlight w:val="none"/>
        </w:rPr>
        <w:t>邮箱：　　　</w:t>
      </w:r>
    </w:p>
    <w:p w14:paraId="5C0B0856">
      <w:pPr>
        <w:rPr>
          <w:rFonts w:ascii="宋体" w:hAnsi="宋体"/>
          <w:color w:val="auto"/>
          <w:szCs w:val="21"/>
          <w:highlight w:val="none"/>
        </w:rPr>
      </w:pPr>
      <w:r>
        <w:rPr>
          <w:rFonts w:hint="eastAsia" w:ascii="宋体" w:hAnsi="宋体"/>
          <w:color w:val="auto"/>
          <w:szCs w:val="21"/>
          <w:highlight w:val="none"/>
        </w:rPr>
        <w:t>电话/移动电话：　　　　　　　　　　　　　　　</w:t>
      </w:r>
    </w:p>
    <w:p w14:paraId="14D3E63C">
      <w:pPr>
        <w:rPr>
          <w:rFonts w:ascii="宋体" w:hAnsi="宋体"/>
          <w:color w:val="auto"/>
          <w:szCs w:val="21"/>
          <w:highlight w:val="none"/>
        </w:rPr>
      </w:pPr>
      <w:r>
        <w:rPr>
          <w:rFonts w:hint="eastAsia" w:ascii="宋体" w:hAnsi="宋体"/>
          <w:color w:val="auto"/>
          <w:szCs w:val="21"/>
          <w:highlight w:val="none"/>
        </w:rPr>
        <w:t xml:space="preserve">投标人代表签字：                    </w:t>
      </w:r>
    </w:p>
    <w:p w14:paraId="7E5AE956">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185FE90F">
      <w:pPr>
        <w:rPr>
          <w:rFonts w:ascii="宋体" w:hAnsi="宋体"/>
          <w:color w:val="auto"/>
          <w:szCs w:val="21"/>
          <w:highlight w:val="none"/>
        </w:rPr>
      </w:pPr>
      <w:r>
        <w:rPr>
          <w:rFonts w:hint="eastAsia" w:ascii="宋体" w:hAnsi="宋体"/>
          <w:color w:val="auto"/>
          <w:szCs w:val="21"/>
          <w:highlight w:val="none"/>
        </w:rPr>
        <w:t>日期：</w:t>
      </w:r>
    </w:p>
    <w:p w14:paraId="7399D1BA">
      <w:pPr>
        <w:adjustRightInd/>
        <w:snapToGrid/>
        <w:spacing w:line="276" w:lineRule="auto"/>
        <w:rPr>
          <w:color w:val="auto"/>
          <w:highlight w:val="none"/>
        </w:rPr>
      </w:pPr>
      <w:r>
        <w:rPr>
          <w:color w:val="auto"/>
          <w:highlight w:val="none"/>
        </w:rPr>
        <w:br w:type="page"/>
      </w:r>
    </w:p>
    <w:p w14:paraId="1EA33CAB">
      <w:pPr>
        <w:pStyle w:val="5"/>
        <w:jc w:val="center"/>
        <w:rPr>
          <w:color w:val="auto"/>
          <w:highlight w:val="none"/>
        </w:rPr>
      </w:pPr>
      <w:bookmarkStart w:id="280" w:name="_Toc15719"/>
      <w:bookmarkStart w:id="281" w:name="_Toc5611"/>
      <w:r>
        <w:rPr>
          <w:rFonts w:hint="eastAsia"/>
          <w:color w:val="auto"/>
          <w:highlight w:val="none"/>
        </w:rPr>
        <w:t>二、资格申明函</w:t>
      </w:r>
      <w:bookmarkEnd w:id="280"/>
      <w:bookmarkEnd w:id="281"/>
    </w:p>
    <w:p w14:paraId="4A2AB3F6">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76F07B1">
      <w:pPr>
        <w:ind w:firstLine="420" w:firstLineChars="200"/>
        <w:rPr>
          <w:rFonts w:ascii="宋体" w:hAnsi="宋体"/>
          <w:color w:val="auto"/>
          <w:szCs w:val="21"/>
          <w:highlight w:val="none"/>
        </w:rPr>
      </w:pPr>
    </w:p>
    <w:p w14:paraId="50B10C86">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36B288ED">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06C55B8A">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00AA237B">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0EAF39B2">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15E3EBF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2DE3A865">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1CCB93E7">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797060CE">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3AC4B364">
      <w:pPr>
        <w:pStyle w:val="43"/>
        <w:spacing w:line="500" w:lineRule="atLeast"/>
        <w:ind w:firstLine="3517" w:firstLineChars="1675"/>
        <w:rPr>
          <w:rFonts w:ascii="宋体" w:eastAsia="宋体"/>
          <w:color w:val="auto"/>
          <w:sz w:val="21"/>
          <w:szCs w:val="21"/>
          <w:highlight w:val="none"/>
        </w:rPr>
      </w:pPr>
    </w:p>
    <w:p w14:paraId="64261831">
      <w:pPr>
        <w:pStyle w:val="43"/>
        <w:spacing w:line="500" w:lineRule="atLeast"/>
        <w:ind w:firstLine="3517" w:firstLineChars="1675"/>
        <w:rPr>
          <w:rFonts w:ascii="宋体" w:eastAsia="宋体"/>
          <w:color w:val="auto"/>
          <w:sz w:val="21"/>
          <w:szCs w:val="21"/>
          <w:highlight w:val="none"/>
        </w:rPr>
      </w:pPr>
    </w:p>
    <w:p w14:paraId="2C9C5F03">
      <w:pPr>
        <w:ind w:firstLine="420" w:firstLineChars="200"/>
        <w:rPr>
          <w:color w:val="auto"/>
          <w:highlight w:val="none"/>
        </w:rPr>
      </w:pPr>
      <w:r>
        <w:rPr>
          <w:rFonts w:hint="eastAsia"/>
          <w:color w:val="auto"/>
          <w:highlight w:val="none"/>
        </w:rPr>
        <w:t>投标人名称（加盖公章）：</w:t>
      </w:r>
    </w:p>
    <w:p w14:paraId="0F05D324">
      <w:pPr>
        <w:ind w:firstLine="420" w:firstLineChars="200"/>
        <w:rPr>
          <w:color w:val="auto"/>
          <w:highlight w:val="none"/>
        </w:rPr>
      </w:pPr>
      <w:r>
        <w:rPr>
          <w:rFonts w:hint="eastAsia"/>
          <w:color w:val="auto"/>
          <w:highlight w:val="none"/>
        </w:rPr>
        <w:t>法定代表人签字（签名或盖私章）：</w:t>
      </w:r>
    </w:p>
    <w:p w14:paraId="356B2628">
      <w:pPr>
        <w:ind w:firstLine="420" w:firstLineChars="200"/>
        <w:rPr>
          <w:color w:val="auto"/>
          <w:highlight w:val="none"/>
        </w:rPr>
      </w:pPr>
      <w:r>
        <w:rPr>
          <w:rFonts w:hint="eastAsia"/>
          <w:color w:val="auto"/>
          <w:highlight w:val="none"/>
        </w:rPr>
        <w:t>日     期：</w:t>
      </w:r>
    </w:p>
    <w:p w14:paraId="63FEA682">
      <w:pPr>
        <w:jc w:val="both"/>
        <w:rPr>
          <w:rFonts w:ascii="宋体" w:hAnsi="宋体"/>
          <w:color w:val="auto"/>
          <w:szCs w:val="21"/>
          <w:highlight w:val="none"/>
        </w:rPr>
      </w:pPr>
    </w:p>
    <w:p w14:paraId="1CDFA391">
      <w:pPr>
        <w:pStyle w:val="10"/>
        <w:rPr>
          <w:color w:val="auto"/>
          <w:sz w:val="21"/>
          <w:szCs w:val="21"/>
          <w:highlight w:val="none"/>
        </w:rPr>
      </w:pPr>
    </w:p>
    <w:p w14:paraId="42029ED0">
      <w:pPr>
        <w:rPr>
          <w:rFonts w:ascii="宋体" w:hAnsi="宋体"/>
          <w:color w:val="auto"/>
          <w:szCs w:val="21"/>
          <w:highlight w:val="none"/>
        </w:rPr>
      </w:pPr>
    </w:p>
    <w:p w14:paraId="11ABDBAC">
      <w:pPr>
        <w:pStyle w:val="10"/>
        <w:rPr>
          <w:color w:val="auto"/>
          <w:sz w:val="21"/>
          <w:szCs w:val="21"/>
          <w:highlight w:val="none"/>
        </w:rPr>
      </w:pPr>
    </w:p>
    <w:p w14:paraId="4B29D5B3">
      <w:pPr>
        <w:rPr>
          <w:rFonts w:ascii="宋体" w:hAnsi="宋体"/>
          <w:color w:val="auto"/>
          <w:szCs w:val="21"/>
          <w:highlight w:val="none"/>
        </w:rPr>
      </w:pPr>
    </w:p>
    <w:p w14:paraId="4EE59C17">
      <w:pPr>
        <w:pStyle w:val="10"/>
        <w:rPr>
          <w:color w:val="auto"/>
          <w:sz w:val="21"/>
          <w:szCs w:val="21"/>
          <w:highlight w:val="none"/>
        </w:rPr>
      </w:pPr>
    </w:p>
    <w:p w14:paraId="20F8A7A9">
      <w:pPr>
        <w:rPr>
          <w:rFonts w:ascii="宋体" w:hAnsi="宋体"/>
          <w:color w:val="auto"/>
          <w:szCs w:val="21"/>
          <w:highlight w:val="none"/>
        </w:rPr>
      </w:pPr>
    </w:p>
    <w:p w14:paraId="68DBCD82">
      <w:pPr>
        <w:pStyle w:val="10"/>
        <w:rPr>
          <w:color w:val="auto"/>
          <w:highlight w:val="none"/>
        </w:rPr>
      </w:pPr>
    </w:p>
    <w:p w14:paraId="7F0E639A">
      <w:pPr>
        <w:rPr>
          <w:color w:val="auto"/>
          <w:highlight w:val="none"/>
        </w:rPr>
      </w:pPr>
      <w:bookmarkStart w:id="282" w:name="_Toc16412"/>
    </w:p>
    <w:p w14:paraId="15F11A99">
      <w:pPr>
        <w:pStyle w:val="5"/>
        <w:jc w:val="center"/>
        <w:rPr>
          <w:color w:val="auto"/>
          <w:highlight w:val="none"/>
        </w:rPr>
      </w:pPr>
      <w:bookmarkStart w:id="283" w:name="_Toc10583"/>
      <w:bookmarkStart w:id="284" w:name="_Toc21273"/>
      <w:r>
        <w:rPr>
          <w:rFonts w:hint="eastAsia"/>
          <w:color w:val="auto"/>
          <w:highlight w:val="none"/>
        </w:rPr>
        <w:t>三、在参与政府采购活动前三年未有重大违法记录、没有不良信用记录的声明函</w:t>
      </w:r>
      <w:bookmarkEnd w:id="283"/>
      <w:bookmarkEnd w:id="284"/>
    </w:p>
    <w:p w14:paraId="60F264AC">
      <w:pPr>
        <w:ind w:firstLine="420" w:firstLineChars="200"/>
        <w:rPr>
          <w:rFonts w:ascii="宋体" w:hAnsi="宋体" w:cs="宋体"/>
          <w:color w:val="auto"/>
          <w:szCs w:val="21"/>
          <w:highlight w:val="none"/>
        </w:rPr>
      </w:pPr>
    </w:p>
    <w:p w14:paraId="1DAF355E">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3175FFF7">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6A8E12DA">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59E9CFE8">
      <w:pPr>
        <w:ind w:firstLine="420" w:firstLineChars="200"/>
        <w:rPr>
          <w:rFonts w:ascii="宋体" w:hAnsi="宋体" w:cs="宋体"/>
          <w:color w:val="auto"/>
          <w:szCs w:val="21"/>
          <w:highlight w:val="none"/>
        </w:rPr>
      </w:pPr>
    </w:p>
    <w:p w14:paraId="15F92768">
      <w:pPr>
        <w:rPr>
          <w:rFonts w:ascii="宋体" w:hAnsi="宋体" w:cs="宋体"/>
          <w:color w:val="auto"/>
          <w:szCs w:val="21"/>
          <w:highlight w:val="none"/>
        </w:rPr>
      </w:pPr>
    </w:p>
    <w:p w14:paraId="0A5C1666">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FBB08DB">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491F6D54">
      <w:pPr>
        <w:adjustRightInd/>
        <w:snapToGrid/>
        <w:spacing w:line="276" w:lineRule="auto"/>
        <w:rPr>
          <w:color w:val="auto"/>
          <w:highlight w:val="none"/>
        </w:rPr>
      </w:pPr>
      <w:r>
        <w:rPr>
          <w:rFonts w:ascii="楷体_GB2312" w:eastAsia="楷体_GB2312"/>
          <w:color w:val="auto"/>
          <w:sz w:val="24"/>
          <w:highlight w:val="none"/>
        </w:rPr>
        <w:br w:type="page"/>
      </w:r>
      <w:bookmarkEnd w:id="282"/>
    </w:p>
    <w:p w14:paraId="0092410E">
      <w:pPr>
        <w:pStyle w:val="5"/>
        <w:jc w:val="center"/>
        <w:rPr>
          <w:color w:val="auto"/>
          <w:highlight w:val="none"/>
        </w:rPr>
      </w:pPr>
      <w:bookmarkStart w:id="285" w:name="_Toc22090"/>
      <w:bookmarkStart w:id="286" w:name="_Toc13243"/>
      <w:r>
        <w:rPr>
          <w:rFonts w:hint="eastAsia"/>
          <w:color w:val="auto"/>
          <w:highlight w:val="none"/>
        </w:rPr>
        <w:t>四、法定代表人证明书</w:t>
      </w:r>
      <w:bookmarkEnd w:id="285"/>
      <w:bookmarkEnd w:id="286"/>
    </w:p>
    <w:p w14:paraId="59C06FF7">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C9AE68A">
      <w:pPr>
        <w:pStyle w:val="43"/>
        <w:spacing w:line="420" w:lineRule="atLeast"/>
        <w:ind w:firstLine="433"/>
        <w:rPr>
          <w:rFonts w:ascii="宋体" w:eastAsia="宋体"/>
          <w:color w:val="auto"/>
          <w:sz w:val="21"/>
          <w:szCs w:val="21"/>
          <w:highlight w:val="none"/>
        </w:rPr>
      </w:pPr>
    </w:p>
    <w:p w14:paraId="31481964">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2D0BAD13">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5D823141">
      <w:pPr>
        <w:pStyle w:val="43"/>
        <w:spacing w:line="500" w:lineRule="atLeast"/>
        <w:ind w:firstLine="3517" w:firstLineChars="1675"/>
        <w:rPr>
          <w:rFonts w:ascii="宋体" w:eastAsia="宋体"/>
          <w:color w:val="auto"/>
          <w:sz w:val="21"/>
          <w:szCs w:val="21"/>
          <w:highlight w:val="none"/>
        </w:rPr>
      </w:pPr>
    </w:p>
    <w:p w14:paraId="46D6FC17">
      <w:pPr>
        <w:ind w:firstLine="420" w:firstLineChars="200"/>
        <w:rPr>
          <w:color w:val="auto"/>
          <w:highlight w:val="none"/>
        </w:rPr>
      </w:pPr>
      <w:r>
        <w:rPr>
          <w:rFonts w:hint="eastAsia"/>
          <w:color w:val="auto"/>
          <w:highlight w:val="none"/>
        </w:rPr>
        <w:t>投标人名称（加盖公章）：</w:t>
      </w:r>
    </w:p>
    <w:p w14:paraId="171EF2FB">
      <w:pPr>
        <w:ind w:firstLine="420" w:firstLineChars="200"/>
        <w:rPr>
          <w:color w:val="auto"/>
          <w:highlight w:val="none"/>
        </w:rPr>
      </w:pPr>
      <w:r>
        <w:rPr>
          <w:rFonts w:hint="eastAsia"/>
          <w:color w:val="auto"/>
          <w:highlight w:val="none"/>
        </w:rPr>
        <w:t>法定代表人（签名或盖私章）：</w:t>
      </w:r>
    </w:p>
    <w:p w14:paraId="589CAE04">
      <w:pPr>
        <w:ind w:firstLine="420" w:firstLineChars="200"/>
        <w:rPr>
          <w:color w:val="auto"/>
          <w:highlight w:val="none"/>
        </w:rPr>
      </w:pPr>
      <w:r>
        <w:rPr>
          <w:rFonts w:hint="eastAsia"/>
          <w:color w:val="auto"/>
          <w:highlight w:val="none"/>
        </w:rPr>
        <w:t>联系方式：</w:t>
      </w:r>
    </w:p>
    <w:p w14:paraId="2463FB38">
      <w:pPr>
        <w:ind w:firstLine="420" w:firstLineChars="200"/>
        <w:rPr>
          <w:color w:val="auto"/>
          <w:highlight w:val="none"/>
        </w:rPr>
      </w:pPr>
      <w:r>
        <w:rPr>
          <w:rFonts w:hint="eastAsia"/>
          <w:color w:val="auto"/>
          <w:highlight w:val="none"/>
        </w:rPr>
        <w:t>身份证号码：</w:t>
      </w:r>
    </w:p>
    <w:p w14:paraId="49155D19">
      <w:pPr>
        <w:ind w:firstLine="420" w:firstLineChars="200"/>
        <w:rPr>
          <w:color w:val="auto"/>
          <w:highlight w:val="none"/>
        </w:rPr>
      </w:pPr>
      <w:r>
        <w:rPr>
          <w:rFonts w:hint="eastAsia"/>
          <w:color w:val="auto"/>
          <w:highlight w:val="none"/>
        </w:rPr>
        <w:t>日     期：</w:t>
      </w:r>
    </w:p>
    <w:p w14:paraId="79DB5156">
      <w:pPr>
        <w:ind w:firstLine="420" w:firstLineChars="200"/>
        <w:rPr>
          <w:rFonts w:ascii="宋体" w:hAnsi="宋体"/>
          <w:color w:val="auto"/>
          <w:szCs w:val="21"/>
          <w:highlight w:val="none"/>
        </w:rPr>
      </w:pPr>
    </w:p>
    <w:p w14:paraId="76BEE11D">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B7F96C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77E7D34">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38B5026E">
      <w:pPr>
        <w:rPr>
          <w:color w:val="auto"/>
          <w:highlight w:val="none"/>
        </w:rPr>
      </w:pPr>
    </w:p>
    <w:p w14:paraId="3ED7FD77">
      <w:pPr>
        <w:adjustRightInd/>
        <w:snapToGrid/>
        <w:spacing w:line="276" w:lineRule="auto"/>
        <w:rPr>
          <w:color w:val="auto"/>
          <w:highlight w:val="none"/>
        </w:rPr>
      </w:pPr>
      <w:r>
        <w:rPr>
          <w:rFonts w:ascii="楷体_GB2312" w:eastAsia="楷体_GB2312"/>
          <w:color w:val="auto"/>
          <w:sz w:val="24"/>
          <w:highlight w:val="none"/>
        </w:rPr>
        <w:br w:type="page"/>
      </w:r>
    </w:p>
    <w:p w14:paraId="54B7DB61">
      <w:pPr>
        <w:pStyle w:val="5"/>
        <w:jc w:val="center"/>
        <w:rPr>
          <w:color w:val="auto"/>
          <w:highlight w:val="none"/>
        </w:rPr>
      </w:pPr>
      <w:bookmarkStart w:id="287" w:name="_Toc5918"/>
      <w:bookmarkStart w:id="288" w:name="_Toc29121"/>
      <w:r>
        <w:rPr>
          <w:rFonts w:hint="eastAsia"/>
          <w:color w:val="auto"/>
          <w:highlight w:val="none"/>
        </w:rPr>
        <w:t>五、法定代表人授权书</w:t>
      </w:r>
      <w:bookmarkEnd w:id="287"/>
      <w:bookmarkEnd w:id="288"/>
    </w:p>
    <w:p w14:paraId="4A6E645B">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F5619EC">
      <w:pPr>
        <w:pStyle w:val="43"/>
        <w:spacing w:line="420" w:lineRule="atLeast"/>
        <w:ind w:firstLine="433"/>
        <w:rPr>
          <w:rFonts w:ascii="宋体" w:eastAsia="宋体"/>
          <w:color w:val="auto"/>
          <w:sz w:val="21"/>
          <w:szCs w:val="21"/>
          <w:highlight w:val="none"/>
        </w:rPr>
      </w:pPr>
    </w:p>
    <w:p w14:paraId="3BBF2550">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5280FDFA">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AF759CE">
      <w:pPr>
        <w:pStyle w:val="43"/>
        <w:spacing w:line="500" w:lineRule="atLeast"/>
        <w:ind w:firstLine="3517" w:firstLineChars="1675"/>
        <w:rPr>
          <w:rFonts w:ascii="宋体" w:eastAsia="宋体"/>
          <w:color w:val="auto"/>
          <w:sz w:val="21"/>
          <w:szCs w:val="21"/>
          <w:highlight w:val="none"/>
        </w:rPr>
      </w:pPr>
    </w:p>
    <w:p w14:paraId="5974CDF0">
      <w:pPr>
        <w:ind w:firstLine="420" w:firstLineChars="200"/>
        <w:rPr>
          <w:color w:val="auto"/>
          <w:highlight w:val="none"/>
        </w:rPr>
      </w:pPr>
      <w:r>
        <w:rPr>
          <w:rFonts w:hint="eastAsia"/>
          <w:color w:val="auto"/>
          <w:highlight w:val="none"/>
        </w:rPr>
        <w:t>投标人名称（加盖公章）：</w:t>
      </w:r>
    </w:p>
    <w:p w14:paraId="638D8008">
      <w:pPr>
        <w:ind w:firstLine="420" w:firstLineChars="200"/>
        <w:rPr>
          <w:color w:val="auto"/>
          <w:highlight w:val="none"/>
        </w:rPr>
      </w:pPr>
      <w:r>
        <w:rPr>
          <w:rFonts w:hint="eastAsia"/>
          <w:color w:val="auto"/>
          <w:highlight w:val="none"/>
        </w:rPr>
        <w:t>法定代表人签字（签名或盖私章）：</w:t>
      </w:r>
    </w:p>
    <w:p w14:paraId="59808047">
      <w:pPr>
        <w:ind w:firstLine="420" w:firstLineChars="200"/>
        <w:rPr>
          <w:color w:val="auto"/>
          <w:highlight w:val="none"/>
        </w:rPr>
      </w:pPr>
      <w:r>
        <w:rPr>
          <w:rFonts w:hint="eastAsia"/>
          <w:color w:val="auto"/>
          <w:highlight w:val="none"/>
        </w:rPr>
        <w:t>被授权人签字：</w:t>
      </w:r>
    </w:p>
    <w:p w14:paraId="4586B361">
      <w:pPr>
        <w:ind w:firstLine="420" w:firstLineChars="200"/>
        <w:rPr>
          <w:color w:val="auto"/>
          <w:highlight w:val="none"/>
        </w:rPr>
      </w:pPr>
      <w:r>
        <w:rPr>
          <w:rFonts w:hint="eastAsia"/>
          <w:color w:val="auto"/>
          <w:highlight w:val="none"/>
        </w:rPr>
        <w:t xml:space="preserve">联系方式： </w:t>
      </w:r>
    </w:p>
    <w:p w14:paraId="3875C514">
      <w:pPr>
        <w:ind w:firstLine="420" w:firstLineChars="200"/>
        <w:rPr>
          <w:color w:val="auto"/>
          <w:highlight w:val="none"/>
        </w:rPr>
      </w:pPr>
      <w:r>
        <w:rPr>
          <w:rFonts w:hint="eastAsia"/>
          <w:color w:val="auto"/>
          <w:highlight w:val="none"/>
        </w:rPr>
        <w:t xml:space="preserve">邮箱：                          </w:t>
      </w:r>
    </w:p>
    <w:p w14:paraId="5F93622F">
      <w:pPr>
        <w:ind w:firstLine="420" w:firstLineChars="200"/>
        <w:rPr>
          <w:color w:val="auto"/>
          <w:highlight w:val="none"/>
        </w:rPr>
      </w:pPr>
      <w:r>
        <w:rPr>
          <w:rFonts w:hint="eastAsia"/>
          <w:color w:val="auto"/>
          <w:highlight w:val="none"/>
        </w:rPr>
        <w:t>日     期：</w:t>
      </w:r>
    </w:p>
    <w:p w14:paraId="372443F9">
      <w:pPr>
        <w:pStyle w:val="43"/>
        <w:spacing w:line="460" w:lineRule="exact"/>
        <w:ind w:firstLine="433"/>
        <w:rPr>
          <w:rFonts w:ascii="宋体" w:eastAsia="宋体"/>
          <w:color w:val="auto"/>
          <w:sz w:val="21"/>
          <w:szCs w:val="21"/>
          <w:highlight w:val="none"/>
        </w:rPr>
      </w:pPr>
    </w:p>
    <w:p w14:paraId="4570F8F9">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489581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61517865">
            <w:pPr>
              <w:adjustRightInd/>
              <w:snapToGrid/>
              <w:spacing w:line="276" w:lineRule="auto"/>
              <w:rPr>
                <w:rFonts w:ascii="宋体"/>
                <w:color w:val="auto"/>
                <w:sz w:val="22"/>
                <w:highlight w:val="none"/>
              </w:rPr>
            </w:pPr>
            <w:bookmarkStart w:id="28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33E471A0">
      <w:pPr>
        <w:adjustRightInd/>
        <w:snapToGrid/>
        <w:spacing w:line="276" w:lineRule="auto"/>
        <w:rPr>
          <w:color w:val="auto"/>
          <w:highlight w:val="none"/>
        </w:rPr>
      </w:pPr>
    </w:p>
    <w:p w14:paraId="4757F360">
      <w:pPr>
        <w:jc w:val="center"/>
        <w:rPr>
          <w:rFonts w:ascii="宋体"/>
          <w:color w:val="auto"/>
          <w:szCs w:val="21"/>
          <w:highlight w:val="none"/>
        </w:rPr>
      </w:pPr>
    </w:p>
    <w:p w14:paraId="383E807C">
      <w:pPr>
        <w:jc w:val="center"/>
        <w:rPr>
          <w:rFonts w:ascii="宋体"/>
          <w:color w:val="auto"/>
          <w:szCs w:val="21"/>
          <w:highlight w:val="none"/>
        </w:rPr>
      </w:pPr>
      <w:r>
        <w:rPr>
          <w:rFonts w:hint="eastAsia" w:ascii="宋体"/>
          <w:color w:val="auto"/>
          <w:szCs w:val="21"/>
          <w:highlight w:val="none"/>
        </w:rPr>
        <w:br w:type="page"/>
      </w:r>
    </w:p>
    <w:p w14:paraId="5C784C95">
      <w:pPr>
        <w:pStyle w:val="5"/>
        <w:jc w:val="center"/>
        <w:rPr>
          <w:color w:val="auto"/>
          <w:highlight w:val="none"/>
        </w:rPr>
      </w:pPr>
      <w:bookmarkStart w:id="290" w:name="_Toc24013"/>
      <w:bookmarkStart w:id="291" w:name="_Toc28825"/>
      <w:r>
        <w:rPr>
          <w:rFonts w:hint="eastAsia"/>
          <w:color w:val="auto"/>
          <w:highlight w:val="none"/>
        </w:rPr>
        <w:t>六、投标人基本情况说明</w:t>
      </w:r>
      <w:bookmarkEnd w:id="290"/>
      <w:bookmarkEnd w:id="291"/>
    </w:p>
    <w:p w14:paraId="78A09047">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01281A4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420ABB9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39DA598">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7444117C">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72BE45EB">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4E8B6B9E">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420581EE">
      <w:pPr>
        <w:rPr>
          <w:rFonts w:ascii="宋体" w:hAnsi="宋体" w:cs="宋体"/>
          <w:color w:val="auto"/>
          <w:szCs w:val="21"/>
          <w:highlight w:val="none"/>
        </w:rPr>
      </w:pPr>
      <w:r>
        <w:rPr>
          <w:rFonts w:hint="eastAsia" w:ascii="宋体" w:hAnsi="宋体" w:cs="宋体"/>
          <w:color w:val="auto"/>
          <w:szCs w:val="21"/>
          <w:highlight w:val="none"/>
        </w:rPr>
        <w:t>7、投标人简介:</w:t>
      </w:r>
    </w:p>
    <w:p w14:paraId="0CB7B100">
      <w:pPr>
        <w:rPr>
          <w:rFonts w:ascii="宋体" w:hAnsi="宋体" w:cs="宋体"/>
          <w:b/>
          <w:color w:val="auto"/>
          <w:szCs w:val="21"/>
          <w:highlight w:val="none"/>
        </w:rPr>
      </w:pPr>
    </w:p>
    <w:p w14:paraId="547DBD38">
      <w:pPr>
        <w:pStyle w:val="10"/>
        <w:rPr>
          <w:b/>
          <w:color w:val="auto"/>
          <w:sz w:val="21"/>
          <w:szCs w:val="21"/>
          <w:highlight w:val="none"/>
        </w:rPr>
      </w:pPr>
    </w:p>
    <w:p w14:paraId="3EFB65AA">
      <w:pPr>
        <w:rPr>
          <w:color w:val="auto"/>
          <w:highlight w:val="none"/>
        </w:rPr>
      </w:pPr>
    </w:p>
    <w:p w14:paraId="52C48881">
      <w:pPr>
        <w:rPr>
          <w:rFonts w:ascii="宋体" w:hAnsi="宋体" w:cs="宋体"/>
          <w:b/>
          <w:color w:val="auto"/>
          <w:szCs w:val="21"/>
          <w:highlight w:val="none"/>
        </w:rPr>
      </w:pPr>
    </w:p>
    <w:p w14:paraId="0A06686C">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62E23BA">
      <w:pPr>
        <w:rPr>
          <w:rFonts w:ascii="宋体" w:hAnsi="宋体" w:cs="宋体"/>
          <w:color w:val="auto"/>
          <w:szCs w:val="21"/>
          <w:highlight w:val="none"/>
        </w:rPr>
      </w:pPr>
      <w:r>
        <w:rPr>
          <w:rFonts w:hint="eastAsia" w:ascii="宋体" w:hAnsi="宋体" w:cs="宋体"/>
          <w:color w:val="auto"/>
          <w:szCs w:val="21"/>
          <w:highlight w:val="none"/>
        </w:rPr>
        <w:t>日      期：</w:t>
      </w:r>
    </w:p>
    <w:p w14:paraId="726A81BF">
      <w:pPr>
        <w:pStyle w:val="43"/>
        <w:spacing w:line="500" w:lineRule="atLeast"/>
        <w:ind w:firstLine="433"/>
        <w:rPr>
          <w:rFonts w:ascii="宋体" w:eastAsia="宋体"/>
          <w:color w:val="auto"/>
          <w:sz w:val="21"/>
          <w:szCs w:val="21"/>
          <w:highlight w:val="none"/>
        </w:rPr>
      </w:pPr>
    </w:p>
    <w:p w14:paraId="749820F0">
      <w:pPr>
        <w:pStyle w:val="43"/>
        <w:spacing w:line="500" w:lineRule="atLeast"/>
        <w:ind w:firstLine="433"/>
        <w:rPr>
          <w:rFonts w:ascii="宋体" w:eastAsia="宋体"/>
          <w:color w:val="auto"/>
          <w:sz w:val="21"/>
          <w:szCs w:val="21"/>
          <w:highlight w:val="none"/>
        </w:rPr>
      </w:pPr>
    </w:p>
    <w:p w14:paraId="509BC504">
      <w:pPr>
        <w:pStyle w:val="43"/>
        <w:spacing w:line="500" w:lineRule="atLeast"/>
        <w:ind w:firstLine="433"/>
        <w:rPr>
          <w:rFonts w:ascii="宋体" w:eastAsia="宋体"/>
          <w:color w:val="auto"/>
          <w:sz w:val="21"/>
          <w:szCs w:val="21"/>
          <w:highlight w:val="none"/>
        </w:rPr>
      </w:pPr>
    </w:p>
    <w:p w14:paraId="516C92F4">
      <w:pPr>
        <w:pStyle w:val="43"/>
        <w:spacing w:line="500" w:lineRule="atLeast"/>
        <w:ind w:firstLine="433"/>
        <w:rPr>
          <w:rFonts w:ascii="宋体" w:eastAsia="宋体"/>
          <w:color w:val="auto"/>
          <w:sz w:val="21"/>
          <w:szCs w:val="21"/>
          <w:highlight w:val="none"/>
        </w:rPr>
      </w:pPr>
    </w:p>
    <w:p w14:paraId="6C353F07">
      <w:pPr>
        <w:pStyle w:val="43"/>
        <w:spacing w:line="500" w:lineRule="atLeast"/>
        <w:ind w:firstLine="433"/>
        <w:rPr>
          <w:rFonts w:ascii="宋体" w:eastAsia="宋体"/>
          <w:color w:val="auto"/>
          <w:sz w:val="21"/>
          <w:szCs w:val="21"/>
          <w:highlight w:val="none"/>
        </w:rPr>
      </w:pPr>
    </w:p>
    <w:p w14:paraId="6056BC74">
      <w:pPr>
        <w:pStyle w:val="43"/>
        <w:spacing w:line="500" w:lineRule="atLeast"/>
        <w:ind w:firstLine="433"/>
        <w:rPr>
          <w:rFonts w:ascii="宋体" w:eastAsia="宋体"/>
          <w:color w:val="auto"/>
          <w:sz w:val="21"/>
          <w:szCs w:val="21"/>
          <w:highlight w:val="none"/>
        </w:rPr>
      </w:pPr>
    </w:p>
    <w:p w14:paraId="7FC92EA6">
      <w:pPr>
        <w:pStyle w:val="43"/>
        <w:spacing w:line="500" w:lineRule="atLeast"/>
        <w:ind w:firstLine="433"/>
        <w:rPr>
          <w:rFonts w:ascii="宋体" w:eastAsia="宋体"/>
          <w:color w:val="auto"/>
          <w:sz w:val="21"/>
          <w:szCs w:val="21"/>
          <w:highlight w:val="none"/>
        </w:rPr>
      </w:pPr>
    </w:p>
    <w:p w14:paraId="32426921">
      <w:pPr>
        <w:pStyle w:val="43"/>
        <w:spacing w:line="500" w:lineRule="atLeast"/>
        <w:ind w:firstLine="433"/>
        <w:rPr>
          <w:rFonts w:ascii="宋体" w:eastAsia="宋体"/>
          <w:color w:val="auto"/>
          <w:sz w:val="21"/>
          <w:szCs w:val="21"/>
          <w:highlight w:val="none"/>
        </w:rPr>
      </w:pPr>
    </w:p>
    <w:p w14:paraId="7A05E0E5">
      <w:pPr>
        <w:pStyle w:val="43"/>
        <w:spacing w:line="500" w:lineRule="atLeast"/>
        <w:ind w:firstLine="433"/>
        <w:rPr>
          <w:rFonts w:ascii="宋体" w:eastAsia="宋体"/>
          <w:color w:val="auto"/>
          <w:sz w:val="21"/>
          <w:szCs w:val="21"/>
          <w:highlight w:val="none"/>
        </w:rPr>
      </w:pPr>
    </w:p>
    <w:p w14:paraId="7FDF0549">
      <w:pPr>
        <w:pStyle w:val="43"/>
        <w:spacing w:line="500" w:lineRule="atLeast"/>
        <w:ind w:firstLine="433"/>
        <w:rPr>
          <w:rFonts w:ascii="宋体" w:eastAsia="宋体"/>
          <w:color w:val="auto"/>
          <w:sz w:val="21"/>
          <w:szCs w:val="21"/>
          <w:highlight w:val="none"/>
        </w:rPr>
      </w:pPr>
    </w:p>
    <w:p w14:paraId="39D6610D">
      <w:pPr>
        <w:pStyle w:val="43"/>
        <w:spacing w:line="500" w:lineRule="atLeast"/>
        <w:ind w:firstLine="433"/>
        <w:rPr>
          <w:rFonts w:ascii="宋体" w:eastAsia="宋体"/>
          <w:color w:val="auto"/>
          <w:sz w:val="21"/>
          <w:szCs w:val="21"/>
          <w:highlight w:val="none"/>
        </w:rPr>
      </w:pPr>
    </w:p>
    <w:p w14:paraId="71940934">
      <w:pPr>
        <w:pStyle w:val="43"/>
        <w:spacing w:line="500" w:lineRule="atLeast"/>
        <w:ind w:firstLine="433"/>
        <w:rPr>
          <w:rFonts w:ascii="宋体" w:eastAsia="宋体"/>
          <w:color w:val="auto"/>
          <w:sz w:val="21"/>
          <w:szCs w:val="21"/>
          <w:highlight w:val="none"/>
        </w:rPr>
      </w:pPr>
    </w:p>
    <w:p w14:paraId="00E26520">
      <w:pPr>
        <w:pStyle w:val="43"/>
        <w:spacing w:line="500" w:lineRule="atLeast"/>
        <w:ind w:firstLine="433"/>
        <w:rPr>
          <w:rFonts w:ascii="宋体" w:eastAsia="宋体"/>
          <w:color w:val="auto"/>
          <w:sz w:val="21"/>
          <w:szCs w:val="21"/>
          <w:highlight w:val="none"/>
        </w:rPr>
      </w:pPr>
    </w:p>
    <w:p w14:paraId="41AD5E1D">
      <w:pPr>
        <w:pStyle w:val="5"/>
        <w:jc w:val="center"/>
        <w:rPr>
          <w:color w:val="auto"/>
          <w:highlight w:val="none"/>
        </w:rPr>
      </w:pPr>
      <w:bookmarkStart w:id="292" w:name="_Toc4926"/>
      <w:bookmarkStart w:id="293" w:name="_Toc6084"/>
      <w:bookmarkStart w:id="294" w:name="_Toc24210"/>
      <w:bookmarkStart w:id="295" w:name="_Toc17470"/>
      <w:bookmarkStart w:id="296" w:name="_Toc1511"/>
      <w:bookmarkStart w:id="297" w:name="_Toc5919"/>
      <w:bookmarkStart w:id="298" w:name="_Toc29995"/>
      <w:r>
        <w:rPr>
          <w:rFonts w:hint="eastAsia"/>
          <w:color w:val="auto"/>
          <w:highlight w:val="none"/>
        </w:rPr>
        <w:t>七、营业执照</w:t>
      </w:r>
      <w:bookmarkEnd w:id="292"/>
      <w:bookmarkEnd w:id="293"/>
      <w:bookmarkEnd w:id="294"/>
      <w:bookmarkEnd w:id="295"/>
      <w:bookmarkEnd w:id="296"/>
      <w:bookmarkEnd w:id="297"/>
      <w:bookmarkEnd w:id="298"/>
    </w:p>
    <w:p w14:paraId="20B03C08">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697DDA4B">
      <w:pPr>
        <w:ind w:firstLine="420" w:firstLineChars="200"/>
        <w:rPr>
          <w:color w:val="auto"/>
          <w:highlight w:val="none"/>
        </w:rPr>
      </w:pPr>
      <w:r>
        <w:rPr>
          <w:rFonts w:hint="eastAsia"/>
          <w:color w:val="auto"/>
          <w:highlight w:val="none"/>
        </w:rPr>
        <w:t>供应商应提供相关证明复印件盖公章。</w:t>
      </w:r>
    </w:p>
    <w:p w14:paraId="5342CB47">
      <w:pPr>
        <w:jc w:val="center"/>
        <w:rPr>
          <w:color w:val="auto"/>
          <w:highlight w:val="none"/>
        </w:rPr>
      </w:pPr>
      <w:r>
        <w:rPr>
          <w:rFonts w:hint="eastAsia" w:ascii="黑体" w:eastAsia="黑体"/>
          <w:color w:val="auto"/>
          <w:sz w:val="28"/>
          <w:szCs w:val="28"/>
          <w:highlight w:val="none"/>
        </w:rPr>
        <w:br w:type="page"/>
      </w:r>
    </w:p>
    <w:bookmarkEnd w:id="289"/>
    <w:p w14:paraId="144CBB05">
      <w:pPr>
        <w:pStyle w:val="5"/>
        <w:jc w:val="center"/>
        <w:rPr>
          <w:color w:val="auto"/>
          <w:highlight w:val="none"/>
        </w:rPr>
      </w:pPr>
      <w:bookmarkStart w:id="299" w:name="_Toc29439"/>
      <w:bookmarkStart w:id="300" w:name="_Toc12508"/>
      <w:r>
        <w:rPr>
          <w:rFonts w:hint="eastAsia"/>
          <w:color w:val="auto"/>
          <w:highlight w:val="none"/>
        </w:rPr>
        <w:t>八、特殊资格要求证明文件</w:t>
      </w:r>
      <w:bookmarkEnd w:id="299"/>
      <w:bookmarkEnd w:id="300"/>
    </w:p>
    <w:p w14:paraId="7C672096">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66B9BCF7">
      <w:pPr>
        <w:pStyle w:val="10"/>
        <w:rPr>
          <w:color w:val="auto"/>
          <w:sz w:val="21"/>
          <w:szCs w:val="21"/>
          <w:highlight w:val="none"/>
        </w:rPr>
      </w:pPr>
    </w:p>
    <w:p w14:paraId="1A6C4167">
      <w:pPr>
        <w:rPr>
          <w:rFonts w:ascii="宋体" w:hAnsi="宋体" w:cs="宋体"/>
          <w:color w:val="auto"/>
          <w:szCs w:val="21"/>
          <w:highlight w:val="none"/>
        </w:rPr>
      </w:pPr>
    </w:p>
    <w:p w14:paraId="0DC908D5">
      <w:pPr>
        <w:pStyle w:val="10"/>
        <w:rPr>
          <w:color w:val="auto"/>
          <w:sz w:val="21"/>
          <w:szCs w:val="21"/>
          <w:highlight w:val="none"/>
        </w:rPr>
      </w:pPr>
    </w:p>
    <w:p w14:paraId="732D57E5">
      <w:pPr>
        <w:rPr>
          <w:rFonts w:ascii="宋体" w:hAnsi="宋体" w:cs="宋体"/>
          <w:color w:val="auto"/>
          <w:szCs w:val="21"/>
          <w:highlight w:val="none"/>
        </w:rPr>
      </w:pPr>
    </w:p>
    <w:p w14:paraId="39E2117A">
      <w:pPr>
        <w:pStyle w:val="10"/>
        <w:rPr>
          <w:color w:val="auto"/>
          <w:sz w:val="21"/>
          <w:szCs w:val="21"/>
          <w:highlight w:val="none"/>
        </w:rPr>
      </w:pPr>
    </w:p>
    <w:p w14:paraId="2CE633B1">
      <w:pPr>
        <w:rPr>
          <w:rFonts w:ascii="宋体" w:hAnsi="宋体" w:cs="宋体"/>
          <w:color w:val="auto"/>
          <w:szCs w:val="21"/>
          <w:highlight w:val="none"/>
        </w:rPr>
      </w:pPr>
    </w:p>
    <w:p w14:paraId="3A950278">
      <w:pPr>
        <w:pStyle w:val="10"/>
        <w:rPr>
          <w:color w:val="auto"/>
          <w:sz w:val="21"/>
          <w:szCs w:val="21"/>
          <w:highlight w:val="none"/>
        </w:rPr>
      </w:pPr>
    </w:p>
    <w:p w14:paraId="73C5AD57">
      <w:pPr>
        <w:rPr>
          <w:rFonts w:ascii="宋体" w:hAnsi="宋体" w:cs="宋体"/>
          <w:color w:val="auto"/>
          <w:szCs w:val="21"/>
          <w:highlight w:val="none"/>
        </w:rPr>
      </w:pPr>
    </w:p>
    <w:p w14:paraId="53BCE65C">
      <w:pPr>
        <w:pStyle w:val="10"/>
        <w:rPr>
          <w:color w:val="auto"/>
          <w:sz w:val="21"/>
          <w:szCs w:val="21"/>
          <w:highlight w:val="none"/>
        </w:rPr>
      </w:pPr>
    </w:p>
    <w:p w14:paraId="3D38CFE0">
      <w:pPr>
        <w:rPr>
          <w:rFonts w:ascii="宋体" w:hAnsi="宋体" w:cs="宋体"/>
          <w:color w:val="auto"/>
          <w:szCs w:val="21"/>
          <w:highlight w:val="none"/>
        </w:rPr>
      </w:pPr>
    </w:p>
    <w:p w14:paraId="5D66CE6F">
      <w:pPr>
        <w:pStyle w:val="10"/>
        <w:rPr>
          <w:color w:val="auto"/>
          <w:sz w:val="21"/>
          <w:szCs w:val="21"/>
          <w:highlight w:val="none"/>
        </w:rPr>
      </w:pPr>
    </w:p>
    <w:p w14:paraId="3BD03AC7">
      <w:pPr>
        <w:rPr>
          <w:rFonts w:ascii="宋体" w:hAnsi="宋体" w:cs="宋体"/>
          <w:color w:val="auto"/>
          <w:szCs w:val="21"/>
          <w:highlight w:val="none"/>
        </w:rPr>
      </w:pPr>
    </w:p>
    <w:p w14:paraId="18AC8B03">
      <w:pPr>
        <w:pStyle w:val="10"/>
        <w:rPr>
          <w:color w:val="auto"/>
          <w:sz w:val="21"/>
          <w:szCs w:val="21"/>
          <w:highlight w:val="none"/>
        </w:rPr>
      </w:pPr>
    </w:p>
    <w:p w14:paraId="30BD9170">
      <w:pPr>
        <w:rPr>
          <w:rFonts w:ascii="宋体" w:hAnsi="宋体" w:cs="宋体"/>
          <w:color w:val="auto"/>
          <w:szCs w:val="21"/>
          <w:highlight w:val="none"/>
        </w:rPr>
      </w:pPr>
    </w:p>
    <w:p w14:paraId="15FCCD86">
      <w:pPr>
        <w:pStyle w:val="10"/>
        <w:rPr>
          <w:color w:val="auto"/>
          <w:sz w:val="21"/>
          <w:szCs w:val="21"/>
          <w:highlight w:val="none"/>
        </w:rPr>
      </w:pPr>
    </w:p>
    <w:p w14:paraId="501F15ED">
      <w:pPr>
        <w:rPr>
          <w:rFonts w:ascii="宋体" w:hAnsi="宋体" w:cs="宋体"/>
          <w:color w:val="auto"/>
          <w:szCs w:val="21"/>
          <w:highlight w:val="none"/>
        </w:rPr>
      </w:pPr>
    </w:p>
    <w:p w14:paraId="0C4B8CB5">
      <w:pPr>
        <w:pStyle w:val="10"/>
        <w:rPr>
          <w:color w:val="auto"/>
          <w:sz w:val="21"/>
          <w:szCs w:val="21"/>
          <w:highlight w:val="none"/>
        </w:rPr>
      </w:pPr>
    </w:p>
    <w:p w14:paraId="1EFF366B">
      <w:pPr>
        <w:rPr>
          <w:rFonts w:ascii="宋体" w:hAnsi="宋体" w:cs="宋体"/>
          <w:color w:val="auto"/>
          <w:szCs w:val="21"/>
          <w:highlight w:val="none"/>
        </w:rPr>
      </w:pPr>
    </w:p>
    <w:p w14:paraId="03DD92D5">
      <w:pPr>
        <w:pStyle w:val="10"/>
        <w:rPr>
          <w:color w:val="auto"/>
          <w:sz w:val="21"/>
          <w:szCs w:val="21"/>
          <w:highlight w:val="none"/>
        </w:rPr>
      </w:pPr>
    </w:p>
    <w:p w14:paraId="2C849D40">
      <w:pPr>
        <w:rPr>
          <w:rFonts w:ascii="宋体" w:hAnsi="宋体" w:cs="宋体"/>
          <w:color w:val="auto"/>
          <w:szCs w:val="21"/>
          <w:highlight w:val="none"/>
        </w:rPr>
      </w:pPr>
    </w:p>
    <w:p w14:paraId="03A33C58">
      <w:pPr>
        <w:pStyle w:val="10"/>
        <w:rPr>
          <w:color w:val="auto"/>
          <w:sz w:val="21"/>
          <w:szCs w:val="21"/>
          <w:highlight w:val="none"/>
        </w:rPr>
      </w:pPr>
    </w:p>
    <w:p w14:paraId="0C64A223">
      <w:pPr>
        <w:rPr>
          <w:rFonts w:ascii="宋体" w:hAnsi="宋体" w:cs="宋体"/>
          <w:color w:val="auto"/>
          <w:szCs w:val="21"/>
          <w:highlight w:val="none"/>
        </w:rPr>
      </w:pPr>
    </w:p>
    <w:p w14:paraId="27048F6B">
      <w:pPr>
        <w:pStyle w:val="10"/>
        <w:rPr>
          <w:color w:val="auto"/>
          <w:sz w:val="21"/>
          <w:szCs w:val="21"/>
          <w:highlight w:val="none"/>
        </w:rPr>
      </w:pPr>
    </w:p>
    <w:p w14:paraId="1BD300EC">
      <w:pPr>
        <w:rPr>
          <w:rFonts w:ascii="宋体" w:hAnsi="宋体" w:cs="宋体"/>
          <w:color w:val="auto"/>
          <w:szCs w:val="21"/>
          <w:highlight w:val="none"/>
        </w:rPr>
      </w:pPr>
    </w:p>
    <w:p w14:paraId="3C8AA201">
      <w:pPr>
        <w:pStyle w:val="10"/>
        <w:rPr>
          <w:color w:val="auto"/>
          <w:highlight w:val="none"/>
        </w:rPr>
      </w:pPr>
    </w:p>
    <w:p w14:paraId="36905158">
      <w:pPr>
        <w:pStyle w:val="5"/>
        <w:jc w:val="center"/>
        <w:rPr>
          <w:color w:val="auto"/>
          <w:highlight w:val="none"/>
        </w:rPr>
      </w:pPr>
      <w:bookmarkStart w:id="301" w:name="_Toc3258"/>
      <w:bookmarkStart w:id="302" w:name="_Toc23341"/>
      <w:r>
        <w:rPr>
          <w:rFonts w:hint="eastAsia"/>
          <w:color w:val="auto"/>
          <w:highlight w:val="none"/>
        </w:rPr>
        <w:t>九、承诺书</w:t>
      </w:r>
      <w:bookmarkEnd w:id="301"/>
      <w:bookmarkEnd w:id="302"/>
    </w:p>
    <w:p w14:paraId="7EAD4187">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06B5B6C">
      <w:pPr>
        <w:jc w:val="center"/>
        <w:rPr>
          <w:rFonts w:ascii="宋体" w:hAnsi="宋体" w:cs="宋体"/>
          <w:color w:val="auto"/>
          <w:szCs w:val="21"/>
          <w:highlight w:val="none"/>
        </w:rPr>
      </w:pPr>
    </w:p>
    <w:p w14:paraId="353C6194">
      <w:pPr>
        <w:pStyle w:val="43"/>
        <w:spacing w:line="420" w:lineRule="exact"/>
        <w:ind w:firstLine="433"/>
        <w:rPr>
          <w:rFonts w:ascii="宋体" w:eastAsia="宋体" w:cs="宋体"/>
          <w:color w:val="auto"/>
          <w:sz w:val="21"/>
          <w:szCs w:val="21"/>
          <w:highlight w:val="none"/>
        </w:rPr>
      </w:pPr>
      <w:bookmarkStart w:id="30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3"/>
      <w:r>
        <w:rPr>
          <w:rFonts w:hint="eastAsia" w:ascii="宋体" w:eastAsia="宋体" w:cs="宋体"/>
          <w:color w:val="auto"/>
          <w:sz w:val="21"/>
          <w:szCs w:val="21"/>
          <w:highlight w:val="none"/>
        </w:rPr>
        <w:cr/>
      </w:r>
    </w:p>
    <w:p w14:paraId="2D637001">
      <w:pPr>
        <w:pStyle w:val="43"/>
        <w:spacing w:line="420" w:lineRule="exact"/>
        <w:ind w:firstLine="433"/>
        <w:rPr>
          <w:rFonts w:ascii="宋体" w:eastAsia="宋体" w:cs="宋体"/>
          <w:color w:val="auto"/>
          <w:sz w:val="21"/>
          <w:szCs w:val="21"/>
          <w:highlight w:val="none"/>
        </w:rPr>
      </w:pPr>
    </w:p>
    <w:p w14:paraId="0017D5DF">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74C7855">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78BCBDF2">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2FBEA441">
      <w:pPr>
        <w:pStyle w:val="10"/>
        <w:rPr>
          <w:color w:val="auto"/>
          <w:sz w:val="21"/>
          <w:szCs w:val="21"/>
          <w:highlight w:val="none"/>
        </w:rPr>
      </w:pPr>
    </w:p>
    <w:p w14:paraId="164A99F4">
      <w:pPr>
        <w:rPr>
          <w:rFonts w:ascii="宋体" w:hAnsi="宋体" w:cs="宋体"/>
          <w:color w:val="auto"/>
          <w:szCs w:val="21"/>
          <w:highlight w:val="none"/>
        </w:rPr>
      </w:pPr>
    </w:p>
    <w:p w14:paraId="380E06E5">
      <w:pPr>
        <w:pStyle w:val="10"/>
        <w:rPr>
          <w:color w:val="auto"/>
          <w:sz w:val="21"/>
          <w:szCs w:val="21"/>
          <w:highlight w:val="none"/>
        </w:rPr>
      </w:pPr>
    </w:p>
    <w:p w14:paraId="3AB7C0E1">
      <w:pPr>
        <w:rPr>
          <w:rFonts w:ascii="宋体" w:hAnsi="宋体" w:cs="宋体"/>
          <w:color w:val="auto"/>
          <w:szCs w:val="21"/>
          <w:highlight w:val="none"/>
        </w:rPr>
      </w:pPr>
    </w:p>
    <w:p w14:paraId="18CB9D50">
      <w:pPr>
        <w:pStyle w:val="10"/>
        <w:rPr>
          <w:color w:val="auto"/>
          <w:sz w:val="21"/>
          <w:szCs w:val="21"/>
          <w:highlight w:val="none"/>
        </w:rPr>
      </w:pPr>
    </w:p>
    <w:p w14:paraId="371D7F84">
      <w:pPr>
        <w:rPr>
          <w:rFonts w:ascii="宋体" w:hAnsi="宋体" w:cs="宋体"/>
          <w:color w:val="auto"/>
          <w:szCs w:val="21"/>
          <w:highlight w:val="none"/>
        </w:rPr>
      </w:pPr>
    </w:p>
    <w:p w14:paraId="470ED762">
      <w:pPr>
        <w:pStyle w:val="10"/>
        <w:rPr>
          <w:color w:val="auto"/>
          <w:sz w:val="21"/>
          <w:szCs w:val="21"/>
          <w:highlight w:val="none"/>
        </w:rPr>
      </w:pPr>
    </w:p>
    <w:p w14:paraId="60E5E742">
      <w:pPr>
        <w:rPr>
          <w:rFonts w:ascii="宋体" w:hAnsi="宋体" w:cs="宋体"/>
          <w:color w:val="auto"/>
          <w:szCs w:val="21"/>
          <w:highlight w:val="none"/>
        </w:rPr>
      </w:pPr>
    </w:p>
    <w:p w14:paraId="68093380">
      <w:pPr>
        <w:pStyle w:val="10"/>
        <w:rPr>
          <w:color w:val="auto"/>
          <w:sz w:val="21"/>
          <w:szCs w:val="21"/>
          <w:highlight w:val="none"/>
        </w:rPr>
      </w:pPr>
    </w:p>
    <w:p w14:paraId="638DE5C1">
      <w:pPr>
        <w:rPr>
          <w:rFonts w:ascii="宋体" w:hAnsi="宋体" w:cs="宋体"/>
          <w:color w:val="auto"/>
          <w:szCs w:val="21"/>
          <w:highlight w:val="none"/>
        </w:rPr>
      </w:pPr>
    </w:p>
    <w:p w14:paraId="2CA27395">
      <w:pPr>
        <w:pStyle w:val="10"/>
        <w:rPr>
          <w:color w:val="auto"/>
          <w:sz w:val="21"/>
          <w:szCs w:val="21"/>
          <w:highlight w:val="none"/>
        </w:rPr>
      </w:pPr>
    </w:p>
    <w:p w14:paraId="49DBDC5D">
      <w:pPr>
        <w:rPr>
          <w:rFonts w:ascii="宋体" w:hAnsi="宋体" w:cs="宋体"/>
          <w:color w:val="auto"/>
          <w:szCs w:val="21"/>
          <w:highlight w:val="none"/>
        </w:rPr>
      </w:pPr>
    </w:p>
    <w:p w14:paraId="2612ACB6">
      <w:pPr>
        <w:pStyle w:val="10"/>
        <w:rPr>
          <w:color w:val="auto"/>
          <w:sz w:val="21"/>
          <w:szCs w:val="21"/>
          <w:highlight w:val="none"/>
        </w:rPr>
      </w:pPr>
    </w:p>
    <w:p w14:paraId="20DBD58C">
      <w:pPr>
        <w:rPr>
          <w:rFonts w:ascii="宋体" w:hAnsi="宋体" w:cs="宋体"/>
          <w:color w:val="auto"/>
          <w:szCs w:val="21"/>
          <w:highlight w:val="none"/>
        </w:rPr>
      </w:pPr>
    </w:p>
    <w:p w14:paraId="6BAF7323">
      <w:pPr>
        <w:pStyle w:val="10"/>
        <w:rPr>
          <w:color w:val="auto"/>
          <w:sz w:val="21"/>
          <w:szCs w:val="21"/>
          <w:highlight w:val="none"/>
        </w:rPr>
      </w:pPr>
    </w:p>
    <w:p w14:paraId="1567687F">
      <w:pPr>
        <w:rPr>
          <w:rFonts w:ascii="宋体" w:hAnsi="宋体" w:cs="宋体"/>
          <w:color w:val="auto"/>
          <w:szCs w:val="21"/>
          <w:highlight w:val="none"/>
        </w:rPr>
      </w:pPr>
    </w:p>
    <w:p w14:paraId="2DD06F1B">
      <w:pPr>
        <w:rPr>
          <w:color w:val="auto"/>
          <w:highlight w:val="none"/>
        </w:rPr>
      </w:pPr>
    </w:p>
    <w:p w14:paraId="72D16791">
      <w:pPr>
        <w:pStyle w:val="5"/>
        <w:jc w:val="center"/>
        <w:rPr>
          <w:color w:val="auto"/>
          <w:highlight w:val="none"/>
        </w:rPr>
      </w:pPr>
      <w:bookmarkStart w:id="304" w:name="_Toc13653"/>
      <w:bookmarkStart w:id="305" w:name="_Toc19160"/>
      <w:r>
        <w:rPr>
          <w:rFonts w:hint="eastAsia"/>
          <w:color w:val="auto"/>
          <w:highlight w:val="none"/>
        </w:rPr>
        <w:t>十、招标代理服务费承诺书</w:t>
      </w:r>
      <w:bookmarkEnd w:id="304"/>
      <w:bookmarkEnd w:id="305"/>
    </w:p>
    <w:p w14:paraId="144878F0">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1C2C0DD">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0992F73B">
      <w:pPr>
        <w:ind w:firstLine="420" w:firstLineChars="200"/>
        <w:rPr>
          <w:color w:val="auto"/>
          <w:highlight w:val="none"/>
        </w:rPr>
      </w:pPr>
      <w:r>
        <w:rPr>
          <w:rFonts w:hint="eastAsia"/>
          <w:color w:val="auto"/>
          <w:highlight w:val="none"/>
        </w:rPr>
        <w:t>特此承诺。</w:t>
      </w:r>
    </w:p>
    <w:p w14:paraId="16BE0E91">
      <w:pPr>
        <w:jc w:val="center"/>
        <w:rPr>
          <w:rFonts w:ascii="宋体" w:hAnsi="宋体" w:cs="宋体"/>
          <w:color w:val="auto"/>
          <w:szCs w:val="21"/>
          <w:highlight w:val="none"/>
        </w:rPr>
      </w:pPr>
    </w:p>
    <w:p w14:paraId="4B7EB14C">
      <w:pPr>
        <w:rPr>
          <w:color w:val="auto"/>
          <w:highlight w:val="none"/>
        </w:rPr>
      </w:pPr>
    </w:p>
    <w:p w14:paraId="36D4AB0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2D18CD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64094AE">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1B74404">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5DD1DA15">
      <w:pPr>
        <w:pStyle w:val="5"/>
        <w:jc w:val="center"/>
        <w:rPr>
          <w:color w:val="auto"/>
          <w:highlight w:val="none"/>
        </w:rPr>
      </w:pPr>
      <w:bookmarkStart w:id="306" w:name="_Toc1479"/>
      <w:bookmarkStart w:id="307" w:name="_Toc1975"/>
      <w:r>
        <w:rPr>
          <w:rFonts w:hint="eastAsia"/>
          <w:color w:val="auto"/>
          <w:highlight w:val="none"/>
        </w:rPr>
        <w:t>十一、商务条款偏离表</w:t>
      </w:r>
      <w:bookmarkEnd w:id="306"/>
      <w:bookmarkEnd w:id="307"/>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1A0CA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4E0BD798">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6291D3C5">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0CE095C8">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5CE7A412">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7ACC08C2">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4574AC0F">
            <w:pPr>
              <w:jc w:val="center"/>
              <w:rPr>
                <w:rFonts w:ascii="宋体" w:hAnsi="宋体"/>
                <w:color w:val="auto"/>
                <w:szCs w:val="21"/>
                <w:highlight w:val="none"/>
              </w:rPr>
            </w:pPr>
            <w:r>
              <w:rPr>
                <w:rFonts w:hint="eastAsia" w:ascii="宋体" w:hAnsi="宋体"/>
                <w:color w:val="auto"/>
                <w:szCs w:val="21"/>
                <w:highlight w:val="none"/>
              </w:rPr>
              <w:t>说明</w:t>
            </w:r>
          </w:p>
        </w:tc>
      </w:tr>
      <w:tr w14:paraId="3462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465EF25">
            <w:pPr>
              <w:jc w:val="center"/>
              <w:rPr>
                <w:rFonts w:ascii="宋体" w:hAnsi="宋体"/>
                <w:color w:val="auto"/>
                <w:szCs w:val="21"/>
                <w:highlight w:val="none"/>
              </w:rPr>
            </w:pPr>
          </w:p>
        </w:tc>
        <w:tc>
          <w:tcPr>
            <w:tcW w:w="1590" w:type="dxa"/>
            <w:tcBorders>
              <w:tl2br w:val="nil"/>
              <w:tr2bl w:val="nil"/>
            </w:tcBorders>
            <w:vAlign w:val="center"/>
          </w:tcPr>
          <w:p w14:paraId="7A7993AC">
            <w:pPr>
              <w:jc w:val="center"/>
              <w:rPr>
                <w:rFonts w:ascii="宋体" w:hAnsi="宋体"/>
                <w:color w:val="auto"/>
                <w:szCs w:val="21"/>
                <w:highlight w:val="none"/>
              </w:rPr>
            </w:pPr>
          </w:p>
        </w:tc>
        <w:tc>
          <w:tcPr>
            <w:tcW w:w="1755" w:type="dxa"/>
            <w:tcBorders>
              <w:tl2br w:val="nil"/>
              <w:tr2bl w:val="nil"/>
            </w:tcBorders>
            <w:vAlign w:val="center"/>
          </w:tcPr>
          <w:p w14:paraId="02E79B30">
            <w:pPr>
              <w:jc w:val="center"/>
              <w:rPr>
                <w:rFonts w:ascii="宋体" w:hAnsi="宋体"/>
                <w:color w:val="auto"/>
                <w:szCs w:val="21"/>
                <w:highlight w:val="none"/>
              </w:rPr>
            </w:pPr>
          </w:p>
        </w:tc>
        <w:tc>
          <w:tcPr>
            <w:tcW w:w="1920" w:type="dxa"/>
            <w:tcBorders>
              <w:tl2br w:val="nil"/>
              <w:tr2bl w:val="nil"/>
            </w:tcBorders>
            <w:vAlign w:val="center"/>
          </w:tcPr>
          <w:p w14:paraId="4C867583">
            <w:pPr>
              <w:jc w:val="center"/>
              <w:rPr>
                <w:rFonts w:ascii="宋体" w:hAnsi="宋体"/>
                <w:color w:val="auto"/>
                <w:szCs w:val="21"/>
                <w:highlight w:val="none"/>
              </w:rPr>
            </w:pPr>
          </w:p>
        </w:tc>
        <w:tc>
          <w:tcPr>
            <w:tcW w:w="1412" w:type="dxa"/>
            <w:tcBorders>
              <w:tl2br w:val="nil"/>
              <w:tr2bl w:val="nil"/>
            </w:tcBorders>
            <w:vAlign w:val="center"/>
          </w:tcPr>
          <w:p w14:paraId="67BA3E29">
            <w:pPr>
              <w:jc w:val="center"/>
              <w:rPr>
                <w:rFonts w:ascii="宋体" w:hAnsi="宋体"/>
                <w:color w:val="auto"/>
                <w:szCs w:val="21"/>
                <w:highlight w:val="none"/>
              </w:rPr>
            </w:pPr>
          </w:p>
        </w:tc>
        <w:tc>
          <w:tcPr>
            <w:tcW w:w="867" w:type="dxa"/>
            <w:tcBorders>
              <w:tl2br w:val="nil"/>
              <w:tr2bl w:val="nil"/>
            </w:tcBorders>
            <w:vAlign w:val="center"/>
          </w:tcPr>
          <w:p w14:paraId="2D3A5309">
            <w:pPr>
              <w:jc w:val="center"/>
              <w:rPr>
                <w:rFonts w:ascii="宋体" w:hAnsi="宋体"/>
                <w:color w:val="auto"/>
                <w:szCs w:val="21"/>
                <w:highlight w:val="none"/>
              </w:rPr>
            </w:pPr>
          </w:p>
        </w:tc>
      </w:tr>
      <w:tr w14:paraId="3AF1A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7A38D0">
            <w:pPr>
              <w:jc w:val="center"/>
              <w:rPr>
                <w:rFonts w:ascii="宋体" w:hAnsi="宋体"/>
                <w:color w:val="auto"/>
                <w:szCs w:val="21"/>
                <w:highlight w:val="none"/>
              </w:rPr>
            </w:pPr>
          </w:p>
        </w:tc>
        <w:tc>
          <w:tcPr>
            <w:tcW w:w="1590" w:type="dxa"/>
            <w:tcBorders>
              <w:tl2br w:val="nil"/>
              <w:tr2bl w:val="nil"/>
            </w:tcBorders>
            <w:vAlign w:val="center"/>
          </w:tcPr>
          <w:p w14:paraId="20E138E0">
            <w:pPr>
              <w:jc w:val="center"/>
              <w:rPr>
                <w:rFonts w:ascii="宋体" w:hAnsi="宋体"/>
                <w:color w:val="auto"/>
                <w:szCs w:val="21"/>
                <w:highlight w:val="none"/>
              </w:rPr>
            </w:pPr>
          </w:p>
        </w:tc>
        <w:tc>
          <w:tcPr>
            <w:tcW w:w="1755" w:type="dxa"/>
            <w:tcBorders>
              <w:tl2br w:val="nil"/>
              <w:tr2bl w:val="nil"/>
            </w:tcBorders>
            <w:vAlign w:val="center"/>
          </w:tcPr>
          <w:p w14:paraId="5717E4F5">
            <w:pPr>
              <w:jc w:val="center"/>
              <w:rPr>
                <w:rFonts w:ascii="宋体" w:hAnsi="宋体"/>
                <w:color w:val="auto"/>
                <w:szCs w:val="21"/>
                <w:highlight w:val="none"/>
              </w:rPr>
            </w:pPr>
          </w:p>
        </w:tc>
        <w:tc>
          <w:tcPr>
            <w:tcW w:w="1920" w:type="dxa"/>
            <w:tcBorders>
              <w:tl2br w:val="nil"/>
              <w:tr2bl w:val="nil"/>
            </w:tcBorders>
            <w:vAlign w:val="center"/>
          </w:tcPr>
          <w:p w14:paraId="4FEDAE64">
            <w:pPr>
              <w:jc w:val="center"/>
              <w:rPr>
                <w:rFonts w:ascii="宋体" w:hAnsi="宋体"/>
                <w:color w:val="auto"/>
                <w:szCs w:val="21"/>
                <w:highlight w:val="none"/>
              </w:rPr>
            </w:pPr>
          </w:p>
        </w:tc>
        <w:tc>
          <w:tcPr>
            <w:tcW w:w="1412" w:type="dxa"/>
            <w:tcBorders>
              <w:tl2br w:val="nil"/>
              <w:tr2bl w:val="nil"/>
            </w:tcBorders>
            <w:vAlign w:val="center"/>
          </w:tcPr>
          <w:p w14:paraId="36C50152">
            <w:pPr>
              <w:jc w:val="center"/>
              <w:rPr>
                <w:rFonts w:ascii="宋体" w:hAnsi="宋体"/>
                <w:color w:val="auto"/>
                <w:szCs w:val="21"/>
                <w:highlight w:val="none"/>
              </w:rPr>
            </w:pPr>
          </w:p>
        </w:tc>
        <w:tc>
          <w:tcPr>
            <w:tcW w:w="867" w:type="dxa"/>
            <w:tcBorders>
              <w:tl2br w:val="nil"/>
              <w:tr2bl w:val="nil"/>
            </w:tcBorders>
            <w:vAlign w:val="center"/>
          </w:tcPr>
          <w:p w14:paraId="42C7E33D">
            <w:pPr>
              <w:jc w:val="center"/>
              <w:rPr>
                <w:rFonts w:ascii="宋体" w:hAnsi="宋体"/>
                <w:color w:val="auto"/>
                <w:szCs w:val="21"/>
                <w:highlight w:val="none"/>
              </w:rPr>
            </w:pPr>
          </w:p>
        </w:tc>
      </w:tr>
      <w:tr w14:paraId="3AB4C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6777B58">
            <w:pPr>
              <w:jc w:val="center"/>
              <w:rPr>
                <w:rFonts w:ascii="宋体" w:hAnsi="宋体"/>
                <w:color w:val="auto"/>
                <w:szCs w:val="21"/>
                <w:highlight w:val="none"/>
              </w:rPr>
            </w:pPr>
          </w:p>
        </w:tc>
        <w:tc>
          <w:tcPr>
            <w:tcW w:w="1590" w:type="dxa"/>
            <w:tcBorders>
              <w:tl2br w:val="nil"/>
              <w:tr2bl w:val="nil"/>
            </w:tcBorders>
            <w:vAlign w:val="center"/>
          </w:tcPr>
          <w:p w14:paraId="69F584ED">
            <w:pPr>
              <w:jc w:val="center"/>
              <w:rPr>
                <w:rFonts w:ascii="宋体" w:hAnsi="宋体"/>
                <w:color w:val="auto"/>
                <w:szCs w:val="21"/>
                <w:highlight w:val="none"/>
              </w:rPr>
            </w:pPr>
          </w:p>
        </w:tc>
        <w:tc>
          <w:tcPr>
            <w:tcW w:w="1755" w:type="dxa"/>
            <w:tcBorders>
              <w:tl2br w:val="nil"/>
              <w:tr2bl w:val="nil"/>
            </w:tcBorders>
            <w:vAlign w:val="center"/>
          </w:tcPr>
          <w:p w14:paraId="06D9D5B6">
            <w:pPr>
              <w:jc w:val="center"/>
              <w:rPr>
                <w:rFonts w:ascii="宋体" w:hAnsi="宋体"/>
                <w:color w:val="auto"/>
                <w:szCs w:val="21"/>
                <w:highlight w:val="none"/>
              </w:rPr>
            </w:pPr>
          </w:p>
        </w:tc>
        <w:tc>
          <w:tcPr>
            <w:tcW w:w="1920" w:type="dxa"/>
            <w:tcBorders>
              <w:tl2br w:val="nil"/>
              <w:tr2bl w:val="nil"/>
            </w:tcBorders>
            <w:vAlign w:val="center"/>
          </w:tcPr>
          <w:p w14:paraId="40AD1D1F">
            <w:pPr>
              <w:jc w:val="center"/>
              <w:rPr>
                <w:rFonts w:ascii="宋体" w:hAnsi="宋体"/>
                <w:color w:val="auto"/>
                <w:szCs w:val="21"/>
                <w:highlight w:val="none"/>
              </w:rPr>
            </w:pPr>
          </w:p>
        </w:tc>
        <w:tc>
          <w:tcPr>
            <w:tcW w:w="1412" w:type="dxa"/>
            <w:tcBorders>
              <w:tl2br w:val="nil"/>
              <w:tr2bl w:val="nil"/>
            </w:tcBorders>
            <w:vAlign w:val="center"/>
          </w:tcPr>
          <w:p w14:paraId="565930BF">
            <w:pPr>
              <w:jc w:val="center"/>
              <w:rPr>
                <w:rFonts w:ascii="宋体" w:hAnsi="宋体"/>
                <w:color w:val="auto"/>
                <w:szCs w:val="21"/>
                <w:highlight w:val="none"/>
              </w:rPr>
            </w:pPr>
          </w:p>
        </w:tc>
        <w:tc>
          <w:tcPr>
            <w:tcW w:w="867" w:type="dxa"/>
            <w:tcBorders>
              <w:tl2br w:val="nil"/>
              <w:tr2bl w:val="nil"/>
            </w:tcBorders>
            <w:vAlign w:val="center"/>
          </w:tcPr>
          <w:p w14:paraId="25F0C557">
            <w:pPr>
              <w:jc w:val="center"/>
              <w:rPr>
                <w:rFonts w:ascii="宋体" w:hAnsi="宋体"/>
                <w:color w:val="auto"/>
                <w:szCs w:val="21"/>
                <w:highlight w:val="none"/>
              </w:rPr>
            </w:pPr>
          </w:p>
        </w:tc>
      </w:tr>
      <w:tr w14:paraId="7923A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BF512AA">
            <w:pPr>
              <w:jc w:val="center"/>
              <w:rPr>
                <w:rFonts w:ascii="宋体" w:hAnsi="宋体"/>
                <w:color w:val="auto"/>
                <w:szCs w:val="21"/>
                <w:highlight w:val="none"/>
              </w:rPr>
            </w:pPr>
          </w:p>
        </w:tc>
        <w:tc>
          <w:tcPr>
            <w:tcW w:w="1590" w:type="dxa"/>
            <w:tcBorders>
              <w:tl2br w:val="nil"/>
              <w:tr2bl w:val="nil"/>
            </w:tcBorders>
            <w:vAlign w:val="center"/>
          </w:tcPr>
          <w:p w14:paraId="1E741840">
            <w:pPr>
              <w:jc w:val="center"/>
              <w:rPr>
                <w:rFonts w:ascii="宋体" w:hAnsi="宋体"/>
                <w:color w:val="auto"/>
                <w:szCs w:val="21"/>
                <w:highlight w:val="none"/>
              </w:rPr>
            </w:pPr>
          </w:p>
        </w:tc>
        <w:tc>
          <w:tcPr>
            <w:tcW w:w="1755" w:type="dxa"/>
            <w:tcBorders>
              <w:tl2br w:val="nil"/>
              <w:tr2bl w:val="nil"/>
            </w:tcBorders>
            <w:vAlign w:val="center"/>
          </w:tcPr>
          <w:p w14:paraId="349E3ECF">
            <w:pPr>
              <w:jc w:val="center"/>
              <w:rPr>
                <w:rFonts w:ascii="宋体" w:hAnsi="宋体"/>
                <w:color w:val="auto"/>
                <w:szCs w:val="21"/>
                <w:highlight w:val="none"/>
              </w:rPr>
            </w:pPr>
          </w:p>
        </w:tc>
        <w:tc>
          <w:tcPr>
            <w:tcW w:w="1920" w:type="dxa"/>
            <w:tcBorders>
              <w:tl2br w:val="nil"/>
              <w:tr2bl w:val="nil"/>
            </w:tcBorders>
            <w:vAlign w:val="center"/>
          </w:tcPr>
          <w:p w14:paraId="73031F47">
            <w:pPr>
              <w:jc w:val="center"/>
              <w:rPr>
                <w:rFonts w:ascii="宋体" w:hAnsi="宋体"/>
                <w:color w:val="auto"/>
                <w:szCs w:val="21"/>
                <w:highlight w:val="none"/>
              </w:rPr>
            </w:pPr>
          </w:p>
        </w:tc>
        <w:tc>
          <w:tcPr>
            <w:tcW w:w="1412" w:type="dxa"/>
            <w:tcBorders>
              <w:tl2br w:val="nil"/>
              <w:tr2bl w:val="nil"/>
            </w:tcBorders>
            <w:vAlign w:val="center"/>
          </w:tcPr>
          <w:p w14:paraId="0A859533">
            <w:pPr>
              <w:jc w:val="center"/>
              <w:rPr>
                <w:rFonts w:ascii="宋体" w:hAnsi="宋体"/>
                <w:color w:val="auto"/>
                <w:szCs w:val="21"/>
                <w:highlight w:val="none"/>
              </w:rPr>
            </w:pPr>
          </w:p>
        </w:tc>
        <w:tc>
          <w:tcPr>
            <w:tcW w:w="867" w:type="dxa"/>
            <w:tcBorders>
              <w:tl2br w:val="nil"/>
              <w:tr2bl w:val="nil"/>
            </w:tcBorders>
            <w:vAlign w:val="center"/>
          </w:tcPr>
          <w:p w14:paraId="6D446E2A">
            <w:pPr>
              <w:jc w:val="center"/>
              <w:rPr>
                <w:rFonts w:ascii="宋体" w:hAnsi="宋体"/>
                <w:color w:val="auto"/>
                <w:szCs w:val="21"/>
                <w:highlight w:val="none"/>
              </w:rPr>
            </w:pPr>
          </w:p>
        </w:tc>
      </w:tr>
      <w:tr w14:paraId="532A0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E993D6">
            <w:pPr>
              <w:jc w:val="center"/>
              <w:rPr>
                <w:rFonts w:ascii="宋体" w:hAnsi="宋体"/>
                <w:color w:val="auto"/>
                <w:szCs w:val="21"/>
                <w:highlight w:val="none"/>
              </w:rPr>
            </w:pPr>
          </w:p>
        </w:tc>
        <w:tc>
          <w:tcPr>
            <w:tcW w:w="1590" w:type="dxa"/>
            <w:tcBorders>
              <w:tl2br w:val="nil"/>
              <w:tr2bl w:val="nil"/>
            </w:tcBorders>
            <w:vAlign w:val="center"/>
          </w:tcPr>
          <w:p w14:paraId="4064CB05">
            <w:pPr>
              <w:jc w:val="center"/>
              <w:rPr>
                <w:rFonts w:ascii="宋体" w:hAnsi="宋体"/>
                <w:color w:val="auto"/>
                <w:szCs w:val="21"/>
                <w:highlight w:val="none"/>
              </w:rPr>
            </w:pPr>
          </w:p>
        </w:tc>
        <w:tc>
          <w:tcPr>
            <w:tcW w:w="1755" w:type="dxa"/>
            <w:tcBorders>
              <w:tl2br w:val="nil"/>
              <w:tr2bl w:val="nil"/>
            </w:tcBorders>
            <w:vAlign w:val="center"/>
          </w:tcPr>
          <w:p w14:paraId="3904E41D">
            <w:pPr>
              <w:jc w:val="center"/>
              <w:rPr>
                <w:rFonts w:ascii="宋体" w:hAnsi="宋体"/>
                <w:color w:val="auto"/>
                <w:szCs w:val="21"/>
                <w:highlight w:val="none"/>
              </w:rPr>
            </w:pPr>
          </w:p>
        </w:tc>
        <w:tc>
          <w:tcPr>
            <w:tcW w:w="1920" w:type="dxa"/>
            <w:tcBorders>
              <w:tl2br w:val="nil"/>
              <w:tr2bl w:val="nil"/>
            </w:tcBorders>
            <w:vAlign w:val="center"/>
          </w:tcPr>
          <w:p w14:paraId="4280EE7C">
            <w:pPr>
              <w:jc w:val="center"/>
              <w:rPr>
                <w:rFonts w:ascii="宋体" w:hAnsi="宋体"/>
                <w:color w:val="auto"/>
                <w:szCs w:val="21"/>
                <w:highlight w:val="none"/>
              </w:rPr>
            </w:pPr>
          </w:p>
        </w:tc>
        <w:tc>
          <w:tcPr>
            <w:tcW w:w="1412" w:type="dxa"/>
            <w:tcBorders>
              <w:tl2br w:val="nil"/>
              <w:tr2bl w:val="nil"/>
            </w:tcBorders>
            <w:vAlign w:val="center"/>
          </w:tcPr>
          <w:p w14:paraId="6DC10770">
            <w:pPr>
              <w:jc w:val="center"/>
              <w:rPr>
                <w:rFonts w:ascii="宋体" w:hAnsi="宋体"/>
                <w:color w:val="auto"/>
                <w:szCs w:val="21"/>
                <w:highlight w:val="none"/>
              </w:rPr>
            </w:pPr>
          </w:p>
        </w:tc>
        <w:tc>
          <w:tcPr>
            <w:tcW w:w="867" w:type="dxa"/>
            <w:tcBorders>
              <w:tl2br w:val="nil"/>
              <w:tr2bl w:val="nil"/>
            </w:tcBorders>
            <w:vAlign w:val="center"/>
          </w:tcPr>
          <w:p w14:paraId="51ABD900">
            <w:pPr>
              <w:jc w:val="center"/>
              <w:rPr>
                <w:rFonts w:ascii="宋体" w:hAnsi="宋体"/>
                <w:color w:val="auto"/>
                <w:szCs w:val="21"/>
                <w:highlight w:val="none"/>
              </w:rPr>
            </w:pPr>
          </w:p>
        </w:tc>
      </w:tr>
      <w:tr w14:paraId="1DEC3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85259F1">
            <w:pPr>
              <w:jc w:val="center"/>
              <w:rPr>
                <w:rFonts w:ascii="宋体" w:hAnsi="宋体"/>
                <w:color w:val="auto"/>
                <w:szCs w:val="21"/>
                <w:highlight w:val="none"/>
              </w:rPr>
            </w:pPr>
          </w:p>
        </w:tc>
        <w:tc>
          <w:tcPr>
            <w:tcW w:w="1590" w:type="dxa"/>
            <w:tcBorders>
              <w:tl2br w:val="nil"/>
              <w:tr2bl w:val="nil"/>
            </w:tcBorders>
            <w:vAlign w:val="center"/>
          </w:tcPr>
          <w:p w14:paraId="43C7F8F1">
            <w:pPr>
              <w:jc w:val="center"/>
              <w:rPr>
                <w:rFonts w:ascii="宋体" w:hAnsi="宋体"/>
                <w:color w:val="auto"/>
                <w:szCs w:val="21"/>
                <w:highlight w:val="none"/>
              </w:rPr>
            </w:pPr>
          </w:p>
        </w:tc>
        <w:tc>
          <w:tcPr>
            <w:tcW w:w="1755" w:type="dxa"/>
            <w:tcBorders>
              <w:tl2br w:val="nil"/>
              <w:tr2bl w:val="nil"/>
            </w:tcBorders>
            <w:vAlign w:val="center"/>
          </w:tcPr>
          <w:p w14:paraId="193183F9">
            <w:pPr>
              <w:jc w:val="center"/>
              <w:rPr>
                <w:rFonts w:ascii="宋体" w:hAnsi="宋体"/>
                <w:color w:val="auto"/>
                <w:szCs w:val="21"/>
                <w:highlight w:val="none"/>
              </w:rPr>
            </w:pPr>
          </w:p>
        </w:tc>
        <w:tc>
          <w:tcPr>
            <w:tcW w:w="1920" w:type="dxa"/>
            <w:tcBorders>
              <w:tl2br w:val="nil"/>
              <w:tr2bl w:val="nil"/>
            </w:tcBorders>
            <w:vAlign w:val="center"/>
          </w:tcPr>
          <w:p w14:paraId="00AB9EE0">
            <w:pPr>
              <w:jc w:val="center"/>
              <w:rPr>
                <w:rFonts w:ascii="宋体" w:hAnsi="宋体"/>
                <w:color w:val="auto"/>
                <w:szCs w:val="21"/>
                <w:highlight w:val="none"/>
              </w:rPr>
            </w:pPr>
          </w:p>
        </w:tc>
        <w:tc>
          <w:tcPr>
            <w:tcW w:w="1412" w:type="dxa"/>
            <w:tcBorders>
              <w:tl2br w:val="nil"/>
              <w:tr2bl w:val="nil"/>
            </w:tcBorders>
            <w:vAlign w:val="center"/>
          </w:tcPr>
          <w:p w14:paraId="00D46647">
            <w:pPr>
              <w:jc w:val="center"/>
              <w:rPr>
                <w:rFonts w:ascii="宋体" w:hAnsi="宋体"/>
                <w:color w:val="auto"/>
                <w:szCs w:val="21"/>
                <w:highlight w:val="none"/>
              </w:rPr>
            </w:pPr>
          </w:p>
        </w:tc>
        <w:tc>
          <w:tcPr>
            <w:tcW w:w="867" w:type="dxa"/>
            <w:tcBorders>
              <w:tl2br w:val="nil"/>
              <w:tr2bl w:val="nil"/>
            </w:tcBorders>
            <w:vAlign w:val="center"/>
          </w:tcPr>
          <w:p w14:paraId="2BB70BD0">
            <w:pPr>
              <w:jc w:val="center"/>
              <w:rPr>
                <w:rFonts w:ascii="宋体" w:hAnsi="宋体"/>
                <w:color w:val="auto"/>
                <w:szCs w:val="21"/>
                <w:highlight w:val="none"/>
              </w:rPr>
            </w:pPr>
          </w:p>
        </w:tc>
      </w:tr>
      <w:tr w14:paraId="3EEB8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2DF5D12">
            <w:pPr>
              <w:jc w:val="center"/>
              <w:rPr>
                <w:rFonts w:ascii="宋体" w:hAnsi="宋体"/>
                <w:color w:val="auto"/>
                <w:szCs w:val="21"/>
                <w:highlight w:val="none"/>
              </w:rPr>
            </w:pPr>
          </w:p>
        </w:tc>
        <w:tc>
          <w:tcPr>
            <w:tcW w:w="1590" w:type="dxa"/>
            <w:tcBorders>
              <w:tl2br w:val="nil"/>
              <w:tr2bl w:val="nil"/>
            </w:tcBorders>
            <w:vAlign w:val="center"/>
          </w:tcPr>
          <w:p w14:paraId="164F7E28">
            <w:pPr>
              <w:jc w:val="center"/>
              <w:rPr>
                <w:rFonts w:ascii="宋体" w:hAnsi="宋体"/>
                <w:color w:val="auto"/>
                <w:szCs w:val="21"/>
                <w:highlight w:val="none"/>
              </w:rPr>
            </w:pPr>
          </w:p>
        </w:tc>
        <w:tc>
          <w:tcPr>
            <w:tcW w:w="1755" w:type="dxa"/>
            <w:tcBorders>
              <w:tl2br w:val="nil"/>
              <w:tr2bl w:val="nil"/>
            </w:tcBorders>
            <w:vAlign w:val="center"/>
          </w:tcPr>
          <w:p w14:paraId="7C4DD0E1">
            <w:pPr>
              <w:jc w:val="center"/>
              <w:rPr>
                <w:rFonts w:ascii="宋体" w:hAnsi="宋体"/>
                <w:color w:val="auto"/>
                <w:szCs w:val="21"/>
                <w:highlight w:val="none"/>
              </w:rPr>
            </w:pPr>
          </w:p>
        </w:tc>
        <w:tc>
          <w:tcPr>
            <w:tcW w:w="1920" w:type="dxa"/>
            <w:tcBorders>
              <w:tl2br w:val="nil"/>
              <w:tr2bl w:val="nil"/>
            </w:tcBorders>
            <w:vAlign w:val="center"/>
          </w:tcPr>
          <w:p w14:paraId="5E93A7CB">
            <w:pPr>
              <w:jc w:val="center"/>
              <w:rPr>
                <w:rFonts w:ascii="宋体" w:hAnsi="宋体"/>
                <w:color w:val="auto"/>
                <w:szCs w:val="21"/>
                <w:highlight w:val="none"/>
              </w:rPr>
            </w:pPr>
          </w:p>
        </w:tc>
        <w:tc>
          <w:tcPr>
            <w:tcW w:w="1412" w:type="dxa"/>
            <w:tcBorders>
              <w:tl2br w:val="nil"/>
              <w:tr2bl w:val="nil"/>
            </w:tcBorders>
            <w:vAlign w:val="center"/>
          </w:tcPr>
          <w:p w14:paraId="16D77809">
            <w:pPr>
              <w:jc w:val="center"/>
              <w:rPr>
                <w:rFonts w:ascii="宋体" w:hAnsi="宋体"/>
                <w:color w:val="auto"/>
                <w:szCs w:val="21"/>
                <w:highlight w:val="none"/>
              </w:rPr>
            </w:pPr>
          </w:p>
        </w:tc>
        <w:tc>
          <w:tcPr>
            <w:tcW w:w="867" w:type="dxa"/>
            <w:tcBorders>
              <w:tl2br w:val="nil"/>
              <w:tr2bl w:val="nil"/>
            </w:tcBorders>
            <w:vAlign w:val="center"/>
          </w:tcPr>
          <w:p w14:paraId="1F80A595">
            <w:pPr>
              <w:jc w:val="center"/>
              <w:rPr>
                <w:rFonts w:ascii="宋体" w:hAnsi="宋体"/>
                <w:color w:val="auto"/>
                <w:szCs w:val="21"/>
                <w:highlight w:val="none"/>
              </w:rPr>
            </w:pPr>
          </w:p>
        </w:tc>
      </w:tr>
      <w:tr w14:paraId="4242C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6C40CDB">
            <w:pPr>
              <w:jc w:val="center"/>
              <w:rPr>
                <w:rFonts w:ascii="宋体" w:hAnsi="宋体"/>
                <w:color w:val="auto"/>
                <w:szCs w:val="21"/>
                <w:highlight w:val="none"/>
              </w:rPr>
            </w:pPr>
          </w:p>
        </w:tc>
        <w:tc>
          <w:tcPr>
            <w:tcW w:w="1590" w:type="dxa"/>
            <w:tcBorders>
              <w:tl2br w:val="nil"/>
              <w:tr2bl w:val="nil"/>
            </w:tcBorders>
            <w:vAlign w:val="center"/>
          </w:tcPr>
          <w:p w14:paraId="6E0E9499">
            <w:pPr>
              <w:jc w:val="center"/>
              <w:rPr>
                <w:rFonts w:ascii="宋体" w:hAnsi="宋体"/>
                <w:color w:val="auto"/>
                <w:szCs w:val="21"/>
                <w:highlight w:val="none"/>
              </w:rPr>
            </w:pPr>
          </w:p>
        </w:tc>
        <w:tc>
          <w:tcPr>
            <w:tcW w:w="1755" w:type="dxa"/>
            <w:tcBorders>
              <w:tl2br w:val="nil"/>
              <w:tr2bl w:val="nil"/>
            </w:tcBorders>
            <w:vAlign w:val="center"/>
          </w:tcPr>
          <w:p w14:paraId="2A4D6DC7">
            <w:pPr>
              <w:jc w:val="center"/>
              <w:rPr>
                <w:rFonts w:ascii="宋体" w:hAnsi="宋体"/>
                <w:color w:val="auto"/>
                <w:szCs w:val="21"/>
                <w:highlight w:val="none"/>
              </w:rPr>
            </w:pPr>
          </w:p>
        </w:tc>
        <w:tc>
          <w:tcPr>
            <w:tcW w:w="1920" w:type="dxa"/>
            <w:tcBorders>
              <w:tl2br w:val="nil"/>
              <w:tr2bl w:val="nil"/>
            </w:tcBorders>
            <w:vAlign w:val="center"/>
          </w:tcPr>
          <w:p w14:paraId="63F92D76">
            <w:pPr>
              <w:jc w:val="center"/>
              <w:rPr>
                <w:rFonts w:ascii="宋体" w:hAnsi="宋体"/>
                <w:color w:val="auto"/>
                <w:szCs w:val="21"/>
                <w:highlight w:val="none"/>
              </w:rPr>
            </w:pPr>
          </w:p>
        </w:tc>
        <w:tc>
          <w:tcPr>
            <w:tcW w:w="1412" w:type="dxa"/>
            <w:tcBorders>
              <w:tl2br w:val="nil"/>
              <w:tr2bl w:val="nil"/>
            </w:tcBorders>
            <w:vAlign w:val="center"/>
          </w:tcPr>
          <w:p w14:paraId="42A6C27D">
            <w:pPr>
              <w:jc w:val="center"/>
              <w:rPr>
                <w:rFonts w:ascii="宋体" w:hAnsi="宋体"/>
                <w:color w:val="auto"/>
                <w:szCs w:val="21"/>
                <w:highlight w:val="none"/>
              </w:rPr>
            </w:pPr>
          </w:p>
        </w:tc>
        <w:tc>
          <w:tcPr>
            <w:tcW w:w="867" w:type="dxa"/>
            <w:tcBorders>
              <w:tl2br w:val="nil"/>
              <w:tr2bl w:val="nil"/>
            </w:tcBorders>
            <w:vAlign w:val="center"/>
          </w:tcPr>
          <w:p w14:paraId="2650D3EC">
            <w:pPr>
              <w:jc w:val="center"/>
              <w:rPr>
                <w:rFonts w:ascii="宋体" w:hAnsi="宋体"/>
                <w:color w:val="auto"/>
                <w:szCs w:val="21"/>
                <w:highlight w:val="none"/>
              </w:rPr>
            </w:pPr>
          </w:p>
        </w:tc>
      </w:tr>
      <w:tr w14:paraId="6BA9C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66C5EE4">
            <w:pPr>
              <w:jc w:val="center"/>
              <w:rPr>
                <w:rFonts w:ascii="宋体" w:hAnsi="宋体"/>
                <w:color w:val="auto"/>
                <w:szCs w:val="21"/>
                <w:highlight w:val="none"/>
              </w:rPr>
            </w:pPr>
          </w:p>
        </w:tc>
        <w:tc>
          <w:tcPr>
            <w:tcW w:w="1590" w:type="dxa"/>
            <w:tcBorders>
              <w:tl2br w:val="nil"/>
              <w:tr2bl w:val="nil"/>
            </w:tcBorders>
            <w:vAlign w:val="center"/>
          </w:tcPr>
          <w:p w14:paraId="0813385D">
            <w:pPr>
              <w:jc w:val="center"/>
              <w:rPr>
                <w:rFonts w:ascii="宋体" w:hAnsi="宋体"/>
                <w:color w:val="auto"/>
                <w:szCs w:val="21"/>
                <w:highlight w:val="none"/>
              </w:rPr>
            </w:pPr>
          </w:p>
        </w:tc>
        <w:tc>
          <w:tcPr>
            <w:tcW w:w="1755" w:type="dxa"/>
            <w:tcBorders>
              <w:tl2br w:val="nil"/>
              <w:tr2bl w:val="nil"/>
            </w:tcBorders>
            <w:vAlign w:val="center"/>
          </w:tcPr>
          <w:p w14:paraId="10EAC911">
            <w:pPr>
              <w:jc w:val="center"/>
              <w:rPr>
                <w:rFonts w:ascii="宋体" w:hAnsi="宋体"/>
                <w:color w:val="auto"/>
                <w:szCs w:val="21"/>
                <w:highlight w:val="none"/>
              </w:rPr>
            </w:pPr>
          </w:p>
        </w:tc>
        <w:tc>
          <w:tcPr>
            <w:tcW w:w="1920" w:type="dxa"/>
            <w:tcBorders>
              <w:tl2br w:val="nil"/>
              <w:tr2bl w:val="nil"/>
            </w:tcBorders>
            <w:vAlign w:val="center"/>
          </w:tcPr>
          <w:p w14:paraId="1995D0BA">
            <w:pPr>
              <w:jc w:val="center"/>
              <w:rPr>
                <w:rFonts w:ascii="宋体" w:hAnsi="宋体"/>
                <w:color w:val="auto"/>
                <w:szCs w:val="21"/>
                <w:highlight w:val="none"/>
              </w:rPr>
            </w:pPr>
          </w:p>
        </w:tc>
        <w:tc>
          <w:tcPr>
            <w:tcW w:w="1412" w:type="dxa"/>
            <w:tcBorders>
              <w:tl2br w:val="nil"/>
              <w:tr2bl w:val="nil"/>
            </w:tcBorders>
            <w:vAlign w:val="center"/>
          </w:tcPr>
          <w:p w14:paraId="02D8044F">
            <w:pPr>
              <w:jc w:val="center"/>
              <w:rPr>
                <w:rFonts w:ascii="宋体" w:hAnsi="宋体"/>
                <w:color w:val="auto"/>
                <w:szCs w:val="21"/>
                <w:highlight w:val="none"/>
              </w:rPr>
            </w:pPr>
          </w:p>
        </w:tc>
        <w:tc>
          <w:tcPr>
            <w:tcW w:w="867" w:type="dxa"/>
            <w:tcBorders>
              <w:tl2br w:val="nil"/>
              <w:tr2bl w:val="nil"/>
            </w:tcBorders>
            <w:vAlign w:val="center"/>
          </w:tcPr>
          <w:p w14:paraId="0829B8D3">
            <w:pPr>
              <w:jc w:val="center"/>
              <w:rPr>
                <w:rFonts w:ascii="宋体" w:hAnsi="宋体"/>
                <w:color w:val="auto"/>
                <w:szCs w:val="21"/>
                <w:highlight w:val="none"/>
              </w:rPr>
            </w:pPr>
          </w:p>
        </w:tc>
      </w:tr>
      <w:tr w14:paraId="1BFCC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17AA7AD">
            <w:pPr>
              <w:jc w:val="center"/>
              <w:rPr>
                <w:rFonts w:ascii="宋体" w:hAnsi="宋体"/>
                <w:color w:val="auto"/>
                <w:szCs w:val="21"/>
                <w:highlight w:val="none"/>
              </w:rPr>
            </w:pPr>
          </w:p>
        </w:tc>
        <w:tc>
          <w:tcPr>
            <w:tcW w:w="1590" w:type="dxa"/>
            <w:tcBorders>
              <w:tl2br w:val="nil"/>
              <w:tr2bl w:val="nil"/>
            </w:tcBorders>
            <w:vAlign w:val="center"/>
          </w:tcPr>
          <w:p w14:paraId="4428EADC">
            <w:pPr>
              <w:jc w:val="center"/>
              <w:rPr>
                <w:rFonts w:ascii="宋体" w:hAnsi="宋体"/>
                <w:color w:val="auto"/>
                <w:szCs w:val="21"/>
                <w:highlight w:val="none"/>
              </w:rPr>
            </w:pPr>
          </w:p>
        </w:tc>
        <w:tc>
          <w:tcPr>
            <w:tcW w:w="1755" w:type="dxa"/>
            <w:tcBorders>
              <w:tl2br w:val="nil"/>
              <w:tr2bl w:val="nil"/>
            </w:tcBorders>
            <w:vAlign w:val="center"/>
          </w:tcPr>
          <w:p w14:paraId="1B9762A9">
            <w:pPr>
              <w:jc w:val="center"/>
              <w:rPr>
                <w:rFonts w:ascii="宋体" w:hAnsi="宋体"/>
                <w:color w:val="auto"/>
                <w:szCs w:val="21"/>
                <w:highlight w:val="none"/>
              </w:rPr>
            </w:pPr>
          </w:p>
        </w:tc>
        <w:tc>
          <w:tcPr>
            <w:tcW w:w="1920" w:type="dxa"/>
            <w:tcBorders>
              <w:tl2br w:val="nil"/>
              <w:tr2bl w:val="nil"/>
            </w:tcBorders>
            <w:vAlign w:val="center"/>
          </w:tcPr>
          <w:p w14:paraId="08E6FF12">
            <w:pPr>
              <w:jc w:val="center"/>
              <w:rPr>
                <w:rFonts w:ascii="宋体" w:hAnsi="宋体"/>
                <w:color w:val="auto"/>
                <w:szCs w:val="21"/>
                <w:highlight w:val="none"/>
              </w:rPr>
            </w:pPr>
          </w:p>
        </w:tc>
        <w:tc>
          <w:tcPr>
            <w:tcW w:w="1412" w:type="dxa"/>
            <w:tcBorders>
              <w:tl2br w:val="nil"/>
              <w:tr2bl w:val="nil"/>
            </w:tcBorders>
            <w:vAlign w:val="center"/>
          </w:tcPr>
          <w:p w14:paraId="5CDA743F">
            <w:pPr>
              <w:jc w:val="center"/>
              <w:rPr>
                <w:rFonts w:ascii="宋体" w:hAnsi="宋体"/>
                <w:color w:val="auto"/>
                <w:szCs w:val="21"/>
                <w:highlight w:val="none"/>
              </w:rPr>
            </w:pPr>
          </w:p>
        </w:tc>
        <w:tc>
          <w:tcPr>
            <w:tcW w:w="867" w:type="dxa"/>
            <w:tcBorders>
              <w:tl2br w:val="nil"/>
              <w:tr2bl w:val="nil"/>
            </w:tcBorders>
            <w:vAlign w:val="center"/>
          </w:tcPr>
          <w:p w14:paraId="29066653">
            <w:pPr>
              <w:jc w:val="center"/>
              <w:rPr>
                <w:rFonts w:ascii="宋体" w:hAnsi="宋体"/>
                <w:color w:val="auto"/>
                <w:szCs w:val="21"/>
                <w:highlight w:val="none"/>
              </w:rPr>
            </w:pPr>
          </w:p>
        </w:tc>
      </w:tr>
      <w:tr w14:paraId="14B1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854E3C3">
            <w:pPr>
              <w:jc w:val="center"/>
              <w:rPr>
                <w:rFonts w:ascii="宋体" w:hAnsi="宋体"/>
                <w:color w:val="auto"/>
                <w:szCs w:val="21"/>
                <w:highlight w:val="none"/>
              </w:rPr>
            </w:pPr>
          </w:p>
        </w:tc>
        <w:tc>
          <w:tcPr>
            <w:tcW w:w="1590" w:type="dxa"/>
            <w:tcBorders>
              <w:tl2br w:val="nil"/>
              <w:tr2bl w:val="nil"/>
            </w:tcBorders>
            <w:vAlign w:val="center"/>
          </w:tcPr>
          <w:p w14:paraId="05FE005B">
            <w:pPr>
              <w:jc w:val="center"/>
              <w:rPr>
                <w:rFonts w:ascii="宋体" w:hAnsi="宋体"/>
                <w:color w:val="auto"/>
                <w:szCs w:val="21"/>
                <w:highlight w:val="none"/>
              </w:rPr>
            </w:pPr>
          </w:p>
        </w:tc>
        <w:tc>
          <w:tcPr>
            <w:tcW w:w="1755" w:type="dxa"/>
            <w:tcBorders>
              <w:tl2br w:val="nil"/>
              <w:tr2bl w:val="nil"/>
            </w:tcBorders>
            <w:vAlign w:val="center"/>
          </w:tcPr>
          <w:p w14:paraId="03439B14">
            <w:pPr>
              <w:jc w:val="center"/>
              <w:rPr>
                <w:rFonts w:ascii="宋体" w:hAnsi="宋体"/>
                <w:color w:val="auto"/>
                <w:szCs w:val="21"/>
                <w:highlight w:val="none"/>
              </w:rPr>
            </w:pPr>
          </w:p>
        </w:tc>
        <w:tc>
          <w:tcPr>
            <w:tcW w:w="1920" w:type="dxa"/>
            <w:tcBorders>
              <w:tl2br w:val="nil"/>
              <w:tr2bl w:val="nil"/>
            </w:tcBorders>
            <w:vAlign w:val="center"/>
          </w:tcPr>
          <w:p w14:paraId="3B1C301A">
            <w:pPr>
              <w:jc w:val="center"/>
              <w:rPr>
                <w:rFonts w:ascii="宋体" w:hAnsi="宋体"/>
                <w:color w:val="auto"/>
                <w:szCs w:val="21"/>
                <w:highlight w:val="none"/>
              </w:rPr>
            </w:pPr>
          </w:p>
        </w:tc>
        <w:tc>
          <w:tcPr>
            <w:tcW w:w="1412" w:type="dxa"/>
            <w:tcBorders>
              <w:tl2br w:val="nil"/>
              <w:tr2bl w:val="nil"/>
            </w:tcBorders>
            <w:vAlign w:val="center"/>
          </w:tcPr>
          <w:p w14:paraId="329BC218">
            <w:pPr>
              <w:jc w:val="center"/>
              <w:rPr>
                <w:rFonts w:ascii="宋体" w:hAnsi="宋体"/>
                <w:color w:val="auto"/>
                <w:szCs w:val="21"/>
                <w:highlight w:val="none"/>
              </w:rPr>
            </w:pPr>
          </w:p>
        </w:tc>
        <w:tc>
          <w:tcPr>
            <w:tcW w:w="867" w:type="dxa"/>
            <w:tcBorders>
              <w:tl2br w:val="nil"/>
              <w:tr2bl w:val="nil"/>
            </w:tcBorders>
            <w:vAlign w:val="center"/>
          </w:tcPr>
          <w:p w14:paraId="53C1D597">
            <w:pPr>
              <w:jc w:val="center"/>
              <w:rPr>
                <w:rFonts w:ascii="宋体" w:hAnsi="宋体"/>
                <w:color w:val="auto"/>
                <w:szCs w:val="21"/>
                <w:highlight w:val="none"/>
              </w:rPr>
            </w:pPr>
          </w:p>
        </w:tc>
      </w:tr>
      <w:tr w14:paraId="45536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D14A0C">
            <w:pPr>
              <w:jc w:val="center"/>
              <w:rPr>
                <w:rFonts w:ascii="宋体" w:hAnsi="宋体"/>
                <w:color w:val="auto"/>
                <w:szCs w:val="21"/>
                <w:highlight w:val="none"/>
              </w:rPr>
            </w:pPr>
          </w:p>
        </w:tc>
        <w:tc>
          <w:tcPr>
            <w:tcW w:w="1590" w:type="dxa"/>
            <w:tcBorders>
              <w:tl2br w:val="nil"/>
              <w:tr2bl w:val="nil"/>
            </w:tcBorders>
            <w:vAlign w:val="center"/>
          </w:tcPr>
          <w:p w14:paraId="4AB7B757">
            <w:pPr>
              <w:jc w:val="center"/>
              <w:rPr>
                <w:rFonts w:ascii="宋体" w:hAnsi="宋体"/>
                <w:color w:val="auto"/>
                <w:szCs w:val="21"/>
                <w:highlight w:val="none"/>
              </w:rPr>
            </w:pPr>
          </w:p>
        </w:tc>
        <w:tc>
          <w:tcPr>
            <w:tcW w:w="1755" w:type="dxa"/>
            <w:tcBorders>
              <w:tl2br w:val="nil"/>
              <w:tr2bl w:val="nil"/>
            </w:tcBorders>
            <w:vAlign w:val="center"/>
          </w:tcPr>
          <w:p w14:paraId="22ABED86">
            <w:pPr>
              <w:jc w:val="center"/>
              <w:rPr>
                <w:rFonts w:ascii="宋体" w:hAnsi="宋体"/>
                <w:color w:val="auto"/>
                <w:szCs w:val="21"/>
                <w:highlight w:val="none"/>
              </w:rPr>
            </w:pPr>
          </w:p>
        </w:tc>
        <w:tc>
          <w:tcPr>
            <w:tcW w:w="1920" w:type="dxa"/>
            <w:tcBorders>
              <w:tl2br w:val="nil"/>
              <w:tr2bl w:val="nil"/>
            </w:tcBorders>
            <w:vAlign w:val="center"/>
          </w:tcPr>
          <w:p w14:paraId="7DC243DE">
            <w:pPr>
              <w:jc w:val="center"/>
              <w:rPr>
                <w:rFonts w:ascii="宋体" w:hAnsi="宋体"/>
                <w:color w:val="auto"/>
                <w:szCs w:val="21"/>
                <w:highlight w:val="none"/>
              </w:rPr>
            </w:pPr>
          </w:p>
        </w:tc>
        <w:tc>
          <w:tcPr>
            <w:tcW w:w="1412" w:type="dxa"/>
            <w:tcBorders>
              <w:tl2br w:val="nil"/>
              <w:tr2bl w:val="nil"/>
            </w:tcBorders>
            <w:vAlign w:val="center"/>
          </w:tcPr>
          <w:p w14:paraId="5502B105">
            <w:pPr>
              <w:jc w:val="center"/>
              <w:rPr>
                <w:rFonts w:ascii="宋体" w:hAnsi="宋体"/>
                <w:color w:val="auto"/>
                <w:szCs w:val="21"/>
                <w:highlight w:val="none"/>
              </w:rPr>
            </w:pPr>
          </w:p>
        </w:tc>
        <w:tc>
          <w:tcPr>
            <w:tcW w:w="867" w:type="dxa"/>
            <w:tcBorders>
              <w:tl2br w:val="nil"/>
              <w:tr2bl w:val="nil"/>
            </w:tcBorders>
            <w:vAlign w:val="center"/>
          </w:tcPr>
          <w:p w14:paraId="38DB89FA">
            <w:pPr>
              <w:jc w:val="center"/>
              <w:rPr>
                <w:rFonts w:ascii="宋体" w:hAnsi="宋体"/>
                <w:color w:val="auto"/>
                <w:szCs w:val="21"/>
                <w:highlight w:val="none"/>
              </w:rPr>
            </w:pPr>
          </w:p>
        </w:tc>
      </w:tr>
      <w:tr w14:paraId="6FA93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49AE804">
            <w:pPr>
              <w:jc w:val="center"/>
              <w:rPr>
                <w:rFonts w:ascii="宋体" w:hAnsi="宋体"/>
                <w:color w:val="auto"/>
                <w:szCs w:val="21"/>
                <w:highlight w:val="none"/>
              </w:rPr>
            </w:pPr>
          </w:p>
        </w:tc>
        <w:tc>
          <w:tcPr>
            <w:tcW w:w="1590" w:type="dxa"/>
            <w:tcBorders>
              <w:tl2br w:val="nil"/>
              <w:tr2bl w:val="nil"/>
            </w:tcBorders>
            <w:vAlign w:val="center"/>
          </w:tcPr>
          <w:p w14:paraId="4BCC9BC9">
            <w:pPr>
              <w:jc w:val="center"/>
              <w:rPr>
                <w:rFonts w:ascii="宋体" w:hAnsi="宋体"/>
                <w:color w:val="auto"/>
                <w:szCs w:val="21"/>
                <w:highlight w:val="none"/>
              </w:rPr>
            </w:pPr>
          </w:p>
        </w:tc>
        <w:tc>
          <w:tcPr>
            <w:tcW w:w="1755" w:type="dxa"/>
            <w:tcBorders>
              <w:tl2br w:val="nil"/>
              <w:tr2bl w:val="nil"/>
            </w:tcBorders>
            <w:vAlign w:val="center"/>
          </w:tcPr>
          <w:p w14:paraId="5CA3371D">
            <w:pPr>
              <w:jc w:val="center"/>
              <w:rPr>
                <w:rFonts w:ascii="宋体" w:hAnsi="宋体"/>
                <w:color w:val="auto"/>
                <w:szCs w:val="21"/>
                <w:highlight w:val="none"/>
              </w:rPr>
            </w:pPr>
          </w:p>
        </w:tc>
        <w:tc>
          <w:tcPr>
            <w:tcW w:w="1920" w:type="dxa"/>
            <w:tcBorders>
              <w:tl2br w:val="nil"/>
              <w:tr2bl w:val="nil"/>
            </w:tcBorders>
            <w:vAlign w:val="center"/>
          </w:tcPr>
          <w:p w14:paraId="7B9AAF0C">
            <w:pPr>
              <w:jc w:val="center"/>
              <w:rPr>
                <w:rFonts w:ascii="宋体" w:hAnsi="宋体"/>
                <w:color w:val="auto"/>
                <w:szCs w:val="21"/>
                <w:highlight w:val="none"/>
              </w:rPr>
            </w:pPr>
          </w:p>
        </w:tc>
        <w:tc>
          <w:tcPr>
            <w:tcW w:w="1412" w:type="dxa"/>
            <w:tcBorders>
              <w:tl2br w:val="nil"/>
              <w:tr2bl w:val="nil"/>
            </w:tcBorders>
            <w:vAlign w:val="center"/>
          </w:tcPr>
          <w:p w14:paraId="0DBA2C3A">
            <w:pPr>
              <w:jc w:val="center"/>
              <w:rPr>
                <w:rFonts w:ascii="宋体" w:hAnsi="宋体"/>
                <w:color w:val="auto"/>
                <w:szCs w:val="21"/>
                <w:highlight w:val="none"/>
              </w:rPr>
            </w:pPr>
          </w:p>
        </w:tc>
        <w:tc>
          <w:tcPr>
            <w:tcW w:w="867" w:type="dxa"/>
            <w:tcBorders>
              <w:tl2br w:val="nil"/>
              <w:tr2bl w:val="nil"/>
            </w:tcBorders>
            <w:vAlign w:val="center"/>
          </w:tcPr>
          <w:p w14:paraId="584E7B65">
            <w:pPr>
              <w:jc w:val="center"/>
              <w:rPr>
                <w:rFonts w:ascii="宋体" w:hAnsi="宋体"/>
                <w:color w:val="auto"/>
                <w:szCs w:val="21"/>
                <w:highlight w:val="none"/>
              </w:rPr>
            </w:pPr>
          </w:p>
        </w:tc>
      </w:tr>
      <w:tr w14:paraId="1E36C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937569">
            <w:pPr>
              <w:jc w:val="center"/>
              <w:rPr>
                <w:rFonts w:ascii="宋体" w:hAnsi="宋体"/>
                <w:color w:val="auto"/>
                <w:szCs w:val="21"/>
                <w:highlight w:val="none"/>
              </w:rPr>
            </w:pPr>
          </w:p>
        </w:tc>
        <w:tc>
          <w:tcPr>
            <w:tcW w:w="1590" w:type="dxa"/>
            <w:tcBorders>
              <w:tl2br w:val="nil"/>
              <w:tr2bl w:val="nil"/>
            </w:tcBorders>
            <w:vAlign w:val="center"/>
          </w:tcPr>
          <w:p w14:paraId="444E0BE2">
            <w:pPr>
              <w:jc w:val="center"/>
              <w:rPr>
                <w:rFonts w:ascii="宋体" w:hAnsi="宋体"/>
                <w:color w:val="auto"/>
                <w:szCs w:val="21"/>
                <w:highlight w:val="none"/>
              </w:rPr>
            </w:pPr>
          </w:p>
        </w:tc>
        <w:tc>
          <w:tcPr>
            <w:tcW w:w="1755" w:type="dxa"/>
            <w:tcBorders>
              <w:tl2br w:val="nil"/>
              <w:tr2bl w:val="nil"/>
            </w:tcBorders>
            <w:vAlign w:val="center"/>
          </w:tcPr>
          <w:p w14:paraId="383EB07F">
            <w:pPr>
              <w:jc w:val="center"/>
              <w:rPr>
                <w:rFonts w:ascii="宋体" w:hAnsi="宋体"/>
                <w:color w:val="auto"/>
                <w:szCs w:val="21"/>
                <w:highlight w:val="none"/>
              </w:rPr>
            </w:pPr>
          </w:p>
        </w:tc>
        <w:tc>
          <w:tcPr>
            <w:tcW w:w="1920" w:type="dxa"/>
            <w:tcBorders>
              <w:tl2br w:val="nil"/>
              <w:tr2bl w:val="nil"/>
            </w:tcBorders>
            <w:vAlign w:val="center"/>
          </w:tcPr>
          <w:p w14:paraId="2C424864">
            <w:pPr>
              <w:jc w:val="center"/>
              <w:rPr>
                <w:rFonts w:ascii="宋体" w:hAnsi="宋体"/>
                <w:color w:val="auto"/>
                <w:szCs w:val="21"/>
                <w:highlight w:val="none"/>
              </w:rPr>
            </w:pPr>
          </w:p>
        </w:tc>
        <w:tc>
          <w:tcPr>
            <w:tcW w:w="1412" w:type="dxa"/>
            <w:tcBorders>
              <w:tl2br w:val="nil"/>
              <w:tr2bl w:val="nil"/>
            </w:tcBorders>
            <w:vAlign w:val="center"/>
          </w:tcPr>
          <w:p w14:paraId="1A952E88">
            <w:pPr>
              <w:jc w:val="center"/>
              <w:rPr>
                <w:rFonts w:ascii="宋体" w:hAnsi="宋体"/>
                <w:color w:val="auto"/>
                <w:szCs w:val="21"/>
                <w:highlight w:val="none"/>
              </w:rPr>
            </w:pPr>
          </w:p>
        </w:tc>
        <w:tc>
          <w:tcPr>
            <w:tcW w:w="867" w:type="dxa"/>
            <w:tcBorders>
              <w:tl2br w:val="nil"/>
              <w:tr2bl w:val="nil"/>
            </w:tcBorders>
            <w:vAlign w:val="center"/>
          </w:tcPr>
          <w:p w14:paraId="2101B266">
            <w:pPr>
              <w:jc w:val="center"/>
              <w:rPr>
                <w:rFonts w:ascii="宋体" w:hAnsi="宋体"/>
                <w:color w:val="auto"/>
                <w:szCs w:val="21"/>
                <w:highlight w:val="none"/>
              </w:rPr>
            </w:pPr>
          </w:p>
        </w:tc>
      </w:tr>
    </w:tbl>
    <w:p w14:paraId="3713D048">
      <w:pPr>
        <w:rPr>
          <w:rFonts w:ascii="宋体" w:hAnsi="宋体"/>
          <w:color w:val="auto"/>
          <w:szCs w:val="21"/>
          <w:highlight w:val="none"/>
        </w:rPr>
      </w:pPr>
    </w:p>
    <w:p w14:paraId="462658FE">
      <w:pPr>
        <w:rPr>
          <w:rFonts w:ascii="宋体" w:hAnsi="宋体"/>
          <w:color w:val="auto"/>
          <w:szCs w:val="21"/>
          <w:highlight w:val="none"/>
        </w:rPr>
      </w:pPr>
      <w:r>
        <w:rPr>
          <w:rFonts w:hint="eastAsia" w:ascii="宋体" w:hAnsi="宋体"/>
          <w:color w:val="auto"/>
          <w:szCs w:val="21"/>
          <w:highlight w:val="none"/>
        </w:rPr>
        <w:t>投标人代表签字：</w:t>
      </w:r>
    </w:p>
    <w:p w14:paraId="6821749D">
      <w:pPr>
        <w:rPr>
          <w:rFonts w:ascii="宋体" w:hAnsi="宋体"/>
          <w:color w:val="auto"/>
          <w:szCs w:val="21"/>
          <w:highlight w:val="none"/>
        </w:rPr>
      </w:pPr>
      <w:r>
        <w:rPr>
          <w:rFonts w:hint="eastAsia" w:ascii="宋体" w:hAnsi="宋体"/>
          <w:color w:val="auto"/>
          <w:szCs w:val="21"/>
          <w:highlight w:val="none"/>
        </w:rPr>
        <w:t>投标人盖章：</w:t>
      </w:r>
    </w:p>
    <w:p w14:paraId="7A174D11">
      <w:pPr>
        <w:rPr>
          <w:rFonts w:ascii="宋体" w:hAnsi="宋体"/>
          <w:color w:val="auto"/>
          <w:szCs w:val="21"/>
          <w:highlight w:val="none"/>
        </w:rPr>
      </w:pPr>
    </w:p>
    <w:p w14:paraId="1A21CEC8">
      <w:pPr>
        <w:rPr>
          <w:rFonts w:ascii="宋体" w:hAnsi="宋体"/>
          <w:color w:val="auto"/>
          <w:szCs w:val="21"/>
          <w:highlight w:val="none"/>
        </w:rPr>
      </w:pPr>
      <w:r>
        <w:rPr>
          <w:rFonts w:hint="eastAsia" w:ascii="宋体" w:hAnsi="宋体"/>
          <w:color w:val="auto"/>
          <w:szCs w:val="21"/>
          <w:highlight w:val="none"/>
        </w:rPr>
        <w:t>注：</w:t>
      </w:r>
    </w:p>
    <w:p w14:paraId="0C4AFD07">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9C40E8C">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7A45E592">
      <w:pPr>
        <w:adjustRightInd/>
        <w:snapToGrid/>
        <w:spacing w:line="276" w:lineRule="auto"/>
        <w:rPr>
          <w:color w:val="auto"/>
          <w:highlight w:val="none"/>
        </w:rPr>
      </w:pPr>
    </w:p>
    <w:p w14:paraId="32B36BAE">
      <w:pPr>
        <w:adjustRightInd/>
        <w:snapToGrid/>
        <w:spacing w:line="276" w:lineRule="auto"/>
        <w:rPr>
          <w:color w:val="auto"/>
          <w:highlight w:val="none"/>
        </w:rPr>
      </w:pPr>
    </w:p>
    <w:p w14:paraId="2D0C76EF">
      <w:pPr>
        <w:adjustRightInd/>
        <w:snapToGrid/>
        <w:spacing w:line="276" w:lineRule="auto"/>
        <w:rPr>
          <w:color w:val="auto"/>
          <w:highlight w:val="none"/>
        </w:rPr>
      </w:pPr>
      <w:r>
        <w:rPr>
          <w:color w:val="auto"/>
          <w:highlight w:val="none"/>
        </w:rPr>
        <w:br w:type="page"/>
      </w:r>
      <w:bookmarkStart w:id="308" w:name="_Toc32183"/>
    </w:p>
    <w:p w14:paraId="43ACDA8A">
      <w:pPr>
        <w:pStyle w:val="5"/>
        <w:jc w:val="center"/>
        <w:rPr>
          <w:color w:val="auto"/>
          <w:highlight w:val="none"/>
        </w:rPr>
      </w:pPr>
      <w:bookmarkStart w:id="309" w:name="_Toc30162"/>
      <w:bookmarkStart w:id="310" w:name="_Toc25391"/>
      <w:r>
        <w:rPr>
          <w:rFonts w:hint="eastAsia"/>
          <w:color w:val="auto"/>
          <w:highlight w:val="none"/>
        </w:rPr>
        <w:t>十二、业绩表</w:t>
      </w:r>
      <w:bookmarkEnd w:id="309"/>
      <w:bookmarkEnd w:id="310"/>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1B867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3F7F331A">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501A2BA5">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6191E43C">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1F2E5CBB">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350A8EE8">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22962868">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00CFA341">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044B4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2626779">
            <w:pPr>
              <w:jc w:val="center"/>
              <w:rPr>
                <w:rFonts w:ascii="宋体" w:hAnsi="宋体" w:cs="宋体"/>
                <w:bCs/>
                <w:color w:val="auto"/>
                <w:szCs w:val="21"/>
                <w:highlight w:val="none"/>
              </w:rPr>
            </w:pPr>
          </w:p>
        </w:tc>
        <w:tc>
          <w:tcPr>
            <w:tcW w:w="1140" w:type="dxa"/>
            <w:tcBorders>
              <w:tl2br w:val="nil"/>
              <w:tr2bl w:val="nil"/>
            </w:tcBorders>
            <w:vAlign w:val="center"/>
          </w:tcPr>
          <w:p w14:paraId="0F2A0B09">
            <w:pPr>
              <w:rPr>
                <w:rFonts w:ascii="宋体" w:hAnsi="宋体" w:cs="宋体"/>
                <w:bCs/>
                <w:color w:val="auto"/>
                <w:szCs w:val="21"/>
                <w:highlight w:val="none"/>
              </w:rPr>
            </w:pPr>
          </w:p>
        </w:tc>
        <w:tc>
          <w:tcPr>
            <w:tcW w:w="1178" w:type="dxa"/>
            <w:tcBorders>
              <w:tl2br w:val="nil"/>
              <w:tr2bl w:val="nil"/>
            </w:tcBorders>
            <w:vAlign w:val="center"/>
          </w:tcPr>
          <w:p w14:paraId="7F5B3063">
            <w:pPr>
              <w:rPr>
                <w:rFonts w:ascii="宋体" w:hAnsi="宋体" w:cs="宋体"/>
                <w:bCs/>
                <w:color w:val="auto"/>
                <w:szCs w:val="21"/>
                <w:highlight w:val="none"/>
              </w:rPr>
            </w:pPr>
          </w:p>
        </w:tc>
        <w:tc>
          <w:tcPr>
            <w:tcW w:w="1365" w:type="dxa"/>
            <w:tcBorders>
              <w:tl2br w:val="nil"/>
              <w:tr2bl w:val="nil"/>
            </w:tcBorders>
            <w:vAlign w:val="center"/>
          </w:tcPr>
          <w:p w14:paraId="10241CA6">
            <w:pPr>
              <w:rPr>
                <w:rFonts w:ascii="宋体" w:hAnsi="宋体" w:cs="宋体"/>
                <w:bCs/>
                <w:color w:val="auto"/>
                <w:szCs w:val="21"/>
                <w:highlight w:val="none"/>
              </w:rPr>
            </w:pPr>
          </w:p>
        </w:tc>
        <w:tc>
          <w:tcPr>
            <w:tcW w:w="1815" w:type="dxa"/>
            <w:tcBorders>
              <w:tl2br w:val="nil"/>
              <w:tr2bl w:val="nil"/>
            </w:tcBorders>
            <w:vAlign w:val="center"/>
          </w:tcPr>
          <w:p w14:paraId="035A9E04">
            <w:pPr>
              <w:rPr>
                <w:rFonts w:ascii="宋体" w:hAnsi="宋体" w:cs="宋体"/>
                <w:bCs/>
                <w:color w:val="auto"/>
                <w:szCs w:val="21"/>
                <w:highlight w:val="none"/>
              </w:rPr>
            </w:pPr>
          </w:p>
        </w:tc>
        <w:tc>
          <w:tcPr>
            <w:tcW w:w="1207" w:type="dxa"/>
            <w:tcBorders>
              <w:tl2br w:val="nil"/>
              <w:tr2bl w:val="nil"/>
            </w:tcBorders>
            <w:vAlign w:val="center"/>
          </w:tcPr>
          <w:p w14:paraId="388C707F">
            <w:pPr>
              <w:rPr>
                <w:rFonts w:ascii="宋体" w:hAnsi="宋体" w:cs="宋体"/>
                <w:bCs/>
                <w:color w:val="auto"/>
                <w:szCs w:val="21"/>
                <w:highlight w:val="none"/>
              </w:rPr>
            </w:pPr>
          </w:p>
        </w:tc>
        <w:tc>
          <w:tcPr>
            <w:tcW w:w="765" w:type="dxa"/>
            <w:tcBorders>
              <w:tl2br w:val="nil"/>
              <w:tr2bl w:val="nil"/>
            </w:tcBorders>
            <w:vAlign w:val="center"/>
          </w:tcPr>
          <w:p w14:paraId="177DD1F2">
            <w:pPr>
              <w:rPr>
                <w:rFonts w:ascii="宋体" w:hAnsi="宋体" w:cs="宋体"/>
                <w:bCs/>
                <w:color w:val="auto"/>
                <w:szCs w:val="21"/>
                <w:highlight w:val="none"/>
              </w:rPr>
            </w:pPr>
          </w:p>
        </w:tc>
      </w:tr>
      <w:tr w14:paraId="56F96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5108D12">
            <w:pPr>
              <w:jc w:val="center"/>
              <w:rPr>
                <w:rFonts w:ascii="宋体" w:hAnsi="宋体" w:cs="宋体"/>
                <w:bCs/>
                <w:color w:val="auto"/>
                <w:szCs w:val="21"/>
                <w:highlight w:val="none"/>
              </w:rPr>
            </w:pPr>
          </w:p>
        </w:tc>
        <w:tc>
          <w:tcPr>
            <w:tcW w:w="1140" w:type="dxa"/>
            <w:tcBorders>
              <w:tl2br w:val="nil"/>
              <w:tr2bl w:val="nil"/>
            </w:tcBorders>
            <w:vAlign w:val="center"/>
          </w:tcPr>
          <w:p w14:paraId="5E6A4A66">
            <w:pPr>
              <w:rPr>
                <w:rFonts w:ascii="宋体" w:hAnsi="宋体" w:cs="宋体"/>
                <w:bCs/>
                <w:color w:val="auto"/>
                <w:szCs w:val="21"/>
                <w:highlight w:val="none"/>
              </w:rPr>
            </w:pPr>
          </w:p>
        </w:tc>
        <w:tc>
          <w:tcPr>
            <w:tcW w:w="1178" w:type="dxa"/>
            <w:tcBorders>
              <w:tl2br w:val="nil"/>
              <w:tr2bl w:val="nil"/>
            </w:tcBorders>
            <w:vAlign w:val="center"/>
          </w:tcPr>
          <w:p w14:paraId="3AD47FC3">
            <w:pPr>
              <w:rPr>
                <w:rFonts w:ascii="宋体" w:hAnsi="宋体" w:cs="宋体"/>
                <w:bCs/>
                <w:color w:val="auto"/>
                <w:szCs w:val="21"/>
                <w:highlight w:val="none"/>
              </w:rPr>
            </w:pPr>
          </w:p>
        </w:tc>
        <w:tc>
          <w:tcPr>
            <w:tcW w:w="1365" w:type="dxa"/>
            <w:tcBorders>
              <w:tl2br w:val="nil"/>
              <w:tr2bl w:val="nil"/>
            </w:tcBorders>
            <w:vAlign w:val="center"/>
          </w:tcPr>
          <w:p w14:paraId="742B73DA">
            <w:pPr>
              <w:rPr>
                <w:rFonts w:ascii="宋体" w:hAnsi="宋体" w:cs="宋体"/>
                <w:bCs/>
                <w:color w:val="auto"/>
                <w:szCs w:val="21"/>
                <w:highlight w:val="none"/>
              </w:rPr>
            </w:pPr>
          </w:p>
        </w:tc>
        <w:tc>
          <w:tcPr>
            <w:tcW w:w="1815" w:type="dxa"/>
            <w:tcBorders>
              <w:tl2br w:val="nil"/>
              <w:tr2bl w:val="nil"/>
            </w:tcBorders>
            <w:vAlign w:val="center"/>
          </w:tcPr>
          <w:p w14:paraId="58B53BD2">
            <w:pPr>
              <w:rPr>
                <w:rFonts w:ascii="宋体" w:hAnsi="宋体" w:cs="宋体"/>
                <w:bCs/>
                <w:color w:val="auto"/>
                <w:szCs w:val="21"/>
                <w:highlight w:val="none"/>
              </w:rPr>
            </w:pPr>
          </w:p>
        </w:tc>
        <w:tc>
          <w:tcPr>
            <w:tcW w:w="1207" w:type="dxa"/>
            <w:tcBorders>
              <w:tl2br w:val="nil"/>
              <w:tr2bl w:val="nil"/>
            </w:tcBorders>
            <w:vAlign w:val="center"/>
          </w:tcPr>
          <w:p w14:paraId="7B735383">
            <w:pPr>
              <w:rPr>
                <w:rFonts w:ascii="宋体" w:hAnsi="宋体" w:cs="宋体"/>
                <w:bCs/>
                <w:color w:val="auto"/>
                <w:szCs w:val="21"/>
                <w:highlight w:val="none"/>
              </w:rPr>
            </w:pPr>
          </w:p>
        </w:tc>
        <w:tc>
          <w:tcPr>
            <w:tcW w:w="765" w:type="dxa"/>
            <w:tcBorders>
              <w:tl2br w:val="nil"/>
              <w:tr2bl w:val="nil"/>
            </w:tcBorders>
            <w:vAlign w:val="center"/>
          </w:tcPr>
          <w:p w14:paraId="4F56213E">
            <w:pPr>
              <w:rPr>
                <w:rFonts w:ascii="宋体" w:hAnsi="宋体" w:cs="宋体"/>
                <w:bCs/>
                <w:color w:val="auto"/>
                <w:szCs w:val="21"/>
                <w:highlight w:val="none"/>
              </w:rPr>
            </w:pPr>
          </w:p>
        </w:tc>
      </w:tr>
      <w:tr w14:paraId="77614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A256923">
            <w:pPr>
              <w:jc w:val="center"/>
              <w:rPr>
                <w:rFonts w:ascii="宋体" w:hAnsi="宋体" w:cs="宋体"/>
                <w:bCs/>
                <w:color w:val="auto"/>
                <w:szCs w:val="21"/>
                <w:highlight w:val="none"/>
              </w:rPr>
            </w:pPr>
          </w:p>
        </w:tc>
        <w:tc>
          <w:tcPr>
            <w:tcW w:w="1140" w:type="dxa"/>
            <w:tcBorders>
              <w:tl2br w:val="nil"/>
              <w:tr2bl w:val="nil"/>
            </w:tcBorders>
            <w:vAlign w:val="center"/>
          </w:tcPr>
          <w:p w14:paraId="7CC3E999">
            <w:pPr>
              <w:rPr>
                <w:rFonts w:ascii="宋体" w:hAnsi="宋体" w:cs="宋体"/>
                <w:bCs/>
                <w:color w:val="auto"/>
                <w:szCs w:val="21"/>
                <w:highlight w:val="none"/>
              </w:rPr>
            </w:pPr>
          </w:p>
        </w:tc>
        <w:tc>
          <w:tcPr>
            <w:tcW w:w="1178" w:type="dxa"/>
            <w:tcBorders>
              <w:tl2br w:val="nil"/>
              <w:tr2bl w:val="nil"/>
            </w:tcBorders>
            <w:vAlign w:val="center"/>
          </w:tcPr>
          <w:p w14:paraId="59D9DB92">
            <w:pPr>
              <w:rPr>
                <w:rFonts w:ascii="宋体" w:hAnsi="宋体" w:cs="宋体"/>
                <w:bCs/>
                <w:color w:val="auto"/>
                <w:szCs w:val="21"/>
                <w:highlight w:val="none"/>
              </w:rPr>
            </w:pPr>
          </w:p>
        </w:tc>
        <w:tc>
          <w:tcPr>
            <w:tcW w:w="1365" w:type="dxa"/>
            <w:tcBorders>
              <w:tl2br w:val="nil"/>
              <w:tr2bl w:val="nil"/>
            </w:tcBorders>
            <w:vAlign w:val="center"/>
          </w:tcPr>
          <w:p w14:paraId="4D708C3F">
            <w:pPr>
              <w:rPr>
                <w:rFonts w:ascii="宋体" w:hAnsi="宋体" w:cs="宋体"/>
                <w:bCs/>
                <w:color w:val="auto"/>
                <w:szCs w:val="21"/>
                <w:highlight w:val="none"/>
              </w:rPr>
            </w:pPr>
          </w:p>
        </w:tc>
        <w:tc>
          <w:tcPr>
            <w:tcW w:w="1815" w:type="dxa"/>
            <w:tcBorders>
              <w:tl2br w:val="nil"/>
              <w:tr2bl w:val="nil"/>
            </w:tcBorders>
            <w:vAlign w:val="center"/>
          </w:tcPr>
          <w:p w14:paraId="0A442FD5">
            <w:pPr>
              <w:rPr>
                <w:rFonts w:ascii="宋体" w:hAnsi="宋体" w:cs="宋体"/>
                <w:bCs/>
                <w:color w:val="auto"/>
                <w:szCs w:val="21"/>
                <w:highlight w:val="none"/>
              </w:rPr>
            </w:pPr>
          </w:p>
        </w:tc>
        <w:tc>
          <w:tcPr>
            <w:tcW w:w="1207" w:type="dxa"/>
            <w:tcBorders>
              <w:tl2br w:val="nil"/>
              <w:tr2bl w:val="nil"/>
            </w:tcBorders>
            <w:vAlign w:val="center"/>
          </w:tcPr>
          <w:p w14:paraId="4FDF991E">
            <w:pPr>
              <w:rPr>
                <w:rFonts w:ascii="宋体" w:hAnsi="宋体" w:cs="宋体"/>
                <w:bCs/>
                <w:color w:val="auto"/>
                <w:szCs w:val="21"/>
                <w:highlight w:val="none"/>
              </w:rPr>
            </w:pPr>
          </w:p>
        </w:tc>
        <w:tc>
          <w:tcPr>
            <w:tcW w:w="765" w:type="dxa"/>
            <w:tcBorders>
              <w:tl2br w:val="nil"/>
              <w:tr2bl w:val="nil"/>
            </w:tcBorders>
            <w:vAlign w:val="center"/>
          </w:tcPr>
          <w:p w14:paraId="5697E61E">
            <w:pPr>
              <w:rPr>
                <w:rFonts w:ascii="宋体" w:hAnsi="宋体" w:cs="宋体"/>
                <w:bCs/>
                <w:color w:val="auto"/>
                <w:szCs w:val="21"/>
                <w:highlight w:val="none"/>
              </w:rPr>
            </w:pPr>
          </w:p>
        </w:tc>
      </w:tr>
      <w:tr w14:paraId="5F048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94AB79F">
            <w:pPr>
              <w:jc w:val="center"/>
              <w:rPr>
                <w:rFonts w:ascii="宋体" w:hAnsi="宋体" w:cs="宋体"/>
                <w:bCs/>
                <w:color w:val="auto"/>
                <w:szCs w:val="21"/>
                <w:highlight w:val="none"/>
              </w:rPr>
            </w:pPr>
          </w:p>
        </w:tc>
        <w:tc>
          <w:tcPr>
            <w:tcW w:w="1140" w:type="dxa"/>
            <w:tcBorders>
              <w:tl2br w:val="nil"/>
              <w:tr2bl w:val="nil"/>
            </w:tcBorders>
            <w:vAlign w:val="center"/>
          </w:tcPr>
          <w:p w14:paraId="295B1CED">
            <w:pPr>
              <w:rPr>
                <w:rFonts w:ascii="宋体" w:hAnsi="宋体" w:cs="宋体"/>
                <w:bCs/>
                <w:color w:val="auto"/>
                <w:szCs w:val="21"/>
                <w:highlight w:val="none"/>
              </w:rPr>
            </w:pPr>
          </w:p>
        </w:tc>
        <w:tc>
          <w:tcPr>
            <w:tcW w:w="1178" w:type="dxa"/>
            <w:tcBorders>
              <w:tl2br w:val="nil"/>
              <w:tr2bl w:val="nil"/>
            </w:tcBorders>
            <w:vAlign w:val="center"/>
          </w:tcPr>
          <w:p w14:paraId="1DEEB567">
            <w:pPr>
              <w:rPr>
                <w:rFonts w:ascii="宋体" w:hAnsi="宋体" w:cs="宋体"/>
                <w:bCs/>
                <w:color w:val="auto"/>
                <w:szCs w:val="21"/>
                <w:highlight w:val="none"/>
              </w:rPr>
            </w:pPr>
          </w:p>
        </w:tc>
        <w:tc>
          <w:tcPr>
            <w:tcW w:w="1365" w:type="dxa"/>
            <w:tcBorders>
              <w:tl2br w:val="nil"/>
              <w:tr2bl w:val="nil"/>
            </w:tcBorders>
            <w:vAlign w:val="center"/>
          </w:tcPr>
          <w:p w14:paraId="4BA3FDAC">
            <w:pPr>
              <w:rPr>
                <w:rFonts w:ascii="宋体" w:hAnsi="宋体" w:cs="宋体"/>
                <w:bCs/>
                <w:color w:val="auto"/>
                <w:szCs w:val="21"/>
                <w:highlight w:val="none"/>
              </w:rPr>
            </w:pPr>
          </w:p>
        </w:tc>
        <w:tc>
          <w:tcPr>
            <w:tcW w:w="1815" w:type="dxa"/>
            <w:tcBorders>
              <w:tl2br w:val="nil"/>
              <w:tr2bl w:val="nil"/>
            </w:tcBorders>
            <w:vAlign w:val="center"/>
          </w:tcPr>
          <w:p w14:paraId="647E20AA">
            <w:pPr>
              <w:rPr>
                <w:rFonts w:ascii="宋体" w:hAnsi="宋体" w:cs="宋体"/>
                <w:bCs/>
                <w:color w:val="auto"/>
                <w:szCs w:val="21"/>
                <w:highlight w:val="none"/>
              </w:rPr>
            </w:pPr>
          </w:p>
        </w:tc>
        <w:tc>
          <w:tcPr>
            <w:tcW w:w="1207" w:type="dxa"/>
            <w:tcBorders>
              <w:tl2br w:val="nil"/>
              <w:tr2bl w:val="nil"/>
            </w:tcBorders>
            <w:vAlign w:val="center"/>
          </w:tcPr>
          <w:p w14:paraId="17E03B1C">
            <w:pPr>
              <w:rPr>
                <w:rFonts w:ascii="宋体" w:hAnsi="宋体" w:cs="宋体"/>
                <w:bCs/>
                <w:color w:val="auto"/>
                <w:szCs w:val="21"/>
                <w:highlight w:val="none"/>
              </w:rPr>
            </w:pPr>
          </w:p>
        </w:tc>
        <w:tc>
          <w:tcPr>
            <w:tcW w:w="765" w:type="dxa"/>
            <w:tcBorders>
              <w:tl2br w:val="nil"/>
              <w:tr2bl w:val="nil"/>
            </w:tcBorders>
            <w:vAlign w:val="center"/>
          </w:tcPr>
          <w:p w14:paraId="59DA2315">
            <w:pPr>
              <w:rPr>
                <w:rFonts w:ascii="宋体" w:hAnsi="宋体" w:cs="宋体"/>
                <w:bCs/>
                <w:color w:val="auto"/>
                <w:szCs w:val="21"/>
                <w:highlight w:val="none"/>
              </w:rPr>
            </w:pPr>
          </w:p>
        </w:tc>
      </w:tr>
      <w:tr w14:paraId="4E2F9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FA7FB36">
            <w:pPr>
              <w:jc w:val="center"/>
              <w:rPr>
                <w:rFonts w:ascii="宋体" w:hAnsi="宋体" w:cs="宋体"/>
                <w:bCs/>
                <w:color w:val="auto"/>
                <w:szCs w:val="21"/>
                <w:highlight w:val="none"/>
              </w:rPr>
            </w:pPr>
          </w:p>
        </w:tc>
        <w:tc>
          <w:tcPr>
            <w:tcW w:w="1140" w:type="dxa"/>
            <w:tcBorders>
              <w:tl2br w:val="nil"/>
              <w:tr2bl w:val="nil"/>
            </w:tcBorders>
            <w:vAlign w:val="center"/>
          </w:tcPr>
          <w:p w14:paraId="66CFC167">
            <w:pPr>
              <w:rPr>
                <w:rFonts w:ascii="宋体" w:hAnsi="宋体" w:cs="宋体"/>
                <w:bCs/>
                <w:color w:val="auto"/>
                <w:szCs w:val="21"/>
                <w:highlight w:val="none"/>
              </w:rPr>
            </w:pPr>
          </w:p>
        </w:tc>
        <w:tc>
          <w:tcPr>
            <w:tcW w:w="1178" w:type="dxa"/>
            <w:tcBorders>
              <w:tl2br w:val="nil"/>
              <w:tr2bl w:val="nil"/>
            </w:tcBorders>
            <w:vAlign w:val="center"/>
          </w:tcPr>
          <w:p w14:paraId="02F45066">
            <w:pPr>
              <w:rPr>
                <w:rFonts w:ascii="宋体" w:hAnsi="宋体" w:cs="宋体"/>
                <w:bCs/>
                <w:color w:val="auto"/>
                <w:szCs w:val="21"/>
                <w:highlight w:val="none"/>
              </w:rPr>
            </w:pPr>
          </w:p>
        </w:tc>
        <w:tc>
          <w:tcPr>
            <w:tcW w:w="1365" w:type="dxa"/>
            <w:tcBorders>
              <w:tl2br w:val="nil"/>
              <w:tr2bl w:val="nil"/>
            </w:tcBorders>
            <w:vAlign w:val="center"/>
          </w:tcPr>
          <w:p w14:paraId="6F829869">
            <w:pPr>
              <w:rPr>
                <w:rFonts w:ascii="宋体" w:hAnsi="宋体" w:cs="宋体"/>
                <w:bCs/>
                <w:color w:val="auto"/>
                <w:szCs w:val="21"/>
                <w:highlight w:val="none"/>
              </w:rPr>
            </w:pPr>
          </w:p>
        </w:tc>
        <w:tc>
          <w:tcPr>
            <w:tcW w:w="1815" w:type="dxa"/>
            <w:tcBorders>
              <w:tl2br w:val="nil"/>
              <w:tr2bl w:val="nil"/>
            </w:tcBorders>
            <w:vAlign w:val="center"/>
          </w:tcPr>
          <w:p w14:paraId="0E598D7B">
            <w:pPr>
              <w:rPr>
                <w:rFonts w:ascii="宋体" w:hAnsi="宋体" w:cs="宋体"/>
                <w:bCs/>
                <w:color w:val="auto"/>
                <w:szCs w:val="21"/>
                <w:highlight w:val="none"/>
              </w:rPr>
            </w:pPr>
          </w:p>
        </w:tc>
        <w:tc>
          <w:tcPr>
            <w:tcW w:w="1207" w:type="dxa"/>
            <w:tcBorders>
              <w:tl2br w:val="nil"/>
              <w:tr2bl w:val="nil"/>
            </w:tcBorders>
            <w:vAlign w:val="center"/>
          </w:tcPr>
          <w:p w14:paraId="36C55A76">
            <w:pPr>
              <w:rPr>
                <w:rFonts w:ascii="宋体" w:hAnsi="宋体" w:cs="宋体"/>
                <w:bCs/>
                <w:color w:val="auto"/>
                <w:szCs w:val="21"/>
                <w:highlight w:val="none"/>
              </w:rPr>
            </w:pPr>
          </w:p>
        </w:tc>
        <w:tc>
          <w:tcPr>
            <w:tcW w:w="765" w:type="dxa"/>
            <w:tcBorders>
              <w:tl2br w:val="nil"/>
              <w:tr2bl w:val="nil"/>
            </w:tcBorders>
            <w:vAlign w:val="center"/>
          </w:tcPr>
          <w:p w14:paraId="38514978">
            <w:pPr>
              <w:rPr>
                <w:rFonts w:ascii="宋体" w:hAnsi="宋体" w:cs="宋体"/>
                <w:bCs/>
                <w:color w:val="auto"/>
                <w:szCs w:val="21"/>
                <w:highlight w:val="none"/>
              </w:rPr>
            </w:pPr>
          </w:p>
        </w:tc>
      </w:tr>
      <w:tr w14:paraId="2BFAF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1857104">
            <w:pPr>
              <w:jc w:val="center"/>
              <w:rPr>
                <w:rFonts w:ascii="宋体" w:hAnsi="宋体" w:cs="宋体"/>
                <w:bCs/>
                <w:color w:val="auto"/>
                <w:szCs w:val="21"/>
                <w:highlight w:val="none"/>
              </w:rPr>
            </w:pPr>
          </w:p>
        </w:tc>
        <w:tc>
          <w:tcPr>
            <w:tcW w:w="1140" w:type="dxa"/>
            <w:tcBorders>
              <w:tl2br w:val="nil"/>
              <w:tr2bl w:val="nil"/>
            </w:tcBorders>
            <w:vAlign w:val="center"/>
          </w:tcPr>
          <w:p w14:paraId="72235855">
            <w:pPr>
              <w:rPr>
                <w:rFonts w:ascii="宋体" w:hAnsi="宋体" w:cs="宋体"/>
                <w:bCs/>
                <w:color w:val="auto"/>
                <w:szCs w:val="21"/>
                <w:highlight w:val="none"/>
              </w:rPr>
            </w:pPr>
          </w:p>
        </w:tc>
        <w:tc>
          <w:tcPr>
            <w:tcW w:w="1178" w:type="dxa"/>
            <w:tcBorders>
              <w:tl2br w:val="nil"/>
              <w:tr2bl w:val="nil"/>
            </w:tcBorders>
            <w:vAlign w:val="center"/>
          </w:tcPr>
          <w:p w14:paraId="0245CE88">
            <w:pPr>
              <w:rPr>
                <w:rFonts w:ascii="宋体" w:hAnsi="宋体" w:cs="宋体"/>
                <w:bCs/>
                <w:color w:val="auto"/>
                <w:szCs w:val="21"/>
                <w:highlight w:val="none"/>
              </w:rPr>
            </w:pPr>
          </w:p>
        </w:tc>
        <w:tc>
          <w:tcPr>
            <w:tcW w:w="1365" w:type="dxa"/>
            <w:tcBorders>
              <w:tl2br w:val="nil"/>
              <w:tr2bl w:val="nil"/>
            </w:tcBorders>
            <w:vAlign w:val="center"/>
          </w:tcPr>
          <w:p w14:paraId="72AE5A19">
            <w:pPr>
              <w:rPr>
                <w:rFonts w:ascii="宋体" w:hAnsi="宋体" w:cs="宋体"/>
                <w:bCs/>
                <w:color w:val="auto"/>
                <w:szCs w:val="21"/>
                <w:highlight w:val="none"/>
              </w:rPr>
            </w:pPr>
          </w:p>
        </w:tc>
        <w:tc>
          <w:tcPr>
            <w:tcW w:w="1815" w:type="dxa"/>
            <w:tcBorders>
              <w:tl2br w:val="nil"/>
              <w:tr2bl w:val="nil"/>
            </w:tcBorders>
            <w:vAlign w:val="center"/>
          </w:tcPr>
          <w:p w14:paraId="2D5769C8">
            <w:pPr>
              <w:rPr>
                <w:rFonts w:ascii="宋体" w:hAnsi="宋体" w:cs="宋体"/>
                <w:bCs/>
                <w:color w:val="auto"/>
                <w:szCs w:val="21"/>
                <w:highlight w:val="none"/>
              </w:rPr>
            </w:pPr>
          </w:p>
        </w:tc>
        <w:tc>
          <w:tcPr>
            <w:tcW w:w="1207" w:type="dxa"/>
            <w:tcBorders>
              <w:tl2br w:val="nil"/>
              <w:tr2bl w:val="nil"/>
            </w:tcBorders>
            <w:vAlign w:val="center"/>
          </w:tcPr>
          <w:p w14:paraId="6D0E7C6F">
            <w:pPr>
              <w:rPr>
                <w:rFonts w:ascii="宋体" w:hAnsi="宋体" w:cs="宋体"/>
                <w:bCs/>
                <w:color w:val="auto"/>
                <w:szCs w:val="21"/>
                <w:highlight w:val="none"/>
              </w:rPr>
            </w:pPr>
          </w:p>
        </w:tc>
        <w:tc>
          <w:tcPr>
            <w:tcW w:w="765" w:type="dxa"/>
            <w:tcBorders>
              <w:tl2br w:val="nil"/>
              <w:tr2bl w:val="nil"/>
            </w:tcBorders>
            <w:vAlign w:val="center"/>
          </w:tcPr>
          <w:p w14:paraId="3A7AC33C">
            <w:pPr>
              <w:rPr>
                <w:rFonts w:ascii="宋体" w:hAnsi="宋体" w:cs="宋体"/>
                <w:bCs/>
                <w:color w:val="auto"/>
                <w:szCs w:val="21"/>
                <w:highlight w:val="none"/>
              </w:rPr>
            </w:pPr>
          </w:p>
        </w:tc>
      </w:tr>
      <w:tr w14:paraId="5FC6B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24CA590">
            <w:pPr>
              <w:jc w:val="center"/>
              <w:rPr>
                <w:rFonts w:ascii="宋体" w:hAnsi="宋体" w:cs="宋体"/>
                <w:bCs/>
                <w:color w:val="auto"/>
                <w:szCs w:val="21"/>
                <w:highlight w:val="none"/>
              </w:rPr>
            </w:pPr>
          </w:p>
        </w:tc>
        <w:tc>
          <w:tcPr>
            <w:tcW w:w="1140" w:type="dxa"/>
            <w:tcBorders>
              <w:tl2br w:val="nil"/>
              <w:tr2bl w:val="nil"/>
            </w:tcBorders>
            <w:vAlign w:val="center"/>
          </w:tcPr>
          <w:p w14:paraId="77B4D3DC">
            <w:pPr>
              <w:rPr>
                <w:rFonts w:ascii="宋体" w:hAnsi="宋体" w:cs="宋体"/>
                <w:bCs/>
                <w:color w:val="auto"/>
                <w:szCs w:val="21"/>
                <w:highlight w:val="none"/>
              </w:rPr>
            </w:pPr>
          </w:p>
        </w:tc>
        <w:tc>
          <w:tcPr>
            <w:tcW w:w="1178" w:type="dxa"/>
            <w:tcBorders>
              <w:tl2br w:val="nil"/>
              <w:tr2bl w:val="nil"/>
            </w:tcBorders>
            <w:vAlign w:val="center"/>
          </w:tcPr>
          <w:p w14:paraId="71D1E4F5">
            <w:pPr>
              <w:rPr>
                <w:rFonts w:ascii="宋体" w:hAnsi="宋体" w:cs="宋体"/>
                <w:bCs/>
                <w:color w:val="auto"/>
                <w:szCs w:val="21"/>
                <w:highlight w:val="none"/>
              </w:rPr>
            </w:pPr>
          </w:p>
        </w:tc>
        <w:tc>
          <w:tcPr>
            <w:tcW w:w="1365" w:type="dxa"/>
            <w:tcBorders>
              <w:tl2br w:val="nil"/>
              <w:tr2bl w:val="nil"/>
            </w:tcBorders>
            <w:vAlign w:val="center"/>
          </w:tcPr>
          <w:p w14:paraId="4EB54B07">
            <w:pPr>
              <w:rPr>
                <w:rFonts w:ascii="宋体" w:hAnsi="宋体" w:cs="宋体"/>
                <w:bCs/>
                <w:color w:val="auto"/>
                <w:szCs w:val="21"/>
                <w:highlight w:val="none"/>
              </w:rPr>
            </w:pPr>
          </w:p>
        </w:tc>
        <w:tc>
          <w:tcPr>
            <w:tcW w:w="1815" w:type="dxa"/>
            <w:tcBorders>
              <w:tl2br w:val="nil"/>
              <w:tr2bl w:val="nil"/>
            </w:tcBorders>
            <w:vAlign w:val="center"/>
          </w:tcPr>
          <w:p w14:paraId="11CD04A4">
            <w:pPr>
              <w:rPr>
                <w:rFonts w:ascii="宋体" w:hAnsi="宋体" w:cs="宋体"/>
                <w:bCs/>
                <w:color w:val="auto"/>
                <w:szCs w:val="21"/>
                <w:highlight w:val="none"/>
              </w:rPr>
            </w:pPr>
          </w:p>
        </w:tc>
        <w:tc>
          <w:tcPr>
            <w:tcW w:w="1207" w:type="dxa"/>
            <w:tcBorders>
              <w:tl2br w:val="nil"/>
              <w:tr2bl w:val="nil"/>
            </w:tcBorders>
            <w:vAlign w:val="center"/>
          </w:tcPr>
          <w:p w14:paraId="025060F6">
            <w:pPr>
              <w:rPr>
                <w:rFonts w:ascii="宋体" w:hAnsi="宋体" w:cs="宋体"/>
                <w:bCs/>
                <w:color w:val="auto"/>
                <w:szCs w:val="21"/>
                <w:highlight w:val="none"/>
              </w:rPr>
            </w:pPr>
          </w:p>
        </w:tc>
        <w:tc>
          <w:tcPr>
            <w:tcW w:w="765" w:type="dxa"/>
            <w:tcBorders>
              <w:tl2br w:val="nil"/>
              <w:tr2bl w:val="nil"/>
            </w:tcBorders>
            <w:vAlign w:val="center"/>
          </w:tcPr>
          <w:p w14:paraId="7649FE52">
            <w:pPr>
              <w:rPr>
                <w:rFonts w:ascii="宋体" w:hAnsi="宋体" w:cs="宋体"/>
                <w:bCs/>
                <w:color w:val="auto"/>
                <w:szCs w:val="21"/>
                <w:highlight w:val="none"/>
              </w:rPr>
            </w:pPr>
          </w:p>
        </w:tc>
      </w:tr>
      <w:tr w14:paraId="45C5A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605DFA6">
            <w:pPr>
              <w:jc w:val="center"/>
              <w:rPr>
                <w:rFonts w:ascii="宋体" w:hAnsi="宋体" w:cs="宋体"/>
                <w:bCs/>
                <w:color w:val="auto"/>
                <w:szCs w:val="21"/>
                <w:highlight w:val="none"/>
              </w:rPr>
            </w:pPr>
          </w:p>
        </w:tc>
        <w:tc>
          <w:tcPr>
            <w:tcW w:w="1140" w:type="dxa"/>
            <w:tcBorders>
              <w:tl2br w:val="nil"/>
              <w:tr2bl w:val="nil"/>
            </w:tcBorders>
            <w:vAlign w:val="center"/>
          </w:tcPr>
          <w:p w14:paraId="4E915E44">
            <w:pPr>
              <w:rPr>
                <w:rFonts w:ascii="宋体" w:hAnsi="宋体" w:cs="宋体"/>
                <w:bCs/>
                <w:color w:val="auto"/>
                <w:szCs w:val="21"/>
                <w:highlight w:val="none"/>
              </w:rPr>
            </w:pPr>
          </w:p>
        </w:tc>
        <w:tc>
          <w:tcPr>
            <w:tcW w:w="1178" w:type="dxa"/>
            <w:tcBorders>
              <w:tl2br w:val="nil"/>
              <w:tr2bl w:val="nil"/>
            </w:tcBorders>
            <w:vAlign w:val="center"/>
          </w:tcPr>
          <w:p w14:paraId="0548D274">
            <w:pPr>
              <w:rPr>
                <w:rFonts w:ascii="宋体" w:hAnsi="宋体" w:cs="宋体"/>
                <w:bCs/>
                <w:color w:val="auto"/>
                <w:szCs w:val="21"/>
                <w:highlight w:val="none"/>
              </w:rPr>
            </w:pPr>
          </w:p>
        </w:tc>
        <w:tc>
          <w:tcPr>
            <w:tcW w:w="1365" w:type="dxa"/>
            <w:tcBorders>
              <w:tl2br w:val="nil"/>
              <w:tr2bl w:val="nil"/>
            </w:tcBorders>
            <w:vAlign w:val="center"/>
          </w:tcPr>
          <w:p w14:paraId="0C69FF0E">
            <w:pPr>
              <w:rPr>
                <w:rFonts w:ascii="宋体" w:hAnsi="宋体" w:cs="宋体"/>
                <w:bCs/>
                <w:color w:val="auto"/>
                <w:szCs w:val="21"/>
                <w:highlight w:val="none"/>
              </w:rPr>
            </w:pPr>
          </w:p>
        </w:tc>
        <w:tc>
          <w:tcPr>
            <w:tcW w:w="1815" w:type="dxa"/>
            <w:tcBorders>
              <w:tl2br w:val="nil"/>
              <w:tr2bl w:val="nil"/>
            </w:tcBorders>
            <w:vAlign w:val="center"/>
          </w:tcPr>
          <w:p w14:paraId="569292B3">
            <w:pPr>
              <w:rPr>
                <w:rFonts w:ascii="宋体" w:hAnsi="宋体" w:cs="宋体"/>
                <w:bCs/>
                <w:color w:val="auto"/>
                <w:szCs w:val="21"/>
                <w:highlight w:val="none"/>
              </w:rPr>
            </w:pPr>
          </w:p>
        </w:tc>
        <w:tc>
          <w:tcPr>
            <w:tcW w:w="1207" w:type="dxa"/>
            <w:tcBorders>
              <w:tl2br w:val="nil"/>
              <w:tr2bl w:val="nil"/>
            </w:tcBorders>
            <w:vAlign w:val="center"/>
          </w:tcPr>
          <w:p w14:paraId="145C3095">
            <w:pPr>
              <w:rPr>
                <w:rFonts w:ascii="宋体" w:hAnsi="宋体" w:cs="宋体"/>
                <w:bCs/>
                <w:color w:val="auto"/>
                <w:szCs w:val="21"/>
                <w:highlight w:val="none"/>
              </w:rPr>
            </w:pPr>
          </w:p>
        </w:tc>
        <w:tc>
          <w:tcPr>
            <w:tcW w:w="765" w:type="dxa"/>
            <w:tcBorders>
              <w:tl2br w:val="nil"/>
              <w:tr2bl w:val="nil"/>
            </w:tcBorders>
            <w:vAlign w:val="center"/>
          </w:tcPr>
          <w:p w14:paraId="6622EB33">
            <w:pPr>
              <w:rPr>
                <w:rFonts w:ascii="宋体" w:hAnsi="宋体" w:cs="宋体"/>
                <w:bCs/>
                <w:color w:val="auto"/>
                <w:szCs w:val="21"/>
                <w:highlight w:val="none"/>
              </w:rPr>
            </w:pPr>
          </w:p>
        </w:tc>
      </w:tr>
      <w:tr w14:paraId="1694C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25406B5">
            <w:pPr>
              <w:jc w:val="center"/>
              <w:rPr>
                <w:rFonts w:ascii="宋体" w:hAnsi="宋体" w:cs="宋体"/>
                <w:bCs/>
                <w:color w:val="auto"/>
                <w:szCs w:val="21"/>
                <w:highlight w:val="none"/>
              </w:rPr>
            </w:pPr>
          </w:p>
        </w:tc>
        <w:tc>
          <w:tcPr>
            <w:tcW w:w="1140" w:type="dxa"/>
            <w:tcBorders>
              <w:tl2br w:val="nil"/>
              <w:tr2bl w:val="nil"/>
            </w:tcBorders>
            <w:vAlign w:val="center"/>
          </w:tcPr>
          <w:p w14:paraId="14DD9CC0">
            <w:pPr>
              <w:rPr>
                <w:rFonts w:ascii="宋体" w:hAnsi="宋体" w:cs="宋体"/>
                <w:bCs/>
                <w:color w:val="auto"/>
                <w:szCs w:val="21"/>
                <w:highlight w:val="none"/>
              </w:rPr>
            </w:pPr>
          </w:p>
        </w:tc>
        <w:tc>
          <w:tcPr>
            <w:tcW w:w="1178" w:type="dxa"/>
            <w:tcBorders>
              <w:tl2br w:val="nil"/>
              <w:tr2bl w:val="nil"/>
            </w:tcBorders>
            <w:vAlign w:val="center"/>
          </w:tcPr>
          <w:p w14:paraId="1D0D806B">
            <w:pPr>
              <w:rPr>
                <w:rFonts w:ascii="宋体" w:hAnsi="宋体" w:cs="宋体"/>
                <w:bCs/>
                <w:color w:val="auto"/>
                <w:szCs w:val="21"/>
                <w:highlight w:val="none"/>
              </w:rPr>
            </w:pPr>
          </w:p>
        </w:tc>
        <w:tc>
          <w:tcPr>
            <w:tcW w:w="1365" w:type="dxa"/>
            <w:tcBorders>
              <w:tl2br w:val="nil"/>
              <w:tr2bl w:val="nil"/>
            </w:tcBorders>
            <w:vAlign w:val="center"/>
          </w:tcPr>
          <w:p w14:paraId="14A01C62">
            <w:pPr>
              <w:rPr>
                <w:rFonts w:ascii="宋体" w:hAnsi="宋体" w:cs="宋体"/>
                <w:bCs/>
                <w:color w:val="auto"/>
                <w:szCs w:val="21"/>
                <w:highlight w:val="none"/>
              </w:rPr>
            </w:pPr>
          </w:p>
        </w:tc>
        <w:tc>
          <w:tcPr>
            <w:tcW w:w="1815" w:type="dxa"/>
            <w:tcBorders>
              <w:tl2br w:val="nil"/>
              <w:tr2bl w:val="nil"/>
            </w:tcBorders>
            <w:vAlign w:val="center"/>
          </w:tcPr>
          <w:p w14:paraId="5A6158A8">
            <w:pPr>
              <w:rPr>
                <w:rFonts w:ascii="宋体" w:hAnsi="宋体" w:cs="宋体"/>
                <w:bCs/>
                <w:color w:val="auto"/>
                <w:szCs w:val="21"/>
                <w:highlight w:val="none"/>
              </w:rPr>
            </w:pPr>
          </w:p>
        </w:tc>
        <w:tc>
          <w:tcPr>
            <w:tcW w:w="1207" w:type="dxa"/>
            <w:tcBorders>
              <w:tl2br w:val="nil"/>
              <w:tr2bl w:val="nil"/>
            </w:tcBorders>
            <w:vAlign w:val="center"/>
          </w:tcPr>
          <w:p w14:paraId="10723238">
            <w:pPr>
              <w:rPr>
                <w:rFonts w:ascii="宋体" w:hAnsi="宋体" w:cs="宋体"/>
                <w:bCs/>
                <w:color w:val="auto"/>
                <w:szCs w:val="21"/>
                <w:highlight w:val="none"/>
              </w:rPr>
            </w:pPr>
          </w:p>
        </w:tc>
        <w:tc>
          <w:tcPr>
            <w:tcW w:w="765" w:type="dxa"/>
            <w:tcBorders>
              <w:tl2br w:val="nil"/>
              <w:tr2bl w:val="nil"/>
            </w:tcBorders>
            <w:vAlign w:val="center"/>
          </w:tcPr>
          <w:p w14:paraId="040BA6FB">
            <w:pPr>
              <w:rPr>
                <w:rFonts w:ascii="宋体" w:hAnsi="宋体" w:cs="宋体"/>
                <w:bCs/>
                <w:color w:val="auto"/>
                <w:szCs w:val="21"/>
                <w:highlight w:val="none"/>
              </w:rPr>
            </w:pPr>
          </w:p>
        </w:tc>
      </w:tr>
      <w:tr w14:paraId="2A073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C304CAD">
            <w:pPr>
              <w:jc w:val="center"/>
              <w:rPr>
                <w:rFonts w:ascii="宋体" w:hAnsi="宋体" w:cs="宋体"/>
                <w:bCs/>
                <w:color w:val="auto"/>
                <w:szCs w:val="21"/>
                <w:highlight w:val="none"/>
              </w:rPr>
            </w:pPr>
          </w:p>
        </w:tc>
        <w:tc>
          <w:tcPr>
            <w:tcW w:w="1140" w:type="dxa"/>
            <w:tcBorders>
              <w:tl2br w:val="nil"/>
              <w:tr2bl w:val="nil"/>
            </w:tcBorders>
            <w:vAlign w:val="center"/>
          </w:tcPr>
          <w:p w14:paraId="2F203C03">
            <w:pPr>
              <w:rPr>
                <w:rFonts w:ascii="宋体" w:hAnsi="宋体" w:cs="宋体"/>
                <w:bCs/>
                <w:color w:val="auto"/>
                <w:szCs w:val="21"/>
                <w:highlight w:val="none"/>
              </w:rPr>
            </w:pPr>
          </w:p>
        </w:tc>
        <w:tc>
          <w:tcPr>
            <w:tcW w:w="1178" w:type="dxa"/>
            <w:tcBorders>
              <w:tl2br w:val="nil"/>
              <w:tr2bl w:val="nil"/>
            </w:tcBorders>
            <w:vAlign w:val="center"/>
          </w:tcPr>
          <w:p w14:paraId="2F368191">
            <w:pPr>
              <w:rPr>
                <w:rFonts w:ascii="宋体" w:hAnsi="宋体" w:cs="宋体"/>
                <w:bCs/>
                <w:color w:val="auto"/>
                <w:szCs w:val="21"/>
                <w:highlight w:val="none"/>
              </w:rPr>
            </w:pPr>
          </w:p>
        </w:tc>
        <w:tc>
          <w:tcPr>
            <w:tcW w:w="1365" w:type="dxa"/>
            <w:tcBorders>
              <w:tl2br w:val="nil"/>
              <w:tr2bl w:val="nil"/>
            </w:tcBorders>
            <w:vAlign w:val="center"/>
          </w:tcPr>
          <w:p w14:paraId="1D5FB766">
            <w:pPr>
              <w:rPr>
                <w:rFonts w:ascii="宋体" w:hAnsi="宋体" w:cs="宋体"/>
                <w:bCs/>
                <w:color w:val="auto"/>
                <w:szCs w:val="21"/>
                <w:highlight w:val="none"/>
              </w:rPr>
            </w:pPr>
          </w:p>
        </w:tc>
        <w:tc>
          <w:tcPr>
            <w:tcW w:w="1815" w:type="dxa"/>
            <w:tcBorders>
              <w:tl2br w:val="nil"/>
              <w:tr2bl w:val="nil"/>
            </w:tcBorders>
            <w:vAlign w:val="center"/>
          </w:tcPr>
          <w:p w14:paraId="518D3EB0">
            <w:pPr>
              <w:rPr>
                <w:rFonts w:ascii="宋体" w:hAnsi="宋体" w:cs="宋体"/>
                <w:bCs/>
                <w:color w:val="auto"/>
                <w:szCs w:val="21"/>
                <w:highlight w:val="none"/>
              </w:rPr>
            </w:pPr>
          </w:p>
        </w:tc>
        <w:tc>
          <w:tcPr>
            <w:tcW w:w="1207" w:type="dxa"/>
            <w:tcBorders>
              <w:tl2br w:val="nil"/>
              <w:tr2bl w:val="nil"/>
            </w:tcBorders>
            <w:vAlign w:val="center"/>
          </w:tcPr>
          <w:p w14:paraId="1339CDD1">
            <w:pPr>
              <w:rPr>
                <w:rFonts w:ascii="宋体" w:hAnsi="宋体" w:cs="宋体"/>
                <w:bCs/>
                <w:color w:val="auto"/>
                <w:szCs w:val="21"/>
                <w:highlight w:val="none"/>
              </w:rPr>
            </w:pPr>
          </w:p>
        </w:tc>
        <w:tc>
          <w:tcPr>
            <w:tcW w:w="765" w:type="dxa"/>
            <w:tcBorders>
              <w:tl2br w:val="nil"/>
              <w:tr2bl w:val="nil"/>
            </w:tcBorders>
            <w:vAlign w:val="center"/>
          </w:tcPr>
          <w:p w14:paraId="76785764">
            <w:pPr>
              <w:rPr>
                <w:rFonts w:ascii="宋体" w:hAnsi="宋体" w:cs="宋体"/>
                <w:bCs/>
                <w:color w:val="auto"/>
                <w:szCs w:val="21"/>
                <w:highlight w:val="none"/>
              </w:rPr>
            </w:pPr>
          </w:p>
        </w:tc>
      </w:tr>
      <w:tr w14:paraId="08555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9582EF7">
            <w:pPr>
              <w:jc w:val="center"/>
              <w:rPr>
                <w:rFonts w:ascii="宋体" w:hAnsi="宋体" w:cs="宋体"/>
                <w:bCs/>
                <w:color w:val="auto"/>
                <w:szCs w:val="21"/>
                <w:highlight w:val="none"/>
              </w:rPr>
            </w:pPr>
          </w:p>
        </w:tc>
        <w:tc>
          <w:tcPr>
            <w:tcW w:w="1140" w:type="dxa"/>
            <w:tcBorders>
              <w:tl2br w:val="nil"/>
              <w:tr2bl w:val="nil"/>
            </w:tcBorders>
            <w:vAlign w:val="center"/>
          </w:tcPr>
          <w:p w14:paraId="317B83D5">
            <w:pPr>
              <w:rPr>
                <w:rFonts w:ascii="宋体" w:hAnsi="宋体" w:cs="宋体"/>
                <w:bCs/>
                <w:color w:val="auto"/>
                <w:szCs w:val="21"/>
                <w:highlight w:val="none"/>
              </w:rPr>
            </w:pPr>
          </w:p>
        </w:tc>
        <w:tc>
          <w:tcPr>
            <w:tcW w:w="1178" w:type="dxa"/>
            <w:tcBorders>
              <w:tl2br w:val="nil"/>
              <w:tr2bl w:val="nil"/>
            </w:tcBorders>
            <w:vAlign w:val="center"/>
          </w:tcPr>
          <w:p w14:paraId="550AEF2B">
            <w:pPr>
              <w:rPr>
                <w:rFonts w:ascii="宋体" w:hAnsi="宋体" w:cs="宋体"/>
                <w:bCs/>
                <w:color w:val="auto"/>
                <w:szCs w:val="21"/>
                <w:highlight w:val="none"/>
              </w:rPr>
            </w:pPr>
          </w:p>
        </w:tc>
        <w:tc>
          <w:tcPr>
            <w:tcW w:w="1365" w:type="dxa"/>
            <w:tcBorders>
              <w:tl2br w:val="nil"/>
              <w:tr2bl w:val="nil"/>
            </w:tcBorders>
            <w:vAlign w:val="center"/>
          </w:tcPr>
          <w:p w14:paraId="2D5F0EAE">
            <w:pPr>
              <w:rPr>
                <w:rFonts w:ascii="宋体" w:hAnsi="宋体" w:cs="宋体"/>
                <w:bCs/>
                <w:color w:val="auto"/>
                <w:szCs w:val="21"/>
                <w:highlight w:val="none"/>
              </w:rPr>
            </w:pPr>
          </w:p>
        </w:tc>
        <w:tc>
          <w:tcPr>
            <w:tcW w:w="1815" w:type="dxa"/>
            <w:tcBorders>
              <w:tl2br w:val="nil"/>
              <w:tr2bl w:val="nil"/>
            </w:tcBorders>
            <w:vAlign w:val="center"/>
          </w:tcPr>
          <w:p w14:paraId="38604545">
            <w:pPr>
              <w:rPr>
                <w:rFonts w:ascii="宋体" w:hAnsi="宋体" w:cs="宋体"/>
                <w:bCs/>
                <w:color w:val="auto"/>
                <w:szCs w:val="21"/>
                <w:highlight w:val="none"/>
              </w:rPr>
            </w:pPr>
          </w:p>
        </w:tc>
        <w:tc>
          <w:tcPr>
            <w:tcW w:w="1207" w:type="dxa"/>
            <w:tcBorders>
              <w:tl2br w:val="nil"/>
              <w:tr2bl w:val="nil"/>
            </w:tcBorders>
            <w:vAlign w:val="center"/>
          </w:tcPr>
          <w:p w14:paraId="6A06DA67">
            <w:pPr>
              <w:rPr>
                <w:rFonts w:ascii="宋体" w:hAnsi="宋体" w:cs="宋体"/>
                <w:bCs/>
                <w:color w:val="auto"/>
                <w:szCs w:val="21"/>
                <w:highlight w:val="none"/>
              </w:rPr>
            </w:pPr>
          </w:p>
        </w:tc>
        <w:tc>
          <w:tcPr>
            <w:tcW w:w="765" w:type="dxa"/>
            <w:tcBorders>
              <w:tl2br w:val="nil"/>
              <w:tr2bl w:val="nil"/>
            </w:tcBorders>
            <w:vAlign w:val="center"/>
          </w:tcPr>
          <w:p w14:paraId="4EABA0C9">
            <w:pPr>
              <w:rPr>
                <w:rFonts w:ascii="宋体" w:hAnsi="宋体" w:cs="宋体"/>
                <w:bCs/>
                <w:color w:val="auto"/>
                <w:szCs w:val="21"/>
                <w:highlight w:val="none"/>
              </w:rPr>
            </w:pPr>
          </w:p>
        </w:tc>
      </w:tr>
    </w:tbl>
    <w:p w14:paraId="3C677021">
      <w:pPr>
        <w:pStyle w:val="40"/>
        <w:rPr>
          <w:rFonts w:ascii="宋体" w:hAnsi="宋体"/>
          <w:color w:val="auto"/>
          <w:szCs w:val="21"/>
          <w:highlight w:val="none"/>
        </w:rPr>
      </w:pPr>
    </w:p>
    <w:p w14:paraId="32D73FCD">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26DE8BEE">
      <w:pPr>
        <w:rPr>
          <w:color w:val="auto"/>
          <w:highlight w:val="none"/>
        </w:rPr>
      </w:pPr>
    </w:p>
    <w:p w14:paraId="7EE055A9">
      <w:pPr>
        <w:rPr>
          <w:color w:val="auto"/>
          <w:highlight w:val="none"/>
        </w:rPr>
      </w:pPr>
    </w:p>
    <w:p w14:paraId="48E75F47">
      <w:pPr>
        <w:rPr>
          <w:color w:val="auto"/>
          <w:highlight w:val="none"/>
        </w:rPr>
      </w:pPr>
    </w:p>
    <w:p w14:paraId="4EEA8DCA">
      <w:pPr>
        <w:rPr>
          <w:color w:val="auto"/>
          <w:highlight w:val="none"/>
        </w:rPr>
      </w:pPr>
    </w:p>
    <w:p w14:paraId="4C8942AE">
      <w:pPr>
        <w:rPr>
          <w:color w:val="auto"/>
          <w:highlight w:val="none"/>
        </w:rPr>
      </w:pPr>
    </w:p>
    <w:p w14:paraId="6BAF8879">
      <w:pPr>
        <w:rPr>
          <w:color w:val="auto"/>
          <w:highlight w:val="none"/>
        </w:rPr>
      </w:pPr>
    </w:p>
    <w:p w14:paraId="014FE42D">
      <w:pPr>
        <w:rPr>
          <w:color w:val="auto"/>
          <w:highlight w:val="none"/>
        </w:rPr>
      </w:pPr>
    </w:p>
    <w:p w14:paraId="4782FC57">
      <w:pPr>
        <w:rPr>
          <w:color w:val="auto"/>
          <w:highlight w:val="none"/>
        </w:rPr>
      </w:pPr>
    </w:p>
    <w:p w14:paraId="445A9A7A">
      <w:pPr>
        <w:rPr>
          <w:color w:val="auto"/>
          <w:highlight w:val="none"/>
        </w:rPr>
      </w:pPr>
    </w:p>
    <w:p w14:paraId="173AC555">
      <w:pPr>
        <w:rPr>
          <w:color w:val="auto"/>
          <w:highlight w:val="none"/>
        </w:rPr>
      </w:pPr>
    </w:p>
    <w:p w14:paraId="097874BC">
      <w:pPr>
        <w:rPr>
          <w:color w:val="auto"/>
          <w:highlight w:val="none"/>
        </w:rPr>
      </w:pPr>
    </w:p>
    <w:p w14:paraId="5D6996B3">
      <w:pPr>
        <w:rPr>
          <w:color w:val="auto"/>
          <w:highlight w:val="none"/>
        </w:rPr>
      </w:pPr>
    </w:p>
    <w:p w14:paraId="6F37FF2F">
      <w:pPr>
        <w:rPr>
          <w:color w:val="auto"/>
          <w:highlight w:val="none"/>
        </w:rPr>
      </w:pPr>
    </w:p>
    <w:p w14:paraId="32CBF6C4">
      <w:pPr>
        <w:rPr>
          <w:color w:val="auto"/>
          <w:highlight w:val="none"/>
        </w:rPr>
      </w:pPr>
    </w:p>
    <w:p w14:paraId="03907158">
      <w:pPr>
        <w:pStyle w:val="10"/>
        <w:rPr>
          <w:color w:val="auto"/>
          <w:highlight w:val="none"/>
        </w:rPr>
      </w:pPr>
    </w:p>
    <w:p w14:paraId="18CBE498">
      <w:pPr>
        <w:pStyle w:val="10"/>
        <w:ind w:left="0"/>
        <w:rPr>
          <w:color w:val="auto"/>
          <w:highlight w:val="none"/>
        </w:rPr>
      </w:pPr>
    </w:p>
    <w:p w14:paraId="038DC63C">
      <w:pPr>
        <w:pStyle w:val="5"/>
        <w:jc w:val="center"/>
        <w:outlineLvl w:val="1"/>
        <w:rPr>
          <w:rFonts w:ascii="黑体" w:eastAsia="黑体"/>
          <w:color w:val="auto"/>
          <w:szCs w:val="28"/>
          <w:highlight w:val="none"/>
        </w:rPr>
      </w:pPr>
      <w:bookmarkStart w:id="311" w:name="_Toc284"/>
      <w:bookmarkStart w:id="312" w:name="_Toc14688"/>
      <w:r>
        <w:rPr>
          <w:rFonts w:hint="eastAsia"/>
          <w:color w:val="auto"/>
          <w:highlight w:val="none"/>
        </w:rPr>
        <w:t>第三章技术文件</w:t>
      </w:r>
      <w:bookmarkEnd w:id="308"/>
      <w:bookmarkEnd w:id="311"/>
      <w:bookmarkEnd w:id="312"/>
    </w:p>
    <w:p w14:paraId="6AF732FB">
      <w:pPr>
        <w:pStyle w:val="5"/>
        <w:jc w:val="center"/>
        <w:rPr>
          <w:color w:val="auto"/>
          <w:highlight w:val="none"/>
        </w:rPr>
      </w:pPr>
      <w:bookmarkStart w:id="313" w:name="_Toc21292"/>
      <w:bookmarkStart w:id="314" w:name="_Toc7092"/>
      <w:r>
        <w:rPr>
          <w:rFonts w:hint="eastAsia"/>
          <w:color w:val="auto"/>
          <w:highlight w:val="none"/>
        </w:rPr>
        <w:t>一、技术规格偏离表</w:t>
      </w:r>
      <w:bookmarkEnd w:id="313"/>
      <w:bookmarkEnd w:id="314"/>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78BCD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0B6400A0">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5182CF8B">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5E413300">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68F4F3EE">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548D3268">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86BEFF1">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2D614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1703E8E">
            <w:pPr>
              <w:jc w:val="center"/>
              <w:rPr>
                <w:rFonts w:ascii="宋体" w:hAnsi="宋体" w:cs="宋体"/>
                <w:color w:val="auto"/>
                <w:szCs w:val="21"/>
                <w:highlight w:val="none"/>
              </w:rPr>
            </w:pPr>
          </w:p>
        </w:tc>
        <w:tc>
          <w:tcPr>
            <w:tcW w:w="1623" w:type="dxa"/>
            <w:tcBorders>
              <w:tl2br w:val="nil"/>
              <w:tr2bl w:val="nil"/>
            </w:tcBorders>
            <w:vAlign w:val="center"/>
          </w:tcPr>
          <w:p w14:paraId="662522C1">
            <w:pPr>
              <w:jc w:val="center"/>
              <w:rPr>
                <w:rFonts w:ascii="宋体" w:hAnsi="宋体" w:cs="宋体"/>
                <w:color w:val="auto"/>
                <w:szCs w:val="21"/>
                <w:highlight w:val="none"/>
              </w:rPr>
            </w:pPr>
          </w:p>
        </w:tc>
        <w:tc>
          <w:tcPr>
            <w:tcW w:w="1815" w:type="dxa"/>
            <w:tcBorders>
              <w:tl2br w:val="nil"/>
              <w:tr2bl w:val="nil"/>
            </w:tcBorders>
            <w:vAlign w:val="center"/>
          </w:tcPr>
          <w:p w14:paraId="4C5DA039">
            <w:pPr>
              <w:jc w:val="center"/>
              <w:rPr>
                <w:rFonts w:ascii="宋体" w:hAnsi="宋体" w:cs="宋体"/>
                <w:color w:val="auto"/>
                <w:szCs w:val="21"/>
                <w:highlight w:val="none"/>
              </w:rPr>
            </w:pPr>
          </w:p>
        </w:tc>
        <w:tc>
          <w:tcPr>
            <w:tcW w:w="1590" w:type="dxa"/>
            <w:tcBorders>
              <w:tl2br w:val="nil"/>
              <w:tr2bl w:val="nil"/>
            </w:tcBorders>
            <w:vAlign w:val="center"/>
          </w:tcPr>
          <w:p w14:paraId="1D6A443B">
            <w:pPr>
              <w:jc w:val="center"/>
              <w:rPr>
                <w:rFonts w:ascii="宋体" w:hAnsi="宋体" w:cs="宋体"/>
                <w:color w:val="auto"/>
                <w:szCs w:val="21"/>
                <w:highlight w:val="none"/>
              </w:rPr>
            </w:pPr>
          </w:p>
        </w:tc>
        <w:tc>
          <w:tcPr>
            <w:tcW w:w="1260" w:type="dxa"/>
            <w:tcBorders>
              <w:tl2br w:val="nil"/>
              <w:tr2bl w:val="nil"/>
            </w:tcBorders>
            <w:vAlign w:val="center"/>
          </w:tcPr>
          <w:p w14:paraId="6729247B">
            <w:pPr>
              <w:jc w:val="center"/>
              <w:rPr>
                <w:rFonts w:ascii="宋体" w:hAnsi="宋体" w:cs="宋体"/>
                <w:color w:val="auto"/>
                <w:szCs w:val="21"/>
                <w:highlight w:val="none"/>
              </w:rPr>
            </w:pPr>
          </w:p>
        </w:tc>
        <w:tc>
          <w:tcPr>
            <w:tcW w:w="1200" w:type="dxa"/>
            <w:tcBorders>
              <w:tl2br w:val="nil"/>
              <w:tr2bl w:val="nil"/>
            </w:tcBorders>
            <w:vAlign w:val="center"/>
          </w:tcPr>
          <w:p w14:paraId="5E1B6BAC">
            <w:pPr>
              <w:jc w:val="center"/>
              <w:rPr>
                <w:rFonts w:ascii="宋体" w:hAnsi="宋体" w:cs="宋体"/>
                <w:color w:val="auto"/>
                <w:szCs w:val="21"/>
                <w:highlight w:val="none"/>
              </w:rPr>
            </w:pPr>
          </w:p>
        </w:tc>
      </w:tr>
      <w:tr w14:paraId="5F6CC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600937">
            <w:pPr>
              <w:jc w:val="center"/>
              <w:rPr>
                <w:rFonts w:ascii="宋体" w:hAnsi="宋体" w:cs="宋体"/>
                <w:color w:val="auto"/>
                <w:szCs w:val="21"/>
                <w:highlight w:val="none"/>
              </w:rPr>
            </w:pPr>
          </w:p>
        </w:tc>
        <w:tc>
          <w:tcPr>
            <w:tcW w:w="1623" w:type="dxa"/>
            <w:tcBorders>
              <w:tl2br w:val="nil"/>
              <w:tr2bl w:val="nil"/>
            </w:tcBorders>
            <w:vAlign w:val="center"/>
          </w:tcPr>
          <w:p w14:paraId="02871985">
            <w:pPr>
              <w:jc w:val="center"/>
              <w:rPr>
                <w:rFonts w:ascii="宋体" w:hAnsi="宋体" w:cs="宋体"/>
                <w:color w:val="auto"/>
                <w:szCs w:val="21"/>
                <w:highlight w:val="none"/>
              </w:rPr>
            </w:pPr>
          </w:p>
        </w:tc>
        <w:tc>
          <w:tcPr>
            <w:tcW w:w="1815" w:type="dxa"/>
            <w:tcBorders>
              <w:tl2br w:val="nil"/>
              <w:tr2bl w:val="nil"/>
            </w:tcBorders>
            <w:vAlign w:val="center"/>
          </w:tcPr>
          <w:p w14:paraId="0A1B1C53">
            <w:pPr>
              <w:jc w:val="center"/>
              <w:rPr>
                <w:rFonts w:ascii="宋体" w:hAnsi="宋体" w:cs="宋体"/>
                <w:color w:val="auto"/>
                <w:szCs w:val="21"/>
                <w:highlight w:val="none"/>
              </w:rPr>
            </w:pPr>
          </w:p>
        </w:tc>
        <w:tc>
          <w:tcPr>
            <w:tcW w:w="1590" w:type="dxa"/>
            <w:tcBorders>
              <w:tl2br w:val="nil"/>
              <w:tr2bl w:val="nil"/>
            </w:tcBorders>
            <w:vAlign w:val="center"/>
          </w:tcPr>
          <w:p w14:paraId="1F4FD699">
            <w:pPr>
              <w:jc w:val="center"/>
              <w:rPr>
                <w:rFonts w:ascii="宋体" w:hAnsi="宋体" w:cs="宋体"/>
                <w:color w:val="auto"/>
                <w:szCs w:val="21"/>
                <w:highlight w:val="none"/>
              </w:rPr>
            </w:pPr>
          </w:p>
        </w:tc>
        <w:tc>
          <w:tcPr>
            <w:tcW w:w="1260" w:type="dxa"/>
            <w:tcBorders>
              <w:tl2br w:val="nil"/>
              <w:tr2bl w:val="nil"/>
            </w:tcBorders>
            <w:vAlign w:val="center"/>
          </w:tcPr>
          <w:p w14:paraId="70706A22">
            <w:pPr>
              <w:jc w:val="center"/>
              <w:rPr>
                <w:rFonts w:ascii="宋体" w:hAnsi="宋体" w:cs="宋体"/>
                <w:color w:val="auto"/>
                <w:szCs w:val="21"/>
                <w:highlight w:val="none"/>
              </w:rPr>
            </w:pPr>
          </w:p>
        </w:tc>
        <w:tc>
          <w:tcPr>
            <w:tcW w:w="1200" w:type="dxa"/>
            <w:tcBorders>
              <w:tl2br w:val="nil"/>
              <w:tr2bl w:val="nil"/>
            </w:tcBorders>
            <w:vAlign w:val="center"/>
          </w:tcPr>
          <w:p w14:paraId="7EB432AB">
            <w:pPr>
              <w:jc w:val="center"/>
              <w:rPr>
                <w:rFonts w:ascii="宋体" w:hAnsi="宋体" w:cs="宋体"/>
                <w:color w:val="auto"/>
                <w:szCs w:val="21"/>
                <w:highlight w:val="none"/>
              </w:rPr>
            </w:pPr>
          </w:p>
        </w:tc>
      </w:tr>
      <w:tr w14:paraId="59588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4B3DB6A">
            <w:pPr>
              <w:jc w:val="center"/>
              <w:rPr>
                <w:rFonts w:ascii="宋体" w:hAnsi="宋体" w:cs="宋体"/>
                <w:color w:val="auto"/>
                <w:szCs w:val="21"/>
                <w:highlight w:val="none"/>
              </w:rPr>
            </w:pPr>
          </w:p>
        </w:tc>
        <w:tc>
          <w:tcPr>
            <w:tcW w:w="1623" w:type="dxa"/>
            <w:tcBorders>
              <w:tl2br w:val="nil"/>
              <w:tr2bl w:val="nil"/>
            </w:tcBorders>
            <w:vAlign w:val="center"/>
          </w:tcPr>
          <w:p w14:paraId="61672DEC">
            <w:pPr>
              <w:jc w:val="center"/>
              <w:rPr>
                <w:rFonts w:ascii="宋体" w:hAnsi="宋体" w:cs="宋体"/>
                <w:color w:val="auto"/>
                <w:szCs w:val="21"/>
                <w:highlight w:val="none"/>
              </w:rPr>
            </w:pPr>
          </w:p>
        </w:tc>
        <w:tc>
          <w:tcPr>
            <w:tcW w:w="1815" w:type="dxa"/>
            <w:tcBorders>
              <w:tl2br w:val="nil"/>
              <w:tr2bl w:val="nil"/>
            </w:tcBorders>
            <w:vAlign w:val="center"/>
          </w:tcPr>
          <w:p w14:paraId="3E03EBEC">
            <w:pPr>
              <w:jc w:val="center"/>
              <w:rPr>
                <w:rFonts w:ascii="宋体" w:hAnsi="宋体" w:cs="宋体"/>
                <w:color w:val="auto"/>
                <w:szCs w:val="21"/>
                <w:highlight w:val="none"/>
              </w:rPr>
            </w:pPr>
          </w:p>
        </w:tc>
        <w:tc>
          <w:tcPr>
            <w:tcW w:w="1590" w:type="dxa"/>
            <w:tcBorders>
              <w:tl2br w:val="nil"/>
              <w:tr2bl w:val="nil"/>
            </w:tcBorders>
            <w:vAlign w:val="center"/>
          </w:tcPr>
          <w:p w14:paraId="055E9765">
            <w:pPr>
              <w:jc w:val="center"/>
              <w:rPr>
                <w:rFonts w:ascii="宋体" w:hAnsi="宋体" w:cs="宋体"/>
                <w:color w:val="auto"/>
                <w:szCs w:val="21"/>
                <w:highlight w:val="none"/>
              </w:rPr>
            </w:pPr>
          </w:p>
        </w:tc>
        <w:tc>
          <w:tcPr>
            <w:tcW w:w="1260" w:type="dxa"/>
            <w:tcBorders>
              <w:tl2br w:val="nil"/>
              <w:tr2bl w:val="nil"/>
            </w:tcBorders>
            <w:vAlign w:val="center"/>
          </w:tcPr>
          <w:p w14:paraId="5B177B15">
            <w:pPr>
              <w:jc w:val="center"/>
              <w:rPr>
                <w:rFonts w:ascii="宋体" w:hAnsi="宋体" w:cs="宋体"/>
                <w:color w:val="auto"/>
                <w:szCs w:val="21"/>
                <w:highlight w:val="none"/>
              </w:rPr>
            </w:pPr>
          </w:p>
        </w:tc>
        <w:tc>
          <w:tcPr>
            <w:tcW w:w="1200" w:type="dxa"/>
            <w:tcBorders>
              <w:tl2br w:val="nil"/>
              <w:tr2bl w:val="nil"/>
            </w:tcBorders>
            <w:vAlign w:val="center"/>
          </w:tcPr>
          <w:p w14:paraId="75485F32">
            <w:pPr>
              <w:jc w:val="center"/>
              <w:rPr>
                <w:rFonts w:ascii="宋体" w:hAnsi="宋体" w:cs="宋体"/>
                <w:color w:val="auto"/>
                <w:szCs w:val="21"/>
                <w:highlight w:val="none"/>
              </w:rPr>
            </w:pPr>
          </w:p>
        </w:tc>
      </w:tr>
      <w:tr w14:paraId="21AC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8046686">
            <w:pPr>
              <w:jc w:val="center"/>
              <w:rPr>
                <w:rFonts w:ascii="宋体" w:hAnsi="宋体" w:cs="宋体"/>
                <w:color w:val="auto"/>
                <w:szCs w:val="21"/>
                <w:highlight w:val="none"/>
              </w:rPr>
            </w:pPr>
          </w:p>
        </w:tc>
        <w:tc>
          <w:tcPr>
            <w:tcW w:w="1623" w:type="dxa"/>
            <w:tcBorders>
              <w:tl2br w:val="nil"/>
              <w:tr2bl w:val="nil"/>
            </w:tcBorders>
            <w:vAlign w:val="center"/>
          </w:tcPr>
          <w:p w14:paraId="322A7B6D">
            <w:pPr>
              <w:jc w:val="center"/>
              <w:rPr>
                <w:rFonts w:ascii="宋体" w:hAnsi="宋体" w:cs="宋体"/>
                <w:color w:val="auto"/>
                <w:szCs w:val="21"/>
                <w:highlight w:val="none"/>
              </w:rPr>
            </w:pPr>
          </w:p>
        </w:tc>
        <w:tc>
          <w:tcPr>
            <w:tcW w:w="1815" w:type="dxa"/>
            <w:tcBorders>
              <w:tl2br w:val="nil"/>
              <w:tr2bl w:val="nil"/>
            </w:tcBorders>
            <w:vAlign w:val="center"/>
          </w:tcPr>
          <w:p w14:paraId="13AB1689">
            <w:pPr>
              <w:jc w:val="center"/>
              <w:rPr>
                <w:rFonts w:ascii="宋体" w:hAnsi="宋体" w:cs="宋体"/>
                <w:color w:val="auto"/>
                <w:szCs w:val="21"/>
                <w:highlight w:val="none"/>
              </w:rPr>
            </w:pPr>
          </w:p>
        </w:tc>
        <w:tc>
          <w:tcPr>
            <w:tcW w:w="1590" w:type="dxa"/>
            <w:tcBorders>
              <w:tl2br w:val="nil"/>
              <w:tr2bl w:val="nil"/>
            </w:tcBorders>
            <w:vAlign w:val="center"/>
          </w:tcPr>
          <w:p w14:paraId="6FD3B766">
            <w:pPr>
              <w:jc w:val="center"/>
              <w:rPr>
                <w:rFonts w:ascii="宋体" w:hAnsi="宋体" w:cs="宋体"/>
                <w:color w:val="auto"/>
                <w:szCs w:val="21"/>
                <w:highlight w:val="none"/>
              </w:rPr>
            </w:pPr>
          </w:p>
        </w:tc>
        <w:tc>
          <w:tcPr>
            <w:tcW w:w="1260" w:type="dxa"/>
            <w:tcBorders>
              <w:tl2br w:val="nil"/>
              <w:tr2bl w:val="nil"/>
            </w:tcBorders>
            <w:vAlign w:val="center"/>
          </w:tcPr>
          <w:p w14:paraId="454AB9CD">
            <w:pPr>
              <w:jc w:val="center"/>
              <w:rPr>
                <w:rFonts w:ascii="宋体" w:hAnsi="宋体" w:cs="宋体"/>
                <w:color w:val="auto"/>
                <w:szCs w:val="21"/>
                <w:highlight w:val="none"/>
              </w:rPr>
            </w:pPr>
          </w:p>
        </w:tc>
        <w:tc>
          <w:tcPr>
            <w:tcW w:w="1200" w:type="dxa"/>
            <w:tcBorders>
              <w:tl2br w:val="nil"/>
              <w:tr2bl w:val="nil"/>
            </w:tcBorders>
            <w:vAlign w:val="center"/>
          </w:tcPr>
          <w:p w14:paraId="1AD4A835">
            <w:pPr>
              <w:jc w:val="center"/>
              <w:rPr>
                <w:rFonts w:ascii="宋体" w:hAnsi="宋体" w:cs="宋体"/>
                <w:color w:val="auto"/>
                <w:szCs w:val="21"/>
                <w:highlight w:val="none"/>
              </w:rPr>
            </w:pPr>
          </w:p>
        </w:tc>
      </w:tr>
      <w:tr w14:paraId="05D46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8DFBCC">
            <w:pPr>
              <w:jc w:val="center"/>
              <w:rPr>
                <w:rFonts w:ascii="宋体" w:hAnsi="宋体" w:cs="宋体"/>
                <w:color w:val="auto"/>
                <w:szCs w:val="21"/>
                <w:highlight w:val="none"/>
              </w:rPr>
            </w:pPr>
          </w:p>
        </w:tc>
        <w:tc>
          <w:tcPr>
            <w:tcW w:w="1623" w:type="dxa"/>
            <w:tcBorders>
              <w:tl2br w:val="nil"/>
              <w:tr2bl w:val="nil"/>
            </w:tcBorders>
            <w:vAlign w:val="center"/>
          </w:tcPr>
          <w:p w14:paraId="4798FC47">
            <w:pPr>
              <w:jc w:val="center"/>
              <w:rPr>
                <w:rFonts w:ascii="宋体" w:hAnsi="宋体" w:cs="宋体"/>
                <w:color w:val="auto"/>
                <w:szCs w:val="21"/>
                <w:highlight w:val="none"/>
              </w:rPr>
            </w:pPr>
          </w:p>
        </w:tc>
        <w:tc>
          <w:tcPr>
            <w:tcW w:w="1815" w:type="dxa"/>
            <w:tcBorders>
              <w:tl2br w:val="nil"/>
              <w:tr2bl w:val="nil"/>
            </w:tcBorders>
            <w:vAlign w:val="center"/>
          </w:tcPr>
          <w:p w14:paraId="6B47EFBD">
            <w:pPr>
              <w:jc w:val="center"/>
              <w:rPr>
                <w:rFonts w:ascii="宋体" w:hAnsi="宋体" w:cs="宋体"/>
                <w:color w:val="auto"/>
                <w:szCs w:val="21"/>
                <w:highlight w:val="none"/>
              </w:rPr>
            </w:pPr>
          </w:p>
        </w:tc>
        <w:tc>
          <w:tcPr>
            <w:tcW w:w="1590" w:type="dxa"/>
            <w:tcBorders>
              <w:tl2br w:val="nil"/>
              <w:tr2bl w:val="nil"/>
            </w:tcBorders>
            <w:vAlign w:val="center"/>
          </w:tcPr>
          <w:p w14:paraId="2BFE130E">
            <w:pPr>
              <w:jc w:val="center"/>
              <w:rPr>
                <w:rFonts w:ascii="宋体" w:hAnsi="宋体" w:cs="宋体"/>
                <w:color w:val="auto"/>
                <w:szCs w:val="21"/>
                <w:highlight w:val="none"/>
              </w:rPr>
            </w:pPr>
          </w:p>
        </w:tc>
        <w:tc>
          <w:tcPr>
            <w:tcW w:w="1260" w:type="dxa"/>
            <w:tcBorders>
              <w:tl2br w:val="nil"/>
              <w:tr2bl w:val="nil"/>
            </w:tcBorders>
            <w:vAlign w:val="center"/>
          </w:tcPr>
          <w:p w14:paraId="00DAB7AA">
            <w:pPr>
              <w:jc w:val="center"/>
              <w:rPr>
                <w:rFonts w:ascii="宋体" w:hAnsi="宋体" w:cs="宋体"/>
                <w:color w:val="auto"/>
                <w:szCs w:val="21"/>
                <w:highlight w:val="none"/>
              </w:rPr>
            </w:pPr>
          </w:p>
        </w:tc>
        <w:tc>
          <w:tcPr>
            <w:tcW w:w="1200" w:type="dxa"/>
            <w:tcBorders>
              <w:tl2br w:val="nil"/>
              <w:tr2bl w:val="nil"/>
            </w:tcBorders>
            <w:vAlign w:val="center"/>
          </w:tcPr>
          <w:p w14:paraId="3DDA8E49">
            <w:pPr>
              <w:jc w:val="center"/>
              <w:rPr>
                <w:rFonts w:ascii="宋体" w:hAnsi="宋体" w:cs="宋体"/>
                <w:color w:val="auto"/>
                <w:szCs w:val="21"/>
                <w:highlight w:val="none"/>
              </w:rPr>
            </w:pPr>
          </w:p>
        </w:tc>
      </w:tr>
      <w:tr w14:paraId="5B540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4EFAA97">
            <w:pPr>
              <w:jc w:val="center"/>
              <w:rPr>
                <w:rFonts w:ascii="宋体" w:hAnsi="宋体" w:cs="宋体"/>
                <w:color w:val="auto"/>
                <w:szCs w:val="21"/>
                <w:highlight w:val="none"/>
              </w:rPr>
            </w:pPr>
          </w:p>
        </w:tc>
        <w:tc>
          <w:tcPr>
            <w:tcW w:w="1623" w:type="dxa"/>
            <w:tcBorders>
              <w:tl2br w:val="nil"/>
              <w:tr2bl w:val="nil"/>
            </w:tcBorders>
            <w:vAlign w:val="center"/>
          </w:tcPr>
          <w:p w14:paraId="4AD3EC14">
            <w:pPr>
              <w:jc w:val="center"/>
              <w:rPr>
                <w:rFonts w:ascii="宋体" w:hAnsi="宋体" w:cs="宋体"/>
                <w:color w:val="auto"/>
                <w:szCs w:val="21"/>
                <w:highlight w:val="none"/>
              </w:rPr>
            </w:pPr>
          </w:p>
        </w:tc>
        <w:tc>
          <w:tcPr>
            <w:tcW w:w="1815" w:type="dxa"/>
            <w:tcBorders>
              <w:tl2br w:val="nil"/>
              <w:tr2bl w:val="nil"/>
            </w:tcBorders>
            <w:vAlign w:val="center"/>
          </w:tcPr>
          <w:p w14:paraId="4884F914">
            <w:pPr>
              <w:jc w:val="center"/>
              <w:rPr>
                <w:rFonts w:ascii="宋体" w:hAnsi="宋体" w:cs="宋体"/>
                <w:color w:val="auto"/>
                <w:szCs w:val="21"/>
                <w:highlight w:val="none"/>
              </w:rPr>
            </w:pPr>
          </w:p>
        </w:tc>
        <w:tc>
          <w:tcPr>
            <w:tcW w:w="1590" w:type="dxa"/>
            <w:tcBorders>
              <w:tl2br w:val="nil"/>
              <w:tr2bl w:val="nil"/>
            </w:tcBorders>
            <w:vAlign w:val="center"/>
          </w:tcPr>
          <w:p w14:paraId="33FC9058">
            <w:pPr>
              <w:jc w:val="center"/>
              <w:rPr>
                <w:rFonts w:ascii="宋体" w:hAnsi="宋体" w:cs="宋体"/>
                <w:color w:val="auto"/>
                <w:szCs w:val="21"/>
                <w:highlight w:val="none"/>
              </w:rPr>
            </w:pPr>
          </w:p>
        </w:tc>
        <w:tc>
          <w:tcPr>
            <w:tcW w:w="1260" w:type="dxa"/>
            <w:tcBorders>
              <w:tl2br w:val="nil"/>
              <w:tr2bl w:val="nil"/>
            </w:tcBorders>
            <w:vAlign w:val="center"/>
          </w:tcPr>
          <w:p w14:paraId="35A33C83">
            <w:pPr>
              <w:jc w:val="center"/>
              <w:rPr>
                <w:rFonts w:ascii="宋体" w:hAnsi="宋体" w:cs="宋体"/>
                <w:color w:val="auto"/>
                <w:szCs w:val="21"/>
                <w:highlight w:val="none"/>
              </w:rPr>
            </w:pPr>
          </w:p>
        </w:tc>
        <w:tc>
          <w:tcPr>
            <w:tcW w:w="1200" w:type="dxa"/>
            <w:tcBorders>
              <w:tl2br w:val="nil"/>
              <w:tr2bl w:val="nil"/>
            </w:tcBorders>
            <w:vAlign w:val="center"/>
          </w:tcPr>
          <w:p w14:paraId="6871CEF9">
            <w:pPr>
              <w:jc w:val="center"/>
              <w:rPr>
                <w:rFonts w:ascii="宋体" w:hAnsi="宋体" w:cs="宋体"/>
                <w:color w:val="auto"/>
                <w:szCs w:val="21"/>
                <w:highlight w:val="none"/>
              </w:rPr>
            </w:pPr>
          </w:p>
        </w:tc>
      </w:tr>
      <w:tr w14:paraId="131EE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FD7D902">
            <w:pPr>
              <w:jc w:val="center"/>
              <w:rPr>
                <w:rFonts w:ascii="宋体" w:hAnsi="宋体" w:cs="宋体"/>
                <w:color w:val="auto"/>
                <w:szCs w:val="21"/>
                <w:highlight w:val="none"/>
              </w:rPr>
            </w:pPr>
          </w:p>
        </w:tc>
        <w:tc>
          <w:tcPr>
            <w:tcW w:w="1623" w:type="dxa"/>
            <w:tcBorders>
              <w:tl2br w:val="nil"/>
              <w:tr2bl w:val="nil"/>
            </w:tcBorders>
            <w:vAlign w:val="center"/>
          </w:tcPr>
          <w:p w14:paraId="688D1C65">
            <w:pPr>
              <w:jc w:val="center"/>
              <w:rPr>
                <w:rFonts w:ascii="宋体" w:hAnsi="宋体" w:cs="宋体"/>
                <w:color w:val="auto"/>
                <w:szCs w:val="21"/>
                <w:highlight w:val="none"/>
              </w:rPr>
            </w:pPr>
          </w:p>
        </w:tc>
        <w:tc>
          <w:tcPr>
            <w:tcW w:w="1815" w:type="dxa"/>
            <w:tcBorders>
              <w:tl2br w:val="nil"/>
              <w:tr2bl w:val="nil"/>
            </w:tcBorders>
            <w:vAlign w:val="center"/>
          </w:tcPr>
          <w:p w14:paraId="351F7674">
            <w:pPr>
              <w:jc w:val="center"/>
              <w:rPr>
                <w:rFonts w:ascii="宋体" w:hAnsi="宋体" w:cs="宋体"/>
                <w:color w:val="auto"/>
                <w:szCs w:val="21"/>
                <w:highlight w:val="none"/>
              </w:rPr>
            </w:pPr>
          </w:p>
        </w:tc>
        <w:tc>
          <w:tcPr>
            <w:tcW w:w="1590" w:type="dxa"/>
            <w:tcBorders>
              <w:tl2br w:val="nil"/>
              <w:tr2bl w:val="nil"/>
            </w:tcBorders>
            <w:vAlign w:val="center"/>
          </w:tcPr>
          <w:p w14:paraId="3FDA53AE">
            <w:pPr>
              <w:jc w:val="center"/>
              <w:rPr>
                <w:rFonts w:ascii="宋体" w:hAnsi="宋体" w:cs="宋体"/>
                <w:color w:val="auto"/>
                <w:szCs w:val="21"/>
                <w:highlight w:val="none"/>
              </w:rPr>
            </w:pPr>
          </w:p>
        </w:tc>
        <w:tc>
          <w:tcPr>
            <w:tcW w:w="1260" w:type="dxa"/>
            <w:tcBorders>
              <w:tl2br w:val="nil"/>
              <w:tr2bl w:val="nil"/>
            </w:tcBorders>
            <w:vAlign w:val="center"/>
          </w:tcPr>
          <w:p w14:paraId="5F1A119C">
            <w:pPr>
              <w:jc w:val="center"/>
              <w:rPr>
                <w:rFonts w:ascii="宋体" w:hAnsi="宋体" w:cs="宋体"/>
                <w:color w:val="auto"/>
                <w:szCs w:val="21"/>
                <w:highlight w:val="none"/>
              </w:rPr>
            </w:pPr>
          </w:p>
        </w:tc>
        <w:tc>
          <w:tcPr>
            <w:tcW w:w="1200" w:type="dxa"/>
            <w:tcBorders>
              <w:tl2br w:val="nil"/>
              <w:tr2bl w:val="nil"/>
            </w:tcBorders>
            <w:vAlign w:val="center"/>
          </w:tcPr>
          <w:p w14:paraId="6269182D">
            <w:pPr>
              <w:jc w:val="center"/>
              <w:rPr>
                <w:rFonts w:ascii="宋体" w:hAnsi="宋体" w:cs="宋体"/>
                <w:color w:val="auto"/>
                <w:szCs w:val="21"/>
                <w:highlight w:val="none"/>
              </w:rPr>
            </w:pPr>
          </w:p>
        </w:tc>
      </w:tr>
      <w:tr w14:paraId="12B5E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0CFF11F">
            <w:pPr>
              <w:jc w:val="center"/>
              <w:rPr>
                <w:rFonts w:ascii="宋体" w:hAnsi="宋体" w:cs="宋体"/>
                <w:color w:val="auto"/>
                <w:szCs w:val="21"/>
                <w:highlight w:val="none"/>
              </w:rPr>
            </w:pPr>
          </w:p>
        </w:tc>
        <w:tc>
          <w:tcPr>
            <w:tcW w:w="1623" w:type="dxa"/>
            <w:tcBorders>
              <w:tl2br w:val="nil"/>
              <w:tr2bl w:val="nil"/>
            </w:tcBorders>
            <w:vAlign w:val="center"/>
          </w:tcPr>
          <w:p w14:paraId="0EEFD2C7">
            <w:pPr>
              <w:jc w:val="center"/>
              <w:rPr>
                <w:rFonts w:ascii="宋体" w:hAnsi="宋体" w:cs="宋体"/>
                <w:color w:val="auto"/>
                <w:szCs w:val="21"/>
                <w:highlight w:val="none"/>
              </w:rPr>
            </w:pPr>
          </w:p>
        </w:tc>
        <w:tc>
          <w:tcPr>
            <w:tcW w:w="1815" w:type="dxa"/>
            <w:tcBorders>
              <w:tl2br w:val="nil"/>
              <w:tr2bl w:val="nil"/>
            </w:tcBorders>
            <w:vAlign w:val="center"/>
          </w:tcPr>
          <w:p w14:paraId="719D742B">
            <w:pPr>
              <w:jc w:val="center"/>
              <w:rPr>
                <w:rFonts w:ascii="宋体" w:hAnsi="宋体" w:cs="宋体"/>
                <w:color w:val="auto"/>
                <w:szCs w:val="21"/>
                <w:highlight w:val="none"/>
              </w:rPr>
            </w:pPr>
          </w:p>
        </w:tc>
        <w:tc>
          <w:tcPr>
            <w:tcW w:w="1590" w:type="dxa"/>
            <w:tcBorders>
              <w:tl2br w:val="nil"/>
              <w:tr2bl w:val="nil"/>
            </w:tcBorders>
            <w:vAlign w:val="center"/>
          </w:tcPr>
          <w:p w14:paraId="32DFFBF2">
            <w:pPr>
              <w:jc w:val="center"/>
              <w:rPr>
                <w:rFonts w:ascii="宋体" w:hAnsi="宋体" w:cs="宋体"/>
                <w:color w:val="auto"/>
                <w:szCs w:val="21"/>
                <w:highlight w:val="none"/>
              </w:rPr>
            </w:pPr>
          </w:p>
        </w:tc>
        <w:tc>
          <w:tcPr>
            <w:tcW w:w="1260" w:type="dxa"/>
            <w:tcBorders>
              <w:tl2br w:val="nil"/>
              <w:tr2bl w:val="nil"/>
            </w:tcBorders>
            <w:vAlign w:val="center"/>
          </w:tcPr>
          <w:p w14:paraId="2D53950A">
            <w:pPr>
              <w:jc w:val="center"/>
              <w:rPr>
                <w:rFonts w:ascii="宋体" w:hAnsi="宋体" w:cs="宋体"/>
                <w:color w:val="auto"/>
                <w:szCs w:val="21"/>
                <w:highlight w:val="none"/>
              </w:rPr>
            </w:pPr>
          </w:p>
        </w:tc>
        <w:tc>
          <w:tcPr>
            <w:tcW w:w="1200" w:type="dxa"/>
            <w:tcBorders>
              <w:tl2br w:val="nil"/>
              <w:tr2bl w:val="nil"/>
            </w:tcBorders>
            <w:vAlign w:val="center"/>
          </w:tcPr>
          <w:p w14:paraId="1E7B551A">
            <w:pPr>
              <w:jc w:val="center"/>
              <w:rPr>
                <w:rFonts w:ascii="宋体" w:hAnsi="宋体" w:cs="宋体"/>
                <w:color w:val="auto"/>
                <w:szCs w:val="21"/>
                <w:highlight w:val="none"/>
              </w:rPr>
            </w:pPr>
          </w:p>
        </w:tc>
      </w:tr>
      <w:tr w14:paraId="6BEA3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685C56F">
            <w:pPr>
              <w:jc w:val="center"/>
              <w:rPr>
                <w:rFonts w:ascii="宋体" w:hAnsi="宋体" w:cs="宋体"/>
                <w:color w:val="auto"/>
                <w:szCs w:val="21"/>
                <w:highlight w:val="none"/>
              </w:rPr>
            </w:pPr>
          </w:p>
        </w:tc>
        <w:tc>
          <w:tcPr>
            <w:tcW w:w="1623" w:type="dxa"/>
            <w:tcBorders>
              <w:tl2br w:val="nil"/>
              <w:tr2bl w:val="nil"/>
            </w:tcBorders>
            <w:vAlign w:val="center"/>
          </w:tcPr>
          <w:p w14:paraId="0982F9CD">
            <w:pPr>
              <w:jc w:val="center"/>
              <w:rPr>
                <w:rFonts w:ascii="宋体" w:hAnsi="宋体" w:cs="宋体"/>
                <w:color w:val="auto"/>
                <w:szCs w:val="21"/>
                <w:highlight w:val="none"/>
              </w:rPr>
            </w:pPr>
          </w:p>
        </w:tc>
        <w:tc>
          <w:tcPr>
            <w:tcW w:w="1815" w:type="dxa"/>
            <w:tcBorders>
              <w:tl2br w:val="nil"/>
              <w:tr2bl w:val="nil"/>
            </w:tcBorders>
            <w:vAlign w:val="center"/>
          </w:tcPr>
          <w:p w14:paraId="79ED51F2">
            <w:pPr>
              <w:jc w:val="center"/>
              <w:rPr>
                <w:rFonts w:ascii="宋体" w:hAnsi="宋体" w:cs="宋体"/>
                <w:color w:val="auto"/>
                <w:szCs w:val="21"/>
                <w:highlight w:val="none"/>
              </w:rPr>
            </w:pPr>
          </w:p>
        </w:tc>
        <w:tc>
          <w:tcPr>
            <w:tcW w:w="1590" w:type="dxa"/>
            <w:tcBorders>
              <w:tl2br w:val="nil"/>
              <w:tr2bl w:val="nil"/>
            </w:tcBorders>
            <w:vAlign w:val="center"/>
          </w:tcPr>
          <w:p w14:paraId="3B58B4CF">
            <w:pPr>
              <w:jc w:val="center"/>
              <w:rPr>
                <w:rFonts w:ascii="宋体" w:hAnsi="宋体" w:cs="宋体"/>
                <w:color w:val="auto"/>
                <w:szCs w:val="21"/>
                <w:highlight w:val="none"/>
              </w:rPr>
            </w:pPr>
          </w:p>
        </w:tc>
        <w:tc>
          <w:tcPr>
            <w:tcW w:w="1260" w:type="dxa"/>
            <w:tcBorders>
              <w:tl2br w:val="nil"/>
              <w:tr2bl w:val="nil"/>
            </w:tcBorders>
            <w:vAlign w:val="center"/>
          </w:tcPr>
          <w:p w14:paraId="3D61A3CC">
            <w:pPr>
              <w:jc w:val="center"/>
              <w:rPr>
                <w:rFonts w:ascii="宋体" w:hAnsi="宋体" w:cs="宋体"/>
                <w:color w:val="auto"/>
                <w:szCs w:val="21"/>
                <w:highlight w:val="none"/>
              </w:rPr>
            </w:pPr>
          </w:p>
        </w:tc>
        <w:tc>
          <w:tcPr>
            <w:tcW w:w="1200" w:type="dxa"/>
            <w:tcBorders>
              <w:tl2br w:val="nil"/>
              <w:tr2bl w:val="nil"/>
            </w:tcBorders>
            <w:vAlign w:val="center"/>
          </w:tcPr>
          <w:p w14:paraId="6E94F21B">
            <w:pPr>
              <w:jc w:val="center"/>
              <w:rPr>
                <w:rFonts w:ascii="宋体" w:hAnsi="宋体" w:cs="宋体"/>
                <w:color w:val="auto"/>
                <w:szCs w:val="21"/>
                <w:highlight w:val="none"/>
              </w:rPr>
            </w:pPr>
          </w:p>
        </w:tc>
      </w:tr>
      <w:tr w14:paraId="5E682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86D1371">
            <w:pPr>
              <w:jc w:val="center"/>
              <w:rPr>
                <w:rFonts w:ascii="宋体" w:hAnsi="宋体" w:cs="宋体"/>
                <w:color w:val="auto"/>
                <w:szCs w:val="21"/>
                <w:highlight w:val="none"/>
              </w:rPr>
            </w:pPr>
          </w:p>
        </w:tc>
        <w:tc>
          <w:tcPr>
            <w:tcW w:w="1623" w:type="dxa"/>
            <w:tcBorders>
              <w:tl2br w:val="nil"/>
              <w:tr2bl w:val="nil"/>
            </w:tcBorders>
            <w:vAlign w:val="center"/>
          </w:tcPr>
          <w:p w14:paraId="2F37F6F3">
            <w:pPr>
              <w:jc w:val="center"/>
              <w:rPr>
                <w:rFonts w:ascii="宋体" w:hAnsi="宋体" w:cs="宋体"/>
                <w:color w:val="auto"/>
                <w:szCs w:val="21"/>
                <w:highlight w:val="none"/>
              </w:rPr>
            </w:pPr>
          </w:p>
        </w:tc>
        <w:tc>
          <w:tcPr>
            <w:tcW w:w="1815" w:type="dxa"/>
            <w:tcBorders>
              <w:tl2br w:val="nil"/>
              <w:tr2bl w:val="nil"/>
            </w:tcBorders>
            <w:vAlign w:val="center"/>
          </w:tcPr>
          <w:p w14:paraId="7294D6A2">
            <w:pPr>
              <w:jc w:val="center"/>
              <w:rPr>
                <w:rFonts w:ascii="宋体" w:hAnsi="宋体" w:cs="宋体"/>
                <w:color w:val="auto"/>
                <w:szCs w:val="21"/>
                <w:highlight w:val="none"/>
              </w:rPr>
            </w:pPr>
          </w:p>
        </w:tc>
        <w:tc>
          <w:tcPr>
            <w:tcW w:w="1590" w:type="dxa"/>
            <w:tcBorders>
              <w:tl2br w:val="nil"/>
              <w:tr2bl w:val="nil"/>
            </w:tcBorders>
            <w:vAlign w:val="center"/>
          </w:tcPr>
          <w:p w14:paraId="32A84D07">
            <w:pPr>
              <w:jc w:val="center"/>
              <w:rPr>
                <w:rFonts w:ascii="宋体" w:hAnsi="宋体" w:cs="宋体"/>
                <w:color w:val="auto"/>
                <w:szCs w:val="21"/>
                <w:highlight w:val="none"/>
              </w:rPr>
            </w:pPr>
          </w:p>
        </w:tc>
        <w:tc>
          <w:tcPr>
            <w:tcW w:w="1260" w:type="dxa"/>
            <w:tcBorders>
              <w:tl2br w:val="nil"/>
              <w:tr2bl w:val="nil"/>
            </w:tcBorders>
            <w:vAlign w:val="center"/>
          </w:tcPr>
          <w:p w14:paraId="2787E52C">
            <w:pPr>
              <w:jc w:val="center"/>
              <w:rPr>
                <w:rFonts w:ascii="宋体" w:hAnsi="宋体" w:cs="宋体"/>
                <w:color w:val="auto"/>
                <w:szCs w:val="21"/>
                <w:highlight w:val="none"/>
              </w:rPr>
            </w:pPr>
          </w:p>
        </w:tc>
        <w:tc>
          <w:tcPr>
            <w:tcW w:w="1200" w:type="dxa"/>
            <w:tcBorders>
              <w:tl2br w:val="nil"/>
              <w:tr2bl w:val="nil"/>
            </w:tcBorders>
            <w:vAlign w:val="center"/>
          </w:tcPr>
          <w:p w14:paraId="520E2503">
            <w:pPr>
              <w:jc w:val="center"/>
              <w:rPr>
                <w:rFonts w:ascii="宋体" w:hAnsi="宋体" w:cs="宋体"/>
                <w:color w:val="auto"/>
                <w:szCs w:val="21"/>
                <w:highlight w:val="none"/>
              </w:rPr>
            </w:pPr>
          </w:p>
        </w:tc>
      </w:tr>
      <w:tr w14:paraId="5C75A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1085823">
            <w:pPr>
              <w:jc w:val="center"/>
              <w:rPr>
                <w:rFonts w:ascii="宋体" w:hAnsi="宋体" w:cs="宋体"/>
                <w:color w:val="auto"/>
                <w:szCs w:val="21"/>
                <w:highlight w:val="none"/>
              </w:rPr>
            </w:pPr>
          </w:p>
        </w:tc>
        <w:tc>
          <w:tcPr>
            <w:tcW w:w="1623" w:type="dxa"/>
            <w:tcBorders>
              <w:tl2br w:val="nil"/>
              <w:tr2bl w:val="nil"/>
            </w:tcBorders>
            <w:vAlign w:val="center"/>
          </w:tcPr>
          <w:p w14:paraId="5441E84B">
            <w:pPr>
              <w:jc w:val="center"/>
              <w:rPr>
                <w:rFonts w:ascii="宋体" w:hAnsi="宋体" w:cs="宋体"/>
                <w:color w:val="auto"/>
                <w:szCs w:val="21"/>
                <w:highlight w:val="none"/>
              </w:rPr>
            </w:pPr>
          </w:p>
        </w:tc>
        <w:tc>
          <w:tcPr>
            <w:tcW w:w="1815" w:type="dxa"/>
            <w:tcBorders>
              <w:tl2br w:val="nil"/>
              <w:tr2bl w:val="nil"/>
            </w:tcBorders>
            <w:vAlign w:val="center"/>
          </w:tcPr>
          <w:p w14:paraId="02B28D16">
            <w:pPr>
              <w:jc w:val="center"/>
              <w:rPr>
                <w:rFonts w:ascii="宋体" w:hAnsi="宋体" w:cs="宋体"/>
                <w:color w:val="auto"/>
                <w:szCs w:val="21"/>
                <w:highlight w:val="none"/>
              </w:rPr>
            </w:pPr>
          </w:p>
        </w:tc>
        <w:tc>
          <w:tcPr>
            <w:tcW w:w="1590" w:type="dxa"/>
            <w:tcBorders>
              <w:tl2br w:val="nil"/>
              <w:tr2bl w:val="nil"/>
            </w:tcBorders>
            <w:vAlign w:val="center"/>
          </w:tcPr>
          <w:p w14:paraId="01C47139">
            <w:pPr>
              <w:jc w:val="center"/>
              <w:rPr>
                <w:rFonts w:ascii="宋体" w:hAnsi="宋体" w:cs="宋体"/>
                <w:color w:val="auto"/>
                <w:szCs w:val="21"/>
                <w:highlight w:val="none"/>
              </w:rPr>
            </w:pPr>
          </w:p>
        </w:tc>
        <w:tc>
          <w:tcPr>
            <w:tcW w:w="1260" w:type="dxa"/>
            <w:tcBorders>
              <w:tl2br w:val="nil"/>
              <w:tr2bl w:val="nil"/>
            </w:tcBorders>
            <w:vAlign w:val="center"/>
          </w:tcPr>
          <w:p w14:paraId="6450C059">
            <w:pPr>
              <w:jc w:val="center"/>
              <w:rPr>
                <w:rFonts w:ascii="宋体" w:hAnsi="宋体" w:cs="宋体"/>
                <w:color w:val="auto"/>
                <w:szCs w:val="21"/>
                <w:highlight w:val="none"/>
              </w:rPr>
            </w:pPr>
          </w:p>
        </w:tc>
        <w:tc>
          <w:tcPr>
            <w:tcW w:w="1200" w:type="dxa"/>
            <w:tcBorders>
              <w:tl2br w:val="nil"/>
              <w:tr2bl w:val="nil"/>
            </w:tcBorders>
            <w:vAlign w:val="center"/>
          </w:tcPr>
          <w:p w14:paraId="25B18DF5">
            <w:pPr>
              <w:jc w:val="center"/>
              <w:rPr>
                <w:rFonts w:ascii="宋体" w:hAnsi="宋体" w:cs="宋体"/>
                <w:color w:val="auto"/>
                <w:szCs w:val="21"/>
                <w:highlight w:val="none"/>
              </w:rPr>
            </w:pPr>
          </w:p>
        </w:tc>
      </w:tr>
      <w:tr w14:paraId="5370D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BFE8D67">
            <w:pPr>
              <w:jc w:val="center"/>
              <w:rPr>
                <w:rFonts w:ascii="宋体" w:hAnsi="宋体" w:cs="宋体"/>
                <w:color w:val="auto"/>
                <w:szCs w:val="21"/>
                <w:highlight w:val="none"/>
              </w:rPr>
            </w:pPr>
          </w:p>
        </w:tc>
        <w:tc>
          <w:tcPr>
            <w:tcW w:w="1623" w:type="dxa"/>
            <w:tcBorders>
              <w:tl2br w:val="nil"/>
              <w:tr2bl w:val="nil"/>
            </w:tcBorders>
            <w:vAlign w:val="center"/>
          </w:tcPr>
          <w:p w14:paraId="10CCD3D7">
            <w:pPr>
              <w:jc w:val="center"/>
              <w:rPr>
                <w:rFonts w:ascii="宋体" w:hAnsi="宋体" w:cs="宋体"/>
                <w:color w:val="auto"/>
                <w:szCs w:val="21"/>
                <w:highlight w:val="none"/>
              </w:rPr>
            </w:pPr>
          </w:p>
        </w:tc>
        <w:tc>
          <w:tcPr>
            <w:tcW w:w="1815" w:type="dxa"/>
            <w:tcBorders>
              <w:tl2br w:val="nil"/>
              <w:tr2bl w:val="nil"/>
            </w:tcBorders>
            <w:vAlign w:val="center"/>
          </w:tcPr>
          <w:p w14:paraId="4FEED5AC">
            <w:pPr>
              <w:jc w:val="center"/>
              <w:rPr>
                <w:rFonts w:ascii="宋体" w:hAnsi="宋体" w:cs="宋体"/>
                <w:color w:val="auto"/>
                <w:szCs w:val="21"/>
                <w:highlight w:val="none"/>
              </w:rPr>
            </w:pPr>
          </w:p>
        </w:tc>
        <w:tc>
          <w:tcPr>
            <w:tcW w:w="1590" w:type="dxa"/>
            <w:tcBorders>
              <w:tl2br w:val="nil"/>
              <w:tr2bl w:val="nil"/>
            </w:tcBorders>
            <w:vAlign w:val="center"/>
          </w:tcPr>
          <w:p w14:paraId="351DE887">
            <w:pPr>
              <w:jc w:val="center"/>
              <w:rPr>
                <w:rFonts w:ascii="宋体" w:hAnsi="宋体" w:cs="宋体"/>
                <w:color w:val="auto"/>
                <w:szCs w:val="21"/>
                <w:highlight w:val="none"/>
              </w:rPr>
            </w:pPr>
          </w:p>
        </w:tc>
        <w:tc>
          <w:tcPr>
            <w:tcW w:w="1260" w:type="dxa"/>
            <w:tcBorders>
              <w:tl2br w:val="nil"/>
              <w:tr2bl w:val="nil"/>
            </w:tcBorders>
            <w:vAlign w:val="center"/>
          </w:tcPr>
          <w:p w14:paraId="4FB1E268">
            <w:pPr>
              <w:jc w:val="center"/>
              <w:rPr>
                <w:rFonts w:ascii="宋体" w:hAnsi="宋体" w:cs="宋体"/>
                <w:color w:val="auto"/>
                <w:szCs w:val="21"/>
                <w:highlight w:val="none"/>
              </w:rPr>
            </w:pPr>
          </w:p>
        </w:tc>
        <w:tc>
          <w:tcPr>
            <w:tcW w:w="1200" w:type="dxa"/>
            <w:tcBorders>
              <w:tl2br w:val="nil"/>
              <w:tr2bl w:val="nil"/>
            </w:tcBorders>
            <w:vAlign w:val="center"/>
          </w:tcPr>
          <w:p w14:paraId="2C1E0D4B">
            <w:pPr>
              <w:jc w:val="center"/>
              <w:rPr>
                <w:rFonts w:ascii="宋体" w:hAnsi="宋体" w:cs="宋体"/>
                <w:color w:val="auto"/>
                <w:szCs w:val="21"/>
                <w:highlight w:val="none"/>
              </w:rPr>
            </w:pPr>
          </w:p>
        </w:tc>
      </w:tr>
      <w:tr w14:paraId="5DC34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AA1C98">
            <w:pPr>
              <w:jc w:val="center"/>
              <w:rPr>
                <w:rFonts w:ascii="宋体" w:hAnsi="宋体" w:cs="宋体"/>
                <w:color w:val="auto"/>
                <w:szCs w:val="21"/>
                <w:highlight w:val="none"/>
              </w:rPr>
            </w:pPr>
          </w:p>
        </w:tc>
        <w:tc>
          <w:tcPr>
            <w:tcW w:w="1623" w:type="dxa"/>
            <w:tcBorders>
              <w:tl2br w:val="nil"/>
              <w:tr2bl w:val="nil"/>
            </w:tcBorders>
            <w:vAlign w:val="center"/>
          </w:tcPr>
          <w:p w14:paraId="51588E22">
            <w:pPr>
              <w:jc w:val="center"/>
              <w:rPr>
                <w:rFonts w:ascii="宋体" w:hAnsi="宋体" w:cs="宋体"/>
                <w:color w:val="auto"/>
                <w:szCs w:val="21"/>
                <w:highlight w:val="none"/>
              </w:rPr>
            </w:pPr>
          </w:p>
        </w:tc>
        <w:tc>
          <w:tcPr>
            <w:tcW w:w="1815" w:type="dxa"/>
            <w:tcBorders>
              <w:tl2br w:val="nil"/>
              <w:tr2bl w:val="nil"/>
            </w:tcBorders>
            <w:vAlign w:val="center"/>
          </w:tcPr>
          <w:p w14:paraId="02CD16E2">
            <w:pPr>
              <w:jc w:val="center"/>
              <w:rPr>
                <w:rFonts w:ascii="宋体" w:hAnsi="宋体" w:cs="宋体"/>
                <w:color w:val="auto"/>
                <w:szCs w:val="21"/>
                <w:highlight w:val="none"/>
              </w:rPr>
            </w:pPr>
          </w:p>
        </w:tc>
        <w:tc>
          <w:tcPr>
            <w:tcW w:w="1590" w:type="dxa"/>
            <w:tcBorders>
              <w:tl2br w:val="nil"/>
              <w:tr2bl w:val="nil"/>
            </w:tcBorders>
            <w:vAlign w:val="center"/>
          </w:tcPr>
          <w:p w14:paraId="3BAE4C90">
            <w:pPr>
              <w:jc w:val="center"/>
              <w:rPr>
                <w:rFonts w:ascii="宋体" w:hAnsi="宋体" w:cs="宋体"/>
                <w:color w:val="auto"/>
                <w:szCs w:val="21"/>
                <w:highlight w:val="none"/>
              </w:rPr>
            </w:pPr>
          </w:p>
        </w:tc>
        <w:tc>
          <w:tcPr>
            <w:tcW w:w="1260" w:type="dxa"/>
            <w:tcBorders>
              <w:tl2br w:val="nil"/>
              <w:tr2bl w:val="nil"/>
            </w:tcBorders>
            <w:vAlign w:val="center"/>
          </w:tcPr>
          <w:p w14:paraId="70379400">
            <w:pPr>
              <w:jc w:val="center"/>
              <w:rPr>
                <w:rFonts w:ascii="宋体" w:hAnsi="宋体" w:cs="宋体"/>
                <w:color w:val="auto"/>
                <w:szCs w:val="21"/>
                <w:highlight w:val="none"/>
              </w:rPr>
            </w:pPr>
          </w:p>
        </w:tc>
        <w:tc>
          <w:tcPr>
            <w:tcW w:w="1200" w:type="dxa"/>
            <w:tcBorders>
              <w:tl2br w:val="nil"/>
              <w:tr2bl w:val="nil"/>
            </w:tcBorders>
            <w:vAlign w:val="center"/>
          </w:tcPr>
          <w:p w14:paraId="12515CA6">
            <w:pPr>
              <w:jc w:val="center"/>
              <w:rPr>
                <w:rFonts w:ascii="宋体" w:hAnsi="宋体" w:cs="宋体"/>
                <w:color w:val="auto"/>
                <w:szCs w:val="21"/>
                <w:highlight w:val="none"/>
              </w:rPr>
            </w:pPr>
          </w:p>
        </w:tc>
      </w:tr>
      <w:tr w14:paraId="4D29C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5B3AB5E">
            <w:pPr>
              <w:jc w:val="center"/>
              <w:rPr>
                <w:rFonts w:ascii="宋体" w:hAnsi="宋体" w:cs="宋体"/>
                <w:color w:val="auto"/>
                <w:szCs w:val="21"/>
                <w:highlight w:val="none"/>
              </w:rPr>
            </w:pPr>
          </w:p>
        </w:tc>
        <w:tc>
          <w:tcPr>
            <w:tcW w:w="1623" w:type="dxa"/>
            <w:tcBorders>
              <w:tl2br w:val="nil"/>
              <w:tr2bl w:val="nil"/>
            </w:tcBorders>
            <w:vAlign w:val="center"/>
          </w:tcPr>
          <w:p w14:paraId="57AC355A">
            <w:pPr>
              <w:jc w:val="center"/>
              <w:rPr>
                <w:rFonts w:ascii="宋体" w:hAnsi="宋体" w:cs="宋体"/>
                <w:color w:val="auto"/>
                <w:szCs w:val="21"/>
                <w:highlight w:val="none"/>
              </w:rPr>
            </w:pPr>
          </w:p>
        </w:tc>
        <w:tc>
          <w:tcPr>
            <w:tcW w:w="1815" w:type="dxa"/>
            <w:tcBorders>
              <w:tl2br w:val="nil"/>
              <w:tr2bl w:val="nil"/>
            </w:tcBorders>
            <w:vAlign w:val="center"/>
          </w:tcPr>
          <w:p w14:paraId="2F53742F">
            <w:pPr>
              <w:jc w:val="center"/>
              <w:rPr>
                <w:rFonts w:ascii="宋体" w:hAnsi="宋体" w:cs="宋体"/>
                <w:color w:val="auto"/>
                <w:szCs w:val="21"/>
                <w:highlight w:val="none"/>
              </w:rPr>
            </w:pPr>
          </w:p>
        </w:tc>
        <w:tc>
          <w:tcPr>
            <w:tcW w:w="1590" w:type="dxa"/>
            <w:tcBorders>
              <w:tl2br w:val="nil"/>
              <w:tr2bl w:val="nil"/>
            </w:tcBorders>
            <w:vAlign w:val="center"/>
          </w:tcPr>
          <w:p w14:paraId="1B12284B">
            <w:pPr>
              <w:jc w:val="center"/>
              <w:rPr>
                <w:rFonts w:ascii="宋体" w:hAnsi="宋体" w:cs="宋体"/>
                <w:color w:val="auto"/>
                <w:szCs w:val="21"/>
                <w:highlight w:val="none"/>
              </w:rPr>
            </w:pPr>
          </w:p>
        </w:tc>
        <w:tc>
          <w:tcPr>
            <w:tcW w:w="1260" w:type="dxa"/>
            <w:tcBorders>
              <w:tl2br w:val="nil"/>
              <w:tr2bl w:val="nil"/>
            </w:tcBorders>
            <w:vAlign w:val="center"/>
          </w:tcPr>
          <w:p w14:paraId="6F841ACA">
            <w:pPr>
              <w:jc w:val="center"/>
              <w:rPr>
                <w:rFonts w:ascii="宋体" w:hAnsi="宋体" w:cs="宋体"/>
                <w:color w:val="auto"/>
                <w:szCs w:val="21"/>
                <w:highlight w:val="none"/>
              </w:rPr>
            </w:pPr>
          </w:p>
        </w:tc>
        <w:tc>
          <w:tcPr>
            <w:tcW w:w="1200" w:type="dxa"/>
            <w:tcBorders>
              <w:tl2br w:val="nil"/>
              <w:tr2bl w:val="nil"/>
            </w:tcBorders>
            <w:vAlign w:val="center"/>
          </w:tcPr>
          <w:p w14:paraId="74970FDF">
            <w:pPr>
              <w:jc w:val="center"/>
              <w:rPr>
                <w:rFonts w:ascii="宋体" w:hAnsi="宋体" w:cs="宋体"/>
                <w:color w:val="auto"/>
                <w:szCs w:val="21"/>
                <w:highlight w:val="none"/>
              </w:rPr>
            </w:pPr>
          </w:p>
        </w:tc>
      </w:tr>
    </w:tbl>
    <w:p w14:paraId="13A9CEE6">
      <w:pPr>
        <w:rPr>
          <w:rFonts w:ascii="宋体" w:hAnsi="宋体"/>
          <w:color w:val="auto"/>
          <w:szCs w:val="21"/>
          <w:highlight w:val="none"/>
        </w:rPr>
      </w:pPr>
    </w:p>
    <w:p w14:paraId="7C88AE0E">
      <w:pPr>
        <w:rPr>
          <w:color w:val="auto"/>
          <w:highlight w:val="none"/>
        </w:rPr>
      </w:pPr>
    </w:p>
    <w:p w14:paraId="50818BC0">
      <w:pPr>
        <w:rPr>
          <w:rFonts w:ascii="宋体" w:hAnsi="宋体"/>
          <w:color w:val="auto"/>
          <w:szCs w:val="21"/>
          <w:highlight w:val="none"/>
        </w:rPr>
      </w:pPr>
      <w:r>
        <w:rPr>
          <w:rFonts w:hint="eastAsia" w:ascii="宋体" w:hAnsi="宋体"/>
          <w:color w:val="auto"/>
          <w:szCs w:val="21"/>
          <w:highlight w:val="none"/>
        </w:rPr>
        <w:t>投标人代表签字：</w:t>
      </w:r>
    </w:p>
    <w:p w14:paraId="19A7933A">
      <w:pPr>
        <w:rPr>
          <w:rFonts w:ascii="宋体" w:hAnsi="宋体"/>
          <w:color w:val="auto"/>
          <w:szCs w:val="21"/>
          <w:highlight w:val="none"/>
        </w:rPr>
      </w:pPr>
      <w:r>
        <w:rPr>
          <w:rFonts w:hint="eastAsia" w:ascii="宋体" w:hAnsi="宋体"/>
          <w:color w:val="auto"/>
          <w:szCs w:val="21"/>
          <w:highlight w:val="none"/>
        </w:rPr>
        <w:t>投标人盖章：</w:t>
      </w:r>
    </w:p>
    <w:p w14:paraId="11BDB62F">
      <w:pPr>
        <w:ind w:firstLine="178" w:firstLineChars="85"/>
        <w:rPr>
          <w:rFonts w:ascii="宋体" w:hAnsi="宋体"/>
          <w:color w:val="auto"/>
          <w:szCs w:val="21"/>
          <w:highlight w:val="none"/>
        </w:rPr>
      </w:pPr>
    </w:p>
    <w:p w14:paraId="3D0F0A02">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064D3A17">
      <w:pPr>
        <w:rPr>
          <w:rFonts w:ascii="宋体" w:hAnsi="宋体"/>
          <w:color w:val="auto"/>
          <w:szCs w:val="21"/>
          <w:highlight w:val="none"/>
        </w:rPr>
      </w:pPr>
    </w:p>
    <w:p w14:paraId="1485E594">
      <w:pPr>
        <w:rPr>
          <w:rFonts w:ascii="宋体" w:hAnsi="宋体"/>
          <w:color w:val="auto"/>
          <w:szCs w:val="21"/>
          <w:highlight w:val="none"/>
        </w:rPr>
      </w:pPr>
    </w:p>
    <w:p w14:paraId="380BD261">
      <w:pPr>
        <w:rPr>
          <w:rFonts w:ascii="宋体" w:hAnsi="宋体"/>
          <w:color w:val="auto"/>
          <w:szCs w:val="21"/>
          <w:highlight w:val="none"/>
        </w:rPr>
      </w:pPr>
    </w:p>
    <w:p w14:paraId="26F6A166">
      <w:pPr>
        <w:adjustRightInd/>
        <w:snapToGrid/>
        <w:spacing w:line="276" w:lineRule="auto"/>
        <w:rPr>
          <w:color w:val="auto"/>
          <w:highlight w:val="none"/>
        </w:rPr>
      </w:pPr>
    </w:p>
    <w:p w14:paraId="0699DED2">
      <w:pPr>
        <w:rPr>
          <w:rFonts w:ascii="黑体" w:eastAsia="黑体"/>
          <w:color w:val="auto"/>
          <w:sz w:val="28"/>
          <w:szCs w:val="28"/>
          <w:highlight w:val="none"/>
        </w:rPr>
      </w:pPr>
      <w:bookmarkStart w:id="315" w:name="_Toc17691"/>
      <w:r>
        <w:rPr>
          <w:rFonts w:hint="eastAsia" w:ascii="宋体" w:hAnsi="宋体"/>
          <w:color w:val="auto"/>
          <w:szCs w:val="21"/>
          <w:highlight w:val="none"/>
        </w:rPr>
        <w:br w:type="page"/>
      </w:r>
      <w:bookmarkEnd w:id="315"/>
      <w:bookmarkStart w:id="316" w:name="_Toc4827"/>
      <w:bookmarkStart w:id="317" w:name="_Toc26078"/>
      <w:bookmarkStart w:id="318" w:name="_Toc1274"/>
      <w:bookmarkStart w:id="319" w:name="_Toc4464"/>
      <w:bookmarkStart w:id="320" w:name="_Toc6080"/>
      <w:bookmarkStart w:id="321" w:name="_Toc18668"/>
    </w:p>
    <w:p w14:paraId="04F3EBEF">
      <w:pPr>
        <w:pStyle w:val="5"/>
        <w:jc w:val="center"/>
        <w:rPr>
          <w:color w:val="auto"/>
          <w:highlight w:val="none"/>
        </w:rPr>
      </w:pPr>
      <w:bookmarkStart w:id="322" w:name="_Toc11942"/>
      <w:bookmarkStart w:id="323" w:name="_Toc10734"/>
      <w:r>
        <w:rPr>
          <w:rFonts w:hint="eastAsia"/>
          <w:color w:val="auto"/>
          <w:highlight w:val="none"/>
        </w:rPr>
        <w:t>二、重要技术参数（▲）响应表</w:t>
      </w:r>
      <w:bookmarkEnd w:id="316"/>
      <w:bookmarkEnd w:id="317"/>
      <w:bookmarkEnd w:id="318"/>
      <w:bookmarkEnd w:id="319"/>
      <w:bookmarkEnd w:id="320"/>
      <w:bookmarkEnd w:id="321"/>
      <w:bookmarkEnd w:id="322"/>
      <w:bookmarkEnd w:id="323"/>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436E6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0E4A739">
            <w:pPr>
              <w:pStyle w:val="6"/>
              <w:widowControl w:val="0"/>
              <w:overflowPunct w:val="0"/>
              <w:spacing w:line="240" w:lineRule="auto"/>
              <w:jc w:val="center"/>
              <w:rPr>
                <w:rFonts w:ascii="宋体" w:hAnsi="宋体" w:cs="宋体"/>
                <w:b w:val="0"/>
                <w:bCs w:val="0"/>
                <w:color w:val="auto"/>
                <w:sz w:val="21"/>
                <w:szCs w:val="21"/>
                <w:highlight w:val="none"/>
              </w:rPr>
            </w:pPr>
            <w:bookmarkStart w:id="324" w:name="_Toc29642"/>
            <w:bookmarkStart w:id="325" w:name="_Toc29560"/>
            <w:bookmarkStart w:id="326" w:name="_Toc24298"/>
            <w:bookmarkStart w:id="327" w:name="_Toc27079"/>
            <w:r>
              <w:rPr>
                <w:rFonts w:hint="eastAsia" w:ascii="宋体" w:hAnsi="宋体" w:cs="宋体"/>
                <w:b w:val="0"/>
                <w:bCs w:val="0"/>
                <w:color w:val="auto"/>
                <w:sz w:val="21"/>
                <w:szCs w:val="21"/>
                <w:highlight w:val="none"/>
              </w:rPr>
              <w:t>序号</w:t>
            </w:r>
            <w:bookmarkEnd w:id="324"/>
            <w:bookmarkEnd w:id="325"/>
            <w:bookmarkEnd w:id="326"/>
            <w:bookmarkEnd w:id="327"/>
          </w:p>
        </w:tc>
        <w:tc>
          <w:tcPr>
            <w:tcW w:w="2550" w:type="dxa"/>
            <w:tcBorders>
              <w:tl2br w:val="nil"/>
              <w:tr2bl w:val="nil"/>
            </w:tcBorders>
            <w:vAlign w:val="center"/>
          </w:tcPr>
          <w:p w14:paraId="4819647A">
            <w:pPr>
              <w:pStyle w:val="6"/>
              <w:widowControl w:val="0"/>
              <w:overflowPunct w:val="0"/>
              <w:spacing w:line="240" w:lineRule="auto"/>
              <w:jc w:val="center"/>
              <w:rPr>
                <w:rFonts w:ascii="宋体" w:hAnsi="宋体" w:cs="宋体"/>
                <w:b w:val="0"/>
                <w:bCs w:val="0"/>
                <w:color w:val="auto"/>
                <w:sz w:val="21"/>
                <w:szCs w:val="21"/>
                <w:highlight w:val="none"/>
              </w:rPr>
            </w:pPr>
            <w:bookmarkStart w:id="328" w:name="_Toc2700"/>
            <w:bookmarkStart w:id="329" w:name="_Toc7928"/>
            <w:bookmarkStart w:id="330" w:name="_Toc26124"/>
            <w:bookmarkStart w:id="331" w:name="_Toc12049"/>
            <w:bookmarkStart w:id="332" w:name="_Toc10045"/>
            <w:bookmarkStart w:id="333" w:name="_Toc1016"/>
            <w:bookmarkStart w:id="334" w:name="_Toc27090"/>
            <w:bookmarkStart w:id="335" w:name="_Toc4304"/>
            <w:bookmarkStart w:id="336" w:name="_Toc22448"/>
            <w:bookmarkStart w:id="337" w:name="_Toc15368"/>
            <w:bookmarkStart w:id="338" w:name="_Toc16872"/>
            <w:bookmarkStart w:id="339" w:name="_Toc15903"/>
            <w:bookmarkStart w:id="340" w:name="_Toc14815"/>
            <w:bookmarkStart w:id="341" w:name="_Toc21739"/>
            <w:bookmarkStart w:id="342" w:name="_Toc27442"/>
            <w:bookmarkStart w:id="343" w:name="_Toc24662"/>
            <w:bookmarkStart w:id="344" w:name="_Toc19251"/>
            <w:bookmarkStart w:id="345" w:name="_Toc7333"/>
            <w:bookmarkStart w:id="346" w:name="_Toc8490"/>
            <w:bookmarkStart w:id="347" w:name="_Toc32531"/>
            <w:bookmarkStart w:id="348" w:name="_Toc22917"/>
            <w:bookmarkStart w:id="349" w:name="_Toc8312"/>
            <w:bookmarkStart w:id="350" w:name="_Toc22879"/>
            <w:bookmarkStart w:id="351" w:name="_Toc21809"/>
            <w:r>
              <w:rPr>
                <w:rFonts w:hint="eastAsia" w:ascii="宋体" w:hAnsi="宋体" w:cs="宋体"/>
                <w:b w:val="0"/>
                <w:bCs w:val="0"/>
                <w:color w:val="auto"/>
                <w:sz w:val="21"/>
                <w:szCs w:val="21"/>
                <w:highlight w:val="none"/>
              </w:rPr>
              <w:t>重要技术参数评分条款（▲）</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bookmarkEnd w:id="342"/>
          <w:bookmarkEnd w:id="343"/>
          <w:bookmarkEnd w:id="344"/>
          <w:bookmarkEnd w:id="345"/>
          <w:bookmarkEnd w:id="346"/>
          <w:bookmarkEnd w:id="347"/>
          <w:bookmarkEnd w:id="348"/>
          <w:bookmarkEnd w:id="349"/>
          <w:bookmarkEnd w:id="350"/>
          <w:bookmarkEnd w:id="351"/>
        </w:tc>
        <w:tc>
          <w:tcPr>
            <w:tcW w:w="2280" w:type="dxa"/>
            <w:tcBorders>
              <w:tl2br w:val="nil"/>
              <w:tr2bl w:val="nil"/>
            </w:tcBorders>
            <w:vAlign w:val="center"/>
          </w:tcPr>
          <w:p w14:paraId="713FCDA3">
            <w:pPr>
              <w:pStyle w:val="6"/>
              <w:widowControl w:val="0"/>
              <w:overflowPunct w:val="0"/>
              <w:spacing w:line="240" w:lineRule="auto"/>
              <w:jc w:val="center"/>
              <w:rPr>
                <w:rFonts w:ascii="宋体" w:hAnsi="宋体" w:cs="宋体"/>
                <w:b w:val="0"/>
                <w:bCs w:val="0"/>
                <w:color w:val="auto"/>
                <w:sz w:val="21"/>
                <w:szCs w:val="21"/>
                <w:highlight w:val="none"/>
              </w:rPr>
            </w:pPr>
            <w:bookmarkStart w:id="352" w:name="_Toc2408"/>
            <w:bookmarkStart w:id="353" w:name="_Toc10122"/>
            <w:bookmarkStart w:id="354" w:name="_Toc22153"/>
            <w:bookmarkStart w:id="355" w:name="_Toc24940"/>
            <w:r>
              <w:rPr>
                <w:rFonts w:hint="eastAsia" w:ascii="宋体" w:hAnsi="宋体" w:cs="宋体"/>
                <w:b w:val="0"/>
                <w:bCs w:val="0"/>
                <w:color w:val="auto"/>
                <w:sz w:val="21"/>
                <w:szCs w:val="21"/>
                <w:highlight w:val="none"/>
              </w:rPr>
              <w:t>投标文件响应内容</w:t>
            </w:r>
            <w:bookmarkEnd w:id="352"/>
            <w:bookmarkEnd w:id="353"/>
            <w:bookmarkEnd w:id="354"/>
            <w:bookmarkEnd w:id="355"/>
          </w:p>
        </w:tc>
        <w:tc>
          <w:tcPr>
            <w:tcW w:w="1109" w:type="dxa"/>
            <w:tcBorders>
              <w:tl2br w:val="nil"/>
              <w:tr2bl w:val="nil"/>
            </w:tcBorders>
            <w:vAlign w:val="center"/>
          </w:tcPr>
          <w:p w14:paraId="62087B03">
            <w:pPr>
              <w:pStyle w:val="6"/>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29838"/>
            <w:bookmarkStart w:id="358" w:name="_Toc29353"/>
            <w:bookmarkStart w:id="359" w:name="_Toc16003"/>
            <w:bookmarkStart w:id="360" w:name="_Toc27185"/>
            <w:bookmarkStart w:id="361" w:name="_Toc5563"/>
            <w:bookmarkStart w:id="362" w:name="_Toc17642"/>
            <w:bookmarkStart w:id="363" w:name="_Toc1330"/>
            <w:bookmarkStart w:id="364" w:name="_Toc20820"/>
            <w:bookmarkStart w:id="365" w:name="_Toc1912"/>
            <w:bookmarkStart w:id="366" w:name="_Toc5992"/>
            <w:bookmarkStart w:id="367" w:name="_Toc3701"/>
            <w:bookmarkStart w:id="368" w:name="_Toc17296"/>
            <w:bookmarkStart w:id="369" w:name="_Toc20139"/>
            <w:r>
              <w:rPr>
                <w:rFonts w:hint="eastAsia" w:ascii="宋体" w:hAnsi="宋体" w:cs="宋体"/>
                <w:b w:val="0"/>
                <w:bCs w:val="0"/>
                <w:color w:val="auto"/>
                <w:sz w:val="21"/>
                <w:szCs w:val="21"/>
                <w:highlight w:val="none"/>
              </w:rPr>
              <w:t>说明</w:t>
            </w:r>
            <w:bookmarkEnd w:id="356"/>
            <w:bookmarkEnd w:id="357"/>
            <w:bookmarkEnd w:id="358"/>
            <w:bookmarkEnd w:id="359"/>
          </w:p>
        </w:tc>
        <w:tc>
          <w:tcPr>
            <w:tcW w:w="1591" w:type="dxa"/>
            <w:tcBorders>
              <w:tl2br w:val="nil"/>
              <w:tr2bl w:val="nil"/>
            </w:tcBorders>
            <w:vAlign w:val="center"/>
          </w:tcPr>
          <w:p w14:paraId="2FA7D751">
            <w:pPr>
              <w:pStyle w:val="6"/>
              <w:widowControl w:val="0"/>
              <w:overflowPunct w:val="0"/>
              <w:spacing w:line="240" w:lineRule="auto"/>
              <w:jc w:val="center"/>
              <w:rPr>
                <w:rFonts w:ascii="宋体" w:hAnsi="宋体" w:cs="宋体"/>
                <w:b w:val="0"/>
                <w:bCs w:val="0"/>
                <w:color w:val="auto"/>
                <w:sz w:val="21"/>
                <w:szCs w:val="21"/>
                <w:highlight w:val="none"/>
              </w:rPr>
            </w:pPr>
            <w:bookmarkStart w:id="370" w:name="_Toc857"/>
            <w:bookmarkStart w:id="371" w:name="_Toc19105"/>
            <w:bookmarkStart w:id="372" w:name="_Toc3520"/>
            <w:bookmarkStart w:id="373" w:name="_Toc21465"/>
            <w:r>
              <w:rPr>
                <w:rFonts w:hint="eastAsia" w:ascii="宋体" w:hAnsi="宋体" w:cs="宋体"/>
                <w:b w:val="0"/>
                <w:bCs w:val="0"/>
                <w:color w:val="auto"/>
                <w:sz w:val="21"/>
                <w:szCs w:val="21"/>
                <w:highlight w:val="none"/>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tc>
      </w:tr>
      <w:tr w14:paraId="61A7E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A10C230">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1D5F6FE">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D578E0A">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3A2FC54">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706D15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6809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88F7CAB">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4B3B888">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63C0A65">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9E7A61A">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1BF24D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6B6D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11CC6F">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16287C2">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CB62D9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EECA1B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7E3C74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6B79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08CB2D7">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DA9DC19">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0DBC804">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113E8D7">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7213AD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5751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2BFA4EA">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4538265">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B6E0101">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BE0BE88">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1CF07E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D585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7A4AD75">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FBB8E26">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9FADFA3">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8518045">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C50B74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D4DD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8472DA4">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1A45F19">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47CCF67">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6E0E51E">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0C29D6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A79B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EEA10AE">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73C870D">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23309F9">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8B1BEFF">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D831C8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B7B5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A089161">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7E33FA7">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A2318BC">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F7E9CA9">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343393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F399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8C23936">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0260359">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677BC3F">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9C483C2">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EDA61A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32C4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AF5E87">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834CD4F">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9A2D5B3">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95E07DE">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A93D7A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7C38D0E8">
      <w:pPr>
        <w:pStyle w:val="40"/>
        <w:rPr>
          <w:rFonts w:ascii="宋体" w:hAnsi="宋体"/>
          <w:color w:val="auto"/>
          <w:szCs w:val="21"/>
          <w:highlight w:val="none"/>
        </w:rPr>
      </w:pPr>
    </w:p>
    <w:p w14:paraId="2EE7ABC3">
      <w:pPr>
        <w:pStyle w:val="40"/>
        <w:rPr>
          <w:rFonts w:ascii="宋体" w:hAnsi="宋体"/>
          <w:color w:val="auto"/>
          <w:szCs w:val="21"/>
          <w:highlight w:val="none"/>
        </w:rPr>
      </w:pPr>
      <w:r>
        <w:rPr>
          <w:rFonts w:hint="eastAsia" w:ascii="宋体" w:hAnsi="宋体"/>
          <w:color w:val="auto"/>
          <w:szCs w:val="21"/>
          <w:highlight w:val="none"/>
        </w:rPr>
        <w:t>注：</w:t>
      </w:r>
    </w:p>
    <w:p w14:paraId="0393F567">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5DF5181F">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38D4151E">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0ECD5B8A">
      <w:pPr>
        <w:pStyle w:val="40"/>
        <w:rPr>
          <w:rFonts w:ascii="宋体" w:hAnsi="宋体"/>
          <w:color w:val="auto"/>
          <w:szCs w:val="21"/>
          <w:highlight w:val="none"/>
        </w:rPr>
      </w:pPr>
    </w:p>
    <w:p w14:paraId="5EC6CB11">
      <w:pPr>
        <w:pStyle w:val="40"/>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00F6FCB4">
      <w:pPr>
        <w:pStyle w:val="5"/>
        <w:jc w:val="center"/>
        <w:rPr>
          <w:color w:val="auto"/>
          <w:highlight w:val="none"/>
        </w:rPr>
      </w:pPr>
      <w:bookmarkStart w:id="374" w:name="_Toc21887"/>
      <w:bookmarkStart w:id="375" w:name="_Toc19349"/>
      <w:r>
        <w:rPr>
          <w:rFonts w:hint="eastAsia"/>
          <w:color w:val="auto"/>
          <w:highlight w:val="none"/>
        </w:rPr>
        <w:t>三、实质性条款（标记★）投标响应表</w:t>
      </w:r>
      <w:bookmarkEnd w:id="374"/>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699E5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C97F6C6">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15E0BED8">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3019FDE1">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7DC4CE42">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3159B300">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4B9C1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5F264800">
            <w:pPr>
              <w:jc w:val="center"/>
              <w:rPr>
                <w:rFonts w:ascii="宋体" w:hAnsi="宋体" w:cs="宋体"/>
                <w:color w:val="auto"/>
                <w:sz w:val="24"/>
                <w:szCs w:val="24"/>
                <w:highlight w:val="none"/>
              </w:rPr>
            </w:pPr>
          </w:p>
        </w:tc>
        <w:tc>
          <w:tcPr>
            <w:tcW w:w="2398" w:type="dxa"/>
            <w:tcBorders>
              <w:tl2br w:val="nil"/>
              <w:tr2bl w:val="nil"/>
            </w:tcBorders>
            <w:vAlign w:val="center"/>
          </w:tcPr>
          <w:p w14:paraId="01F26C17">
            <w:pPr>
              <w:jc w:val="center"/>
              <w:rPr>
                <w:rFonts w:ascii="宋体" w:hAnsi="宋体" w:cs="宋体"/>
                <w:color w:val="auto"/>
                <w:sz w:val="24"/>
                <w:szCs w:val="24"/>
                <w:highlight w:val="none"/>
              </w:rPr>
            </w:pPr>
          </w:p>
        </w:tc>
        <w:tc>
          <w:tcPr>
            <w:tcW w:w="2399" w:type="dxa"/>
            <w:tcBorders>
              <w:tl2br w:val="nil"/>
              <w:tr2bl w:val="nil"/>
            </w:tcBorders>
            <w:vAlign w:val="center"/>
          </w:tcPr>
          <w:p w14:paraId="3C0A3752">
            <w:pPr>
              <w:jc w:val="center"/>
              <w:rPr>
                <w:rFonts w:ascii="宋体" w:hAnsi="宋体" w:cs="宋体"/>
                <w:color w:val="auto"/>
                <w:sz w:val="24"/>
                <w:szCs w:val="24"/>
                <w:highlight w:val="none"/>
              </w:rPr>
            </w:pPr>
          </w:p>
        </w:tc>
        <w:tc>
          <w:tcPr>
            <w:tcW w:w="1180" w:type="dxa"/>
            <w:tcBorders>
              <w:tl2br w:val="nil"/>
              <w:tr2bl w:val="nil"/>
            </w:tcBorders>
            <w:vAlign w:val="center"/>
          </w:tcPr>
          <w:p w14:paraId="4BC73B76">
            <w:pPr>
              <w:jc w:val="center"/>
              <w:rPr>
                <w:rFonts w:ascii="宋体" w:hAnsi="宋体"/>
                <w:color w:val="auto"/>
                <w:sz w:val="24"/>
                <w:highlight w:val="none"/>
              </w:rPr>
            </w:pPr>
          </w:p>
        </w:tc>
        <w:tc>
          <w:tcPr>
            <w:tcW w:w="1867" w:type="dxa"/>
            <w:tcBorders>
              <w:tl2br w:val="nil"/>
              <w:tr2bl w:val="nil"/>
            </w:tcBorders>
            <w:vAlign w:val="center"/>
          </w:tcPr>
          <w:p w14:paraId="77D67223">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C40D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79DE353">
            <w:pPr>
              <w:jc w:val="center"/>
              <w:rPr>
                <w:rFonts w:ascii="宋体" w:hAnsi="宋体" w:cs="宋体"/>
                <w:color w:val="auto"/>
                <w:sz w:val="24"/>
                <w:szCs w:val="24"/>
                <w:highlight w:val="none"/>
              </w:rPr>
            </w:pPr>
          </w:p>
        </w:tc>
        <w:tc>
          <w:tcPr>
            <w:tcW w:w="2398" w:type="dxa"/>
            <w:tcBorders>
              <w:tl2br w:val="nil"/>
              <w:tr2bl w:val="nil"/>
            </w:tcBorders>
            <w:vAlign w:val="center"/>
          </w:tcPr>
          <w:p w14:paraId="47B6ABFB">
            <w:pPr>
              <w:jc w:val="center"/>
              <w:rPr>
                <w:rFonts w:ascii="宋体" w:hAnsi="宋体" w:cs="宋体"/>
                <w:color w:val="auto"/>
                <w:sz w:val="24"/>
                <w:szCs w:val="24"/>
                <w:highlight w:val="none"/>
              </w:rPr>
            </w:pPr>
          </w:p>
        </w:tc>
        <w:tc>
          <w:tcPr>
            <w:tcW w:w="2399" w:type="dxa"/>
            <w:tcBorders>
              <w:tl2br w:val="nil"/>
              <w:tr2bl w:val="nil"/>
            </w:tcBorders>
            <w:vAlign w:val="center"/>
          </w:tcPr>
          <w:p w14:paraId="2C22B6B3">
            <w:pPr>
              <w:jc w:val="center"/>
              <w:rPr>
                <w:rFonts w:ascii="宋体" w:hAnsi="宋体" w:cs="宋体"/>
                <w:color w:val="auto"/>
                <w:sz w:val="24"/>
                <w:szCs w:val="24"/>
                <w:highlight w:val="none"/>
              </w:rPr>
            </w:pPr>
          </w:p>
        </w:tc>
        <w:tc>
          <w:tcPr>
            <w:tcW w:w="1180" w:type="dxa"/>
            <w:tcBorders>
              <w:tl2br w:val="nil"/>
              <w:tr2bl w:val="nil"/>
            </w:tcBorders>
            <w:vAlign w:val="center"/>
          </w:tcPr>
          <w:p w14:paraId="367B5F7B">
            <w:pPr>
              <w:jc w:val="center"/>
              <w:rPr>
                <w:rFonts w:ascii="宋体" w:hAnsi="宋体"/>
                <w:color w:val="auto"/>
                <w:sz w:val="24"/>
                <w:highlight w:val="none"/>
              </w:rPr>
            </w:pPr>
          </w:p>
        </w:tc>
        <w:tc>
          <w:tcPr>
            <w:tcW w:w="1867" w:type="dxa"/>
            <w:tcBorders>
              <w:tl2br w:val="nil"/>
              <w:tr2bl w:val="nil"/>
            </w:tcBorders>
            <w:vAlign w:val="center"/>
          </w:tcPr>
          <w:p w14:paraId="45677B3B">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D23E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DBECECC">
            <w:pPr>
              <w:jc w:val="center"/>
              <w:rPr>
                <w:rFonts w:ascii="宋体" w:hAnsi="宋体" w:cs="宋体"/>
                <w:color w:val="auto"/>
                <w:sz w:val="24"/>
                <w:szCs w:val="24"/>
                <w:highlight w:val="none"/>
              </w:rPr>
            </w:pPr>
          </w:p>
        </w:tc>
        <w:tc>
          <w:tcPr>
            <w:tcW w:w="2398" w:type="dxa"/>
            <w:tcBorders>
              <w:tl2br w:val="nil"/>
              <w:tr2bl w:val="nil"/>
            </w:tcBorders>
            <w:vAlign w:val="center"/>
          </w:tcPr>
          <w:p w14:paraId="29FE9A65">
            <w:pPr>
              <w:jc w:val="center"/>
              <w:rPr>
                <w:rFonts w:ascii="宋体" w:hAnsi="宋体" w:cs="宋体"/>
                <w:color w:val="auto"/>
                <w:sz w:val="24"/>
                <w:szCs w:val="24"/>
                <w:highlight w:val="none"/>
              </w:rPr>
            </w:pPr>
          </w:p>
        </w:tc>
        <w:tc>
          <w:tcPr>
            <w:tcW w:w="2399" w:type="dxa"/>
            <w:tcBorders>
              <w:tl2br w:val="nil"/>
              <w:tr2bl w:val="nil"/>
            </w:tcBorders>
            <w:vAlign w:val="center"/>
          </w:tcPr>
          <w:p w14:paraId="6B0E72CE">
            <w:pPr>
              <w:jc w:val="center"/>
              <w:rPr>
                <w:rFonts w:ascii="宋体" w:hAnsi="宋体" w:cs="宋体"/>
                <w:color w:val="auto"/>
                <w:sz w:val="24"/>
                <w:szCs w:val="24"/>
                <w:highlight w:val="none"/>
              </w:rPr>
            </w:pPr>
          </w:p>
        </w:tc>
        <w:tc>
          <w:tcPr>
            <w:tcW w:w="1180" w:type="dxa"/>
            <w:tcBorders>
              <w:tl2br w:val="nil"/>
              <w:tr2bl w:val="nil"/>
            </w:tcBorders>
            <w:vAlign w:val="center"/>
          </w:tcPr>
          <w:p w14:paraId="6B46DFD0">
            <w:pPr>
              <w:jc w:val="center"/>
              <w:rPr>
                <w:rFonts w:ascii="宋体" w:hAnsi="宋体"/>
                <w:color w:val="auto"/>
                <w:sz w:val="24"/>
                <w:highlight w:val="none"/>
              </w:rPr>
            </w:pPr>
          </w:p>
        </w:tc>
        <w:tc>
          <w:tcPr>
            <w:tcW w:w="1867" w:type="dxa"/>
            <w:tcBorders>
              <w:tl2br w:val="nil"/>
              <w:tr2bl w:val="nil"/>
            </w:tcBorders>
            <w:vAlign w:val="center"/>
          </w:tcPr>
          <w:p w14:paraId="2E8E5B1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420B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04E1186">
            <w:pPr>
              <w:jc w:val="center"/>
              <w:rPr>
                <w:rFonts w:ascii="宋体" w:hAnsi="宋体" w:cs="宋体"/>
                <w:color w:val="auto"/>
                <w:sz w:val="24"/>
                <w:szCs w:val="24"/>
                <w:highlight w:val="none"/>
              </w:rPr>
            </w:pPr>
          </w:p>
        </w:tc>
        <w:tc>
          <w:tcPr>
            <w:tcW w:w="2398" w:type="dxa"/>
            <w:tcBorders>
              <w:tl2br w:val="nil"/>
              <w:tr2bl w:val="nil"/>
            </w:tcBorders>
            <w:vAlign w:val="center"/>
          </w:tcPr>
          <w:p w14:paraId="1E514F64">
            <w:pPr>
              <w:jc w:val="center"/>
              <w:rPr>
                <w:rFonts w:ascii="宋体" w:hAnsi="宋体" w:cs="宋体"/>
                <w:color w:val="auto"/>
                <w:sz w:val="24"/>
                <w:szCs w:val="24"/>
                <w:highlight w:val="none"/>
              </w:rPr>
            </w:pPr>
          </w:p>
        </w:tc>
        <w:tc>
          <w:tcPr>
            <w:tcW w:w="2399" w:type="dxa"/>
            <w:tcBorders>
              <w:tl2br w:val="nil"/>
              <w:tr2bl w:val="nil"/>
            </w:tcBorders>
            <w:vAlign w:val="center"/>
          </w:tcPr>
          <w:p w14:paraId="0D0BAF76">
            <w:pPr>
              <w:jc w:val="center"/>
              <w:rPr>
                <w:rFonts w:ascii="宋体" w:hAnsi="宋体" w:cs="宋体"/>
                <w:color w:val="auto"/>
                <w:sz w:val="24"/>
                <w:szCs w:val="24"/>
                <w:highlight w:val="none"/>
              </w:rPr>
            </w:pPr>
          </w:p>
        </w:tc>
        <w:tc>
          <w:tcPr>
            <w:tcW w:w="1180" w:type="dxa"/>
            <w:tcBorders>
              <w:tl2br w:val="nil"/>
              <w:tr2bl w:val="nil"/>
            </w:tcBorders>
            <w:vAlign w:val="center"/>
          </w:tcPr>
          <w:p w14:paraId="49E3E8B7">
            <w:pPr>
              <w:jc w:val="center"/>
              <w:rPr>
                <w:rFonts w:ascii="宋体" w:hAnsi="宋体"/>
                <w:color w:val="auto"/>
                <w:sz w:val="24"/>
                <w:highlight w:val="none"/>
              </w:rPr>
            </w:pPr>
          </w:p>
        </w:tc>
        <w:tc>
          <w:tcPr>
            <w:tcW w:w="1867" w:type="dxa"/>
            <w:tcBorders>
              <w:tl2br w:val="nil"/>
              <w:tr2bl w:val="nil"/>
            </w:tcBorders>
            <w:vAlign w:val="center"/>
          </w:tcPr>
          <w:p w14:paraId="7F5F29E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3BC8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F63CE1A">
            <w:pPr>
              <w:jc w:val="center"/>
              <w:rPr>
                <w:rFonts w:ascii="宋体" w:hAnsi="宋体" w:cs="宋体"/>
                <w:color w:val="auto"/>
                <w:sz w:val="24"/>
                <w:szCs w:val="24"/>
                <w:highlight w:val="none"/>
              </w:rPr>
            </w:pPr>
          </w:p>
        </w:tc>
        <w:tc>
          <w:tcPr>
            <w:tcW w:w="2398" w:type="dxa"/>
            <w:tcBorders>
              <w:tl2br w:val="nil"/>
              <w:tr2bl w:val="nil"/>
            </w:tcBorders>
            <w:vAlign w:val="center"/>
          </w:tcPr>
          <w:p w14:paraId="6EB55A5D">
            <w:pPr>
              <w:jc w:val="center"/>
              <w:rPr>
                <w:rFonts w:ascii="宋体" w:hAnsi="宋体" w:cs="宋体"/>
                <w:color w:val="auto"/>
                <w:sz w:val="24"/>
                <w:szCs w:val="24"/>
                <w:highlight w:val="none"/>
              </w:rPr>
            </w:pPr>
          </w:p>
        </w:tc>
        <w:tc>
          <w:tcPr>
            <w:tcW w:w="2399" w:type="dxa"/>
            <w:tcBorders>
              <w:tl2br w:val="nil"/>
              <w:tr2bl w:val="nil"/>
            </w:tcBorders>
            <w:vAlign w:val="center"/>
          </w:tcPr>
          <w:p w14:paraId="172E2E85">
            <w:pPr>
              <w:jc w:val="center"/>
              <w:rPr>
                <w:rFonts w:ascii="宋体" w:hAnsi="宋体" w:cs="宋体"/>
                <w:color w:val="auto"/>
                <w:sz w:val="24"/>
                <w:szCs w:val="24"/>
                <w:highlight w:val="none"/>
              </w:rPr>
            </w:pPr>
          </w:p>
        </w:tc>
        <w:tc>
          <w:tcPr>
            <w:tcW w:w="1180" w:type="dxa"/>
            <w:tcBorders>
              <w:tl2br w:val="nil"/>
              <w:tr2bl w:val="nil"/>
            </w:tcBorders>
            <w:vAlign w:val="center"/>
          </w:tcPr>
          <w:p w14:paraId="39EB4FDF">
            <w:pPr>
              <w:jc w:val="center"/>
              <w:rPr>
                <w:rFonts w:ascii="宋体" w:hAnsi="宋体"/>
                <w:color w:val="auto"/>
                <w:sz w:val="24"/>
                <w:highlight w:val="none"/>
              </w:rPr>
            </w:pPr>
          </w:p>
        </w:tc>
        <w:tc>
          <w:tcPr>
            <w:tcW w:w="1867" w:type="dxa"/>
            <w:tcBorders>
              <w:tl2br w:val="nil"/>
              <w:tr2bl w:val="nil"/>
            </w:tcBorders>
            <w:vAlign w:val="center"/>
          </w:tcPr>
          <w:p w14:paraId="13AC398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3984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566260B">
            <w:pPr>
              <w:jc w:val="center"/>
              <w:rPr>
                <w:rFonts w:ascii="宋体" w:hAnsi="宋体" w:cs="宋体"/>
                <w:color w:val="auto"/>
                <w:sz w:val="24"/>
                <w:szCs w:val="24"/>
                <w:highlight w:val="none"/>
              </w:rPr>
            </w:pPr>
          </w:p>
        </w:tc>
        <w:tc>
          <w:tcPr>
            <w:tcW w:w="2398" w:type="dxa"/>
            <w:tcBorders>
              <w:tl2br w:val="nil"/>
              <w:tr2bl w:val="nil"/>
            </w:tcBorders>
            <w:vAlign w:val="center"/>
          </w:tcPr>
          <w:p w14:paraId="590924B0">
            <w:pPr>
              <w:jc w:val="center"/>
              <w:rPr>
                <w:rFonts w:ascii="宋体" w:hAnsi="宋体" w:cs="宋体"/>
                <w:color w:val="auto"/>
                <w:sz w:val="24"/>
                <w:szCs w:val="24"/>
                <w:highlight w:val="none"/>
              </w:rPr>
            </w:pPr>
          </w:p>
        </w:tc>
        <w:tc>
          <w:tcPr>
            <w:tcW w:w="2399" w:type="dxa"/>
            <w:tcBorders>
              <w:tl2br w:val="nil"/>
              <w:tr2bl w:val="nil"/>
            </w:tcBorders>
            <w:vAlign w:val="center"/>
          </w:tcPr>
          <w:p w14:paraId="7A39A5BE">
            <w:pPr>
              <w:jc w:val="center"/>
              <w:rPr>
                <w:rFonts w:ascii="宋体" w:hAnsi="宋体" w:cs="宋体"/>
                <w:color w:val="auto"/>
                <w:sz w:val="24"/>
                <w:szCs w:val="24"/>
                <w:highlight w:val="none"/>
              </w:rPr>
            </w:pPr>
          </w:p>
        </w:tc>
        <w:tc>
          <w:tcPr>
            <w:tcW w:w="1180" w:type="dxa"/>
            <w:tcBorders>
              <w:tl2br w:val="nil"/>
              <w:tr2bl w:val="nil"/>
            </w:tcBorders>
            <w:vAlign w:val="center"/>
          </w:tcPr>
          <w:p w14:paraId="6A51896C">
            <w:pPr>
              <w:jc w:val="center"/>
              <w:rPr>
                <w:rFonts w:ascii="宋体" w:hAnsi="宋体"/>
                <w:color w:val="auto"/>
                <w:sz w:val="24"/>
                <w:highlight w:val="none"/>
              </w:rPr>
            </w:pPr>
          </w:p>
        </w:tc>
        <w:tc>
          <w:tcPr>
            <w:tcW w:w="1867" w:type="dxa"/>
            <w:tcBorders>
              <w:tl2br w:val="nil"/>
              <w:tr2bl w:val="nil"/>
            </w:tcBorders>
            <w:vAlign w:val="center"/>
          </w:tcPr>
          <w:p w14:paraId="2EB1DD35">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4CCD1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40A32918">
            <w:pPr>
              <w:jc w:val="center"/>
              <w:rPr>
                <w:rFonts w:ascii="宋体" w:hAnsi="宋体" w:cs="宋体"/>
                <w:color w:val="auto"/>
                <w:sz w:val="24"/>
                <w:szCs w:val="24"/>
                <w:highlight w:val="none"/>
              </w:rPr>
            </w:pPr>
          </w:p>
        </w:tc>
        <w:tc>
          <w:tcPr>
            <w:tcW w:w="2398" w:type="dxa"/>
            <w:tcBorders>
              <w:tl2br w:val="nil"/>
              <w:tr2bl w:val="nil"/>
            </w:tcBorders>
            <w:vAlign w:val="center"/>
          </w:tcPr>
          <w:p w14:paraId="7E10A974">
            <w:pPr>
              <w:jc w:val="center"/>
              <w:rPr>
                <w:rFonts w:ascii="宋体" w:hAnsi="宋体" w:cs="宋体"/>
                <w:color w:val="auto"/>
                <w:sz w:val="24"/>
                <w:szCs w:val="24"/>
                <w:highlight w:val="none"/>
              </w:rPr>
            </w:pPr>
          </w:p>
        </w:tc>
        <w:tc>
          <w:tcPr>
            <w:tcW w:w="2399" w:type="dxa"/>
            <w:tcBorders>
              <w:tl2br w:val="nil"/>
              <w:tr2bl w:val="nil"/>
            </w:tcBorders>
            <w:vAlign w:val="center"/>
          </w:tcPr>
          <w:p w14:paraId="22C9729D">
            <w:pPr>
              <w:jc w:val="center"/>
              <w:rPr>
                <w:rFonts w:ascii="宋体" w:hAnsi="宋体" w:cs="宋体"/>
                <w:color w:val="auto"/>
                <w:sz w:val="24"/>
                <w:szCs w:val="24"/>
                <w:highlight w:val="none"/>
              </w:rPr>
            </w:pPr>
          </w:p>
        </w:tc>
        <w:tc>
          <w:tcPr>
            <w:tcW w:w="1180" w:type="dxa"/>
            <w:tcBorders>
              <w:tl2br w:val="nil"/>
              <w:tr2bl w:val="nil"/>
            </w:tcBorders>
            <w:vAlign w:val="center"/>
          </w:tcPr>
          <w:p w14:paraId="459CF8E4">
            <w:pPr>
              <w:jc w:val="center"/>
              <w:rPr>
                <w:rFonts w:ascii="宋体" w:hAnsi="宋体"/>
                <w:color w:val="auto"/>
                <w:sz w:val="24"/>
                <w:highlight w:val="none"/>
              </w:rPr>
            </w:pPr>
          </w:p>
        </w:tc>
        <w:tc>
          <w:tcPr>
            <w:tcW w:w="1867" w:type="dxa"/>
            <w:tcBorders>
              <w:tl2br w:val="nil"/>
              <w:tr2bl w:val="nil"/>
            </w:tcBorders>
            <w:vAlign w:val="center"/>
          </w:tcPr>
          <w:p w14:paraId="2FCB16DB">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002A3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7BDA8E72">
            <w:pPr>
              <w:jc w:val="center"/>
              <w:rPr>
                <w:rFonts w:ascii="宋体" w:hAnsi="宋体" w:cs="宋体"/>
                <w:color w:val="auto"/>
                <w:sz w:val="24"/>
                <w:szCs w:val="24"/>
                <w:highlight w:val="none"/>
              </w:rPr>
            </w:pPr>
          </w:p>
        </w:tc>
        <w:tc>
          <w:tcPr>
            <w:tcW w:w="2398" w:type="dxa"/>
            <w:tcBorders>
              <w:tl2br w:val="nil"/>
              <w:tr2bl w:val="nil"/>
            </w:tcBorders>
            <w:vAlign w:val="center"/>
          </w:tcPr>
          <w:p w14:paraId="69AAE72B">
            <w:pPr>
              <w:jc w:val="center"/>
              <w:rPr>
                <w:rFonts w:ascii="宋体" w:hAnsi="宋体" w:cs="宋体"/>
                <w:color w:val="auto"/>
                <w:sz w:val="24"/>
                <w:szCs w:val="24"/>
                <w:highlight w:val="none"/>
              </w:rPr>
            </w:pPr>
          </w:p>
        </w:tc>
        <w:tc>
          <w:tcPr>
            <w:tcW w:w="2399" w:type="dxa"/>
            <w:tcBorders>
              <w:tl2br w:val="nil"/>
              <w:tr2bl w:val="nil"/>
            </w:tcBorders>
            <w:vAlign w:val="center"/>
          </w:tcPr>
          <w:p w14:paraId="184141EB">
            <w:pPr>
              <w:jc w:val="center"/>
              <w:rPr>
                <w:rFonts w:ascii="宋体" w:hAnsi="宋体" w:cs="宋体"/>
                <w:color w:val="auto"/>
                <w:sz w:val="24"/>
                <w:szCs w:val="24"/>
                <w:highlight w:val="none"/>
              </w:rPr>
            </w:pPr>
          </w:p>
        </w:tc>
        <w:tc>
          <w:tcPr>
            <w:tcW w:w="1180" w:type="dxa"/>
            <w:tcBorders>
              <w:tl2br w:val="nil"/>
              <w:tr2bl w:val="nil"/>
            </w:tcBorders>
            <w:vAlign w:val="center"/>
          </w:tcPr>
          <w:p w14:paraId="6D34A1BD">
            <w:pPr>
              <w:jc w:val="center"/>
              <w:rPr>
                <w:rFonts w:ascii="宋体" w:hAnsi="宋体"/>
                <w:color w:val="auto"/>
                <w:sz w:val="24"/>
                <w:highlight w:val="none"/>
              </w:rPr>
            </w:pPr>
          </w:p>
        </w:tc>
        <w:tc>
          <w:tcPr>
            <w:tcW w:w="1867" w:type="dxa"/>
            <w:tcBorders>
              <w:tl2br w:val="nil"/>
              <w:tr2bl w:val="nil"/>
            </w:tcBorders>
            <w:vAlign w:val="center"/>
          </w:tcPr>
          <w:p w14:paraId="678BF65E">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547804E9">
      <w:pPr>
        <w:rPr>
          <w:rFonts w:ascii="宋体" w:hAnsi="宋体"/>
          <w:color w:val="auto"/>
          <w:szCs w:val="21"/>
          <w:highlight w:val="none"/>
        </w:rPr>
      </w:pPr>
    </w:p>
    <w:p w14:paraId="22A7AF1F">
      <w:pPr>
        <w:rPr>
          <w:color w:val="auto"/>
          <w:highlight w:val="none"/>
        </w:rPr>
      </w:pPr>
    </w:p>
    <w:p w14:paraId="0D8EE869">
      <w:pPr>
        <w:rPr>
          <w:rFonts w:ascii="宋体" w:hAnsi="宋体"/>
          <w:color w:val="auto"/>
          <w:szCs w:val="21"/>
          <w:highlight w:val="none"/>
        </w:rPr>
      </w:pPr>
      <w:r>
        <w:rPr>
          <w:rFonts w:hint="eastAsia" w:ascii="宋体" w:hAnsi="宋体"/>
          <w:color w:val="auto"/>
          <w:szCs w:val="21"/>
          <w:highlight w:val="none"/>
        </w:rPr>
        <w:t>投标人代表签字：</w:t>
      </w:r>
    </w:p>
    <w:p w14:paraId="7F09423C">
      <w:pPr>
        <w:rPr>
          <w:rFonts w:ascii="宋体" w:hAnsi="宋体"/>
          <w:color w:val="auto"/>
          <w:szCs w:val="21"/>
          <w:highlight w:val="none"/>
        </w:rPr>
      </w:pPr>
      <w:r>
        <w:rPr>
          <w:rFonts w:hint="eastAsia" w:ascii="宋体" w:hAnsi="宋体"/>
          <w:color w:val="auto"/>
          <w:szCs w:val="21"/>
          <w:highlight w:val="none"/>
        </w:rPr>
        <w:t>投标人盖章：</w:t>
      </w:r>
    </w:p>
    <w:p w14:paraId="0B849BBC">
      <w:pPr>
        <w:rPr>
          <w:color w:val="auto"/>
          <w:highlight w:val="none"/>
        </w:rPr>
      </w:pPr>
    </w:p>
    <w:p w14:paraId="6BABF67F">
      <w:pPr>
        <w:rPr>
          <w:color w:val="auto"/>
          <w:highlight w:val="none"/>
        </w:rPr>
      </w:pPr>
    </w:p>
    <w:p w14:paraId="5B9AB008">
      <w:pPr>
        <w:rPr>
          <w:color w:val="auto"/>
          <w:highlight w:val="none"/>
        </w:rPr>
      </w:pPr>
      <w:r>
        <w:rPr>
          <w:rFonts w:hint="eastAsia"/>
          <w:color w:val="auto"/>
          <w:highlight w:val="none"/>
        </w:rPr>
        <w:t>注：</w:t>
      </w:r>
    </w:p>
    <w:p w14:paraId="5D5EAEE4">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4093DE9F">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0084808A">
      <w:pPr>
        <w:ind w:firstLine="420" w:firstLineChars="200"/>
        <w:rPr>
          <w:color w:val="auto"/>
          <w:highlight w:val="none"/>
        </w:rPr>
      </w:pPr>
      <w:r>
        <w:rPr>
          <w:rFonts w:hint="eastAsia"/>
          <w:color w:val="auto"/>
          <w:highlight w:val="none"/>
        </w:rPr>
        <w:t>3、若招标文件未设定实质性条款的，可删除本格式。</w:t>
      </w:r>
    </w:p>
    <w:p w14:paraId="69BEDC49">
      <w:pPr>
        <w:pStyle w:val="5"/>
        <w:jc w:val="center"/>
        <w:rPr>
          <w:color w:val="auto"/>
          <w:highlight w:val="none"/>
        </w:rPr>
      </w:pPr>
      <w:bookmarkStart w:id="376" w:name="_Toc29975"/>
      <w:r>
        <w:rPr>
          <w:rFonts w:hint="eastAsia"/>
          <w:color w:val="auto"/>
          <w:highlight w:val="none"/>
        </w:rPr>
        <w:t>四、项目技术方案</w:t>
      </w:r>
      <w:bookmarkEnd w:id="375"/>
      <w:bookmarkEnd w:id="376"/>
    </w:p>
    <w:p w14:paraId="65357B2C">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147ACA52">
      <w:pPr>
        <w:ind w:left="718" w:leftChars="200" w:hanging="298" w:hangingChars="142"/>
        <w:rPr>
          <w:rFonts w:ascii="宋体" w:hAnsi="宋体"/>
          <w:color w:val="auto"/>
          <w:szCs w:val="21"/>
          <w:highlight w:val="none"/>
        </w:rPr>
      </w:pPr>
    </w:p>
    <w:p w14:paraId="3A7B43F8">
      <w:pPr>
        <w:ind w:left="718" w:leftChars="200" w:hanging="298" w:hangingChars="142"/>
        <w:rPr>
          <w:rFonts w:ascii="宋体" w:hAnsi="宋体"/>
          <w:color w:val="auto"/>
          <w:szCs w:val="21"/>
          <w:highlight w:val="none"/>
        </w:rPr>
      </w:pPr>
    </w:p>
    <w:p w14:paraId="2970C91C">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08623A7E">
      <w:pPr>
        <w:pStyle w:val="5"/>
        <w:jc w:val="center"/>
        <w:rPr>
          <w:color w:val="auto"/>
          <w:highlight w:val="none"/>
        </w:rPr>
      </w:pPr>
      <w:bookmarkStart w:id="377" w:name="_Toc16328"/>
      <w:bookmarkStart w:id="378" w:name="_Toc11297"/>
      <w:r>
        <w:rPr>
          <w:rFonts w:hint="eastAsia"/>
          <w:color w:val="auto"/>
          <w:highlight w:val="none"/>
        </w:rPr>
        <w:t>五、项目负责人及团队成员资料表</w:t>
      </w:r>
      <w:bookmarkEnd w:id="377"/>
      <w:bookmarkEnd w:id="378"/>
    </w:p>
    <w:p w14:paraId="3D269507">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700E071E">
      <w:pPr>
        <w:rPr>
          <w:rFonts w:ascii="宋体" w:hAnsi="宋体"/>
          <w:color w:val="auto"/>
          <w:szCs w:val="21"/>
          <w:highlight w:val="none"/>
        </w:rPr>
      </w:pPr>
      <w:r>
        <w:rPr>
          <w:rFonts w:hint="eastAsia" w:ascii="宋体" w:hAnsi="宋体"/>
          <w:color w:val="auto"/>
          <w:szCs w:val="21"/>
          <w:highlight w:val="none"/>
        </w:rPr>
        <w:t>注：</w:t>
      </w:r>
    </w:p>
    <w:p w14:paraId="7E813F5D">
      <w:pPr>
        <w:rPr>
          <w:rFonts w:ascii="宋体" w:hAnsi="宋体"/>
          <w:color w:val="auto"/>
          <w:szCs w:val="21"/>
          <w:highlight w:val="none"/>
        </w:rPr>
      </w:pPr>
      <w:r>
        <w:rPr>
          <w:rFonts w:hint="eastAsia" w:ascii="宋体" w:hAnsi="宋体"/>
          <w:color w:val="auto"/>
          <w:szCs w:val="21"/>
          <w:highlight w:val="none"/>
        </w:rPr>
        <w:t>1、证明资料须加盖公章。</w:t>
      </w:r>
    </w:p>
    <w:p w14:paraId="7ACF4B76">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19BB35D7">
      <w:pPr>
        <w:ind w:firstLine="178" w:firstLineChars="85"/>
        <w:rPr>
          <w:rFonts w:ascii="宋体" w:hAnsi="宋体"/>
          <w:color w:val="auto"/>
          <w:szCs w:val="21"/>
          <w:highlight w:val="none"/>
        </w:rPr>
      </w:pPr>
    </w:p>
    <w:p w14:paraId="2F6967EC">
      <w:pPr>
        <w:pStyle w:val="10"/>
        <w:rPr>
          <w:color w:val="auto"/>
          <w:highlight w:val="none"/>
        </w:rPr>
      </w:pPr>
    </w:p>
    <w:p w14:paraId="333BC4CE">
      <w:pPr>
        <w:rPr>
          <w:rFonts w:ascii="黑体" w:eastAsia="黑体"/>
          <w:color w:val="auto"/>
          <w:sz w:val="28"/>
          <w:szCs w:val="28"/>
          <w:highlight w:val="none"/>
        </w:rPr>
      </w:pPr>
      <w:r>
        <w:rPr>
          <w:rFonts w:hint="eastAsia" w:ascii="宋体" w:hAnsi="宋体"/>
          <w:color w:val="auto"/>
          <w:szCs w:val="21"/>
          <w:highlight w:val="none"/>
        </w:rPr>
        <w:br w:type="page"/>
      </w:r>
    </w:p>
    <w:p w14:paraId="7BA8CAE2">
      <w:pPr>
        <w:pStyle w:val="5"/>
        <w:jc w:val="center"/>
        <w:rPr>
          <w:color w:val="auto"/>
          <w:highlight w:val="none"/>
        </w:rPr>
      </w:pPr>
      <w:bookmarkStart w:id="379" w:name="_Toc31551"/>
      <w:bookmarkStart w:id="380" w:name="_Toc15431"/>
      <w:r>
        <w:rPr>
          <w:rFonts w:hint="eastAsia"/>
          <w:color w:val="auto"/>
          <w:highlight w:val="none"/>
        </w:rPr>
        <w:t>六、投标货物明细一览表</w:t>
      </w:r>
      <w:bookmarkEnd w:id="379"/>
      <w:bookmarkEnd w:id="380"/>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097DD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0803C115">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1DB24A42">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20FC71C2">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7747E56C">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747C2F3B">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57911F13">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3ED9D93B">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1D23EB45">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20A6E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6687E3E">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C74AC02">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3F1BF1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45D377E">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89CAAB7">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2F3DF8A">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2B0C253">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5EB09C1">
            <w:pPr>
              <w:pStyle w:val="15"/>
              <w:spacing w:line="300" w:lineRule="auto"/>
              <w:jc w:val="center"/>
              <w:rPr>
                <w:rFonts w:hAnsi="宋体" w:cs="宋体"/>
                <w:b w:val="0"/>
                <w:bCs/>
                <w:color w:val="auto"/>
                <w:szCs w:val="21"/>
                <w:highlight w:val="none"/>
              </w:rPr>
            </w:pPr>
          </w:p>
        </w:tc>
      </w:tr>
      <w:tr w14:paraId="3A3D5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0036CD">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05C1FE0">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F3E4700">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0240B19">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1489504">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CA28A2E">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ABD46C5">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CD18893">
            <w:pPr>
              <w:pStyle w:val="15"/>
              <w:spacing w:line="300" w:lineRule="auto"/>
              <w:jc w:val="center"/>
              <w:rPr>
                <w:rFonts w:hAnsi="宋体" w:cs="宋体"/>
                <w:b w:val="0"/>
                <w:bCs/>
                <w:color w:val="auto"/>
                <w:szCs w:val="21"/>
                <w:highlight w:val="none"/>
              </w:rPr>
            </w:pPr>
          </w:p>
        </w:tc>
      </w:tr>
      <w:tr w14:paraId="3A3CC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0D611E6">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B672B62">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9205B6A">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7A46072">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F762BF6">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1E094B39">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65DFE19">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124AE7D">
            <w:pPr>
              <w:pStyle w:val="15"/>
              <w:spacing w:line="300" w:lineRule="auto"/>
              <w:jc w:val="center"/>
              <w:rPr>
                <w:rFonts w:hAnsi="宋体" w:cs="宋体"/>
                <w:b w:val="0"/>
                <w:bCs/>
                <w:color w:val="auto"/>
                <w:szCs w:val="21"/>
                <w:highlight w:val="none"/>
              </w:rPr>
            </w:pPr>
          </w:p>
        </w:tc>
      </w:tr>
      <w:tr w14:paraId="70953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AF2956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1A8BF80">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83986F4">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831FF97">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C23E781">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A589892">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5F4F9630">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C2C8BA5">
            <w:pPr>
              <w:pStyle w:val="15"/>
              <w:spacing w:line="300" w:lineRule="auto"/>
              <w:jc w:val="center"/>
              <w:rPr>
                <w:rFonts w:hAnsi="宋体" w:cs="宋体"/>
                <w:b w:val="0"/>
                <w:bCs/>
                <w:color w:val="auto"/>
                <w:szCs w:val="21"/>
                <w:highlight w:val="none"/>
              </w:rPr>
            </w:pPr>
          </w:p>
        </w:tc>
      </w:tr>
      <w:tr w14:paraId="3E8A5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E12DEF3">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E527D1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017E3C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EEA3246">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A8862D2">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FFCDC5A">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539AD5E8">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07F2C4C">
            <w:pPr>
              <w:pStyle w:val="15"/>
              <w:spacing w:line="300" w:lineRule="auto"/>
              <w:jc w:val="center"/>
              <w:rPr>
                <w:rFonts w:hAnsi="宋体" w:cs="宋体"/>
                <w:b w:val="0"/>
                <w:bCs/>
                <w:color w:val="auto"/>
                <w:szCs w:val="21"/>
                <w:highlight w:val="none"/>
              </w:rPr>
            </w:pPr>
          </w:p>
        </w:tc>
      </w:tr>
      <w:tr w14:paraId="4944A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52EE32">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8AE99FB">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EEEBBE0">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BF4F0A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59F736A">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907F51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41D5095">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7B323E8">
            <w:pPr>
              <w:pStyle w:val="15"/>
              <w:spacing w:line="300" w:lineRule="auto"/>
              <w:jc w:val="center"/>
              <w:rPr>
                <w:rFonts w:hAnsi="宋体" w:cs="宋体"/>
                <w:b w:val="0"/>
                <w:bCs/>
                <w:color w:val="auto"/>
                <w:szCs w:val="21"/>
                <w:highlight w:val="none"/>
              </w:rPr>
            </w:pPr>
          </w:p>
        </w:tc>
      </w:tr>
      <w:tr w14:paraId="746B2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E06DAF">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5E6A79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C40CA91">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3736348">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1BCE2DA">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DCE68D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25FFFFCF">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CCC9D5C">
            <w:pPr>
              <w:pStyle w:val="15"/>
              <w:spacing w:line="300" w:lineRule="auto"/>
              <w:jc w:val="center"/>
              <w:rPr>
                <w:rFonts w:hAnsi="宋体" w:cs="宋体"/>
                <w:b w:val="0"/>
                <w:bCs/>
                <w:color w:val="auto"/>
                <w:szCs w:val="21"/>
                <w:highlight w:val="none"/>
              </w:rPr>
            </w:pPr>
          </w:p>
        </w:tc>
      </w:tr>
      <w:tr w14:paraId="393D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2B9F2B2">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75620AC">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69256C5">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FCCF37C">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CC1E329">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2B69810B">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7BB74C9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7BBD6E2">
            <w:pPr>
              <w:pStyle w:val="15"/>
              <w:spacing w:line="300" w:lineRule="auto"/>
              <w:jc w:val="center"/>
              <w:rPr>
                <w:rFonts w:hAnsi="宋体" w:cs="宋体"/>
                <w:b w:val="0"/>
                <w:bCs/>
                <w:color w:val="auto"/>
                <w:szCs w:val="21"/>
                <w:highlight w:val="none"/>
              </w:rPr>
            </w:pPr>
          </w:p>
        </w:tc>
      </w:tr>
      <w:tr w14:paraId="2022A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BF3F58D">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32E5F4">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62FB7C2">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FD76E1E">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17A29C4">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094CC260">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A8A7BA0">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C7457B4">
            <w:pPr>
              <w:pStyle w:val="15"/>
              <w:spacing w:line="300" w:lineRule="auto"/>
              <w:jc w:val="center"/>
              <w:rPr>
                <w:rFonts w:hAnsi="宋体" w:cs="宋体"/>
                <w:b w:val="0"/>
                <w:bCs/>
                <w:color w:val="auto"/>
                <w:szCs w:val="21"/>
                <w:highlight w:val="none"/>
              </w:rPr>
            </w:pPr>
          </w:p>
        </w:tc>
      </w:tr>
      <w:tr w14:paraId="3E30C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F33C13">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7E6DF37">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4654D34">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08F44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2DEECE1">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6566BE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0BA71E30">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939CD03">
            <w:pPr>
              <w:pStyle w:val="15"/>
              <w:spacing w:line="300" w:lineRule="auto"/>
              <w:jc w:val="center"/>
              <w:rPr>
                <w:rFonts w:hAnsi="宋体" w:cs="宋体"/>
                <w:b w:val="0"/>
                <w:bCs/>
                <w:color w:val="auto"/>
                <w:szCs w:val="21"/>
                <w:highlight w:val="none"/>
              </w:rPr>
            </w:pPr>
          </w:p>
        </w:tc>
      </w:tr>
      <w:tr w14:paraId="60398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7415B33">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9DB5BC1">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4ADDF89">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6D92C6B">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035D04B">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5A071C30">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37A83966">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1436C81">
            <w:pPr>
              <w:pStyle w:val="15"/>
              <w:spacing w:line="300" w:lineRule="auto"/>
              <w:jc w:val="center"/>
              <w:rPr>
                <w:rFonts w:hAnsi="宋体" w:cs="宋体"/>
                <w:b w:val="0"/>
                <w:bCs/>
                <w:color w:val="auto"/>
                <w:szCs w:val="21"/>
                <w:highlight w:val="none"/>
              </w:rPr>
            </w:pPr>
          </w:p>
        </w:tc>
      </w:tr>
      <w:tr w14:paraId="26D30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EB97FD">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6122B99">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E1F5779">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7A3CDA0">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310E31B">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617A49D0">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6C1FD87D">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D52C9CA">
            <w:pPr>
              <w:pStyle w:val="15"/>
              <w:spacing w:line="300" w:lineRule="auto"/>
              <w:jc w:val="center"/>
              <w:rPr>
                <w:rFonts w:hAnsi="宋体" w:cs="宋体"/>
                <w:b w:val="0"/>
                <w:bCs/>
                <w:color w:val="auto"/>
                <w:szCs w:val="21"/>
                <w:highlight w:val="none"/>
              </w:rPr>
            </w:pPr>
          </w:p>
        </w:tc>
      </w:tr>
      <w:tr w14:paraId="1D4F2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1B963B">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8476B9">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FB2A195">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E48274A">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1B7B20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4AA3636">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1000A700">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60C3E00">
            <w:pPr>
              <w:pStyle w:val="15"/>
              <w:spacing w:line="300" w:lineRule="auto"/>
              <w:jc w:val="center"/>
              <w:rPr>
                <w:rFonts w:hAnsi="宋体" w:cs="宋体"/>
                <w:b w:val="0"/>
                <w:bCs/>
                <w:color w:val="auto"/>
                <w:szCs w:val="21"/>
                <w:highlight w:val="none"/>
              </w:rPr>
            </w:pPr>
          </w:p>
        </w:tc>
      </w:tr>
      <w:tr w14:paraId="7B584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178C37">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8D00D4B">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061CE34">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7366A65">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3FFDF7A">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4EBAA84F">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7CD511FB">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2586BC6">
            <w:pPr>
              <w:pStyle w:val="15"/>
              <w:spacing w:line="300" w:lineRule="auto"/>
              <w:jc w:val="center"/>
              <w:rPr>
                <w:rFonts w:hAnsi="宋体" w:cs="宋体"/>
                <w:b w:val="0"/>
                <w:bCs/>
                <w:color w:val="auto"/>
                <w:szCs w:val="21"/>
                <w:highlight w:val="none"/>
              </w:rPr>
            </w:pPr>
          </w:p>
        </w:tc>
      </w:tr>
      <w:tr w14:paraId="0DB24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E6081C2">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9785F2B">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CF646ED">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1CF667F">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96EF4FF">
            <w:pPr>
              <w:pStyle w:val="15"/>
              <w:spacing w:line="300" w:lineRule="auto"/>
              <w:jc w:val="center"/>
              <w:rPr>
                <w:rFonts w:hAnsi="宋体" w:cs="宋体"/>
                <w:b w:val="0"/>
                <w:bCs/>
                <w:color w:val="auto"/>
                <w:szCs w:val="21"/>
                <w:highlight w:val="none"/>
              </w:rPr>
            </w:pPr>
          </w:p>
        </w:tc>
        <w:tc>
          <w:tcPr>
            <w:tcW w:w="738" w:type="dxa"/>
            <w:tcBorders>
              <w:tl2br w:val="nil"/>
              <w:tr2bl w:val="nil"/>
            </w:tcBorders>
          </w:tcPr>
          <w:p w14:paraId="351B1471">
            <w:pPr>
              <w:pStyle w:val="15"/>
              <w:spacing w:line="300" w:lineRule="auto"/>
              <w:jc w:val="center"/>
              <w:rPr>
                <w:rFonts w:hAnsi="宋体" w:cs="宋体"/>
                <w:b w:val="0"/>
                <w:bCs/>
                <w:color w:val="auto"/>
                <w:szCs w:val="21"/>
                <w:highlight w:val="none"/>
              </w:rPr>
            </w:pPr>
          </w:p>
        </w:tc>
        <w:tc>
          <w:tcPr>
            <w:tcW w:w="1616" w:type="dxa"/>
            <w:tcBorders>
              <w:tl2br w:val="nil"/>
              <w:tr2bl w:val="nil"/>
            </w:tcBorders>
          </w:tcPr>
          <w:p w14:paraId="41C825C1">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01713BB">
            <w:pPr>
              <w:pStyle w:val="15"/>
              <w:spacing w:line="300" w:lineRule="auto"/>
              <w:jc w:val="center"/>
              <w:rPr>
                <w:rFonts w:hAnsi="宋体" w:cs="宋体"/>
                <w:b w:val="0"/>
                <w:bCs/>
                <w:color w:val="auto"/>
                <w:szCs w:val="21"/>
                <w:highlight w:val="none"/>
              </w:rPr>
            </w:pPr>
          </w:p>
        </w:tc>
      </w:tr>
    </w:tbl>
    <w:p w14:paraId="30B09CE6">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1BE4E2B4">
      <w:pPr>
        <w:rPr>
          <w:rFonts w:ascii="宋体" w:hAnsi="宋体" w:cs="Times New Roman"/>
          <w:color w:val="auto"/>
          <w:szCs w:val="21"/>
          <w:highlight w:val="none"/>
        </w:rPr>
      </w:pPr>
    </w:p>
    <w:p w14:paraId="246B402B">
      <w:pPr>
        <w:rPr>
          <w:rFonts w:ascii="宋体" w:hAnsi="宋体" w:cs="Times New Roman"/>
          <w:color w:val="auto"/>
          <w:szCs w:val="21"/>
          <w:highlight w:val="none"/>
        </w:rPr>
      </w:pPr>
    </w:p>
    <w:p w14:paraId="21954814">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162D65BA">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1A3447FB">
      <w:pPr>
        <w:pStyle w:val="5"/>
        <w:jc w:val="center"/>
        <w:rPr>
          <w:color w:val="auto"/>
          <w:highlight w:val="none"/>
        </w:rPr>
      </w:pPr>
      <w:bookmarkStart w:id="381" w:name="_Toc20515"/>
      <w:r>
        <w:rPr>
          <w:rFonts w:hint="eastAsia"/>
          <w:color w:val="auto"/>
          <w:highlight w:val="none"/>
        </w:rPr>
        <w:t>七、政府采购履约担保函</w:t>
      </w:r>
      <w:bookmarkEnd w:id="381"/>
    </w:p>
    <w:p w14:paraId="1636E9D0">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7466C61E">
      <w:pPr>
        <w:rPr>
          <w:rFonts w:ascii="宋体" w:hAnsi="宋体" w:cs="宋体"/>
          <w:color w:val="auto"/>
          <w:szCs w:val="21"/>
          <w:highlight w:val="none"/>
        </w:rPr>
      </w:pPr>
      <w:r>
        <w:rPr>
          <w:rFonts w:hint="eastAsia" w:ascii="宋体" w:hAnsi="宋体" w:cs="宋体"/>
          <w:color w:val="auto"/>
          <w:szCs w:val="21"/>
          <w:highlight w:val="none"/>
        </w:rPr>
        <w:t>（采购人）：</w:t>
      </w:r>
    </w:p>
    <w:p w14:paraId="10DEC443">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535121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80B6781">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5EFE89D7">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15230892">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16A6575D">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105A68D5">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0AF91965">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6DDB8F8F">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3AD879F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3487F0A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6BFAF042">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2994797A">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73F5422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6A752B48">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4250437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01B7C6A9">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37F89940">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446924B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3051EE9F">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6E296B23">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58D24A2D">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3DDC6929">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4B7D152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710E4B22">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33FE5CD8">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789FD8E5">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10A9B48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527FB57">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62ECEC7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39F9928C">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3EC2CBF">
      <w:pPr>
        <w:rPr>
          <w:rFonts w:ascii="宋体" w:hAnsi="宋体" w:cs="宋体"/>
          <w:color w:val="auto"/>
          <w:szCs w:val="21"/>
          <w:highlight w:val="none"/>
        </w:rPr>
      </w:pPr>
    </w:p>
    <w:p w14:paraId="209653E1">
      <w:pPr>
        <w:rPr>
          <w:rFonts w:ascii="宋体" w:hAnsi="宋体" w:cs="宋体"/>
          <w:color w:val="auto"/>
          <w:szCs w:val="21"/>
          <w:highlight w:val="none"/>
        </w:rPr>
      </w:pPr>
    </w:p>
    <w:p w14:paraId="1196EFBE">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03692E31">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6B70E3DA">
      <w:pPr>
        <w:rPr>
          <w:rFonts w:ascii="宋体" w:hAnsi="宋体"/>
          <w:color w:val="auto"/>
          <w:szCs w:val="21"/>
          <w:highlight w:val="none"/>
        </w:rPr>
      </w:pPr>
      <w:r>
        <w:rPr>
          <w:rFonts w:hint="eastAsia" w:ascii="宋体" w:hAnsi="宋体"/>
          <w:color w:val="auto"/>
          <w:szCs w:val="21"/>
          <w:highlight w:val="none"/>
        </w:rPr>
        <w:t>注：</w:t>
      </w:r>
    </w:p>
    <w:p w14:paraId="002A3EB1">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381867D4">
      <w:pPr>
        <w:pStyle w:val="10"/>
        <w:rPr>
          <w:color w:val="auto"/>
          <w:highlight w:val="none"/>
        </w:rPr>
      </w:pPr>
    </w:p>
    <w:p w14:paraId="2FC54A7F">
      <w:pPr>
        <w:rPr>
          <w:color w:val="auto"/>
          <w:highlight w:val="none"/>
        </w:rPr>
      </w:pPr>
      <w:r>
        <w:rPr>
          <w:color w:val="auto"/>
          <w:highlight w:val="none"/>
        </w:rPr>
        <w:br w:type="page"/>
      </w:r>
    </w:p>
    <w:p w14:paraId="2996428A">
      <w:pPr>
        <w:pStyle w:val="5"/>
        <w:jc w:val="center"/>
        <w:outlineLvl w:val="1"/>
        <w:rPr>
          <w:color w:val="auto"/>
          <w:highlight w:val="none"/>
        </w:rPr>
      </w:pPr>
      <w:bookmarkStart w:id="382" w:name="_Toc28139"/>
      <w:bookmarkStart w:id="383" w:name="_Toc26782"/>
      <w:r>
        <w:rPr>
          <w:rFonts w:hint="eastAsia"/>
          <w:color w:val="auto"/>
          <w:highlight w:val="none"/>
        </w:rPr>
        <w:t>第四章唱标信封（单独封装）</w:t>
      </w:r>
      <w:bookmarkEnd w:id="382"/>
      <w:bookmarkEnd w:id="383"/>
    </w:p>
    <w:p w14:paraId="0487285D">
      <w:pPr>
        <w:ind w:firstLine="420" w:firstLineChars="200"/>
        <w:rPr>
          <w:color w:val="auto"/>
          <w:highlight w:val="none"/>
        </w:rPr>
      </w:pPr>
      <w:r>
        <w:rPr>
          <w:rFonts w:hint="eastAsia"/>
          <w:color w:val="auto"/>
          <w:highlight w:val="none"/>
        </w:rPr>
        <w:t>（1）开标一览表；</w:t>
      </w:r>
    </w:p>
    <w:p w14:paraId="1A06C6C3">
      <w:pPr>
        <w:ind w:firstLine="420" w:firstLineChars="200"/>
        <w:rPr>
          <w:color w:val="auto"/>
          <w:highlight w:val="none"/>
        </w:rPr>
      </w:pPr>
      <w:r>
        <w:rPr>
          <w:rFonts w:hint="eastAsia"/>
          <w:color w:val="auto"/>
          <w:highlight w:val="none"/>
        </w:rPr>
        <w:t>（2）法人代表授权书及被授权代表身份证（复印件加盖公章）；</w:t>
      </w:r>
    </w:p>
    <w:p w14:paraId="678E4B51">
      <w:pPr>
        <w:rPr>
          <w:color w:val="auto"/>
          <w:highlight w:val="none"/>
        </w:rPr>
      </w:pPr>
    </w:p>
    <w:p w14:paraId="0AC43430">
      <w:pPr>
        <w:rPr>
          <w:color w:val="auto"/>
          <w:highlight w:val="none"/>
        </w:rPr>
      </w:pPr>
    </w:p>
    <w:p w14:paraId="349C22B5">
      <w:pPr>
        <w:rPr>
          <w:color w:val="auto"/>
          <w:highlight w:val="none"/>
        </w:rPr>
      </w:pPr>
    </w:p>
    <w:p w14:paraId="028B9A75">
      <w:pPr>
        <w:rPr>
          <w:color w:val="auto"/>
          <w:highlight w:val="none"/>
        </w:rPr>
      </w:pPr>
    </w:p>
    <w:p w14:paraId="21A67060">
      <w:pPr>
        <w:rPr>
          <w:color w:val="auto"/>
          <w:highlight w:val="none"/>
        </w:rPr>
      </w:pPr>
    </w:p>
    <w:p w14:paraId="751936A2">
      <w:pPr>
        <w:rPr>
          <w:color w:val="auto"/>
          <w:highlight w:val="none"/>
        </w:rPr>
      </w:pPr>
    </w:p>
    <w:p w14:paraId="4D5B575D">
      <w:pPr>
        <w:rPr>
          <w:color w:val="auto"/>
          <w:highlight w:val="none"/>
        </w:rPr>
      </w:pPr>
    </w:p>
    <w:p w14:paraId="4D65EAC7">
      <w:pPr>
        <w:rPr>
          <w:color w:val="auto"/>
          <w:highlight w:val="none"/>
        </w:rPr>
      </w:pPr>
    </w:p>
    <w:p w14:paraId="2B290E5B">
      <w:pPr>
        <w:rPr>
          <w:color w:val="auto"/>
          <w:highlight w:val="none"/>
        </w:rPr>
      </w:pPr>
    </w:p>
    <w:p w14:paraId="37AFE981">
      <w:pPr>
        <w:rPr>
          <w:color w:val="auto"/>
          <w:highlight w:val="none"/>
        </w:rPr>
      </w:pPr>
    </w:p>
    <w:p w14:paraId="6EBA267C">
      <w:pPr>
        <w:rPr>
          <w:color w:val="auto"/>
          <w:highlight w:val="none"/>
        </w:rPr>
      </w:pPr>
    </w:p>
    <w:p w14:paraId="5AA8B7BF">
      <w:pPr>
        <w:rPr>
          <w:color w:val="auto"/>
          <w:highlight w:val="none"/>
        </w:rPr>
      </w:pPr>
    </w:p>
    <w:p w14:paraId="7A9FB261">
      <w:pPr>
        <w:rPr>
          <w:color w:val="auto"/>
          <w:highlight w:val="none"/>
        </w:rPr>
      </w:pPr>
      <w:bookmarkStart w:id="384" w:name="_Toc11182"/>
    </w:p>
    <w:p w14:paraId="56E4C1FA">
      <w:pPr>
        <w:rPr>
          <w:color w:val="auto"/>
          <w:highlight w:val="none"/>
        </w:rPr>
      </w:pPr>
    </w:p>
    <w:p w14:paraId="31E68109">
      <w:pPr>
        <w:rPr>
          <w:color w:val="auto"/>
          <w:highlight w:val="none"/>
        </w:rPr>
      </w:pPr>
    </w:p>
    <w:p w14:paraId="29DE6D38">
      <w:pPr>
        <w:rPr>
          <w:color w:val="auto"/>
          <w:highlight w:val="none"/>
        </w:rPr>
      </w:pPr>
    </w:p>
    <w:p w14:paraId="27D20809">
      <w:pPr>
        <w:rPr>
          <w:color w:val="auto"/>
          <w:highlight w:val="none"/>
        </w:rPr>
      </w:pPr>
    </w:p>
    <w:p w14:paraId="159259B9">
      <w:pPr>
        <w:rPr>
          <w:color w:val="auto"/>
          <w:highlight w:val="none"/>
        </w:rPr>
      </w:pPr>
    </w:p>
    <w:p w14:paraId="470D45D9">
      <w:pPr>
        <w:rPr>
          <w:color w:val="auto"/>
          <w:highlight w:val="none"/>
        </w:rPr>
      </w:pPr>
    </w:p>
    <w:p w14:paraId="18B6D5A2">
      <w:pPr>
        <w:pStyle w:val="10"/>
        <w:rPr>
          <w:color w:val="auto"/>
          <w:highlight w:val="none"/>
        </w:rPr>
      </w:pPr>
    </w:p>
    <w:p w14:paraId="583E5712">
      <w:pPr>
        <w:rPr>
          <w:color w:val="auto"/>
          <w:highlight w:val="none"/>
        </w:rPr>
      </w:pPr>
    </w:p>
    <w:p w14:paraId="6BECBE2A">
      <w:pPr>
        <w:pStyle w:val="10"/>
        <w:rPr>
          <w:color w:val="auto"/>
          <w:highlight w:val="none"/>
        </w:rPr>
      </w:pPr>
    </w:p>
    <w:p w14:paraId="429AFD1B">
      <w:pPr>
        <w:rPr>
          <w:color w:val="auto"/>
          <w:highlight w:val="none"/>
        </w:rPr>
      </w:pPr>
    </w:p>
    <w:p w14:paraId="0229A87C">
      <w:pPr>
        <w:pStyle w:val="10"/>
        <w:rPr>
          <w:color w:val="auto"/>
          <w:highlight w:val="none"/>
        </w:rPr>
      </w:pPr>
    </w:p>
    <w:p w14:paraId="358DAE6E">
      <w:pPr>
        <w:rPr>
          <w:color w:val="auto"/>
          <w:highlight w:val="none"/>
        </w:rPr>
      </w:pPr>
    </w:p>
    <w:p w14:paraId="05B5655A">
      <w:pPr>
        <w:pStyle w:val="10"/>
        <w:rPr>
          <w:color w:val="auto"/>
          <w:highlight w:val="none"/>
        </w:rPr>
      </w:pPr>
    </w:p>
    <w:p w14:paraId="4B1631CF">
      <w:pPr>
        <w:rPr>
          <w:color w:val="auto"/>
          <w:highlight w:val="none"/>
        </w:rPr>
      </w:pPr>
    </w:p>
    <w:p w14:paraId="631D5134">
      <w:pPr>
        <w:rPr>
          <w:color w:val="auto"/>
          <w:highlight w:val="none"/>
        </w:rPr>
      </w:pPr>
    </w:p>
    <w:p w14:paraId="36C514BB">
      <w:pPr>
        <w:rPr>
          <w:color w:val="auto"/>
          <w:highlight w:val="none"/>
        </w:rPr>
      </w:pPr>
    </w:p>
    <w:p w14:paraId="1C04606D">
      <w:pPr>
        <w:pStyle w:val="5"/>
        <w:jc w:val="center"/>
        <w:outlineLvl w:val="1"/>
        <w:rPr>
          <w:color w:val="auto"/>
          <w:highlight w:val="none"/>
        </w:rPr>
      </w:pPr>
      <w:bookmarkStart w:id="385" w:name="_Toc21929"/>
      <w:bookmarkStart w:id="386" w:name="_Toc22736"/>
      <w:r>
        <w:rPr>
          <w:rFonts w:hint="eastAsia"/>
          <w:color w:val="auto"/>
          <w:highlight w:val="none"/>
        </w:rPr>
        <w:t>第五章联合体共同投标协议书（如有需要）</w:t>
      </w:r>
      <w:bookmarkEnd w:id="385"/>
      <w:bookmarkEnd w:id="386"/>
    </w:p>
    <w:p w14:paraId="689693E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33D270D3">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2650F255">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1A1BCDB5">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52096E22">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59C7A752">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47F82E6E">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BBA862E">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4835DE26">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9167A7A">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63CD527A">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7A8E6CF3">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4CC71135">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024D3672">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AAEB131">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59CF6CC5">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2555B25B">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0730CE0E">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21E19A2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714C894E">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4"/>
    <w:p w14:paraId="026E237F">
      <w:pPr>
        <w:pStyle w:val="10"/>
        <w:ind w:left="0"/>
        <w:rPr>
          <w:color w:val="auto"/>
          <w:highlight w:val="none"/>
          <w:lang w:val="en-US"/>
        </w:rPr>
      </w:pPr>
    </w:p>
    <w:p w14:paraId="7B0F29C7">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4306D188">
      <w:pPr>
        <w:jc w:val="center"/>
        <w:outlineLvl w:val="1"/>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77C7E3F6">
      <w:pPr>
        <w:rPr>
          <w:rFonts w:ascii="宋体" w:hAnsi="宋体" w:cs="宋体"/>
          <w:color w:val="auto"/>
          <w:szCs w:val="21"/>
          <w:highlight w:val="none"/>
        </w:rPr>
      </w:pPr>
    </w:p>
    <w:p w14:paraId="06FE64AC">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736D4CEB">
      <w:pPr>
        <w:outlineLvl w:val="0"/>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398185C4">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2C9C9CAD">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2826BC5F">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7BA1ECF9">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029D116B">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4A80CEA5">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223D71C">
      <w:pPr>
        <w:outlineLvl w:val="0"/>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6258F168">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134F5965">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68525F86">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1ACF60A1">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7E04BD4">
      <w:pPr>
        <w:outlineLvl w:val="0"/>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6DED64FA">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19A8F410">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3DF046E8">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68FBA9EF">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57E7291E">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7D85DFDC">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007A4D01">
      <w:pPr>
        <w:rPr>
          <w:rFonts w:ascii="宋体" w:hAnsi="宋体" w:cs="宋体"/>
          <w:color w:val="auto"/>
          <w:szCs w:val="21"/>
          <w:highlight w:val="none"/>
        </w:rPr>
      </w:pPr>
      <w:r>
        <w:rPr>
          <w:rFonts w:hint="eastAsia" w:ascii="宋体" w:hAnsi="宋体" w:cs="宋体"/>
          <w:color w:val="auto"/>
          <w:szCs w:val="21"/>
          <w:highlight w:val="none"/>
        </w:rPr>
        <w:t>……</w:t>
      </w:r>
    </w:p>
    <w:p w14:paraId="40A1F5F3">
      <w:pPr>
        <w:outlineLvl w:val="0"/>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6F148C22">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5151AB4E">
      <w:pPr>
        <w:rPr>
          <w:rFonts w:ascii="宋体" w:hAnsi="宋体" w:cs="宋体"/>
          <w:color w:val="auto"/>
          <w:szCs w:val="21"/>
          <w:highlight w:val="none"/>
        </w:rPr>
      </w:pPr>
    </w:p>
    <w:p w14:paraId="377973E5">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3A9ABAC5">
      <w:pPr>
        <w:rPr>
          <w:rFonts w:ascii="宋体" w:hAnsi="宋体" w:cs="宋体"/>
          <w:color w:val="auto"/>
          <w:szCs w:val="21"/>
          <w:highlight w:val="none"/>
        </w:rPr>
      </w:pPr>
      <w:r>
        <w:rPr>
          <w:rFonts w:hint="eastAsia" w:ascii="宋体" w:hAnsi="宋体" w:cs="宋体"/>
          <w:color w:val="auto"/>
          <w:szCs w:val="21"/>
          <w:highlight w:val="none"/>
        </w:rPr>
        <w:t>日期：</w:t>
      </w:r>
    </w:p>
    <w:p w14:paraId="3DD6E353">
      <w:pPr>
        <w:rPr>
          <w:rFonts w:ascii="宋体" w:hAnsi="宋体" w:cs="宋体"/>
          <w:color w:val="auto"/>
          <w:szCs w:val="21"/>
          <w:highlight w:val="none"/>
        </w:rPr>
      </w:pPr>
      <w:r>
        <w:rPr>
          <w:rFonts w:hint="eastAsia" w:ascii="宋体" w:hAnsi="宋体" w:cs="宋体"/>
          <w:color w:val="auto"/>
          <w:szCs w:val="21"/>
          <w:highlight w:val="none"/>
        </w:rPr>
        <w:t xml:space="preserve">   </w:t>
      </w:r>
    </w:p>
    <w:p w14:paraId="3F0B7BAC">
      <w:pPr>
        <w:pStyle w:val="10"/>
        <w:rPr>
          <w:color w:val="auto"/>
          <w:sz w:val="21"/>
          <w:szCs w:val="21"/>
          <w:highlight w:val="none"/>
        </w:rPr>
      </w:pPr>
    </w:p>
    <w:p w14:paraId="5A00F4C3">
      <w:pPr>
        <w:rPr>
          <w:rFonts w:ascii="宋体" w:hAnsi="宋体" w:cs="宋体"/>
          <w:color w:val="auto"/>
          <w:szCs w:val="21"/>
          <w:highlight w:val="none"/>
        </w:rPr>
      </w:pPr>
    </w:p>
    <w:p w14:paraId="017FEE1C">
      <w:pPr>
        <w:pStyle w:val="10"/>
        <w:rPr>
          <w:color w:val="auto"/>
          <w:highlight w:val="none"/>
        </w:rPr>
      </w:pPr>
    </w:p>
    <w:p w14:paraId="56C8AF5A">
      <w:pPr>
        <w:rPr>
          <w:rFonts w:ascii="宋体" w:hAnsi="宋体" w:cs="宋体"/>
          <w:color w:val="auto"/>
          <w:szCs w:val="21"/>
          <w:highlight w:val="none"/>
        </w:rPr>
      </w:pPr>
      <w:r>
        <w:rPr>
          <w:rFonts w:hint="eastAsia" w:ascii="宋体" w:hAnsi="宋体" w:cs="宋体"/>
          <w:color w:val="auto"/>
          <w:szCs w:val="21"/>
          <w:highlight w:val="none"/>
        </w:rPr>
        <w:t>质疑函制作说明：</w:t>
      </w:r>
    </w:p>
    <w:p w14:paraId="0C5C0B95">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65818839">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14D584D">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6866925D">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31D30104">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3A53F94">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0C2D547">
      <w:pPr>
        <w:pStyle w:val="10"/>
        <w:rPr>
          <w:color w:val="auto"/>
          <w:highlight w:val="none"/>
        </w:rPr>
      </w:pPr>
    </w:p>
    <w:p w14:paraId="5A0DD411">
      <w:pPr>
        <w:rPr>
          <w:color w:val="auto"/>
          <w:highlight w:val="none"/>
        </w:rPr>
      </w:pPr>
    </w:p>
    <w:p w14:paraId="6A6212DD">
      <w:pPr>
        <w:pStyle w:val="10"/>
        <w:rPr>
          <w:color w:val="auto"/>
          <w:highlight w:val="none"/>
        </w:rPr>
      </w:pPr>
    </w:p>
    <w:p w14:paraId="7324DDB8">
      <w:pPr>
        <w:pStyle w:val="11"/>
        <w:ind w:firstLine="240"/>
        <w:rPr>
          <w:color w:val="auto"/>
          <w:highlight w:val="none"/>
        </w:rPr>
      </w:pPr>
    </w:p>
    <w:p w14:paraId="1640A706">
      <w:pPr>
        <w:pStyle w:val="11"/>
        <w:ind w:firstLine="240"/>
        <w:rPr>
          <w:color w:val="auto"/>
          <w:highlight w:val="none"/>
        </w:rPr>
      </w:pPr>
    </w:p>
    <w:p w14:paraId="27C8E02C">
      <w:pPr>
        <w:pStyle w:val="11"/>
        <w:ind w:firstLine="240"/>
        <w:rPr>
          <w:color w:val="auto"/>
          <w:highlight w:val="none"/>
        </w:rPr>
      </w:pPr>
    </w:p>
    <w:p w14:paraId="3537C981">
      <w:pPr>
        <w:pStyle w:val="11"/>
        <w:ind w:firstLine="240"/>
        <w:rPr>
          <w:color w:val="auto"/>
          <w:highlight w:val="none"/>
        </w:rPr>
      </w:pPr>
    </w:p>
    <w:p w14:paraId="6975AD47">
      <w:pPr>
        <w:pStyle w:val="11"/>
        <w:ind w:firstLine="240"/>
        <w:rPr>
          <w:color w:val="auto"/>
          <w:highlight w:val="none"/>
        </w:rPr>
      </w:pPr>
    </w:p>
    <w:p w14:paraId="57C13270">
      <w:pPr>
        <w:pStyle w:val="11"/>
        <w:ind w:firstLine="240"/>
        <w:rPr>
          <w:color w:val="auto"/>
          <w:highlight w:val="none"/>
        </w:rPr>
      </w:pPr>
    </w:p>
    <w:p w14:paraId="3777467F">
      <w:pPr>
        <w:pStyle w:val="11"/>
        <w:ind w:firstLine="240"/>
        <w:rPr>
          <w:color w:val="auto"/>
          <w:highlight w:val="none"/>
        </w:rPr>
      </w:pPr>
    </w:p>
    <w:p w14:paraId="4DDFAA91">
      <w:pPr>
        <w:pStyle w:val="11"/>
        <w:ind w:firstLine="240"/>
        <w:rPr>
          <w:color w:val="auto"/>
          <w:highlight w:val="none"/>
        </w:rPr>
      </w:pPr>
    </w:p>
    <w:p w14:paraId="26615795">
      <w:pPr>
        <w:pStyle w:val="11"/>
        <w:ind w:firstLine="240"/>
        <w:rPr>
          <w:color w:val="auto"/>
          <w:highlight w:val="none"/>
        </w:rPr>
      </w:pPr>
    </w:p>
    <w:p w14:paraId="537A0E20">
      <w:pPr>
        <w:pStyle w:val="11"/>
        <w:ind w:firstLine="240"/>
        <w:rPr>
          <w:color w:val="auto"/>
          <w:highlight w:val="none"/>
        </w:rPr>
      </w:pPr>
    </w:p>
    <w:p w14:paraId="04A01AFB">
      <w:pPr>
        <w:pStyle w:val="11"/>
        <w:ind w:firstLine="240"/>
        <w:rPr>
          <w:color w:val="auto"/>
          <w:highlight w:val="none"/>
        </w:rPr>
      </w:pPr>
    </w:p>
    <w:p w14:paraId="62160911">
      <w:pPr>
        <w:pStyle w:val="11"/>
        <w:ind w:firstLine="240"/>
        <w:rPr>
          <w:color w:val="auto"/>
          <w:highlight w:val="none"/>
        </w:rPr>
      </w:pPr>
    </w:p>
    <w:p w14:paraId="01C374DB">
      <w:pPr>
        <w:pStyle w:val="11"/>
        <w:ind w:firstLine="240"/>
        <w:rPr>
          <w:color w:val="auto"/>
          <w:highlight w:val="none"/>
        </w:rPr>
      </w:pPr>
    </w:p>
    <w:p w14:paraId="635F9F1A">
      <w:pPr>
        <w:jc w:val="both"/>
        <w:rPr>
          <w:rFonts w:ascii="黑体" w:hAnsi="黑体" w:eastAsia="黑体" w:cs="黑体"/>
          <w:color w:val="auto"/>
          <w:sz w:val="36"/>
          <w:szCs w:val="36"/>
          <w:highlight w:val="none"/>
        </w:rPr>
      </w:pPr>
    </w:p>
    <w:p w14:paraId="282E8828">
      <w:pPr>
        <w:jc w:val="center"/>
        <w:outlineLvl w:val="0"/>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67E86994">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D5E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45F7">
            <w:pPr>
              <w:jc w:val="center"/>
              <w:rPr>
                <w:rFonts w:ascii="宋体" w:hAnsi="宋体" w:cs="宋体"/>
                <w:color w:val="auto"/>
                <w:sz w:val="28"/>
                <w:szCs w:val="28"/>
                <w:highlight w:val="none"/>
              </w:rPr>
            </w:pPr>
          </w:p>
        </w:tc>
      </w:tr>
      <w:tr w14:paraId="31971B5B">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80F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878E">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FF1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4762">
            <w:pPr>
              <w:jc w:val="center"/>
              <w:rPr>
                <w:rFonts w:ascii="宋体" w:hAnsi="宋体" w:cs="宋体"/>
                <w:color w:val="auto"/>
                <w:sz w:val="28"/>
                <w:szCs w:val="28"/>
                <w:highlight w:val="none"/>
              </w:rPr>
            </w:pPr>
          </w:p>
        </w:tc>
      </w:tr>
      <w:tr w14:paraId="5EF42F0E">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FA0D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48E9">
            <w:pPr>
              <w:jc w:val="center"/>
              <w:rPr>
                <w:rFonts w:ascii="宋体" w:hAnsi="宋体" w:cs="宋体"/>
                <w:color w:val="auto"/>
                <w:sz w:val="28"/>
                <w:szCs w:val="28"/>
                <w:highlight w:val="none"/>
              </w:rPr>
            </w:pPr>
          </w:p>
        </w:tc>
      </w:tr>
      <w:tr w14:paraId="5F4C26C6">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C258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EFFF">
            <w:pPr>
              <w:jc w:val="center"/>
              <w:rPr>
                <w:rFonts w:ascii="宋体" w:hAnsi="宋体" w:cs="宋体"/>
                <w:color w:val="auto"/>
                <w:sz w:val="28"/>
                <w:szCs w:val="28"/>
                <w:highlight w:val="none"/>
              </w:rPr>
            </w:pPr>
          </w:p>
        </w:tc>
      </w:tr>
      <w:tr w14:paraId="552ADF37">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065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AF39">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F0D1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B703">
            <w:pPr>
              <w:jc w:val="center"/>
              <w:rPr>
                <w:rFonts w:ascii="宋体" w:hAnsi="宋体" w:cs="宋体"/>
                <w:color w:val="auto"/>
                <w:sz w:val="28"/>
                <w:szCs w:val="28"/>
                <w:highlight w:val="none"/>
              </w:rPr>
            </w:pPr>
          </w:p>
        </w:tc>
      </w:tr>
      <w:tr w14:paraId="3D43911C">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758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06CB">
            <w:pPr>
              <w:jc w:val="center"/>
              <w:rPr>
                <w:rFonts w:ascii="宋体" w:hAnsi="宋体" w:cs="宋体"/>
                <w:color w:val="auto"/>
                <w:sz w:val="28"/>
                <w:szCs w:val="28"/>
                <w:highlight w:val="none"/>
              </w:rPr>
            </w:pPr>
          </w:p>
        </w:tc>
      </w:tr>
      <w:tr w14:paraId="71F9EAE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1C1E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54E0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0A97AE9B">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9968">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2BC83921">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7E781E91">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1E258ED4">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030BD9D5">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242F6363">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59E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281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720C0983">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11C7">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38CAF0F7">
      <w:pPr>
        <w:pStyle w:val="11"/>
        <w:ind w:left="0" w:firstLine="0" w:firstLineChars="0"/>
        <w:rPr>
          <w:color w:val="auto"/>
          <w:highlight w:val="none"/>
        </w:rPr>
      </w:pPr>
    </w:p>
    <w:bookmarkEnd w:id="387"/>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947F">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185D7">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C0185D7">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62D75">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721FC">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5721FC">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9CE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60A9CE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0AC92">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F5772">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24F5772">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00BC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AC00BC2"/>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4412EC4">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74412EC4">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D7E1">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B040B">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97B040B">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DEED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E0DEEDD"/>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9BDE457">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19BDE457">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B7D48">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98809">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0398809">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D51D19">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2D51D19">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33B7">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42DD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F642DDF">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D05BF">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80D05BF">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5B4B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A5B4B4"/>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005C225">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005C225">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08C46640">
      <w:pPr>
        <w:pStyle w:val="25"/>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3FAF0FF7">
      <w:pPr>
        <w:pStyle w:val="25"/>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16ED">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49CBC">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375811"/>
    <w:rsid w:val="047D2B3E"/>
    <w:rsid w:val="04DF1036"/>
    <w:rsid w:val="050F6021"/>
    <w:rsid w:val="05203AD5"/>
    <w:rsid w:val="054D03CC"/>
    <w:rsid w:val="05A97DEC"/>
    <w:rsid w:val="05C81981"/>
    <w:rsid w:val="05D410C7"/>
    <w:rsid w:val="05FF6B6E"/>
    <w:rsid w:val="0600615C"/>
    <w:rsid w:val="063A59DE"/>
    <w:rsid w:val="065A32ED"/>
    <w:rsid w:val="06BC41F2"/>
    <w:rsid w:val="06DF3DBD"/>
    <w:rsid w:val="06EA08AE"/>
    <w:rsid w:val="07197D08"/>
    <w:rsid w:val="071C2CFD"/>
    <w:rsid w:val="071E5C55"/>
    <w:rsid w:val="07257082"/>
    <w:rsid w:val="073A47CB"/>
    <w:rsid w:val="073F7319"/>
    <w:rsid w:val="07536A42"/>
    <w:rsid w:val="07595F41"/>
    <w:rsid w:val="07615EC0"/>
    <w:rsid w:val="077005AB"/>
    <w:rsid w:val="078F4581"/>
    <w:rsid w:val="07995C5E"/>
    <w:rsid w:val="07A4329C"/>
    <w:rsid w:val="07BE179A"/>
    <w:rsid w:val="07BF027F"/>
    <w:rsid w:val="07E23C93"/>
    <w:rsid w:val="08031A31"/>
    <w:rsid w:val="081A5CC7"/>
    <w:rsid w:val="082E197B"/>
    <w:rsid w:val="08823813"/>
    <w:rsid w:val="089F1700"/>
    <w:rsid w:val="08A276E5"/>
    <w:rsid w:val="09061A75"/>
    <w:rsid w:val="09182241"/>
    <w:rsid w:val="09242E62"/>
    <w:rsid w:val="093C069F"/>
    <w:rsid w:val="09417888"/>
    <w:rsid w:val="09855177"/>
    <w:rsid w:val="09870F93"/>
    <w:rsid w:val="09B928E5"/>
    <w:rsid w:val="09D658E4"/>
    <w:rsid w:val="09F1637C"/>
    <w:rsid w:val="0A25628F"/>
    <w:rsid w:val="0A764C3F"/>
    <w:rsid w:val="0A844C25"/>
    <w:rsid w:val="0A9F0653"/>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3907E3"/>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8D3FA2"/>
    <w:rsid w:val="13B27845"/>
    <w:rsid w:val="13B33EF4"/>
    <w:rsid w:val="13BE469F"/>
    <w:rsid w:val="13F87121"/>
    <w:rsid w:val="141A03E1"/>
    <w:rsid w:val="143B2E0B"/>
    <w:rsid w:val="14672B11"/>
    <w:rsid w:val="1470209B"/>
    <w:rsid w:val="14892735"/>
    <w:rsid w:val="14CC769D"/>
    <w:rsid w:val="157D38E3"/>
    <w:rsid w:val="159232EE"/>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751D0"/>
    <w:rsid w:val="180C0192"/>
    <w:rsid w:val="180F4499"/>
    <w:rsid w:val="18221ECE"/>
    <w:rsid w:val="18AC012B"/>
    <w:rsid w:val="18E0248C"/>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B85900"/>
    <w:rsid w:val="1DF051AF"/>
    <w:rsid w:val="1E010AF7"/>
    <w:rsid w:val="1E0178EB"/>
    <w:rsid w:val="1E206FED"/>
    <w:rsid w:val="1E301173"/>
    <w:rsid w:val="1E38333E"/>
    <w:rsid w:val="1E5C7612"/>
    <w:rsid w:val="1EA40BB4"/>
    <w:rsid w:val="1F0070CD"/>
    <w:rsid w:val="1F2370E0"/>
    <w:rsid w:val="1F43381C"/>
    <w:rsid w:val="1FA4148D"/>
    <w:rsid w:val="1FA87DF1"/>
    <w:rsid w:val="1FFB79DD"/>
    <w:rsid w:val="20121621"/>
    <w:rsid w:val="20183B39"/>
    <w:rsid w:val="201A421D"/>
    <w:rsid w:val="20341172"/>
    <w:rsid w:val="204E554F"/>
    <w:rsid w:val="20590035"/>
    <w:rsid w:val="20C35213"/>
    <w:rsid w:val="20FC799E"/>
    <w:rsid w:val="21A17A1C"/>
    <w:rsid w:val="22154DDD"/>
    <w:rsid w:val="22213E42"/>
    <w:rsid w:val="22215EE6"/>
    <w:rsid w:val="22336873"/>
    <w:rsid w:val="22373735"/>
    <w:rsid w:val="225C0BC7"/>
    <w:rsid w:val="227227A3"/>
    <w:rsid w:val="23175889"/>
    <w:rsid w:val="23675953"/>
    <w:rsid w:val="238C2182"/>
    <w:rsid w:val="239015D1"/>
    <w:rsid w:val="23A225A2"/>
    <w:rsid w:val="23BB4E7D"/>
    <w:rsid w:val="23BF5868"/>
    <w:rsid w:val="23C172D6"/>
    <w:rsid w:val="23F04F64"/>
    <w:rsid w:val="24270557"/>
    <w:rsid w:val="244C68D7"/>
    <w:rsid w:val="24814CBE"/>
    <w:rsid w:val="24AA0A5F"/>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B16470"/>
    <w:rsid w:val="2BBB2F48"/>
    <w:rsid w:val="2BF22742"/>
    <w:rsid w:val="2C4A4550"/>
    <w:rsid w:val="2C8C39F6"/>
    <w:rsid w:val="2C987C56"/>
    <w:rsid w:val="2CC7419D"/>
    <w:rsid w:val="2CFF149A"/>
    <w:rsid w:val="2D113745"/>
    <w:rsid w:val="2D201865"/>
    <w:rsid w:val="2D4B5CEA"/>
    <w:rsid w:val="2D652658"/>
    <w:rsid w:val="2D840350"/>
    <w:rsid w:val="2DB1132C"/>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3A4D7D"/>
    <w:rsid w:val="316A4BD8"/>
    <w:rsid w:val="31884E67"/>
    <w:rsid w:val="318D51AD"/>
    <w:rsid w:val="31A0275E"/>
    <w:rsid w:val="31B7357A"/>
    <w:rsid w:val="31ED6B08"/>
    <w:rsid w:val="31F5643B"/>
    <w:rsid w:val="31F915C9"/>
    <w:rsid w:val="320D643F"/>
    <w:rsid w:val="3236546E"/>
    <w:rsid w:val="32610CE6"/>
    <w:rsid w:val="32631A32"/>
    <w:rsid w:val="328464CE"/>
    <w:rsid w:val="329B618E"/>
    <w:rsid w:val="32AB70C5"/>
    <w:rsid w:val="32B95807"/>
    <w:rsid w:val="32DC33E0"/>
    <w:rsid w:val="330C1F7A"/>
    <w:rsid w:val="335D0AF5"/>
    <w:rsid w:val="3370088C"/>
    <w:rsid w:val="33A3154A"/>
    <w:rsid w:val="33DC2F78"/>
    <w:rsid w:val="3424656C"/>
    <w:rsid w:val="3428227C"/>
    <w:rsid w:val="342C5935"/>
    <w:rsid w:val="346E05B1"/>
    <w:rsid w:val="35260F83"/>
    <w:rsid w:val="35602226"/>
    <w:rsid w:val="356B72E7"/>
    <w:rsid w:val="3572424F"/>
    <w:rsid w:val="35FC3844"/>
    <w:rsid w:val="36152D81"/>
    <w:rsid w:val="366061FD"/>
    <w:rsid w:val="36637631"/>
    <w:rsid w:val="36794DEF"/>
    <w:rsid w:val="36AD519D"/>
    <w:rsid w:val="36B57705"/>
    <w:rsid w:val="36E75B41"/>
    <w:rsid w:val="373563ED"/>
    <w:rsid w:val="374F1A0B"/>
    <w:rsid w:val="376F71EC"/>
    <w:rsid w:val="3778009F"/>
    <w:rsid w:val="37A103ED"/>
    <w:rsid w:val="37BE2061"/>
    <w:rsid w:val="37EA5E6E"/>
    <w:rsid w:val="37FF016F"/>
    <w:rsid w:val="38427C0B"/>
    <w:rsid w:val="387C5ABE"/>
    <w:rsid w:val="38865AC7"/>
    <w:rsid w:val="389B3A1E"/>
    <w:rsid w:val="38CE3C9F"/>
    <w:rsid w:val="38EB6119"/>
    <w:rsid w:val="3986380F"/>
    <w:rsid w:val="39DE33DA"/>
    <w:rsid w:val="39FA5B4A"/>
    <w:rsid w:val="39FE0BE9"/>
    <w:rsid w:val="3A1C4428"/>
    <w:rsid w:val="3A3C1AAF"/>
    <w:rsid w:val="3A424C25"/>
    <w:rsid w:val="3A4B7CC1"/>
    <w:rsid w:val="3A51228C"/>
    <w:rsid w:val="3A552E60"/>
    <w:rsid w:val="3A5D642F"/>
    <w:rsid w:val="3A951916"/>
    <w:rsid w:val="3AB210FC"/>
    <w:rsid w:val="3ACE216B"/>
    <w:rsid w:val="3AD95C13"/>
    <w:rsid w:val="3B067219"/>
    <w:rsid w:val="3B261E51"/>
    <w:rsid w:val="3B973F88"/>
    <w:rsid w:val="3BCD72F7"/>
    <w:rsid w:val="3C414142"/>
    <w:rsid w:val="3CE114D9"/>
    <w:rsid w:val="3CF737A2"/>
    <w:rsid w:val="3CF7509A"/>
    <w:rsid w:val="3D0C7E24"/>
    <w:rsid w:val="3D10295A"/>
    <w:rsid w:val="3D6438E2"/>
    <w:rsid w:val="3DE821CA"/>
    <w:rsid w:val="3DED21B5"/>
    <w:rsid w:val="3E0572FD"/>
    <w:rsid w:val="3E1A5292"/>
    <w:rsid w:val="3E4127AD"/>
    <w:rsid w:val="3E5A7FE7"/>
    <w:rsid w:val="3E8E5F7D"/>
    <w:rsid w:val="3EC8179E"/>
    <w:rsid w:val="3EDF3E59"/>
    <w:rsid w:val="3EF12938"/>
    <w:rsid w:val="3EF66B2E"/>
    <w:rsid w:val="3F217914"/>
    <w:rsid w:val="3F9260CB"/>
    <w:rsid w:val="3F942B76"/>
    <w:rsid w:val="3FD70BB0"/>
    <w:rsid w:val="3FFB55AC"/>
    <w:rsid w:val="401C5F9D"/>
    <w:rsid w:val="401C690C"/>
    <w:rsid w:val="401D6412"/>
    <w:rsid w:val="401D7195"/>
    <w:rsid w:val="402D0AB4"/>
    <w:rsid w:val="40451A0F"/>
    <w:rsid w:val="405F1BE4"/>
    <w:rsid w:val="40A51286"/>
    <w:rsid w:val="40CE3DC0"/>
    <w:rsid w:val="40D7455A"/>
    <w:rsid w:val="40E743E5"/>
    <w:rsid w:val="4110038E"/>
    <w:rsid w:val="41734CBA"/>
    <w:rsid w:val="41770CEE"/>
    <w:rsid w:val="41C01B53"/>
    <w:rsid w:val="41DD7057"/>
    <w:rsid w:val="420F7A65"/>
    <w:rsid w:val="4216611A"/>
    <w:rsid w:val="423E300F"/>
    <w:rsid w:val="425656C8"/>
    <w:rsid w:val="4257273C"/>
    <w:rsid w:val="425D7213"/>
    <w:rsid w:val="426220CC"/>
    <w:rsid w:val="42677B61"/>
    <w:rsid w:val="42756DB0"/>
    <w:rsid w:val="42914504"/>
    <w:rsid w:val="42B21AD2"/>
    <w:rsid w:val="42B81809"/>
    <w:rsid w:val="42DB78D8"/>
    <w:rsid w:val="42EB15FB"/>
    <w:rsid w:val="42FD694D"/>
    <w:rsid w:val="434A6D8F"/>
    <w:rsid w:val="43514833"/>
    <w:rsid w:val="43C751DD"/>
    <w:rsid w:val="43FA5777"/>
    <w:rsid w:val="44044D92"/>
    <w:rsid w:val="44066714"/>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8A4B10"/>
    <w:rsid w:val="49B86103"/>
    <w:rsid w:val="49F306B0"/>
    <w:rsid w:val="4A0030EE"/>
    <w:rsid w:val="4AC36065"/>
    <w:rsid w:val="4B134D38"/>
    <w:rsid w:val="4B1A0A44"/>
    <w:rsid w:val="4B560086"/>
    <w:rsid w:val="4B6131FB"/>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1DE4FF4"/>
    <w:rsid w:val="520A4BCB"/>
    <w:rsid w:val="52506DA7"/>
    <w:rsid w:val="533B2B84"/>
    <w:rsid w:val="537A7243"/>
    <w:rsid w:val="539C1B81"/>
    <w:rsid w:val="53AA6184"/>
    <w:rsid w:val="53AE750F"/>
    <w:rsid w:val="53EB0895"/>
    <w:rsid w:val="53F263AD"/>
    <w:rsid w:val="54141A4D"/>
    <w:rsid w:val="54693932"/>
    <w:rsid w:val="549A6BFA"/>
    <w:rsid w:val="54A70D6A"/>
    <w:rsid w:val="54E72921"/>
    <w:rsid w:val="5502753A"/>
    <w:rsid w:val="5513079A"/>
    <w:rsid w:val="55806F07"/>
    <w:rsid w:val="55950185"/>
    <w:rsid w:val="55FA2961"/>
    <w:rsid w:val="565E3E0E"/>
    <w:rsid w:val="565E7F4F"/>
    <w:rsid w:val="56775789"/>
    <w:rsid w:val="56857D06"/>
    <w:rsid w:val="56914056"/>
    <w:rsid w:val="569F0E63"/>
    <w:rsid w:val="56DB613D"/>
    <w:rsid w:val="573810DA"/>
    <w:rsid w:val="575265C7"/>
    <w:rsid w:val="576A529F"/>
    <w:rsid w:val="57D936E4"/>
    <w:rsid w:val="57F13760"/>
    <w:rsid w:val="57FC2169"/>
    <w:rsid w:val="58096275"/>
    <w:rsid w:val="580E4560"/>
    <w:rsid w:val="581C04F1"/>
    <w:rsid w:val="582E6EF7"/>
    <w:rsid w:val="58434392"/>
    <w:rsid w:val="584E30E6"/>
    <w:rsid w:val="59014D02"/>
    <w:rsid w:val="59577976"/>
    <w:rsid w:val="59621A2B"/>
    <w:rsid w:val="597B384D"/>
    <w:rsid w:val="59996DA8"/>
    <w:rsid w:val="59AC3CE9"/>
    <w:rsid w:val="59C30F1B"/>
    <w:rsid w:val="5A0D5854"/>
    <w:rsid w:val="5A18455B"/>
    <w:rsid w:val="5A20156F"/>
    <w:rsid w:val="5A8E5D27"/>
    <w:rsid w:val="5A9847F3"/>
    <w:rsid w:val="5A9F7840"/>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7F0BE6"/>
    <w:rsid w:val="5CB23AE6"/>
    <w:rsid w:val="5CF55792"/>
    <w:rsid w:val="5CFD533A"/>
    <w:rsid w:val="5D0871E1"/>
    <w:rsid w:val="5D1B5066"/>
    <w:rsid w:val="5D2F2DE7"/>
    <w:rsid w:val="5D893B14"/>
    <w:rsid w:val="5D8B29E8"/>
    <w:rsid w:val="5D9F3D30"/>
    <w:rsid w:val="5DC15437"/>
    <w:rsid w:val="5DE51784"/>
    <w:rsid w:val="5E2810D5"/>
    <w:rsid w:val="5E2B7D62"/>
    <w:rsid w:val="5E71411E"/>
    <w:rsid w:val="5EA06921"/>
    <w:rsid w:val="5ECF6620"/>
    <w:rsid w:val="5ED04592"/>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4865BB"/>
    <w:rsid w:val="637C02CD"/>
    <w:rsid w:val="63907004"/>
    <w:rsid w:val="63A10995"/>
    <w:rsid w:val="63A53E7D"/>
    <w:rsid w:val="63C23EFA"/>
    <w:rsid w:val="63FC0BD9"/>
    <w:rsid w:val="64311F0C"/>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9645C2"/>
    <w:rsid w:val="66B5671E"/>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CF442D0"/>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F44026"/>
    <w:rsid w:val="6FF92B33"/>
    <w:rsid w:val="6FFB146E"/>
    <w:rsid w:val="701A5C74"/>
    <w:rsid w:val="706516C3"/>
    <w:rsid w:val="707B510C"/>
    <w:rsid w:val="70864A71"/>
    <w:rsid w:val="70896E68"/>
    <w:rsid w:val="70A846F9"/>
    <w:rsid w:val="714556B4"/>
    <w:rsid w:val="715B60E9"/>
    <w:rsid w:val="71C75A7C"/>
    <w:rsid w:val="71E96309"/>
    <w:rsid w:val="71EA1FED"/>
    <w:rsid w:val="72284A0C"/>
    <w:rsid w:val="72C16204"/>
    <w:rsid w:val="72E31366"/>
    <w:rsid w:val="730313F6"/>
    <w:rsid w:val="73145021"/>
    <w:rsid w:val="731E1007"/>
    <w:rsid w:val="73370D24"/>
    <w:rsid w:val="7359268C"/>
    <w:rsid w:val="73676C3F"/>
    <w:rsid w:val="739503EB"/>
    <w:rsid w:val="73A05B28"/>
    <w:rsid w:val="73C07D69"/>
    <w:rsid w:val="73C843FF"/>
    <w:rsid w:val="74016C15"/>
    <w:rsid w:val="748508C1"/>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736B32"/>
    <w:rsid w:val="76AA25FA"/>
    <w:rsid w:val="76E3765E"/>
    <w:rsid w:val="76FC2AFA"/>
    <w:rsid w:val="7700225D"/>
    <w:rsid w:val="773F0836"/>
    <w:rsid w:val="77653671"/>
    <w:rsid w:val="7782683F"/>
    <w:rsid w:val="778546CC"/>
    <w:rsid w:val="77B01880"/>
    <w:rsid w:val="77B56730"/>
    <w:rsid w:val="77C04A8B"/>
    <w:rsid w:val="77D85DB3"/>
    <w:rsid w:val="77D93E9C"/>
    <w:rsid w:val="780252A0"/>
    <w:rsid w:val="78027772"/>
    <w:rsid w:val="786B4BBC"/>
    <w:rsid w:val="78A50513"/>
    <w:rsid w:val="78CF1B80"/>
    <w:rsid w:val="78FE27C4"/>
    <w:rsid w:val="79082967"/>
    <w:rsid w:val="790E1715"/>
    <w:rsid w:val="793B7339"/>
    <w:rsid w:val="796518DD"/>
    <w:rsid w:val="796A7609"/>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561C5A"/>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A0D41"/>
    <w:rsid w:val="7E4C3614"/>
    <w:rsid w:val="7E4F5384"/>
    <w:rsid w:val="7E5A6DFA"/>
    <w:rsid w:val="7E7B0BF2"/>
    <w:rsid w:val="7E7C7A78"/>
    <w:rsid w:val="7E8D75B6"/>
    <w:rsid w:val="7EB2417D"/>
    <w:rsid w:val="7EF760EE"/>
    <w:rsid w:val="7F2A21E7"/>
    <w:rsid w:val="7F796066"/>
    <w:rsid w:val="7FB27E9A"/>
    <w:rsid w:val="7FD63B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outlineLvl w:val="2"/>
    </w:pPr>
    <w:rPr>
      <w:b/>
      <w:bCs/>
      <w:sz w:val="28"/>
      <w:szCs w:val="32"/>
    </w:rPr>
  </w:style>
  <w:style w:type="paragraph" w:styleId="6">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8">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Body Text First Indent"/>
    <w:basedOn w:val="10"/>
    <w:unhideWhenUsed/>
    <w:qFormat/>
    <w:uiPriority w:val="99"/>
    <w:pPr>
      <w:ind w:firstLine="420" w:firstLineChars="100"/>
    </w:pPr>
    <w:rPr>
      <w:rFonts w:ascii="Times New Roman" w:hAnsi="Times New Roman" w:cs="Times New Roman"/>
    </w:rPr>
  </w:style>
  <w:style w:type="paragraph" w:styleId="12">
    <w:name w:val="Body Text Indent"/>
    <w:basedOn w:val="1"/>
    <w:next w:val="13"/>
    <w:qFormat/>
    <w:uiPriority w:val="0"/>
    <w:pPr>
      <w:ind w:left="270" w:leftChars="270"/>
    </w:pPr>
    <w:rPr>
      <w:rFonts w:ascii="Times New Roman" w:hAnsi="Times New Roman" w:eastAsia="宋体" w:cs="Times New Roman"/>
      <w:szCs w:val="20"/>
    </w:rPr>
  </w:style>
  <w:style w:type="paragraph" w:styleId="13">
    <w:name w:val="envelope return"/>
    <w:basedOn w:val="1"/>
    <w:qFormat/>
    <w:uiPriority w:val="0"/>
    <w:rPr>
      <w:rFonts w:ascii="Arial" w:hAnsi="Arial"/>
    </w:rPr>
  </w:style>
  <w:style w:type="paragraph" w:styleId="14">
    <w:name w:val="toc 3"/>
    <w:basedOn w:val="1"/>
    <w:next w:val="1"/>
    <w:unhideWhenUsed/>
    <w:qFormat/>
    <w:uiPriority w:val="39"/>
    <w:pPr>
      <w:tabs>
        <w:tab w:val="right" w:leader="dot" w:pos="8296"/>
      </w:tabs>
      <w:ind w:left="838" w:leftChars="381"/>
    </w:pPr>
    <w:rPr>
      <w:szCs w:val="21"/>
    </w:rPr>
  </w:style>
  <w:style w:type="paragraph" w:styleId="15">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qFormat/>
    <w:uiPriority w:val="0"/>
    <w:pPr>
      <w:ind w:firstLine="539" w:firstLineChars="174"/>
    </w:pPr>
    <w:rPr>
      <w:rFonts w:ascii="仿宋_GB2312" w:eastAsia="仿宋_GB2312"/>
      <w:sz w:val="31"/>
    </w:rPr>
  </w:style>
  <w:style w:type="paragraph" w:styleId="17">
    <w:name w:val="Balloon Text"/>
    <w:basedOn w:val="1"/>
    <w:link w:val="54"/>
    <w:semiHidden/>
    <w:unhideWhenUsed/>
    <w:qFormat/>
    <w:uiPriority w:val="99"/>
    <w:rPr>
      <w:sz w:val="18"/>
      <w:szCs w:val="18"/>
    </w:rPr>
  </w:style>
  <w:style w:type="paragraph" w:styleId="18">
    <w:name w:val="footer"/>
    <w:basedOn w:val="1"/>
    <w:link w:val="53"/>
    <w:unhideWhenUsed/>
    <w:qFormat/>
    <w:uiPriority w:val="99"/>
    <w:pPr>
      <w:tabs>
        <w:tab w:val="center" w:pos="4153"/>
        <w:tab w:val="right" w:pos="8306"/>
      </w:tabs>
    </w:pPr>
    <w:rPr>
      <w:sz w:val="18"/>
      <w:szCs w:val="18"/>
    </w:rPr>
  </w:style>
  <w:style w:type="paragraph" w:styleId="19">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semiHidden/>
    <w:unhideWhenUsed/>
    <w:qFormat/>
    <w:uiPriority w:val="39"/>
  </w:style>
  <w:style w:type="paragraph" w:styleId="21">
    <w:name w:val="toc 4"/>
    <w:basedOn w:val="1"/>
    <w:next w:val="1"/>
    <w:unhideWhenUsed/>
    <w:qFormat/>
    <w:uiPriority w:val="39"/>
    <w:pPr>
      <w:tabs>
        <w:tab w:val="right" w:leader="dot" w:pos="8296"/>
      </w:tabs>
      <w:spacing w:after="120"/>
      <w:ind w:left="1320" w:leftChars="600"/>
    </w:pPr>
  </w:style>
  <w:style w:type="paragraph" w:styleId="22">
    <w:name w:val="index heading"/>
    <w:basedOn w:val="1"/>
    <w:next w:val="23"/>
    <w:qFormat/>
    <w:uiPriority w:val="0"/>
    <w:rPr>
      <w:rFonts w:ascii="Times New Roman" w:hAnsi="Times New Roman"/>
      <w:szCs w:val="20"/>
    </w:rPr>
  </w:style>
  <w:style w:type="paragraph" w:styleId="23">
    <w:name w:val="index 1"/>
    <w:basedOn w:val="1"/>
    <w:next w:val="1"/>
    <w:unhideWhenUsed/>
    <w:qFormat/>
    <w:uiPriority w:val="99"/>
  </w:style>
  <w:style w:type="paragraph" w:styleId="24">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5">
    <w:name w:val="footnote text"/>
    <w:basedOn w:val="1"/>
    <w:semiHidden/>
    <w:unhideWhenUsed/>
    <w:qFormat/>
    <w:uiPriority w:val="99"/>
    <w:rPr>
      <w:sz w:val="18"/>
    </w:rPr>
  </w:style>
  <w:style w:type="paragraph" w:styleId="26">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7">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basedOn w:val="31"/>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character" w:customStyle="1" w:styleId="36">
    <w:name w:val="标题 2 Char"/>
    <w:basedOn w:val="31"/>
    <w:link w:val="4"/>
    <w:qFormat/>
    <w:uiPriority w:val="9"/>
    <w:rPr>
      <w:rFonts w:asciiTheme="majorHAnsi" w:hAnsiTheme="majorHAnsi" w:eastAsiaTheme="majorEastAsia" w:cstheme="majorBidi"/>
      <w:b/>
      <w:bCs/>
      <w:sz w:val="32"/>
      <w:szCs w:val="32"/>
    </w:rPr>
  </w:style>
  <w:style w:type="paragraph" w:customStyle="1" w:styleId="37">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8">
    <w:name w:val="表格文字"/>
    <w:basedOn w:val="1"/>
    <w:qFormat/>
    <w:uiPriority w:val="0"/>
    <w:pPr>
      <w:adjustRightInd/>
      <w:spacing w:before="25" w:after="25"/>
    </w:pPr>
    <w:rPr>
      <w:rFonts w:ascii="Times New Roman"/>
      <w:bCs/>
      <w:spacing w:val="10"/>
      <w:szCs w:val="20"/>
    </w:rPr>
  </w:style>
  <w:style w:type="character" w:customStyle="1" w:styleId="39">
    <w:name w:val="标题 3 Char"/>
    <w:basedOn w:val="31"/>
    <w:link w:val="5"/>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6"/>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5"/>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5"/>
    <w:semiHidden/>
    <w:qFormat/>
    <w:uiPriority w:val="99"/>
    <w:rPr>
      <w:rFonts w:ascii="宋体" w:hAnsi="Courier New" w:eastAsia="宋体" w:cs="Courier New"/>
      <w:sz w:val="21"/>
      <w:szCs w:val="21"/>
    </w:rPr>
  </w:style>
  <w:style w:type="character" w:customStyle="1" w:styleId="52">
    <w:name w:val="页眉 Char"/>
    <w:basedOn w:val="31"/>
    <w:link w:val="19"/>
    <w:qFormat/>
    <w:uiPriority w:val="99"/>
    <w:rPr>
      <w:rFonts w:ascii="Tahoma" w:hAnsi="Tahoma"/>
      <w:sz w:val="18"/>
      <w:szCs w:val="18"/>
    </w:rPr>
  </w:style>
  <w:style w:type="character" w:customStyle="1" w:styleId="53">
    <w:name w:val="页脚 Char"/>
    <w:basedOn w:val="31"/>
    <w:link w:val="18"/>
    <w:qFormat/>
    <w:uiPriority w:val="99"/>
    <w:rPr>
      <w:rFonts w:ascii="Tahoma" w:hAnsi="Tahoma"/>
      <w:sz w:val="18"/>
      <w:szCs w:val="18"/>
    </w:rPr>
  </w:style>
  <w:style w:type="character" w:customStyle="1" w:styleId="54">
    <w:name w:val="批注框文本 Char"/>
    <w:basedOn w:val="31"/>
    <w:link w:val="17"/>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7"/>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 w:type="paragraph" w:customStyle="1" w:styleId="78">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107</Pages>
  <Words>55572</Words>
  <Characters>56834</Characters>
  <Lines>392</Lines>
  <Paragraphs>110</Paragraphs>
  <TotalTime>11</TotalTime>
  <ScaleCrop>false</ScaleCrop>
  <LinksUpToDate>false</LinksUpToDate>
  <CharactersWithSpaces>58830</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公开招标文件版本</dc:title>
  <dc:subject>公开招标文件版本</dc:subject>
  <cp:keywords>文件格式版本</cp:keywords>
  <cp:lastPrinted>2024-04-11T10:04:00Z</cp:lastPrinted>
  <dcterms:created xsi:type="dcterms:W3CDTF">2019-07-08T13:55:00Z</dcterms:created>
  <dcterms:modified xsi:type="dcterms:W3CDTF">2024-07-26T10:06:27Z</dcterms:modified>
  <cp:category>文件</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B6AE5336708F41CD983EC16B3B5CBAFD_13</vt:lpwstr>
  </property>
</Properties>
</file>