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1"/>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9"/>
        <w:ind w:firstLine="240"/>
        <w:rPr>
          <w:rFonts w:ascii="黑体" w:eastAsia="黑体"/>
          <w:color w:val="auto"/>
          <w:szCs w:val="21"/>
          <w:highlight w:val="none"/>
        </w:rPr>
      </w:pPr>
    </w:p>
    <w:p>
      <w:pPr>
        <w:pStyle w:val="29"/>
        <w:ind w:left="0" w:firstLine="0" w:firstLineChars="0"/>
        <w:rPr>
          <w:rFonts w:ascii="黑体" w:eastAsia="黑体"/>
          <w:color w:val="auto"/>
          <w:szCs w:val="21"/>
          <w:highlight w:val="none"/>
        </w:rPr>
      </w:pPr>
    </w:p>
    <w:tbl>
      <w:tblPr>
        <w:tblStyle w:val="31"/>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东莞市第十三高级中学便学食品销售部货物配送服务项目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东莞市第十三高级中学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6"/>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6"/>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6"/>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6"/>
        <w:ind w:left="0" w:leftChars="0"/>
        <w:rPr>
          <w:color w:val="auto"/>
          <w:sz w:val="40"/>
          <w:szCs w:val="40"/>
          <w:highlight w:val="none"/>
        </w:rPr>
      </w:pPr>
      <w:r>
        <w:rPr>
          <w:rFonts w:hint="eastAsia"/>
          <w:color w:val="auto"/>
          <w:sz w:val="40"/>
          <w:szCs w:val="40"/>
          <w:highlight w:val="none"/>
        </w:rPr>
        <w:t>目录</w:t>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"1-4"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_Toc9949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第一部分 投标邀请</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_Toc9949 \h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_Toc20562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rPr>
        <w:t>投标邀请书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_Toc20562 \h </w:instrText>
      </w:r>
      <w:r>
        <w:rPr>
          <w:color w:val="auto"/>
          <w:sz w:val="21"/>
          <w:szCs w:val="21"/>
          <w:highlight w:val="none"/>
        </w:rPr>
        <w:fldChar w:fldCharType="separate"/>
      </w:r>
      <w:r>
        <w:rPr>
          <w:color w:val="auto"/>
          <w:sz w:val="21"/>
          <w:szCs w:val="21"/>
          <w:highlight w:val="none"/>
        </w:rPr>
        <w:t>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_Toc25832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第二部分 投标资料表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_Toc25832 \h </w:instrText>
      </w:r>
      <w:r>
        <w:rPr>
          <w:color w:val="auto"/>
          <w:sz w:val="21"/>
          <w:szCs w:val="21"/>
          <w:highlight w:val="none"/>
        </w:rPr>
        <w:fldChar w:fldCharType="separate"/>
      </w:r>
      <w:r>
        <w:rPr>
          <w:color w:val="auto"/>
          <w:sz w:val="21"/>
          <w:szCs w:val="21"/>
          <w:highlight w:val="none"/>
        </w:rPr>
        <w:t>10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_Toc2106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第三部分 评分权重分配表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_Toc2106 \h </w:instrText>
      </w:r>
      <w:r>
        <w:rPr>
          <w:color w:val="auto"/>
          <w:sz w:val="21"/>
          <w:szCs w:val="21"/>
          <w:highlight w:val="none"/>
        </w:rPr>
        <w:fldChar w:fldCharType="separate"/>
      </w:r>
      <w:r>
        <w:rPr>
          <w:color w:val="auto"/>
          <w:sz w:val="21"/>
          <w:szCs w:val="21"/>
          <w:highlight w:val="none"/>
        </w:rPr>
        <w:t>13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_Toc32569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rPr>
        <w:t>价格及商务技术评分权重细则表（适用于所有包组)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_Toc32569 \h </w:instrText>
      </w:r>
      <w:r>
        <w:rPr>
          <w:color w:val="auto"/>
          <w:sz w:val="21"/>
          <w:szCs w:val="21"/>
          <w:highlight w:val="none"/>
        </w:rPr>
        <w:fldChar w:fldCharType="separate"/>
      </w:r>
      <w:r>
        <w:rPr>
          <w:color w:val="auto"/>
          <w:sz w:val="21"/>
          <w:szCs w:val="21"/>
          <w:highlight w:val="none"/>
        </w:rPr>
        <w:t>13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第四部分 投标人须知</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_Toc10952 \h </w:instrText>
      </w:r>
      <w:r>
        <w:rPr>
          <w:color w:val="auto"/>
          <w:sz w:val="21"/>
          <w:szCs w:val="21"/>
          <w:highlight w:val="none"/>
        </w:rPr>
        <w:fldChar w:fldCharType="separate"/>
      </w:r>
      <w:r>
        <w:rPr>
          <w:color w:val="auto"/>
          <w:sz w:val="21"/>
          <w:szCs w:val="21"/>
          <w:highlight w:val="none"/>
        </w:rPr>
        <w:t>16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_Toc7202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第一章说明</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_Toc7202 \h </w:instrText>
      </w:r>
      <w:r>
        <w:rPr>
          <w:color w:val="auto"/>
          <w:sz w:val="21"/>
          <w:szCs w:val="21"/>
          <w:highlight w:val="none"/>
        </w:rPr>
        <w:fldChar w:fldCharType="separate"/>
      </w:r>
      <w:r>
        <w:rPr>
          <w:color w:val="auto"/>
          <w:sz w:val="21"/>
          <w:szCs w:val="21"/>
          <w:highlight w:val="none"/>
        </w:rPr>
        <w:t>16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_Toc15087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1.适用范围</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_Toc15087 \h </w:instrText>
      </w:r>
      <w:r>
        <w:rPr>
          <w:color w:val="auto"/>
          <w:sz w:val="21"/>
          <w:szCs w:val="21"/>
          <w:highlight w:val="none"/>
        </w:rPr>
        <w:fldChar w:fldCharType="separate"/>
      </w:r>
      <w:r>
        <w:rPr>
          <w:color w:val="auto"/>
          <w:sz w:val="21"/>
          <w:szCs w:val="21"/>
          <w:highlight w:val="none"/>
        </w:rPr>
        <w:t>16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_Toc22823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2.定义</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_Toc22823 \h </w:instrText>
      </w:r>
      <w:r>
        <w:rPr>
          <w:color w:val="auto"/>
          <w:sz w:val="21"/>
          <w:szCs w:val="21"/>
          <w:highlight w:val="none"/>
        </w:rPr>
        <w:fldChar w:fldCharType="separate"/>
      </w:r>
      <w:r>
        <w:rPr>
          <w:color w:val="auto"/>
          <w:sz w:val="21"/>
          <w:szCs w:val="21"/>
          <w:highlight w:val="none"/>
        </w:rPr>
        <w:t>16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_Toc21779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3.货物和服务</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_Toc21779 \h </w:instrText>
      </w:r>
      <w:r>
        <w:rPr>
          <w:color w:val="auto"/>
          <w:sz w:val="21"/>
          <w:szCs w:val="21"/>
          <w:highlight w:val="none"/>
        </w:rPr>
        <w:fldChar w:fldCharType="separate"/>
      </w:r>
      <w:r>
        <w:rPr>
          <w:color w:val="auto"/>
          <w:sz w:val="21"/>
          <w:szCs w:val="21"/>
          <w:highlight w:val="none"/>
        </w:rPr>
        <w:t>16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_Toc19013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4.投标费用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_Toc19013 \h </w:instrText>
      </w:r>
      <w:r>
        <w:rPr>
          <w:color w:val="auto"/>
          <w:sz w:val="21"/>
          <w:szCs w:val="21"/>
          <w:highlight w:val="none"/>
        </w:rPr>
        <w:fldChar w:fldCharType="separate"/>
      </w:r>
      <w:r>
        <w:rPr>
          <w:color w:val="auto"/>
          <w:sz w:val="21"/>
          <w:szCs w:val="21"/>
          <w:highlight w:val="none"/>
        </w:rPr>
        <w:t>17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_Toc10686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5.知识产权</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_Toc10686 \h </w:instrText>
      </w:r>
      <w:r>
        <w:rPr>
          <w:color w:val="auto"/>
          <w:sz w:val="21"/>
          <w:szCs w:val="21"/>
          <w:highlight w:val="none"/>
        </w:rPr>
        <w:fldChar w:fldCharType="separate"/>
      </w:r>
      <w:r>
        <w:rPr>
          <w:color w:val="auto"/>
          <w:sz w:val="21"/>
          <w:szCs w:val="21"/>
          <w:highlight w:val="none"/>
        </w:rPr>
        <w:t>17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_Toc8279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6.关于联合体投标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_Toc8279 \h </w:instrText>
      </w:r>
      <w:r>
        <w:rPr>
          <w:color w:val="auto"/>
          <w:sz w:val="21"/>
          <w:szCs w:val="21"/>
          <w:highlight w:val="none"/>
        </w:rPr>
        <w:fldChar w:fldCharType="separate"/>
      </w:r>
      <w:r>
        <w:rPr>
          <w:color w:val="auto"/>
          <w:sz w:val="21"/>
          <w:szCs w:val="21"/>
          <w:highlight w:val="none"/>
        </w:rPr>
        <w:t>17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_Toc18161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7.关于分支机构投标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_Toc18161 \h </w:instrText>
      </w:r>
      <w:r>
        <w:rPr>
          <w:color w:val="auto"/>
          <w:sz w:val="21"/>
          <w:szCs w:val="21"/>
          <w:highlight w:val="none"/>
        </w:rPr>
        <w:fldChar w:fldCharType="separate"/>
      </w:r>
      <w:r>
        <w:rPr>
          <w:color w:val="auto"/>
          <w:sz w:val="21"/>
          <w:szCs w:val="21"/>
          <w:highlight w:val="none"/>
        </w:rPr>
        <w:t>18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_Toc6052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第二章招标文件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_Toc6052 \h </w:instrText>
      </w:r>
      <w:r>
        <w:rPr>
          <w:color w:val="auto"/>
          <w:sz w:val="21"/>
          <w:szCs w:val="21"/>
          <w:highlight w:val="none"/>
        </w:rPr>
        <w:fldChar w:fldCharType="separate"/>
      </w:r>
      <w:r>
        <w:rPr>
          <w:color w:val="auto"/>
          <w:sz w:val="21"/>
          <w:szCs w:val="21"/>
          <w:highlight w:val="none"/>
        </w:rPr>
        <w:t>19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_Toc27897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8.招标文件的组成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_Toc27897 \h </w:instrText>
      </w:r>
      <w:r>
        <w:rPr>
          <w:color w:val="auto"/>
          <w:sz w:val="21"/>
          <w:szCs w:val="21"/>
          <w:highlight w:val="none"/>
        </w:rPr>
        <w:fldChar w:fldCharType="separate"/>
      </w:r>
      <w:r>
        <w:rPr>
          <w:color w:val="auto"/>
          <w:sz w:val="21"/>
          <w:szCs w:val="21"/>
          <w:highlight w:val="none"/>
        </w:rPr>
        <w:t>19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_Toc6110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9.招标文件的澄清或修改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_Toc6110 \h </w:instrText>
      </w:r>
      <w:r>
        <w:rPr>
          <w:color w:val="auto"/>
          <w:sz w:val="21"/>
          <w:szCs w:val="21"/>
          <w:highlight w:val="none"/>
        </w:rPr>
        <w:fldChar w:fldCharType="separate"/>
      </w:r>
      <w:r>
        <w:rPr>
          <w:color w:val="auto"/>
          <w:sz w:val="21"/>
          <w:szCs w:val="21"/>
          <w:highlight w:val="none"/>
        </w:rPr>
        <w:t>19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_Toc21235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第三章投标文件的编制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_Toc21235 \h </w:instrText>
      </w:r>
      <w:r>
        <w:rPr>
          <w:color w:val="auto"/>
          <w:sz w:val="21"/>
          <w:szCs w:val="21"/>
          <w:highlight w:val="none"/>
        </w:rPr>
        <w:fldChar w:fldCharType="separate"/>
      </w:r>
      <w:r>
        <w:rPr>
          <w:color w:val="auto"/>
          <w:sz w:val="21"/>
          <w:szCs w:val="21"/>
          <w:highlight w:val="none"/>
        </w:rPr>
        <w:t>19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_Toc31001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10.投标文件的语言及度量衡单位</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_Toc31001 \h </w:instrText>
      </w:r>
      <w:r>
        <w:rPr>
          <w:color w:val="auto"/>
          <w:sz w:val="21"/>
          <w:szCs w:val="21"/>
          <w:highlight w:val="none"/>
        </w:rPr>
        <w:fldChar w:fldCharType="separate"/>
      </w:r>
      <w:r>
        <w:rPr>
          <w:color w:val="auto"/>
          <w:sz w:val="21"/>
          <w:szCs w:val="21"/>
          <w:highlight w:val="none"/>
        </w:rPr>
        <w:t>19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_Toc8290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11.</w:t>
      </w:r>
      <w:r>
        <w:rPr>
          <w:rFonts w:ascii="宋体" w:hAnsi="宋体"/>
          <w:color w:val="auto"/>
          <w:sz w:val="21"/>
          <w:szCs w:val="21"/>
          <w:highlight w:val="none"/>
        </w:rPr>
        <w:t>投标文件的组成</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_Toc8290 \h </w:instrText>
      </w:r>
      <w:r>
        <w:rPr>
          <w:color w:val="auto"/>
          <w:sz w:val="21"/>
          <w:szCs w:val="21"/>
          <w:highlight w:val="none"/>
        </w:rPr>
        <w:fldChar w:fldCharType="separate"/>
      </w:r>
      <w:r>
        <w:rPr>
          <w:color w:val="auto"/>
          <w:sz w:val="21"/>
          <w:szCs w:val="21"/>
          <w:highlight w:val="none"/>
        </w:rPr>
        <w:t>20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_Toc15752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12.投标文件编制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_Toc15752 \h </w:instrText>
      </w:r>
      <w:r>
        <w:rPr>
          <w:color w:val="auto"/>
          <w:sz w:val="21"/>
          <w:szCs w:val="21"/>
          <w:highlight w:val="none"/>
        </w:rPr>
        <w:fldChar w:fldCharType="separate"/>
      </w:r>
      <w:r>
        <w:rPr>
          <w:color w:val="auto"/>
          <w:sz w:val="21"/>
          <w:szCs w:val="21"/>
          <w:highlight w:val="none"/>
        </w:rPr>
        <w:t>20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_Toc19588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13.投标报价说明</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_Toc19588 \h </w:instrText>
      </w:r>
      <w:r>
        <w:rPr>
          <w:color w:val="auto"/>
          <w:sz w:val="21"/>
          <w:szCs w:val="21"/>
          <w:highlight w:val="none"/>
        </w:rPr>
        <w:fldChar w:fldCharType="separate"/>
      </w:r>
      <w:r>
        <w:rPr>
          <w:color w:val="auto"/>
          <w:sz w:val="21"/>
          <w:szCs w:val="21"/>
          <w:highlight w:val="none"/>
        </w:rPr>
        <w:t>21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_Toc19961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14.投标人所提供的服务或货物的证明文件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_Toc19961 \h </w:instrText>
      </w:r>
      <w:r>
        <w:rPr>
          <w:color w:val="auto"/>
          <w:sz w:val="21"/>
          <w:szCs w:val="21"/>
          <w:highlight w:val="none"/>
        </w:rPr>
        <w:fldChar w:fldCharType="separate"/>
      </w:r>
      <w:r>
        <w:rPr>
          <w:color w:val="auto"/>
          <w:sz w:val="21"/>
          <w:szCs w:val="21"/>
          <w:highlight w:val="none"/>
        </w:rPr>
        <w:t>21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_Toc22859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15.★投标有效期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_Toc22859 \h </w:instrText>
      </w:r>
      <w:r>
        <w:rPr>
          <w:color w:val="auto"/>
          <w:sz w:val="21"/>
          <w:szCs w:val="21"/>
          <w:highlight w:val="none"/>
        </w:rPr>
        <w:fldChar w:fldCharType="separate"/>
      </w:r>
      <w:r>
        <w:rPr>
          <w:color w:val="auto"/>
          <w:sz w:val="21"/>
          <w:szCs w:val="21"/>
          <w:highlight w:val="none"/>
        </w:rPr>
        <w:t>22</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_Toc30575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16.投标保证金（本项目不需提供投标保证金）</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_Toc30575 \h </w:instrText>
      </w:r>
      <w:r>
        <w:rPr>
          <w:color w:val="auto"/>
          <w:sz w:val="21"/>
          <w:szCs w:val="21"/>
          <w:highlight w:val="none"/>
        </w:rPr>
        <w:fldChar w:fldCharType="separate"/>
      </w:r>
      <w:r>
        <w:rPr>
          <w:color w:val="auto"/>
          <w:sz w:val="21"/>
          <w:szCs w:val="21"/>
          <w:highlight w:val="none"/>
        </w:rPr>
        <w:t>22</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_Toc20263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第四章投标文件的递交</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_Toc20263 \h </w:instrText>
      </w:r>
      <w:r>
        <w:rPr>
          <w:color w:val="auto"/>
          <w:sz w:val="21"/>
          <w:szCs w:val="21"/>
          <w:highlight w:val="none"/>
        </w:rPr>
        <w:fldChar w:fldCharType="separate"/>
      </w:r>
      <w:r>
        <w:rPr>
          <w:color w:val="auto"/>
          <w:sz w:val="21"/>
          <w:szCs w:val="21"/>
          <w:highlight w:val="none"/>
        </w:rPr>
        <w:t>23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_Toc6727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_Toc6727 \h </w:instrText>
      </w:r>
      <w:r>
        <w:rPr>
          <w:color w:val="auto"/>
          <w:sz w:val="21"/>
          <w:szCs w:val="21"/>
          <w:highlight w:val="none"/>
        </w:rPr>
        <w:fldChar w:fldCharType="separate"/>
      </w:r>
      <w:r>
        <w:rPr>
          <w:color w:val="auto"/>
          <w:sz w:val="21"/>
          <w:szCs w:val="21"/>
          <w:highlight w:val="none"/>
        </w:rPr>
        <w:t>23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_Toc18428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18.迟交的投标文件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_Toc18428 \h </w:instrText>
      </w:r>
      <w:r>
        <w:rPr>
          <w:color w:val="auto"/>
          <w:sz w:val="21"/>
          <w:szCs w:val="21"/>
          <w:highlight w:val="none"/>
        </w:rPr>
        <w:fldChar w:fldCharType="separate"/>
      </w:r>
      <w:r>
        <w:rPr>
          <w:color w:val="auto"/>
          <w:sz w:val="21"/>
          <w:szCs w:val="21"/>
          <w:highlight w:val="none"/>
        </w:rPr>
        <w:t>25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_Toc16332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19.投标样品（如需提交）</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_Toc16332 \h </w:instrText>
      </w:r>
      <w:r>
        <w:rPr>
          <w:color w:val="auto"/>
          <w:sz w:val="21"/>
          <w:szCs w:val="21"/>
          <w:highlight w:val="none"/>
        </w:rPr>
        <w:fldChar w:fldCharType="separate"/>
      </w:r>
      <w:r>
        <w:rPr>
          <w:color w:val="auto"/>
          <w:sz w:val="21"/>
          <w:szCs w:val="21"/>
          <w:highlight w:val="none"/>
        </w:rPr>
        <w:t>25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_Toc2816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20.投标截止期</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_Toc2816 \h </w:instrText>
      </w:r>
      <w:r>
        <w:rPr>
          <w:color w:val="auto"/>
          <w:sz w:val="21"/>
          <w:szCs w:val="21"/>
          <w:highlight w:val="none"/>
        </w:rPr>
        <w:fldChar w:fldCharType="separate"/>
      </w:r>
      <w:r>
        <w:rPr>
          <w:color w:val="auto"/>
          <w:sz w:val="21"/>
          <w:szCs w:val="21"/>
          <w:highlight w:val="none"/>
        </w:rPr>
        <w:t>25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_Toc12584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21.投标文件的补充、修改与撤回</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_Toc12584 \h </w:instrText>
      </w:r>
      <w:r>
        <w:rPr>
          <w:color w:val="auto"/>
          <w:sz w:val="21"/>
          <w:szCs w:val="21"/>
          <w:highlight w:val="none"/>
        </w:rPr>
        <w:fldChar w:fldCharType="separate"/>
      </w:r>
      <w:r>
        <w:rPr>
          <w:color w:val="auto"/>
          <w:sz w:val="21"/>
          <w:szCs w:val="21"/>
          <w:highlight w:val="none"/>
        </w:rPr>
        <w:t>25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第五章开标与评标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_Toc2133 \h </w:instrText>
      </w:r>
      <w:r>
        <w:rPr>
          <w:color w:val="auto"/>
          <w:sz w:val="21"/>
          <w:szCs w:val="21"/>
          <w:highlight w:val="none"/>
        </w:rPr>
        <w:fldChar w:fldCharType="separate"/>
      </w:r>
      <w:r>
        <w:rPr>
          <w:color w:val="auto"/>
          <w:sz w:val="21"/>
          <w:szCs w:val="21"/>
          <w:highlight w:val="none"/>
        </w:rPr>
        <w:t>26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_Toc17166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22.开标</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_Toc17166 \h </w:instrText>
      </w:r>
      <w:r>
        <w:rPr>
          <w:color w:val="auto"/>
          <w:sz w:val="21"/>
          <w:szCs w:val="21"/>
          <w:highlight w:val="none"/>
        </w:rPr>
        <w:fldChar w:fldCharType="separate"/>
      </w:r>
      <w:r>
        <w:rPr>
          <w:color w:val="auto"/>
          <w:sz w:val="21"/>
          <w:szCs w:val="21"/>
          <w:highlight w:val="none"/>
        </w:rPr>
        <w:t>26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_Toc14998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23.评标委员会及评标方法</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_Toc14998 \h </w:instrText>
      </w:r>
      <w:r>
        <w:rPr>
          <w:color w:val="auto"/>
          <w:sz w:val="21"/>
          <w:szCs w:val="21"/>
          <w:highlight w:val="none"/>
        </w:rPr>
        <w:fldChar w:fldCharType="separate"/>
      </w:r>
      <w:r>
        <w:rPr>
          <w:color w:val="auto"/>
          <w:sz w:val="21"/>
          <w:szCs w:val="21"/>
          <w:highlight w:val="none"/>
        </w:rPr>
        <w:t>27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_Toc25495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24.评审原则及评标过程的保密</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_Toc25495 \h </w:instrText>
      </w:r>
      <w:r>
        <w:rPr>
          <w:color w:val="auto"/>
          <w:sz w:val="21"/>
          <w:szCs w:val="21"/>
          <w:highlight w:val="none"/>
        </w:rPr>
        <w:fldChar w:fldCharType="separate"/>
      </w:r>
      <w:r>
        <w:rPr>
          <w:color w:val="auto"/>
          <w:sz w:val="21"/>
          <w:szCs w:val="21"/>
          <w:highlight w:val="none"/>
        </w:rPr>
        <w:t>27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_Toc26037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25.投标文件的初审</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_Toc26037 \h </w:instrText>
      </w:r>
      <w:r>
        <w:rPr>
          <w:color w:val="auto"/>
          <w:sz w:val="21"/>
          <w:szCs w:val="21"/>
          <w:highlight w:val="none"/>
        </w:rPr>
        <w:fldChar w:fldCharType="separate"/>
      </w:r>
      <w:r>
        <w:rPr>
          <w:color w:val="auto"/>
          <w:sz w:val="21"/>
          <w:szCs w:val="21"/>
          <w:highlight w:val="none"/>
        </w:rPr>
        <w:t>28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_Toc9257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26.商务、技术、价格评审（具体评审项目详见投标资料表）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_Toc9257 \h </w:instrText>
      </w:r>
      <w:r>
        <w:rPr>
          <w:color w:val="auto"/>
          <w:sz w:val="21"/>
          <w:szCs w:val="21"/>
          <w:highlight w:val="none"/>
        </w:rPr>
        <w:fldChar w:fldCharType="separate"/>
      </w:r>
      <w:r>
        <w:rPr>
          <w:color w:val="auto"/>
          <w:sz w:val="21"/>
          <w:szCs w:val="21"/>
          <w:highlight w:val="none"/>
        </w:rPr>
        <w:t>30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_Toc9687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27.优惠政策</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_Toc9687 \h </w:instrText>
      </w:r>
      <w:r>
        <w:rPr>
          <w:color w:val="auto"/>
          <w:sz w:val="21"/>
          <w:szCs w:val="21"/>
          <w:highlight w:val="none"/>
        </w:rPr>
        <w:fldChar w:fldCharType="separate"/>
      </w:r>
      <w:r>
        <w:rPr>
          <w:color w:val="auto"/>
          <w:sz w:val="21"/>
          <w:szCs w:val="21"/>
          <w:highlight w:val="none"/>
        </w:rPr>
        <w:t>31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_Toc1882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28.纪律和</w:t>
      </w:r>
      <w:r>
        <w:rPr>
          <w:rFonts w:ascii="宋体" w:hAnsi="宋体"/>
          <w:color w:val="auto"/>
          <w:sz w:val="21"/>
          <w:szCs w:val="21"/>
          <w:highlight w:val="none"/>
        </w:rPr>
        <w:t>保密</w:t>
      </w:r>
      <w:r>
        <w:rPr>
          <w:rFonts w:hint="eastAsia" w:ascii="宋体" w:hAnsi="宋体"/>
          <w:color w:val="auto"/>
          <w:sz w:val="21"/>
          <w:szCs w:val="21"/>
          <w:highlight w:val="none"/>
        </w:rPr>
        <w:t>事项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_Toc1882 \h </w:instrText>
      </w:r>
      <w:r>
        <w:rPr>
          <w:color w:val="auto"/>
          <w:sz w:val="21"/>
          <w:szCs w:val="21"/>
          <w:highlight w:val="none"/>
        </w:rPr>
        <w:fldChar w:fldCharType="separate"/>
      </w:r>
      <w:r>
        <w:rPr>
          <w:color w:val="auto"/>
          <w:sz w:val="21"/>
          <w:szCs w:val="21"/>
          <w:highlight w:val="none"/>
        </w:rPr>
        <w:t>33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第六章授予合同</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_Toc5658 \h </w:instrText>
      </w:r>
      <w:r>
        <w:rPr>
          <w:color w:val="auto"/>
          <w:sz w:val="21"/>
          <w:szCs w:val="21"/>
          <w:highlight w:val="none"/>
        </w:rPr>
        <w:fldChar w:fldCharType="separate"/>
      </w:r>
      <w:r>
        <w:rPr>
          <w:color w:val="auto"/>
          <w:sz w:val="21"/>
          <w:szCs w:val="21"/>
          <w:highlight w:val="none"/>
        </w:rPr>
        <w:t>34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_Toc23345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29.</w:t>
      </w:r>
      <w:r>
        <w:rPr>
          <w:rFonts w:ascii="宋体" w:hAnsi="宋体"/>
          <w:color w:val="auto"/>
          <w:sz w:val="21"/>
          <w:szCs w:val="21"/>
          <w:highlight w:val="none"/>
        </w:rPr>
        <w:t>合同授予标准</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_Toc23345 \h </w:instrText>
      </w:r>
      <w:r>
        <w:rPr>
          <w:color w:val="auto"/>
          <w:sz w:val="21"/>
          <w:szCs w:val="21"/>
          <w:highlight w:val="none"/>
        </w:rPr>
        <w:fldChar w:fldCharType="separate"/>
      </w:r>
      <w:r>
        <w:rPr>
          <w:color w:val="auto"/>
          <w:sz w:val="21"/>
          <w:szCs w:val="21"/>
          <w:highlight w:val="none"/>
        </w:rPr>
        <w:t>34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_Toc22109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30.发布采购结果</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_Toc22109 \h </w:instrText>
      </w:r>
      <w:r>
        <w:rPr>
          <w:color w:val="auto"/>
          <w:sz w:val="21"/>
          <w:szCs w:val="21"/>
          <w:highlight w:val="none"/>
        </w:rPr>
        <w:fldChar w:fldCharType="separate"/>
      </w:r>
      <w:r>
        <w:rPr>
          <w:color w:val="auto"/>
          <w:sz w:val="21"/>
          <w:szCs w:val="21"/>
          <w:highlight w:val="none"/>
        </w:rPr>
        <w:t>34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_Toc27189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31.合同的签订与履行</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_Toc27189 \h </w:instrText>
      </w:r>
      <w:r>
        <w:rPr>
          <w:color w:val="auto"/>
          <w:sz w:val="21"/>
          <w:szCs w:val="21"/>
          <w:highlight w:val="none"/>
        </w:rPr>
        <w:fldChar w:fldCharType="separate"/>
      </w:r>
      <w:r>
        <w:rPr>
          <w:color w:val="auto"/>
          <w:sz w:val="21"/>
          <w:szCs w:val="21"/>
          <w:highlight w:val="none"/>
        </w:rPr>
        <w:t>35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_Toc12425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_Toc12425 \h </w:instrText>
      </w:r>
      <w:r>
        <w:rPr>
          <w:color w:val="auto"/>
          <w:sz w:val="21"/>
          <w:szCs w:val="21"/>
          <w:highlight w:val="none"/>
        </w:rPr>
        <w:fldChar w:fldCharType="separate"/>
      </w:r>
      <w:r>
        <w:rPr>
          <w:color w:val="auto"/>
          <w:sz w:val="21"/>
          <w:szCs w:val="21"/>
          <w:highlight w:val="none"/>
        </w:rPr>
        <w:t>36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_Toc25127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第七章询问或质疑</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_Toc25127 \h </w:instrText>
      </w:r>
      <w:r>
        <w:rPr>
          <w:color w:val="auto"/>
          <w:sz w:val="21"/>
          <w:szCs w:val="21"/>
          <w:highlight w:val="none"/>
        </w:rPr>
        <w:fldChar w:fldCharType="separate"/>
      </w:r>
      <w:r>
        <w:rPr>
          <w:color w:val="auto"/>
          <w:sz w:val="21"/>
          <w:szCs w:val="21"/>
          <w:highlight w:val="none"/>
        </w:rPr>
        <w:t>37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_Toc24815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33.询问</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_Toc24815 \h </w:instrText>
      </w:r>
      <w:r>
        <w:rPr>
          <w:color w:val="auto"/>
          <w:sz w:val="21"/>
          <w:szCs w:val="21"/>
          <w:highlight w:val="none"/>
        </w:rPr>
        <w:fldChar w:fldCharType="separate"/>
      </w:r>
      <w:r>
        <w:rPr>
          <w:color w:val="auto"/>
          <w:sz w:val="21"/>
          <w:szCs w:val="21"/>
          <w:highlight w:val="none"/>
        </w:rPr>
        <w:t>37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34.质疑</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_Toc1373 \h </w:instrText>
      </w:r>
      <w:r>
        <w:rPr>
          <w:color w:val="auto"/>
          <w:sz w:val="21"/>
          <w:szCs w:val="21"/>
          <w:highlight w:val="none"/>
        </w:rPr>
        <w:fldChar w:fldCharType="separate"/>
      </w:r>
      <w:r>
        <w:rPr>
          <w:color w:val="auto"/>
          <w:sz w:val="21"/>
          <w:szCs w:val="21"/>
          <w:highlight w:val="none"/>
        </w:rPr>
        <w:t>37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_Toc25264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第八章其他</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_Toc25264 \h </w:instrText>
      </w:r>
      <w:r>
        <w:rPr>
          <w:color w:val="auto"/>
          <w:sz w:val="21"/>
          <w:szCs w:val="21"/>
          <w:highlight w:val="none"/>
        </w:rPr>
        <w:fldChar w:fldCharType="separate"/>
      </w:r>
      <w:r>
        <w:rPr>
          <w:color w:val="auto"/>
          <w:sz w:val="21"/>
          <w:szCs w:val="21"/>
          <w:highlight w:val="none"/>
        </w:rPr>
        <w:t>38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_Toc9235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35.招标文件的解释权</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_Toc9235 \h </w:instrText>
      </w:r>
      <w:r>
        <w:rPr>
          <w:color w:val="auto"/>
          <w:sz w:val="21"/>
          <w:szCs w:val="21"/>
          <w:highlight w:val="none"/>
        </w:rPr>
        <w:fldChar w:fldCharType="separate"/>
      </w:r>
      <w:r>
        <w:rPr>
          <w:color w:val="auto"/>
          <w:sz w:val="21"/>
          <w:szCs w:val="21"/>
          <w:highlight w:val="none"/>
        </w:rPr>
        <w:t>38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_Toc26699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第五部分 用户需求书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_Toc26699 \h </w:instrText>
      </w:r>
      <w:r>
        <w:rPr>
          <w:color w:val="auto"/>
          <w:sz w:val="21"/>
          <w:szCs w:val="21"/>
          <w:highlight w:val="none"/>
        </w:rPr>
        <w:fldChar w:fldCharType="separate"/>
      </w:r>
      <w:r>
        <w:rPr>
          <w:color w:val="auto"/>
          <w:sz w:val="21"/>
          <w:szCs w:val="21"/>
          <w:highlight w:val="none"/>
        </w:rPr>
        <w:t>39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_Toc1327 </w:instrText>
      </w:r>
      <w:r>
        <w:rPr>
          <w:rFonts w:hint="eastAsia" w:ascii="宋体" w:hAnsi="宋体" w:eastAsia="宋体" w:cs="宋体"/>
          <w:color w:val="auto"/>
          <w:sz w:val="21"/>
          <w:szCs w:val="21"/>
          <w:highlight w:val="none"/>
        </w:rPr>
        <w:fldChar w:fldCharType="separate"/>
      </w:r>
      <w:r>
        <w:rPr>
          <w:rFonts w:hint="eastAsia" w:ascii="宋体" w:hAnsi="宋体"/>
          <w:color w:val="auto"/>
          <w:sz w:val="21"/>
          <w:szCs w:val="21"/>
          <w:highlight w:val="none"/>
        </w:rPr>
        <w:t>第一章 商务需求书</w:t>
      </w:r>
      <w:r>
        <w:rPr>
          <w:rFonts w:hint="eastAsia" w:ascii="宋体" w:hAnsi="宋体"/>
          <w:color w:val="auto"/>
          <w:sz w:val="21"/>
          <w:szCs w:val="21"/>
          <w:highlight w:val="none"/>
          <w:lang w:eastAsia="zh-CN"/>
        </w:rPr>
        <w:t>（适用于所有包组）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_Toc1327 \h </w:instrText>
      </w:r>
      <w:r>
        <w:rPr>
          <w:color w:val="auto"/>
          <w:sz w:val="21"/>
          <w:szCs w:val="21"/>
          <w:highlight w:val="none"/>
        </w:rPr>
        <w:fldChar w:fldCharType="separate"/>
      </w:r>
      <w:r>
        <w:rPr>
          <w:color w:val="auto"/>
          <w:sz w:val="21"/>
          <w:szCs w:val="21"/>
          <w:highlight w:val="none"/>
        </w:rPr>
        <w:t>39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_Toc10698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 xml:space="preserve">第二章 </w:t>
      </w:r>
      <w:r>
        <w:rPr>
          <w:rFonts w:hint="eastAsia" w:ascii="宋体" w:hAnsi="宋体"/>
          <w:color w:val="auto"/>
          <w:sz w:val="21"/>
          <w:szCs w:val="21"/>
          <w:highlight w:val="none"/>
        </w:rPr>
        <w:t>技术需求书</w:t>
      </w:r>
      <w:r>
        <w:rPr>
          <w:rFonts w:hint="eastAsia" w:ascii="宋体" w:hAnsi="宋体"/>
          <w:color w:val="auto"/>
          <w:sz w:val="21"/>
          <w:szCs w:val="21"/>
          <w:highlight w:val="none"/>
          <w:lang w:eastAsia="zh-CN"/>
        </w:rPr>
        <w:t>（适用于所有包组）</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_Toc10698 \h </w:instrText>
      </w:r>
      <w:r>
        <w:rPr>
          <w:color w:val="auto"/>
          <w:sz w:val="21"/>
          <w:szCs w:val="21"/>
          <w:highlight w:val="none"/>
        </w:rPr>
        <w:fldChar w:fldCharType="separate"/>
      </w:r>
      <w:r>
        <w:rPr>
          <w:color w:val="auto"/>
          <w:sz w:val="21"/>
          <w:szCs w:val="21"/>
          <w:highlight w:val="none"/>
        </w:rPr>
        <w:t>46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_Toc25170 </w:instrText>
      </w:r>
      <w:r>
        <w:rPr>
          <w:rFonts w:hint="eastAsia" w:ascii="宋体" w:hAnsi="宋体" w:eastAsia="宋体" w:cs="宋体"/>
          <w:color w:val="auto"/>
          <w:sz w:val="21"/>
          <w:szCs w:val="21"/>
          <w:highlight w:val="none"/>
        </w:rPr>
        <w:fldChar w:fldCharType="separate"/>
      </w:r>
      <w:r>
        <w:rPr>
          <w:rFonts w:hint="eastAsia" w:eastAsia="宋体"/>
          <w:color w:val="auto"/>
          <w:sz w:val="21"/>
          <w:szCs w:val="21"/>
          <w:highlight w:val="none"/>
          <w:lang w:val="en-US" w:eastAsia="zh-CN"/>
        </w:rPr>
        <w:t>1、项目概况</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_Toc25170 \h </w:instrText>
      </w:r>
      <w:r>
        <w:rPr>
          <w:color w:val="auto"/>
          <w:sz w:val="21"/>
          <w:szCs w:val="21"/>
          <w:highlight w:val="none"/>
        </w:rPr>
        <w:fldChar w:fldCharType="separate"/>
      </w:r>
      <w:r>
        <w:rPr>
          <w:color w:val="auto"/>
          <w:sz w:val="21"/>
          <w:szCs w:val="21"/>
          <w:highlight w:val="none"/>
        </w:rPr>
        <w:t>46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_Toc15650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lang w:val="en-US" w:eastAsia="zh-CN"/>
        </w:rPr>
        <w:t>2、</w:t>
      </w:r>
      <w:r>
        <w:rPr>
          <w:rFonts w:hint="eastAsia"/>
          <w:color w:val="auto"/>
          <w:sz w:val="21"/>
          <w:szCs w:val="21"/>
          <w:highlight w:val="none"/>
        </w:rPr>
        <w:t>产品要求（包括但不限于以下内容）：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_Toc15650 \h </w:instrText>
      </w:r>
      <w:r>
        <w:rPr>
          <w:color w:val="auto"/>
          <w:sz w:val="21"/>
          <w:szCs w:val="21"/>
          <w:highlight w:val="none"/>
        </w:rPr>
        <w:fldChar w:fldCharType="separate"/>
      </w:r>
      <w:r>
        <w:rPr>
          <w:color w:val="auto"/>
          <w:sz w:val="21"/>
          <w:szCs w:val="21"/>
          <w:highlight w:val="none"/>
        </w:rPr>
        <w:t>46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_Toc31010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lang w:val="en-US" w:eastAsia="zh-CN"/>
        </w:rPr>
        <w:t>3</w:t>
      </w:r>
      <w:r>
        <w:rPr>
          <w:rFonts w:hint="eastAsia" w:eastAsia="宋体"/>
          <w:color w:val="auto"/>
          <w:sz w:val="21"/>
          <w:szCs w:val="21"/>
          <w:highlight w:val="none"/>
          <w:lang w:val="en-US" w:eastAsia="zh-CN"/>
        </w:rPr>
        <w:t>、</w:t>
      </w:r>
      <w:r>
        <w:rPr>
          <w:rFonts w:hint="eastAsia" w:eastAsia="宋体"/>
          <w:color w:val="auto"/>
          <w:sz w:val="21"/>
          <w:szCs w:val="21"/>
          <w:highlight w:val="none"/>
        </w:rPr>
        <w:t>产品标准（产品标准与其他采购包描述一致，未描述产品，需按</w:t>
      </w:r>
      <w:r>
        <w:rPr>
          <w:rFonts w:hint="eastAsia" w:eastAsia="宋体"/>
          <w:color w:val="auto"/>
          <w:sz w:val="21"/>
          <w:szCs w:val="21"/>
          <w:highlight w:val="none"/>
          <w:lang w:eastAsia="zh-CN"/>
        </w:rPr>
        <w:t>采购人</w:t>
      </w:r>
      <w:r>
        <w:rPr>
          <w:rFonts w:hint="eastAsia" w:eastAsia="宋体"/>
          <w:color w:val="auto"/>
          <w:sz w:val="21"/>
          <w:szCs w:val="21"/>
          <w:highlight w:val="none"/>
        </w:rPr>
        <w:t>实际要求执行）</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_Toc31010 \h </w:instrText>
      </w:r>
      <w:r>
        <w:rPr>
          <w:color w:val="auto"/>
          <w:sz w:val="21"/>
          <w:szCs w:val="21"/>
          <w:highlight w:val="none"/>
        </w:rPr>
        <w:fldChar w:fldCharType="separate"/>
      </w:r>
      <w:r>
        <w:rPr>
          <w:color w:val="auto"/>
          <w:sz w:val="21"/>
          <w:szCs w:val="21"/>
          <w:highlight w:val="none"/>
        </w:rPr>
        <w:t>48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_Toc4803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lang w:val="en-US" w:eastAsia="zh-CN"/>
        </w:rPr>
        <w:t>4</w:t>
      </w:r>
      <w:r>
        <w:rPr>
          <w:rFonts w:hint="eastAsia" w:eastAsia="宋体"/>
          <w:color w:val="auto"/>
          <w:sz w:val="21"/>
          <w:szCs w:val="21"/>
          <w:highlight w:val="none"/>
          <w:lang w:val="en-US" w:eastAsia="zh-CN"/>
        </w:rPr>
        <w:t>、</w:t>
      </w:r>
      <w:r>
        <w:rPr>
          <w:rFonts w:hint="eastAsia" w:eastAsia="宋体"/>
          <w:color w:val="auto"/>
          <w:sz w:val="21"/>
          <w:szCs w:val="21"/>
          <w:highlight w:val="none"/>
        </w:rPr>
        <w:t>考核标准</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_Toc4803 \h </w:instrText>
      </w:r>
      <w:r>
        <w:rPr>
          <w:color w:val="auto"/>
          <w:sz w:val="21"/>
          <w:szCs w:val="21"/>
          <w:highlight w:val="none"/>
        </w:rPr>
        <w:fldChar w:fldCharType="separate"/>
      </w:r>
      <w:r>
        <w:rPr>
          <w:color w:val="auto"/>
          <w:sz w:val="21"/>
          <w:szCs w:val="21"/>
          <w:highlight w:val="none"/>
        </w:rPr>
        <w:t>48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_Toc1074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lang w:val="en-US" w:eastAsia="zh-CN"/>
        </w:rPr>
        <w:t>5、其他要求</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_Toc1074 \h </w:instrText>
      </w:r>
      <w:r>
        <w:rPr>
          <w:color w:val="auto"/>
          <w:sz w:val="21"/>
          <w:szCs w:val="21"/>
          <w:highlight w:val="none"/>
        </w:rPr>
        <w:fldChar w:fldCharType="separate"/>
      </w:r>
      <w:r>
        <w:rPr>
          <w:color w:val="auto"/>
          <w:sz w:val="21"/>
          <w:szCs w:val="21"/>
          <w:highlight w:val="none"/>
        </w:rPr>
        <w:t>50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_Toc16229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第六部分 合同格式（仅供参考）</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_Toc16229 \h </w:instrText>
      </w:r>
      <w:r>
        <w:rPr>
          <w:color w:val="auto"/>
          <w:sz w:val="21"/>
          <w:szCs w:val="21"/>
          <w:highlight w:val="none"/>
        </w:rPr>
        <w:fldChar w:fldCharType="separate"/>
      </w:r>
      <w:r>
        <w:rPr>
          <w:color w:val="auto"/>
          <w:sz w:val="21"/>
          <w:szCs w:val="21"/>
          <w:highlight w:val="none"/>
        </w:rPr>
        <w:t>51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_Toc16379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rPr>
        <w:t>合同格式</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_Toc16379 \h </w:instrText>
      </w:r>
      <w:r>
        <w:rPr>
          <w:color w:val="auto"/>
          <w:sz w:val="21"/>
          <w:szCs w:val="21"/>
          <w:highlight w:val="none"/>
        </w:rPr>
        <w:fldChar w:fldCharType="separate"/>
      </w:r>
      <w:r>
        <w:rPr>
          <w:color w:val="auto"/>
          <w:sz w:val="21"/>
          <w:szCs w:val="21"/>
          <w:highlight w:val="none"/>
        </w:rPr>
        <w:t>51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6"/>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_Toc17820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第七部分  投标文件格式</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_Toc17820 \h </w:instrText>
      </w:r>
      <w:r>
        <w:rPr>
          <w:color w:val="auto"/>
          <w:sz w:val="21"/>
          <w:szCs w:val="21"/>
          <w:highlight w:val="none"/>
        </w:rPr>
        <w:fldChar w:fldCharType="separate"/>
      </w:r>
      <w:r>
        <w:rPr>
          <w:color w:val="auto"/>
          <w:sz w:val="21"/>
          <w:szCs w:val="21"/>
          <w:highlight w:val="none"/>
        </w:rPr>
        <w:t>54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投标文件目录</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_Toc1212 \h </w:instrText>
      </w:r>
      <w:r>
        <w:rPr>
          <w:color w:val="auto"/>
          <w:sz w:val="21"/>
          <w:szCs w:val="21"/>
          <w:highlight w:val="none"/>
        </w:rPr>
        <w:fldChar w:fldCharType="separate"/>
      </w:r>
      <w:r>
        <w:rPr>
          <w:color w:val="auto"/>
          <w:sz w:val="21"/>
          <w:szCs w:val="21"/>
          <w:highlight w:val="none"/>
        </w:rPr>
        <w:t>54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_Toc25791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评分标准索引表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_Toc25791 \h </w:instrText>
      </w:r>
      <w:r>
        <w:rPr>
          <w:color w:val="auto"/>
          <w:sz w:val="21"/>
          <w:szCs w:val="21"/>
          <w:highlight w:val="none"/>
        </w:rPr>
        <w:fldChar w:fldCharType="separate"/>
      </w:r>
      <w:r>
        <w:rPr>
          <w:color w:val="auto"/>
          <w:sz w:val="21"/>
          <w:szCs w:val="21"/>
          <w:highlight w:val="none"/>
        </w:rPr>
        <w:t>55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_Toc1088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第一章价格文件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_Toc1088 \h </w:instrText>
      </w:r>
      <w:r>
        <w:rPr>
          <w:color w:val="auto"/>
          <w:sz w:val="21"/>
          <w:szCs w:val="21"/>
          <w:highlight w:val="none"/>
        </w:rPr>
        <w:fldChar w:fldCharType="separate"/>
      </w:r>
      <w:r>
        <w:rPr>
          <w:color w:val="auto"/>
          <w:sz w:val="21"/>
          <w:szCs w:val="21"/>
          <w:highlight w:val="none"/>
        </w:rPr>
        <w:t>56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_Toc24594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一、唱标一览表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_Toc24594 \h </w:instrText>
      </w:r>
      <w:r>
        <w:rPr>
          <w:color w:val="auto"/>
          <w:sz w:val="21"/>
          <w:szCs w:val="21"/>
          <w:highlight w:val="none"/>
        </w:rPr>
        <w:fldChar w:fldCharType="separate"/>
      </w:r>
      <w:r>
        <w:rPr>
          <w:color w:val="auto"/>
          <w:sz w:val="21"/>
          <w:szCs w:val="21"/>
          <w:highlight w:val="none"/>
        </w:rPr>
        <w:t>56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_Toc29393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二、报价明细表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_Toc29393 \h </w:instrText>
      </w:r>
      <w:r>
        <w:rPr>
          <w:color w:val="auto"/>
          <w:sz w:val="21"/>
          <w:szCs w:val="21"/>
          <w:highlight w:val="none"/>
        </w:rPr>
        <w:fldChar w:fldCharType="separate"/>
      </w:r>
      <w:r>
        <w:rPr>
          <w:color w:val="auto"/>
          <w:sz w:val="21"/>
          <w:szCs w:val="21"/>
          <w:highlight w:val="none"/>
        </w:rPr>
        <w:t>57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_Toc2147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三、小型或微型企业（货物/服务/承担的工程）明细表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_Toc2147 \h </w:instrText>
      </w:r>
      <w:r>
        <w:rPr>
          <w:color w:val="auto"/>
          <w:sz w:val="21"/>
          <w:szCs w:val="21"/>
          <w:highlight w:val="none"/>
        </w:rPr>
        <w:fldChar w:fldCharType="separate"/>
      </w:r>
      <w:r>
        <w:rPr>
          <w:color w:val="auto"/>
          <w:sz w:val="21"/>
          <w:szCs w:val="21"/>
          <w:highlight w:val="none"/>
        </w:rPr>
        <w:t>58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_Toc23790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四、节能产品或环境标志产品明细表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_Toc23790 \h </w:instrText>
      </w:r>
      <w:r>
        <w:rPr>
          <w:color w:val="auto"/>
          <w:sz w:val="21"/>
          <w:szCs w:val="21"/>
          <w:highlight w:val="none"/>
        </w:rPr>
        <w:fldChar w:fldCharType="separate"/>
      </w:r>
      <w:r>
        <w:rPr>
          <w:color w:val="auto"/>
          <w:sz w:val="21"/>
          <w:szCs w:val="21"/>
          <w:highlight w:val="none"/>
        </w:rPr>
        <w:t>59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_Toc25466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五、中小企业声明函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_Toc25466 \h </w:instrText>
      </w:r>
      <w:r>
        <w:rPr>
          <w:color w:val="auto"/>
          <w:sz w:val="21"/>
          <w:szCs w:val="21"/>
          <w:highlight w:val="none"/>
        </w:rPr>
        <w:fldChar w:fldCharType="separate"/>
      </w:r>
      <w:r>
        <w:rPr>
          <w:color w:val="auto"/>
          <w:sz w:val="21"/>
          <w:szCs w:val="21"/>
          <w:highlight w:val="none"/>
        </w:rPr>
        <w:t>60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_Toc14201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六、残疾人福利性单位声明函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_Toc14201 \h </w:instrText>
      </w:r>
      <w:r>
        <w:rPr>
          <w:color w:val="auto"/>
          <w:sz w:val="21"/>
          <w:szCs w:val="21"/>
          <w:highlight w:val="none"/>
        </w:rPr>
        <w:fldChar w:fldCharType="separate"/>
      </w:r>
      <w:r>
        <w:rPr>
          <w:color w:val="auto"/>
          <w:sz w:val="21"/>
          <w:szCs w:val="21"/>
          <w:highlight w:val="none"/>
        </w:rPr>
        <w:t>63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_Toc26631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第二章商务文件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_Toc26631 \h </w:instrText>
      </w:r>
      <w:r>
        <w:rPr>
          <w:color w:val="auto"/>
          <w:sz w:val="21"/>
          <w:szCs w:val="21"/>
          <w:highlight w:val="none"/>
        </w:rPr>
        <w:fldChar w:fldCharType="separate"/>
      </w:r>
      <w:r>
        <w:rPr>
          <w:color w:val="auto"/>
          <w:sz w:val="21"/>
          <w:szCs w:val="21"/>
          <w:highlight w:val="none"/>
        </w:rPr>
        <w:t>64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_Toc26222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一、投标函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_Toc26222 \h </w:instrText>
      </w:r>
      <w:r>
        <w:rPr>
          <w:color w:val="auto"/>
          <w:sz w:val="21"/>
          <w:szCs w:val="21"/>
          <w:highlight w:val="none"/>
        </w:rPr>
        <w:fldChar w:fldCharType="separate"/>
      </w:r>
      <w:r>
        <w:rPr>
          <w:color w:val="auto"/>
          <w:sz w:val="21"/>
          <w:szCs w:val="21"/>
          <w:highlight w:val="none"/>
        </w:rPr>
        <w:t>64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_Toc14832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二、资格申明函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_Toc14832 \h </w:instrText>
      </w:r>
      <w:r>
        <w:rPr>
          <w:color w:val="auto"/>
          <w:sz w:val="21"/>
          <w:szCs w:val="21"/>
          <w:highlight w:val="none"/>
        </w:rPr>
        <w:fldChar w:fldCharType="separate"/>
      </w:r>
      <w:r>
        <w:rPr>
          <w:color w:val="auto"/>
          <w:sz w:val="21"/>
          <w:szCs w:val="21"/>
          <w:highlight w:val="none"/>
        </w:rPr>
        <w:t>65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_Toc5751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三、在参与政府采购活动前三年未有重大违法记录、没有不良信用记录的声明函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_Toc5751 \h </w:instrText>
      </w:r>
      <w:r>
        <w:rPr>
          <w:color w:val="auto"/>
          <w:sz w:val="21"/>
          <w:szCs w:val="21"/>
          <w:highlight w:val="none"/>
        </w:rPr>
        <w:fldChar w:fldCharType="separate"/>
      </w:r>
      <w:r>
        <w:rPr>
          <w:color w:val="auto"/>
          <w:sz w:val="21"/>
          <w:szCs w:val="21"/>
          <w:highlight w:val="none"/>
        </w:rPr>
        <w:t>66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_Toc29232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四、法定代表人证明书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_Toc29232 \h </w:instrText>
      </w:r>
      <w:r>
        <w:rPr>
          <w:color w:val="auto"/>
          <w:sz w:val="21"/>
          <w:szCs w:val="21"/>
          <w:highlight w:val="none"/>
        </w:rPr>
        <w:fldChar w:fldCharType="separate"/>
      </w:r>
      <w:r>
        <w:rPr>
          <w:color w:val="auto"/>
          <w:sz w:val="21"/>
          <w:szCs w:val="21"/>
          <w:highlight w:val="none"/>
        </w:rPr>
        <w:t>67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_Toc26566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五、法定代表人授权书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_Toc26566 \h </w:instrText>
      </w:r>
      <w:r>
        <w:rPr>
          <w:color w:val="auto"/>
          <w:sz w:val="21"/>
          <w:szCs w:val="21"/>
          <w:highlight w:val="none"/>
        </w:rPr>
        <w:fldChar w:fldCharType="separate"/>
      </w:r>
      <w:r>
        <w:rPr>
          <w:color w:val="auto"/>
          <w:sz w:val="21"/>
          <w:szCs w:val="21"/>
          <w:highlight w:val="none"/>
        </w:rPr>
        <w:t>68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_Toc5808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六、投标人基本情况说明</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_Toc5808 \h </w:instrText>
      </w:r>
      <w:r>
        <w:rPr>
          <w:color w:val="auto"/>
          <w:sz w:val="21"/>
          <w:szCs w:val="21"/>
          <w:highlight w:val="none"/>
        </w:rPr>
        <w:fldChar w:fldCharType="separate"/>
      </w:r>
      <w:r>
        <w:rPr>
          <w:color w:val="auto"/>
          <w:sz w:val="21"/>
          <w:szCs w:val="21"/>
          <w:highlight w:val="none"/>
        </w:rPr>
        <w:t>69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_Toc7457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七、营业执照</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_Toc7457 \h </w:instrText>
      </w:r>
      <w:r>
        <w:rPr>
          <w:color w:val="auto"/>
          <w:sz w:val="21"/>
          <w:szCs w:val="21"/>
          <w:highlight w:val="none"/>
        </w:rPr>
        <w:fldChar w:fldCharType="separate"/>
      </w:r>
      <w:r>
        <w:rPr>
          <w:color w:val="auto"/>
          <w:sz w:val="21"/>
          <w:szCs w:val="21"/>
          <w:highlight w:val="none"/>
        </w:rPr>
        <w:t>70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_Toc18865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八、特殊资格要求证明文件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_Toc18865 \h </w:instrText>
      </w:r>
      <w:r>
        <w:rPr>
          <w:color w:val="auto"/>
          <w:sz w:val="21"/>
          <w:szCs w:val="21"/>
          <w:highlight w:val="none"/>
        </w:rPr>
        <w:fldChar w:fldCharType="separate"/>
      </w:r>
      <w:r>
        <w:rPr>
          <w:color w:val="auto"/>
          <w:sz w:val="21"/>
          <w:szCs w:val="21"/>
          <w:highlight w:val="none"/>
        </w:rPr>
        <w:t>71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_Toc22541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九、承诺书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_Toc22541 \h </w:instrText>
      </w:r>
      <w:r>
        <w:rPr>
          <w:color w:val="auto"/>
          <w:sz w:val="21"/>
          <w:szCs w:val="21"/>
          <w:highlight w:val="none"/>
        </w:rPr>
        <w:fldChar w:fldCharType="separate"/>
      </w:r>
      <w:r>
        <w:rPr>
          <w:color w:val="auto"/>
          <w:sz w:val="21"/>
          <w:szCs w:val="21"/>
          <w:highlight w:val="none"/>
        </w:rPr>
        <w:t>72</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_Toc13764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十、招标代理服务费承诺书</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_Toc13764 \h </w:instrText>
      </w:r>
      <w:r>
        <w:rPr>
          <w:color w:val="auto"/>
          <w:sz w:val="21"/>
          <w:szCs w:val="21"/>
          <w:highlight w:val="none"/>
        </w:rPr>
        <w:fldChar w:fldCharType="separate"/>
      </w:r>
      <w:r>
        <w:rPr>
          <w:color w:val="auto"/>
          <w:sz w:val="21"/>
          <w:szCs w:val="21"/>
          <w:highlight w:val="none"/>
        </w:rPr>
        <w:t>73</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_Toc29550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十一、商务条款偏离表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_Toc29550 \h </w:instrText>
      </w:r>
      <w:r>
        <w:rPr>
          <w:color w:val="auto"/>
          <w:sz w:val="21"/>
          <w:szCs w:val="21"/>
          <w:highlight w:val="none"/>
        </w:rPr>
        <w:fldChar w:fldCharType="separate"/>
      </w:r>
      <w:r>
        <w:rPr>
          <w:color w:val="auto"/>
          <w:sz w:val="21"/>
          <w:szCs w:val="21"/>
          <w:highlight w:val="none"/>
        </w:rPr>
        <w:t>74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_Toc8814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十二、业绩表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_Toc8814 \h </w:instrText>
      </w:r>
      <w:r>
        <w:rPr>
          <w:color w:val="auto"/>
          <w:sz w:val="21"/>
          <w:szCs w:val="21"/>
          <w:highlight w:val="none"/>
        </w:rPr>
        <w:fldChar w:fldCharType="separate"/>
      </w:r>
      <w:r>
        <w:rPr>
          <w:color w:val="auto"/>
          <w:sz w:val="21"/>
          <w:szCs w:val="21"/>
          <w:highlight w:val="none"/>
        </w:rPr>
        <w:t>75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_Toc22561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第三章技术文件</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_Toc22561 \h </w:instrText>
      </w:r>
      <w:r>
        <w:rPr>
          <w:color w:val="auto"/>
          <w:sz w:val="21"/>
          <w:szCs w:val="21"/>
          <w:highlight w:val="none"/>
        </w:rPr>
        <w:fldChar w:fldCharType="separate"/>
      </w:r>
      <w:r>
        <w:rPr>
          <w:color w:val="auto"/>
          <w:sz w:val="21"/>
          <w:szCs w:val="21"/>
          <w:highlight w:val="none"/>
        </w:rPr>
        <w:t>76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_Toc16096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一、技术规格偏离表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_Toc16096 \h </w:instrText>
      </w:r>
      <w:r>
        <w:rPr>
          <w:color w:val="auto"/>
          <w:sz w:val="21"/>
          <w:szCs w:val="21"/>
          <w:highlight w:val="none"/>
        </w:rPr>
        <w:fldChar w:fldCharType="separate"/>
      </w:r>
      <w:r>
        <w:rPr>
          <w:color w:val="auto"/>
          <w:sz w:val="21"/>
          <w:szCs w:val="21"/>
          <w:highlight w:val="none"/>
        </w:rPr>
        <w:t>76</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_Toc17233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二、重要技术参数（▲）响应表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_Toc17233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_Toc23398 </w:instrText>
      </w:r>
      <w:r>
        <w:rPr>
          <w:rFonts w:hint="eastAsia" w:ascii="宋体" w:hAnsi="宋体" w:eastAsia="宋体" w:cs="宋体"/>
          <w:color w:val="auto"/>
          <w:sz w:val="21"/>
          <w:szCs w:val="21"/>
          <w:highlight w:val="none"/>
        </w:rPr>
        <w:fldChar w:fldCharType="separate"/>
      </w:r>
      <w:r>
        <w:rPr>
          <w:rFonts w:hint="eastAsia" w:ascii="宋体" w:hAnsi="宋体" w:cs="宋体"/>
          <w:bCs w:val="0"/>
          <w:color w:val="auto"/>
          <w:sz w:val="21"/>
          <w:szCs w:val="21"/>
          <w:highlight w:val="none"/>
        </w:rPr>
        <w:t>序号</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_Toc23398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_Toc29852 </w:instrText>
      </w:r>
      <w:r>
        <w:rPr>
          <w:rFonts w:hint="eastAsia" w:ascii="宋体" w:hAnsi="宋体" w:eastAsia="宋体" w:cs="宋体"/>
          <w:color w:val="auto"/>
          <w:sz w:val="21"/>
          <w:szCs w:val="21"/>
          <w:highlight w:val="none"/>
        </w:rPr>
        <w:fldChar w:fldCharType="separate"/>
      </w:r>
      <w:r>
        <w:rPr>
          <w:rFonts w:hint="eastAsia" w:ascii="宋体" w:hAnsi="宋体" w:cs="宋体"/>
          <w:bCs w:val="0"/>
          <w:color w:val="auto"/>
          <w:sz w:val="21"/>
          <w:szCs w:val="21"/>
          <w:highlight w:val="none"/>
        </w:rPr>
        <w:t>重要技术参数评分条款（▲）</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_Toc29852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_Toc20362 </w:instrText>
      </w:r>
      <w:r>
        <w:rPr>
          <w:rFonts w:hint="eastAsia" w:ascii="宋体" w:hAnsi="宋体" w:eastAsia="宋体" w:cs="宋体"/>
          <w:color w:val="auto"/>
          <w:sz w:val="21"/>
          <w:szCs w:val="21"/>
          <w:highlight w:val="none"/>
        </w:rPr>
        <w:fldChar w:fldCharType="separate"/>
      </w:r>
      <w:r>
        <w:rPr>
          <w:rFonts w:hint="eastAsia" w:ascii="宋体" w:hAnsi="宋体" w:cs="宋体"/>
          <w:bCs w:val="0"/>
          <w:color w:val="auto"/>
          <w:sz w:val="21"/>
          <w:szCs w:val="21"/>
          <w:highlight w:val="none"/>
        </w:rPr>
        <w:t>投标文件响应内容</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_Toc20362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_Toc10821 </w:instrText>
      </w:r>
      <w:r>
        <w:rPr>
          <w:rFonts w:hint="eastAsia" w:ascii="宋体" w:hAnsi="宋体" w:eastAsia="宋体" w:cs="宋体"/>
          <w:color w:val="auto"/>
          <w:sz w:val="21"/>
          <w:szCs w:val="21"/>
          <w:highlight w:val="none"/>
        </w:rPr>
        <w:fldChar w:fldCharType="separate"/>
      </w:r>
      <w:r>
        <w:rPr>
          <w:rFonts w:hint="eastAsia" w:ascii="宋体" w:hAnsi="宋体" w:cs="宋体"/>
          <w:bCs w:val="0"/>
          <w:color w:val="auto"/>
          <w:sz w:val="21"/>
          <w:szCs w:val="21"/>
          <w:highlight w:val="none"/>
        </w:rPr>
        <w:t>说明</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_Toc10821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_Toc31217 </w:instrText>
      </w:r>
      <w:r>
        <w:rPr>
          <w:rFonts w:hint="eastAsia" w:ascii="宋体" w:hAnsi="宋体" w:eastAsia="宋体" w:cs="宋体"/>
          <w:color w:val="auto"/>
          <w:sz w:val="21"/>
          <w:szCs w:val="21"/>
          <w:highlight w:val="none"/>
        </w:rPr>
        <w:fldChar w:fldCharType="separate"/>
      </w:r>
      <w:r>
        <w:rPr>
          <w:rFonts w:hint="eastAsia" w:ascii="宋体" w:hAnsi="宋体" w:cs="宋体"/>
          <w:bCs w:val="0"/>
          <w:color w:val="auto"/>
          <w:sz w:val="21"/>
          <w:szCs w:val="21"/>
          <w:highlight w:val="none"/>
        </w:rPr>
        <w:t>页码范围</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_Toc31217 \h </w:instrText>
      </w:r>
      <w:r>
        <w:rPr>
          <w:color w:val="auto"/>
          <w:sz w:val="21"/>
          <w:szCs w:val="21"/>
          <w:highlight w:val="none"/>
        </w:rPr>
        <w:fldChar w:fldCharType="separate"/>
      </w:r>
      <w:r>
        <w:rPr>
          <w:color w:val="auto"/>
          <w:sz w:val="21"/>
          <w:szCs w:val="21"/>
          <w:highlight w:val="none"/>
        </w:rPr>
        <w:t>77</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三、实质性条款（标记★）投标响应表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_Toc17411 \h </w:instrText>
      </w:r>
      <w:r>
        <w:rPr>
          <w:color w:val="auto"/>
          <w:sz w:val="21"/>
          <w:szCs w:val="21"/>
          <w:highlight w:val="none"/>
        </w:rPr>
        <w:fldChar w:fldCharType="separate"/>
      </w:r>
      <w:r>
        <w:rPr>
          <w:color w:val="auto"/>
          <w:sz w:val="21"/>
          <w:szCs w:val="21"/>
          <w:highlight w:val="none"/>
        </w:rPr>
        <w:t>78</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_Toc28797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四、项目技术方案</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_Toc28797 \h </w:instrText>
      </w:r>
      <w:r>
        <w:rPr>
          <w:color w:val="auto"/>
          <w:sz w:val="21"/>
          <w:szCs w:val="21"/>
          <w:highlight w:val="none"/>
        </w:rPr>
        <w:fldChar w:fldCharType="separate"/>
      </w:r>
      <w:r>
        <w:rPr>
          <w:color w:val="auto"/>
          <w:sz w:val="21"/>
          <w:szCs w:val="21"/>
          <w:highlight w:val="none"/>
        </w:rPr>
        <w:t>79</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_Toc26921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五、项目负责人及团队成员资料表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_Toc26921 \h </w:instrText>
      </w:r>
      <w:r>
        <w:rPr>
          <w:color w:val="auto"/>
          <w:sz w:val="21"/>
          <w:szCs w:val="21"/>
          <w:highlight w:val="none"/>
        </w:rPr>
        <w:fldChar w:fldCharType="separate"/>
      </w:r>
      <w:r>
        <w:rPr>
          <w:color w:val="auto"/>
          <w:sz w:val="21"/>
          <w:szCs w:val="21"/>
          <w:highlight w:val="none"/>
        </w:rPr>
        <w:t>80</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_Toc27205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六、投标货物明细一览表</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_Toc27205 \h </w:instrText>
      </w:r>
      <w:r>
        <w:rPr>
          <w:color w:val="auto"/>
          <w:sz w:val="21"/>
          <w:szCs w:val="21"/>
          <w:highlight w:val="none"/>
        </w:rPr>
        <w:fldChar w:fldCharType="separate"/>
      </w:r>
      <w:r>
        <w:rPr>
          <w:color w:val="auto"/>
          <w:sz w:val="21"/>
          <w:szCs w:val="21"/>
          <w:highlight w:val="none"/>
        </w:rPr>
        <w:t>81</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_Toc13633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七、政府采购履约担保函</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_Toc13633 \h </w:instrText>
      </w:r>
      <w:r>
        <w:rPr>
          <w:color w:val="auto"/>
          <w:sz w:val="21"/>
          <w:szCs w:val="21"/>
          <w:highlight w:val="none"/>
        </w:rPr>
        <w:fldChar w:fldCharType="separate"/>
      </w:r>
      <w:r>
        <w:rPr>
          <w:color w:val="auto"/>
          <w:sz w:val="21"/>
          <w:szCs w:val="21"/>
          <w:highlight w:val="none"/>
        </w:rPr>
        <w:t>82</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_Toc31312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第四章唱标信封（单独封装）</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_Toc31312 \h </w:instrText>
      </w:r>
      <w:r>
        <w:rPr>
          <w:color w:val="auto"/>
          <w:sz w:val="21"/>
          <w:szCs w:val="21"/>
          <w:highlight w:val="none"/>
        </w:rPr>
        <w:fldChar w:fldCharType="separate"/>
      </w:r>
      <w:r>
        <w:rPr>
          <w:color w:val="auto"/>
          <w:sz w:val="21"/>
          <w:szCs w:val="21"/>
          <w:highlight w:val="none"/>
        </w:rPr>
        <w:t>84</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textAlignment w:val="auto"/>
        <w:rPr>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_Toc17999 </w:instrText>
      </w:r>
      <w:r>
        <w:rPr>
          <w:rFonts w:hint="eastAsia" w:ascii="宋体" w:hAnsi="宋体" w:eastAsia="宋体" w:cs="宋体"/>
          <w:color w:val="auto"/>
          <w:sz w:val="21"/>
          <w:szCs w:val="21"/>
          <w:highlight w:val="none"/>
        </w:rPr>
        <w:fldChar w:fldCharType="separate"/>
      </w:r>
      <w:r>
        <w:rPr>
          <w:rFonts w:hint="eastAsia"/>
          <w:color w:val="auto"/>
          <w:sz w:val="21"/>
          <w:szCs w:val="21"/>
          <w:highlight w:val="none"/>
        </w:rPr>
        <w:t>第五章联合体共同投标协议书（如有需要）</w:t>
      </w:r>
      <w:r>
        <w:rPr>
          <w:color w:val="auto"/>
          <w:sz w:val="21"/>
          <w:szCs w:val="21"/>
          <w:highlight w:val="none"/>
        </w:rPr>
        <w:tab/>
      </w:r>
      <w:r>
        <w:rPr>
          <w:color w:val="auto"/>
          <w:sz w:val="21"/>
          <w:szCs w:val="21"/>
          <w:highlight w:val="none"/>
        </w:rPr>
        <w:fldChar w:fldCharType="begin"/>
      </w:r>
      <w:r>
        <w:rPr>
          <w:color w:val="auto"/>
          <w:sz w:val="21"/>
          <w:szCs w:val="21"/>
          <w:highlight w:val="none"/>
        </w:rPr>
        <w:instrText xml:space="preserve"> PAGEREF _Toc17999 \h </w:instrText>
      </w:r>
      <w:r>
        <w:rPr>
          <w:color w:val="auto"/>
          <w:sz w:val="21"/>
          <w:szCs w:val="21"/>
          <w:highlight w:val="none"/>
        </w:rPr>
        <w:fldChar w:fldCharType="separate"/>
      </w:r>
      <w:r>
        <w:rPr>
          <w:color w:val="auto"/>
          <w:sz w:val="21"/>
          <w:szCs w:val="21"/>
          <w:highlight w:val="none"/>
        </w:rPr>
        <w:t>85</w:t>
      </w:r>
      <w:r>
        <w:rPr>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cs="宋体"/>
          <w:color w:val="auto"/>
          <w:szCs w:val="21"/>
          <w:highlight w:val="none"/>
        </w:rPr>
      </w:pPr>
      <w:r>
        <w:rPr>
          <w:rFonts w:hint="eastAsia" w:ascii="宋体" w:hAnsi="宋体" w:eastAsia="宋体" w:cs="宋体"/>
          <w:color w:val="auto"/>
          <w:sz w:val="21"/>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9949"/>
      <w:bookmarkStart w:id="1" w:name="_Toc1730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8850"/>
      <w:bookmarkStart w:id="3" w:name="_Toc20562"/>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东莞市第十三高级中学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olor w:val="auto"/>
          <w:szCs w:val="21"/>
          <w:highlight w:val="none"/>
          <w:lang w:eastAsia="zh-CN"/>
        </w:rPr>
        <w:t>东莞市第十三高级中学便学食品销售部货物配送服务项目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GDZT2024141C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Cs w:val="21"/>
          <w:highlight w:val="none"/>
        </w:rPr>
        <w:t>；</w:t>
      </w:r>
    </w:p>
    <w:p>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预算金额：</w:t>
      </w:r>
      <w:r>
        <w:rPr>
          <w:rFonts w:hint="eastAsia" w:ascii="宋体" w:hAnsi="宋体"/>
          <w:color w:val="auto"/>
          <w:szCs w:val="21"/>
          <w:highlight w:val="none"/>
          <w:lang w:val="en-US" w:eastAsia="zh-CN"/>
        </w:rPr>
        <w:t>10,2</w:t>
      </w:r>
      <w:r>
        <w:rPr>
          <w:rFonts w:hint="eastAsia" w:ascii="宋体" w:hAnsi="宋体"/>
          <w:color w:val="auto"/>
          <w:szCs w:val="21"/>
          <w:highlight w:val="none"/>
        </w:rPr>
        <w:t>00</w:t>
      </w:r>
      <w:r>
        <w:rPr>
          <w:rFonts w:hint="eastAsia" w:ascii="宋体" w:hAnsi="宋体"/>
          <w:color w:val="auto"/>
          <w:szCs w:val="21"/>
          <w:highlight w:val="none"/>
          <w:lang w:val="en-US" w:eastAsia="zh-CN"/>
        </w:rPr>
        <w:t>,</w:t>
      </w:r>
      <w:r>
        <w:rPr>
          <w:rFonts w:hint="eastAsia" w:ascii="宋体" w:hAnsi="宋体"/>
          <w:color w:val="auto"/>
          <w:szCs w:val="21"/>
          <w:highlight w:val="none"/>
        </w:rPr>
        <w:t>000.00元</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、项目内容：</w:t>
      </w:r>
    </w:p>
    <w:tbl>
      <w:tblPr>
        <w:tblStyle w:val="30"/>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2"/>
        <w:gridCol w:w="3300"/>
        <w:gridCol w:w="1134"/>
        <w:gridCol w:w="981"/>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dxa"/>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包号</w:t>
            </w:r>
          </w:p>
        </w:tc>
        <w:tc>
          <w:tcPr>
            <w:tcW w:w="3300"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134"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lang w:val="en-US" w:eastAsia="zh-CN"/>
              </w:rPr>
              <w:t>采购</w:t>
            </w:r>
            <w:r>
              <w:rPr>
                <w:rFonts w:hint="eastAsia" w:ascii="宋体" w:hAnsi="宋体"/>
                <w:color w:val="auto"/>
                <w:szCs w:val="21"/>
                <w:highlight w:val="none"/>
              </w:rPr>
              <w:t>数量</w:t>
            </w:r>
          </w:p>
        </w:tc>
        <w:tc>
          <w:tcPr>
            <w:tcW w:w="981" w:type="dxa"/>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97" w:type="dxa"/>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采购包</w:t>
            </w:r>
            <w:r>
              <w:rPr>
                <w:rFonts w:hint="eastAsia" w:ascii="宋体" w:hAnsi="宋体" w:cs="宋体"/>
                <w:color w:val="auto"/>
                <w:szCs w:val="21"/>
                <w:highlight w:val="none"/>
              </w:rPr>
              <w:t>1</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内的食品日用品类（含常温乳制品、饮用水、饮料、生活用品等其他</w:t>
            </w:r>
            <w:r>
              <w:rPr>
                <w:rFonts w:hint="eastAsia" w:ascii="宋体" w:hAnsi="宋体"/>
                <w:color w:val="auto"/>
                <w:sz w:val="22"/>
                <w:highlight w:val="none"/>
                <w:lang w:eastAsia="zh-CN"/>
              </w:rPr>
              <w:t>便学食品销售部</w:t>
            </w:r>
            <w:r>
              <w:rPr>
                <w:rFonts w:hint="eastAsia" w:ascii="宋体" w:hAnsi="宋体"/>
                <w:color w:val="auto"/>
                <w:sz w:val="22"/>
                <w:highlight w:val="none"/>
              </w:rPr>
              <w:t>出售的产品）</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restar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1597" w:type="dxa"/>
            <w:noWrap/>
            <w:tcMar>
              <w:top w:w="15" w:type="dxa"/>
              <w:left w:w="15" w:type="dxa"/>
              <w:right w:w="15" w:type="dxa"/>
            </w:tcMar>
            <w:vAlign w:val="center"/>
          </w:tcPr>
          <w:p>
            <w:pPr>
              <w:spacing w:line="240" w:lineRule="auto"/>
              <w:jc w:val="center"/>
              <w:textAlignment w:val="center"/>
              <w:rPr>
                <w:rFonts w:hint="eastAsia" w:ascii="宋体" w:hAnsi="宋体"/>
                <w:color w:val="auto"/>
                <w:szCs w:val="21"/>
                <w:highlight w:val="none"/>
                <w:lang w:val="en-US" w:eastAsia="zh-CN"/>
              </w:rPr>
            </w:pPr>
            <w:r>
              <w:rPr>
                <w:rFonts w:hint="eastAsia" w:ascii="宋体" w:hAnsi="宋体"/>
                <w:b w:val="0"/>
                <w:bCs w:val="0"/>
                <w:color w:val="auto"/>
                <w:szCs w:val="21"/>
                <w:highlight w:val="none"/>
                <w:u w:val="none"/>
                <w:lang w:val="en-US" w:eastAsia="zh-CN"/>
              </w:rPr>
              <w:t>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采购包2</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内的短保质期（3天内）面包类</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continue"/>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p>
        </w:tc>
        <w:tc>
          <w:tcPr>
            <w:tcW w:w="1597" w:type="dxa"/>
            <w:noWrap/>
            <w:tcMar>
              <w:top w:w="15" w:type="dxa"/>
              <w:left w:w="15" w:type="dxa"/>
              <w:right w:w="15" w:type="dxa"/>
            </w:tcMar>
            <w:vAlign w:val="center"/>
          </w:tcPr>
          <w:p>
            <w:pPr>
              <w:spacing w:line="240" w:lineRule="auto"/>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采购包3</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内的低温乳制品（自动售卖机）</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continue"/>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lang w:val="en-US" w:eastAsia="zh-CN"/>
              </w:rPr>
            </w:pPr>
          </w:p>
        </w:tc>
        <w:tc>
          <w:tcPr>
            <w:tcW w:w="1597" w:type="dxa"/>
            <w:noWrap/>
            <w:tcMar>
              <w:top w:w="15" w:type="dxa"/>
              <w:left w:w="15" w:type="dxa"/>
              <w:right w:w="15" w:type="dxa"/>
            </w:tcMar>
            <w:vAlign w:val="center"/>
          </w:tcPr>
          <w:p>
            <w:pPr>
              <w:spacing w:line="240" w:lineRule="auto"/>
              <w:jc w:val="center"/>
              <w:textAlignment w:val="center"/>
              <w:rPr>
                <w:rFonts w:hint="default" w:ascii="宋体" w:hAnsi="宋体"/>
                <w:b w:val="0"/>
                <w:bCs w:val="0"/>
                <w:color w:val="auto"/>
                <w:szCs w:val="21"/>
                <w:highlight w:val="none"/>
                <w:u w:val="none"/>
                <w:lang w:val="en-US" w:eastAsia="zh-CN"/>
              </w:rPr>
            </w:pPr>
            <w:r>
              <w:rPr>
                <w:rFonts w:hint="eastAsia" w:ascii="宋体" w:hAnsi="宋体"/>
                <w:b w:val="0"/>
                <w:bCs w:val="0"/>
                <w:color w:val="auto"/>
                <w:szCs w:val="21"/>
                <w:highlight w:val="none"/>
                <w:u w:val="none"/>
                <w:lang w:val="en-US" w:eastAsia="zh-CN"/>
              </w:rPr>
              <w:t>1,800,000.00</w:t>
            </w:r>
          </w:p>
        </w:tc>
      </w:tr>
    </w:tbl>
    <w:p>
      <w:pPr>
        <w:pStyle w:val="11"/>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val="en-US" w:eastAsia="zh-CN"/>
        </w:rPr>
        <w:t>梁先生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bookmarkStart w:id="395" w:name="_GoBack"/>
      <w:bookmarkEnd w:id="395"/>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采购人联系人：罗老师</w:t>
      </w:r>
      <w:r>
        <w:rPr>
          <w:rFonts w:hint="eastAsia" w:ascii="宋体" w:hAnsi="宋体"/>
          <w:bCs/>
          <w:color w:val="auto"/>
          <w:szCs w:val="21"/>
          <w:highlight w:val="none"/>
          <w:lang w:val="en-US" w:eastAsia="zh-CN"/>
        </w:rPr>
        <w:t xml:space="preserve"> </w:t>
      </w:r>
    </w:p>
    <w:p>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 xml:space="preserve"> 东莞大朗镇美景中路313号</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color w:val="auto"/>
          <w:szCs w:val="21"/>
          <w:highlight w:val="none"/>
          <w:lang w:val="en-US" w:eastAsia="zh-CN"/>
        </w:rPr>
        <w:t>0769-83112348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11"/>
        <w:rPr>
          <w:color w:val="auto"/>
          <w:sz w:val="21"/>
          <w:szCs w:val="21"/>
          <w:highlight w:val="none"/>
        </w:rPr>
      </w:pPr>
    </w:p>
    <w:p>
      <w:pPr>
        <w:rPr>
          <w:rFonts w:hint="eastAsia"/>
          <w:color w:val="auto"/>
          <w:sz w:val="28"/>
          <w:szCs w:val="28"/>
          <w:highlight w:val="none"/>
        </w:rPr>
      </w:pPr>
      <w:bookmarkStart w:id="5" w:name="_Toc28550"/>
      <w:r>
        <w:rPr>
          <w:rFonts w:hint="eastAsia"/>
          <w:color w:val="auto"/>
          <w:sz w:val="28"/>
          <w:szCs w:val="28"/>
          <w:highlight w:val="none"/>
        </w:rPr>
        <w:br w:type="page"/>
      </w:r>
    </w:p>
    <w:p>
      <w:pPr>
        <w:pStyle w:val="4"/>
        <w:spacing w:before="0" w:after="0" w:line="240" w:lineRule="auto"/>
        <w:rPr>
          <w:color w:val="auto"/>
          <w:sz w:val="28"/>
          <w:szCs w:val="28"/>
          <w:highlight w:val="none"/>
        </w:rPr>
      </w:pPr>
      <w:bookmarkStart w:id="6" w:name="_Toc25832"/>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7</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hint="eastAsia" w:ascii="宋体" w:hAnsi="宋体"/>
                <w:color w:val="auto"/>
                <w:szCs w:val="21"/>
                <w:highlight w:val="none"/>
              </w:rPr>
            </w:pPr>
            <w:r>
              <w:rPr>
                <w:rFonts w:hint="eastAsia" w:ascii="宋体" w:hAnsi="宋体" w:eastAsia="宋体"/>
                <w:b/>
                <w:color w:val="auto"/>
                <w:szCs w:val="21"/>
                <w:highlight w:val="none"/>
              </w:rPr>
              <w:t>项目兼投不兼中规则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hint="eastAsia" w:ascii="宋体" w:hAnsi="宋体"/>
                <w:color w:val="auto"/>
                <w:szCs w:val="21"/>
                <w:highlight w:val="none"/>
              </w:rPr>
            </w:pPr>
            <w:r>
              <w:rPr>
                <w:rFonts w:hint="eastAsia" w:ascii="宋体" w:hAnsi="宋体"/>
                <w:color w:val="auto"/>
                <w:szCs w:val="21"/>
                <w:highlight w:val="none"/>
              </w:rPr>
              <w:t>本项目兼投不兼中。每个投标人最多只能被确定为1个子包的第一中标候选人。本项目采购包(1、2</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rPr>
              <w:t>)的顺序进行评审，依次按照评标总得分由高到低的顺序，每包组推荐三名中标候选人。已获得采购包1的第一中标候选人资格的，将不具有采购包2的候选人推荐资格；采购包2从具有中标候选人资格的投标人中，排名最高的投标供应商为第一中标候选人，排名次高的投标供应商为第二中标候选人，以此类推。</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hint="eastAsia" w:ascii="宋体" w:hAnsi="宋体" w:eastAsia="宋体"/>
                <w:b/>
                <w:color w:val="auto"/>
                <w:szCs w:val="21"/>
                <w:highlight w:val="none"/>
                <w:lang w:eastAsia="zh-CN"/>
              </w:rPr>
            </w:pPr>
            <w:r>
              <w:rPr>
                <w:rFonts w:hint="eastAsia" w:ascii="宋体" w:hAnsi="宋体"/>
                <w:color w:val="auto"/>
                <w:sz w:val="22"/>
                <w:highlight w:val="none"/>
              </w:rPr>
              <w:t>本项目无需缴纳履约保证金</w:t>
            </w:r>
            <w:r>
              <w:rPr>
                <w:rFonts w:hint="eastAsia" w:ascii="宋体" w:hAnsi="宋体"/>
                <w:color w:val="auto"/>
                <w:sz w:val="22"/>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（1）中标服务费参照国家计委[计价格[2002]1980号]文和国家发改委[发改价格[2011]534号]文及相关规定下浮20%向中标单位收取，按差额定率累进法计算，以预估总预算作为收费的计算参照。</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1"/>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4"/>
        <w:spacing w:before="0" w:after="0" w:line="360" w:lineRule="auto"/>
        <w:rPr>
          <w:color w:val="auto"/>
          <w:highlight w:val="none"/>
        </w:rPr>
      </w:pPr>
      <w:bookmarkStart w:id="8" w:name="_Toc2106"/>
      <w:bookmarkStart w:id="9" w:name="_Toc13473"/>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eastAsia="宋体" w:cs="宋体"/>
          <w:color w:val="auto"/>
          <w:sz w:val="24"/>
          <w:szCs w:val="24"/>
          <w:highlight w:val="none"/>
          <w:lang w:val="en-US" w:eastAsia="zh-CN"/>
        </w:rPr>
      </w:pPr>
      <w:bookmarkStart w:id="15" w:name="_Toc18413"/>
      <w:bookmarkStart w:id="16" w:name="_Toc32569"/>
      <w:r>
        <w:rPr>
          <w:rFonts w:hint="eastAsia" w:ascii="宋体" w:hAnsi="宋体" w:cs="宋体"/>
          <w:color w:val="auto"/>
          <w:sz w:val="24"/>
          <w:szCs w:val="24"/>
          <w:highlight w:val="none"/>
        </w:rPr>
        <w:t>价格及商务技术评分权重细则表</w:t>
      </w:r>
      <w:bookmarkEnd w:id="11"/>
      <w:bookmarkEnd w:id="15"/>
      <w:r>
        <w:rPr>
          <w:rFonts w:hint="eastAsia" w:ascii="宋体" w:hAnsi="宋体" w:cs="宋体"/>
          <w:color w:val="auto"/>
          <w:sz w:val="24"/>
          <w:szCs w:val="24"/>
          <w:highlight w:val="none"/>
        </w:rPr>
        <w:t>（适用于所有包组)</w:t>
      </w:r>
      <w:bookmarkEnd w:id="16"/>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9685"/>
            <w:bookmarkStart w:id="18" w:name="_Toc2479"/>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项目</w:t>
            </w:r>
            <w:r>
              <w:rPr>
                <w:rFonts w:hint="eastAsia" w:asci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投标人承接的项目业绩包含对应采购包配送服务内容的，每提供一个业绩得</w:t>
            </w:r>
            <w:r>
              <w:rPr>
                <w:rFonts w:hint="eastAsia" w:ascii="宋体" w:hAnsi="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lang w:val="zh-CN"/>
              </w:rPr>
              <w:t>分，本项最高得</w:t>
            </w:r>
            <w:r>
              <w:rPr>
                <w:rFonts w:hint="eastAsia" w:ascii="宋体" w:hAnsi="宋体" w:cs="宋体"/>
                <w:bCs/>
                <w:color w:val="auto"/>
                <w:kern w:val="2"/>
                <w:sz w:val="21"/>
                <w:szCs w:val="21"/>
                <w:highlight w:val="none"/>
                <w:lang w:val="en-US" w:eastAsia="zh-CN"/>
              </w:rPr>
              <w:t>20</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注：</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①对应采购包配送服务内容：</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采购包号</w:t>
                  </w:r>
                </w:p>
              </w:tc>
              <w:tc>
                <w:tcPr>
                  <w:tcW w:w="3714" w:type="pct"/>
                </w:tcPr>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b w:val="0"/>
                      <w:bCs w:val="0"/>
                      <w:color w:val="auto"/>
                      <w:sz w:val="21"/>
                      <w:szCs w:val="21"/>
                      <w:highlight w:val="none"/>
                      <w:lang w:eastAsia="zh-CN"/>
                    </w:rPr>
                  </w:pPr>
                  <w:r>
                    <w:rPr>
                      <w:rFonts w:hint="eastAsia" w:ascii="宋体" w:hAnsi="宋体" w:eastAsia="宋体" w:cs="Times New Roman"/>
                      <w:b w:val="0"/>
                      <w:bCs w:val="0"/>
                      <w:color w:val="auto"/>
                      <w:sz w:val="21"/>
                      <w:szCs w:val="21"/>
                      <w:highlight w:val="none"/>
                      <w:vertAlign w:val="baseline"/>
                      <w:lang w:val="en-US" w:eastAsia="zh-CN" w:bidi="ar-SA"/>
                    </w:rPr>
                    <w:t>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1</w:t>
                  </w:r>
                </w:p>
              </w:tc>
              <w:tc>
                <w:tcPr>
                  <w:tcW w:w="3714" w:type="pct"/>
                  <w:vAlign w:val="center"/>
                </w:tcPr>
                <w:p>
                  <w:pPr>
                    <w:spacing w:line="240" w:lineRule="auto"/>
                    <w:jc w:val="center"/>
                    <w:textAlignment w:val="center"/>
                    <w:rPr>
                      <w:rFonts w:hint="eastAsia" w:ascii="宋体" w:hAnsi="宋体"/>
                      <w:color w:val="auto"/>
                      <w:sz w:val="22"/>
                      <w:highlight w:val="none"/>
                    </w:rPr>
                  </w:pPr>
                  <w:r>
                    <w:rPr>
                      <w:rFonts w:hint="eastAsia" w:ascii="宋体" w:hAnsi="宋体"/>
                      <w:color w:val="auto"/>
                      <w:sz w:val="22"/>
                      <w:highlight w:val="none"/>
                    </w:rPr>
                    <w:t>食品日用品类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2</w:t>
                  </w:r>
                </w:p>
              </w:tc>
              <w:tc>
                <w:tcPr>
                  <w:tcW w:w="3714" w:type="pct"/>
                  <w:vAlign w:val="center"/>
                </w:tcPr>
                <w:p>
                  <w:pPr>
                    <w:spacing w:line="240" w:lineRule="auto"/>
                    <w:jc w:val="center"/>
                    <w:textAlignment w:val="center"/>
                    <w:rPr>
                      <w:rFonts w:hint="eastAsia" w:ascii="宋体" w:hAnsi="宋体" w:eastAsia="宋体" w:cs="Times New Roman"/>
                      <w:b w:val="0"/>
                      <w:bCs w:val="0"/>
                      <w:color w:val="auto"/>
                      <w:sz w:val="21"/>
                      <w:szCs w:val="21"/>
                      <w:highlight w:val="none"/>
                      <w:vertAlign w:val="baseline"/>
                      <w:lang w:val="en-US" w:eastAsia="zh-CN" w:bidi="ar-SA"/>
                    </w:rPr>
                  </w:pPr>
                  <w:r>
                    <w:rPr>
                      <w:rFonts w:hint="eastAsia" w:ascii="宋体" w:hAnsi="宋体"/>
                      <w:color w:val="auto"/>
                      <w:sz w:val="22"/>
                      <w:highlight w:val="none"/>
                    </w:rPr>
                    <w:t>面包类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3</w:t>
                  </w:r>
                </w:p>
              </w:tc>
              <w:tc>
                <w:tcPr>
                  <w:tcW w:w="3714" w:type="pct"/>
                  <w:vAlign w:val="center"/>
                </w:tcPr>
                <w:p>
                  <w:pPr>
                    <w:spacing w:line="240" w:lineRule="auto"/>
                    <w:jc w:val="center"/>
                    <w:textAlignment w:val="center"/>
                    <w:rPr>
                      <w:rFonts w:hint="eastAsia" w:ascii="宋体" w:hAnsi="宋体" w:eastAsia="宋体" w:cs="Times New Roman"/>
                      <w:b w:val="0"/>
                      <w:bCs w:val="0"/>
                      <w:color w:val="auto"/>
                      <w:sz w:val="21"/>
                      <w:szCs w:val="21"/>
                      <w:highlight w:val="none"/>
                      <w:vertAlign w:val="baseline"/>
                      <w:lang w:val="en-US" w:eastAsia="zh-CN" w:bidi="ar-SA"/>
                    </w:rPr>
                  </w:pPr>
                  <w:r>
                    <w:rPr>
                      <w:rFonts w:hint="eastAsia" w:ascii="宋体" w:hAnsi="宋体"/>
                      <w:color w:val="auto"/>
                      <w:sz w:val="22"/>
                      <w:highlight w:val="none"/>
                    </w:rPr>
                    <w:t>低温乳制品（自动售卖机）</w:t>
                  </w:r>
                </w:p>
              </w:tc>
            </w:tr>
          </w:tbl>
          <w:p>
            <w:pPr>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zh-CN"/>
              </w:rPr>
              <w:t>②须提供合同复印件并加盖公章，提供的合同复印件不全、不清晰、未提供或无法判断内容的，不得分</w:t>
            </w:r>
            <w:r>
              <w:rPr>
                <w:rFonts w:hint="eastAsia" w:ascii="宋体" w:hAnsi="宋体" w:cs="宋体"/>
                <w:bCs/>
                <w:color w:val="auto"/>
                <w:kern w:val="2"/>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eastAsia="宋体" w:cs="宋体"/>
                <w:color w:val="auto"/>
                <w:sz w:val="21"/>
                <w:szCs w:val="21"/>
                <w:highlight w:val="none"/>
                <w:lang w:eastAsia="zh-CN"/>
              </w:rPr>
              <w:t>运输配送能力</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根据</w:t>
            </w:r>
            <w:r>
              <w:rPr>
                <w:rFonts w:hint="eastAsia" w:ascii="宋体" w:hAnsi="宋体" w:eastAsia="宋体" w:cs="宋体"/>
                <w:bCs/>
                <w:color w:val="auto"/>
                <w:sz w:val="21"/>
                <w:szCs w:val="21"/>
                <w:highlight w:val="none"/>
                <w:lang w:val="pt-BR"/>
              </w:rPr>
              <w:t>投标人为本项目拟投入的配送车辆情况</w:t>
            </w:r>
            <w:r>
              <w:rPr>
                <w:rFonts w:hint="eastAsia" w:ascii="宋体" w:hAnsi="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pt-BR"/>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每提供一辆自有或租赁的配送车辆，得</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pt-BR"/>
              </w:rPr>
              <w:t>分，</w:t>
            </w:r>
            <w:r>
              <w:rPr>
                <w:rFonts w:hint="eastAsia" w:ascii="宋体" w:hAnsi="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pt-BR"/>
              </w:rPr>
              <w:t>最高得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 xml:space="preserve"> </w:t>
            </w:r>
            <w:r>
              <w:rPr>
                <w:rFonts w:hint="eastAsia" w:ascii="宋体" w:hAnsi="宋体" w:eastAsia="宋体" w:cs="宋体"/>
                <w:color w:val="auto"/>
                <w:sz w:val="21"/>
                <w:szCs w:val="21"/>
                <w:highlight w:val="none"/>
                <w:lang w:val="zh-CN"/>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若车辆为自有的，</w:t>
            </w:r>
            <w:r>
              <w:rPr>
                <w:rFonts w:hint="eastAsia" w:ascii="宋体" w:hAnsi="宋体" w:eastAsia="宋体" w:cs="宋体"/>
                <w:color w:val="auto"/>
                <w:sz w:val="21"/>
                <w:szCs w:val="21"/>
                <w:highlight w:val="none"/>
                <w:lang w:val="zh-CN"/>
              </w:rPr>
              <w:t>须提供清晰车辆照片、</w:t>
            </w:r>
            <w:r>
              <w:rPr>
                <w:rFonts w:hint="eastAsia" w:ascii="宋体" w:hAnsi="宋体" w:eastAsia="宋体" w:cs="宋体"/>
                <w:color w:val="auto"/>
                <w:sz w:val="21"/>
                <w:szCs w:val="21"/>
                <w:highlight w:val="none"/>
                <w:lang w:val="en-US" w:eastAsia="zh-CN"/>
              </w:rPr>
              <w:t>车辆购置发票、</w:t>
            </w:r>
            <w:r>
              <w:rPr>
                <w:rFonts w:hint="eastAsia" w:ascii="宋体" w:hAnsi="宋体" w:eastAsia="宋体" w:cs="宋体"/>
                <w:color w:val="auto"/>
                <w:sz w:val="21"/>
                <w:szCs w:val="21"/>
                <w:highlight w:val="none"/>
                <w:lang w:val="zh-CN"/>
              </w:rPr>
              <w:t>有效的车辆行驶证复印件加盖投标人公章，</w:t>
            </w:r>
            <w:r>
              <w:rPr>
                <w:rFonts w:hint="eastAsia" w:ascii="宋体" w:hAnsi="宋体" w:eastAsia="宋体" w:cs="宋体"/>
                <w:color w:val="auto"/>
                <w:sz w:val="21"/>
                <w:szCs w:val="21"/>
                <w:highlight w:val="none"/>
              </w:rPr>
              <w:t>否则不得分</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若车辆为租赁的，</w:t>
            </w:r>
            <w:r>
              <w:rPr>
                <w:rFonts w:hint="eastAsia" w:ascii="宋体" w:hAnsi="宋体" w:eastAsia="宋体" w:cs="宋体"/>
                <w:color w:val="auto"/>
                <w:sz w:val="21"/>
                <w:szCs w:val="21"/>
                <w:highlight w:val="none"/>
                <w:lang w:val="zh-CN"/>
              </w:rPr>
              <w:t>须提供清晰车辆照片、有效的车辆行驶证</w:t>
            </w:r>
            <w:r>
              <w:rPr>
                <w:rFonts w:hint="eastAsia" w:ascii="宋体" w:hAnsi="宋体" w:eastAsia="宋体" w:cs="宋体"/>
                <w:color w:val="auto"/>
                <w:sz w:val="21"/>
                <w:szCs w:val="21"/>
                <w:highlight w:val="none"/>
                <w:lang w:val="en-US" w:eastAsia="zh-CN"/>
              </w:rPr>
              <w:t>及租赁合同</w:t>
            </w:r>
            <w:r>
              <w:rPr>
                <w:rFonts w:hint="eastAsia" w:ascii="宋体" w:hAnsi="宋体" w:eastAsia="宋体" w:cs="宋体"/>
                <w:color w:val="auto"/>
                <w:sz w:val="21"/>
                <w:szCs w:val="21"/>
                <w:highlight w:val="none"/>
                <w:lang w:val="zh-CN"/>
              </w:rPr>
              <w:t>复印件加盖投标人公章，</w:t>
            </w:r>
            <w:r>
              <w:rPr>
                <w:rFonts w:hint="eastAsia" w:ascii="宋体" w:hAnsi="宋体" w:eastAsia="宋体" w:cs="宋体"/>
                <w:color w:val="auto"/>
                <w:sz w:val="21"/>
                <w:szCs w:val="21"/>
                <w:highlight w:val="none"/>
              </w:rPr>
              <w:t>否则不得分</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总体实施方案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根据投标人拟为本项目制定总体实施方案各方面内容方案【包括不限于1、货品运送能否达到用户需求的要求；2、配送时效是否能满足</w:t>
            </w:r>
            <w:r>
              <w:rPr>
                <w:rFonts w:hint="eastAsia" w:ascii="宋体" w:hAnsi="宋体" w:cs="宋体"/>
                <w:bCs/>
                <w:color w:val="auto"/>
                <w:sz w:val="21"/>
                <w:szCs w:val="21"/>
                <w:highlight w:val="none"/>
                <w:lang w:eastAsia="zh-CN"/>
              </w:rPr>
              <w:t>采购人</w:t>
            </w:r>
            <w:r>
              <w:rPr>
                <w:rFonts w:hint="eastAsia" w:ascii="宋体" w:hAnsi="宋体" w:eastAsia="宋体" w:cs="宋体"/>
                <w:bCs/>
                <w:color w:val="auto"/>
                <w:sz w:val="21"/>
                <w:szCs w:val="21"/>
                <w:highlight w:val="none"/>
              </w:rPr>
              <w:t>需求；3、各种规章制度是否完善（包括但不限于供应商管理制度、卫生管理制度、质量管理制度、服务管理制服）】进行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sz w:val="21"/>
                <w:szCs w:val="21"/>
                <w:highlight w:val="none"/>
              </w:rPr>
              <w:t xml:space="preserve">评审：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运输方案描述清晰明确、有条理，运输工具、货品容器具有非常规范的消毒要求及频次，有完善的装卸及运输保障措施能确保货品装卸及运输过程完好无损；配送时效优于或完全满足用户需求；具有完善的规章制度，各项规章制度均建立健全，且非常科学合理，可行性高的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运输方案描述清晰，运输工具、货品容器有规范的消毒要求及频次，有装卸及运输保障措施，货品装卸及运输确保无损伤；配送时效基本满足采购需求；具备相对完善的规章制度但并不健全，可行性一般的得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有简单的运输方案描述，相关运输工具、货品容器的消毒规范度一般，未能提供行之有效的装卸及运输保障措施，无法保障货品装卸及运输过程无损伤；配送时效未能满足采购需求；各项规章制度有缺失，可行性较差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食品安全质量保障方案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根据投标人所提供的食品安全质量保障方案（包括不限于产品组织、加工、储存、检验、理货、善后处理等环节的管理和保障机制）进行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sz w:val="21"/>
                <w:szCs w:val="21"/>
                <w:highlight w:val="none"/>
                <w:lang w:val="zh-CN"/>
              </w:rPr>
              <w:t xml:space="preserve">评审：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（1）</w:t>
            </w:r>
            <w:r>
              <w:rPr>
                <w:rFonts w:hint="eastAsia" w:ascii="宋体" w:hAnsi="宋体" w:eastAsia="宋体" w:cs="宋体"/>
                <w:bCs/>
                <w:color w:val="auto"/>
                <w:sz w:val="21"/>
                <w:szCs w:val="21"/>
                <w:highlight w:val="none"/>
                <w:lang w:val="zh-CN"/>
              </w:rPr>
              <w:t>食品安全质量保障方案详尽完善，各个环节的管理和保障机制均具备，方案表述清晰明确，有条理，并能根据项目性质或用户需求提出合理可行的建议的得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（2）</w:t>
            </w:r>
            <w:r>
              <w:rPr>
                <w:rFonts w:hint="eastAsia" w:ascii="宋体" w:hAnsi="宋体" w:eastAsia="宋体" w:cs="宋体"/>
                <w:bCs/>
                <w:color w:val="auto"/>
                <w:sz w:val="21"/>
                <w:szCs w:val="21"/>
                <w:highlight w:val="none"/>
                <w:lang w:val="zh-CN"/>
              </w:rPr>
              <w:t>食品安全质量保障方案相对完善，能提供大部分环节的管理和保障机制，方案表述清晰，有一定的条理性的得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（3）</w:t>
            </w:r>
            <w:r>
              <w:rPr>
                <w:rFonts w:hint="eastAsia" w:ascii="宋体" w:hAnsi="宋体" w:eastAsia="宋体" w:cs="宋体"/>
                <w:bCs/>
                <w:color w:val="auto"/>
                <w:sz w:val="21"/>
                <w:szCs w:val="21"/>
                <w:highlight w:val="none"/>
                <w:lang w:val="zh-CN"/>
              </w:rPr>
              <w:t>食品安全质量保障方案简略，各环节管理和保障机制内容有所缺漏，方案表述不清晰，条理性一般的得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（4）</w:t>
            </w:r>
            <w:r>
              <w:rPr>
                <w:rFonts w:hint="eastAsia" w:ascii="宋体" w:hAnsi="宋体" w:eastAsia="宋体" w:cs="宋体"/>
                <w:bCs/>
                <w:color w:val="auto"/>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应急处理方案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根据投标人针对</w:t>
            </w:r>
            <w:r>
              <w:rPr>
                <w:rFonts w:hint="eastAsia" w:ascii="宋体" w:hAnsi="宋体" w:cs="宋体"/>
                <w:bCs/>
                <w:color w:val="auto"/>
                <w:sz w:val="21"/>
                <w:szCs w:val="21"/>
                <w:highlight w:val="none"/>
                <w:lang w:val="zh-CN"/>
              </w:rPr>
              <w:t>食品</w:t>
            </w:r>
            <w:r>
              <w:rPr>
                <w:rFonts w:hint="eastAsia" w:ascii="宋体" w:hAnsi="宋体" w:eastAsia="宋体" w:cs="宋体"/>
                <w:bCs/>
                <w:color w:val="auto"/>
                <w:sz w:val="21"/>
                <w:szCs w:val="21"/>
                <w:highlight w:val="none"/>
                <w:lang w:val="zh-CN"/>
              </w:rPr>
              <w:t>流通和使用环节可能会出现的问题（包括但不限于如仓储达不到标准致使</w:t>
            </w:r>
            <w:r>
              <w:rPr>
                <w:rFonts w:hint="eastAsia" w:ascii="宋体" w:hAnsi="宋体" w:cs="宋体"/>
                <w:bCs/>
                <w:color w:val="auto"/>
                <w:sz w:val="21"/>
                <w:szCs w:val="21"/>
                <w:highlight w:val="none"/>
                <w:lang w:val="zh-CN"/>
              </w:rPr>
              <w:t>食品</w:t>
            </w:r>
            <w:r>
              <w:rPr>
                <w:rFonts w:hint="eastAsia" w:ascii="宋体" w:hAnsi="宋体" w:eastAsia="宋体" w:cs="宋体"/>
                <w:bCs/>
                <w:color w:val="auto"/>
                <w:sz w:val="21"/>
                <w:szCs w:val="21"/>
                <w:highlight w:val="none"/>
                <w:lang w:val="zh-CN"/>
              </w:rPr>
              <w:t>变得不合格，错送、验收或使用时发现</w:t>
            </w:r>
            <w:r>
              <w:rPr>
                <w:rFonts w:hint="eastAsia" w:ascii="宋体" w:hAnsi="宋体" w:cs="宋体"/>
                <w:bCs/>
                <w:color w:val="auto"/>
                <w:sz w:val="21"/>
                <w:szCs w:val="21"/>
                <w:highlight w:val="none"/>
                <w:lang w:val="zh-CN"/>
              </w:rPr>
              <w:t>食品</w:t>
            </w:r>
            <w:r>
              <w:rPr>
                <w:rFonts w:hint="eastAsia" w:ascii="宋体" w:hAnsi="宋体" w:eastAsia="宋体" w:cs="宋体"/>
                <w:bCs/>
                <w:color w:val="auto"/>
                <w:sz w:val="21"/>
                <w:szCs w:val="21"/>
                <w:highlight w:val="none"/>
                <w:lang w:val="zh-CN"/>
              </w:rPr>
              <w:t>质量不达标等）的具体方案内容进行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sz w:val="21"/>
                <w:szCs w:val="21"/>
                <w:highlight w:val="none"/>
                <w:lang w:val="zh-CN"/>
              </w:rPr>
              <w:t xml:space="preserve">评审：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（1）</w:t>
            </w:r>
            <w:r>
              <w:rPr>
                <w:rFonts w:hint="eastAsia" w:ascii="宋体" w:hAnsi="宋体" w:eastAsia="宋体" w:cs="宋体"/>
                <w:bCs/>
                <w:color w:val="auto"/>
                <w:sz w:val="21"/>
                <w:szCs w:val="21"/>
                <w:highlight w:val="none"/>
                <w:lang w:val="zh-CN"/>
              </w:rPr>
              <w:t>针对</w:t>
            </w:r>
            <w:r>
              <w:rPr>
                <w:rFonts w:hint="eastAsia" w:ascii="宋体" w:hAnsi="宋体" w:cs="宋体"/>
                <w:bCs/>
                <w:color w:val="auto"/>
                <w:sz w:val="21"/>
                <w:szCs w:val="21"/>
                <w:highlight w:val="none"/>
                <w:lang w:val="zh-CN"/>
              </w:rPr>
              <w:t>食品</w:t>
            </w:r>
            <w:r>
              <w:rPr>
                <w:rFonts w:hint="eastAsia" w:ascii="宋体" w:hAnsi="宋体" w:eastAsia="宋体" w:cs="宋体"/>
                <w:bCs/>
                <w:color w:val="auto"/>
                <w:sz w:val="21"/>
                <w:szCs w:val="21"/>
                <w:highlight w:val="none"/>
                <w:lang w:val="zh-CN"/>
              </w:rPr>
              <w:t>流通和使用环节均可能出现的问题均有应对措施及相应的解决方案，应急预案考虑深入严谨、应急措施科学合理可行，具备完善的调换货制度，完全满足采购需求的得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（2）</w:t>
            </w:r>
            <w:r>
              <w:rPr>
                <w:rFonts w:hint="eastAsia" w:ascii="宋体" w:hAnsi="宋体" w:eastAsia="宋体" w:cs="宋体"/>
                <w:bCs/>
                <w:color w:val="auto"/>
                <w:sz w:val="21"/>
                <w:szCs w:val="21"/>
                <w:highlight w:val="none"/>
                <w:lang w:val="zh-CN"/>
              </w:rPr>
              <w:t>具有应急处理流程，但相关的解决方案并不完善，且缺乏针对性，基本满足采购需求的得</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（3）</w:t>
            </w:r>
            <w:r>
              <w:rPr>
                <w:rFonts w:hint="eastAsia" w:ascii="宋体" w:hAnsi="宋体" w:eastAsia="宋体" w:cs="宋体"/>
                <w:bCs/>
                <w:color w:val="auto"/>
                <w:sz w:val="21"/>
                <w:szCs w:val="21"/>
                <w:highlight w:val="none"/>
                <w:lang w:val="zh-CN"/>
              </w:rPr>
              <w:t>提供的应急处理方案简略、可行性较差的，部分符合采购需求的得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（4）</w:t>
            </w:r>
            <w:r>
              <w:rPr>
                <w:rFonts w:hint="eastAsia" w:ascii="宋体" w:hAnsi="宋体" w:eastAsia="宋体" w:cs="宋体"/>
                <w:bCs/>
                <w:color w:val="auto"/>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0" w:firstLineChars="0"/>
              <w:jc w:val="center"/>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投标人提供</w:t>
            </w:r>
            <w:r>
              <w:rPr>
                <w:rFonts w:hint="eastAsia" w:ascii="宋体" w:hAnsi="宋体" w:eastAsia="宋体" w:cs="宋体"/>
                <w:bCs/>
                <w:color w:val="auto"/>
                <w:kern w:val="2"/>
                <w:sz w:val="21"/>
                <w:szCs w:val="21"/>
                <w:highlight w:val="none"/>
                <w:lang w:val="zh-CN"/>
              </w:rPr>
              <w:t>的退换方案（包含：退换流程）及措施进行</w:t>
            </w:r>
            <w:r>
              <w:rPr>
                <w:rFonts w:hint="eastAsia" w:ascii="宋体" w:hAnsi="宋体" w:eastAsia="宋体" w:cs="宋体"/>
                <w:bCs/>
                <w:color w:val="auto"/>
                <w:kern w:val="2"/>
                <w:sz w:val="21"/>
                <w:szCs w:val="21"/>
                <w:highlight w:val="none"/>
                <w:lang w:val="en-US" w:eastAsia="zh-CN"/>
              </w:rPr>
              <w:t>综合评审</w:t>
            </w:r>
            <w:r>
              <w:rPr>
                <w:rFonts w:hint="eastAsia" w:ascii="宋体" w:hAnsi="宋体" w:eastAsia="宋体" w:cs="宋体"/>
                <w:bCs/>
                <w:color w:val="auto"/>
                <w:kern w:val="2"/>
                <w:sz w:val="21"/>
                <w:szCs w:val="21"/>
                <w:highlight w:val="none"/>
                <w:lang w:val="zh-CN"/>
              </w:rPr>
              <w:t>：</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1</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退换货方案全面、详细具体、流程科学（合理）、退换货周期快速，得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2</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退换货方案不够全面、简略一般、流程基本合理、退换货周期一般，得</w:t>
            </w:r>
            <w:r>
              <w:rPr>
                <w:rFonts w:hint="eastAsia" w:ascii="宋体" w:hAnsi="宋体" w:cs="宋体"/>
                <w:bCs/>
                <w:color w:val="auto"/>
                <w:kern w:val="2"/>
                <w:sz w:val="21"/>
                <w:szCs w:val="21"/>
                <w:highlight w:val="none"/>
                <w:lang w:val="en-US" w:eastAsia="zh-CN"/>
              </w:rPr>
              <w:t>7</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3</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退换货方案存在重大缺陷、流程具有重大漏洞的、退换货周期慢，得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售后服务承诺</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根据各投标人提供的售后服务承诺（包括但不限于专线售后服务管理方案，专人服务，专人跟踪、售后服务时间安排、其它服务承诺）进行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sz w:val="21"/>
                <w:szCs w:val="21"/>
                <w:highlight w:val="none"/>
              </w:rPr>
              <w:t xml:space="preserve">评审：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售后服务计划清晰明确、详细具体，售后服务人员组织架构完善、专业技术力量投入充足、服务人员组织安排及跟进处理流程详细具体合理，售后服务承诺各项内容均具备的得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售后服务计划明确具体，售后服务人员组织架构完善、专业技术力量投入充足、服务人员组织安排及跟进处理流程合理，售后服务方案各项内容未完全具备的得</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售后服务计划不太明确，售后服务人员组织架构不完善、技术人员组织安排及跟进处理流程不合理；售后服务方案各项内容有缺漏的得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11"/>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ind w:left="0" w:leftChars="0" w:firstLine="0" w:firstLineChars="0"/>
        <w:rPr>
          <w:rFonts w:hint="eastAsia"/>
          <w:color w:val="auto"/>
          <w:highlight w:val="none"/>
        </w:rPr>
      </w:pPr>
    </w:p>
    <w:p>
      <w:pPr>
        <w:pStyle w:val="29"/>
        <w:rPr>
          <w:rFonts w:hint="eastAsia"/>
          <w:color w:val="auto"/>
          <w:highlight w:val="none"/>
        </w:rPr>
      </w:pPr>
    </w:p>
    <w:p>
      <w:pPr>
        <w:rPr>
          <w:rFonts w:hint="eastAsia"/>
          <w:color w:val="auto"/>
          <w:sz w:val="28"/>
          <w:szCs w:val="28"/>
          <w:highlight w:val="none"/>
        </w:rPr>
      </w:pPr>
      <w:r>
        <w:rPr>
          <w:rFonts w:hint="eastAsia"/>
          <w:color w:val="auto"/>
          <w:sz w:val="28"/>
          <w:szCs w:val="28"/>
          <w:highlight w:val="none"/>
        </w:rPr>
        <w:br w:type="page"/>
      </w:r>
    </w:p>
    <w:p>
      <w:pPr>
        <w:pStyle w:val="4"/>
        <w:spacing w:before="0" w:after="0" w:line="240" w:lineRule="auto"/>
        <w:rPr>
          <w:color w:val="auto"/>
          <w:sz w:val="24"/>
          <w:szCs w:val="24"/>
          <w:highlight w:val="none"/>
        </w:rPr>
      </w:pPr>
      <w:bookmarkStart w:id="20" w:name="_Toc10952"/>
      <w:r>
        <w:rPr>
          <w:rFonts w:hint="eastAsia"/>
          <w:color w:val="auto"/>
          <w:sz w:val="28"/>
          <w:szCs w:val="28"/>
          <w:highlight w:val="none"/>
        </w:rPr>
        <w:t>第四部分 投标人须知</w:t>
      </w:r>
      <w:bookmarkEnd w:id="17"/>
      <w:bookmarkEnd w:id="18"/>
      <w:bookmarkEnd w:id="20"/>
    </w:p>
    <w:p>
      <w:pPr>
        <w:pStyle w:val="5"/>
        <w:spacing w:line="480" w:lineRule="auto"/>
        <w:jc w:val="center"/>
        <w:rPr>
          <w:rFonts w:ascii="宋体" w:hAnsi="宋体"/>
          <w:color w:val="auto"/>
          <w:highlight w:val="none"/>
        </w:rPr>
      </w:pPr>
      <w:bookmarkStart w:id="21" w:name="_Toc3095"/>
      <w:bookmarkStart w:id="22" w:name="_Toc7202"/>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15087"/>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2823"/>
      <w:r>
        <w:rPr>
          <w:rFonts w:hint="eastAsia" w:ascii="宋体" w:hAnsi="宋体"/>
          <w:color w:val="auto"/>
          <w:sz w:val="21"/>
          <w:szCs w:val="21"/>
          <w:highlight w:val="none"/>
        </w:rPr>
        <w:t>2.</w:t>
      </w:r>
      <w:bookmarkStart w:id="30" w:name="_Toc298847174"/>
      <w:bookmarkStart w:id="31" w:name="_Toc1530"/>
      <w:bookmarkStart w:id="32" w:name="_Toc382049092"/>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21779"/>
      <w:bookmarkStart w:id="36" w:name="_Toc9710"/>
      <w:r>
        <w:rPr>
          <w:rFonts w:hint="eastAsia" w:ascii="宋体" w:hAnsi="宋体"/>
          <w:color w:val="auto"/>
          <w:sz w:val="21"/>
          <w:szCs w:val="21"/>
          <w:highlight w:val="none"/>
        </w:rPr>
        <w:t>3.货物和服务</w:t>
      </w:r>
      <w:bookmarkEnd w:id="34"/>
      <w:bookmarkEnd w:id="35"/>
      <w:bookmarkEnd w:id="36"/>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3909"/>
      <w:bookmarkStart w:id="38" w:name="_Toc19013"/>
      <w:bookmarkStart w:id="39" w:name="_Toc15945"/>
      <w:r>
        <w:rPr>
          <w:rFonts w:hint="eastAsia" w:ascii="宋体" w:hAnsi="宋体"/>
          <w:color w:val="auto"/>
          <w:sz w:val="21"/>
          <w:szCs w:val="21"/>
          <w:highlight w:val="none"/>
        </w:rPr>
        <w:t>4.投标费用</w:t>
      </w:r>
      <w:bookmarkEnd w:id="37"/>
      <w:bookmarkEnd w:id="38"/>
      <w:bookmarkEnd w:id="39"/>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0686"/>
      <w:r>
        <w:rPr>
          <w:rFonts w:hint="eastAsia" w:ascii="宋体" w:hAnsi="宋体"/>
          <w:color w:val="auto"/>
          <w:sz w:val="21"/>
          <w:szCs w:val="21"/>
          <w:highlight w:val="none"/>
        </w:rPr>
        <w:t>5.知识产权</w:t>
      </w:r>
      <w:bookmarkEnd w:id="40"/>
      <w:bookmarkEnd w:id="41"/>
      <w:bookmarkEnd w:id="42"/>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279"/>
      <w:r>
        <w:rPr>
          <w:rFonts w:hint="eastAsia" w:ascii="宋体" w:hAnsi="宋体"/>
          <w:color w:val="auto"/>
          <w:sz w:val="21"/>
          <w:szCs w:val="21"/>
          <w:highlight w:val="none"/>
        </w:rPr>
        <w:t>6.关于联合体投标</w:t>
      </w:r>
      <w:bookmarkEnd w:id="43"/>
      <w:bookmarkEnd w:id="44"/>
      <w:bookmarkEnd w:id="4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8161"/>
      <w:bookmarkStart w:id="49" w:name="_Toc17879"/>
      <w:r>
        <w:rPr>
          <w:rFonts w:hint="eastAsia" w:ascii="宋体" w:hAnsi="宋体"/>
          <w:color w:val="auto"/>
          <w:sz w:val="21"/>
          <w:szCs w:val="21"/>
          <w:highlight w:val="none"/>
        </w:rPr>
        <w:t>7.关于分支机构投标</w:t>
      </w:r>
      <w:bookmarkEnd w:id="46"/>
      <w:bookmarkEnd w:id="47"/>
      <w:bookmarkEnd w:id="48"/>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6052"/>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21771"/>
      <w:bookmarkStart w:id="54" w:name="_Toc27897"/>
      <w:bookmarkStart w:id="55" w:name="_Toc13494"/>
      <w:r>
        <w:rPr>
          <w:rFonts w:hint="eastAsia" w:ascii="宋体" w:hAnsi="宋体"/>
          <w:color w:val="auto"/>
          <w:sz w:val="21"/>
          <w:szCs w:val="21"/>
          <w:highlight w:val="none"/>
        </w:rPr>
        <w:t>8.招标文件的组成</w:t>
      </w:r>
      <w:bookmarkEnd w:id="53"/>
      <w:bookmarkEnd w:id="54"/>
      <w:bookmarkEnd w:id="5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14217"/>
      <w:bookmarkStart w:id="58" w:name="_Toc6110"/>
      <w:r>
        <w:rPr>
          <w:rFonts w:hint="eastAsia" w:ascii="宋体" w:hAnsi="宋体"/>
          <w:color w:val="auto"/>
          <w:sz w:val="21"/>
          <w:szCs w:val="21"/>
          <w:highlight w:val="none"/>
        </w:rPr>
        <w:t>9.招标文件的澄清或修改</w:t>
      </w:r>
      <w:bookmarkEnd w:id="56"/>
      <w:bookmarkEnd w:id="57"/>
      <w:bookmarkEnd w:id="5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21235"/>
      <w:bookmarkStart w:id="60" w:name="_Toc23726"/>
      <w:bookmarkStart w:id="61" w:name="_Toc16712"/>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8092"/>
      <w:bookmarkStart w:id="63" w:name="_Toc31001"/>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12145"/>
      <w:bookmarkStart w:id="66" w:name="_Toc307934854"/>
      <w:bookmarkStart w:id="67" w:name="_Toc18999"/>
      <w:bookmarkStart w:id="68" w:name="_Toc8290"/>
      <w:bookmarkStart w:id="69" w:name="_Toc303084256"/>
      <w:bookmarkStart w:id="70" w:name="_Toc28866"/>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15752"/>
      <w:bookmarkStart w:id="74" w:name="_Toc30189"/>
      <w:r>
        <w:rPr>
          <w:rFonts w:hint="eastAsia" w:ascii="宋体" w:hAnsi="宋体"/>
          <w:color w:val="auto"/>
          <w:sz w:val="21"/>
          <w:szCs w:val="21"/>
          <w:highlight w:val="none"/>
        </w:rPr>
        <w:t>12.投标文件编制</w:t>
      </w:r>
      <w:bookmarkEnd w:id="72"/>
      <w:bookmarkEnd w:id="73"/>
      <w:bookmarkEnd w:id="74"/>
    </w:p>
    <w:p>
      <w:pPr>
        <w:pStyle w:val="41"/>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17188"/>
      <w:bookmarkStart w:id="77" w:name="_Toc259"/>
      <w:bookmarkStart w:id="78" w:name="_Toc19588"/>
      <w:r>
        <w:rPr>
          <w:rFonts w:hint="eastAsia" w:ascii="宋体" w:hAnsi="宋体"/>
          <w:color w:val="auto"/>
          <w:sz w:val="21"/>
          <w:szCs w:val="21"/>
          <w:highlight w:val="none"/>
        </w:rPr>
        <w:t>13.投标报价说明</w:t>
      </w:r>
      <w:bookmarkEnd w:id="76"/>
      <w:bookmarkEnd w:id="77"/>
      <w:bookmarkEnd w:id="7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996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1"/>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19520"/>
      <w:bookmarkStart w:id="85" w:name="_Toc22169"/>
      <w:bookmarkStart w:id="86" w:name="_Toc22859"/>
      <w:r>
        <w:rPr>
          <w:rFonts w:hint="eastAsia" w:ascii="宋体" w:hAnsi="宋体"/>
          <w:color w:val="auto"/>
          <w:sz w:val="21"/>
          <w:szCs w:val="21"/>
          <w:highlight w:val="none"/>
        </w:rPr>
        <w:t>15.★投标有效期</w:t>
      </w:r>
      <w:bookmarkEnd w:id="84"/>
      <w:bookmarkEnd w:id="85"/>
      <w:bookmarkEnd w:id="8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30257"/>
      <w:bookmarkStart w:id="88" w:name="_Toc12456"/>
      <w:bookmarkStart w:id="89" w:name="_Toc30575"/>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pPr>
        <w:pStyle w:val="41"/>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200"/>
      <w:bookmarkStart w:id="92" w:name="_Toc31124"/>
      <w:bookmarkStart w:id="93" w:name="_Toc20263"/>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3678"/>
      <w:bookmarkStart w:id="95" w:name="_Toc303084264"/>
      <w:bookmarkStart w:id="96" w:name="_Toc6727"/>
      <w:bookmarkStart w:id="97" w:name="_Toc24997"/>
      <w:bookmarkStart w:id="98" w:name="_Toc382049111"/>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8428"/>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16332"/>
      <w:bookmarkStart w:id="105" w:name="_Toc19649"/>
      <w:r>
        <w:rPr>
          <w:rFonts w:hint="eastAsia" w:ascii="宋体" w:hAnsi="宋体"/>
          <w:color w:val="auto"/>
          <w:sz w:val="21"/>
          <w:szCs w:val="21"/>
          <w:highlight w:val="none"/>
        </w:rPr>
        <w:t>19.投标样品（如需提交）</w:t>
      </w:r>
      <w:bookmarkEnd w:id="103"/>
      <w:bookmarkEnd w:id="104"/>
      <w:bookmarkEnd w:id="105"/>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03084265"/>
      <w:bookmarkStart w:id="107" w:name="_Toc5900"/>
      <w:bookmarkStart w:id="108" w:name="_Toc7689"/>
      <w:bookmarkStart w:id="109" w:name="_Toc9777"/>
      <w:bookmarkStart w:id="110" w:name="_Toc2816"/>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6003"/>
      <w:bookmarkStart w:id="113" w:name="_Toc11133"/>
      <w:bookmarkStart w:id="114" w:name="_Toc12584"/>
      <w:r>
        <w:rPr>
          <w:rFonts w:hint="eastAsia" w:ascii="宋体" w:hAnsi="宋体"/>
          <w:color w:val="auto"/>
          <w:sz w:val="21"/>
          <w:szCs w:val="21"/>
          <w:highlight w:val="none"/>
        </w:rPr>
        <w:t>21.投标文件的补充、修改与撤回</w:t>
      </w:r>
      <w:bookmarkEnd w:id="112"/>
      <w:bookmarkEnd w:id="113"/>
      <w:bookmarkEnd w:id="11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1"/>
        <w:rPr>
          <w:color w:val="auto"/>
          <w:highlight w:val="none"/>
        </w:rPr>
      </w:pPr>
    </w:p>
    <w:p>
      <w:pPr>
        <w:pStyle w:val="5"/>
        <w:spacing w:line="480" w:lineRule="auto"/>
        <w:jc w:val="center"/>
        <w:rPr>
          <w:rFonts w:ascii="宋体" w:hAnsi="宋体"/>
          <w:color w:val="auto"/>
          <w:highlight w:val="none"/>
        </w:rPr>
      </w:pPr>
      <w:bookmarkStart w:id="115" w:name="_Toc29574"/>
      <w:bookmarkStart w:id="116" w:name="_Toc23466"/>
      <w:bookmarkStart w:id="117" w:name="_Toc2133"/>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17166"/>
      <w:bookmarkStart w:id="119" w:name="_Toc27700"/>
      <w:bookmarkStart w:id="120" w:name="_Toc28458"/>
      <w:r>
        <w:rPr>
          <w:rFonts w:hint="eastAsia" w:ascii="宋体" w:hAnsi="宋体"/>
          <w:color w:val="auto"/>
          <w:sz w:val="21"/>
          <w:szCs w:val="21"/>
          <w:highlight w:val="none"/>
        </w:rPr>
        <w:t>22.开标</w:t>
      </w:r>
      <w:bookmarkEnd w:id="118"/>
      <w:bookmarkEnd w:id="119"/>
      <w:bookmarkEnd w:id="120"/>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14998"/>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15231"/>
      <w:bookmarkStart w:id="125" w:name="_Toc25495"/>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26037"/>
      <w:bookmarkStart w:id="129" w:name="_Toc18436"/>
      <w:r>
        <w:rPr>
          <w:rFonts w:hint="eastAsia" w:ascii="宋体" w:hAnsi="宋体"/>
          <w:color w:val="auto"/>
          <w:sz w:val="21"/>
          <w:szCs w:val="21"/>
          <w:highlight w:val="none"/>
        </w:rPr>
        <w:t>25.投标文件的初审</w:t>
      </w:r>
      <w:bookmarkEnd w:id="127"/>
      <w:bookmarkEnd w:id="128"/>
      <w:bookmarkEnd w:id="129"/>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1742"/>
      <w:bookmarkStart w:id="131" w:name="_Toc27673"/>
      <w:bookmarkStart w:id="132" w:name="_Toc9257"/>
      <w:r>
        <w:rPr>
          <w:rFonts w:hint="eastAsia" w:ascii="宋体" w:hAnsi="宋体"/>
          <w:color w:val="auto"/>
          <w:sz w:val="21"/>
          <w:szCs w:val="21"/>
          <w:highlight w:val="none"/>
        </w:rPr>
        <w:t>26.商务、技术、价格评审（具体评审项目详见投标资料表）</w:t>
      </w:r>
      <w:bookmarkEnd w:id="130"/>
      <w:bookmarkEnd w:id="131"/>
      <w:bookmarkEnd w:id="13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17683"/>
      <w:bookmarkStart w:id="134" w:name="_Toc22192"/>
      <w:bookmarkStart w:id="135" w:name="_Toc9687"/>
      <w:r>
        <w:rPr>
          <w:rFonts w:hint="eastAsia" w:ascii="宋体" w:hAnsi="宋体"/>
          <w:color w:val="auto"/>
          <w:sz w:val="21"/>
          <w:szCs w:val="21"/>
          <w:highlight w:val="none"/>
        </w:rPr>
        <w:t>27.优惠政策</w:t>
      </w:r>
      <w:bookmarkEnd w:id="133"/>
      <w:bookmarkEnd w:id="134"/>
      <w:bookmarkEnd w:id="13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82049120"/>
      <w:bookmarkStart w:id="138" w:name="_Toc31141"/>
      <w:bookmarkStart w:id="139" w:name="_Toc1882"/>
      <w:bookmarkStart w:id="140" w:name="_Toc22591"/>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12251"/>
      <w:bookmarkStart w:id="144" w:name="_Toc565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23345"/>
      <w:bookmarkStart w:id="146" w:name="_Toc6696"/>
      <w:bookmarkStart w:id="147" w:name="_Toc508284011"/>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2109"/>
      <w:bookmarkStart w:id="150" w:name="_Toc29283"/>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7279"/>
      <w:bookmarkStart w:id="154" w:name="_Toc27189"/>
      <w:bookmarkStart w:id="155" w:name="_Toc22451"/>
      <w:r>
        <w:rPr>
          <w:rFonts w:hint="eastAsia" w:ascii="宋体" w:hAnsi="宋体"/>
          <w:color w:val="auto"/>
          <w:sz w:val="21"/>
          <w:szCs w:val="21"/>
          <w:highlight w:val="none"/>
        </w:rPr>
        <w:t>31.合同的签订与履行</w:t>
      </w:r>
      <w:bookmarkEnd w:id="153"/>
      <w:bookmarkEnd w:id="154"/>
      <w:bookmarkEnd w:id="15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03084277"/>
      <w:bookmarkStart w:id="157" w:name="_Toc2744"/>
      <w:bookmarkStart w:id="158" w:name="_Toc29009"/>
      <w:bookmarkStart w:id="159" w:name="_Toc12425"/>
      <w:bookmarkStart w:id="160" w:name="_Toc7405"/>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13694"/>
      <w:bookmarkStart w:id="163" w:name="_Toc7360"/>
      <w:bookmarkStart w:id="164" w:name="_Toc25127"/>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5498"/>
      <w:bookmarkStart w:id="166" w:name="_Toc24815"/>
      <w:bookmarkStart w:id="167" w:name="_Toc22900"/>
      <w:r>
        <w:rPr>
          <w:rFonts w:hint="eastAsia" w:ascii="宋体" w:hAnsi="宋体"/>
          <w:color w:val="auto"/>
          <w:sz w:val="21"/>
          <w:szCs w:val="21"/>
          <w:highlight w:val="none"/>
        </w:rPr>
        <w:t>33.询问</w:t>
      </w:r>
      <w:bookmarkEnd w:id="165"/>
      <w:bookmarkEnd w:id="166"/>
      <w:bookmarkEnd w:id="167"/>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68" w:name="_Toc1373"/>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25264"/>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10082"/>
      <w:bookmarkStart w:id="175" w:name="_Toc9235"/>
      <w:bookmarkStart w:id="176" w:name="_Toc6548"/>
      <w:r>
        <w:rPr>
          <w:rFonts w:hint="eastAsia" w:ascii="宋体" w:hAnsi="宋体"/>
          <w:color w:val="auto"/>
          <w:sz w:val="21"/>
          <w:szCs w:val="21"/>
          <w:highlight w:val="none"/>
        </w:rPr>
        <w:t>35.招标文件的解释权</w:t>
      </w:r>
      <w:bookmarkEnd w:id="174"/>
      <w:bookmarkEnd w:id="175"/>
      <w:bookmarkEnd w:id="176"/>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19"/>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1854"/>
      <w:bookmarkStart w:id="179" w:name="_Toc26699"/>
      <w:r>
        <w:rPr>
          <w:rFonts w:hint="eastAsia"/>
          <w:color w:val="auto"/>
          <w:sz w:val="28"/>
          <w:szCs w:val="28"/>
          <w:highlight w:val="none"/>
        </w:rPr>
        <w:t>第五部分 用户需求书</w:t>
      </w:r>
      <w:bookmarkEnd w:id="177"/>
      <w:bookmarkEnd w:id="178"/>
      <w:bookmarkEnd w:id="179"/>
    </w:p>
    <w:p>
      <w:pPr>
        <w:pStyle w:val="5"/>
        <w:jc w:val="center"/>
        <w:rPr>
          <w:rFonts w:hint="eastAsia" w:ascii="宋体" w:hAnsi="宋体" w:eastAsia="宋体"/>
          <w:color w:val="auto"/>
          <w:highlight w:val="none"/>
          <w:lang w:eastAsia="zh-CN"/>
        </w:rPr>
      </w:pPr>
      <w:bookmarkStart w:id="180" w:name="_Toc1327"/>
      <w:r>
        <w:rPr>
          <w:rFonts w:hint="eastAsia" w:ascii="宋体" w:hAnsi="宋体"/>
          <w:color w:val="auto"/>
          <w:highlight w:val="none"/>
        </w:rPr>
        <w:t>第一章 商务需求书</w:t>
      </w:r>
      <w:r>
        <w:rPr>
          <w:rFonts w:hint="eastAsia" w:ascii="宋体" w:hAnsi="宋体"/>
          <w:color w:val="auto"/>
          <w:highlight w:val="none"/>
          <w:lang w:eastAsia="zh-CN"/>
        </w:rPr>
        <w:t>（适用于所有包组）</w:t>
      </w:r>
      <w:bookmarkEnd w:id="180"/>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89"/>
        <w:gridCol w:w="1217"/>
        <w:gridCol w:w="66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8" w:space="0"/>
              <w:left w:val="single" w:color="auto" w:sz="8"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714" w:type="pct"/>
            <w:tcBorders>
              <w:top w:val="single" w:color="auto" w:sz="8" w:space="0"/>
              <w:left w:val="single" w:color="auto" w:sz="6"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条款名称</w:t>
            </w:r>
          </w:p>
        </w:tc>
        <w:tc>
          <w:tcPr>
            <w:tcW w:w="3881" w:type="pct"/>
            <w:tcBorders>
              <w:top w:val="single" w:color="auto" w:sz="8" w:space="0"/>
              <w:left w:val="single" w:color="auto" w:sz="6" w:space="0"/>
              <w:bottom w:val="single" w:color="auto" w:sz="6" w:space="0"/>
              <w:right w:val="single" w:color="auto" w:sz="8"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说明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1.</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投标人资格条件</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44"/>
              <w:spacing w:line="276" w:lineRule="auto"/>
              <w:ind w:firstLine="0" w:firstLineChars="0"/>
              <w:jc w:val="center"/>
              <w:rPr>
                <w:rFonts w:ascii="宋体" w:eastAsia="宋体" w:cs="宋体"/>
                <w:color w:val="auto"/>
                <w:kern w:val="0"/>
                <w:sz w:val="22"/>
                <w:szCs w:val="22"/>
                <w:highlight w:val="none"/>
                <w:lang w:val="en-US" w:eastAsia="zh-CN"/>
              </w:rPr>
            </w:pPr>
            <w:r>
              <w:rPr>
                <w:rFonts w:hint="eastAsia" w:ascii="宋体" w:eastAsia="宋体" w:cs="宋体"/>
                <w:color w:val="auto"/>
                <w:sz w:val="22"/>
                <w:szCs w:val="22"/>
                <w:highlight w:val="none"/>
                <w:lang w:val="en-US" w:eastAsia="zh-CN"/>
              </w:rPr>
              <w:t>详见投标人资格要求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2.</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服务期</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kinsoku/>
              <w:wordWrap/>
              <w:overflowPunct/>
              <w:topLinePunct w:val="0"/>
              <w:bidi w:val="0"/>
              <w:adjustRightInd w:val="0"/>
              <w:snapToGrid w:val="0"/>
              <w:spacing w:before="0" w:line="276" w:lineRule="auto"/>
              <w:ind w:left="0" w:firstLine="440" w:firstLineChars="200"/>
              <w:jc w:val="left"/>
              <w:textAlignment w:val="auto"/>
              <w:rPr>
                <w:rFonts w:ascii="宋体" w:hAnsi="宋体" w:cs="宋体"/>
                <w:color w:val="auto"/>
                <w:sz w:val="22"/>
                <w:szCs w:val="22"/>
                <w:highlight w:val="none"/>
              </w:rPr>
            </w:pPr>
            <w:r>
              <w:rPr>
                <w:rFonts w:hint="eastAsia" w:ascii="宋体" w:hAnsi="宋体" w:cs="宋体"/>
                <w:color w:val="auto"/>
                <w:sz w:val="22"/>
                <w:szCs w:val="22"/>
                <w:highlight w:val="none"/>
              </w:rPr>
              <w:t>自合同签订并生效之日起3年。（合同签订采用“1+1+1”的形式签订。即首次签订合同期限为1年，首次签订合同期满前1个月内，由</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根据履约情况进行履约评估，确认是否续签合同，如确认续签合同，则与中标人再续签1年期限的合同，具体以实际情况为准。（如上级主管部门发文需调整，则合同双方需按要求配合调整合同约定的有关内容））。若合同期满后因特殊原因，</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未能于合同结束日确认新的供货单位时，中标人必须无条件按合同约定的服务要求及结算标准延长不多于两个月的过渡期服务，以保证学校的正常运营需要。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5"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3.</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ind w:left="220" w:hanging="220" w:hangingChars="100"/>
              <w:jc w:val="center"/>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付款方式</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default" w:ascii="宋体" w:hAnsi="宋体" w:cs="宋体"/>
                <w:b w:val="0"/>
                <w:color w:val="auto"/>
                <w:kern w:val="0"/>
                <w:sz w:val="22"/>
                <w:szCs w:val="22"/>
                <w:highlight w:val="none"/>
                <w:lang w:val="en-US" w:eastAsia="zh-CN" w:bidi="ar-SA"/>
              </w:rPr>
              <w:t>（1）</w:t>
            </w:r>
            <w:r>
              <w:rPr>
                <w:rFonts w:hint="eastAsia" w:ascii="宋体" w:hAnsi="宋体" w:cs="宋体"/>
                <w:color w:val="auto"/>
                <w:kern w:val="0"/>
                <w:sz w:val="22"/>
                <w:szCs w:val="22"/>
                <w:highlight w:val="none"/>
              </w:rPr>
              <w:t>付款时间：按月支付。即中标人在完成当月供货订单后，于次月10日前凭国家正式发票向</w:t>
            </w:r>
            <w:r>
              <w:rPr>
                <w:rFonts w:hint="eastAsia" w:ascii="宋体" w:hAnsi="宋体" w:cs="宋体"/>
                <w:color w:val="auto"/>
                <w:sz w:val="22"/>
                <w:szCs w:val="22"/>
                <w:highlight w:val="none"/>
                <w:lang w:eastAsia="zh-CN"/>
              </w:rPr>
              <w:t>采购人</w:t>
            </w:r>
            <w:r>
              <w:rPr>
                <w:rFonts w:hint="eastAsia" w:ascii="宋体" w:hAnsi="宋体" w:cs="宋体"/>
                <w:color w:val="auto"/>
                <w:kern w:val="0"/>
                <w:sz w:val="22"/>
                <w:szCs w:val="22"/>
                <w:highlight w:val="none"/>
              </w:rPr>
              <w:t>申请付款，</w:t>
            </w:r>
            <w:r>
              <w:rPr>
                <w:rFonts w:hint="eastAsia" w:ascii="宋体" w:hAnsi="宋体" w:cs="宋体"/>
                <w:color w:val="auto"/>
                <w:sz w:val="22"/>
                <w:szCs w:val="22"/>
                <w:highlight w:val="none"/>
                <w:lang w:eastAsia="zh-CN"/>
              </w:rPr>
              <w:t>采购人</w:t>
            </w:r>
            <w:r>
              <w:rPr>
                <w:rFonts w:hint="eastAsia" w:ascii="宋体" w:hAnsi="宋体" w:cs="宋体"/>
                <w:color w:val="auto"/>
                <w:kern w:val="0"/>
                <w:sz w:val="22"/>
                <w:szCs w:val="22"/>
                <w:highlight w:val="none"/>
              </w:rPr>
              <w:t>收到申请并通过后在15个工作日内办理相关结算支付手续。每期付款须由中标人提出书面申请，获得</w:t>
            </w:r>
            <w:r>
              <w:rPr>
                <w:rFonts w:hint="eastAsia" w:ascii="宋体" w:hAnsi="宋体" w:cs="宋体"/>
                <w:color w:val="auto"/>
                <w:sz w:val="22"/>
                <w:szCs w:val="22"/>
                <w:highlight w:val="none"/>
                <w:lang w:eastAsia="zh-CN"/>
              </w:rPr>
              <w:t>采购人</w:t>
            </w:r>
            <w:r>
              <w:rPr>
                <w:rFonts w:hint="eastAsia" w:ascii="宋体" w:hAnsi="宋体" w:cs="宋体"/>
                <w:color w:val="auto"/>
                <w:kern w:val="0"/>
                <w:sz w:val="22"/>
                <w:szCs w:val="22"/>
                <w:highlight w:val="none"/>
              </w:rPr>
              <w:t>认可之后由</w:t>
            </w:r>
            <w:r>
              <w:rPr>
                <w:rFonts w:hint="eastAsia" w:ascii="宋体" w:hAnsi="宋体" w:cs="宋体"/>
                <w:color w:val="auto"/>
                <w:sz w:val="22"/>
                <w:szCs w:val="22"/>
                <w:highlight w:val="none"/>
                <w:lang w:eastAsia="zh-CN"/>
              </w:rPr>
              <w:t>采购人</w:t>
            </w:r>
            <w:r>
              <w:rPr>
                <w:rFonts w:hint="eastAsia" w:ascii="宋体" w:hAnsi="宋体" w:cs="宋体"/>
                <w:color w:val="auto"/>
                <w:kern w:val="0"/>
                <w:sz w:val="22"/>
                <w:szCs w:val="22"/>
                <w:highlight w:val="none"/>
              </w:rPr>
              <w:t>支付费用。所有的款项以转账的方式支付到中标人指定银行账号。中标人须在每次收款前按要求出具等额的正式、合法完税发票。收款方、出具发票方均必须与中标人名称一致。合同支付手续的办理，均必须按支付方支付制度执行。</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default" w:ascii="宋体" w:hAnsi="宋体" w:cs="宋体"/>
                <w:b w:val="0"/>
                <w:color w:val="auto"/>
                <w:kern w:val="0"/>
                <w:sz w:val="22"/>
                <w:szCs w:val="22"/>
                <w:highlight w:val="none"/>
                <w:lang w:val="en-US" w:eastAsia="zh-CN" w:bidi="ar-SA"/>
              </w:rPr>
              <w:t>（2）</w:t>
            </w:r>
            <w:r>
              <w:rPr>
                <w:rFonts w:hint="eastAsia" w:ascii="宋体" w:hAnsi="宋体" w:cs="宋体"/>
                <w:color w:val="auto"/>
                <w:kern w:val="0"/>
                <w:sz w:val="22"/>
                <w:szCs w:val="22"/>
                <w:highlight w:val="none"/>
              </w:rPr>
              <w:t>结算费用计算公式：当期结算费用总金额=经</w:t>
            </w:r>
            <w:r>
              <w:rPr>
                <w:rFonts w:hint="eastAsia" w:ascii="宋体" w:hAnsi="宋体" w:cs="宋体"/>
                <w:color w:val="auto"/>
                <w:sz w:val="22"/>
                <w:szCs w:val="22"/>
                <w:highlight w:val="none"/>
                <w:lang w:eastAsia="zh-CN"/>
              </w:rPr>
              <w:t>采购人</w:t>
            </w:r>
            <w:r>
              <w:rPr>
                <w:rFonts w:hint="eastAsia" w:ascii="宋体" w:hAnsi="宋体" w:cs="宋体"/>
                <w:color w:val="auto"/>
                <w:kern w:val="0"/>
                <w:sz w:val="22"/>
                <w:szCs w:val="22"/>
                <w:highlight w:val="none"/>
              </w:rPr>
              <w:t>核定确认的基准价×（1-中标下浮率）×货物数量×服务考核得分对应结算费率。</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1）</w:t>
            </w:r>
            <w:r>
              <w:rPr>
                <w:rFonts w:hint="eastAsia" w:ascii="宋体" w:hAnsi="宋体" w:cs="宋体"/>
                <w:color w:val="auto"/>
                <w:kern w:val="0"/>
                <w:sz w:val="22"/>
                <w:szCs w:val="22"/>
                <w:highlight w:val="none"/>
              </w:rPr>
              <w:t>“基准价”按以下方式确定：</w:t>
            </w:r>
          </w:p>
          <w:p>
            <w:pPr>
              <w:keepNext w:val="0"/>
              <w:keepLines w:val="0"/>
              <w:pageBreakBefore w:val="0"/>
              <w:widowControl/>
              <w:kinsoku/>
              <w:wordWrap/>
              <w:overflowPunct/>
              <w:topLinePunct w:val="0"/>
              <w:autoSpaceDE w:val="0"/>
              <w:autoSpaceDN w:val="0"/>
              <w:bidi w:val="0"/>
              <w:adjustRightInd w:val="0"/>
              <w:snapToGrid w:val="0"/>
              <w:spacing w:line="276" w:lineRule="auto"/>
              <w:ind w:left="0" w:firstLine="440" w:firstLineChars="200"/>
              <w:jc w:val="left"/>
              <w:textAlignment w:val="auto"/>
              <w:rPr>
                <w:color w:val="auto"/>
                <w:sz w:val="22"/>
                <w:szCs w:val="22"/>
                <w:highlight w:val="none"/>
              </w:rPr>
            </w:pPr>
            <w:r>
              <w:rPr>
                <w:rFonts w:hint="eastAsia" w:ascii="宋体" w:hAnsi="宋体" w:eastAsia="宋体"/>
                <w:color w:val="auto"/>
                <w:sz w:val="22"/>
                <w:szCs w:val="22"/>
                <w:highlight w:val="none"/>
                <w:lang w:val="en-US" w:eastAsia="zh-CN"/>
              </w:rPr>
              <w:t>A</w:t>
            </w:r>
            <w:r>
              <w:rPr>
                <w:rFonts w:hint="eastAsia" w:ascii="宋体" w:hAnsi="宋体" w:eastAsia="宋体"/>
                <w:color w:val="auto"/>
                <w:sz w:val="22"/>
                <w:szCs w:val="22"/>
                <w:highlight w:val="none"/>
              </w:rPr>
              <w:t>.</w:t>
            </w:r>
            <w:r>
              <w:rPr>
                <w:color w:val="auto"/>
                <w:sz w:val="22"/>
                <w:szCs w:val="22"/>
                <w:highlight w:val="none"/>
              </w:rPr>
              <w:t>基准价的确定方式：原则上以本市三大</w:t>
            </w:r>
            <w:r>
              <w:rPr>
                <w:rFonts w:hint="eastAsia"/>
                <w:color w:val="auto"/>
                <w:sz w:val="22"/>
                <w:szCs w:val="22"/>
                <w:highlight w:val="none"/>
                <w:lang w:val="en-US" w:eastAsia="zh-CN"/>
              </w:rPr>
              <w:t>超市</w:t>
            </w:r>
            <w:r>
              <w:rPr>
                <w:color w:val="auto"/>
                <w:sz w:val="22"/>
                <w:szCs w:val="22"/>
                <w:highlight w:val="none"/>
              </w:rPr>
              <w:t>（沃尔玛、</w:t>
            </w:r>
            <w:r>
              <w:rPr>
                <w:rFonts w:hint="eastAsia"/>
                <w:color w:val="auto"/>
                <w:sz w:val="22"/>
                <w:szCs w:val="22"/>
                <w:highlight w:val="none"/>
                <w:lang w:val="en-US" w:eastAsia="zh-CN"/>
              </w:rPr>
              <w:t>大润发</w:t>
            </w:r>
            <w:r>
              <w:rPr>
                <w:color w:val="auto"/>
                <w:sz w:val="22"/>
                <w:szCs w:val="22"/>
                <w:highlight w:val="none"/>
              </w:rPr>
              <w:t>、嘉荣）的市场零售价（打折促销的商品不列入在内）为基准价（基准价=市场平均价=3个市场抽样价格之和÷3）</w:t>
            </w:r>
          </w:p>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eastAsia" w:ascii="宋体" w:hAnsi="宋体" w:eastAsia="宋体"/>
                <w:color w:val="auto"/>
                <w:sz w:val="22"/>
                <w:szCs w:val="22"/>
                <w:highlight w:val="none"/>
              </w:rPr>
            </w:pPr>
            <w:r>
              <w:rPr>
                <w:rFonts w:hint="eastAsia" w:ascii="宋体" w:hAnsi="宋体" w:eastAsia="宋体"/>
                <w:color w:val="auto"/>
                <w:sz w:val="22"/>
                <w:szCs w:val="22"/>
                <w:highlight w:val="none"/>
                <w:lang w:val="en-US" w:eastAsia="zh-CN"/>
              </w:rPr>
              <w:t>B</w:t>
            </w:r>
            <w:r>
              <w:rPr>
                <w:rFonts w:hint="eastAsia" w:ascii="宋体" w:hAnsi="宋体" w:eastAsia="宋体"/>
                <w:color w:val="auto"/>
                <w:sz w:val="22"/>
                <w:szCs w:val="22"/>
                <w:highlight w:val="none"/>
              </w:rPr>
              <w:t xml:space="preserve">.如需采购的产品存在东莞市内超市没有销售的情况时，相关产品的价格可在合理的前提下，通过协商的方式解决。 </w:t>
            </w:r>
          </w:p>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eastAsia" w:ascii="宋体" w:hAnsi="宋体" w:eastAsia="宋体"/>
                <w:color w:val="auto"/>
                <w:sz w:val="22"/>
                <w:szCs w:val="22"/>
                <w:highlight w:val="none"/>
              </w:rPr>
            </w:pPr>
            <w:r>
              <w:rPr>
                <w:rFonts w:hint="eastAsia" w:ascii="宋体" w:hAnsi="宋体" w:eastAsia="宋体"/>
                <w:color w:val="auto"/>
                <w:sz w:val="22"/>
                <w:szCs w:val="22"/>
                <w:highlight w:val="none"/>
                <w:lang w:val="en-US" w:eastAsia="zh-CN"/>
              </w:rPr>
              <w:t>C</w:t>
            </w:r>
            <w:r>
              <w:rPr>
                <w:rFonts w:hint="eastAsia" w:ascii="宋体" w:hAnsi="宋体" w:eastAsia="宋体"/>
                <w:color w:val="auto"/>
                <w:sz w:val="22"/>
                <w:szCs w:val="22"/>
                <w:highlight w:val="none"/>
              </w:rPr>
              <w:t>. 如中标人对招标人调查的产品质量等情况提出价格质疑，招标人将以调研确认的产品为当期此产品供货质量，并确定其价格。</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ascii="宋体" w:hAnsi="宋体" w:eastAsia="宋体" w:cs="宋体"/>
                <w:color w:val="auto"/>
                <w:kern w:val="0"/>
                <w:sz w:val="22"/>
                <w:szCs w:val="22"/>
                <w:highlight w:val="none"/>
              </w:rPr>
            </w:pPr>
            <w:r>
              <w:rPr>
                <w:rFonts w:hint="eastAsia" w:ascii="宋体" w:hAnsi="宋体" w:eastAsia="宋体"/>
                <w:color w:val="auto"/>
                <w:sz w:val="22"/>
                <w:szCs w:val="22"/>
                <w:highlight w:val="none"/>
                <w:lang w:val="en-US" w:eastAsia="zh-CN"/>
              </w:rPr>
              <w:t>D</w:t>
            </w:r>
            <w:r>
              <w:rPr>
                <w:rFonts w:hint="eastAsia" w:ascii="宋体" w:hAnsi="宋体" w:eastAsia="宋体"/>
                <w:color w:val="auto"/>
                <w:sz w:val="22"/>
                <w:szCs w:val="22"/>
                <w:highlight w:val="none"/>
              </w:rPr>
              <w:t>.</w:t>
            </w:r>
            <w:r>
              <w:rPr>
                <w:rFonts w:hint="eastAsia" w:ascii="宋体" w:hAnsi="宋体" w:eastAsia="宋体" w:cs="宋体"/>
                <w:color w:val="auto"/>
                <w:kern w:val="0"/>
                <w:sz w:val="22"/>
                <w:szCs w:val="22"/>
                <w:highlight w:val="none"/>
              </w:rPr>
              <w:t>定价周期：每周更新一次，中标人每次至少提前2天提交下次报价清单给采购人审核，双方签字后生效。</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2）</w:t>
            </w:r>
            <w:r>
              <w:rPr>
                <w:rFonts w:hint="eastAsia" w:ascii="宋体" w:hAnsi="宋体" w:cs="宋体"/>
                <w:color w:val="auto"/>
                <w:kern w:val="0"/>
                <w:sz w:val="22"/>
                <w:szCs w:val="22"/>
                <w:highlight w:val="none"/>
              </w:rPr>
              <w:t>货物数量：合同期间，</w:t>
            </w:r>
            <w:r>
              <w:rPr>
                <w:rFonts w:hint="eastAsia" w:ascii="宋体" w:hAnsi="宋体" w:cs="宋体"/>
                <w:color w:val="auto"/>
                <w:kern w:val="0"/>
                <w:sz w:val="22"/>
                <w:szCs w:val="22"/>
                <w:highlight w:val="none"/>
                <w:lang w:eastAsia="zh-CN"/>
              </w:rPr>
              <w:t>采购人</w:t>
            </w:r>
            <w:r>
              <w:rPr>
                <w:rFonts w:hint="eastAsia" w:ascii="宋体" w:hAnsi="宋体" w:cs="宋体"/>
                <w:color w:val="auto"/>
                <w:kern w:val="0"/>
                <w:sz w:val="22"/>
                <w:szCs w:val="22"/>
                <w:highlight w:val="none"/>
              </w:rPr>
              <w:t>根据实际送货物数量按实进行结算。</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3）</w:t>
            </w:r>
            <w:r>
              <w:rPr>
                <w:rFonts w:hint="eastAsia" w:ascii="宋体" w:hAnsi="宋体" w:cs="宋体"/>
                <w:color w:val="auto"/>
                <w:kern w:val="0"/>
                <w:sz w:val="22"/>
                <w:szCs w:val="22"/>
                <w:highlight w:val="none"/>
              </w:rPr>
              <w:t>服务考核得分对应结算费率：考核得分90分以上（含90分），则中标人获得该月份100%的服务费用；考核得分80分以上（含80-89分），则中标人获得该月份90%的服务费用；考核得分不达80分的，则中标人只获得该月份60%的服务费用，若经整改后，下月考核得分仍不达90分或以上，则中标人只获得该月份60%的服务费用。</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default" w:ascii="宋体" w:hAnsi="宋体" w:cs="宋体"/>
                <w:b w:val="0"/>
                <w:color w:val="auto"/>
                <w:kern w:val="0"/>
                <w:sz w:val="22"/>
                <w:szCs w:val="22"/>
                <w:highlight w:val="none"/>
                <w:lang w:val="en-US" w:eastAsia="zh-CN" w:bidi="ar-SA"/>
              </w:rPr>
              <w:t>（</w:t>
            </w:r>
            <w:r>
              <w:rPr>
                <w:rFonts w:hint="eastAsia" w:ascii="宋体" w:hAnsi="宋体" w:cs="宋体"/>
                <w:b w:val="0"/>
                <w:color w:val="auto"/>
                <w:kern w:val="0"/>
                <w:sz w:val="22"/>
                <w:szCs w:val="22"/>
                <w:highlight w:val="none"/>
                <w:lang w:val="en-US" w:eastAsia="zh-CN" w:bidi="ar-SA"/>
              </w:rPr>
              <w:t>3</w:t>
            </w:r>
            <w:r>
              <w:rPr>
                <w:rFonts w:hint="default" w:ascii="宋体" w:hAnsi="宋体" w:cs="宋体"/>
                <w:b w:val="0"/>
                <w:color w:val="auto"/>
                <w:kern w:val="0"/>
                <w:sz w:val="22"/>
                <w:szCs w:val="22"/>
                <w:highlight w:val="none"/>
                <w:lang w:val="en-US" w:eastAsia="zh-CN" w:bidi="ar-SA"/>
              </w:rPr>
              <w:t>）</w:t>
            </w:r>
            <w:r>
              <w:rPr>
                <w:rFonts w:ascii="宋体" w:hAnsi="宋体" w:cs="宋体"/>
                <w:color w:val="auto"/>
                <w:kern w:val="0"/>
                <w:sz w:val="22"/>
                <w:szCs w:val="22"/>
                <w:highlight w:val="none"/>
              </w:rPr>
              <w:t>中标人不得擅自变更</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订单（含商标、名称、产地、包装、规格和重量等），严格按</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要求供应，否则，</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有权拒收。如因市场流通问题确实需要变更的，应事先向</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提出书面申请，并经</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同意后方可改变。</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default" w:ascii="宋体" w:hAnsi="宋体" w:cs="宋体"/>
                <w:b w:val="0"/>
                <w:color w:val="auto"/>
                <w:kern w:val="0"/>
                <w:sz w:val="22"/>
                <w:szCs w:val="22"/>
                <w:highlight w:val="none"/>
                <w:lang w:val="en-US" w:eastAsia="zh-CN" w:bidi="ar-SA"/>
              </w:rPr>
              <w:t>（</w:t>
            </w:r>
            <w:r>
              <w:rPr>
                <w:rFonts w:hint="eastAsia" w:ascii="宋体" w:hAnsi="宋体" w:cs="宋体"/>
                <w:b w:val="0"/>
                <w:color w:val="auto"/>
                <w:kern w:val="0"/>
                <w:sz w:val="22"/>
                <w:szCs w:val="22"/>
                <w:highlight w:val="none"/>
                <w:lang w:val="en-US" w:eastAsia="zh-CN" w:bidi="ar-SA"/>
              </w:rPr>
              <w:t>4</w:t>
            </w:r>
            <w:r>
              <w:rPr>
                <w:rFonts w:hint="default" w:ascii="宋体" w:hAnsi="宋体" w:cs="宋体"/>
                <w:b w:val="0"/>
                <w:color w:val="auto"/>
                <w:kern w:val="0"/>
                <w:sz w:val="22"/>
                <w:szCs w:val="22"/>
                <w:highlight w:val="none"/>
                <w:lang w:val="en-US" w:eastAsia="zh-CN" w:bidi="ar-SA"/>
              </w:rPr>
              <w:t>）</w:t>
            </w:r>
            <w:r>
              <w:rPr>
                <w:rFonts w:ascii="宋体" w:hAnsi="宋体" w:cs="宋体"/>
                <w:color w:val="auto"/>
                <w:kern w:val="0"/>
                <w:sz w:val="22"/>
                <w:szCs w:val="22"/>
                <w:highlight w:val="none"/>
              </w:rPr>
              <w:t>因</w:t>
            </w:r>
            <w:r>
              <w:rPr>
                <w:rFonts w:hint="eastAsia" w:ascii="宋体" w:hAnsi="宋体" w:cs="宋体"/>
                <w:color w:val="auto"/>
                <w:kern w:val="0"/>
                <w:sz w:val="22"/>
                <w:szCs w:val="22"/>
                <w:highlight w:val="none"/>
              </w:rPr>
              <w:t>中标人</w:t>
            </w:r>
            <w:r>
              <w:rPr>
                <w:rFonts w:ascii="宋体" w:hAnsi="宋体" w:cs="宋体"/>
                <w:color w:val="auto"/>
                <w:kern w:val="0"/>
                <w:sz w:val="22"/>
                <w:szCs w:val="22"/>
                <w:highlight w:val="none"/>
              </w:rPr>
              <w:t>的供货价虚高被投诉达3次或以上的，</w:t>
            </w:r>
            <w:r>
              <w:rPr>
                <w:rFonts w:hint="eastAsia" w:ascii="宋体" w:hAnsi="宋体" w:cs="宋体"/>
                <w:color w:val="auto"/>
                <w:kern w:val="0"/>
                <w:sz w:val="22"/>
                <w:szCs w:val="22"/>
                <w:highlight w:val="none"/>
                <w:lang w:eastAsia="zh-CN"/>
              </w:rPr>
              <w:t>采购人</w:t>
            </w:r>
            <w:r>
              <w:rPr>
                <w:rFonts w:ascii="宋体" w:hAnsi="宋体" w:cs="宋体"/>
                <w:color w:val="auto"/>
                <w:kern w:val="0"/>
                <w:sz w:val="22"/>
                <w:szCs w:val="22"/>
                <w:highlight w:val="none"/>
              </w:rPr>
              <w:t>有权取消其供货资格。</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default" w:ascii="宋体" w:hAnsi="宋体" w:cs="宋体"/>
                <w:b w:val="0"/>
                <w:color w:val="auto"/>
                <w:kern w:val="0"/>
                <w:sz w:val="22"/>
                <w:szCs w:val="22"/>
                <w:highlight w:val="none"/>
                <w:lang w:val="en-US" w:eastAsia="zh-CN" w:bidi="ar-SA"/>
              </w:rPr>
              <w:t>（</w:t>
            </w:r>
            <w:r>
              <w:rPr>
                <w:rFonts w:hint="eastAsia" w:ascii="宋体" w:hAnsi="宋体" w:cs="宋体"/>
                <w:b w:val="0"/>
                <w:color w:val="auto"/>
                <w:kern w:val="0"/>
                <w:sz w:val="22"/>
                <w:szCs w:val="22"/>
                <w:highlight w:val="none"/>
                <w:lang w:val="en-US" w:eastAsia="zh-CN" w:bidi="ar-SA"/>
              </w:rPr>
              <w:t>5</w:t>
            </w:r>
            <w:r>
              <w:rPr>
                <w:rFonts w:hint="default" w:ascii="宋体" w:hAnsi="宋体" w:cs="宋体"/>
                <w:b w:val="0"/>
                <w:color w:val="auto"/>
                <w:kern w:val="0"/>
                <w:sz w:val="22"/>
                <w:szCs w:val="22"/>
                <w:highlight w:val="none"/>
                <w:lang w:val="en-US" w:eastAsia="zh-CN" w:bidi="ar-SA"/>
              </w:rPr>
              <w:t>）</w:t>
            </w:r>
            <w:r>
              <w:rPr>
                <w:rFonts w:hint="eastAsia" w:ascii="宋体" w:hAnsi="宋体" w:cs="宋体"/>
                <w:color w:val="auto"/>
                <w:kern w:val="0"/>
                <w:sz w:val="22"/>
                <w:szCs w:val="22"/>
                <w:highlight w:val="none"/>
              </w:rPr>
              <w:t>中标人必须服从上述的供货价格，如出现不服从等情况，</w:t>
            </w:r>
            <w:r>
              <w:rPr>
                <w:rFonts w:hint="eastAsia" w:ascii="宋体" w:hAnsi="宋体" w:cs="宋体"/>
                <w:color w:val="auto"/>
                <w:kern w:val="0"/>
                <w:sz w:val="22"/>
                <w:szCs w:val="22"/>
                <w:highlight w:val="none"/>
                <w:lang w:eastAsia="zh-CN"/>
              </w:rPr>
              <w:t>采购人</w:t>
            </w:r>
            <w:r>
              <w:rPr>
                <w:rFonts w:hint="eastAsia" w:ascii="宋体" w:hAnsi="宋体" w:cs="宋体"/>
                <w:color w:val="auto"/>
                <w:kern w:val="0"/>
                <w:sz w:val="22"/>
                <w:szCs w:val="22"/>
                <w:highlight w:val="none"/>
              </w:rPr>
              <w:t>有权取消该中标人的中标资格，选择中标候选人或采用重新招标方式重新选择中标人。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4.</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服务时间、地点及配送要求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（1）</w:t>
            </w:r>
            <w:r>
              <w:rPr>
                <w:rFonts w:hint="eastAsia" w:ascii="宋体" w:hAnsi="宋体" w:cs="宋体"/>
                <w:color w:val="auto"/>
                <w:sz w:val="22"/>
                <w:szCs w:val="22"/>
                <w:highlight w:val="none"/>
              </w:rPr>
              <w:t>服务</w:t>
            </w:r>
            <w:r>
              <w:rPr>
                <w:rFonts w:ascii="宋体" w:hAnsi="宋体" w:cs="宋体"/>
                <w:color w:val="auto"/>
                <w:sz w:val="22"/>
                <w:szCs w:val="22"/>
                <w:highlight w:val="none"/>
              </w:rPr>
              <w:t>时间：每次收到</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使用单位的电子邮件或者电话或传真等方式通知订购品种、数量后，</w:t>
            </w:r>
            <w:r>
              <w:rPr>
                <w:rFonts w:hint="eastAsia" w:ascii="宋体" w:hAnsi="宋体" w:cs="宋体"/>
                <w:color w:val="auto"/>
                <w:sz w:val="22"/>
                <w:szCs w:val="22"/>
                <w:highlight w:val="none"/>
              </w:rPr>
              <w:t>按</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确定时间</w:t>
            </w:r>
            <w:r>
              <w:rPr>
                <w:rFonts w:ascii="宋体" w:hAnsi="宋体" w:cs="宋体"/>
                <w:color w:val="auto"/>
                <w:sz w:val="22"/>
                <w:szCs w:val="22"/>
                <w:highlight w:val="none"/>
              </w:rPr>
              <w:t>送货到</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使用单位指定地点，</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使用单位工作人员过秤验收并记录。具体送货时间由</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使用单位通知时约定。</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bCs/>
                <w:color w:val="auto"/>
                <w:sz w:val="22"/>
                <w:szCs w:val="22"/>
                <w:highlight w:val="none"/>
              </w:rPr>
            </w:pPr>
            <w:r>
              <w:rPr>
                <w:rFonts w:hint="eastAsia" w:ascii="宋体" w:hAnsi="宋体" w:cs="宋体"/>
                <w:bCs/>
                <w:color w:val="auto"/>
                <w:kern w:val="2"/>
                <w:sz w:val="22"/>
                <w:szCs w:val="22"/>
                <w:highlight w:val="none"/>
                <w:lang w:val="en-US" w:eastAsia="zh-CN" w:bidi="ar-SA"/>
              </w:rPr>
              <w:t>（2）</w:t>
            </w:r>
            <w:r>
              <w:rPr>
                <w:rFonts w:hint="eastAsia" w:ascii="宋体" w:hAnsi="宋体" w:cs="宋体"/>
                <w:color w:val="auto"/>
                <w:sz w:val="22"/>
                <w:szCs w:val="22"/>
                <w:highlight w:val="none"/>
              </w:rPr>
              <w:t>服务</w:t>
            </w:r>
            <w:r>
              <w:rPr>
                <w:rFonts w:ascii="宋体" w:hAnsi="宋体" w:cs="宋体"/>
                <w:color w:val="auto"/>
                <w:sz w:val="22"/>
                <w:szCs w:val="22"/>
                <w:highlight w:val="none"/>
              </w:rPr>
              <w:t>地点：</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指定。</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bCs/>
                <w:color w:val="auto"/>
                <w:sz w:val="22"/>
                <w:szCs w:val="22"/>
                <w:highlight w:val="none"/>
              </w:rPr>
            </w:pPr>
            <w:r>
              <w:rPr>
                <w:rFonts w:hint="eastAsia" w:ascii="宋体" w:hAnsi="宋体" w:cs="宋体"/>
                <w:bCs/>
                <w:color w:val="auto"/>
                <w:kern w:val="2"/>
                <w:sz w:val="22"/>
                <w:szCs w:val="22"/>
                <w:highlight w:val="none"/>
                <w:lang w:val="en-US" w:eastAsia="zh-CN" w:bidi="ar-SA"/>
              </w:rPr>
              <w:t>（3）</w:t>
            </w:r>
            <w:r>
              <w:rPr>
                <w:rFonts w:ascii="宋体" w:hAnsi="宋体" w:cs="宋体"/>
                <w:color w:val="auto"/>
                <w:sz w:val="22"/>
                <w:szCs w:val="22"/>
                <w:highlight w:val="none"/>
              </w:rPr>
              <w:t>配送要求：</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1）</w:t>
            </w:r>
            <w:r>
              <w:rPr>
                <w:rFonts w:ascii="宋体" w:hAnsi="宋体" w:cs="宋体"/>
                <w:color w:val="auto"/>
                <w:kern w:val="0"/>
                <w:sz w:val="22"/>
                <w:szCs w:val="22"/>
                <w:highlight w:val="none"/>
              </w:rPr>
              <w:t>所有货物运输必须采用封闭的、有低温保鲜设备并符合国家卫生、动物防疫条件的运载工具。并且要保持清洁和定期消毒。运输车厢的内仓，包括地面、墙面和顶，应使用抗腐蚀、防潮，易清洁消毒的材料。车厢内无不良气味、异味。</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2）</w:t>
            </w:r>
            <w:r>
              <w:rPr>
                <w:rFonts w:ascii="宋体" w:hAnsi="宋体" w:cs="宋体"/>
                <w:color w:val="auto"/>
                <w:kern w:val="0"/>
                <w:sz w:val="22"/>
                <w:szCs w:val="22"/>
                <w:highlight w:val="none"/>
              </w:rPr>
              <w:t>冷藏、冷冻食品必须用专用冷藏、冷冻载具运输，应当有必要的保温设备并在整个运输过程中保持安全的冷藏、冷冻温度。特别是对于长途运输的食品，保证食品在运输全过程处于合适的温度范围。</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3）</w:t>
            </w:r>
            <w:r>
              <w:rPr>
                <w:rFonts w:ascii="宋体" w:hAnsi="宋体" w:cs="宋体"/>
                <w:color w:val="auto"/>
                <w:kern w:val="0"/>
                <w:sz w:val="22"/>
                <w:szCs w:val="22"/>
                <w:highlight w:val="none"/>
              </w:rPr>
              <w:t>整个运输过程应科学合理，运输车辆应定期清洁，保持性能稳定，符合规定的温度要求，使运输食品处于恒定的环境中。</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SA"/>
              </w:rPr>
              <w:t>4）</w:t>
            </w:r>
            <w:r>
              <w:rPr>
                <w:rFonts w:ascii="宋体" w:hAnsi="宋体" w:cs="宋体"/>
                <w:color w:val="auto"/>
                <w:kern w:val="0"/>
                <w:sz w:val="22"/>
                <w:szCs w:val="22"/>
                <w:highlight w:val="none"/>
              </w:rPr>
              <w:t>送货车辆实行一小时配送圈运作，目的地在一小时内的用保温车配送，一小时以外的用制冷车配送</w:t>
            </w:r>
            <w:r>
              <w:rPr>
                <w:rFonts w:hint="eastAsia" w:ascii="宋体" w:hAnsi="宋体" w:cs="宋体"/>
                <w:color w:val="auto"/>
                <w:kern w:val="0"/>
                <w:sz w:val="22"/>
                <w:szCs w:val="22"/>
                <w:highlight w:val="none"/>
                <w:lang w:eastAsia="zh-CN"/>
              </w:rPr>
              <w:t>，</w:t>
            </w:r>
            <w:r>
              <w:rPr>
                <w:rFonts w:ascii="宋体" w:hAnsi="宋体" w:cs="宋体"/>
                <w:color w:val="auto"/>
                <w:kern w:val="0"/>
                <w:sz w:val="22"/>
                <w:szCs w:val="22"/>
                <w:highlight w:val="none"/>
              </w:rPr>
              <w:t>保证运输过程冷链不中断。商品到达目的地时外包装箱干爽,无软化现象。</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ascii="宋体" w:hAnsi="宋体" w:cs="宋体"/>
                <w:bCs/>
                <w:color w:val="auto"/>
                <w:sz w:val="22"/>
                <w:szCs w:val="22"/>
                <w:highlight w:val="none"/>
              </w:rPr>
            </w:pPr>
            <w:r>
              <w:rPr>
                <w:rFonts w:hint="eastAsia" w:ascii="宋体" w:hAnsi="宋体" w:cs="宋体"/>
                <w:bCs/>
                <w:color w:val="auto"/>
                <w:kern w:val="2"/>
                <w:sz w:val="22"/>
                <w:szCs w:val="22"/>
                <w:highlight w:val="none"/>
                <w:lang w:val="en-US" w:eastAsia="zh-CN" w:bidi="ar-SA"/>
              </w:rPr>
              <w:t>5）</w:t>
            </w:r>
            <w:r>
              <w:rPr>
                <w:rFonts w:ascii="宋体" w:hAnsi="宋体" w:cs="宋体"/>
                <w:color w:val="auto"/>
                <w:kern w:val="0"/>
                <w:sz w:val="22"/>
                <w:szCs w:val="22"/>
                <w:highlight w:val="none"/>
              </w:rPr>
              <w:t>卸货要求：送货车辆应保持清洁；食品堆放科学合理，避免造成食品的交叉污染；如对温度有要求的食品应确定食品的温度，记录送货车辆温度，并存档。在卸货过程中应保证冷藏食品脱离冷链时间不得超过20分钟，冷冻食品脱离冷链时间不得超过30分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5.</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报价内容</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val="0"/>
              <w:snapToGrid w:val="0"/>
              <w:spacing w:line="276" w:lineRule="auto"/>
              <w:ind w:left="0" w:leftChars="0" w:firstLine="440" w:firstLineChars="200"/>
              <w:jc w:val="lef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lang w:eastAsia="zh-CN"/>
              </w:rPr>
              <w:t>）</w:t>
            </w:r>
            <w:r>
              <w:rPr>
                <w:rFonts w:hint="eastAsia" w:ascii="宋体" w:hAnsi="宋体"/>
                <w:color w:val="auto"/>
                <w:sz w:val="22"/>
                <w:szCs w:val="22"/>
                <w:highlight w:val="none"/>
              </w:rPr>
              <w:t>★</w:t>
            </w:r>
            <w:r>
              <w:rPr>
                <w:rFonts w:hint="eastAsia" w:ascii="宋体" w:hAnsi="宋体" w:cs="宋体"/>
                <w:color w:val="auto"/>
                <w:kern w:val="0"/>
                <w:sz w:val="22"/>
                <w:szCs w:val="22"/>
                <w:highlight w:val="none"/>
              </w:rPr>
              <w:t>本项目采用下浮率报价，</w:t>
            </w:r>
            <w:r>
              <w:rPr>
                <w:rFonts w:hint="eastAsia" w:ascii="宋体" w:hAnsi="宋体" w:cs="宋体"/>
                <w:color w:val="auto"/>
                <w:kern w:val="0"/>
                <w:sz w:val="22"/>
                <w:szCs w:val="22"/>
                <w:highlight w:val="none"/>
                <w:lang w:val="en-US" w:eastAsia="zh-CN"/>
              </w:rPr>
              <w:t>投标</w:t>
            </w:r>
            <w:r>
              <w:rPr>
                <w:rFonts w:hint="eastAsia" w:ascii="宋体" w:hAnsi="宋体" w:cs="宋体"/>
                <w:color w:val="auto"/>
                <w:kern w:val="0"/>
                <w:sz w:val="22"/>
                <w:szCs w:val="22"/>
                <w:highlight w:val="none"/>
              </w:rPr>
              <w:t>下浮率有效报价范围：</w:t>
            </w:r>
            <w:r>
              <w:rPr>
                <w:rFonts w:ascii="宋体" w:hAnsi="宋体" w:cs="宋体"/>
                <w:color w:val="auto"/>
                <w:kern w:val="0"/>
                <w:sz w:val="22"/>
                <w:szCs w:val="22"/>
                <w:highlight w:val="none"/>
              </w:rPr>
              <w:t>0%</w:t>
            </w:r>
            <w:r>
              <w:rPr>
                <w:rFonts w:hint="eastAsia" w:ascii="宋体" w:hAnsi="宋体" w:cs="宋体"/>
                <w:color w:val="auto"/>
                <w:kern w:val="0"/>
                <w:sz w:val="22"/>
                <w:szCs w:val="22"/>
                <w:highlight w:val="none"/>
                <w:lang w:val="en-US" w:eastAsia="zh-CN"/>
              </w:rPr>
              <w:t>＜投标下浮率＜</w:t>
            </w:r>
            <w:r>
              <w:rPr>
                <w:rFonts w:ascii="宋体" w:hAnsi="宋体" w:cs="宋体"/>
                <w:color w:val="auto"/>
                <w:kern w:val="0"/>
                <w:sz w:val="22"/>
                <w:szCs w:val="22"/>
                <w:highlight w:val="none"/>
              </w:rPr>
              <w:t>100%</w:t>
            </w:r>
            <w:r>
              <w:rPr>
                <w:rFonts w:hint="eastAsia" w:ascii="宋体" w:hAnsi="宋体" w:cs="宋体"/>
                <w:color w:val="auto"/>
                <w:kern w:val="0"/>
                <w:sz w:val="22"/>
                <w:szCs w:val="22"/>
                <w:highlight w:val="none"/>
              </w:rPr>
              <w:t>，下浮率必须为固定的报价，且所报的下浮率应当适用于每种</w:t>
            </w:r>
            <w:r>
              <w:rPr>
                <w:rFonts w:hint="eastAsia" w:ascii="宋体" w:hAnsi="宋体" w:cs="宋体"/>
                <w:color w:val="auto"/>
                <w:kern w:val="0"/>
                <w:sz w:val="22"/>
                <w:szCs w:val="22"/>
                <w:highlight w:val="none"/>
                <w:lang w:eastAsia="zh-CN"/>
              </w:rPr>
              <w:t>货物</w:t>
            </w:r>
            <w:r>
              <w:rPr>
                <w:rFonts w:hint="eastAsia" w:ascii="宋体" w:hAnsi="宋体" w:cs="宋体"/>
                <w:color w:val="auto"/>
                <w:kern w:val="0"/>
                <w:sz w:val="22"/>
                <w:szCs w:val="22"/>
                <w:highlight w:val="none"/>
              </w:rPr>
              <w:t>，中标下浮率为该供应商的投标下浮率，中标人应考虑经济增长物价上涨及自身成本报价，不在此报价范围的，视为无效报价，作无效投标处理。下浮率报价高于5</w:t>
            </w:r>
            <w:r>
              <w:rPr>
                <w:rFonts w:ascii="宋体" w:hAnsi="宋体" w:cs="宋体"/>
                <w:color w:val="auto"/>
                <w:kern w:val="0"/>
                <w:sz w:val="22"/>
                <w:szCs w:val="22"/>
                <w:highlight w:val="none"/>
              </w:rPr>
              <w:t>0%</w:t>
            </w:r>
            <w:r>
              <w:rPr>
                <w:rFonts w:hint="eastAsia" w:ascii="宋体" w:hAnsi="宋体" w:cs="宋体"/>
                <w:color w:val="auto"/>
                <w:kern w:val="0"/>
                <w:sz w:val="22"/>
                <w:szCs w:val="22"/>
                <w:highlight w:val="none"/>
              </w:rPr>
              <w:t>时，供应商须在投标文件中作出成本分析说明并提供相关证明材料（如参与本项目所有人员工资、营运成本、各种费用等）。高于5</w:t>
            </w:r>
            <w:r>
              <w:rPr>
                <w:rFonts w:ascii="宋体" w:hAnsi="宋体" w:cs="宋体"/>
                <w:color w:val="auto"/>
                <w:kern w:val="0"/>
                <w:sz w:val="22"/>
                <w:szCs w:val="22"/>
                <w:highlight w:val="none"/>
              </w:rPr>
              <w:t>0%</w:t>
            </w:r>
            <w:r>
              <w:rPr>
                <w:rFonts w:hint="eastAsia" w:ascii="宋体" w:hAnsi="宋体" w:cs="宋体"/>
                <w:color w:val="auto"/>
                <w:kern w:val="0"/>
                <w:sz w:val="22"/>
                <w:szCs w:val="22"/>
                <w:highlight w:val="none"/>
              </w:rPr>
              <w:t>的报价须重点审核。评审小组认为供应商的报价明显不合理或者低于成本，有可能影响货物及服务质量和不能诚信履约的，或未按要求提交成本分析说明相关证明文件，评审小组将视该投标人的投标文件未实质上响应采购文件要求，为无效响应。</w:t>
            </w:r>
            <w:r>
              <w:rPr>
                <w:rFonts w:ascii="宋体" w:hAnsi="宋体" w:cs="宋体"/>
                <w:color w:val="auto"/>
                <w:kern w:val="0"/>
                <w:sz w:val="22"/>
                <w:szCs w:val="22"/>
                <w:highlight w:val="none"/>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（2）</w:t>
            </w:r>
            <w:r>
              <w:rPr>
                <w:rFonts w:hint="eastAsia" w:ascii="宋体" w:hAnsi="宋体" w:cs="宋体"/>
                <w:color w:val="auto"/>
                <w:sz w:val="22"/>
                <w:szCs w:val="22"/>
                <w:highlight w:val="none"/>
              </w:rPr>
              <w:t>包含但不仅仅限于：</w:t>
            </w:r>
            <w:r>
              <w:rPr>
                <w:rFonts w:hint="eastAsia" w:ascii="宋体" w:hAnsi="宋体" w:cs="宋体"/>
                <w:color w:val="auto"/>
                <w:sz w:val="22"/>
                <w:szCs w:val="22"/>
                <w:highlight w:val="none"/>
                <w:lang w:val="zh-CN"/>
              </w:rPr>
              <w:t>货物采购或自产养（种）植成本、包装、运输、装卸、搬运、验收、不合格货物的退换、市场调查、检验检疫费、质量检测费、人工费、税费等其他伴随服务费用</w:t>
            </w:r>
            <w:r>
              <w:rPr>
                <w:rFonts w:ascii="宋体" w:hAnsi="宋体" w:cs="宋体"/>
                <w:color w:val="auto"/>
                <w:sz w:val="22"/>
                <w:szCs w:val="22"/>
                <w:highlight w:val="none"/>
                <w:lang w:val="zh-CN"/>
              </w:rPr>
              <w:t>以及所有风险、责任等</w:t>
            </w:r>
            <w:r>
              <w:rPr>
                <w:rFonts w:hint="eastAsia" w:ascii="宋体" w:hAnsi="宋体" w:cs="宋体"/>
                <w:color w:val="auto"/>
                <w:sz w:val="22"/>
                <w:szCs w:val="22"/>
                <w:highlight w:val="none"/>
                <w:lang w:val="zh-CN"/>
              </w:rPr>
              <w:t>其他一切隐含及不可预见的费用。</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（3）</w:t>
            </w:r>
            <w:r>
              <w:rPr>
                <w:rFonts w:hint="eastAsia" w:ascii="宋体" w:hAnsi="宋体" w:cs="宋体"/>
                <w:color w:val="auto"/>
                <w:sz w:val="22"/>
                <w:szCs w:val="22"/>
                <w:highlight w:val="none"/>
              </w:rPr>
              <w:t>以人民币为结算单位。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6.</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bCs/>
                <w:color w:val="auto"/>
                <w:sz w:val="22"/>
                <w:szCs w:val="22"/>
                <w:highlight w:val="none"/>
              </w:rPr>
            </w:pPr>
            <w:r>
              <w:rPr>
                <w:rFonts w:hint="eastAsia" w:ascii="宋体" w:hAnsi="宋体"/>
                <w:bCs/>
                <w:color w:val="auto"/>
                <w:sz w:val="22"/>
                <w:szCs w:val="22"/>
                <w:highlight w:val="none"/>
              </w:rPr>
              <w:t>保质期</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（1）</w:t>
            </w:r>
            <w:r>
              <w:rPr>
                <w:rFonts w:hint="eastAsia" w:ascii="宋体" w:hAnsi="宋体" w:cs="宋体"/>
                <w:color w:val="auto"/>
                <w:sz w:val="22"/>
                <w:szCs w:val="22"/>
                <w:highlight w:val="none"/>
              </w:rPr>
              <w:t>保质期超过15日的，中标人拟提供货品的剩余保质期不得短于货品标记保质期的75%；</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（2）</w:t>
            </w:r>
            <w:r>
              <w:rPr>
                <w:rFonts w:hint="eastAsia" w:ascii="宋体" w:hAnsi="宋体" w:cs="宋体"/>
                <w:color w:val="auto"/>
                <w:sz w:val="22"/>
                <w:szCs w:val="22"/>
                <w:highlight w:val="none"/>
              </w:rPr>
              <w:t>保质期低于或等于15日的，中标人拟提供货品必须为送货当日制作的货品。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7.</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bCs/>
                <w:color w:val="auto"/>
                <w:sz w:val="22"/>
                <w:szCs w:val="22"/>
                <w:highlight w:val="none"/>
              </w:rPr>
            </w:pPr>
            <w:r>
              <w:rPr>
                <w:rFonts w:hint="eastAsia" w:ascii="宋体" w:hAnsi="宋体"/>
                <w:bCs/>
                <w:color w:val="auto"/>
                <w:sz w:val="22"/>
                <w:szCs w:val="22"/>
                <w:highlight w:val="none"/>
              </w:rPr>
              <w:t>验收要求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（1）</w:t>
            </w:r>
            <w:r>
              <w:rPr>
                <w:rFonts w:hint="eastAsia" w:ascii="宋体" w:hAnsi="宋体" w:cs="宋体"/>
                <w:color w:val="auto"/>
                <w:sz w:val="22"/>
                <w:szCs w:val="22"/>
                <w:highlight w:val="none"/>
              </w:rPr>
              <w:t>中标人应</w:t>
            </w:r>
            <w:r>
              <w:rPr>
                <w:rFonts w:ascii="宋体" w:hAnsi="宋体" w:cs="宋体"/>
                <w:color w:val="auto"/>
                <w:sz w:val="22"/>
                <w:szCs w:val="22"/>
                <w:highlight w:val="none"/>
              </w:rPr>
              <w:t>做好卸货前的检查。</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和</w:t>
            </w:r>
            <w:r>
              <w:rPr>
                <w:rFonts w:hint="eastAsia" w:ascii="宋体" w:hAnsi="宋体" w:cs="宋体"/>
                <w:color w:val="auto"/>
                <w:sz w:val="22"/>
                <w:szCs w:val="22"/>
                <w:highlight w:val="none"/>
              </w:rPr>
              <w:t>中标人</w:t>
            </w:r>
            <w:r>
              <w:rPr>
                <w:rFonts w:ascii="宋体" w:hAnsi="宋体" w:cs="宋体"/>
                <w:color w:val="auto"/>
                <w:sz w:val="22"/>
                <w:szCs w:val="22"/>
                <w:highlight w:val="none"/>
              </w:rPr>
              <w:t>双方的验收人员卸货前应对场地和验收设备做好准备，并对商品的外观质量进行初步了解。</w:t>
            </w:r>
            <w:r>
              <w:rPr>
                <w:rFonts w:hint="eastAsia" w:ascii="宋体" w:hAnsi="宋体" w:cs="宋体"/>
                <w:color w:val="auto"/>
                <w:sz w:val="22"/>
                <w:szCs w:val="22"/>
                <w:highlight w:val="none"/>
              </w:rPr>
              <w:t>食品运输必须采用符合卫生标准的外包装和运输工具，保持清洁和定期消毒，车厢内无不良气味、异味。冷藏、冷冻食品必须用专用冷藏、冷冻载具运输，在运输过程中保持安全的冷藏、冷冻温度，冷冻食品没有曾经解冻痕迹或软化现象，包装呈干爽状态。食品应清洁，无损伤、腐烂现象，外包装完整，无寄生虫或已受虫害现象</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（2）</w:t>
            </w:r>
            <w:r>
              <w:rPr>
                <w:rFonts w:ascii="宋体" w:hAnsi="宋体" w:cs="宋体"/>
                <w:color w:val="auto"/>
                <w:sz w:val="22"/>
                <w:szCs w:val="22"/>
                <w:highlight w:val="none"/>
              </w:rPr>
              <w:t>采取现场验收的方式，验收人员应认真检查物资的质量，按索票、验证—抽查—过磅（清点）—入库的程序完成验收，</w:t>
            </w:r>
            <w:r>
              <w:rPr>
                <w:rFonts w:hint="eastAsia" w:ascii="宋体" w:hAnsi="宋体" w:cs="宋体"/>
                <w:color w:val="auto"/>
                <w:sz w:val="22"/>
                <w:szCs w:val="22"/>
                <w:highlight w:val="none"/>
              </w:rPr>
              <w:t>中标人</w:t>
            </w:r>
            <w:r>
              <w:rPr>
                <w:rFonts w:ascii="宋体" w:hAnsi="宋体" w:cs="宋体"/>
                <w:color w:val="auto"/>
                <w:sz w:val="22"/>
                <w:szCs w:val="22"/>
                <w:highlight w:val="none"/>
              </w:rPr>
              <w:t>可提供原件的留原件，原件只有一份而无法提供给</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的，</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 xml:space="preserve">查验原件后索取复印件留存。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（3）</w:t>
            </w:r>
            <w:r>
              <w:rPr>
                <w:rFonts w:ascii="宋体" w:hAnsi="宋体" w:cs="宋体"/>
                <w:color w:val="auto"/>
                <w:sz w:val="22"/>
                <w:szCs w:val="22"/>
                <w:highlight w:val="none"/>
              </w:rPr>
              <w:t>为确保产品质量及来源符合要求，由</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派出专员为对</w:t>
            </w:r>
            <w:r>
              <w:rPr>
                <w:rFonts w:hint="eastAsia" w:ascii="宋体" w:hAnsi="宋体" w:cs="宋体"/>
                <w:color w:val="auto"/>
                <w:sz w:val="22"/>
                <w:szCs w:val="22"/>
                <w:highlight w:val="none"/>
              </w:rPr>
              <w:t>中标人</w:t>
            </w:r>
            <w:r>
              <w:rPr>
                <w:rFonts w:ascii="宋体" w:hAnsi="宋体" w:cs="宋体"/>
                <w:color w:val="auto"/>
                <w:sz w:val="22"/>
                <w:szCs w:val="22"/>
                <w:highlight w:val="none"/>
              </w:rPr>
              <w:t xml:space="preserve">送达的货物进行检查及签收，签收前将对送达产品的包装完好情况、污染情况、霉变情况、产品来源、质量检验报告、零售价格、交付数量等信息情况进行检查登记，并填写《配送货物验收单》，为产品结算提供依据。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（4）</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有权对</w:t>
            </w:r>
            <w:r>
              <w:rPr>
                <w:rFonts w:hint="eastAsia" w:ascii="宋体" w:hAnsi="宋体" w:cs="宋体"/>
                <w:color w:val="auto"/>
                <w:sz w:val="22"/>
                <w:szCs w:val="22"/>
                <w:highlight w:val="none"/>
              </w:rPr>
              <w:t>中标人</w:t>
            </w:r>
            <w:r>
              <w:rPr>
                <w:rFonts w:ascii="宋体" w:hAnsi="宋体" w:cs="宋体"/>
                <w:color w:val="auto"/>
                <w:sz w:val="22"/>
                <w:szCs w:val="22"/>
                <w:highlight w:val="none"/>
              </w:rPr>
              <w:t>提供的产品进行随机抽样并封存，为在产品使用过程中出现问题时提供依据。样品抽取方式：由</w:t>
            </w:r>
            <w:r>
              <w:rPr>
                <w:rFonts w:hint="eastAsia" w:ascii="宋体" w:hAnsi="宋体" w:cs="宋体"/>
                <w:color w:val="auto"/>
                <w:sz w:val="22"/>
                <w:szCs w:val="22"/>
                <w:highlight w:val="none"/>
              </w:rPr>
              <w:t>招标</w:t>
            </w:r>
            <w:r>
              <w:rPr>
                <w:rFonts w:ascii="宋体" w:hAnsi="宋体" w:cs="宋体"/>
                <w:color w:val="auto"/>
                <w:sz w:val="22"/>
                <w:szCs w:val="22"/>
                <w:highlight w:val="none"/>
              </w:rPr>
              <w:t>方工作人员随机抽取、由双方工作人员签署确认（签署内容包括：产品名称、交付及抽取具体时间等）并封存，封存时间根据不同类型的产品及使用时间而定。</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（5）</w:t>
            </w:r>
            <w:r>
              <w:rPr>
                <w:rFonts w:ascii="宋体" w:hAnsi="宋体" w:cs="宋体"/>
                <w:color w:val="auto"/>
                <w:sz w:val="22"/>
                <w:szCs w:val="22"/>
                <w:highlight w:val="none"/>
              </w:rPr>
              <w:t>每批次每种货物均抽查验收。</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①</w:t>
            </w:r>
            <w:r>
              <w:rPr>
                <w:rFonts w:hint="eastAsia" w:ascii="宋体" w:hAnsi="宋体" w:cs="宋体"/>
                <w:color w:val="auto"/>
                <w:sz w:val="22"/>
                <w:szCs w:val="22"/>
                <w:highlight w:val="none"/>
              </w:rPr>
              <w:t>中标人</w:t>
            </w:r>
            <w:r>
              <w:rPr>
                <w:rFonts w:ascii="宋体" w:hAnsi="宋体" w:cs="宋体"/>
                <w:color w:val="auto"/>
                <w:sz w:val="22"/>
                <w:szCs w:val="22"/>
                <w:highlight w:val="none"/>
              </w:rPr>
              <w:t>供应的食品必须符合食品卫生要求及国家有关标准，如无标准，按行业规范。采购生产、经营证明文件齐备，明确食品来源，并具有检验合格证明。严禁采购有害、有毒、腐烂变质、酸败、霉变、生虫、污垢不洁、混有异物或其他感官性状异常的食品。禁止采购超过保质期限的食品。</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②食品包装必须符合国家规范。采购的食品不得存放在有害、有毒的容器内。食品包装上必须使用原产地标识，应注明：制造商名称和厂址、食品名称和重（容）量、生产日期和保质期限以及规格和食品生产许可证编号等。</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 xml:space="preserve">③对不符合采购要求的食品由验收人员提出清退，退货前应实行留板备案，如双方对质量争议可送国家质监部门检测。对缺斤短两（或含水量超标）的应按实际重量扣减。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（6）</w:t>
            </w:r>
            <w:r>
              <w:rPr>
                <w:rFonts w:ascii="宋体" w:hAnsi="宋体" w:cs="宋体"/>
                <w:color w:val="auto"/>
                <w:sz w:val="22"/>
                <w:szCs w:val="22"/>
                <w:highlight w:val="none"/>
              </w:rPr>
              <w:t xml:space="preserve">按食品质量描述对货物质量进行抽查。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（7）</w:t>
            </w:r>
            <w:r>
              <w:rPr>
                <w:rFonts w:ascii="宋体" w:hAnsi="宋体" w:cs="宋体"/>
                <w:color w:val="auto"/>
                <w:sz w:val="22"/>
                <w:szCs w:val="22"/>
                <w:highlight w:val="none"/>
              </w:rPr>
              <w:t>发现食品安全质量问题的处理：</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①对危及人身安全的食品质量问题采取零容忍措施，</w:t>
            </w:r>
            <w:r>
              <w:rPr>
                <w:rFonts w:hint="eastAsia" w:ascii="宋体" w:hAnsi="宋体" w:cs="宋体"/>
                <w:color w:val="auto"/>
                <w:sz w:val="22"/>
                <w:szCs w:val="22"/>
                <w:highlight w:val="none"/>
              </w:rPr>
              <w:t>中标人</w:t>
            </w:r>
            <w:r>
              <w:rPr>
                <w:rFonts w:ascii="宋体" w:hAnsi="宋体" w:cs="宋体"/>
                <w:color w:val="auto"/>
                <w:sz w:val="22"/>
                <w:szCs w:val="22"/>
                <w:highlight w:val="none"/>
              </w:rPr>
              <w:t>提供假冒伪劣、过期、变质、有毒对身体产生不利影响或不符合卫生标准的食品，一经发现，当日所送同批次食品全部退货，一经发现，当日所送同批次产品全部退货外，中标人将被处以当次供应食品货款2倍的罚款，罚款在供货结算款内扣除。</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②若抽查未发现问题，而在加工食用前发现部分产品质量问题，应立即通知单位伙食物资验收小组及</w:t>
            </w:r>
            <w:r>
              <w:rPr>
                <w:rFonts w:hint="eastAsia" w:ascii="宋体" w:hAnsi="宋体" w:cs="宋体"/>
                <w:color w:val="auto"/>
                <w:sz w:val="22"/>
                <w:szCs w:val="22"/>
                <w:highlight w:val="none"/>
              </w:rPr>
              <w:t>中标人</w:t>
            </w:r>
            <w:r>
              <w:rPr>
                <w:rFonts w:ascii="宋体" w:hAnsi="宋体" w:cs="宋体"/>
                <w:color w:val="auto"/>
                <w:sz w:val="22"/>
                <w:szCs w:val="22"/>
                <w:highlight w:val="none"/>
              </w:rPr>
              <w:t>，将问题产品退货处理。</w:t>
            </w:r>
          </w:p>
          <w:p>
            <w:pPr>
              <w:pStyle w:val="11"/>
              <w:keepNext w:val="0"/>
              <w:keepLines w:val="0"/>
              <w:pageBreakBefore w:val="0"/>
              <w:widowControl/>
              <w:kinsoku/>
              <w:wordWrap/>
              <w:overflowPunct/>
              <w:topLinePunct w:val="0"/>
              <w:bidi w:val="0"/>
              <w:adjustRightInd w:val="0"/>
              <w:snapToGrid w:val="0"/>
              <w:spacing w:before="0" w:after="0" w:line="276" w:lineRule="auto"/>
              <w:ind w:left="0" w:firstLine="440" w:firstLineChars="200"/>
              <w:textAlignment w:val="auto"/>
              <w:rPr>
                <w:rFonts w:hint="eastAsia" w:ascii="宋体" w:hAnsi="宋体" w:cs="宋体"/>
                <w:color w:val="auto"/>
                <w:sz w:val="22"/>
                <w:szCs w:val="22"/>
                <w:highlight w:val="none"/>
              </w:rPr>
            </w:pPr>
            <w:r>
              <w:rPr>
                <w:rFonts w:ascii="宋体" w:hAnsi="宋体" w:cs="宋体"/>
                <w:color w:val="auto"/>
                <w:sz w:val="22"/>
                <w:szCs w:val="22"/>
                <w:highlight w:val="none"/>
              </w:rPr>
              <w:t>③</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退货后将记录在案，并对</w:t>
            </w:r>
            <w:r>
              <w:rPr>
                <w:rFonts w:hint="eastAsia" w:ascii="宋体" w:hAnsi="宋体" w:cs="宋体"/>
                <w:color w:val="auto"/>
                <w:sz w:val="22"/>
                <w:szCs w:val="22"/>
                <w:highlight w:val="none"/>
              </w:rPr>
              <w:t>中标人</w:t>
            </w:r>
            <w:r>
              <w:rPr>
                <w:rFonts w:ascii="宋体" w:hAnsi="宋体" w:cs="宋体"/>
                <w:color w:val="auto"/>
                <w:sz w:val="22"/>
                <w:szCs w:val="22"/>
                <w:highlight w:val="none"/>
              </w:rPr>
              <w:t>予以处罚，</w:t>
            </w:r>
            <w:r>
              <w:rPr>
                <w:rFonts w:hint="eastAsia" w:ascii="宋体" w:hAnsi="宋体" w:cs="宋体"/>
                <w:color w:val="auto"/>
                <w:sz w:val="22"/>
                <w:szCs w:val="22"/>
                <w:highlight w:val="none"/>
              </w:rPr>
              <w:t>中标人</w:t>
            </w:r>
            <w:r>
              <w:rPr>
                <w:rFonts w:ascii="宋体" w:hAnsi="宋体" w:cs="宋体"/>
                <w:color w:val="auto"/>
                <w:sz w:val="22"/>
                <w:szCs w:val="22"/>
                <w:highlight w:val="none"/>
              </w:rPr>
              <w:t>除要承担因此产生的一切损失和费用外，同时</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有权终止合同。</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（8）</w:t>
            </w:r>
            <w:r>
              <w:rPr>
                <w:rFonts w:hint="eastAsia" w:ascii="宋体" w:hAnsi="宋体" w:cs="宋体"/>
                <w:color w:val="auto"/>
                <w:sz w:val="22"/>
                <w:szCs w:val="22"/>
                <w:highlight w:val="none"/>
              </w:rPr>
              <w:t>退（补）货流程：对不符合质量要求的货物由</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使用单位验收人员提出清退，如双方对质量或重量有争议的可送具有检验资质的部门检测，同时留样备检，对数量不足或部分退货的，责成中标人以不影响</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使用单位供应为前提尽快补送，若中标人无法补齐数量的，由</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自行采购，中标人应承担</w:t>
            </w:r>
            <w:r>
              <w:rPr>
                <w:rFonts w:hint="eastAsia" w:ascii="宋体" w:hAnsi="宋体" w:cs="宋体"/>
                <w:color w:val="auto"/>
                <w:sz w:val="22"/>
                <w:szCs w:val="22"/>
                <w:highlight w:val="none"/>
                <w:lang w:eastAsia="zh-CN"/>
              </w:rPr>
              <w:t>采购人</w:t>
            </w:r>
            <w:r>
              <w:rPr>
                <w:rFonts w:hint="eastAsia" w:ascii="宋体" w:hAnsi="宋体" w:cs="宋体"/>
                <w:color w:val="auto"/>
                <w:sz w:val="22"/>
                <w:szCs w:val="22"/>
                <w:highlight w:val="none"/>
              </w:rPr>
              <w:t>由此造成的经济损失和接受处罚。在退货过程中，对有碍公共卫生安全的食品，应按国家有关规定处理或进行协议销毁，不退货给中标人。</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（9）</w:t>
            </w:r>
            <w:r>
              <w:rPr>
                <w:rFonts w:ascii="宋体" w:hAnsi="宋体" w:cs="宋体"/>
                <w:color w:val="auto"/>
                <w:sz w:val="22"/>
                <w:szCs w:val="22"/>
                <w:highlight w:val="none"/>
              </w:rPr>
              <w:t>货物的质量问题争议及解决办法：因货物的质量问题发生争议，由</w:t>
            </w:r>
            <w:r>
              <w:rPr>
                <w:rFonts w:hint="eastAsia" w:ascii="宋体" w:hAnsi="宋体" w:cs="宋体"/>
                <w:color w:val="auto"/>
                <w:sz w:val="22"/>
                <w:szCs w:val="22"/>
                <w:highlight w:val="none"/>
              </w:rPr>
              <w:t>东莞</w:t>
            </w:r>
            <w:r>
              <w:rPr>
                <w:rFonts w:ascii="宋体" w:hAnsi="宋体" w:cs="宋体"/>
                <w:color w:val="auto"/>
                <w:sz w:val="22"/>
                <w:szCs w:val="22"/>
                <w:highlight w:val="none"/>
              </w:rPr>
              <w:t>市质量技术监督局或国家法定的质量鉴定单位进行质量鉴定。货物符合质量标准的，鉴定费由</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承担；食品不符合质量标准的，鉴定费</w:t>
            </w:r>
            <w:r>
              <w:rPr>
                <w:rFonts w:hint="eastAsia" w:ascii="宋体" w:hAnsi="宋体" w:cs="宋体"/>
                <w:color w:val="auto"/>
                <w:sz w:val="22"/>
                <w:szCs w:val="22"/>
                <w:highlight w:val="none"/>
              </w:rPr>
              <w:t>中标人</w:t>
            </w:r>
            <w:r>
              <w:rPr>
                <w:rFonts w:ascii="宋体" w:hAnsi="宋体" w:cs="宋体"/>
                <w:color w:val="auto"/>
                <w:sz w:val="22"/>
                <w:szCs w:val="22"/>
                <w:highlight w:val="none"/>
              </w:rPr>
              <w:t>承担，并且</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有权追究</w:t>
            </w:r>
            <w:r>
              <w:rPr>
                <w:rFonts w:hint="eastAsia" w:ascii="宋体" w:hAnsi="宋体" w:cs="宋体"/>
                <w:color w:val="auto"/>
                <w:sz w:val="22"/>
                <w:szCs w:val="22"/>
                <w:highlight w:val="none"/>
              </w:rPr>
              <w:t>中标人</w:t>
            </w:r>
            <w:r>
              <w:rPr>
                <w:rFonts w:ascii="宋体" w:hAnsi="宋体" w:cs="宋体"/>
                <w:color w:val="auto"/>
                <w:sz w:val="22"/>
                <w:szCs w:val="22"/>
                <w:highlight w:val="none"/>
              </w:rPr>
              <w:t xml:space="preserve">的相关责任。 </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2" w:firstLineChars="200"/>
              <w:textAlignment w:val="auto"/>
              <w:rPr>
                <w:rFonts w:hint="eastAsia" w:ascii="宋体" w:hAnsi="宋体" w:cs="宋体"/>
                <w:b/>
                <w:color w:val="auto"/>
                <w:sz w:val="22"/>
                <w:szCs w:val="22"/>
                <w:highlight w:val="none"/>
              </w:rPr>
            </w:pPr>
            <w:r>
              <w:rPr>
                <w:rFonts w:hint="eastAsia" w:ascii="宋体" w:hAnsi="宋体" w:cs="宋体"/>
                <w:b/>
                <w:color w:val="auto"/>
                <w:kern w:val="2"/>
                <w:sz w:val="22"/>
                <w:szCs w:val="22"/>
                <w:highlight w:val="none"/>
                <w:lang w:val="en-US" w:eastAsia="zh-CN" w:bidi="ar-SA"/>
              </w:rPr>
              <w:t>（10）</w:t>
            </w:r>
            <w:r>
              <w:rPr>
                <w:rFonts w:ascii="宋体" w:hAnsi="宋体" w:cs="宋体"/>
                <w:b/>
                <w:color w:val="auto"/>
                <w:sz w:val="22"/>
                <w:szCs w:val="22"/>
                <w:highlight w:val="none"/>
              </w:rPr>
              <w:t>★如</w:t>
            </w:r>
            <w:r>
              <w:rPr>
                <w:rFonts w:hint="eastAsia" w:ascii="宋体" w:hAnsi="宋体" w:cs="宋体"/>
                <w:b/>
                <w:color w:val="auto"/>
                <w:sz w:val="22"/>
                <w:szCs w:val="22"/>
                <w:highlight w:val="none"/>
              </w:rPr>
              <w:t>中标人</w:t>
            </w:r>
            <w:r>
              <w:rPr>
                <w:rFonts w:ascii="宋体" w:hAnsi="宋体" w:cs="宋体"/>
                <w:b/>
                <w:color w:val="auto"/>
                <w:sz w:val="22"/>
                <w:szCs w:val="22"/>
                <w:highlight w:val="none"/>
              </w:rPr>
              <w:t>提供有毒、变质等食品，造成食品安全事故的，经有关单位鉴定原因后，如确实为</w:t>
            </w:r>
            <w:r>
              <w:rPr>
                <w:rFonts w:hint="eastAsia" w:ascii="宋体" w:hAnsi="宋体" w:cs="宋体"/>
                <w:b/>
                <w:color w:val="auto"/>
                <w:sz w:val="22"/>
                <w:szCs w:val="22"/>
                <w:highlight w:val="none"/>
              </w:rPr>
              <w:t>中标人</w:t>
            </w:r>
            <w:r>
              <w:rPr>
                <w:rFonts w:ascii="宋体" w:hAnsi="宋体" w:cs="宋体"/>
                <w:b/>
                <w:color w:val="auto"/>
                <w:sz w:val="22"/>
                <w:szCs w:val="22"/>
                <w:highlight w:val="none"/>
              </w:rPr>
              <w:t>提供之食品问题，</w:t>
            </w:r>
            <w:r>
              <w:rPr>
                <w:rFonts w:hint="eastAsia" w:ascii="宋体" w:hAnsi="宋体" w:cs="宋体"/>
                <w:b/>
                <w:color w:val="auto"/>
                <w:sz w:val="22"/>
                <w:szCs w:val="22"/>
                <w:highlight w:val="none"/>
              </w:rPr>
              <w:t>中标人</w:t>
            </w:r>
            <w:r>
              <w:rPr>
                <w:rFonts w:ascii="宋体" w:hAnsi="宋体" w:cs="宋体"/>
                <w:b/>
                <w:color w:val="auto"/>
                <w:sz w:val="22"/>
                <w:szCs w:val="22"/>
                <w:highlight w:val="none"/>
              </w:rPr>
              <w:t>除需负担全数之医药费及鉴定费用外，</w:t>
            </w:r>
            <w:r>
              <w:rPr>
                <w:rFonts w:hint="eastAsia" w:ascii="宋体" w:hAnsi="宋体" w:cs="宋体"/>
                <w:b/>
                <w:color w:val="auto"/>
                <w:sz w:val="22"/>
                <w:szCs w:val="22"/>
                <w:highlight w:val="none"/>
                <w:lang w:eastAsia="zh-CN"/>
              </w:rPr>
              <w:t>采购人</w:t>
            </w:r>
            <w:r>
              <w:rPr>
                <w:rFonts w:ascii="宋体" w:hAnsi="宋体" w:cs="宋体"/>
                <w:b/>
                <w:color w:val="auto"/>
                <w:sz w:val="22"/>
                <w:szCs w:val="22"/>
                <w:highlight w:val="none"/>
              </w:rPr>
              <w:t>取消</w:t>
            </w:r>
            <w:r>
              <w:rPr>
                <w:rFonts w:hint="eastAsia" w:ascii="宋体" w:hAnsi="宋体" w:cs="宋体"/>
                <w:b/>
                <w:color w:val="auto"/>
                <w:sz w:val="22"/>
                <w:szCs w:val="22"/>
                <w:highlight w:val="none"/>
              </w:rPr>
              <w:t>中标人</w:t>
            </w:r>
            <w:r>
              <w:rPr>
                <w:rFonts w:ascii="宋体" w:hAnsi="宋体" w:cs="宋体"/>
                <w:b/>
                <w:color w:val="auto"/>
                <w:sz w:val="22"/>
                <w:szCs w:val="22"/>
                <w:highlight w:val="none"/>
              </w:rPr>
              <w:t>供货资格。</w:t>
            </w:r>
            <w:r>
              <w:rPr>
                <w:rFonts w:hint="eastAsia" w:ascii="宋体" w:hAnsi="宋体" w:cs="宋体"/>
                <w:b/>
                <w:color w:val="auto"/>
                <w:sz w:val="22"/>
                <w:szCs w:val="22"/>
                <w:highlight w:val="none"/>
                <w:lang w:eastAsia="zh-CN"/>
              </w:rPr>
              <w:t>采购人</w:t>
            </w:r>
            <w:r>
              <w:rPr>
                <w:rFonts w:ascii="宋体" w:hAnsi="宋体" w:cs="宋体"/>
                <w:b/>
                <w:color w:val="auto"/>
                <w:sz w:val="22"/>
                <w:szCs w:val="22"/>
                <w:highlight w:val="none"/>
              </w:rPr>
              <w:t>取消</w:t>
            </w:r>
            <w:r>
              <w:rPr>
                <w:rFonts w:hint="eastAsia" w:ascii="宋体" w:hAnsi="宋体" w:cs="宋体"/>
                <w:b/>
                <w:color w:val="auto"/>
                <w:sz w:val="22"/>
                <w:szCs w:val="22"/>
                <w:highlight w:val="none"/>
              </w:rPr>
              <w:t>中标人</w:t>
            </w:r>
            <w:r>
              <w:rPr>
                <w:rFonts w:ascii="宋体" w:hAnsi="宋体" w:cs="宋体"/>
                <w:b/>
                <w:color w:val="auto"/>
                <w:sz w:val="22"/>
                <w:szCs w:val="22"/>
                <w:highlight w:val="none"/>
              </w:rPr>
              <w:t>供货合同，</w:t>
            </w:r>
            <w:r>
              <w:rPr>
                <w:rFonts w:hint="eastAsia" w:ascii="宋体" w:hAnsi="宋体" w:cs="宋体"/>
                <w:b/>
                <w:color w:val="auto"/>
                <w:sz w:val="22"/>
                <w:szCs w:val="22"/>
                <w:highlight w:val="none"/>
              </w:rPr>
              <w:t>中标人</w:t>
            </w:r>
            <w:r>
              <w:rPr>
                <w:rFonts w:ascii="宋体" w:hAnsi="宋体" w:cs="宋体"/>
                <w:b/>
                <w:color w:val="auto"/>
                <w:sz w:val="22"/>
                <w:szCs w:val="22"/>
                <w:highlight w:val="none"/>
              </w:rPr>
              <w:t>同时承担相应的民事及刑事法律责任及放弃先诉抗辩权。</w:t>
            </w:r>
            <w:r>
              <w:rPr>
                <w:rFonts w:hint="eastAsia" w:ascii="宋体" w:hAnsi="宋体" w:cs="宋体"/>
                <w:b/>
                <w:color w:val="auto"/>
                <w:sz w:val="22"/>
                <w:szCs w:val="22"/>
                <w:highlight w:val="none"/>
              </w:rPr>
              <w:t>（需提交承诺函并加盖投标人公章，承诺书格式供应商自定义）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8.</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bCs/>
                <w:color w:val="auto"/>
                <w:sz w:val="22"/>
                <w:szCs w:val="22"/>
                <w:highlight w:val="none"/>
              </w:rPr>
            </w:pPr>
            <w:r>
              <w:rPr>
                <w:rFonts w:hint="eastAsia" w:ascii="宋体" w:hAnsi="宋体"/>
                <w:color w:val="auto"/>
                <w:sz w:val="22"/>
                <w:szCs w:val="22"/>
                <w:highlight w:val="none"/>
              </w:rPr>
              <w:t>★</w:t>
            </w:r>
            <w:r>
              <w:rPr>
                <w:color w:val="auto"/>
                <w:highlight w:val="none"/>
              </w:rPr>
              <w:t>食品安全保障要求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pageBreakBefore w:val="0"/>
              <w:widowControl/>
              <w:kinsoku/>
              <w:wordWrap/>
              <w:overflowPunct/>
              <w:topLinePunct w:val="0"/>
              <w:bidi w:val="0"/>
              <w:adjustRightInd w:val="0"/>
              <w:snapToGrid w:val="0"/>
              <w:spacing w:line="276" w:lineRule="auto"/>
              <w:ind w:left="0" w:firstLine="440" w:firstLineChars="200"/>
              <w:textAlignment w:val="auto"/>
              <w:rPr>
                <w:rFonts w:hint="eastAsia" w:ascii="宋体" w:hAnsi="宋体"/>
                <w:color w:val="auto"/>
                <w:sz w:val="22"/>
                <w:szCs w:val="22"/>
                <w:highlight w:val="none"/>
              </w:rPr>
            </w:pPr>
            <w:r>
              <w:rPr>
                <w:rFonts w:hint="eastAsia" w:ascii="宋体" w:hAnsi="宋体"/>
                <w:color w:val="auto"/>
                <w:sz w:val="22"/>
                <w:szCs w:val="22"/>
                <w:highlight w:val="none"/>
              </w:rPr>
              <w:t>因本项目为</w:t>
            </w:r>
            <w:r>
              <w:rPr>
                <w:rFonts w:hint="eastAsia" w:ascii="宋体" w:hAnsi="宋体"/>
                <w:color w:val="auto"/>
                <w:sz w:val="22"/>
                <w:szCs w:val="22"/>
                <w:highlight w:val="none"/>
                <w:lang w:eastAsia="zh-CN"/>
              </w:rPr>
              <w:t>食品</w:t>
            </w:r>
            <w:r>
              <w:rPr>
                <w:rFonts w:hint="eastAsia" w:ascii="宋体" w:hAnsi="宋体"/>
                <w:color w:val="auto"/>
                <w:sz w:val="22"/>
                <w:szCs w:val="22"/>
                <w:highlight w:val="none"/>
              </w:rPr>
              <w:t>配送服务，可能因疏忽或过失致使食物中毒或其他食源性疾患，或因食物中掺有异物，造成人身损害或财产损失，为保证</w:t>
            </w:r>
            <w:r>
              <w:rPr>
                <w:rFonts w:hint="eastAsia" w:ascii="宋体" w:hAnsi="宋体"/>
                <w:color w:val="auto"/>
                <w:sz w:val="22"/>
                <w:szCs w:val="22"/>
                <w:highlight w:val="none"/>
                <w:lang w:eastAsia="zh-CN"/>
              </w:rPr>
              <w:t>采购人</w:t>
            </w:r>
            <w:r>
              <w:rPr>
                <w:rFonts w:hint="eastAsia" w:ascii="宋体" w:hAnsi="宋体"/>
                <w:color w:val="auto"/>
                <w:sz w:val="22"/>
                <w:szCs w:val="22"/>
                <w:highlight w:val="none"/>
              </w:rPr>
              <w:t>权益，中标人须以承诺函形式承诺：合同签订后五个工作日内为</w:t>
            </w:r>
            <w:r>
              <w:rPr>
                <w:rFonts w:hint="eastAsia" w:ascii="宋体" w:hAnsi="宋体"/>
                <w:color w:val="auto"/>
                <w:sz w:val="22"/>
                <w:szCs w:val="22"/>
                <w:highlight w:val="none"/>
                <w:lang w:eastAsia="zh-CN"/>
              </w:rPr>
              <w:t>采购人</w:t>
            </w:r>
            <w:r>
              <w:rPr>
                <w:rFonts w:hint="eastAsia" w:ascii="宋体" w:hAnsi="宋体"/>
                <w:color w:val="auto"/>
                <w:sz w:val="22"/>
                <w:szCs w:val="22"/>
                <w:highlight w:val="none"/>
              </w:rPr>
              <w:t>提供一份以</w:t>
            </w:r>
            <w:r>
              <w:rPr>
                <w:rFonts w:hint="eastAsia" w:ascii="宋体" w:hAnsi="宋体"/>
                <w:color w:val="auto"/>
                <w:sz w:val="22"/>
                <w:szCs w:val="22"/>
                <w:highlight w:val="none"/>
                <w:lang w:eastAsia="zh-CN"/>
              </w:rPr>
              <w:t>采购人</w:t>
            </w:r>
            <w:r>
              <w:rPr>
                <w:rFonts w:hint="eastAsia" w:ascii="宋体" w:hAnsi="宋体"/>
                <w:color w:val="auto"/>
                <w:sz w:val="22"/>
                <w:szCs w:val="22"/>
                <w:highlight w:val="none"/>
              </w:rPr>
              <w:t>为受益人、额度不低于人民币3000万元（含3000万元）的保险（食品安全责任险或公众责任保险），保险承保期限不短于合同有效期。保单需给</w:t>
            </w:r>
            <w:r>
              <w:rPr>
                <w:rFonts w:hint="eastAsia" w:ascii="宋体" w:hAnsi="宋体"/>
                <w:color w:val="auto"/>
                <w:sz w:val="22"/>
                <w:szCs w:val="22"/>
                <w:highlight w:val="none"/>
                <w:lang w:eastAsia="zh-CN"/>
              </w:rPr>
              <w:t>采购人</w:t>
            </w:r>
            <w:r>
              <w:rPr>
                <w:rFonts w:hint="eastAsia" w:ascii="宋体" w:hAnsi="宋体"/>
                <w:color w:val="auto"/>
                <w:sz w:val="22"/>
                <w:szCs w:val="22"/>
                <w:highlight w:val="none"/>
              </w:rPr>
              <w:t>保存。</w:t>
            </w:r>
            <w:r>
              <w:rPr>
                <w:rFonts w:hint="eastAsia" w:ascii="宋体" w:hAnsi="宋体" w:cs="宋体"/>
                <w:color w:val="auto"/>
                <w:sz w:val="22"/>
                <w:szCs w:val="22"/>
                <w:highlight w:val="none"/>
              </w:rPr>
              <w:t>（需提交承诺函并加盖投标人公章，承诺书格式供应商由自定义）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9.</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bCs/>
                <w:color w:val="auto"/>
                <w:sz w:val="22"/>
                <w:szCs w:val="22"/>
                <w:highlight w:val="none"/>
              </w:rPr>
            </w:pPr>
            <w:r>
              <w:rPr>
                <w:color w:val="auto"/>
                <w:highlight w:val="none"/>
              </w:rPr>
              <w:t>人员配置及管理要求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（1）</w:t>
            </w:r>
            <w:r>
              <w:rPr>
                <w:rFonts w:ascii="宋体" w:hAnsi="宋体" w:cs="宋体"/>
                <w:color w:val="auto"/>
                <w:sz w:val="22"/>
                <w:szCs w:val="22"/>
                <w:highlight w:val="none"/>
              </w:rPr>
              <w:t>中标人应为本项目配置一个由负责人（1人）、驾驶员（不少于1人）、理货员（不少于2人）组成专责工作组，为本项目提供配送服务。</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（2）</w:t>
            </w:r>
            <w:r>
              <w:rPr>
                <w:rFonts w:ascii="宋体" w:hAnsi="宋体" w:cs="宋体"/>
                <w:color w:val="auto"/>
                <w:sz w:val="22"/>
                <w:szCs w:val="22"/>
                <w:highlight w:val="none"/>
              </w:rPr>
              <w:t>专责工作组成员应为中标人属下的固定工作人员，具有健康证明。</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（3）</w:t>
            </w:r>
            <w:r>
              <w:rPr>
                <w:rFonts w:ascii="宋体" w:hAnsi="宋体" w:cs="宋体"/>
                <w:color w:val="auto"/>
                <w:sz w:val="22"/>
                <w:szCs w:val="22"/>
                <w:highlight w:val="none"/>
              </w:rPr>
              <w:t>专责工作组的负责人应具备较高的业务水平、工作协调能力及较高的道德素质。</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（4）</w:t>
            </w:r>
            <w:r>
              <w:rPr>
                <w:rFonts w:ascii="宋体" w:hAnsi="宋体" w:cs="宋体"/>
                <w:color w:val="auto"/>
                <w:sz w:val="22"/>
                <w:szCs w:val="22"/>
                <w:highlight w:val="none"/>
              </w:rPr>
              <w:t>为了便于沟通和管理</w:t>
            </w:r>
            <w:r>
              <w:rPr>
                <w:rFonts w:hint="eastAsia" w:ascii="宋体" w:hAnsi="宋体" w:cs="宋体"/>
                <w:color w:val="auto"/>
                <w:sz w:val="22"/>
                <w:szCs w:val="22"/>
                <w:highlight w:val="none"/>
              </w:rPr>
              <w:t>，</w:t>
            </w:r>
            <w:r>
              <w:rPr>
                <w:rFonts w:ascii="宋体" w:hAnsi="宋体" w:cs="宋体"/>
                <w:color w:val="auto"/>
                <w:sz w:val="22"/>
                <w:szCs w:val="22"/>
                <w:highlight w:val="none"/>
              </w:rPr>
              <w:t>中标人在与</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签订本项目合同时，应将专责工作组成员的身份证明、在中标人缴交社保的证明、健康证明、联系方式报</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备案。相关人员在本项目配送服务期内不得随意更换，如确因实际情况需要更换的，在事前应征得</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书面同意，并将拟更换人员的身份证明、在中标人缴交社保的证明、健康证明、联系方式报</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备案、登记，否则，</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将根据本项目的考核办法对中标人进行处理。如在本项目供货期内，相关人员或联系方式发生变动的，应及时通知</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（5）</w:t>
            </w:r>
            <w:r>
              <w:rPr>
                <w:rFonts w:ascii="宋体" w:hAnsi="宋体" w:cs="宋体"/>
                <w:color w:val="auto"/>
                <w:sz w:val="22"/>
                <w:szCs w:val="22"/>
                <w:highlight w:val="none"/>
              </w:rPr>
              <w:t>在本项目配送服务期内，</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有权根据中标人提交的人员备案资料对相关工作人员的身份进行核实，如发现有相关人员的身份与备案资料不相符的，按擅自更换配送服务人员的处理办法对中标人进行处理。</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hint="eastAsia" w:ascii="宋体" w:hAnsi="宋体"/>
                <w:b/>
                <w:color w:val="auto"/>
                <w:sz w:val="22"/>
                <w:szCs w:val="22"/>
                <w:highlight w:val="none"/>
              </w:rPr>
            </w:pPr>
            <w:r>
              <w:rPr>
                <w:rFonts w:hint="eastAsia" w:ascii="宋体" w:hAnsi="宋体"/>
                <w:b w:val="0"/>
                <w:color w:val="auto"/>
                <w:kern w:val="2"/>
                <w:sz w:val="22"/>
                <w:szCs w:val="22"/>
                <w:highlight w:val="none"/>
                <w:lang w:val="en-US" w:eastAsia="zh-CN" w:bidi="ar-SA"/>
              </w:rPr>
              <w:t>（6）</w:t>
            </w:r>
            <w:r>
              <w:rPr>
                <w:rFonts w:ascii="宋体" w:hAnsi="宋体" w:cs="宋体"/>
                <w:color w:val="auto"/>
                <w:sz w:val="22"/>
                <w:szCs w:val="22"/>
                <w:highlight w:val="none"/>
              </w:rPr>
              <w:t>中标人须对配送人员严格管理，对他们的行为负全责。配送人员在</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单位内的一切行为须严格遵守法律法规、安全规范及</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的各项规章制度等，若配送人员出现损害</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形象和利益、意外伤亡事故或触犯国家法律等情况的，由中标人承担一切经济责任及法律责任。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10.</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bCs/>
                <w:color w:val="auto"/>
                <w:sz w:val="22"/>
                <w:szCs w:val="22"/>
                <w:highlight w:val="none"/>
              </w:rPr>
            </w:pPr>
            <w:r>
              <w:rPr>
                <w:color w:val="auto"/>
                <w:highlight w:val="none"/>
              </w:rPr>
              <w:t>货物配送车辆配置及管理要求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（1）</w:t>
            </w:r>
            <w:r>
              <w:rPr>
                <w:rFonts w:ascii="宋体" w:hAnsi="宋体" w:cs="宋体"/>
                <w:color w:val="auto"/>
                <w:sz w:val="22"/>
                <w:szCs w:val="22"/>
                <w:highlight w:val="none"/>
              </w:rPr>
              <w:t>中标人应为本项目配置不少于1辆专用配送车辆为本项目提供配送服务。相关车辆的信息在签订本项目合同时报</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备案、登记，以便于管理。</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（2）</w:t>
            </w:r>
            <w:r>
              <w:rPr>
                <w:rFonts w:ascii="宋体" w:hAnsi="宋体" w:cs="宋体"/>
                <w:color w:val="auto"/>
                <w:sz w:val="22"/>
                <w:szCs w:val="22"/>
                <w:highlight w:val="none"/>
              </w:rPr>
              <w:t>备案、登记车辆不得随意更换，如因实际原因（如：年审、季审、故障维修）不能出车的，中标人应及时向</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报告，否则，</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将根据擅自更换配送车辆的处罚办法对中标人进行处罚。</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（3）</w:t>
            </w:r>
            <w:r>
              <w:rPr>
                <w:rFonts w:ascii="宋体" w:hAnsi="宋体" w:cs="宋体"/>
                <w:color w:val="auto"/>
                <w:sz w:val="22"/>
                <w:szCs w:val="22"/>
                <w:highlight w:val="none"/>
              </w:rPr>
              <w:t>食品运输必须采用符合卫生标准的外包装和运载工具，并且要保持清洁和定期消毒。运输车厢的内仓，包括地面、墙面和顶，应使用抗腐蚀、防潮，易清洁消毒的材料。车厢内无不良气味、异味。</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（4）</w:t>
            </w:r>
            <w:r>
              <w:rPr>
                <w:rFonts w:ascii="宋体" w:hAnsi="宋体" w:cs="宋体"/>
                <w:color w:val="auto"/>
                <w:sz w:val="22"/>
                <w:szCs w:val="22"/>
                <w:highlight w:val="none"/>
              </w:rPr>
              <w:t>冷藏、冷冻食品必须用专用冷藏、冷冻载具运输，应当有必要的保温设备并在整个运输过程中保持安全的冷藏、冷冻温度。特别是对于长途运输的食品，保证食品在运输全过程处于合适的温度范围。整个运输过程应科学合理，运输车辆应定期清洁，保持性能稳定，符合规定的温度要求，使运输食品处于恒定的环境中。</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（5）</w:t>
            </w:r>
            <w:r>
              <w:rPr>
                <w:rFonts w:ascii="宋体" w:hAnsi="宋体" w:cs="宋体"/>
                <w:color w:val="auto"/>
                <w:sz w:val="22"/>
                <w:szCs w:val="22"/>
                <w:highlight w:val="none"/>
              </w:rPr>
              <w:t>送货车辆实行一小时配送圈运作，目的地在一小时内的用保温车配送，一小时以外的用制冷车配送，保证运输过程冷链不中断。商品到达目的地时外包装箱干爽，无软化现象。</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（6）</w:t>
            </w:r>
            <w:r>
              <w:rPr>
                <w:rFonts w:ascii="宋体" w:hAnsi="宋体" w:cs="宋体"/>
                <w:color w:val="auto"/>
                <w:sz w:val="22"/>
                <w:szCs w:val="22"/>
                <w:highlight w:val="none"/>
              </w:rPr>
              <w:t>送货车辆应保持清洁；食品堆放科学合理，避免造成食品的交叉污染；如对温度有要求的食品应确定食品的温度，记录送货车辆温度，并记录存档。</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textAlignment w:val="auto"/>
              <w:rPr>
                <w:rFonts w:ascii="宋体" w:hAnsi="宋体" w:cs="宋体"/>
                <w:color w:val="auto"/>
                <w:sz w:val="22"/>
                <w:szCs w:val="22"/>
                <w:highlight w:val="none"/>
              </w:rPr>
            </w:pPr>
            <w:r>
              <w:rPr>
                <w:rFonts w:hint="eastAsia" w:ascii="宋体" w:hAnsi="宋体" w:cs="宋体"/>
                <w:b w:val="0"/>
                <w:color w:val="auto"/>
                <w:kern w:val="2"/>
                <w:sz w:val="22"/>
                <w:szCs w:val="22"/>
                <w:highlight w:val="none"/>
                <w:lang w:val="en-US" w:eastAsia="zh-CN" w:bidi="ar-SA"/>
              </w:rPr>
              <w:t>（7）</w:t>
            </w:r>
            <w:r>
              <w:rPr>
                <w:rFonts w:ascii="宋体" w:hAnsi="宋体" w:cs="宋体"/>
                <w:color w:val="auto"/>
                <w:sz w:val="22"/>
                <w:szCs w:val="22"/>
                <w:highlight w:val="none"/>
              </w:rPr>
              <w:t>在配送卸货环节中应保证冷藏食品脱离冷链时间不得超过20分钟，冷冻食品脱离冷链时间不得超过30分钟。</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20" w:firstLineChars="200"/>
              <w:textAlignment w:val="auto"/>
              <w:rPr>
                <w:b/>
                <w:color w:val="auto"/>
                <w:highlight w:val="none"/>
              </w:rPr>
            </w:pPr>
            <w:r>
              <w:rPr>
                <w:rFonts w:hint="eastAsia" w:ascii="Times New Roman" w:hAnsi="Times New Roman"/>
                <w:b w:val="0"/>
                <w:color w:val="auto"/>
                <w:kern w:val="2"/>
                <w:sz w:val="21"/>
                <w:szCs w:val="24"/>
                <w:highlight w:val="none"/>
                <w:lang w:val="en-US" w:eastAsia="zh-CN" w:bidi="ar-SA"/>
              </w:rPr>
              <w:t>（8）</w:t>
            </w:r>
            <w:r>
              <w:rPr>
                <w:rFonts w:ascii="宋体" w:hAnsi="宋体" w:cs="宋体"/>
                <w:color w:val="auto"/>
                <w:sz w:val="22"/>
                <w:szCs w:val="22"/>
                <w:highlight w:val="none"/>
              </w:rPr>
              <w:t>中标人对运输车辆安全行驶及驾驶员负有管理和安全教育责任，如因运输车辆或驾驶员的原因造成</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或第三方人员或财产受到损害的，由此产生的一切责任由中标人承担，同时，</w:t>
            </w:r>
            <w:r>
              <w:rPr>
                <w:rFonts w:hint="eastAsia" w:ascii="宋体" w:hAnsi="宋体" w:cs="宋体"/>
                <w:color w:val="auto"/>
                <w:sz w:val="22"/>
                <w:szCs w:val="22"/>
                <w:highlight w:val="none"/>
                <w:lang w:eastAsia="zh-CN"/>
              </w:rPr>
              <w:t>采购人</w:t>
            </w:r>
            <w:r>
              <w:rPr>
                <w:rFonts w:ascii="宋体" w:hAnsi="宋体" w:cs="宋体"/>
                <w:color w:val="auto"/>
                <w:sz w:val="22"/>
                <w:szCs w:val="22"/>
                <w:highlight w:val="none"/>
              </w:rPr>
              <w:t>有权根据考核办法对中标人进行处理。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hint="eastAsia"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11.</w:t>
            </w:r>
          </w:p>
        </w:tc>
        <w:tc>
          <w:tcPr>
            <w:tcW w:w="714" w:type="pct"/>
            <w:tcBorders>
              <w:top w:val="single" w:color="auto" w:sz="6" w:space="0"/>
              <w:left w:val="single" w:color="auto" w:sz="6" w:space="0"/>
              <w:bottom w:val="single" w:color="auto" w:sz="6" w:space="0"/>
              <w:right w:val="single" w:color="auto" w:sz="6" w:space="0"/>
            </w:tcBorders>
            <w:noWrap w:val="0"/>
            <w:vAlign w:val="center"/>
          </w:tcPr>
          <w:p>
            <w:pPr>
              <w:spacing w:line="276" w:lineRule="auto"/>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其他说明</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（1）如因中标人服务期间造成第三方损失的，由中标人承担全部责任。</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（2）中标人不得将中标项目转让给他人，也不得将中标项目分解转让给他人。</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3）中标人除不可抗力外，不得因其他任何理由延迟送货。招标人使用单位如遇特殊情况需推迟送货，应提前通知中标人。因中标人原因延误交货日期的（采购单位要求推迟的除外），招标人使用单位有权自行采购，并由中标人承担由此产生的一切损失和费用。</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（4）中标人不得变更供应商品，应严格按招标人要求（如商标、名称、产地、规格和重量等）和投标相关承诺（货物质量要求等）供应，否则，招标人使用单位有权拒收。</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（5）招标人使用单位按合同对商品进行认真验收，对不符合规格要求的商品，中标人必须无条件退货；中标人未能履行招标文件和合同所定事项, 或供应不合格的、假冒伪劣、以次充好的商品或供货时的商品与中标人投标文件中的承诺不符，招标人使用单位退货后将记录在案，并对中标人予以处罚，中标人除要承担招标人因此产生的一切损失和费用外，情节严重的招标人可取消其供应资格。</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（6）中标人在合同履行期间，在食材配送服务方面受到党政机关、主管部门或项目服务单位的书面警示、警告，或造成食品安全事故的，招标人有权取消其供应资格。</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7）《食品溯源要求》：中标人对食品供应链进行明确，所有食品的来源必须清晰，包装食品要有食品生产许可证号。投标文件内要求对食品的来源和质量标准要有详尽的描述，并提出验收的行业标准和感官标准。如该品牌商品无质量标准，则需由供应商按国家和行业的要求自行描述。</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（8）投标人应充分结合本招标文件上下文了解项目招标需求、采购文件未尽事宜，将在合同签订或项目执行过程中双方协商确定，供应商须无条件满足采购单位的合理要求。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76" w:hRule="atLeast"/>
          <w:jc w:val="center"/>
        </w:trPr>
        <w:tc>
          <w:tcPr>
            <w:tcW w:w="404" w:type="pct"/>
            <w:tcBorders>
              <w:top w:val="single" w:color="auto" w:sz="6" w:space="0"/>
              <w:left w:val="single" w:color="auto" w:sz="8" w:space="0"/>
              <w:bottom w:val="single" w:color="auto" w:sz="6" w:space="0"/>
              <w:right w:val="single" w:color="auto" w:sz="6" w:space="0"/>
            </w:tcBorders>
            <w:noWrap w:val="0"/>
            <w:vAlign w:val="center"/>
          </w:tcPr>
          <w:p>
            <w:pPr>
              <w:numPr>
                <w:ilvl w:val="0"/>
                <w:numId w:val="0"/>
              </w:numPr>
              <w:spacing w:line="276" w:lineRule="auto"/>
              <w:ind w:left="0" w:leftChars="0" w:firstLine="0" w:firstLineChars="0"/>
              <w:jc w:val="center"/>
              <w:rPr>
                <w:rFonts w:hint="eastAsia" w:ascii="宋体" w:hAnsi="宋体" w:cs="宋体"/>
                <w:color w:val="auto"/>
                <w:sz w:val="22"/>
                <w:szCs w:val="22"/>
                <w:highlight w:val="none"/>
              </w:rPr>
            </w:pPr>
            <w:r>
              <w:rPr>
                <w:rFonts w:hint="eastAsia" w:ascii="宋体" w:hAnsi="宋体" w:eastAsia="宋体" w:cs="宋体"/>
                <w:b w:val="0"/>
                <w:color w:val="auto"/>
                <w:sz w:val="22"/>
                <w:szCs w:val="22"/>
                <w:highlight w:val="none"/>
                <w:lang w:val="en-US" w:eastAsia="zh-CN" w:bidi="ar-SA"/>
              </w:rPr>
              <w:t>12.</w:t>
            </w:r>
          </w:p>
        </w:tc>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auto"/>
                <w:sz w:val="22"/>
                <w:szCs w:val="22"/>
                <w:highlight w:val="none"/>
              </w:rPr>
            </w:pPr>
            <w:r>
              <w:rPr>
                <w:rFonts w:ascii="宋体" w:hAnsi="宋体" w:cs="宋体"/>
                <w:color w:val="auto"/>
                <w:sz w:val="22"/>
                <w:szCs w:val="22"/>
                <w:highlight w:val="none"/>
              </w:rPr>
              <w:t>对中标人的要求</w:t>
            </w:r>
          </w:p>
        </w:tc>
        <w:tc>
          <w:tcPr>
            <w:tcW w:w="3881" w:type="pct"/>
            <w:tcBorders>
              <w:top w:val="single" w:color="auto" w:sz="6" w:space="0"/>
              <w:left w:val="single" w:color="auto" w:sz="6" w:space="0"/>
              <w:bottom w:val="single" w:color="auto" w:sz="6" w:space="0"/>
              <w:right w:val="single" w:color="auto" w:sz="8" w:space="0"/>
            </w:tcBorders>
            <w:noWrap w:val="0"/>
            <w:vAlign w:val="center"/>
          </w:tcPr>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（1）</w:t>
            </w:r>
            <w:r>
              <w:rPr>
                <w:rFonts w:ascii="宋体" w:hAnsi="宋体" w:cs="宋体"/>
                <w:color w:val="auto"/>
                <w:sz w:val="22"/>
                <w:szCs w:val="22"/>
                <w:highlight w:val="none"/>
              </w:rPr>
              <w:t>必须依据有关法律法规和文件的要求，建立健全各项管理制度，保证其所供应</w:t>
            </w:r>
            <w:r>
              <w:rPr>
                <w:rFonts w:hint="eastAsia" w:cs="宋体"/>
                <w:color w:val="auto"/>
                <w:sz w:val="22"/>
                <w:szCs w:val="22"/>
                <w:highlight w:val="none"/>
                <w:lang w:eastAsia="zh-CN"/>
              </w:rPr>
              <w:t>货物</w:t>
            </w:r>
            <w:r>
              <w:rPr>
                <w:rFonts w:ascii="宋体" w:hAnsi="宋体" w:cs="宋体"/>
                <w:color w:val="auto"/>
                <w:sz w:val="22"/>
                <w:szCs w:val="22"/>
                <w:highlight w:val="none"/>
              </w:rPr>
              <w:t>的质量安全；</w:t>
            </w:r>
          </w:p>
          <w:p>
            <w:pPr>
              <w:pStyle w:val="11"/>
              <w:keepNext w:val="0"/>
              <w:keepLines w:val="0"/>
              <w:pageBreakBefore w:val="0"/>
              <w:widowControl/>
              <w:numPr>
                <w:ilvl w:val="0"/>
                <w:numId w:val="0"/>
              </w:numPr>
              <w:kinsoku/>
              <w:wordWrap/>
              <w:overflowPunct/>
              <w:topLinePunct w:val="0"/>
              <w:bidi w:val="0"/>
              <w:adjustRightInd w:val="0"/>
              <w:snapToGrid w:val="0"/>
              <w:spacing w:before="0" w:after="0" w:line="276" w:lineRule="auto"/>
              <w:ind w:left="0" w:leftChars="0" w:firstLine="440" w:firstLineChars="200"/>
              <w:jc w:val="left"/>
              <w:textAlignment w:val="auto"/>
              <w:rPr>
                <w:rFonts w:hint="eastAsia" w:ascii="宋体" w:hAnsi="宋体" w:cs="宋体"/>
                <w:color w:val="auto"/>
                <w:sz w:val="22"/>
                <w:szCs w:val="22"/>
                <w:highlight w:val="none"/>
              </w:rPr>
            </w:pPr>
            <w:r>
              <w:rPr>
                <w:rFonts w:hint="eastAsia" w:ascii="宋体" w:hAnsi="宋体" w:cs="宋体"/>
                <w:color w:val="auto"/>
                <w:kern w:val="2"/>
                <w:sz w:val="22"/>
                <w:szCs w:val="22"/>
                <w:highlight w:val="none"/>
                <w:lang w:val="en-US" w:eastAsia="zh-CN" w:bidi="ar-SA"/>
              </w:rPr>
              <w:t>（2）</w:t>
            </w:r>
            <w:r>
              <w:rPr>
                <w:rFonts w:ascii="宋体" w:hAnsi="宋体" w:cs="宋体"/>
                <w:color w:val="auto"/>
                <w:sz w:val="22"/>
                <w:szCs w:val="22"/>
                <w:highlight w:val="none"/>
              </w:rPr>
              <w:t>必须明确</w:t>
            </w:r>
            <w:r>
              <w:rPr>
                <w:rFonts w:hint="eastAsia" w:cs="宋体"/>
                <w:color w:val="auto"/>
                <w:sz w:val="22"/>
                <w:szCs w:val="22"/>
                <w:highlight w:val="none"/>
                <w:lang w:eastAsia="zh-CN"/>
              </w:rPr>
              <w:t>货物</w:t>
            </w:r>
            <w:r>
              <w:rPr>
                <w:rFonts w:ascii="宋体" w:hAnsi="宋体" w:cs="宋体"/>
                <w:color w:val="auto"/>
                <w:sz w:val="22"/>
                <w:szCs w:val="22"/>
                <w:highlight w:val="none"/>
              </w:rPr>
              <w:t>质量安全的责任人。</w:t>
            </w:r>
          </w:p>
        </w:tc>
      </w:tr>
    </w:tbl>
    <w:p>
      <w:pPr>
        <w:rPr>
          <w:color w:val="auto"/>
          <w:highlight w:val="none"/>
        </w:rPr>
      </w:pPr>
    </w:p>
    <w:p>
      <w:pPr>
        <w:pStyle w:val="11"/>
        <w:rPr>
          <w:color w:val="auto"/>
          <w:highlight w:val="none"/>
          <w:lang w:val="en-US"/>
        </w:rPr>
      </w:pPr>
    </w:p>
    <w:p>
      <w:pPr>
        <w:pStyle w:val="12"/>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rPr>
          <w:color w:val="auto"/>
          <w:highlight w:val="none"/>
          <w:lang w:val="en-US"/>
        </w:rPr>
      </w:pPr>
      <w:r>
        <w:rPr>
          <w:color w:val="auto"/>
          <w:highlight w:val="none"/>
          <w:lang w:val="en-US"/>
        </w:rPr>
        <w:br w:type="page"/>
      </w:r>
    </w:p>
    <w:p>
      <w:pPr>
        <w:pStyle w:val="5"/>
        <w:numPr>
          <w:ilvl w:val="0"/>
          <w:numId w:val="9"/>
        </w:numPr>
        <w:jc w:val="center"/>
        <w:rPr>
          <w:color w:val="auto"/>
          <w:highlight w:val="none"/>
        </w:rPr>
      </w:pPr>
      <w:bookmarkStart w:id="181" w:name="_Toc10698"/>
      <w:r>
        <w:rPr>
          <w:rFonts w:hint="eastAsia" w:ascii="宋体" w:hAnsi="宋体"/>
          <w:color w:val="auto"/>
          <w:highlight w:val="none"/>
        </w:rPr>
        <w:t>技术需求书</w:t>
      </w:r>
      <w:r>
        <w:rPr>
          <w:rFonts w:hint="eastAsia" w:ascii="宋体" w:hAnsi="宋体"/>
          <w:color w:val="auto"/>
          <w:highlight w:val="none"/>
          <w:lang w:eastAsia="zh-CN"/>
        </w:rPr>
        <w:t>（适用于所有包组）</w:t>
      </w:r>
      <w:bookmarkEnd w:id="181"/>
    </w:p>
    <w:p>
      <w:pPr>
        <w:pStyle w:val="6"/>
        <w:bidi w:val="0"/>
        <w:rPr>
          <w:rFonts w:hint="default" w:eastAsia="宋体"/>
          <w:color w:val="auto"/>
          <w:highlight w:val="none"/>
          <w:lang w:val="en-US" w:eastAsia="zh-CN"/>
        </w:rPr>
      </w:pPr>
      <w:bookmarkStart w:id="182" w:name="_Toc25170"/>
      <w:bookmarkStart w:id="183" w:name="_Toc31278"/>
      <w:bookmarkStart w:id="184" w:name="_Toc24679"/>
      <w:bookmarkStart w:id="185" w:name="_Toc14462"/>
      <w:bookmarkStart w:id="186" w:name="_Toc13112"/>
      <w:r>
        <w:rPr>
          <w:rFonts w:hint="eastAsia" w:eastAsia="宋体"/>
          <w:color w:val="auto"/>
          <w:highlight w:val="none"/>
          <w:lang w:val="en-US" w:eastAsia="zh-CN"/>
        </w:rPr>
        <w:t>1、项目概况</w:t>
      </w:r>
      <w:bookmarkEnd w:id="182"/>
    </w:p>
    <w:p>
      <w:pPr>
        <w:keepNext w:val="0"/>
        <w:keepLines w:val="0"/>
        <w:pageBreakBefore w:val="0"/>
        <w:widowControl w:val="0"/>
        <w:kinsoku/>
        <w:wordWrap/>
        <w:overflowPunct/>
        <w:topLinePunct w:val="0"/>
        <w:autoSpaceDE/>
        <w:autoSpaceDN/>
        <w:bidi w:val="0"/>
        <w:adjustRightInd/>
        <w:snapToGrid/>
        <w:spacing w:after="0" w:line="240" w:lineRule="auto"/>
        <w:ind w:firstLine="840" w:firstLineChars="4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en-US" w:eastAsia="zh-CN"/>
        </w:rPr>
        <w:t>本项目</w:t>
      </w:r>
      <w:r>
        <w:rPr>
          <w:rFonts w:hint="eastAsia" w:ascii="宋体" w:hAnsi="宋体" w:eastAsia="宋体" w:cs="宋体"/>
          <w:bCs/>
          <w:color w:val="auto"/>
          <w:kern w:val="2"/>
          <w:sz w:val="21"/>
          <w:szCs w:val="21"/>
          <w:highlight w:val="none"/>
          <w:lang w:val="zh-CN"/>
        </w:rPr>
        <w:t>对应采购包配送服务内容</w:t>
      </w:r>
      <w:r>
        <w:rPr>
          <w:rFonts w:hint="eastAsia" w:ascii="宋体" w:hAnsi="宋体" w:eastAsia="宋体" w:cs="宋体"/>
          <w:bCs/>
          <w:color w:val="auto"/>
          <w:kern w:val="2"/>
          <w:sz w:val="21"/>
          <w:szCs w:val="21"/>
          <w:highlight w:val="none"/>
          <w:lang w:val="en-US" w:eastAsia="zh-CN"/>
        </w:rPr>
        <w:t>如下</w:t>
      </w:r>
      <w:r>
        <w:rPr>
          <w:rFonts w:hint="eastAsia" w:ascii="宋体" w:hAnsi="宋体" w:eastAsia="宋体" w:cs="宋体"/>
          <w:bCs/>
          <w:color w:val="auto"/>
          <w:kern w:val="2"/>
          <w:sz w:val="21"/>
          <w:szCs w:val="21"/>
          <w:highlight w:val="none"/>
          <w:lang w:val="zh-CN"/>
        </w:rPr>
        <w:t>：</w:t>
      </w:r>
    </w:p>
    <w:tbl>
      <w:tblPr>
        <w:tblStyle w:val="30"/>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2"/>
        <w:gridCol w:w="3300"/>
        <w:gridCol w:w="1134"/>
        <w:gridCol w:w="981"/>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dxa"/>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包号</w:t>
            </w:r>
          </w:p>
        </w:tc>
        <w:tc>
          <w:tcPr>
            <w:tcW w:w="3300"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134"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lang w:val="en-US" w:eastAsia="zh-CN"/>
              </w:rPr>
              <w:t>采购</w:t>
            </w:r>
            <w:r>
              <w:rPr>
                <w:rFonts w:hint="eastAsia" w:ascii="宋体" w:hAnsi="宋体"/>
                <w:color w:val="auto"/>
                <w:szCs w:val="21"/>
                <w:highlight w:val="none"/>
              </w:rPr>
              <w:t>数量</w:t>
            </w:r>
          </w:p>
        </w:tc>
        <w:tc>
          <w:tcPr>
            <w:tcW w:w="981" w:type="dxa"/>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97" w:type="dxa"/>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采购包</w:t>
            </w:r>
            <w:r>
              <w:rPr>
                <w:rFonts w:hint="eastAsia" w:ascii="宋体" w:hAnsi="宋体" w:cs="宋体"/>
                <w:color w:val="auto"/>
                <w:szCs w:val="21"/>
                <w:highlight w:val="none"/>
              </w:rPr>
              <w:t>1</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内的食品日用品类（含常温乳制品、饮用水、饮料、生活用品等其他</w:t>
            </w:r>
            <w:r>
              <w:rPr>
                <w:rFonts w:hint="eastAsia" w:ascii="宋体" w:hAnsi="宋体"/>
                <w:color w:val="auto"/>
                <w:sz w:val="22"/>
                <w:highlight w:val="none"/>
                <w:lang w:eastAsia="zh-CN"/>
              </w:rPr>
              <w:t>便学食品销售部</w:t>
            </w:r>
            <w:r>
              <w:rPr>
                <w:rFonts w:hint="eastAsia" w:ascii="宋体" w:hAnsi="宋体"/>
                <w:color w:val="auto"/>
                <w:sz w:val="22"/>
                <w:highlight w:val="none"/>
              </w:rPr>
              <w:t>出售的产品）</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restar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1597" w:type="dxa"/>
            <w:noWrap/>
            <w:tcMar>
              <w:top w:w="15" w:type="dxa"/>
              <w:left w:w="15" w:type="dxa"/>
              <w:right w:w="15" w:type="dxa"/>
            </w:tcMar>
            <w:vAlign w:val="center"/>
          </w:tcPr>
          <w:p>
            <w:pPr>
              <w:spacing w:line="240" w:lineRule="auto"/>
              <w:jc w:val="center"/>
              <w:textAlignment w:val="center"/>
              <w:rPr>
                <w:rFonts w:hint="eastAsia" w:ascii="宋体" w:hAnsi="宋体"/>
                <w:color w:val="auto"/>
                <w:szCs w:val="21"/>
                <w:highlight w:val="none"/>
                <w:lang w:val="en-US" w:eastAsia="zh-CN"/>
              </w:rPr>
            </w:pPr>
            <w:r>
              <w:rPr>
                <w:rFonts w:hint="eastAsia" w:ascii="宋体" w:hAnsi="宋体"/>
                <w:b w:val="0"/>
                <w:bCs w:val="0"/>
                <w:color w:val="auto"/>
                <w:szCs w:val="21"/>
                <w:highlight w:val="none"/>
                <w:u w:val="none"/>
                <w:lang w:val="en-US" w:eastAsia="zh-CN"/>
              </w:rPr>
              <w:t>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采购包2</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内的短保质期（3天内）面包类</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continue"/>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p>
        </w:tc>
        <w:tc>
          <w:tcPr>
            <w:tcW w:w="1597" w:type="dxa"/>
            <w:noWrap/>
            <w:tcMar>
              <w:top w:w="15" w:type="dxa"/>
              <w:left w:w="15" w:type="dxa"/>
              <w:right w:w="15" w:type="dxa"/>
            </w:tcMar>
            <w:vAlign w:val="center"/>
          </w:tcPr>
          <w:p>
            <w:pPr>
              <w:spacing w:line="240" w:lineRule="auto"/>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采购包3</w:t>
            </w:r>
          </w:p>
        </w:tc>
        <w:tc>
          <w:tcPr>
            <w:tcW w:w="3300" w:type="dxa"/>
            <w:noWrap/>
            <w:tcMar>
              <w:top w:w="15" w:type="dxa"/>
              <w:left w:w="15" w:type="dxa"/>
              <w:right w:w="15" w:type="dxa"/>
            </w:tcMar>
            <w:vAlign w:val="center"/>
          </w:tcPr>
          <w:p>
            <w:pPr>
              <w:spacing w:line="240" w:lineRule="auto"/>
              <w:jc w:val="center"/>
              <w:textAlignment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东莞市第十三高级中学便学食品销售部货物配送服务项目</w:t>
            </w:r>
            <w:r>
              <w:rPr>
                <w:rFonts w:hint="eastAsia" w:ascii="宋体" w:hAnsi="宋体"/>
                <w:color w:val="auto"/>
                <w:sz w:val="22"/>
                <w:highlight w:val="none"/>
                <w:lang w:eastAsia="zh-CN"/>
              </w:rPr>
              <w:t>【便学食品销售部</w:t>
            </w:r>
            <w:r>
              <w:rPr>
                <w:rFonts w:hint="eastAsia" w:ascii="宋体" w:hAnsi="宋体"/>
                <w:color w:val="auto"/>
                <w:sz w:val="22"/>
                <w:highlight w:val="none"/>
              </w:rPr>
              <w:t>内的低温乳制品（自动售卖机）</w:t>
            </w:r>
            <w:r>
              <w:rPr>
                <w:rFonts w:hint="eastAsia" w:ascii="宋体" w:hAnsi="宋体"/>
                <w:color w:val="auto"/>
                <w:sz w:val="22"/>
                <w:highlight w:val="none"/>
                <w:lang w:eastAsia="zh-CN"/>
              </w:rPr>
              <w:t>】</w:t>
            </w:r>
          </w:p>
        </w:tc>
        <w:tc>
          <w:tcPr>
            <w:tcW w:w="1134" w:type="dxa"/>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continue"/>
            <w:noWrap/>
            <w:tcMar>
              <w:top w:w="15" w:type="dxa"/>
              <w:left w:w="15" w:type="dxa"/>
              <w:right w:w="15" w:type="dxa"/>
            </w:tcMar>
            <w:vAlign w:val="center"/>
          </w:tcPr>
          <w:p>
            <w:pPr>
              <w:spacing w:line="240" w:lineRule="auto"/>
              <w:jc w:val="center"/>
              <w:textAlignment w:val="center"/>
              <w:rPr>
                <w:rFonts w:hint="eastAsia" w:ascii="宋体" w:hAnsi="宋体" w:cs="宋体"/>
                <w:color w:val="auto"/>
                <w:szCs w:val="21"/>
                <w:highlight w:val="none"/>
                <w:lang w:val="en-US" w:eastAsia="zh-CN"/>
              </w:rPr>
            </w:pPr>
          </w:p>
        </w:tc>
        <w:tc>
          <w:tcPr>
            <w:tcW w:w="1597" w:type="dxa"/>
            <w:noWrap/>
            <w:tcMar>
              <w:top w:w="15" w:type="dxa"/>
              <w:left w:w="15" w:type="dxa"/>
              <w:right w:w="15" w:type="dxa"/>
            </w:tcMar>
            <w:vAlign w:val="center"/>
          </w:tcPr>
          <w:p>
            <w:pPr>
              <w:spacing w:line="240" w:lineRule="auto"/>
              <w:jc w:val="center"/>
              <w:textAlignment w:val="center"/>
              <w:rPr>
                <w:rFonts w:hint="default" w:ascii="宋体" w:hAnsi="宋体"/>
                <w:b w:val="0"/>
                <w:bCs w:val="0"/>
                <w:color w:val="auto"/>
                <w:szCs w:val="21"/>
                <w:highlight w:val="none"/>
                <w:u w:val="none"/>
                <w:lang w:val="en-US" w:eastAsia="zh-CN"/>
              </w:rPr>
            </w:pPr>
            <w:r>
              <w:rPr>
                <w:rFonts w:hint="eastAsia" w:ascii="宋体" w:hAnsi="宋体"/>
                <w:b w:val="0"/>
                <w:bCs w:val="0"/>
                <w:color w:val="auto"/>
                <w:szCs w:val="21"/>
                <w:highlight w:val="none"/>
                <w:u w:val="none"/>
                <w:lang w:val="en-US" w:eastAsia="zh-CN"/>
              </w:rPr>
              <w:t>1,800,000.00</w:t>
            </w:r>
          </w:p>
        </w:tc>
      </w:tr>
    </w:tbl>
    <w:p>
      <w:pPr>
        <w:pageBreakBefore w:val="0"/>
        <w:numPr>
          <w:ilvl w:val="0"/>
          <w:numId w:val="0"/>
        </w:numPr>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bidi="ar-SA"/>
        </w:rPr>
        <w:t>（1）</w:t>
      </w:r>
      <w:r>
        <w:rPr>
          <w:rFonts w:hint="eastAsia" w:ascii="宋体" w:hAnsi="宋体" w:eastAsia="宋体" w:cs="Times New Roman"/>
          <w:b w:val="0"/>
          <w:bCs w:val="0"/>
          <w:color w:val="auto"/>
          <w:sz w:val="21"/>
          <w:szCs w:val="21"/>
          <w:highlight w:val="none"/>
        </w:rPr>
        <w:t>需求数量：采购预算金额只作为参考，具体供货金额以实际订货数量为准。</w:t>
      </w:r>
    </w:p>
    <w:p>
      <w:pPr>
        <w:pageBreakBefore w:val="0"/>
        <w:numPr>
          <w:ilvl w:val="0"/>
          <w:numId w:val="0"/>
        </w:numPr>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bidi="ar-SA"/>
        </w:rPr>
        <w:t>（2）</w:t>
      </w:r>
      <w:r>
        <w:rPr>
          <w:rFonts w:hint="eastAsia" w:ascii="宋体" w:hAnsi="宋体" w:cs="宋体"/>
          <w:color w:val="auto"/>
          <w:szCs w:val="21"/>
          <w:highlight w:val="none"/>
          <w:lang w:val="en-US" w:eastAsia="zh-CN"/>
        </w:rPr>
        <w:t>采购包3，</w:t>
      </w:r>
      <w:r>
        <w:rPr>
          <w:rFonts w:hint="eastAsia" w:ascii="宋体" w:hAnsi="宋体"/>
          <w:color w:val="auto"/>
          <w:szCs w:val="21"/>
          <w:highlight w:val="none"/>
          <w:lang w:val="en-US" w:eastAsia="zh-CN"/>
        </w:rPr>
        <w:t>中标人须于学校指定地点配置5台</w:t>
      </w:r>
      <w:r>
        <w:rPr>
          <w:rFonts w:hint="eastAsia" w:ascii="宋体" w:hAnsi="宋体"/>
          <w:color w:val="auto"/>
          <w:sz w:val="22"/>
          <w:highlight w:val="none"/>
        </w:rPr>
        <w:t>自动售卖机</w:t>
      </w:r>
      <w:r>
        <w:rPr>
          <w:rFonts w:hint="eastAsia" w:ascii="宋体" w:hAnsi="宋体"/>
          <w:color w:val="auto"/>
          <w:sz w:val="22"/>
          <w:highlight w:val="none"/>
          <w:lang w:val="en-US" w:eastAsia="zh-CN"/>
        </w:rPr>
        <w:t>用于销售</w:t>
      </w:r>
      <w:r>
        <w:rPr>
          <w:rFonts w:hint="eastAsia" w:ascii="宋体" w:hAnsi="宋体"/>
          <w:color w:val="auto"/>
          <w:sz w:val="22"/>
          <w:highlight w:val="none"/>
        </w:rPr>
        <w:t>低温乳制品</w:t>
      </w:r>
      <w:r>
        <w:rPr>
          <w:rFonts w:hint="eastAsia" w:ascii="宋体" w:hAnsi="宋体"/>
          <w:color w:val="auto"/>
          <w:sz w:val="22"/>
          <w:highlight w:val="none"/>
          <w:lang w:eastAsia="zh-CN"/>
        </w:rPr>
        <w:t>。</w:t>
      </w:r>
      <w:r>
        <w:rPr>
          <w:rFonts w:hint="eastAsia" w:ascii="宋体" w:hAnsi="宋体"/>
          <w:color w:val="auto"/>
          <w:sz w:val="22"/>
          <w:highlight w:val="none"/>
          <w:lang w:val="en-US" w:eastAsia="zh-CN"/>
        </w:rPr>
        <w:t>本项目服务到期后，</w:t>
      </w:r>
      <w:r>
        <w:rPr>
          <w:rFonts w:hint="eastAsia" w:ascii="宋体" w:hAnsi="宋体"/>
          <w:color w:val="auto"/>
          <w:sz w:val="22"/>
          <w:highlight w:val="none"/>
        </w:rPr>
        <w:t>自动售卖机</w:t>
      </w:r>
      <w:r>
        <w:rPr>
          <w:rFonts w:hint="eastAsia" w:ascii="宋体" w:hAnsi="宋体"/>
          <w:color w:val="auto"/>
          <w:sz w:val="22"/>
          <w:highlight w:val="none"/>
          <w:lang w:val="en-US" w:eastAsia="zh-CN"/>
        </w:rPr>
        <w:t>由中标人自行回收处置</w:t>
      </w:r>
      <w:r>
        <w:rPr>
          <w:rFonts w:hint="eastAsia" w:ascii="宋体" w:hAnsi="宋体"/>
          <w:color w:val="auto"/>
          <w:sz w:val="22"/>
          <w:highlight w:val="none"/>
          <w:lang w:eastAsia="zh-CN"/>
        </w:rPr>
        <w:t>。</w:t>
      </w:r>
    </w:p>
    <w:p>
      <w:pPr>
        <w:pageBreakBefore w:val="0"/>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（3）</w:t>
      </w:r>
      <w:r>
        <w:rPr>
          <w:rFonts w:hint="eastAsia" w:ascii="宋体" w:hAnsi="宋体" w:eastAsia="宋体" w:cs="Times New Roman"/>
          <w:b w:val="0"/>
          <w:bCs w:val="0"/>
          <w:color w:val="auto"/>
          <w:sz w:val="21"/>
          <w:szCs w:val="21"/>
          <w:highlight w:val="none"/>
        </w:rPr>
        <w:t>联合体投标、分包、转包：本合同包不接受联合体投标，也不接受分包和转包。中标人不得将中标项目转让或分包给他人，否则招标人有权单方终止合同,由此产生的经济责任和法律责任由中标人自行承担。</w:t>
      </w:r>
    </w:p>
    <w:p>
      <w:pPr>
        <w:pageBreakBefore w:val="0"/>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w:t>
      </w:r>
      <w:r>
        <w:rPr>
          <w:rFonts w:hint="eastAsia" w:ascii="宋体" w:hAnsi="宋体" w:cs="Times New Roman"/>
          <w:b w:val="0"/>
          <w:bCs w:val="0"/>
          <w:color w:val="auto"/>
          <w:sz w:val="21"/>
          <w:szCs w:val="21"/>
          <w:highlight w:val="none"/>
          <w:lang w:val="en-US" w:eastAsia="zh-CN"/>
        </w:rPr>
        <w:t>4</w:t>
      </w:r>
      <w:r>
        <w:rPr>
          <w:rFonts w:hint="eastAsia" w:ascii="宋体" w:hAnsi="宋体" w:eastAsia="宋体" w:cs="Times New Roman"/>
          <w:b w:val="0"/>
          <w:bCs w:val="0"/>
          <w:color w:val="auto"/>
          <w:sz w:val="21"/>
          <w:szCs w:val="21"/>
          <w:highlight w:val="none"/>
          <w:lang w:val="en-US" w:eastAsia="zh-CN"/>
        </w:rPr>
        <w:t>）</w:t>
      </w:r>
      <w:r>
        <w:rPr>
          <w:rFonts w:hint="eastAsia" w:ascii="宋体" w:hAnsi="宋体" w:eastAsia="宋体" w:cs="Times New Roman"/>
          <w:b w:val="0"/>
          <w:bCs w:val="0"/>
          <w:color w:val="auto"/>
          <w:sz w:val="21"/>
          <w:szCs w:val="21"/>
          <w:highlight w:val="none"/>
        </w:rPr>
        <w:t>中标人在合同履行期间保证对招标人的服务供应，中标后不得拒绝招标人分配的任务。中标人在服务期内没能达到投标文件承诺的服务要求或中标人未按要求履行合同义务或中标人的资质在服务期内发生变化不再符合要求，招标人均有权单方终止协议,由此产生的一切经济责任和法律责任由中标人自行承担。</w:t>
      </w:r>
    </w:p>
    <w:p>
      <w:pPr>
        <w:pageBreakBefore w:val="0"/>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w:t>
      </w:r>
      <w:r>
        <w:rPr>
          <w:rFonts w:hint="eastAsia" w:ascii="宋体" w:hAnsi="宋体" w:cs="Times New Roman"/>
          <w:b w:val="0"/>
          <w:bCs w:val="0"/>
          <w:color w:val="auto"/>
          <w:sz w:val="21"/>
          <w:szCs w:val="21"/>
          <w:highlight w:val="none"/>
          <w:lang w:val="en-US" w:eastAsia="zh-CN"/>
        </w:rPr>
        <w:t>5</w:t>
      </w:r>
      <w:r>
        <w:rPr>
          <w:rFonts w:hint="eastAsia" w:ascii="宋体" w:hAnsi="宋体" w:eastAsia="宋体" w:cs="Times New Roman"/>
          <w:b w:val="0"/>
          <w:bCs w:val="0"/>
          <w:color w:val="auto"/>
          <w:sz w:val="21"/>
          <w:szCs w:val="21"/>
          <w:highlight w:val="none"/>
          <w:lang w:val="en-US" w:eastAsia="zh-CN"/>
        </w:rPr>
        <w:t>）</w:t>
      </w:r>
      <w:r>
        <w:rPr>
          <w:rFonts w:hint="eastAsia" w:ascii="宋体" w:hAnsi="宋体" w:eastAsia="宋体" w:cs="Times New Roman"/>
          <w:b w:val="0"/>
          <w:bCs w:val="0"/>
          <w:color w:val="auto"/>
          <w:sz w:val="21"/>
          <w:szCs w:val="21"/>
          <w:highlight w:val="none"/>
        </w:rPr>
        <w:t>中标人须服从招标人和食品监督部门的监督管理，配合招标人及时更新所提供的符合食品安全管理部门的有效证明材料。如有效的营业执照、产品合格证或食品生产许可证等。</w:t>
      </w:r>
    </w:p>
    <w:p>
      <w:pPr>
        <w:pageBreakBefore w:val="0"/>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w:t>
      </w:r>
      <w:r>
        <w:rPr>
          <w:rFonts w:hint="eastAsia" w:ascii="宋体" w:hAnsi="宋体" w:cs="Times New Roman"/>
          <w:b w:val="0"/>
          <w:bCs w:val="0"/>
          <w:color w:val="auto"/>
          <w:sz w:val="21"/>
          <w:szCs w:val="21"/>
          <w:highlight w:val="none"/>
          <w:lang w:val="en-US" w:eastAsia="zh-CN"/>
        </w:rPr>
        <w:t>6</w:t>
      </w:r>
      <w:r>
        <w:rPr>
          <w:rFonts w:hint="eastAsia" w:ascii="宋体" w:hAnsi="宋体" w:eastAsia="宋体" w:cs="Times New Roman"/>
          <w:b w:val="0"/>
          <w:bCs w:val="0"/>
          <w:color w:val="auto"/>
          <w:sz w:val="21"/>
          <w:szCs w:val="21"/>
          <w:highlight w:val="none"/>
          <w:lang w:val="en-US" w:eastAsia="zh-CN"/>
        </w:rPr>
        <w:t>）</w:t>
      </w:r>
      <w:r>
        <w:rPr>
          <w:rFonts w:hint="eastAsia" w:ascii="宋体" w:hAnsi="宋体" w:eastAsia="宋体" w:cs="Times New Roman"/>
          <w:b w:val="0"/>
          <w:bCs w:val="0"/>
          <w:color w:val="auto"/>
          <w:sz w:val="21"/>
          <w:szCs w:val="21"/>
          <w:highlight w:val="none"/>
        </w:rPr>
        <w:t>中标人应具备应急保障能力，包括但不限于货物来源、配送、售后，以及临时协助招标人开展工作。</w:t>
      </w:r>
    </w:p>
    <w:p>
      <w:pPr>
        <w:pageBreakBefore w:val="0"/>
        <w:kinsoku/>
        <w:topLinePunct w:val="0"/>
        <w:autoSpaceDE/>
        <w:autoSpaceDN/>
        <w:bidi w:val="0"/>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w:t>
      </w:r>
      <w:r>
        <w:rPr>
          <w:rFonts w:hint="eastAsia" w:ascii="宋体" w:hAnsi="宋体" w:cs="Times New Roman"/>
          <w:b w:val="0"/>
          <w:bCs w:val="0"/>
          <w:color w:val="auto"/>
          <w:sz w:val="21"/>
          <w:szCs w:val="21"/>
          <w:highlight w:val="none"/>
          <w:lang w:val="en-US" w:eastAsia="zh-CN"/>
        </w:rPr>
        <w:t>7</w:t>
      </w:r>
      <w:r>
        <w:rPr>
          <w:rFonts w:hint="eastAsia" w:ascii="宋体" w:hAnsi="宋体" w:eastAsia="宋体" w:cs="Times New Roman"/>
          <w:b w:val="0"/>
          <w:bCs w:val="0"/>
          <w:color w:val="auto"/>
          <w:sz w:val="21"/>
          <w:szCs w:val="21"/>
          <w:highlight w:val="none"/>
          <w:lang w:val="en-US" w:eastAsia="zh-CN"/>
        </w:rPr>
        <w:t>）</w:t>
      </w:r>
      <w:r>
        <w:rPr>
          <w:rFonts w:hint="eastAsia" w:ascii="宋体" w:hAnsi="宋体" w:eastAsia="宋体" w:cs="Times New Roman"/>
          <w:b w:val="0"/>
          <w:bCs w:val="0"/>
          <w:color w:val="auto"/>
          <w:sz w:val="21"/>
          <w:szCs w:val="21"/>
          <w:highlight w:val="none"/>
        </w:rPr>
        <w:t>中标人应做好本单位工作人员的教育工作，遵守招标人各项规定。</w:t>
      </w:r>
    </w:p>
    <w:p>
      <w:pPr>
        <w:pStyle w:val="6"/>
        <w:pageBreakBefore w:val="0"/>
        <w:kinsoku/>
        <w:wordWrap/>
        <w:overflowPunct/>
        <w:topLinePunct w:val="0"/>
        <w:autoSpaceDE/>
        <w:autoSpaceDN/>
        <w:bidi w:val="0"/>
        <w:adjustRightInd/>
        <w:snapToGrid/>
        <w:rPr>
          <w:rFonts w:hint="eastAsia"/>
          <w:color w:val="auto"/>
          <w:highlight w:val="none"/>
        </w:rPr>
      </w:pPr>
      <w:bookmarkStart w:id="187" w:name="_Toc15650"/>
      <w:r>
        <w:rPr>
          <w:rFonts w:hint="eastAsia"/>
          <w:color w:val="auto"/>
          <w:highlight w:val="none"/>
          <w:lang w:val="en-US" w:eastAsia="zh-CN"/>
        </w:rPr>
        <w:t>2、</w:t>
      </w:r>
      <w:r>
        <w:rPr>
          <w:rFonts w:hint="eastAsia"/>
          <w:color w:val="auto"/>
          <w:highlight w:val="none"/>
        </w:rPr>
        <w:t>产品要求（包括但不限于以下内容）：</w:t>
      </w:r>
      <w:bookmarkEnd w:id="187"/>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bCs/>
          <w:color w:val="auto"/>
          <w:sz w:val="21"/>
          <w:szCs w:val="21"/>
          <w:highlight w:val="none"/>
        </w:rPr>
        <w:t>乳制品类：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应低于同类产品市场零售价；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产出、运输、售卖乳制品时，温度均应符合国家标准。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乳制品需符合国家、地方、行业等质量标准及要求；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中标人须确保所配送的乳制品来源无污染，有明确的标签(必须按《奶产品包装和标识管理办法》贴标签，并至少标明产地、品种、净含量、生产单位及地址和采收日期、质保期等产品信息)，且均可做到索证无误，不同批次或者不同生产日期的应当具有相应的检测报告，或者出厂合格证书；</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反馈在校学生存在对牛奶过敏或者不耐受者，中标人需在取得</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的同意后提供同等价格替换乳制品(如豆奶、燕麦奶、杏仁奶等)，且替换的乳制品符合国家相关食品质量标准(包括但不限于《中华人民共和国食品安全法》等相关规定。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中标人必须做好各类乳制品的索证记录，并把记录表和相关证明上交</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短保质期（3天内）面包类：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应低于同类产品市场零售价；</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需符合国家、地方、行业等质量标准及要求；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具有产品应有的色泽，香气和滋味，无异味，无杂质，包装完好，在保质期内。原材料符合国家食品安全标准，无非法添加物，有检验检测报告；</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产品保质期应在3天内，超过3天，应无条件更换产品并以扣分处理，情况严重的，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可按中标人违约处理；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货物有包装的，货物的包装必须完整清洁（无损、无污、无皱），</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有权拒收包装不整齐、已拆封的商品。</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发现商品出现损坏（包括表面损坏），或出现水渍、串味、受潮等导致货物性质改变的，中标人必须无条件退货或更换商品。中标人保证所提供的非精酒类饮料的多样性和季节性，以保证新鲜感。其他非精酒类饮料生产日期至送货日期不得超过120日。</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包装箱上要求清晰印有产品名称，产品批号，生产日期，保质期，规格，净重，厂址，联系电话和工厂注册号等信息。不接受在光身纸箱上加贴标签货品，所用内包装胶袋封口严实，装运过程不得有裂口现象。所有包装材料成分均要符合政府对食品级包装材料的卫生要求，不得含有任何有毒有害原料。到货时包装应完好无损。</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预包装食品的包装袋上有注册商标及SC标注，生产日期及保质期明晰，外包装无破损、无不封口现象；干货应满足国家标准，不得检出农药残留及非食品添加剂；豆制品满足食品安全国家标准GB 2712-2014 、GB 1352-2009 。副食等均应符合食用农产品市场销售质量安全监督管理办法规定，以上标准如遇修订或废止，须保证不低于国家最新有效标准。</w:t>
      </w:r>
    </w:p>
    <w:p>
      <w:pPr>
        <w:pStyle w:val="6"/>
        <w:bidi w:val="0"/>
        <w:rPr>
          <w:rFonts w:hint="eastAsia" w:eastAsia="宋体"/>
          <w:color w:val="auto"/>
          <w:highlight w:val="none"/>
        </w:rPr>
      </w:pPr>
      <w:bookmarkStart w:id="188" w:name="_Toc31010"/>
      <w:r>
        <w:rPr>
          <w:rFonts w:hint="eastAsia"/>
          <w:color w:val="auto"/>
          <w:highlight w:val="none"/>
          <w:lang w:val="en-US" w:eastAsia="zh-CN"/>
        </w:rPr>
        <w:t>3</w:t>
      </w:r>
      <w:r>
        <w:rPr>
          <w:rFonts w:hint="eastAsia" w:eastAsia="宋体"/>
          <w:color w:val="auto"/>
          <w:highlight w:val="none"/>
          <w:lang w:val="en-US" w:eastAsia="zh-CN"/>
        </w:rPr>
        <w:t>、</w:t>
      </w:r>
      <w:r>
        <w:rPr>
          <w:rFonts w:hint="eastAsia" w:eastAsia="宋体"/>
          <w:color w:val="auto"/>
          <w:highlight w:val="none"/>
        </w:rPr>
        <w:t>产品标准（产品标准与其他采购包描述一致，未描述产品，需按</w:t>
      </w:r>
      <w:r>
        <w:rPr>
          <w:rFonts w:hint="eastAsia" w:eastAsia="宋体"/>
          <w:color w:val="auto"/>
          <w:highlight w:val="none"/>
          <w:lang w:eastAsia="zh-CN"/>
        </w:rPr>
        <w:t>采购人</w:t>
      </w:r>
      <w:r>
        <w:rPr>
          <w:rFonts w:hint="eastAsia" w:eastAsia="宋体"/>
          <w:color w:val="auto"/>
          <w:highlight w:val="none"/>
        </w:rPr>
        <w:t>实际要求执行）</w:t>
      </w:r>
      <w:bookmarkEnd w:id="188"/>
    </w:p>
    <w:p>
      <w:pPr>
        <w:pStyle w:val="6"/>
        <w:bidi w:val="0"/>
        <w:rPr>
          <w:rFonts w:hint="eastAsia" w:eastAsia="宋体"/>
          <w:color w:val="auto"/>
          <w:highlight w:val="none"/>
        </w:rPr>
      </w:pPr>
      <w:bookmarkStart w:id="189" w:name="_Toc4803"/>
      <w:r>
        <w:rPr>
          <w:rFonts w:hint="eastAsia"/>
          <w:color w:val="auto"/>
          <w:highlight w:val="none"/>
          <w:lang w:val="en-US" w:eastAsia="zh-CN"/>
        </w:rPr>
        <w:t>4</w:t>
      </w:r>
      <w:r>
        <w:rPr>
          <w:rFonts w:hint="eastAsia" w:eastAsia="宋体"/>
          <w:color w:val="auto"/>
          <w:highlight w:val="none"/>
          <w:lang w:val="en-US" w:eastAsia="zh-CN"/>
        </w:rPr>
        <w:t>、</w:t>
      </w:r>
      <w:r>
        <w:rPr>
          <w:rFonts w:hint="eastAsia" w:eastAsia="宋体"/>
          <w:color w:val="auto"/>
          <w:highlight w:val="none"/>
        </w:rPr>
        <w:t>考核标准</w:t>
      </w:r>
      <w:bookmarkEnd w:id="189"/>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（1）</w:t>
      </w:r>
      <w:r>
        <w:rPr>
          <w:rFonts w:hint="eastAsia" w:ascii="宋体" w:hAnsi="宋体" w:eastAsia="宋体" w:cs="宋体"/>
          <w:b/>
          <w:color w:val="auto"/>
          <w:sz w:val="21"/>
          <w:szCs w:val="21"/>
          <w:highlight w:val="none"/>
          <w:lang w:eastAsia="zh-CN"/>
        </w:rPr>
        <w:t>采购人</w:t>
      </w:r>
      <w:r>
        <w:rPr>
          <w:rFonts w:hint="eastAsia" w:ascii="宋体" w:hAnsi="宋体" w:eastAsia="宋体" w:cs="宋体"/>
          <w:b/>
          <w:color w:val="auto"/>
          <w:sz w:val="21"/>
          <w:szCs w:val="21"/>
          <w:highlight w:val="none"/>
        </w:rPr>
        <w:t>对中标人原则上实行每月考核一次，视考核情况对是否进行罚款或继续合同的履行：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每月服务费用按考核得分的百分数支取：如月度考核为A级的，则中标人获得该月份100%的服务费用；如月度考核为B级的，则中标人获得该月份90%的服务费用；如月度考核为C级的，则中标人只获得该月份60%的服务费用，若经整改后，下月考核仍达不到A级的，则中标人只获得该月份60%的服务费用。</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如月度考核为B级的，合同期内累计出现三次，</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可单方面终止合同，中标人无条件接受；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如月度考核为C级的，合同期内累计出现两次，</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可单方面终止合同，中标人无条件接受；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合同期内，</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有权对考核内容进行调整，中标人无条件接受。</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考核表</w:t>
      </w:r>
    </w:p>
    <w:tbl>
      <w:tblPr>
        <w:tblStyle w:val="30"/>
        <w:tblW w:w="5000"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26"/>
        <w:gridCol w:w="995"/>
        <w:gridCol w:w="4939"/>
        <w:gridCol w:w="690"/>
        <w:gridCol w:w="106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84"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考核项目</w:t>
            </w:r>
          </w:p>
        </w:tc>
        <w:tc>
          <w:tcPr>
            <w:tcW w:w="2899"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考核内容</w:t>
            </w:r>
          </w:p>
        </w:tc>
        <w:tc>
          <w:tcPr>
            <w:tcW w:w="405"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w:t>
            </w:r>
          </w:p>
        </w:tc>
        <w:tc>
          <w:tcPr>
            <w:tcW w:w="626"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评分占比</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584"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量</w:t>
            </w: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因产品质量原因导致食品安全事件的，每次扣10分。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供应的产品经查实为伪劣产品的，每次扣5分。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未经许可，擅自更改送货内容的，每次扣2分。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存在短斤少两、以次充好，每次扣3分。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交付的产品质量或等级不符合要求的，每项、每次扣5分。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交付的产品的规格不符合要求的，每项、每次扣3分。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供应的产品经具有相应资质的检测机构鉴定为不符合国家质量标准的，每次扣10分。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将零散收购的产品供应给</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出现供货货物的价格高于基准价的，一经查实，一经发现扣5分。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本项考核扣分合计（最少得0分）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584"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务</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量</w:t>
            </w: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在产品交付时，没有按要求提交产品清单、相关产品来源证明、质量检验报告及相关交付产品的零售价格表的，每次、每项扣10分。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不按</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下达的采购通知及时送货或不按规定及时更换不符合要求产品的，每次扣2分。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项目工作人员不服从招标方工作人员指挥或管理的，每次扣3分。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不按要求安排专职人员对送达的水产品、畜产品进行初加工的，每次扣3分。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经查实有行贿、收受款项等不法行为的，每次扣5分。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不按要求配置专用的容器进行分类装载运输或相关的专用容器没有明显标识的，每次扣2分。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专用运输车辆、专用容器有污垢、杂物的，每次扣5分。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运输车辆发生有责安全事故，每次扣10分。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w:t>
            </w:r>
          </w:p>
        </w:tc>
        <w:tc>
          <w:tcPr>
            <w:tcW w:w="58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本项考核扣分合计（最少得0分）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584"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务</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w:t>
            </w:r>
          </w:p>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范</w:t>
            </w: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项目专职人员没有穿着统一的工作服装的，每次扣2分。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restar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584"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项目服务人员或配送车辆的备案信息与现场查验不一致的，每项、每次扣10分。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p>
        </w:tc>
        <w:tc>
          <w:tcPr>
            <w:tcW w:w="584"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批准更换配送车辆或服务人员后，没有将相关信息报经</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备案的，每次扣2分。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584"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项目专职人员在提供服务期间，存在态度恶劣或“粗言秽语”情况的，每次扣2分。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w:t>
            </w:r>
          </w:p>
        </w:tc>
        <w:tc>
          <w:tcPr>
            <w:tcW w:w="584"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的服务需求没有及时作出响应的，每次扣4分。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8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w:t>
            </w:r>
          </w:p>
        </w:tc>
        <w:tc>
          <w:tcPr>
            <w:tcW w:w="584"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28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本项考核扣分合计（最少得0分）</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c>
          <w:tcPr>
            <w:tcW w:w="626" w:type="pct"/>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969" w:type="pct"/>
            <w:gridSpan w:val="3"/>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当月考核扣分合计</w:t>
            </w:r>
          </w:p>
        </w:tc>
        <w:tc>
          <w:tcPr>
            <w:tcW w:w="405"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p>
        </w:tc>
        <w:tc>
          <w:tcPr>
            <w:tcW w:w="626"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000" w:type="pct"/>
            <w:gridSpan w:val="5"/>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1、每个月考核得分=100分-当月每次考核扣分合计。</w:t>
            </w:r>
          </w:p>
          <w:p>
            <w:pPr>
              <w:keepNext w:val="0"/>
              <w:keepLines w:val="0"/>
              <w:pageBreakBefore w:val="0"/>
              <w:widowControl/>
              <w:kinsoku/>
              <w:wordWrap/>
              <w:overflowPunct/>
              <w:topLinePunct w:val="0"/>
              <w:autoSpaceDE/>
              <w:autoSpaceDN/>
              <w:bidi w:val="0"/>
              <w:spacing w:line="360" w:lineRule="auto"/>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2、在本项目实施期内，</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有权根据实际需要对本考核和处罚办法进行优化、调整。</w:t>
            </w:r>
          </w:p>
        </w:tc>
      </w:tr>
    </w:tbl>
    <w:p>
      <w:pPr>
        <w:pStyle w:val="81"/>
        <w:keepNext w:val="0"/>
        <w:keepLines w:val="0"/>
        <w:pageBreakBefore w:val="0"/>
        <w:widowControl/>
        <w:kinsoku/>
        <w:wordWrap/>
        <w:overflowPunct/>
        <w:topLinePunct w:val="0"/>
        <w:autoSpaceDE/>
        <w:autoSpaceDN/>
        <w:bidi w:val="0"/>
        <w:spacing w:line="360" w:lineRule="auto"/>
        <w:ind w:left="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对应服务评价：</w:t>
      </w:r>
    </w:p>
    <w:tbl>
      <w:tblPr>
        <w:tblStyle w:val="30"/>
        <w:tblW w:w="5000"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212"/>
        <w:gridCol w:w="2211"/>
        <w:gridCol w:w="2211"/>
        <w:gridCol w:w="1882"/>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99"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服务评价</w:t>
            </w:r>
          </w:p>
        </w:tc>
        <w:tc>
          <w:tcPr>
            <w:tcW w:w="1298" w:type="pct"/>
            <w:tcBorders>
              <w:top w:val="single" w:color="000000" w:sz="4" w:space="0"/>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A满意</w:t>
            </w:r>
          </w:p>
        </w:tc>
        <w:tc>
          <w:tcPr>
            <w:tcW w:w="1298" w:type="pct"/>
            <w:tcBorders>
              <w:top w:val="single" w:color="000000" w:sz="4" w:space="0"/>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B基本满意</w:t>
            </w:r>
          </w:p>
        </w:tc>
        <w:tc>
          <w:tcPr>
            <w:tcW w:w="1105" w:type="pct"/>
            <w:tcBorders>
              <w:top w:val="single" w:color="000000" w:sz="4" w:space="0"/>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C差</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299"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考核分数</w:t>
            </w:r>
          </w:p>
        </w:tc>
        <w:tc>
          <w:tcPr>
            <w:tcW w:w="1298" w:type="pct"/>
            <w:tcBorders>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[100，90]分</w:t>
            </w:r>
          </w:p>
        </w:tc>
        <w:tc>
          <w:tcPr>
            <w:tcW w:w="1298" w:type="pct"/>
            <w:tcBorders>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[89，80]分</w:t>
            </w:r>
          </w:p>
        </w:tc>
        <w:tc>
          <w:tcPr>
            <w:tcW w:w="1105" w:type="pct"/>
            <w:tcBorders>
              <w:bottom w:val="single" w:color="000000" w:sz="4" w:space="0"/>
              <w:right w:val="single" w:color="000000" w:sz="4" w:space="0"/>
            </w:tcBorders>
            <w:noWrap w:val="0"/>
            <w:tcMar>
              <w:top w:w="0" w:type="dxa"/>
              <w:left w:w="105" w:type="dxa"/>
              <w:bottom w:w="0" w:type="dxa"/>
              <w:right w:w="105" w:type="dxa"/>
            </w:tcMar>
            <w:vAlign w:val="top"/>
          </w:tcPr>
          <w:p>
            <w:pPr>
              <w:pStyle w:val="81"/>
              <w:keepNext w:val="0"/>
              <w:keepLines w:val="0"/>
              <w:pageBreakBefore w:val="0"/>
              <w:widowControl/>
              <w:kinsoku/>
              <w:wordWrap/>
              <w:overflowPunct/>
              <w:topLinePunct w:val="0"/>
              <w:autoSpaceDE/>
              <w:autoSpaceDN/>
              <w:bidi w:val="0"/>
              <w:spacing w:line="36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[79，0]分</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（3）</w:t>
      </w:r>
      <w:r>
        <w:rPr>
          <w:rFonts w:hint="eastAsia" w:ascii="宋体" w:hAnsi="宋体" w:eastAsia="宋体" w:cs="宋体"/>
          <w:b/>
          <w:color w:val="auto"/>
          <w:sz w:val="21"/>
          <w:szCs w:val="21"/>
          <w:highlight w:val="none"/>
        </w:rPr>
        <w:t>其他处罚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如在本项目执行期内，中标人未能按采购要求或承诺提供产品或服务的，除按上述标准考核扣分外，</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有权采取减少或暂停分派配送任务给相关中标人，以作警示，直至其改正为止；</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在本项目服务期内</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将不定期对中标人进行实地考察，考察内容包含但不仅限于：原材料采购及加工、产品质量管理、供货流程等，如发现中标人存在不符合国家相关行业的法律法规或招标文件要求的情况，</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对中标人发出整改通知，中标人必须在整改通知限期内对存在问题进行整改，如本项目服务期内同一中标人收到3次或以上整改通知的，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有权取消其供货资格并终止供货合同。</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如出现以下情况，除按上述标准考核扣分外，同时作以下处罚：</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A.如果因中标人不按规定及时送货或更换不符合要求的产品导致</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的工作停顿的，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按每次扣罚3000元对中标人作出处罚，罚金由</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在应付的货款中直接扣除。</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针对中标人不按规定及时送货或更换不符合要求的产品导致工作停顿的情况，有权自行采购相应的产品，以解决工作停顿的问题，但期间所产生的一切费用（包括产品采购成本）由中标人支付或由</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在应付的货款中直接扣除。</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（4）</w:t>
      </w:r>
      <w:r>
        <w:rPr>
          <w:rFonts w:hint="eastAsia" w:ascii="宋体" w:hAnsi="宋体" w:eastAsia="宋体" w:cs="宋体"/>
          <w:b/>
          <w:color w:val="auto"/>
          <w:sz w:val="21"/>
          <w:szCs w:val="21"/>
          <w:highlight w:val="none"/>
        </w:rPr>
        <w:t>服务资格终止</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在本项目供货期内，如中标人存在以下问题的，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有权终止与中标人签订的合同、没收履约保证金。如相关的问题涉及法律、经济责任的，追究其法律和经济责任：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因不法经营等原因，被相关行政主管部门勒令停业；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存在行贿、收受款项等不法行为；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如提供有毒、变质等食品，造成食品安全事故的，经有关单位鉴定原因后，如确实为中标人提供之食品问题，中标人除需负担全数之医药费及鉴定费用外，</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取消中标人供货资格。</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取消中标人供货合同，中标人同时承担相应的民事及刑事法律责任及放弃先诉抗辩权；</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在一个月内，因同类问题连续三次或累计五次受到</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处罚的；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在配送服务考核中，一年内月度考核得分不足80分2次的。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在配送服务考核中，如某一月度考核不足60分的，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有权取消中标人的供货资格，并要求中标人承担及赔偿因中标人原因造成的各种责任及损失。</w:t>
      </w:r>
    </w:p>
    <w:p>
      <w:pPr>
        <w:pStyle w:val="6"/>
        <w:bidi w:val="0"/>
        <w:rPr>
          <w:rFonts w:hint="eastAsia"/>
          <w:color w:val="auto"/>
          <w:highlight w:val="none"/>
          <w:lang w:val="en-US" w:eastAsia="zh-CN"/>
        </w:rPr>
      </w:pPr>
      <w:bookmarkStart w:id="190" w:name="_Toc1074"/>
      <w:r>
        <w:rPr>
          <w:rFonts w:hint="eastAsia"/>
          <w:color w:val="auto"/>
          <w:highlight w:val="none"/>
          <w:lang w:val="en-US" w:eastAsia="zh-CN"/>
        </w:rPr>
        <w:t>5、其他要求</w:t>
      </w:r>
      <w:bookmarkEnd w:id="190"/>
    </w:p>
    <w:p>
      <w:pPr>
        <w:bidi w:val="0"/>
        <w:ind w:firstLine="420" w:firstLineChars="200"/>
        <w:rPr>
          <w:rFonts w:hint="default"/>
          <w:color w:val="auto"/>
          <w:highlight w:val="none"/>
          <w:lang w:val="en-US" w:eastAsia="zh-CN"/>
        </w:rPr>
      </w:pPr>
      <w:r>
        <w:rPr>
          <w:rFonts w:hint="default"/>
          <w:color w:val="auto"/>
          <w:highlight w:val="none"/>
          <w:lang w:val="en-US" w:eastAsia="zh-CN"/>
        </w:rPr>
        <w:t>投标人应根据本项目的作业要求，在投标文件中提供切实可行</w:t>
      </w:r>
      <w:r>
        <w:rPr>
          <w:rFonts w:hint="eastAsia"/>
          <w:color w:val="auto"/>
          <w:highlight w:val="none"/>
          <w:lang w:val="en-US" w:eastAsia="zh-CN"/>
        </w:rPr>
        <w:t>的总体实施方案、食品安全质量保障方案、应急处理方案、出现产品质量问题退换货方案、售后服务承诺</w:t>
      </w:r>
      <w:r>
        <w:rPr>
          <w:rFonts w:hint="default"/>
          <w:color w:val="auto"/>
          <w:highlight w:val="none"/>
          <w:lang w:val="en-US" w:eastAsia="zh-CN"/>
        </w:rPr>
        <w:t>等。</w:t>
      </w: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3"/>
      <w:bookmarkEnd w:id="184"/>
      <w:bookmarkEnd w:id="185"/>
      <w:bookmarkEnd w:id="186"/>
      <w:bookmarkStart w:id="191" w:name="_Toc12485"/>
      <w:bookmarkStart w:id="192" w:name="_Toc21448"/>
    </w:p>
    <w:p>
      <w:pPr>
        <w:rPr>
          <w:rFonts w:hint="eastAsia"/>
          <w:color w:val="auto"/>
          <w:sz w:val="28"/>
          <w:szCs w:val="28"/>
          <w:highlight w:val="none"/>
        </w:rPr>
      </w:pPr>
      <w:r>
        <w:rPr>
          <w:rFonts w:hint="eastAsia"/>
          <w:color w:val="auto"/>
          <w:sz w:val="28"/>
          <w:szCs w:val="28"/>
          <w:highlight w:val="none"/>
        </w:rPr>
        <w:br w:type="page"/>
      </w:r>
    </w:p>
    <w:p>
      <w:pPr>
        <w:pStyle w:val="4"/>
        <w:spacing w:before="0" w:after="0" w:line="240" w:lineRule="auto"/>
        <w:rPr>
          <w:color w:val="auto"/>
          <w:sz w:val="28"/>
          <w:szCs w:val="28"/>
          <w:highlight w:val="none"/>
        </w:rPr>
      </w:pPr>
      <w:bookmarkStart w:id="193" w:name="_Toc16229"/>
      <w:r>
        <w:rPr>
          <w:rFonts w:hint="eastAsia"/>
          <w:color w:val="auto"/>
          <w:sz w:val="28"/>
          <w:szCs w:val="28"/>
          <w:highlight w:val="none"/>
        </w:rPr>
        <w:t>第六部分 合同格式（仅供参考）</w:t>
      </w:r>
      <w:bookmarkEnd w:id="191"/>
      <w:bookmarkEnd w:id="192"/>
      <w:bookmarkEnd w:id="193"/>
      <w:bookmarkStart w:id="194" w:name="_Toc21155"/>
      <w:bookmarkStart w:id="195" w:name="_Toc13430"/>
      <w:bookmarkStart w:id="196" w:name="_Toc1534"/>
    </w:p>
    <w:p>
      <w:pPr>
        <w:pStyle w:val="5"/>
        <w:spacing w:line="240" w:lineRule="auto"/>
        <w:jc w:val="center"/>
        <w:rPr>
          <w:rFonts w:ascii="宋体" w:hAnsi="宋体" w:cs="宋体"/>
          <w:color w:val="auto"/>
          <w:highlight w:val="none"/>
        </w:rPr>
      </w:pPr>
      <w:bookmarkStart w:id="197" w:name="_Toc19575"/>
      <w:bookmarkStart w:id="198" w:name="_Toc16379"/>
      <w:bookmarkStart w:id="199" w:name="_Toc16730"/>
      <w:r>
        <w:rPr>
          <w:rFonts w:hint="eastAsia" w:ascii="宋体" w:hAnsi="宋体" w:cs="宋体"/>
          <w:color w:val="auto"/>
          <w:highlight w:val="none"/>
        </w:rPr>
        <w:t>合同格式</w:t>
      </w:r>
      <w:bookmarkEnd w:id="194"/>
      <w:bookmarkEnd w:id="195"/>
      <w:bookmarkEnd w:id="196"/>
      <w:bookmarkEnd w:id="197"/>
      <w:bookmarkEnd w:id="198"/>
      <w:bookmarkEnd w:id="199"/>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200"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00"/>
    <w:p>
      <w:pPr>
        <w:ind w:firstLine="422" w:firstLineChars="200"/>
        <w:rPr>
          <w:rFonts w:ascii="宋体" w:hAnsi="宋体"/>
          <w:b/>
          <w:color w:val="auto"/>
          <w:szCs w:val="21"/>
          <w:highlight w:val="none"/>
        </w:rPr>
      </w:pPr>
      <w:bookmarkStart w:id="201"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202" w:name="_Toc86481569"/>
      <w:r>
        <w:rPr>
          <w:rFonts w:hint="eastAsia" w:ascii="宋体" w:hAnsi="宋体"/>
          <w:b/>
          <w:color w:val="auto"/>
          <w:szCs w:val="21"/>
          <w:highlight w:val="none"/>
        </w:rPr>
        <w:t>第十二条 合同生效</w:t>
      </w:r>
      <w:bookmarkEnd w:id="202"/>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01"/>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203" w:name="_Toc23749"/>
      <w:bookmarkStart w:id="204" w:name="_Toc17820"/>
      <w:bookmarkStart w:id="205" w:name="_Toc31587"/>
      <w:r>
        <w:rPr>
          <w:rFonts w:hint="eastAsia"/>
          <w:color w:val="auto"/>
          <w:sz w:val="28"/>
          <w:szCs w:val="28"/>
          <w:highlight w:val="none"/>
        </w:rPr>
        <w:t>第七部分  投标文件格式</w:t>
      </w:r>
      <w:bookmarkEnd w:id="203"/>
      <w:bookmarkEnd w:id="204"/>
      <w:bookmarkEnd w:id="205"/>
    </w:p>
    <w:p>
      <w:pPr>
        <w:rPr>
          <w:color w:val="auto"/>
          <w:highlight w:val="none"/>
        </w:rPr>
      </w:pPr>
    </w:p>
    <w:p>
      <w:pPr>
        <w:pStyle w:val="5"/>
        <w:rPr>
          <w:color w:val="auto"/>
          <w:highlight w:val="none"/>
        </w:rPr>
      </w:pPr>
      <w:bookmarkStart w:id="206" w:name="_Toc6790"/>
      <w:bookmarkStart w:id="207" w:name="_Toc26830"/>
      <w:bookmarkStart w:id="208" w:name="_Toc1212"/>
      <w:r>
        <w:rPr>
          <w:rFonts w:hint="eastAsia"/>
          <w:color w:val="auto"/>
          <w:highlight w:val="none"/>
        </w:rPr>
        <w:t>投标文件目录</w:t>
      </w:r>
      <w:bookmarkEnd w:id="206"/>
      <w:bookmarkEnd w:id="207"/>
      <w:bookmarkEnd w:id="208"/>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9" w:name="_Toc18893"/>
      <w:bookmarkStart w:id="210" w:name="_Toc25502"/>
      <w:bookmarkStart w:id="211" w:name="_Toc25791"/>
      <w:r>
        <w:rPr>
          <w:rFonts w:hint="eastAsia"/>
          <w:color w:val="auto"/>
          <w:highlight w:val="none"/>
        </w:rPr>
        <w:t>评分标准索引表</w:t>
      </w:r>
      <w:bookmarkEnd w:id="209"/>
      <w:bookmarkEnd w:id="210"/>
      <w:bookmarkEnd w:id="211"/>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8"/>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8"/>
              <w:jc w:val="both"/>
              <w:rPr>
                <w:rFonts w:ascii="宋体" w:hAnsi="宋体" w:cs="宋体"/>
                <w:color w:val="auto"/>
                <w:szCs w:val="21"/>
                <w:highlight w:val="none"/>
              </w:rPr>
            </w:pPr>
          </w:p>
        </w:tc>
        <w:tc>
          <w:tcPr>
            <w:tcW w:w="5028" w:type="dxa"/>
            <w:vAlign w:val="center"/>
          </w:tcPr>
          <w:p>
            <w:pPr>
              <w:pStyle w:val="38"/>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1"/>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12" w:name="_Toc22080"/>
      <w:bookmarkStart w:id="213" w:name="_Toc1088"/>
      <w:bookmarkStart w:id="214" w:name="_Toc30640"/>
      <w:r>
        <w:rPr>
          <w:rFonts w:hint="eastAsia"/>
          <w:color w:val="auto"/>
          <w:highlight w:val="none"/>
        </w:rPr>
        <w:t>第一章价格文件</w:t>
      </w:r>
      <w:bookmarkEnd w:id="212"/>
      <w:bookmarkEnd w:id="213"/>
    </w:p>
    <w:p>
      <w:pPr>
        <w:pStyle w:val="5"/>
        <w:jc w:val="center"/>
        <w:rPr>
          <w:color w:val="auto"/>
          <w:highlight w:val="none"/>
        </w:rPr>
      </w:pPr>
      <w:bookmarkStart w:id="215" w:name="_Toc4168"/>
      <w:bookmarkStart w:id="216" w:name="_Toc24594"/>
      <w:r>
        <w:rPr>
          <w:rFonts w:hint="eastAsia"/>
          <w:color w:val="auto"/>
          <w:highlight w:val="none"/>
        </w:rPr>
        <w:t>一、唱标一览表</w:t>
      </w:r>
      <w:bookmarkEnd w:id="215"/>
      <w:bookmarkEnd w:id="216"/>
    </w:p>
    <w:p>
      <w:pPr>
        <w:rPr>
          <w:color w:val="auto"/>
          <w:highlight w:val="none"/>
        </w:rPr>
      </w:pPr>
    </w:p>
    <w:tbl>
      <w:tblPr>
        <w:tblStyle w:val="30"/>
        <w:tblW w:w="8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1275"/>
        <w:gridCol w:w="3168"/>
        <w:gridCol w:w="1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48" w:hRule="atLeast"/>
          <w:jc w:val="center"/>
        </w:trPr>
        <w:tc>
          <w:tcPr>
            <w:tcW w:w="2250"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项目名称</w:t>
            </w:r>
          </w:p>
        </w:tc>
        <w:tc>
          <w:tcPr>
            <w:tcW w:w="127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包号</w:t>
            </w:r>
          </w:p>
        </w:tc>
        <w:tc>
          <w:tcPr>
            <w:tcW w:w="3168"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1480"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250"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1275" w:type="dxa"/>
            <w:vMerge w:val="restar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hint="eastAsia" w:ascii="宋体" w:hAnsi="宋体" w:eastAsia="宋体"/>
                <w:color w:val="auto"/>
                <w:sz w:val="21"/>
                <w:szCs w:val="21"/>
                <w:highlight w:val="none"/>
              </w:rPr>
            </w:pPr>
          </w:p>
        </w:tc>
        <w:tc>
          <w:tcPr>
            <w:tcW w:w="3168"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1480"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250"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1275" w:type="dxa"/>
            <w:vMerge w:val="continue"/>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hint="eastAsia" w:ascii="宋体" w:hAnsi="宋体" w:eastAsia="宋体"/>
                <w:color w:val="auto"/>
                <w:sz w:val="21"/>
                <w:szCs w:val="21"/>
                <w:highlight w:val="none"/>
              </w:rPr>
            </w:pPr>
          </w:p>
        </w:tc>
        <w:tc>
          <w:tcPr>
            <w:tcW w:w="3168"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1480"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11"/>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1"/>
        <w:rPr>
          <w:color w:val="auto"/>
          <w:highlight w:val="none"/>
        </w:rPr>
      </w:pPr>
    </w:p>
    <w:p>
      <w:pPr>
        <w:pStyle w:val="29"/>
        <w:rPr>
          <w:color w:val="auto"/>
          <w:highlight w:val="none"/>
        </w:rPr>
      </w:pPr>
    </w:p>
    <w:p>
      <w:pPr>
        <w:rPr>
          <w:color w:val="auto"/>
          <w:highlight w:val="none"/>
        </w:rPr>
      </w:pPr>
    </w:p>
    <w:p>
      <w:pPr>
        <w:pStyle w:val="5"/>
        <w:jc w:val="center"/>
        <w:rPr>
          <w:color w:val="auto"/>
          <w:highlight w:val="none"/>
        </w:rPr>
      </w:pPr>
      <w:bookmarkStart w:id="217" w:name="_Toc29393"/>
      <w:bookmarkStart w:id="218" w:name="_Toc31062"/>
      <w:r>
        <w:rPr>
          <w:rFonts w:hint="eastAsia"/>
          <w:color w:val="auto"/>
          <w:highlight w:val="none"/>
        </w:rPr>
        <w:t>二、报价明细表</w:t>
      </w:r>
      <w:bookmarkEnd w:id="217"/>
      <w:bookmarkEnd w:id="218"/>
    </w:p>
    <w:p>
      <w:pPr>
        <w:pStyle w:val="38"/>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8"/>
        <w:rPr>
          <w:rFonts w:ascii="黑体" w:eastAsia="黑体"/>
          <w:color w:val="auto"/>
          <w:sz w:val="32"/>
          <w:szCs w:val="32"/>
          <w:highlight w:val="none"/>
        </w:rPr>
      </w:pPr>
    </w:p>
    <w:p>
      <w:pPr>
        <w:pStyle w:val="38"/>
        <w:rPr>
          <w:rFonts w:ascii="黑体" w:eastAsia="黑体"/>
          <w:color w:val="auto"/>
          <w:sz w:val="32"/>
          <w:szCs w:val="32"/>
          <w:highlight w:val="none"/>
        </w:rPr>
      </w:pPr>
    </w:p>
    <w:p>
      <w:pPr>
        <w:pStyle w:val="5"/>
        <w:jc w:val="center"/>
        <w:rPr>
          <w:color w:val="auto"/>
          <w:highlight w:val="none"/>
        </w:rPr>
      </w:pPr>
      <w:bookmarkStart w:id="219" w:name="_Toc2147"/>
      <w:bookmarkStart w:id="220" w:name="_Toc20974"/>
      <w:r>
        <w:rPr>
          <w:rFonts w:hint="eastAsia"/>
          <w:color w:val="auto"/>
          <w:highlight w:val="none"/>
        </w:rPr>
        <w:t>三、小型或微型企业（货物/服务/承担的工程）明细表</w:t>
      </w:r>
      <w:bookmarkEnd w:id="219"/>
      <w:bookmarkEnd w:id="220"/>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1"/>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50"/>
          <w:rFonts w:hint="eastAsia" w:ascii="宋体" w:hAnsi="宋体" w:eastAsia="宋体" w:cs="宋体"/>
          <w:b/>
          <w:color w:val="auto"/>
          <w:sz w:val="21"/>
          <w:szCs w:val="21"/>
          <w:highlight w:val="none"/>
        </w:rPr>
        <w:t>；</w:t>
      </w:r>
    </w:p>
    <w:p>
      <w:pPr>
        <w:pStyle w:val="41"/>
        <w:ind w:firstLine="422"/>
        <w:rPr>
          <w:rFonts w:ascii="黑体" w:eastAsia="黑体"/>
          <w:color w:val="auto"/>
          <w:sz w:val="32"/>
          <w:szCs w:val="32"/>
          <w:highlight w:val="none"/>
        </w:rPr>
      </w:pPr>
      <w:r>
        <w:rPr>
          <w:rStyle w:val="50"/>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21" w:name="_Toc23790"/>
      <w:bookmarkStart w:id="222" w:name="_Toc16718"/>
      <w:r>
        <w:rPr>
          <w:rFonts w:hint="eastAsia"/>
          <w:color w:val="auto"/>
          <w:highlight w:val="none"/>
        </w:rPr>
        <w:t>四、节能产品或环境标志产品明细表</w:t>
      </w:r>
      <w:bookmarkEnd w:id="221"/>
      <w:bookmarkEnd w:id="222"/>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8"/>
        <w:rPr>
          <w:color w:val="auto"/>
          <w:highlight w:val="none"/>
        </w:rPr>
      </w:pPr>
    </w:p>
    <w:p>
      <w:pPr>
        <w:tabs>
          <w:tab w:val="left" w:pos="284"/>
        </w:tabs>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tabs>
          <w:tab w:val="left" w:pos="284"/>
        </w:tabs>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50"/>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23" w:name="_Toc25466"/>
      <w:bookmarkStart w:id="224" w:name="_Toc10853"/>
      <w:r>
        <w:rPr>
          <w:rFonts w:hint="eastAsia"/>
          <w:color w:val="auto"/>
          <w:highlight w:val="none"/>
        </w:rPr>
        <w:t>五、中小企业声明函</w:t>
      </w:r>
      <w:bookmarkEnd w:id="223"/>
      <w:bookmarkEnd w:id="224"/>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1"/>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1"/>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1"/>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1"/>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1"/>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1"/>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1"/>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1"/>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1"/>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1"/>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1"/>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1"/>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5" w:name="_Toc14201"/>
      <w:bookmarkStart w:id="226" w:name="_Toc8560"/>
      <w:r>
        <w:rPr>
          <w:rFonts w:hint="eastAsia"/>
          <w:color w:val="auto"/>
          <w:highlight w:val="none"/>
        </w:rPr>
        <w:t>六、残疾人福利性单位声明函</w:t>
      </w:r>
      <w:bookmarkEnd w:id="225"/>
      <w:bookmarkEnd w:id="226"/>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7" w:name="_Toc509844825"/>
      <w:bookmarkStart w:id="228" w:name="_Toc22970"/>
      <w:bookmarkStart w:id="229" w:name="_Toc17761"/>
      <w:bookmarkStart w:id="230" w:name="_Toc20910"/>
      <w:bookmarkStart w:id="231" w:name="_Toc508960153"/>
      <w:bookmarkStart w:id="232" w:name="_Toc508958703"/>
      <w:bookmarkStart w:id="233" w:name="_Toc509479530"/>
      <w:bookmarkStart w:id="234" w:name="_Toc30247"/>
      <w:bookmarkStart w:id="235" w:name="_Toc508898066"/>
      <w:bookmarkStart w:id="236" w:name="_Toc30277"/>
      <w:bookmarkStart w:id="237" w:name="_Toc509927455"/>
      <w:bookmarkStart w:id="238" w:name="_Toc51017169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7"/>
      <w:bookmarkEnd w:id="228"/>
      <w:bookmarkEnd w:id="229"/>
      <w:bookmarkEnd w:id="230"/>
      <w:bookmarkEnd w:id="231"/>
      <w:bookmarkEnd w:id="232"/>
      <w:bookmarkEnd w:id="233"/>
      <w:bookmarkEnd w:id="234"/>
      <w:bookmarkEnd w:id="235"/>
      <w:bookmarkEnd w:id="236"/>
      <w:bookmarkEnd w:id="237"/>
      <w:bookmarkEnd w:id="238"/>
    </w:p>
    <w:p>
      <w:pPr>
        <w:pStyle w:val="11"/>
        <w:rPr>
          <w:color w:val="auto"/>
          <w:highlight w:val="none"/>
        </w:rPr>
      </w:pPr>
    </w:p>
    <w:p>
      <w:pPr>
        <w:ind w:firstLine="420" w:firstLineChars="200"/>
        <w:rPr>
          <w:rFonts w:ascii="宋体" w:hAnsi="宋体"/>
          <w:color w:val="auto"/>
          <w:szCs w:val="21"/>
          <w:highlight w:val="none"/>
        </w:rPr>
      </w:pPr>
      <w:bookmarkStart w:id="239" w:name="_Toc508898067"/>
      <w:bookmarkStart w:id="240" w:name="_Toc508960154"/>
      <w:bookmarkStart w:id="241" w:name="_Toc509479531"/>
      <w:bookmarkStart w:id="242" w:name="_Toc509844826"/>
      <w:bookmarkStart w:id="243" w:name="_Toc510171694"/>
      <w:bookmarkStart w:id="244" w:name="_Toc21053"/>
      <w:bookmarkStart w:id="245" w:name="_Toc5447"/>
      <w:bookmarkStart w:id="246" w:name="_Toc508958704"/>
      <w:bookmarkStart w:id="247" w:name="_Toc26216"/>
      <w:bookmarkStart w:id="248" w:name="_Toc31520"/>
      <w:bookmarkStart w:id="249" w:name="_Toc509927456"/>
      <w:bookmarkStart w:id="250"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9"/>
      <w:bookmarkEnd w:id="240"/>
      <w:bookmarkEnd w:id="241"/>
      <w:bookmarkEnd w:id="242"/>
      <w:bookmarkEnd w:id="243"/>
      <w:bookmarkEnd w:id="244"/>
      <w:bookmarkEnd w:id="245"/>
      <w:bookmarkEnd w:id="246"/>
      <w:bookmarkEnd w:id="247"/>
      <w:bookmarkEnd w:id="248"/>
      <w:bookmarkEnd w:id="249"/>
      <w:bookmarkEnd w:id="250"/>
    </w:p>
    <w:p>
      <w:pPr>
        <w:ind w:firstLine="420" w:firstLineChars="200"/>
        <w:rPr>
          <w:rFonts w:ascii="宋体" w:hAnsi="宋体"/>
          <w:color w:val="auto"/>
          <w:szCs w:val="21"/>
          <w:highlight w:val="none"/>
        </w:rPr>
      </w:pPr>
      <w:bookmarkStart w:id="251" w:name="_Toc28126"/>
      <w:bookmarkStart w:id="252" w:name="_Toc28626"/>
      <w:bookmarkStart w:id="253" w:name="_Toc24848"/>
      <w:bookmarkStart w:id="254" w:name="_Toc9148"/>
      <w:bookmarkStart w:id="255" w:name="_Toc509927457"/>
      <w:bookmarkStart w:id="256" w:name="_Toc510171695"/>
      <w:bookmarkStart w:id="257" w:name="_Toc14653"/>
      <w:bookmarkStart w:id="258" w:name="_Toc509479532"/>
      <w:bookmarkStart w:id="259" w:name="_Toc508958705"/>
      <w:bookmarkStart w:id="260" w:name="_Toc508898068"/>
      <w:bookmarkStart w:id="261" w:name="_Toc509844827"/>
      <w:bookmarkStart w:id="262" w:name="_Toc508960155"/>
      <w:r>
        <w:rPr>
          <w:rFonts w:hint="eastAsia" w:ascii="宋体" w:hAnsi="宋体"/>
          <w:color w:val="auto"/>
          <w:szCs w:val="21"/>
          <w:highlight w:val="none"/>
        </w:rPr>
        <w:t>（2）中标人为残疾人福利性单位的，采购代理机构将随中标结果同时公告其《残疾人福利性单位声明函》，接受社会监督。</w:t>
      </w:r>
      <w:bookmarkEnd w:id="251"/>
      <w:bookmarkEnd w:id="252"/>
      <w:bookmarkEnd w:id="253"/>
      <w:bookmarkEnd w:id="254"/>
      <w:bookmarkEnd w:id="255"/>
      <w:bookmarkEnd w:id="256"/>
      <w:bookmarkEnd w:id="257"/>
      <w:bookmarkEnd w:id="258"/>
      <w:bookmarkEnd w:id="259"/>
      <w:bookmarkEnd w:id="260"/>
      <w:bookmarkEnd w:id="261"/>
      <w:bookmarkEnd w:id="262"/>
    </w:p>
    <w:p>
      <w:pPr>
        <w:ind w:firstLine="420" w:firstLineChars="200"/>
        <w:rPr>
          <w:rFonts w:ascii="宋体" w:hAnsi="宋体"/>
          <w:color w:val="auto"/>
          <w:szCs w:val="21"/>
          <w:highlight w:val="none"/>
        </w:rPr>
      </w:pPr>
      <w:bookmarkStart w:id="263" w:name="_Toc509479533"/>
      <w:bookmarkStart w:id="264" w:name="_Toc508960156"/>
      <w:bookmarkStart w:id="265" w:name="_Toc9837"/>
      <w:bookmarkStart w:id="266" w:name="_Toc28044"/>
      <w:bookmarkStart w:id="267" w:name="_Toc510171696"/>
      <w:bookmarkStart w:id="268" w:name="_Toc508898069"/>
      <w:bookmarkStart w:id="269" w:name="_Toc22981"/>
      <w:bookmarkStart w:id="270" w:name="_Toc509844828"/>
      <w:bookmarkStart w:id="271" w:name="_Toc509927458"/>
      <w:bookmarkStart w:id="272" w:name="_Toc28686"/>
      <w:bookmarkStart w:id="273" w:name="_Toc7858"/>
      <w:bookmarkStart w:id="274"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263"/>
      <w:bookmarkEnd w:id="264"/>
      <w:bookmarkEnd w:id="265"/>
      <w:bookmarkEnd w:id="266"/>
      <w:bookmarkEnd w:id="267"/>
      <w:bookmarkEnd w:id="268"/>
      <w:bookmarkEnd w:id="269"/>
      <w:bookmarkEnd w:id="270"/>
      <w:bookmarkEnd w:id="271"/>
      <w:bookmarkEnd w:id="272"/>
      <w:bookmarkEnd w:id="273"/>
      <w:bookmarkEnd w:id="274"/>
    </w:p>
    <w:p>
      <w:pPr>
        <w:ind w:firstLine="420" w:firstLineChars="200"/>
        <w:rPr>
          <w:rFonts w:ascii="宋体" w:hAnsi="宋体"/>
          <w:color w:val="auto"/>
          <w:szCs w:val="21"/>
          <w:highlight w:val="none"/>
        </w:rPr>
      </w:pPr>
      <w:bookmarkStart w:id="275" w:name="_Toc508898070"/>
      <w:bookmarkStart w:id="276" w:name="_Toc509479534"/>
      <w:bookmarkStart w:id="277" w:name="_Toc510171697"/>
      <w:bookmarkStart w:id="278" w:name="_Toc18843"/>
      <w:bookmarkStart w:id="279" w:name="_Toc508960157"/>
      <w:bookmarkStart w:id="280" w:name="_Toc508958707"/>
      <w:bookmarkStart w:id="281" w:name="_Toc509844829"/>
      <w:bookmarkStart w:id="282" w:name="_Toc5289"/>
      <w:bookmarkStart w:id="283" w:name="_Toc50992745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5"/>
      <w:bookmarkEnd w:id="276"/>
      <w:bookmarkEnd w:id="277"/>
      <w:bookmarkEnd w:id="278"/>
      <w:bookmarkEnd w:id="279"/>
      <w:bookmarkEnd w:id="280"/>
      <w:bookmarkEnd w:id="281"/>
      <w:bookmarkEnd w:id="282"/>
      <w:bookmarkEnd w:id="283"/>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84" w:name="_Toc23948"/>
      <w:bookmarkStart w:id="285" w:name="_Toc26631"/>
      <w:r>
        <w:rPr>
          <w:rFonts w:hint="eastAsia"/>
          <w:color w:val="auto"/>
          <w:highlight w:val="none"/>
        </w:rPr>
        <w:t>第二章商务文件</w:t>
      </w:r>
      <w:bookmarkEnd w:id="284"/>
      <w:bookmarkEnd w:id="285"/>
    </w:p>
    <w:bookmarkEnd w:id="214"/>
    <w:p>
      <w:pPr>
        <w:pStyle w:val="5"/>
        <w:jc w:val="center"/>
        <w:rPr>
          <w:color w:val="auto"/>
          <w:highlight w:val="none"/>
        </w:rPr>
      </w:pPr>
      <w:bookmarkStart w:id="286" w:name="_Toc26222"/>
      <w:bookmarkStart w:id="287" w:name="_Toc23787"/>
      <w:r>
        <w:rPr>
          <w:rFonts w:hint="eastAsia"/>
          <w:color w:val="auto"/>
          <w:highlight w:val="none"/>
        </w:rPr>
        <w:t>一、投标函</w:t>
      </w:r>
      <w:bookmarkEnd w:id="286"/>
      <w:bookmarkEnd w:id="287"/>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8" w:name="_Toc14832"/>
      <w:bookmarkStart w:id="289" w:name="_Toc15719"/>
      <w:r>
        <w:rPr>
          <w:rFonts w:hint="eastAsia"/>
          <w:color w:val="auto"/>
          <w:highlight w:val="none"/>
        </w:rPr>
        <w:t>二、资格申明函</w:t>
      </w:r>
      <w:bookmarkEnd w:id="288"/>
      <w:bookmarkEnd w:id="289"/>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4"/>
        <w:spacing w:line="500" w:lineRule="atLeast"/>
        <w:ind w:firstLine="3517" w:firstLineChars="1675"/>
        <w:rPr>
          <w:rFonts w:ascii="宋体" w:eastAsia="宋体"/>
          <w:color w:val="auto"/>
          <w:sz w:val="21"/>
          <w:szCs w:val="21"/>
          <w:highlight w:val="none"/>
        </w:rPr>
      </w:pP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highlight w:val="none"/>
        </w:rPr>
      </w:pPr>
    </w:p>
    <w:p>
      <w:pPr>
        <w:rPr>
          <w:color w:val="auto"/>
          <w:highlight w:val="none"/>
        </w:rPr>
      </w:pPr>
      <w:bookmarkStart w:id="290" w:name="_Toc16412"/>
    </w:p>
    <w:p>
      <w:pPr>
        <w:pStyle w:val="5"/>
        <w:jc w:val="center"/>
        <w:rPr>
          <w:color w:val="auto"/>
          <w:highlight w:val="none"/>
        </w:rPr>
      </w:pPr>
      <w:bookmarkStart w:id="291" w:name="_Toc5751"/>
      <w:bookmarkStart w:id="292" w:name="_Toc21273"/>
      <w:r>
        <w:rPr>
          <w:rFonts w:hint="eastAsia"/>
          <w:color w:val="auto"/>
          <w:highlight w:val="none"/>
        </w:rPr>
        <w:t>三、在参与政府采购活动前三年未有重大违法记录、没有不良信用记录的声明函</w:t>
      </w:r>
      <w:bookmarkEnd w:id="291"/>
      <w:bookmarkEnd w:id="292"/>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0"/>
    </w:p>
    <w:p>
      <w:pPr>
        <w:pStyle w:val="5"/>
        <w:jc w:val="center"/>
        <w:rPr>
          <w:color w:val="auto"/>
          <w:highlight w:val="none"/>
        </w:rPr>
      </w:pPr>
      <w:bookmarkStart w:id="293" w:name="_Toc29232"/>
      <w:bookmarkStart w:id="294" w:name="_Toc13243"/>
      <w:r>
        <w:rPr>
          <w:rFonts w:hint="eastAsia"/>
          <w:color w:val="auto"/>
          <w:highlight w:val="none"/>
        </w:rPr>
        <w:t>四、法定代表人证明书</w:t>
      </w:r>
      <w:bookmarkEnd w:id="293"/>
      <w:bookmarkEnd w:id="294"/>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pStyle w:val="44"/>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5" w:name="_Toc26566"/>
      <w:bookmarkStart w:id="296" w:name="_Toc5918"/>
      <w:r>
        <w:rPr>
          <w:rFonts w:hint="eastAsia"/>
          <w:color w:val="auto"/>
          <w:highlight w:val="none"/>
        </w:rPr>
        <w:t>五、法定代表人授权书</w:t>
      </w:r>
      <w:bookmarkEnd w:id="295"/>
      <w:bookmarkEnd w:id="296"/>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4"/>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7"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8" w:name="_Toc24013"/>
      <w:bookmarkStart w:id="299" w:name="_Toc5808"/>
      <w:r>
        <w:rPr>
          <w:rFonts w:hint="eastAsia"/>
          <w:color w:val="auto"/>
          <w:highlight w:val="none"/>
        </w:rPr>
        <w:t>六、投标人基本情况说明</w:t>
      </w:r>
      <w:bookmarkEnd w:id="298"/>
      <w:bookmarkEnd w:id="299"/>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1"/>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5"/>
        <w:jc w:val="center"/>
        <w:rPr>
          <w:color w:val="auto"/>
          <w:highlight w:val="none"/>
        </w:rPr>
      </w:pPr>
      <w:bookmarkStart w:id="300" w:name="_Toc24210"/>
      <w:bookmarkStart w:id="301" w:name="_Toc7457"/>
      <w:bookmarkStart w:id="302" w:name="_Toc29995"/>
      <w:bookmarkStart w:id="303" w:name="_Toc1511"/>
      <w:bookmarkStart w:id="304" w:name="_Toc4926"/>
      <w:bookmarkStart w:id="305" w:name="_Toc5919"/>
      <w:bookmarkStart w:id="306" w:name="_Toc17470"/>
      <w:r>
        <w:rPr>
          <w:rFonts w:hint="eastAsia"/>
          <w:color w:val="auto"/>
          <w:highlight w:val="none"/>
        </w:rPr>
        <w:t>七、营业执照</w:t>
      </w:r>
      <w:bookmarkEnd w:id="300"/>
      <w:bookmarkEnd w:id="301"/>
      <w:bookmarkEnd w:id="302"/>
      <w:bookmarkEnd w:id="303"/>
      <w:bookmarkEnd w:id="304"/>
      <w:bookmarkEnd w:id="305"/>
      <w:bookmarkEnd w:id="306"/>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7"/>
    <w:p>
      <w:pPr>
        <w:pStyle w:val="5"/>
        <w:jc w:val="center"/>
        <w:rPr>
          <w:color w:val="auto"/>
          <w:highlight w:val="none"/>
        </w:rPr>
      </w:pPr>
      <w:bookmarkStart w:id="307" w:name="_Toc29439"/>
      <w:bookmarkStart w:id="308" w:name="_Toc18865"/>
      <w:r>
        <w:rPr>
          <w:rFonts w:hint="eastAsia"/>
          <w:color w:val="auto"/>
          <w:highlight w:val="none"/>
        </w:rPr>
        <w:t>八、特殊资格要求证明文件</w:t>
      </w:r>
      <w:bookmarkEnd w:id="307"/>
      <w:bookmarkEnd w:id="308"/>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highlight w:val="none"/>
        </w:rPr>
      </w:pPr>
    </w:p>
    <w:p>
      <w:pPr>
        <w:pStyle w:val="5"/>
        <w:jc w:val="center"/>
        <w:rPr>
          <w:color w:val="auto"/>
          <w:highlight w:val="none"/>
        </w:rPr>
      </w:pPr>
      <w:bookmarkStart w:id="309" w:name="_Toc22541"/>
      <w:bookmarkStart w:id="310" w:name="_Toc23341"/>
      <w:r>
        <w:rPr>
          <w:rFonts w:hint="eastAsia"/>
          <w:color w:val="auto"/>
          <w:highlight w:val="none"/>
        </w:rPr>
        <w:t>九、承诺书</w:t>
      </w:r>
      <w:bookmarkEnd w:id="309"/>
      <w:bookmarkEnd w:id="310"/>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4"/>
        <w:spacing w:line="420" w:lineRule="exact"/>
        <w:ind w:firstLine="433"/>
        <w:rPr>
          <w:rFonts w:ascii="宋体" w:eastAsia="宋体" w:cs="宋体"/>
          <w:color w:val="auto"/>
          <w:sz w:val="21"/>
          <w:szCs w:val="21"/>
          <w:highlight w:val="none"/>
        </w:rPr>
      </w:pPr>
      <w:bookmarkStart w:id="311"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1"/>
      <w:r>
        <w:rPr>
          <w:rFonts w:hint="eastAsia" w:ascii="宋体" w:eastAsia="宋体" w:cs="宋体"/>
          <w:color w:val="auto"/>
          <w:sz w:val="21"/>
          <w:szCs w:val="21"/>
          <w:highlight w:val="none"/>
        </w:rPr>
        <w:cr/>
      </w:r>
    </w:p>
    <w:p>
      <w:pPr>
        <w:pStyle w:val="44"/>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pStyle w:val="11"/>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12" w:name="_Toc13653"/>
      <w:bookmarkStart w:id="313" w:name="_Toc13764"/>
      <w:r>
        <w:rPr>
          <w:rFonts w:hint="eastAsia"/>
          <w:color w:val="auto"/>
          <w:highlight w:val="none"/>
        </w:rPr>
        <w:t>十、招标代理服务费承诺书</w:t>
      </w:r>
      <w:bookmarkEnd w:id="312"/>
      <w:bookmarkEnd w:id="313"/>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14" w:name="_Toc29550"/>
      <w:bookmarkStart w:id="315" w:name="_Toc1975"/>
      <w:r>
        <w:rPr>
          <w:rFonts w:hint="eastAsia"/>
          <w:color w:val="auto"/>
          <w:highlight w:val="none"/>
        </w:rPr>
        <w:t>十一、商务条款偏离表</w:t>
      </w:r>
      <w:bookmarkEnd w:id="314"/>
      <w:bookmarkEnd w:id="315"/>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6" w:name="_Toc32183"/>
    </w:p>
    <w:p>
      <w:pPr>
        <w:pStyle w:val="5"/>
        <w:jc w:val="center"/>
        <w:rPr>
          <w:color w:val="auto"/>
          <w:highlight w:val="none"/>
        </w:rPr>
      </w:pPr>
      <w:bookmarkStart w:id="317" w:name="_Toc25391"/>
      <w:bookmarkStart w:id="318" w:name="_Toc8814"/>
      <w:r>
        <w:rPr>
          <w:rFonts w:hint="eastAsia"/>
          <w:color w:val="auto"/>
          <w:highlight w:val="none"/>
        </w:rPr>
        <w:t>十二、业绩表</w:t>
      </w:r>
      <w:bookmarkEnd w:id="317"/>
      <w:bookmarkEnd w:id="318"/>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1"/>
        <w:rPr>
          <w:color w:val="auto"/>
          <w:highlight w:val="none"/>
        </w:rPr>
      </w:pPr>
    </w:p>
    <w:p>
      <w:pPr>
        <w:pStyle w:val="11"/>
        <w:ind w:left="0"/>
        <w:rPr>
          <w:color w:val="auto"/>
          <w:highlight w:val="none"/>
        </w:rPr>
      </w:pPr>
    </w:p>
    <w:p>
      <w:pPr>
        <w:pStyle w:val="5"/>
        <w:jc w:val="center"/>
        <w:rPr>
          <w:rFonts w:ascii="黑体" w:eastAsia="黑体"/>
          <w:color w:val="auto"/>
          <w:szCs w:val="28"/>
          <w:highlight w:val="none"/>
        </w:rPr>
      </w:pPr>
      <w:bookmarkStart w:id="319" w:name="_Toc14688"/>
      <w:bookmarkStart w:id="320" w:name="_Toc22561"/>
      <w:r>
        <w:rPr>
          <w:rFonts w:hint="eastAsia"/>
          <w:color w:val="auto"/>
          <w:highlight w:val="none"/>
        </w:rPr>
        <w:t>第三章技术文件</w:t>
      </w:r>
      <w:bookmarkEnd w:id="316"/>
      <w:bookmarkEnd w:id="319"/>
      <w:bookmarkEnd w:id="320"/>
    </w:p>
    <w:p>
      <w:pPr>
        <w:pStyle w:val="5"/>
        <w:jc w:val="center"/>
        <w:rPr>
          <w:color w:val="auto"/>
          <w:highlight w:val="none"/>
        </w:rPr>
      </w:pPr>
      <w:bookmarkStart w:id="321" w:name="_Toc7092"/>
      <w:bookmarkStart w:id="322" w:name="_Toc16096"/>
      <w:r>
        <w:rPr>
          <w:rFonts w:hint="eastAsia"/>
          <w:color w:val="auto"/>
          <w:highlight w:val="none"/>
        </w:rPr>
        <w:t>一、技术规格偏离表</w:t>
      </w:r>
      <w:bookmarkEnd w:id="321"/>
      <w:bookmarkEnd w:id="322"/>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3" w:name="_Toc17691"/>
      <w:r>
        <w:rPr>
          <w:rFonts w:hint="eastAsia" w:ascii="宋体" w:hAnsi="宋体"/>
          <w:color w:val="auto"/>
          <w:szCs w:val="21"/>
          <w:highlight w:val="none"/>
        </w:rPr>
        <w:br w:type="page"/>
      </w:r>
      <w:bookmarkEnd w:id="323"/>
      <w:bookmarkStart w:id="324" w:name="_Toc4464"/>
      <w:bookmarkStart w:id="325" w:name="_Toc26078"/>
      <w:bookmarkStart w:id="326" w:name="_Toc18668"/>
      <w:bookmarkStart w:id="327" w:name="_Toc4827"/>
      <w:bookmarkStart w:id="328" w:name="_Toc1274"/>
      <w:bookmarkStart w:id="329" w:name="_Toc6080"/>
    </w:p>
    <w:p>
      <w:pPr>
        <w:pStyle w:val="5"/>
        <w:jc w:val="center"/>
        <w:rPr>
          <w:color w:val="auto"/>
          <w:highlight w:val="none"/>
        </w:rPr>
      </w:pPr>
      <w:bookmarkStart w:id="330" w:name="_Toc17233"/>
      <w:bookmarkStart w:id="331" w:name="_Toc10734"/>
      <w:r>
        <w:rPr>
          <w:rFonts w:hint="eastAsia"/>
          <w:color w:val="auto"/>
          <w:highlight w:val="none"/>
        </w:rPr>
        <w:t>二、重要技术参数（▲）响应表</w:t>
      </w:r>
      <w:bookmarkEnd w:id="324"/>
      <w:bookmarkEnd w:id="325"/>
      <w:bookmarkEnd w:id="326"/>
      <w:bookmarkEnd w:id="327"/>
      <w:bookmarkEnd w:id="328"/>
      <w:bookmarkEnd w:id="329"/>
      <w:bookmarkEnd w:id="330"/>
      <w:bookmarkEnd w:id="331"/>
    </w:p>
    <w:tbl>
      <w:tblPr>
        <w:tblStyle w:val="31"/>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2" w:name="_Toc23398"/>
            <w:bookmarkStart w:id="333" w:name="_Toc29642"/>
            <w:bookmarkStart w:id="334" w:name="_Toc27079"/>
            <w:bookmarkStart w:id="335" w:name="_Toc29560"/>
            <w:r>
              <w:rPr>
                <w:rFonts w:hint="eastAsia" w:ascii="宋体" w:hAnsi="宋体" w:cs="宋体"/>
                <w:b w:val="0"/>
                <w:bCs w:val="0"/>
                <w:color w:val="auto"/>
                <w:sz w:val="21"/>
                <w:szCs w:val="21"/>
                <w:highlight w:val="none"/>
              </w:rPr>
              <w:t>序号</w:t>
            </w:r>
            <w:bookmarkEnd w:id="332"/>
            <w:bookmarkEnd w:id="333"/>
            <w:bookmarkEnd w:id="334"/>
            <w:bookmarkEnd w:id="335"/>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6" w:name="_Toc29852"/>
            <w:bookmarkStart w:id="337" w:name="_Toc26124"/>
            <w:bookmarkStart w:id="338" w:name="_Toc21739"/>
            <w:bookmarkStart w:id="339" w:name="_Toc10045"/>
            <w:bookmarkStart w:id="340" w:name="_Toc4304"/>
            <w:bookmarkStart w:id="341" w:name="_Toc14815"/>
            <w:bookmarkStart w:id="342" w:name="_Toc15368"/>
            <w:bookmarkStart w:id="343" w:name="_Toc12049"/>
            <w:bookmarkStart w:id="344" w:name="_Toc22448"/>
            <w:bookmarkStart w:id="345" w:name="_Toc1016"/>
            <w:bookmarkStart w:id="346" w:name="_Toc2700"/>
            <w:bookmarkStart w:id="347" w:name="_Toc16872"/>
            <w:bookmarkStart w:id="348" w:name="_Toc15903"/>
            <w:bookmarkStart w:id="349" w:name="_Toc27090"/>
            <w:bookmarkStart w:id="350" w:name="_Toc24662"/>
            <w:bookmarkStart w:id="351" w:name="_Toc27442"/>
            <w:bookmarkStart w:id="352" w:name="_Toc8490"/>
            <w:bookmarkStart w:id="353" w:name="_Toc21809"/>
            <w:bookmarkStart w:id="354" w:name="_Toc22879"/>
            <w:bookmarkStart w:id="355" w:name="_Toc8312"/>
            <w:bookmarkStart w:id="356" w:name="_Toc7333"/>
            <w:bookmarkStart w:id="357" w:name="_Toc19251"/>
            <w:bookmarkStart w:id="358" w:name="_Toc22917"/>
            <w:bookmarkStart w:id="359" w:name="_Toc32531"/>
            <w:r>
              <w:rPr>
                <w:rFonts w:hint="eastAsia" w:ascii="宋体" w:hAnsi="宋体" w:cs="宋体"/>
                <w:b w:val="0"/>
                <w:bCs w:val="0"/>
                <w:color w:val="auto"/>
                <w:sz w:val="21"/>
                <w:szCs w:val="21"/>
                <w:highlight w:val="none"/>
              </w:rPr>
              <w:t>重要技术参数评分条款（▲）</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bookmarkEnd w:id="350"/>
          <w:bookmarkEnd w:id="351"/>
          <w:bookmarkEnd w:id="352"/>
          <w:bookmarkEnd w:id="353"/>
          <w:bookmarkEnd w:id="354"/>
          <w:bookmarkEnd w:id="355"/>
          <w:bookmarkEnd w:id="356"/>
          <w:bookmarkEnd w:id="357"/>
          <w:bookmarkEnd w:id="358"/>
          <w:bookmarkEnd w:id="359"/>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0" w:name="_Toc2408"/>
            <w:bookmarkStart w:id="361" w:name="_Toc10122"/>
            <w:bookmarkStart w:id="362" w:name="_Toc20362"/>
            <w:bookmarkStart w:id="363" w:name="_Toc22153"/>
            <w:r>
              <w:rPr>
                <w:rFonts w:hint="eastAsia" w:ascii="宋体" w:hAnsi="宋体" w:cs="宋体"/>
                <w:b w:val="0"/>
                <w:bCs w:val="0"/>
                <w:color w:val="auto"/>
                <w:sz w:val="21"/>
                <w:szCs w:val="21"/>
                <w:highlight w:val="none"/>
              </w:rPr>
              <w:t>投标文件响应内容</w:t>
            </w:r>
            <w:bookmarkEnd w:id="360"/>
            <w:bookmarkEnd w:id="361"/>
            <w:bookmarkEnd w:id="362"/>
            <w:bookmarkEnd w:id="363"/>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4" w:name="_Toc27285"/>
            <w:bookmarkStart w:id="365" w:name="_Toc10821"/>
            <w:bookmarkStart w:id="366" w:name="_Toc16003"/>
            <w:bookmarkStart w:id="367" w:name="_Toc29838"/>
            <w:bookmarkStart w:id="368" w:name="_Toc3701"/>
            <w:bookmarkStart w:id="369" w:name="_Toc5992"/>
            <w:bookmarkStart w:id="370" w:name="_Toc1330"/>
            <w:bookmarkStart w:id="371" w:name="_Toc17296"/>
            <w:bookmarkStart w:id="372" w:name="_Toc20820"/>
            <w:bookmarkStart w:id="373" w:name="_Toc20139"/>
            <w:bookmarkStart w:id="374" w:name="_Toc1912"/>
            <w:bookmarkStart w:id="375" w:name="_Toc5563"/>
            <w:bookmarkStart w:id="376" w:name="_Toc17642"/>
            <w:bookmarkStart w:id="377" w:name="_Toc27185"/>
            <w:r>
              <w:rPr>
                <w:rFonts w:hint="eastAsia" w:ascii="宋体" w:hAnsi="宋体" w:cs="宋体"/>
                <w:b w:val="0"/>
                <w:bCs w:val="0"/>
                <w:color w:val="auto"/>
                <w:sz w:val="21"/>
                <w:szCs w:val="21"/>
                <w:highlight w:val="none"/>
              </w:rPr>
              <w:t>说明</w:t>
            </w:r>
            <w:bookmarkEnd w:id="364"/>
            <w:bookmarkEnd w:id="365"/>
            <w:bookmarkEnd w:id="366"/>
            <w:bookmarkEnd w:id="367"/>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78" w:name="_Toc3520"/>
            <w:bookmarkStart w:id="379" w:name="_Toc31217"/>
            <w:bookmarkStart w:id="380" w:name="_Toc19105"/>
            <w:bookmarkStart w:id="381" w:name="_Toc857"/>
            <w:r>
              <w:rPr>
                <w:rFonts w:hint="eastAsia" w:ascii="宋体" w:hAnsi="宋体" w:cs="宋体"/>
                <w:b w:val="0"/>
                <w:bCs w:val="0"/>
                <w:color w:val="auto"/>
                <w:sz w:val="21"/>
                <w:szCs w:val="21"/>
                <w:highlight w:val="none"/>
              </w:rPr>
              <w:t>页码范围</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w:t>
      </w:r>
    </w:p>
    <w:p>
      <w:pPr>
        <w:pStyle w:val="41"/>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1"/>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1"/>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1"/>
        <w:rPr>
          <w:rFonts w:ascii="宋体" w:hAnsi="宋体"/>
          <w:color w:val="auto"/>
          <w:szCs w:val="21"/>
          <w:highlight w:val="none"/>
        </w:rPr>
      </w:pPr>
    </w:p>
    <w:p>
      <w:pPr>
        <w:pStyle w:val="41"/>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82" w:name="_Toc17411"/>
      <w:bookmarkStart w:id="383" w:name="_Toc19349"/>
      <w:r>
        <w:rPr>
          <w:rFonts w:hint="eastAsia"/>
          <w:color w:val="auto"/>
          <w:highlight w:val="none"/>
        </w:rPr>
        <w:t>三、实质性条款（标记★）投标响应表</w:t>
      </w:r>
      <w:bookmarkEnd w:id="382"/>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84" w:name="_Toc28797"/>
      <w:r>
        <w:rPr>
          <w:rFonts w:hint="eastAsia"/>
          <w:color w:val="auto"/>
          <w:highlight w:val="none"/>
        </w:rPr>
        <w:t>四、项目技术方案</w:t>
      </w:r>
      <w:bookmarkEnd w:id="383"/>
      <w:bookmarkEnd w:id="38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85" w:name="_Toc16328"/>
      <w:bookmarkStart w:id="386" w:name="_Toc26921"/>
      <w:r>
        <w:rPr>
          <w:rFonts w:hint="eastAsia"/>
          <w:color w:val="auto"/>
          <w:highlight w:val="none"/>
        </w:rPr>
        <w:t>五、项目负责人及团队成员资料表</w:t>
      </w:r>
      <w:bookmarkEnd w:id="385"/>
      <w:bookmarkEnd w:id="38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1"/>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7" w:name="_Toc27205"/>
      <w:bookmarkStart w:id="388" w:name="_Toc15431"/>
      <w:r>
        <w:rPr>
          <w:rFonts w:hint="eastAsia"/>
          <w:color w:val="auto"/>
          <w:highlight w:val="none"/>
        </w:rPr>
        <w:t>六、投标货物明细一览表</w:t>
      </w:r>
      <w:bookmarkEnd w:id="387"/>
      <w:bookmarkEnd w:id="388"/>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89" w:name="_Toc13633"/>
      <w:r>
        <w:rPr>
          <w:rFonts w:hint="eastAsia"/>
          <w:color w:val="auto"/>
          <w:highlight w:val="none"/>
        </w:rPr>
        <w:t>七、政府采购履约担保函</w:t>
      </w:r>
      <w:bookmarkEnd w:id="38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1"/>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90" w:name="_Toc26782"/>
      <w:bookmarkStart w:id="391" w:name="_Toc31312"/>
      <w:r>
        <w:rPr>
          <w:rFonts w:hint="eastAsia"/>
          <w:color w:val="auto"/>
          <w:highlight w:val="none"/>
        </w:rPr>
        <w:t>第四章唱标信封（单独封装）</w:t>
      </w:r>
      <w:bookmarkEnd w:id="390"/>
      <w:bookmarkEnd w:id="39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9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1"/>
        <w:rPr>
          <w:color w:val="auto"/>
          <w:highlight w:val="none"/>
        </w:rPr>
      </w:pPr>
    </w:p>
    <w:p>
      <w:pPr>
        <w:rPr>
          <w:color w:val="auto"/>
          <w:highlight w:val="none"/>
        </w:rPr>
      </w:pPr>
    </w:p>
    <w:p>
      <w:pPr>
        <w:pStyle w:val="11"/>
        <w:rPr>
          <w:color w:val="auto"/>
          <w:highlight w:val="none"/>
        </w:rPr>
      </w:pPr>
    </w:p>
    <w:p>
      <w:pPr>
        <w:rPr>
          <w:color w:val="auto"/>
          <w:highlight w:val="none"/>
        </w:rPr>
      </w:pPr>
    </w:p>
    <w:p>
      <w:pPr>
        <w:pStyle w:val="11"/>
        <w:rPr>
          <w:color w:val="auto"/>
          <w:highlight w:val="none"/>
        </w:rPr>
      </w:pPr>
    </w:p>
    <w:p>
      <w:pPr>
        <w:rPr>
          <w:color w:val="auto"/>
          <w:highlight w:val="none"/>
        </w:rPr>
      </w:pPr>
    </w:p>
    <w:p>
      <w:pPr>
        <w:pStyle w:val="11"/>
        <w:rPr>
          <w:color w:val="auto"/>
          <w:highlight w:val="none"/>
        </w:rPr>
      </w:pPr>
    </w:p>
    <w:p>
      <w:pPr>
        <w:rPr>
          <w:color w:val="auto"/>
          <w:highlight w:val="none"/>
        </w:rPr>
      </w:pPr>
    </w:p>
    <w:p>
      <w:pPr>
        <w:rPr>
          <w:color w:val="auto"/>
          <w:highlight w:val="none"/>
        </w:rPr>
      </w:pPr>
    </w:p>
    <w:p>
      <w:pPr>
        <w:rPr>
          <w:color w:val="auto"/>
          <w:highlight w:val="none"/>
        </w:rPr>
      </w:pPr>
    </w:p>
    <w:p>
      <w:pPr>
        <w:pStyle w:val="5"/>
        <w:jc w:val="center"/>
        <w:rPr>
          <w:color w:val="auto"/>
          <w:highlight w:val="none"/>
        </w:rPr>
      </w:pPr>
      <w:bookmarkStart w:id="393" w:name="_Toc17999"/>
      <w:bookmarkStart w:id="394" w:name="_Toc22736"/>
      <w:r>
        <w:rPr>
          <w:rFonts w:hint="eastAsia"/>
          <w:color w:val="auto"/>
          <w:highlight w:val="none"/>
        </w:rPr>
        <w:t>第五章联合体共同投标协议书（如有需要）</w:t>
      </w:r>
      <w:bookmarkEnd w:id="393"/>
      <w:bookmarkEnd w:id="39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2"/>
    <w:p>
      <w:pPr>
        <w:pStyle w:val="11"/>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1"/>
        <w:rPr>
          <w:color w:val="auto"/>
          <w:sz w:val="21"/>
          <w:szCs w:val="21"/>
          <w:highlight w:val="none"/>
        </w:rPr>
      </w:pPr>
    </w:p>
    <w:p>
      <w:pPr>
        <w:rPr>
          <w:rFonts w:ascii="宋体" w:hAnsi="宋体" w:cs="宋体"/>
          <w:color w:val="auto"/>
          <w:szCs w:val="21"/>
          <w:highlight w:val="none"/>
        </w:rPr>
      </w:pPr>
    </w:p>
    <w:p>
      <w:pPr>
        <w:pStyle w:val="11"/>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1"/>
        <w:rPr>
          <w:color w:val="auto"/>
          <w:highlight w:val="none"/>
        </w:rPr>
      </w:pPr>
    </w:p>
    <w:p>
      <w:pPr>
        <w:rPr>
          <w:color w:val="auto"/>
          <w:highlight w:val="none"/>
        </w:rPr>
      </w:pPr>
    </w:p>
    <w:p>
      <w:pPr>
        <w:pStyle w:val="11"/>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30"/>
        <w:tblW w:w="8519" w:type="dxa"/>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9"/>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88</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5"/>
        <w:rPr>
          <w:rFonts w:eastAsia="微软雅黑"/>
        </w:rPr>
      </w:pPr>
      <w:r>
        <w:rPr>
          <w:rStyle w:val="36"/>
        </w:rPr>
        <w:footnoteRef/>
      </w:r>
      <w:r>
        <w:t xml:space="preserve"> </w:t>
      </w:r>
      <w:r>
        <w:rPr>
          <w:rFonts w:hint="eastAsia"/>
        </w:rPr>
        <w:t>从业人员、营业人员、资产总额填报上一年度数据，无上一年度数据的新成立企业可不填报。</w:t>
      </w:r>
    </w:p>
  </w:footnote>
  <w:footnote w:id="1">
    <w:p>
      <w:pPr>
        <w:pStyle w:val="25"/>
      </w:pPr>
      <w:r>
        <w:rPr>
          <w:rStyle w:val="3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3F6C87"/>
    <w:rsid w:val="01763927"/>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7C1812"/>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9003C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865F46"/>
    <w:rsid w:val="13B27845"/>
    <w:rsid w:val="13B33EF4"/>
    <w:rsid w:val="13BE469F"/>
    <w:rsid w:val="13F87121"/>
    <w:rsid w:val="141A03E1"/>
    <w:rsid w:val="143B2E0B"/>
    <w:rsid w:val="14672B11"/>
    <w:rsid w:val="1470209B"/>
    <w:rsid w:val="14892735"/>
    <w:rsid w:val="14CC769D"/>
    <w:rsid w:val="157D38E3"/>
    <w:rsid w:val="15D359D7"/>
    <w:rsid w:val="15D81E0F"/>
    <w:rsid w:val="15FF1C0C"/>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754EE1"/>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83246B"/>
    <w:rsid w:val="26F56CE2"/>
    <w:rsid w:val="271316D3"/>
    <w:rsid w:val="272E1FBE"/>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B838C0"/>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CE3C9F"/>
    <w:rsid w:val="38EB6119"/>
    <w:rsid w:val="397E6578"/>
    <w:rsid w:val="3986380F"/>
    <w:rsid w:val="39A0763A"/>
    <w:rsid w:val="39DE33DA"/>
    <w:rsid w:val="39FA5B4A"/>
    <w:rsid w:val="39FE0BE9"/>
    <w:rsid w:val="3A213AC4"/>
    <w:rsid w:val="3A3C1AAF"/>
    <w:rsid w:val="3A424C25"/>
    <w:rsid w:val="3A4B7CC1"/>
    <w:rsid w:val="3A51228C"/>
    <w:rsid w:val="3A552E60"/>
    <w:rsid w:val="3A5D642F"/>
    <w:rsid w:val="3AB210FC"/>
    <w:rsid w:val="3ACE216B"/>
    <w:rsid w:val="3AD95C13"/>
    <w:rsid w:val="3B261E51"/>
    <w:rsid w:val="3B973F88"/>
    <w:rsid w:val="3BCD72F7"/>
    <w:rsid w:val="3BD2748C"/>
    <w:rsid w:val="3C414142"/>
    <w:rsid w:val="3CE114D9"/>
    <w:rsid w:val="3CF737A2"/>
    <w:rsid w:val="3CF7509A"/>
    <w:rsid w:val="3D082840"/>
    <w:rsid w:val="3D10295A"/>
    <w:rsid w:val="3D5D633A"/>
    <w:rsid w:val="3D98669F"/>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6E6561F"/>
    <w:rsid w:val="477C23F9"/>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5C57D8"/>
    <w:rsid w:val="49894B84"/>
    <w:rsid w:val="49B86103"/>
    <w:rsid w:val="49F306B0"/>
    <w:rsid w:val="4A0030EE"/>
    <w:rsid w:val="4AC36065"/>
    <w:rsid w:val="4B134D38"/>
    <w:rsid w:val="4B1A0A44"/>
    <w:rsid w:val="4B560086"/>
    <w:rsid w:val="4B7501F5"/>
    <w:rsid w:val="4B813110"/>
    <w:rsid w:val="4B8C2DEB"/>
    <w:rsid w:val="4BFA3C9F"/>
    <w:rsid w:val="4C0E3379"/>
    <w:rsid w:val="4C107F48"/>
    <w:rsid w:val="4C1D53B2"/>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13079A"/>
    <w:rsid w:val="55806F07"/>
    <w:rsid w:val="55FA2961"/>
    <w:rsid w:val="565E3E0E"/>
    <w:rsid w:val="565E7F4F"/>
    <w:rsid w:val="56775789"/>
    <w:rsid w:val="56857D06"/>
    <w:rsid w:val="56914056"/>
    <w:rsid w:val="569F0E63"/>
    <w:rsid w:val="56DB613D"/>
    <w:rsid w:val="573810DA"/>
    <w:rsid w:val="576A529F"/>
    <w:rsid w:val="578B7877"/>
    <w:rsid w:val="57F13760"/>
    <w:rsid w:val="57FC2169"/>
    <w:rsid w:val="58096275"/>
    <w:rsid w:val="580E4560"/>
    <w:rsid w:val="581C04F1"/>
    <w:rsid w:val="582E6EF7"/>
    <w:rsid w:val="58397D0E"/>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A1BEA"/>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0C63A69"/>
    <w:rsid w:val="61014BB6"/>
    <w:rsid w:val="61027308"/>
    <w:rsid w:val="612E1A5D"/>
    <w:rsid w:val="61816046"/>
    <w:rsid w:val="61C55CA9"/>
    <w:rsid w:val="62182687"/>
    <w:rsid w:val="62391564"/>
    <w:rsid w:val="62816669"/>
    <w:rsid w:val="62A15883"/>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945149"/>
    <w:rsid w:val="65A94E9D"/>
    <w:rsid w:val="65AF3FB6"/>
    <w:rsid w:val="65C60A92"/>
    <w:rsid w:val="662203DD"/>
    <w:rsid w:val="66431666"/>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C44D62"/>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3D531B"/>
    <w:rsid w:val="6D7B61EC"/>
    <w:rsid w:val="6DC3266E"/>
    <w:rsid w:val="6DD049FF"/>
    <w:rsid w:val="6DED73B5"/>
    <w:rsid w:val="6E09491E"/>
    <w:rsid w:val="6E0D3655"/>
    <w:rsid w:val="6E146808"/>
    <w:rsid w:val="6E5F4465"/>
    <w:rsid w:val="6E88530E"/>
    <w:rsid w:val="6E8C54DA"/>
    <w:rsid w:val="6ED03347"/>
    <w:rsid w:val="6EF11E03"/>
    <w:rsid w:val="6F067A74"/>
    <w:rsid w:val="6F111C62"/>
    <w:rsid w:val="6F2176E5"/>
    <w:rsid w:val="6F3053CA"/>
    <w:rsid w:val="6F592303"/>
    <w:rsid w:val="6F5F5B74"/>
    <w:rsid w:val="6F9B1C65"/>
    <w:rsid w:val="6FD47A25"/>
    <w:rsid w:val="6FF44026"/>
    <w:rsid w:val="6FFB146E"/>
    <w:rsid w:val="701A5C74"/>
    <w:rsid w:val="706516C3"/>
    <w:rsid w:val="707B510C"/>
    <w:rsid w:val="70864A71"/>
    <w:rsid w:val="70896E68"/>
    <w:rsid w:val="70A846F9"/>
    <w:rsid w:val="70F323B9"/>
    <w:rsid w:val="714556B4"/>
    <w:rsid w:val="715B60E9"/>
    <w:rsid w:val="71825AF3"/>
    <w:rsid w:val="71C75A7C"/>
    <w:rsid w:val="71E96309"/>
    <w:rsid w:val="71EA1FED"/>
    <w:rsid w:val="72284A0C"/>
    <w:rsid w:val="72C16204"/>
    <w:rsid w:val="730313F6"/>
    <w:rsid w:val="73145021"/>
    <w:rsid w:val="731E1007"/>
    <w:rsid w:val="73370D24"/>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39784B"/>
    <w:rsid w:val="786B4BBC"/>
    <w:rsid w:val="78A50513"/>
    <w:rsid w:val="79082967"/>
    <w:rsid w:val="790E1715"/>
    <w:rsid w:val="793B7339"/>
    <w:rsid w:val="796518DD"/>
    <w:rsid w:val="796E0C55"/>
    <w:rsid w:val="79AA0532"/>
    <w:rsid w:val="79F70999"/>
    <w:rsid w:val="79FE1DDD"/>
    <w:rsid w:val="7A075767"/>
    <w:rsid w:val="7A09169E"/>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792EE0"/>
    <w:rsid w:val="7D9C4FB9"/>
    <w:rsid w:val="7DB163DF"/>
    <w:rsid w:val="7DC82AB7"/>
    <w:rsid w:val="7DF103ED"/>
    <w:rsid w:val="7E2142A2"/>
    <w:rsid w:val="7E4C3614"/>
    <w:rsid w:val="7E4F5384"/>
    <w:rsid w:val="7E5A6DFA"/>
    <w:rsid w:val="7E7B0BF2"/>
    <w:rsid w:val="7E7C7A78"/>
    <w:rsid w:val="7E8D75B6"/>
    <w:rsid w:val="7EB2417D"/>
    <w:rsid w:val="7EF760EE"/>
    <w:rsid w:val="7F2A21E7"/>
    <w:rsid w:val="7F2C4725"/>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0"/>
    <w:unhideWhenUsed/>
    <w:qFormat/>
    <w:uiPriority w:val="9"/>
    <w:pPr>
      <w:keepNext/>
      <w:keepLines/>
      <w:outlineLvl w:val="2"/>
    </w:pPr>
    <w:rPr>
      <w:b/>
      <w:bCs/>
      <w:sz w:val="28"/>
      <w:szCs w:val="32"/>
    </w:rPr>
  </w:style>
  <w:style w:type="paragraph" w:styleId="6">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9">
    <w:name w:val="Normal Indent"/>
    <w:basedOn w:val="1"/>
    <w:semiHidden/>
    <w:unhideWhenUsed/>
    <w:qFormat/>
    <w:uiPriority w:val="99"/>
    <w:pPr>
      <w:ind w:firstLine="420" w:firstLineChars="200"/>
    </w:pPr>
  </w:style>
  <w:style w:type="paragraph" w:styleId="10">
    <w:name w:val="annotation text"/>
    <w:basedOn w:val="1"/>
    <w:semiHidden/>
    <w:unhideWhenUsed/>
    <w:qFormat/>
    <w:uiPriority w:val="99"/>
  </w:style>
  <w:style w:type="paragraph" w:styleId="11">
    <w:name w:val="Body Text"/>
    <w:basedOn w:val="1"/>
    <w:qFormat/>
    <w:uiPriority w:val="1"/>
    <w:pPr>
      <w:spacing w:before="161"/>
      <w:ind w:left="120"/>
    </w:pPr>
    <w:rPr>
      <w:rFonts w:ascii="宋体" w:hAnsi="宋体" w:cs="宋体"/>
      <w:sz w:val="24"/>
      <w:lang w:val="zh-CN" w:bidi="zh-CN"/>
    </w:rPr>
  </w:style>
  <w:style w:type="paragraph" w:styleId="12">
    <w:name w:val="Body Text Indent"/>
    <w:basedOn w:val="1"/>
    <w:next w:val="13"/>
    <w:qFormat/>
    <w:uiPriority w:val="0"/>
    <w:pPr>
      <w:ind w:left="270" w:leftChars="270"/>
    </w:pPr>
    <w:rPr>
      <w:rFonts w:ascii="Times New Roman" w:hAnsi="Times New Roman" w:eastAsia="宋体" w:cs="Times New Roman"/>
      <w:szCs w:val="20"/>
    </w:rPr>
  </w:style>
  <w:style w:type="paragraph" w:styleId="13">
    <w:name w:val="envelope return"/>
    <w:basedOn w:val="1"/>
    <w:qFormat/>
    <w:uiPriority w:val="0"/>
    <w:rPr>
      <w:rFonts w:ascii="Arial" w:hAnsi="Arial"/>
    </w:rPr>
  </w:style>
  <w:style w:type="paragraph" w:styleId="14">
    <w:name w:val="toc 3"/>
    <w:basedOn w:val="1"/>
    <w:next w:val="1"/>
    <w:unhideWhenUsed/>
    <w:qFormat/>
    <w:uiPriority w:val="39"/>
    <w:pPr>
      <w:tabs>
        <w:tab w:val="right" w:leader="dot" w:pos="8296"/>
      </w:tabs>
      <w:ind w:left="838" w:leftChars="381"/>
    </w:pPr>
    <w:rPr>
      <w:szCs w:val="21"/>
    </w:rPr>
  </w:style>
  <w:style w:type="paragraph" w:styleId="15">
    <w:name w:val="Plain Text"/>
    <w:basedOn w:val="1"/>
    <w:link w:val="52"/>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qFormat/>
    <w:uiPriority w:val="0"/>
    <w:pPr>
      <w:ind w:firstLine="539" w:firstLineChars="174"/>
    </w:pPr>
    <w:rPr>
      <w:rFonts w:ascii="仿宋_GB2312" w:eastAsia="仿宋_GB2312"/>
      <w:sz w:val="31"/>
    </w:rPr>
  </w:style>
  <w:style w:type="paragraph" w:styleId="17">
    <w:name w:val="Balloon Text"/>
    <w:basedOn w:val="1"/>
    <w:link w:val="55"/>
    <w:semiHidden/>
    <w:unhideWhenUsed/>
    <w:qFormat/>
    <w:uiPriority w:val="99"/>
    <w:rPr>
      <w:sz w:val="18"/>
      <w:szCs w:val="18"/>
    </w:rPr>
  </w:style>
  <w:style w:type="paragraph" w:styleId="18">
    <w:name w:val="footer"/>
    <w:basedOn w:val="1"/>
    <w:link w:val="54"/>
    <w:unhideWhenUsed/>
    <w:qFormat/>
    <w:uiPriority w:val="99"/>
    <w:pPr>
      <w:tabs>
        <w:tab w:val="center" w:pos="4153"/>
        <w:tab w:val="right" w:pos="8306"/>
      </w:tabs>
    </w:pPr>
    <w:rPr>
      <w:sz w:val="18"/>
      <w:szCs w:val="18"/>
    </w:rPr>
  </w:style>
  <w:style w:type="paragraph" w:styleId="19">
    <w:name w:val="header"/>
    <w:basedOn w:val="1"/>
    <w:link w:val="53"/>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semiHidden/>
    <w:unhideWhenUsed/>
    <w:qFormat/>
    <w:uiPriority w:val="39"/>
  </w:style>
  <w:style w:type="paragraph" w:styleId="21">
    <w:name w:val="toc 4"/>
    <w:basedOn w:val="1"/>
    <w:next w:val="1"/>
    <w:unhideWhenUsed/>
    <w:qFormat/>
    <w:uiPriority w:val="39"/>
    <w:pPr>
      <w:tabs>
        <w:tab w:val="right" w:leader="dot" w:pos="8296"/>
      </w:tabs>
      <w:spacing w:after="120"/>
      <w:ind w:left="1320" w:leftChars="600"/>
    </w:pPr>
  </w:style>
  <w:style w:type="paragraph" w:styleId="22">
    <w:name w:val="index heading"/>
    <w:basedOn w:val="1"/>
    <w:next w:val="23"/>
    <w:qFormat/>
    <w:uiPriority w:val="0"/>
    <w:rPr>
      <w:rFonts w:ascii="Times New Roman" w:hAnsi="Times New Roman"/>
      <w:szCs w:val="20"/>
    </w:rPr>
  </w:style>
  <w:style w:type="paragraph" w:styleId="23">
    <w:name w:val="index 1"/>
    <w:basedOn w:val="1"/>
    <w:next w:val="1"/>
    <w:unhideWhenUsed/>
    <w:qFormat/>
    <w:uiPriority w:val="99"/>
  </w:style>
  <w:style w:type="paragraph" w:styleId="24">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5">
    <w:name w:val="footnote text"/>
    <w:basedOn w:val="1"/>
    <w:semiHidden/>
    <w:unhideWhenUsed/>
    <w:qFormat/>
    <w:uiPriority w:val="99"/>
    <w:rPr>
      <w:sz w:val="18"/>
    </w:rPr>
  </w:style>
  <w:style w:type="paragraph" w:styleId="26">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7">
    <w:name w:val="Normal (Web)"/>
    <w:basedOn w:val="1"/>
    <w:link w:val="57"/>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1"/>
    <w:unhideWhenUsed/>
    <w:qFormat/>
    <w:uiPriority w:val="99"/>
    <w:pPr>
      <w:ind w:firstLine="420" w:firstLineChars="100"/>
    </w:pPr>
    <w:rPr>
      <w:rFonts w:ascii="Times New Roman" w:hAnsi="Times New Roman" w:cs="Times New Roman"/>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mphasis"/>
    <w:basedOn w:val="32"/>
    <w:qFormat/>
    <w:uiPriority w:val="20"/>
    <w:rPr>
      <w:i/>
      <w:iCs/>
    </w:rPr>
  </w:style>
  <w:style w:type="character" w:styleId="34">
    <w:name w:val="Hyperlink"/>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2"/>
    <w:semiHidden/>
    <w:unhideWhenUsed/>
    <w:qFormat/>
    <w:uiPriority w:val="99"/>
    <w:rPr>
      <w:sz w:val="21"/>
      <w:szCs w:val="21"/>
    </w:rPr>
  </w:style>
  <w:style w:type="character" w:styleId="36">
    <w:name w:val="footnote reference"/>
    <w:basedOn w:val="32"/>
    <w:semiHidden/>
    <w:unhideWhenUsed/>
    <w:qFormat/>
    <w:uiPriority w:val="99"/>
    <w:rPr>
      <w:vertAlign w:val="superscript"/>
    </w:rPr>
  </w:style>
  <w:style w:type="paragraph" w:customStyle="1" w:styleId="37">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8">
    <w:name w:val="表格文字"/>
    <w:basedOn w:val="1"/>
    <w:qFormat/>
    <w:uiPriority w:val="0"/>
    <w:pPr>
      <w:adjustRightInd/>
      <w:spacing w:before="25" w:after="25"/>
    </w:pPr>
    <w:rPr>
      <w:rFonts w:ascii="Times New Roman"/>
      <w:bCs/>
      <w:spacing w:val="10"/>
      <w:szCs w:val="20"/>
    </w:rPr>
  </w:style>
  <w:style w:type="character" w:customStyle="1" w:styleId="39">
    <w:name w:val="标题 2 Char"/>
    <w:basedOn w:val="32"/>
    <w:link w:val="4"/>
    <w:qFormat/>
    <w:uiPriority w:val="9"/>
    <w:rPr>
      <w:rFonts w:asciiTheme="majorHAnsi" w:hAnsiTheme="majorHAnsi" w:eastAsiaTheme="majorEastAsia" w:cstheme="majorBidi"/>
      <w:b/>
      <w:bCs/>
      <w:sz w:val="32"/>
      <w:szCs w:val="32"/>
    </w:rPr>
  </w:style>
  <w:style w:type="character" w:customStyle="1" w:styleId="40">
    <w:name w:val="标题 3 Char"/>
    <w:basedOn w:val="32"/>
    <w:link w:val="5"/>
    <w:qFormat/>
    <w:uiPriority w:val="9"/>
    <w:rPr>
      <w:rFonts w:ascii="Tahoma" w:hAnsi="Tahoma" w:eastAsia="宋体"/>
      <w:b/>
      <w:bCs/>
      <w:sz w:val="28"/>
      <w:szCs w:val="32"/>
    </w:rPr>
  </w:style>
  <w:style w:type="paragraph" w:styleId="41">
    <w:name w:val="List Paragraph"/>
    <w:basedOn w:val="1"/>
    <w:qFormat/>
    <w:uiPriority w:val="34"/>
    <w:pPr>
      <w:ind w:firstLine="420" w:firstLineChars="200"/>
    </w:pPr>
  </w:style>
  <w:style w:type="character" w:customStyle="1" w:styleId="42">
    <w:name w:val="标题 4 Char"/>
    <w:basedOn w:val="32"/>
    <w:link w:val="6"/>
    <w:qFormat/>
    <w:uiPriority w:val="9"/>
    <w:rPr>
      <w:rFonts w:eastAsia="宋体" w:asciiTheme="majorHAnsi" w:hAnsiTheme="majorHAnsi" w:cstheme="majorBidi"/>
      <w:b/>
      <w:bCs/>
      <w:sz w:val="24"/>
      <w:szCs w:val="28"/>
    </w:rPr>
  </w:style>
  <w:style w:type="character" w:customStyle="1" w:styleId="43">
    <w:name w:val="正文缩进2格 Char"/>
    <w:link w:val="44"/>
    <w:qFormat/>
    <w:uiPriority w:val="0"/>
    <w:rPr>
      <w:rFonts w:ascii="仿宋_GB2312" w:hAnsi="宋体" w:eastAsia="仿宋_GB2312"/>
      <w:kern w:val="2"/>
      <w:sz w:val="31"/>
    </w:rPr>
  </w:style>
  <w:style w:type="paragraph" w:customStyle="1" w:styleId="44">
    <w:name w:val="正文缩进2格"/>
    <w:basedOn w:val="1"/>
    <w:next w:val="1"/>
    <w:link w:val="43"/>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qFormat/>
    <w:uiPriority w:val="0"/>
    <w:pPr>
      <w:ind w:left="2" w:firstLine="538" w:firstLineChars="192"/>
    </w:pPr>
    <w:rPr>
      <w:color w:val="0000FF"/>
      <w:sz w:val="28"/>
    </w:rPr>
  </w:style>
  <w:style w:type="character" w:customStyle="1" w:styleId="46">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7">
    <w:name w:val="标题1"/>
    <w:qFormat/>
    <w:uiPriority w:val="0"/>
    <w:rPr>
      <w:rFonts w:ascii="Times New Roman" w:hAnsi="Times New Roman" w:eastAsia="宋体" w:cs="Times New Roman"/>
      <w:b/>
      <w:kern w:val="0"/>
      <w:sz w:val="24"/>
      <w:szCs w:val="20"/>
      <w:lang w:eastAsia="en-US"/>
    </w:rPr>
  </w:style>
  <w:style w:type="character" w:customStyle="1" w:styleId="48">
    <w:name w:val="标题 3.1 Char"/>
    <w:link w:val="49"/>
    <w:qFormat/>
    <w:uiPriority w:val="0"/>
    <w:rPr>
      <w:rFonts w:ascii="宋体" w:hAnsi="宋体" w:eastAsia="宋体"/>
      <w:b/>
      <w:color w:val="FF0000"/>
      <w:kern w:val="2"/>
      <w:sz w:val="32"/>
    </w:rPr>
  </w:style>
  <w:style w:type="paragraph" w:customStyle="1" w:styleId="49">
    <w:name w:val="标题 3.1"/>
    <w:basedOn w:val="5"/>
    <w:link w:val="4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qFormat/>
    <w:uiPriority w:val="0"/>
    <w:rPr>
      <w:rFonts w:ascii="楷体_GB2312" w:hAnsi="楷体_GB2312" w:eastAsia="仿宋_GB2312"/>
      <w:sz w:val="24"/>
    </w:rPr>
  </w:style>
  <w:style w:type="character" w:customStyle="1" w:styleId="51">
    <w:name w:val="纯文本 Char"/>
    <w:qFormat/>
    <w:uiPriority w:val="0"/>
    <w:rPr>
      <w:rFonts w:ascii="宋体" w:hAnsi="Courier New" w:eastAsia="宋体" w:cs="Times New Roman"/>
      <w:b/>
      <w:kern w:val="2"/>
      <w:sz w:val="21"/>
      <w:szCs w:val="20"/>
    </w:rPr>
  </w:style>
  <w:style w:type="character" w:customStyle="1" w:styleId="52">
    <w:name w:val="纯文本 Char1"/>
    <w:basedOn w:val="32"/>
    <w:link w:val="15"/>
    <w:semiHidden/>
    <w:qFormat/>
    <w:uiPriority w:val="99"/>
    <w:rPr>
      <w:rFonts w:ascii="宋体" w:hAnsi="Courier New" w:eastAsia="宋体" w:cs="Courier New"/>
      <w:sz w:val="21"/>
      <w:szCs w:val="21"/>
    </w:rPr>
  </w:style>
  <w:style w:type="character" w:customStyle="1" w:styleId="53">
    <w:name w:val="页眉 Char"/>
    <w:basedOn w:val="32"/>
    <w:link w:val="19"/>
    <w:qFormat/>
    <w:uiPriority w:val="99"/>
    <w:rPr>
      <w:rFonts w:ascii="Tahoma" w:hAnsi="Tahoma"/>
      <w:sz w:val="18"/>
      <w:szCs w:val="18"/>
    </w:rPr>
  </w:style>
  <w:style w:type="character" w:customStyle="1" w:styleId="54">
    <w:name w:val="页脚 Char"/>
    <w:basedOn w:val="32"/>
    <w:link w:val="18"/>
    <w:qFormat/>
    <w:uiPriority w:val="99"/>
    <w:rPr>
      <w:rFonts w:ascii="Tahoma" w:hAnsi="Tahoma"/>
      <w:sz w:val="18"/>
      <w:szCs w:val="18"/>
    </w:rPr>
  </w:style>
  <w:style w:type="character" w:customStyle="1" w:styleId="55">
    <w:name w:val="批注框文本 Char"/>
    <w:basedOn w:val="32"/>
    <w:link w:val="17"/>
    <w:semiHidden/>
    <w:qFormat/>
    <w:uiPriority w:val="99"/>
    <w:rPr>
      <w:rFonts w:ascii="Tahoma" w:hAnsi="Tahoma"/>
      <w:sz w:val="18"/>
      <w:szCs w:val="18"/>
    </w:rPr>
  </w:style>
  <w:style w:type="paragraph" w:customStyle="1" w:styleId="56">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7">
    <w:name w:val="普通(网站) Char"/>
    <w:link w:val="27"/>
    <w:qFormat/>
    <w:uiPriority w:val="0"/>
    <w:rPr>
      <w:rFonts w:eastAsia="宋体"/>
      <w:kern w:val="2"/>
      <w:sz w:val="24"/>
      <w:szCs w:val="24"/>
    </w:rPr>
  </w:style>
  <w:style w:type="paragraph" w:customStyle="1" w:styleId="58">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qFormat/>
    <w:uiPriority w:val="0"/>
    <w:rPr>
      <w:sz w:val="21"/>
      <w:szCs w:val="21"/>
    </w:rPr>
  </w:style>
  <w:style w:type="paragraph" w:customStyle="1" w:styleId="60">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1">
    <w:name w:val="正文无缩进"/>
    <w:basedOn w:val="44"/>
    <w:qFormat/>
    <w:uiPriority w:val="0"/>
    <w:pPr>
      <w:ind w:firstLine="0" w:firstLineChars="0"/>
    </w:pPr>
  </w:style>
  <w:style w:type="paragraph" w:customStyle="1" w:styleId="62">
    <w:name w:val="一级条标题"/>
    <w:basedOn w:val="63"/>
    <w:next w:val="64"/>
    <w:qFormat/>
    <w:uiPriority w:val="0"/>
    <w:pPr>
      <w:tabs>
        <w:tab w:val="left" w:pos="720"/>
      </w:tabs>
      <w:spacing w:beforeLines="0" w:afterLines="0"/>
      <w:outlineLvl w:val="2"/>
    </w:pPr>
  </w:style>
  <w:style w:type="paragraph" w:customStyle="1" w:styleId="63">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font212"/>
    <w:basedOn w:val="32"/>
    <w:qFormat/>
    <w:uiPriority w:val="0"/>
    <w:rPr>
      <w:rFonts w:ascii="宋体" w:hAnsi="宋体" w:eastAsia="宋体" w:cs="宋体"/>
      <w:color w:val="000000"/>
      <w:sz w:val="22"/>
      <w:szCs w:val="22"/>
      <w:u w:val="none"/>
    </w:rPr>
  </w:style>
  <w:style w:type="character" w:customStyle="1" w:styleId="66">
    <w:name w:val="font41"/>
    <w:basedOn w:val="32"/>
    <w:qFormat/>
    <w:uiPriority w:val="0"/>
    <w:rPr>
      <w:rFonts w:hint="eastAsia" w:ascii="宋体" w:hAnsi="宋体" w:eastAsia="宋体" w:cs="宋体"/>
      <w:color w:val="000000"/>
      <w:sz w:val="22"/>
      <w:szCs w:val="22"/>
      <w:u w:val="none"/>
    </w:rPr>
  </w:style>
  <w:style w:type="character" w:customStyle="1" w:styleId="67">
    <w:name w:val="font181"/>
    <w:basedOn w:val="32"/>
    <w:qFormat/>
    <w:uiPriority w:val="0"/>
    <w:rPr>
      <w:rFonts w:hint="default" w:ascii="Times New Roman" w:hAnsi="Times New Roman" w:cs="Times New Roman"/>
      <w:color w:val="000000"/>
      <w:sz w:val="22"/>
      <w:szCs w:val="22"/>
      <w:u w:val="none"/>
    </w:rPr>
  </w:style>
  <w:style w:type="character" w:customStyle="1" w:styleId="68">
    <w:name w:val="font221"/>
    <w:basedOn w:val="32"/>
    <w:qFormat/>
    <w:uiPriority w:val="0"/>
    <w:rPr>
      <w:rFonts w:hint="eastAsia" w:ascii="宋体" w:hAnsi="宋体" w:eastAsia="宋体" w:cs="宋体"/>
      <w:color w:val="000000"/>
      <w:sz w:val="22"/>
      <w:szCs w:val="22"/>
      <w:u w:val="none"/>
      <w:vertAlign w:val="superscript"/>
    </w:rPr>
  </w:style>
  <w:style w:type="character" w:customStyle="1" w:styleId="69">
    <w:name w:val="font161"/>
    <w:basedOn w:val="32"/>
    <w:qFormat/>
    <w:uiPriority w:val="0"/>
    <w:rPr>
      <w:rFonts w:hint="eastAsia" w:ascii="宋体" w:hAnsi="宋体" w:eastAsia="宋体" w:cs="宋体"/>
      <w:color w:val="000000"/>
      <w:sz w:val="22"/>
      <w:szCs w:val="22"/>
      <w:u w:val="none"/>
    </w:rPr>
  </w:style>
  <w:style w:type="character" w:customStyle="1" w:styleId="70">
    <w:name w:val="font131"/>
    <w:basedOn w:val="32"/>
    <w:qFormat/>
    <w:uiPriority w:val="0"/>
    <w:rPr>
      <w:rFonts w:hint="eastAsia" w:ascii="微软雅黑" w:hAnsi="微软雅黑" w:eastAsia="微软雅黑" w:cs="微软雅黑"/>
      <w:color w:val="000000"/>
      <w:sz w:val="22"/>
      <w:szCs w:val="22"/>
      <w:u w:val="none"/>
    </w:rPr>
  </w:style>
  <w:style w:type="paragraph" w:customStyle="1" w:styleId="71">
    <w:name w:val="*正文"/>
    <w:basedOn w:val="1"/>
    <w:qFormat/>
    <w:uiPriority w:val="0"/>
    <w:pPr>
      <w:spacing w:after="200"/>
      <w:ind w:firstLine="200"/>
    </w:pPr>
    <w:rPr>
      <w:rFonts w:ascii="宋体" w:hAnsi="宋体"/>
      <w:sz w:val="24"/>
      <w:szCs w:val="24"/>
    </w:rPr>
  </w:style>
  <w:style w:type="paragraph" w:customStyle="1" w:styleId="72">
    <w:name w:val="列出段落2"/>
    <w:basedOn w:val="1"/>
    <w:qFormat/>
    <w:uiPriority w:val="0"/>
    <w:pPr>
      <w:ind w:firstLine="420" w:firstLineChars="200"/>
    </w:pPr>
    <w:rPr>
      <w:rFonts w:ascii="Calibri" w:hAnsi="Calibri" w:cs="Times New Roman"/>
    </w:rPr>
  </w:style>
  <w:style w:type="paragraph" w:customStyle="1" w:styleId="73">
    <w:name w:val="Table Paragraph"/>
    <w:basedOn w:val="1"/>
    <w:qFormat/>
    <w:uiPriority w:val="1"/>
  </w:style>
  <w:style w:type="character" w:customStyle="1" w:styleId="74">
    <w:name w:val="font61"/>
    <w:basedOn w:val="32"/>
    <w:qFormat/>
    <w:uiPriority w:val="0"/>
    <w:rPr>
      <w:rFonts w:hint="eastAsia" w:ascii="宋体" w:hAnsi="宋体" w:eastAsia="宋体" w:cs="宋体"/>
      <w:color w:val="000000"/>
      <w:sz w:val="20"/>
      <w:szCs w:val="20"/>
      <w:u w:val="none"/>
    </w:rPr>
  </w:style>
  <w:style w:type="character" w:customStyle="1" w:styleId="75">
    <w:name w:val="font101"/>
    <w:basedOn w:val="32"/>
    <w:qFormat/>
    <w:uiPriority w:val="0"/>
    <w:rPr>
      <w:rFonts w:hint="eastAsia" w:ascii="宋体" w:hAnsi="宋体" w:eastAsia="宋体" w:cs="宋体"/>
      <w:color w:val="70AD47"/>
      <w:sz w:val="20"/>
      <w:szCs w:val="20"/>
      <w:u w:val="none"/>
    </w:rPr>
  </w:style>
  <w:style w:type="character" w:customStyle="1" w:styleId="76">
    <w:name w:val="font31"/>
    <w:basedOn w:val="32"/>
    <w:qFormat/>
    <w:uiPriority w:val="0"/>
    <w:rPr>
      <w:rFonts w:hint="eastAsia" w:ascii="宋体" w:hAnsi="宋体" w:eastAsia="宋体" w:cs="宋体"/>
      <w:color w:val="000000"/>
      <w:sz w:val="20"/>
      <w:szCs w:val="20"/>
      <w:u w:val="none"/>
    </w:rPr>
  </w:style>
  <w:style w:type="character" w:customStyle="1" w:styleId="77">
    <w:name w:val="font91"/>
    <w:basedOn w:val="32"/>
    <w:qFormat/>
    <w:uiPriority w:val="0"/>
    <w:rPr>
      <w:rFonts w:hint="eastAsia" w:ascii="宋体" w:hAnsi="宋体" w:eastAsia="宋体" w:cs="宋体"/>
      <w:color w:val="000000"/>
      <w:sz w:val="22"/>
      <w:szCs w:val="22"/>
      <w:u w:val="none"/>
    </w:rPr>
  </w:style>
  <w:style w:type="character" w:customStyle="1" w:styleId="78">
    <w:name w:val="font121"/>
    <w:basedOn w:val="32"/>
    <w:qFormat/>
    <w:uiPriority w:val="0"/>
    <w:rPr>
      <w:rFonts w:hint="default" w:ascii="Times New Roman" w:hAnsi="Times New Roman" w:cs="Times New Roman"/>
      <w:color w:val="000000"/>
      <w:sz w:val="22"/>
      <w:szCs w:val="22"/>
      <w:u w:val="none"/>
    </w:rPr>
  </w:style>
  <w:style w:type="paragraph" w:customStyle="1" w:styleId="79">
    <w:name w:val="UserStyle_149"/>
    <w:basedOn w:val="1"/>
    <w:qFormat/>
    <w:uiPriority w:val="0"/>
    <w:pPr>
      <w:spacing w:after="200" w:line="276" w:lineRule="auto"/>
      <w:ind w:left="720"/>
      <w:textAlignment w:val="baseline"/>
    </w:pPr>
    <w:rPr>
      <w:rFonts w:ascii="Calibri" w:hAnsi="Calibri"/>
    </w:rPr>
  </w:style>
  <w:style w:type="character" w:customStyle="1" w:styleId="80">
    <w:name w:val="NormalCharacter"/>
    <w:semiHidden/>
    <w:qFormat/>
    <w:uiPriority w:val="0"/>
    <w:rPr>
      <w:rFonts w:ascii="Tahoma" w:hAnsi="Tahoma" w:eastAsia="宋体" w:cs="Times New Roman"/>
      <w:kern w:val="2"/>
      <w:sz w:val="24"/>
      <w:szCs w:val="24"/>
      <w:lang w:val="en-US" w:eastAsia="zh-CN" w:bidi="ar-SA"/>
    </w:rPr>
  </w:style>
  <w:style w:type="paragraph" w:customStyle="1" w:styleId="81">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87</Pages>
  <Words>40551</Words>
  <Characters>41583</Characters>
  <Lines>392</Lines>
  <Paragraphs>110</Paragraphs>
  <TotalTime>0</TotalTime>
  <ScaleCrop>false</ScaleCrop>
  <LinksUpToDate>false</LinksUpToDate>
  <CharactersWithSpaces>43806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2024-06-25T05:17:00Z</cp:lastPrinted>
  <dcterms:modified xsi:type="dcterms:W3CDTF">2024-06-25T07:59:36Z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BBFB4E1180264B03AB15571C3C962591_13</vt:lpwstr>
  </property>
</Properties>
</file>