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lang w:val="en-US" w:eastAsia="zh-CN"/>
        </w:rPr>
        <w:t>国内</w:t>
      </w:r>
      <w:r>
        <w:rPr>
          <w:rFonts w:hint="eastAsia" w:ascii="黑体" w:hAnsi="黑体" w:eastAsia="黑体" w:cs="黑体"/>
          <w:bCs/>
          <w:color w:val="auto"/>
          <w:spacing w:val="57"/>
          <w:sz w:val="72"/>
          <w:szCs w:val="72"/>
          <w:highlight w:val="none"/>
        </w:rPr>
        <w:t>采购</w:t>
      </w:r>
    </w:p>
    <w:p>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23"/>
        <w:ind w:left="0" w:firstLine="0" w:firstLineChars="0"/>
        <w:rPr>
          <w:rFonts w:ascii="黑体" w:eastAsia="黑体"/>
          <w:color w:val="auto"/>
          <w:szCs w:val="21"/>
          <w:highlight w:val="none"/>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GDZT2024133C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 xml:space="preserve">东莞启智学校两校区校园文化建设项目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东莞启智学校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1"/>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2583180"/>
                    </a:xfrm>
                    <a:prstGeom prst="rect">
                      <a:avLst/>
                    </a:prstGeom>
                  </pic:spPr>
                </pic:pic>
              </a:graphicData>
            </a:graphic>
          </wp:inline>
        </w:drawing>
      </w:r>
    </w:p>
    <w:p>
      <w:pPr>
        <w:pStyle w:val="21"/>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21"/>
        <w:ind w:left="0" w:leftChars="0"/>
        <w:rPr>
          <w:color w:val="auto"/>
          <w:sz w:val="40"/>
          <w:szCs w:val="40"/>
          <w:highlight w:val="none"/>
        </w:rPr>
      </w:pPr>
      <w:r>
        <w:rPr>
          <w:rFonts w:hint="eastAsia"/>
          <w:color w:val="auto"/>
          <w:sz w:val="40"/>
          <w:szCs w:val="40"/>
          <w:highlight w:val="none"/>
        </w:rPr>
        <w:t>目录</w:t>
      </w:r>
    </w:p>
    <w:p>
      <w:pPr>
        <w:pStyle w:val="21"/>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八、政府采购投标担保函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81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5"/>
        <w:jc w:val="center"/>
        <w:rPr>
          <w:rFonts w:ascii="宋体" w:hAnsi="宋体" w:cs="宋体"/>
          <w:color w:val="auto"/>
          <w:highlight w:val="none"/>
        </w:rPr>
      </w:pPr>
      <w:bookmarkStart w:id="2" w:name="_Toc8850"/>
      <w:bookmarkStart w:id="3" w:name="_Toc7123"/>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东莞启智学校</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东莞启智学校两校区校园文化建设项目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GDZT2024133C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s="宋体"/>
          <w:color w:val="auto"/>
          <w:szCs w:val="21"/>
          <w:highlight w:val="none"/>
          <w:lang w:eastAsia="zh-CN"/>
        </w:rPr>
        <w:t>东莞启智学校两校区校园文化建设项目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4"/>
        <w:tblW w:w="44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483"/>
        <w:gridCol w:w="795"/>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22"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36"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13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3"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022"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 xml:space="preserve">东莞启智学校两校区校园文化建设项目 </w:t>
            </w:r>
          </w:p>
        </w:tc>
        <w:tc>
          <w:tcPr>
            <w:tcW w:w="536"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138" w:type="pct"/>
            <w:noWrap/>
            <w:tcMar>
              <w:top w:w="15" w:type="dxa"/>
              <w:left w:w="15" w:type="dxa"/>
              <w:right w:w="15" w:type="dxa"/>
            </w:tcMar>
            <w:vAlign w:val="center"/>
          </w:tcPr>
          <w:p>
            <w:pPr>
              <w:spacing w:line="240" w:lineRule="auto"/>
              <w:jc w:val="center"/>
              <w:textAlignment w:val="center"/>
              <w:rPr>
                <w:rFonts w:hint="default" w:ascii="宋体" w:hAnsi="宋体"/>
                <w:color w:val="auto"/>
                <w:szCs w:val="21"/>
                <w:highlight w:val="none"/>
                <w:lang w:val="en-US"/>
              </w:rPr>
            </w:pPr>
            <w:r>
              <w:rPr>
                <w:rFonts w:hint="eastAsia" w:ascii="宋体" w:hAnsi="宋体"/>
                <w:b/>
                <w:bCs/>
                <w:color w:val="auto"/>
                <w:szCs w:val="21"/>
                <w:highlight w:val="none"/>
                <w:u w:val="single"/>
                <w:lang w:val="en-US" w:eastAsia="zh-CN"/>
              </w:rPr>
              <w:t>630,000.00元</w:t>
            </w:r>
          </w:p>
        </w:tc>
      </w:tr>
    </w:tbl>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shd w:val="clear"/>
        <w:spacing w:after="0" w:line="360" w:lineRule="auto"/>
        <w:ind w:firstLine="411" w:firstLineChars="196"/>
        <w:rPr>
          <w:rFonts w:hint="eastAsia"/>
          <w:color w:val="auto"/>
          <w:highlight w:val="none"/>
          <w:lang w:eastAsia="zh-CN"/>
        </w:rPr>
      </w:pPr>
      <w:r>
        <w:rPr>
          <w:rFonts w:hint="eastAsia"/>
          <w:color w:val="auto"/>
          <w:highlight w:val="none"/>
        </w:rPr>
        <w:t>本项目整体专门面向中小企业采购。投标人须符合本项目采购标的对应行业（本项目行业为：</w:t>
      </w:r>
      <w:r>
        <w:rPr>
          <w:rFonts w:hint="eastAsia"/>
          <w:color w:val="auto"/>
          <w:highlight w:val="none"/>
          <w:lang w:val="en-US" w:eastAsia="zh-CN"/>
        </w:rPr>
        <w:t>其他未列明行业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11</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18</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rPr>
        <w:t xml:space="preserve">2024年6月11日起至2024年6月18日（节假日除外），上午9：00～12：00，下午14：30～17：30（北京时间）。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w:t>
      </w:r>
      <w:r>
        <w:rPr>
          <w:rFonts w:hint="eastAsia" w:ascii="宋体" w:hAnsi="宋体"/>
          <w:color w:val="auto"/>
          <w:szCs w:val="21"/>
          <w:highlight w:val="none"/>
          <w:lang w:eastAsia="zh-CN"/>
        </w:rPr>
        <w:t>（</w:t>
      </w:r>
      <w:r>
        <w:rPr>
          <w:rFonts w:hint="eastAsia" w:ascii="宋体" w:hAnsi="宋体"/>
          <w:color w:val="auto"/>
          <w:szCs w:val="21"/>
          <w:highlight w:val="none"/>
        </w:rPr>
        <w:t>http://www.zttendering.com/</w:t>
      </w:r>
      <w:r>
        <w:rPr>
          <w:rFonts w:hint="eastAsia" w:ascii="宋体" w:hAnsi="宋体"/>
          <w:color w:val="auto"/>
          <w:szCs w:val="21"/>
          <w:highlight w:val="none"/>
          <w:lang w:eastAsia="zh-CN"/>
        </w:rPr>
        <w:t>）</w:t>
      </w:r>
      <w:r>
        <w:rPr>
          <w:rFonts w:hint="eastAsia" w:ascii="宋体" w:hAnsi="宋体"/>
          <w:color w:val="auto"/>
          <w:szCs w:val="21"/>
          <w:highlight w:val="none"/>
        </w:rPr>
        <w:t>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联系人：</w:t>
      </w:r>
      <w:r>
        <w:rPr>
          <w:rFonts w:hint="eastAsia" w:ascii="宋体" w:hAnsi="宋体"/>
          <w:color w:val="auto"/>
          <w:szCs w:val="21"/>
          <w:highlight w:val="none"/>
          <w:lang w:eastAsia="zh-CN"/>
        </w:rPr>
        <w:t>梁先生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7</w:t>
      </w:r>
      <w:r>
        <w:rPr>
          <w:rFonts w:hint="eastAsia" w:ascii="宋体" w:hAnsi="宋体"/>
          <w:bCs/>
          <w:color w:val="auto"/>
          <w:szCs w:val="21"/>
          <w:highlight w:val="none"/>
        </w:rPr>
        <w:t>月</w:t>
      </w:r>
      <w:r>
        <w:rPr>
          <w:rFonts w:hint="eastAsia" w:ascii="宋体" w:hAnsi="宋体"/>
          <w:bCs/>
          <w:color w:val="auto"/>
          <w:szCs w:val="21"/>
          <w:highlight w:val="none"/>
          <w:lang w:val="en-US" w:eastAsia="zh-CN"/>
        </w:rPr>
        <w:t>2</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r>
        <w:rPr>
          <w:rFonts w:hint="eastAsia" w:ascii="宋体" w:hAnsi="宋体"/>
          <w:bCs/>
          <w:color w:val="auto"/>
          <w:szCs w:val="21"/>
          <w:highlight w:val="none"/>
          <w:lang w:val="en-US" w:eastAsia="zh-CN"/>
        </w:rPr>
        <w:t>9</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7</w:t>
      </w:r>
      <w:r>
        <w:rPr>
          <w:rFonts w:hint="eastAsia" w:ascii="宋体" w:hAnsi="宋体"/>
          <w:bCs/>
          <w:color w:val="auto"/>
          <w:szCs w:val="21"/>
          <w:highlight w:val="none"/>
        </w:rPr>
        <w:t>月</w:t>
      </w:r>
      <w:r>
        <w:rPr>
          <w:rFonts w:hint="eastAsia" w:ascii="宋体" w:hAnsi="宋体"/>
          <w:bCs/>
          <w:color w:val="auto"/>
          <w:szCs w:val="21"/>
          <w:highlight w:val="none"/>
          <w:lang w:val="en-US" w:eastAsia="zh-CN"/>
        </w:rPr>
        <w:t>2</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w:t>
      </w:r>
      <w:r>
        <w:rPr>
          <w:rFonts w:hint="eastAsia" w:ascii="宋体" w:hAnsi="宋体"/>
          <w:bCs/>
          <w:color w:val="auto"/>
          <w:szCs w:val="21"/>
          <w:highlight w:val="none"/>
          <w:lang w:val="en-US" w:eastAsia="zh-CN"/>
        </w:rPr>
        <w:t>30</w:t>
      </w:r>
      <w:r>
        <w:rPr>
          <w:rFonts w:hint="eastAsia" w:ascii="宋体" w:hAnsi="宋体"/>
          <w:bCs/>
          <w:color w:val="auto"/>
          <w:szCs w:val="21"/>
          <w:highlight w:val="none"/>
        </w:rPr>
        <w:t>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周老师</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地址：莞城区东城南路莞城段6号（东莞启智学校）</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0769-22310813</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p>
    <w:p>
      <w:pPr>
        <w:pStyle w:val="2"/>
        <w:rPr>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firstLine="21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23"/>
        <w:ind w:left="0" w:firstLine="0" w:firstLineChars="0"/>
        <w:rPr>
          <w:rFonts w:ascii="宋体" w:hAnsi="宋体" w:cs="宋体"/>
          <w:color w:val="auto"/>
          <w:sz w:val="21"/>
          <w:szCs w:val="21"/>
          <w:highlight w:val="none"/>
        </w:rPr>
      </w:pPr>
    </w:p>
    <w:p>
      <w:pPr>
        <w:pStyle w:val="4"/>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
                <w:color w:val="auto"/>
                <w:szCs w:val="21"/>
                <w:highlight w:val="none"/>
                <w:lang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b/>
                <w:color w:val="auto"/>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b/>
                <w:color w:val="auto"/>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hint="eastAsia" w:ascii="宋体" w:hAnsi="宋体" w:eastAsia="宋体"/>
                <w:b/>
                <w:color w:val="auto"/>
                <w:szCs w:val="21"/>
                <w:highlight w:val="none"/>
                <w:lang w:eastAsia="zh-CN"/>
              </w:rPr>
            </w:pPr>
            <w:r>
              <w:rPr>
                <w:rFonts w:hint="eastAsia" w:ascii="宋体" w:hAnsi="宋体"/>
                <w:b/>
                <w:color w:val="auto"/>
                <w:szCs w:val="21"/>
                <w:highlight w:val="none"/>
              </w:rPr>
              <w:t>投标保证金</w:t>
            </w:r>
            <w:r>
              <w:rPr>
                <w:rFonts w:hint="eastAsia" w:ascii="宋体" w:hAnsi="宋体"/>
                <w:b/>
                <w:color w:val="auto"/>
                <w:szCs w:val="21"/>
                <w:highlight w:val="none"/>
                <w:lang w:eastAsia="zh-CN"/>
              </w:rPr>
              <w:t>（</w:t>
            </w:r>
            <w:r>
              <w:rPr>
                <w:rFonts w:hint="eastAsia" w:ascii="宋体" w:hAnsi="宋体"/>
                <w:b/>
                <w:color w:val="auto"/>
                <w:sz w:val="21"/>
                <w:szCs w:val="21"/>
                <w:highlight w:val="none"/>
                <w:lang w:val="en-US" w:eastAsia="zh-CN"/>
              </w:rPr>
              <w:t>本项目不需提供投标</w:t>
            </w:r>
            <w:r>
              <w:rPr>
                <w:rFonts w:hint="eastAsia" w:ascii="宋体" w:hAnsi="宋体" w:eastAsia="宋体"/>
                <w:b/>
                <w:color w:val="auto"/>
                <w:sz w:val="21"/>
                <w:szCs w:val="21"/>
                <w:highlight w:val="none"/>
              </w:rPr>
              <w:t>保证金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6</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39"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7</w:t>
            </w: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b/>
                <w:color w:val="auto"/>
                <w:sz w:val="21"/>
                <w:szCs w:val="21"/>
                <w:highlight w:val="none"/>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spacing w:after="0"/>
              <w:jc w:val="both"/>
              <w:rPr>
                <w:rFonts w:hint="eastAsia" w:ascii="宋体" w:hAnsi="宋体" w:eastAsia="宋体"/>
                <w:b/>
                <w:color w:val="auto"/>
                <w:szCs w:val="21"/>
                <w:highlight w:val="none"/>
                <w:lang w:eastAsia="zh-CN"/>
              </w:rPr>
            </w:pPr>
            <w:r>
              <w:rPr>
                <w:rFonts w:hint="eastAsia" w:ascii="宋体" w:hAnsi="宋体"/>
                <w:color w:val="auto"/>
                <w:sz w:val="21"/>
                <w:szCs w:val="21"/>
                <w:highlight w:val="none"/>
                <w:lang w:val="en-US" w:eastAsia="zh-CN"/>
              </w:rPr>
              <w:t>不收取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65"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bookmarkStart w:id="8" w:name="_Hlk55300595"/>
      <w:bookmarkStart w:id="9" w:name="_Toc5749"/>
      <w:bookmarkStart w:id="10" w:name="_Toc13473"/>
      <w:bookmarkStart w:id="11" w:name="_Toc9572"/>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4"/>
        <w:spacing w:before="0" w:after="0" w:line="360" w:lineRule="auto"/>
        <w:rPr>
          <w:color w:val="auto"/>
          <w:highlight w:val="none"/>
        </w:rPr>
      </w:pPr>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5"/>
        <w:spacing w:line="240" w:lineRule="auto"/>
        <w:jc w:val="center"/>
        <w:rPr>
          <w:rFonts w:hint="eastAsia"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065"/>
        <w:gridCol w:w="6145"/>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065"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6145"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651"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65"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6145" w:type="dxa"/>
            <w:tcBorders>
              <w:top w:val="single" w:color="auto" w:sz="4" w:space="0"/>
              <w:left w:val="single" w:color="auto" w:sz="4" w:space="0"/>
              <w:bottom w:val="single" w:color="auto" w:sz="4" w:space="0"/>
              <w:right w:val="single" w:color="auto" w:sz="4" w:space="0"/>
            </w:tcBorders>
            <w:vAlign w:val="top"/>
          </w:tcPr>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投标人</w:t>
            </w:r>
            <w:r>
              <w:rPr>
                <w:rFonts w:hint="eastAsia" w:ascii="宋体" w:hAnsi="宋体" w:eastAsia="宋体" w:cs="宋体"/>
                <w:color w:val="auto"/>
                <w:sz w:val="21"/>
                <w:szCs w:val="21"/>
                <w:highlight w:val="none"/>
              </w:rPr>
              <w:t>2020年1月1日（以合同签署日期为准）</w:t>
            </w:r>
            <w:r>
              <w:rPr>
                <w:rFonts w:hint="eastAsia" w:ascii="宋体" w:hAnsi="宋体" w:eastAsia="宋体" w:cs="宋体"/>
                <w:color w:val="auto"/>
                <w:sz w:val="21"/>
                <w:szCs w:val="21"/>
                <w:highlight w:val="none"/>
                <w:lang w:val="en-US" w:eastAsia="zh-CN"/>
              </w:rPr>
              <w:t>至今</w:t>
            </w:r>
            <w:r>
              <w:rPr>
                <w:rFonts w:hint="eastAsia" w:ascii="宋体" w:hAnsi="宋体" w:eastAsia="宋体" w:cs="宋体"/>
                <w:color w:val="auto"/>
                <w:sz w:val="21"/>
                <w:szCs w:val="21"/>
                <w:highlight w:val="none"/>
                <w:lang w:val="zh-CN"/>
              </w:rPr>
              <w:t>具有校园文化建设类业绩的，每</w:t>
            </w:r>
            <w:r>
              <w:rPr>
                <w:rFonts w:hint="eastAsia" w:ascii="宋体" w:hAnsi="宋体" w:eastAsia="宋体" w:cs="宋体"/>
                <w:color w:val="auto"/>
                <w:sz w:val="21"/>
                <w:szCs w:val="21"/>
                <w:highlight w:val="none"/>
                <w:lang w:val="en-US" w:eastAsia="zh-CN"/>
              </w:rPr>
              <w:t>提供一</w:t>
            </w:r>
            <w:r>
              <w:rPr>
                <w:rFonts w:hint="eastAsia" w:ascii="宋体" w:hAnsi="宋体" w:eastAsia="宋体" w:cs="宋体"/>
                <w:color w:val="auto"/>
                <w:sz w:val="21"/>
                <w:szCs w:val="21"/>
                <w:highlight w:val="none"/>
                <w:lang w:val="zh-CN"/>
              </w:rPr>
              <w:t>个得1分，</w:t>
            </w:r>
            <w:r>
              <w:rPr>
                <w:rFonts w:hint="eastAsia" w:ascii="宋体" w:hAnsi="宋体" w:eastAsia="宋体" w:cs="宋体"/>
                <w:color w:val="auto"/>
                <w:sz w:val="21"/>
                <w:szCs w:val="21"/>
                <w:highlight w:val="none"/>
                <w:lang w:val="en-US" w:eastAsia="zh-CN"/>
              </w:rPr>
              <w:t>本项</w:t>
            </w:r>
            <w:r>
              <w:rPr>
                <w:rFonts w:hint="eastAsia" w:ascii="宋体" w:hAnsi="宋体" w:eastAsia="宋体" w:cs="宋体"/>
                <w:color w:val="auto"/>
                <w:sz w:val="21"/>
                <w:szCs w:val="21"/>
                <w:highlight w:val="none"/>
                <w:lang w:val="zh-CN"/>
              </w:rPr>
              <w:t>最高得10分。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注：须</w:t>
            </w:r>
            <w:r>
              <w:rPr>
                <w:rFonts w:hint="eastAsia" w:ascii="宋体" w:hAnsi="宋体" w:eastAsia="宋体" w:cs="宋体"/>
                <w:bCs/>
                <w:color w:val="auto"/>
                <w:sz w:val="21"/>
                <w:szCs w:val="21"/>
                <w:highlight w:val="none"/>
                <w:lang w:val="zh-CN"/>
              </w:rPr>
              <w:t>提供合同复印件加盖投标人公章</w:t>
            </w:r>
            <w:r>
              <w:rPr>
                <w:rFonts w:hint="eastAsia" w:ascii="宋体" w:hAnsi="宋体" w:cs="宋体"/>
                <w:bCs/>
                <w:color w:val="auto"/>
                <w:sz w:val="21"/>
                <w:szCs w:val="21"/>
                <w:highlight w:val="none"/>
                <w:lang w:val="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651" w:type="dxa"/>
            <w:tcBorders>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65" w:type="dxa"/>
            <w:tcBorders>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服务响应时间</w:t>
            </w:r>
          </w:p>
        </w:tc>
        <w:tc>
          <w:tcPr>
            <w:tcW w:w="614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根据投标人在接到采购人通知后的服务响应时间承诺进行评审：</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cs="宋体"/>
                <w:bCs/>
                <w:color w:val="auto"/>
                <w:sz w:val="21"/>
                <w:szCs w:val="21"/>
                <w:highlight w:val="none"/>
                <w:lang w:val="en-US" w:eastAsia="zh-CN"/>
              </w:rPr>
              <w:t>承诺</w:t>
            </w:r>
            <w:r>
              <w:rPr>
                <w:rFonts w:hint="eastAsia" w:ascii="宋体" w:hAnsi="宋体" w:eastAsia="宋体" w:cs="宋体"/>
                <w:bCs/>
                <w:color w:val="auto"/>
                <w:sz w:val="21"/>
                <w:szCs w:val="21"/>
                <w:highlight w:val="none"/>
                <w:lang w:val="pt-BR"/>
              </w:rPr>
              <w:t>在接到采购人通知后</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小时内到达用户现场的</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得5分；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cs="宋体"/>
                <w:bCs/>
                <w:color w:val="auto"/>
                <w:sz w:val="21"/>
                <w:szCs w:val="21"/>
                <w:highlight w:val="none"/>
                <w:lang w:val="en-US" w:eastAsia="zh-CN"/>
              </w:rPr>
              <w:t>承诺</w:t>
            </w:r>
            <w:r>
              <w:rPr>
                <w:rFonts w:hint="eastAsia" w:ascii="宋体" w:hAnsi="宋体" w:eastAsia="宋体" w:cs="宋体"/>
                <w:bCs/>
                <w:color w:val="auto"/>
                <w:sz w:val="21"/>
                <w:szCs w:val="21"/>
                <w:highlight w:val="none"/>
                <w:lang w:val="pt-BR"/>
              </w:rPr>
              <w:t>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小时内到达用户现场的</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得3分；</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cs="宋体"/>
                <w:bCs/>
                <w:color w:val="auto"/>
                <w:sz w:val="21"/>
                <w:szCs w:val="21"/>
                <w:highlight w:val="none"/>
                <w:lang w:val="en-US" w:eastAsia="zh-CN"/>
              </w:rPr>
              <w:t>承诺</w:t>
            </w:r>
            <w:r>
              <w:rPr>
                <w:rFonts w:hint="eastAsia" w:ascii="宋体" w:hAnsi="宋体" w:eastAsia="宋体" w:cs="宋体"/>
                <w:bCs/>
                <w:color w:val="auto"/>
                <w:sz w:val="21"/>
                <w:szCs w:val="21"/>
                <w:highlight w:val="none"/>
                <w:lang w:val="pt-BR"/>
              </w:rPr>
              <w:t>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小时内到达用户现场的</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 xml:space="preserve">分； </w:t>
            </w:r>
          </w:p>
          <w:p>
            <w:pPr>
              <w:keepNext w:val="0"/>
              <w:keepLines w:val="0"/>
              <w:pageBreakBefore w:val="0"/>
              <w:kinsoku/>
              <w:wordWrap/>
              <w:overflowPunct/>
              <w:topLinePunct w:val="0"/>
              <w:autoSpaceDE/>
              <w:autoSpaceDN/>
              <w:bidi w:val="0"/>
              <w:spacing w:line="240" w:lineRule="auto"/>
              <w:ind w:left="420" w:leftChars="200" w:firstLine="0" w:firstLineChars="0"/>
              <w:textAlignment w:val="auto"/>
              <w:rPr>
                <w:rFonts w:hint="eastAsia" w:ascii="宋体" w:hAnsi="宋体" w:eastAsia="宋体" w:cs="宋体"/>
                <w:bCs/>
                <w:color w:val="auto"/>
                <w:sz w:val="21"/>
                <w:szCs w:val="21"/>
                <w:highlight w:val="none"/>
                <w:lang w:val="pt-BR"/>
              </w:rPr>
            </w:pPr>
            <w:r>
              <w:rPr>
                <w:rFonts w:hint="eastAsia" w:ascii="宋体" w:hAnsi="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lang w:val="pt-BR"/>
              </w:rPr>
              <w:t>其它情况不得分。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pt-BR"/>
              </w:rPr>
              <w:t>须提供承诺函并加盖投标人公章</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w:t>
            </w:r>
            <w:r>
              <w:rPr>
                <w:rFonts w:hint="eastAsia" w:ascii="宋体" w:hAnsi="宋体" w:cs="宋体"/>
                <w:bCs/>
                <w:color w:val="auto"/>
                <w:sz w:val="21"/>
                <w:szCs w:val="21"/>
                <w:highlight w:val="none"/>
                <w:lang w:val="en-US" w:eastAsia="zh-CN"/>
              </w:rPr>
              <w:t>75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065" w:type="dxa"/>
            <w:tcBorders>
              <w:top w:val="single" w:color="auto" w:sz="4" w:space="0"/>
              <w:left w:val="single" w:color="auto" w:sz="4" w:space="0"/>
              <w:bottom w:val="single" w:color="auto" w:sz="4" w:space="0"/>
              <w:right w:val="single" w:color="auto" w:sz="4" w:space="0"/>
            </w:tcBorders>
            <w:vAlign w:val="center"/>
          </w:tcPr>
          <w:p>
            <w:pPr>
              <w:pStyle w:val="62"/>
              <w:jc w:val="center"/>
              <w:rPr>
                <w:b/>
                <w:color w:val="auto"/>
                <w:sz w:val="22"/>
                <w:highlight w:val="none"/>
              </w:rPr>
            </w:pPr>
          </w:p>
          <w:p>
            <w:pPr>
              <w:pStyle w:val="62"/>
              <w:spacing w:before="1"/>
              <w:ind w:left="162" w:leftChars="0" w:right="152" w:rightChars="0"/>
              <w:jc w:val="center"/>
              <w:rPr>
                <w:rFonts w:hint="eastAsia" w:ascii="宋体" w:hAnsi="宋体" w:eastAsia="宋体" w:cs="宋体"/>
                <w:color w:val="auto"/>
                <w:sz w:val="21"/>
                <w:szCs w:val="21"/>
                <w:highlight w:val="none"/>
              </w:rPr>
            </w:pPr>
            <w:r>
              <w:rPr>
                <w:color w:val="auto"/>
                <w:sz w:val="22"/>
                <w:highlight w:val="none"/>
              </w:rPr>
              <w:t>总体规划设想</w:t>
            </w:r>
          </w:p>
        </w:tc>
        <w:tc>
          <w:tcPr>
            <w:tcW w:w="6145"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根据投标人提供的设计方案总体规划设想的与</w:t>
            </w:r>
            <w:r>
              <w:rPr>
                <w:rFonts w:hint="eastAsia" w:ascii="宋体" w:eastAsia="宋体" w:cs="宋体"/>
                <w:color w:val="auto"/>
                <w:sz w:val="21"/>
                <w:szCs w:val="21"/>
                <w:highlight w:val="none"/>
                <w:lang w:val="en-US" w:eastAsia="zh-CN"/>
              </w:rPr>
              <w:t>用户需求要求</w:t>
            </w:r>
            <w:r>
              <w:rPr>
                <w:rFonts w:hint="eastAsia" w:ascii="宋体" w:hAnsi="宋体" w:eastAsia="宋体" w:cs="宋体"/>
                <w:color w:val="auto"/>
                <w:sz w:val="21"/>
                <w:szCs w:val="21"/>
                <w:highlight w:val="none"/>
              </w:rPr>
              <w:t>的贴合性、合理性进行综合评审：</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方案完整合理，可行性强，与</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rPr>
              <w:t xml:space="preserve">完全吻合，得 </w:t>
            </w:r>
            <w:r>
              <w:rPr>
                <w:rFonts w:hint="eastAsia" w:asci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分；</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w:t>
            </w:r>
            <w:r>
              <w:rPr>
                <w:rFonts w:hint="eastAsia" w:asci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rPr>
              <w:t>完整，可行性</w:t>
            </w:r>
            <w:r>
              <w:rPr>
                <w:rFonts w:hint="eastAsia" w:ascii="宋体" w:eastAsia="宋体" w:cs="宋体"/>
                <w:color w:val="auto"/>
                <w:sz w:val="21"/>
                <w:szCs w:val="21"/>
                <w:highlight w:val="none"/>
                <w:lang w:val="en-US" w:eastAsia="zh-CN"/>
              </w:rPr>
              <w:t>一般</w:t>
            </w:r>
            <w:r>
              <w:rPr>
                <w:rFonts w:hint="eastAsia" w:ascii="宋体" w:hAnsi="宋体" w:eastAsia="宋体" w:cs="宋体"/>
                <w:color w:val="auto"/>
                <w:sz w:val="21"/>
                <w:szCs w:val="21"/>
                <w:highlight w:val="none"/>
              </w:rPr>
              <w:t>，与</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rPr>
              <w:t xml:space="preserve">基本吻合，得 </w:t>
            </w:r>
            <w:r>
              <w:rPr>
                <w:rFonts w:hint="eastAsia" w:asci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方案存在缺漏，可行性较差，与</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rPr>
              <w:t>存在一定差距，得</w:t>
            </w:r>
            <w:r>
              <w:rPr>
                <w:rFonts w:hint="eastAsia" w:asci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eastAsia="宋体" w:cs="宋体"/>
                <w:color w:val="auto"/>
                <w:sz w:val="21"/>
                <w:szCs w:val="21"/>
                <w:highlight w:val="none"/>
                <w:lang w:eastAsia="zh-CN"/>
              </w:rPr>
              <w:t>；</w:t>
            </w:r>
          </w:p>
          <w:p>
            <w:pPr>
              <w:pStyle w:val="37"/>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065" w:type="dxa"/>
            <w:tcBorders>
              <w:top w:val="single" w:color="auto" w:sz="4" w:space="0"/>
              <w:left w:val="single" w:color="auto" w:sz="4" w:space="0"/>
              <w:bottom w:val="single" w:color="auto" w:sz="4" w:space="0"/>
              <w:right w:val="single" w:color="auto" w:sz="4" w:space="0"/>
            </w:tcBorders>
            <w:vAlign w:val="center"/>
          </w:tcPr>
          <w:p>
            <w:pPr>
              <w:pStyle w:val="62"/>
              <w:ind w:left="160" w:leftChars="0" w:right="152" w:rightChars="0"/>
              <w:jc w:val="center"/>
              <w:rPr>
                <w:rFonts w:hint="eastAsia" w:ascii="宋体" w:hAnsi="宋体" w:eastAsia="宋体" w:cs="宋体"/>
                <w:color w:val="auto"/>
                <w:sz w:val="21"/>
                <w:szCs w:val="21"/>
                <w:highlight w:val="none"/>
              </w:rPr>
            </w:pPr>
            <w:r>
              <w:rPr>
                <w:color w:val="auto"/>
                <w:sz w:val="22"/>
                <w:highlight w:val="none"/>
              </w:rPr>
              <w:t>彩色效果图</w:t>
            </w:r>
          </w:p>
        </w:tc>
        <w:tc>
          <w:tcPr>
            <w:tcW w:w="61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w:t>
            </w:r>
            <w:r>
              <w:rPr>
                <w:rFonts w:hint="eastAsia" w:ascii="宋体" w:hAnsi="宋体" w:cs="宋体"/>
                <w:color w:val="auto"/>
                <w:sz w:val="21"/>
                <w:szCs w:val="21"/>
                <w:highlight w:val="none"/>
                <w:lang w:val="en-US" w:eastAsia="zh-CN"/>
              </w:rPr>
              <w:t>提供的</w:t>
            </w:r>
            <w:r>
              <w:rPr>
                <w:rFonts w:hint="eastAsia" w:ascii="宋体" w:hAnsi="宋体" w:eastAsia="宋体" w:cs="宋体"/>
                <w:color w:val="auto"/>
                <w:sz w:val="21"/>
                <w:szCs w:val="21"/>
                <w:highlight w:val="none"/>
                <w:lang w:val="zh-CN"/>
              </w:rPr>
              <w:t>彩色效果图（参照项目</w:t>
            </w:r>
            <w:r>
              <w:rPr>
                <w:rFonts w:hint="eastAsia" w:ascii="宋体" w:hAnsi="宋体" w:cs="宋体"/>
                <w:color w:val="auto"/>
                <w:sz w:val="21"/>
                <w:szCs w:val="21"/>
                <w:highlight w:val="none"/>
                <w:lang w:val="en-US" w:eastAsia="zh-CN"/>
              </w:rPr>
              <w:t>服务</w:t>
            </w:r>
            <w:r>
              <w:rPr>
                <w:rFonts w:hint="eastAsia" w:ascii="宋体" w:hAnsi="宋体" w:eastAsia="宋体" w:cs="宋体"/>
                <w:color w:val="auto"/>
                <w:sz w:val="21"/>
                <w:szCs w:val="21"/>
                <w:highlight w:val="none"/>
                <w:lang w:val="zh-CN"/>
              </w:rPr>
              <w:t>清单）表现形式进行综合评审：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彩色效果图完整详细，可行性强，渲染效果精美，符合</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lang w:val="zh-CN"/>
              </w:rPr>
              <w:t>，得</w:t>
            </w:r>
            <w:r>
              <w:rPr>
                <w:rFonts w:hint="eastAsia" w:ascii="宋体" w:hAnsi="宋体" w:cs="宋体"/>
                <w:color w:val="auto"/>
                <w:sz w:val="21"/>
                <w:szCs w:val="21"/>
                <w:highlight w:val="none"/>
                <w:lang w:val="en-US" w:eastAsia="zh-CN"/>
              </w:rPr>
              <w:t>20</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彩色效果图较为完整详细，可行性较强，渲染效果较精美，基本符合</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lang w:val="zh-CN"/>
              </w:rPr>
              <w:t>，得1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彩色效果图基本完整，可行性一般，渲染效果一般，与</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lang w:val="zh-CN"/>
              </w:rPr>
              <w:t>存在一定差距，得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彩色效果图粗略，可行性较差，渲染效果较差，与</w:t>
            </w:r>
            <w:r>
              <w:rPr>
                <w:rFonts w:hint="eastAsia" w:ascii="宋体" w:eastAsia="宋体" w:cs="宋体"/>
                <w:color w:val="auto"/>
                <w:sz w:val="21"/>
                <w:szCs w:val="21"/>
                <w:highlight w:val="none"/>
                <w:lang w:val="en-US" w:eastAsia="zh-CN"/>
              </w:rPr>
              <w:t>用户需求内容</w:t>
            </w:r>
            <w:r>
              <w:rPr>
                <w:rFonts w:hint="eastAsia" w:ascii="宋体" w:hAnsi="宋体" w:eastAsia="宋体" w:cs="宋体"/>
                <w:color w:val="auto"/>
                <w:sz w:val="21"/>
                <w:szCs w:val="21"/>
                <w:highlight w:val="none"/>
                <w:lang w:val="zh-CN"/>
              </w:rPr>
              <w:t>存在差距较大，得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eastAsia="宋体" w:cs="宋体"/>
                <w:color w:val="auto"/>
                <w:sz w:val="21"/>
                <w:szCs w:val="21"/>
                <w:highlight w:val="none"/>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065" w:type="dxa"/>
            <w:tcBorders>
              <w:top w:val="single" w:color="auto" w:sz="4" w:space="0"/>
              <w:left w:val="single" w:color="auto" w:sz="4" w:space="0"/>
              <w:bottom w:val="single" w:color="auto" w:sz="4" w:space="0"/>
              <w:right w:val="single" w:color="auto" w:sz="4" w:space="0"/>
            </w:tcBorders>
            <w:vAlign w:val="center"/>
          </w:tcPr>
          <w:p>
            <w:pPr>
              <w:pStyle w:val="62"/>
              <w:spacing w:before="1" w:line="340" w:lineRule="auto"/>
              <w:ind w:left="182" w:leftChars="0" w:right="170" w:rightChars="0"/>
              <w:jc w:val="center"/>
              <w:rPr>
                <w:rFonts w:hint="default" w:cs="宋体"/>
                <w:color w:val="auto"/>
                <w:sz w:val="21"/>
                <w:szCs w:val="21"/>
                <w:highlight w:val="none"/>
                <w:lang w:val="en-US" w:eastAsia="zh-CN"/>
              </w:rPr>
            </w:pPr>
            <w:r>
              <w:rPr>
                <w:rFonts w:hint="default" w:cs="宋体"/>
                <w:color w:val="auto"/>
                <w:sz w:val="21"/>
                <w:szCs w:val="21"/>
                <w:highlight w:val="none"/>
                <w:lang w:val="en-US" w:eastAsia="zh-CN"/>
              </w:rPr>
              <w:t>重要技术条款响应情况</w:t>
            </w:r>
          </w:p>
        </w:tc>
        <w:tc>
          <w:tcPr>
            <w:tcW w:w="614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对用户需求书中带“▲”技术要求条款的技术指标进行响应，若全部响应为满足或优于的得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分，不满足或者不响应的每一个扣</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分，扣完为止，本项最低得0分。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注：须提供</w:t>
            </w:r>
            <w:r>
              <w:rPr>
                <w:rFonts w:hint="eastAsia" w:ascii="宋体" w:eastAsia="宋体" w:cs="宋体"/>
                <w:color w:val="auto"/>
                <w:sz w:val="21"/>
                <w:szCs w:val="21"/>
                <w:highlight w:val="none"/>
                <w:lang w:val="en-US" w:eastAsia="zh-CN"/>
              </w:rPr>
              <w:t>第三方检测机构出具的</w:t>
            </w:r>
            <w:r>
              <w:rPr>
                <w:rFonts w:hint="eastAsia" w:ascii="宋体" w:hAnsi="宋体" w:eastAsia="宋体" w:cs="宋体"/>
                <w:color w:val="auto"/>
                <w:sz w:val="21"/>
                <w:szCs w:val="21"/>
                <w:highlight w:val="none"/>
                <w:lang w:val="en-US" w:eastAsia="zh-CN"/>
              </w:rPr>
              <w:t>检测报告</w:t>
            </w:r>
            <w:r>
              <w:rPr>
                <w:rFonts w:hint="eastAsia" w:ascii="宋体" w:hAnsi="宋体" w:eastAsia="宋体" w:cs="宋体"/>
                <w:color w:val="auto"/>
                <w:sz w:val="21"/>
                <w:szCs w:val="21"/>
                <w:highlight w:val="none"/>
                <w:lang w:val="zh-CN"/>
              </w:rPr>
              <w:t>复印件加盖投标人公章</w:t>
            </w:r>
            <w:r>
              <w:rPr>
                <w:rFonts w:hint="eastAsia" w:ascii="宋体" w:hAnsi="宋体" w:eastAsia="宋体" w:cs="宋体"/>
                <w:bCs/>
                <w:color w:val="auto"/>
                <w:sz w:val="21"/>
                <w:szCs w:val="21"/>
                <w:highlight w:val="none"/>
                <w:lang w:val="zh-CN"/>
              </w:rPr>
              <w:t>，</w:t>
            </w:r>
            <w:r>
              <w:rPr>
                <w:rFonts w:hint="eastAsia" w:ascii="宋体" w:hAns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4</w:t>
            </w:r>
          </w:p>
        </w:tc>
        <w:tc>
          <w:tcPr>
            <w:tcW w:w="1065" w:type="dxa"/>
            <w:tcBorders>
              <w:top w:val="single" w:color="auto" w:sz="4" w:space="0"/>
              <w:left w:val="single" w:color="auto" w:sz="4" w:space="0"/>
              <w:bottom w:val="single" w:color="auto" w:sz="4" w:space="0"/>
              <w:right w:val="single" w:color="auto" w:sz="4" w:space="0"/>
            </w:tcBorders>
            <w:vAlign w:val="center"/>
          </w:tcPr>
          <w:p>
            <w:pPr>
              <w:pStyle w:val="62"/>
              <w:spacing w:before="1" w:line="340" w:lineRule="auto"/>
              <w:ind w:left="182" w:leftChars="0" w:right="170" w:rightChars="0"/>
              <w:jc w:val="center"/>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实施方案</w:t>
            </w:r>
          </w:p>
        </w:tc>
        <w:tc>
          <w:tcPr>
            <w:tcW w:w="614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w:t>
            </w:r>
            <w:r>
              <w:rPr>
                <w:rFonts w:hint="eastAsia" w:ascii="宋体" w:hAnsi="宋体" w:cs="宋体"/>
                <w:color w:val="auto"/>
                <w:sz w:val="21"/>
                <w:szCs w:val="21"/>
                <w:highlight w:val="none"/>
                <w:lang w:val="en-US" w:eastAsia="zh-CN"/>
              </w:rPr>
              <w:t>提供的</w:t>
            </w:r>
            <w:r>
              <w:rPr>
                <w:rFonts w:hint="eastAsia" w:cs="宋体"/>
                <w:color w:val="auto"/>
                <w:sz w:val="21"/>
                <w:szCs w:val="21"/>
                <w:highlight w:val="none"/>
                <w:lang w:val="en-US" w:eastAsia="zh-CN"/>
              </w:rPr>
              <w:t>实施方案</w:t>
            </w:r>
            <w:r>
              <w:rPr>
                <w:rFonts w:hint="eastAsia" w:ascii="宋体" w:hAnsi="宋体" w:eastAsia="宋体" w:cs="宋体"/>
                <w:color w:val="auto"/>
                <w:sz w:val="21"/>
                <w:szCs w:val="21"/>
                <w:highlight w:val="none"/>
                <w:lang w:val="zh-CN"/>
              </w:rPr>
              <w:t>进行综合评审：</w:t>
            </w:r>
          </w:p>
          <w:p>
            <w:pPr>
              <w:pStyle w:val="37"/>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lang w:val="zh-CN"/>
              </w:rPr>
              <w:t>方案科学完整，</w:t>
            </w:r>
            <w:r>
              <w:rPr>
                <w:rFonts w:hint="eastAsia" w:ascii="宋体" w:eastAsia="宋体" w:cs="宋体"/>
                <w:color w:val="auto"/>
                <w:sz w:val="21"/>
                <w:szCs w:val="21"/>
                <w:highlight w:val="none"/>
              </w:rPr>
              <w:t>针对性强，</w:t>
            </w:r>
            <w:r>
              <w:rPr>
                <w:rFonts w:hint="eastAsia" w:ascii="宋体" w:eastAsia="宋体" w:cs="宋体"/>
                <w:color w:val="auto"/>
                <w:sz w:val="21"/>
                <w:szCs w:val="21"/>
                <w:highlight w:val="none"/>
                <w:lang w:val="zh-CN"/>
              </w:rPr>
              <w:t>可行性强，得</w:t>
            </w: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分。</w:t>
            </w:r>
          </w:p>
          <w:p>
            <w:pPr>
              <w:pStyle w:val="37"/>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方案基本完整，针对性一般，可行性一般，得</w:t>
            </w:r>
            <w:r>
              <w:rPr>
                <w:rFonts w:hint="eastAsia" w:ascii="宋体" w:eastAsia="宋体" w:cs="宋体"/>
                <w:color w:val="auto"/>
                <w:sz w:val="21"/>
                <w:szCs w:val="21"/>
                <w:highlight w:val="none"/>
                <w:lang w:val="en-US" w:eastAsia="zh-CN"/>
              </w:rPr>
              <w:t>5</w:t>
            </w:r>
            <w:r>
              <w:rPr>
                <w:rFonts w:hint="eastAsia" w:ascii="宋体" w:eastAsia="宋体" w:cs="宋体"/>
                <w:color w:val="auto"/>
                <w:sz w:val="21"/>
                <w:szCs w:val="21"/>
                <w:highlight w:val="none"/>
              </w:rPr>
              <w:t>分。</w:t>
            </w:r>
          </w:p>
          <w:p>
            <w:pPr>
              <w:pStyle w:val="37"/>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方案不完整，针对性较差，可行性较差，得</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eastAsia="宋体" w:cs="宋体"/>
                <w:color w:val="auto"/>
                <w:sz w:val="21"/>
                <w:szCs w:val="21"/>
                <w:highlight w:val="none"/>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5</w:t>
            </w:r>
          </w:p>
        </w:tc>
        <w:tc>
          <w:tcPr>
            <w:tcW w:w="1065" w:type="dxa"/>
            <w:tcBorders>
              <w:top w:val="single" w:color="auto" w:sz="4" w:space="0"/>
              <w:left w:val="single" w:color="auto" w:sz="4" w:space="0"/>
              <w:bottom w:val="single" w:color="auto" w:sz="4" w:space="0"/>
              <w:right w:val="single" w:color="auto" w:sz="4" w:space="0"/>
            </w:tcBorders>
            <w:vAlign w:val="center"/>
          </w:tcPr>
          <w:p>
            <w:pPr>
              <w:bidi w:val="0"/>
              <w:jc w:val="center"/>
              <w:rPr>
                <w:rFonts w:hint="default"/>
                <w:color w:val="auto"/>
                <w:highlight w:val="none"/>
                <w:lang w:val="en-US"/>
              </w:rPr>
            </w:pPr>
            <w:r>
              <w:rPr>
                <w:rFonts w:hint="eastAsia" w:ascii="宋体" w:hAnsi="宋体" w:eastAsia="宋体" w:cs="宋体"/>
                <w:color w:val="auto"/>
                <w:sz w:val="21"/>
                <w:szCs w:val="21"/>
                <w:highlight w:val="none"/>
                <w:lang w:val="zh-CN" w:eastAsia="zh-CN" w:bidi="zh-CN"/>
              </w:rPr>
              <w:t>安全保障</w:t>
            </w:r>
            <w:r>
              <w:rPr>
                <w:rFonts w:hint="eastAsia" w:ascii="宋体" w:hAnsi="宋体" w:cs="宋体"/>
                <w:color w:val="auto"/>
                <w:sz w:val="21"/>
                <w:szCs w:val="21"/>
                <w:highlight w:val="none"/>
                <w:lang w:val="en-US" w:eastAsia="zh-CN" w:bidi="zh-CN"/>
              </w:rPr>
              <w:t>方案</w:t>
            </w:r>
          </w:p>
        </w:tc>
        <w:tc>
          <w:tcPr>
            <w:tcW w:w="614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rPr>
              <w:t>根据投标人</w:t>
            </w:r>
            <w:r>
              <w:rPr>
                <w:rFonts w:hint="eastAsia" w:ascii="宋体" w:hAnsi="宋体" w:cs="宋体"/>
                <w:color w:val="auto"/>
                <w:sz w:val="21"/>
                <w:szCs w:val="21"/>
                <w:highlight w:val="none"/>
                <w:lang w:val="en-US" w:eastAsia="zh-CN"/>
              </w:rPr>
              <w:t>提供的</w:t>
            </w:r>
            <w:r>
              <w:rPr>
                <w:rFonts w:hint="eastAsia" w:ascii="宋体" w:hAnsi="宋体" w:eastAsia="宋体" w:cs="宋体"/>
                <w:color w:val="auto"/>
                <w:sz w:val="21"/>
                <w:szCs w:val="21"/>
                <w:highlight w:val="none"/>
                <w:lang w:val="zh-CN"/>
              </w:rPr>
              <w:t>施工安全保障措施</w:t>
            </w:r>
            <w:r>
              <w:rPr>
                <w:rFonts w:hint="eastAsia" w:ascii="宋体" w:hAnsi="宋体" w:cs="宋体"/>
                <w:color w:val="auto"/>
                <w:sz w:val="21"/>
                <w:szCs w:val="21"/>
                <w:highlight w:val="none"/>
                <w:lang w:val="en-US" w:eastAsia="zh-CN"/>
              </w:rPr>
              <w:t>方案</w:t>
            </w:r>
            <w:r>
              <w:rPr>
                <w:rFonts w:hint="eastAsia" w:ascii="宋体" w:hAnsi="宋体" w:eastAsia="宋体" w:cs="宋体"/>
                <w:color w:val="auto"/>
                <w:sz w:val="21"/>
                <w:szCs w:val="21"/>
                <w:highlight w:val="none"/>
                <w:lang w:val="zh-CN"/>
              </w:rPr>
              <w:t>进行综合</w:t>
            </w:r>
            <w:r>
              <w:rPr>
                <w:rFonts w:hint="eastAsia" w:ascii="宋体" w:hAnsi="宋体" w:cs="宋体"/>
                <w:color w:val="auto"/>
                <w:sz w:val="21"/>
                <w:szCs w:val="21"/>
                <w:highlight w:val="none"/>
                <w:lang w:val="en-US" w:eastAsia="zh-CN"/>
              </w:rPr>
              <w:t>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方案完整合理，可行性强，安全保障度高，得 10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方案基本完整，可行性</w:t>
            </w:r>
            <w:r>
              <w:rPr>
                <w:rFonts w:hint="eastAsia" w:ascii="宋体" w:hAnsi="宋体" w:cs="宋体"/>
                <w:color w:val="auto"/>
                <w:sz w:val="21"/>
                <w:szCs w:val="21"/>
                <w:highlight w:val="none"/>
                <w:lang w:val="en-US" w:eastAsia="zh-CN"/>
              </w:rPr>
              <w:t>一般</w:t>
            </w:r>
            <w:r>
              <w:rPr>
                <w:rFonts w:hint="eastAsia" w:ascii="宋体" w:hAnsi="宋体" w:eastAsia="宋体" w:cs="宋体"/>
                <w:color w:val="auto"/>
                <w:sz w:val="21"/>
                <w:szCs w:val="21"/>
                <w:highlight w:val="none"/>
                <w:lang w:val="zh-CN"/>
              </w:rPr>
              <w:t xml:space="preserve">，安全保障度一般，得 </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 xml:space="preserve">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方案完整性、可行性较差，安全保障度较差，得 1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eastAsia="宋体" w:cs="宋体"/>
                <w:color w:val="auto"/>
                <w:sz w:val="21"/>
                <w:szCs w:val="21"/>
                <w:highlight w:val="none"/>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1065" w:type="dxa"/>
            <w:tcBorders>
              <w:top w:val="single" w:color="auto" w:sz="4" w:space="0"/>
              <w:left w:val="single" w:color="auto" w:sz="4" w:space="0"/>
              <w:bottom w:val="single" w:color="auto" w:sz="4" w:space="0"/>
              <w:right w:val="single" w:color="auto" w:sz="4" w:space="0"/>
            </w:tcBorders>
            <w:vAlign w:val="center"/>
          </w:tcPr>
          <w:p>
            <w:pPr>
              <w:bidi w:val="0"/>
              <w:jc w:val="center"/>
              <w:rPr>
                <w:rFonts w:hint="eastAsia"/>
                <w:color w:val="auto"/>
                <w:highlight w:val="none"/>
              </w:rPr>
            </w:pPr>
            <w:r>
              <w:rPr>
                <w:rFonts w:hint="eastAsia"/>
                <w:color w:val="auto"/>
                <w:highlight w:val="none"/>
              </w:rPr>
              <w:t>服务质量保障及管理制度</w:t>
            </w:r>
          </w:p>
        </w:tc>
        <w:tc>
          <w:tcPr>
            <w:tcW w:w="614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根据投标人提供的服务质量保障方案及管理制度进行综合评审：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方案完整合理，可行性强，</w:t>
            </w:r>
            <w:r>
              <w:rPr>
                <w:rFonts w:hint="eastAsia" w:ascii="宋体" w:hAnsi="宋体" w:cs="宋体"/>
                <w:color w:val="auto"/>
                <w:sz w:val="21"/>
                <w:szCs w:val="21"/>
                <w:highlight w:val="none"/>
                <w:lang w:val="en-US" w:eastAsia="zh-CN"/>
              </w:rPr>
              <w:t>完全</w:t>
            </w:r>
            <w:r>
              <w:rPr>
                <w:rFonts w:hint="eastAsia" w:ascii="宋体" w:hAnsi="宋体" w:eastAsia="宋体" w:cs="宋体"/>
                <w:color w:val="auto"/>
                <w:sz w:val="21"/>
                <w:szCs w:val="21"/>
                <w:highlight w:val="none"/>
                <w:lang w:val="zh-CN"/>
              </w:rPr>
              <w:t>符合项目实施要求，得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 xml:space="preserve">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方案基本完整，可行性</w:t>
            </w:r>
            <w:r>
              <w:rPr>
                <w:rFonts w:hint="eastAsia" w:ascii="宋体" w:hAnsi="宋体" w:cs="宋体"/>
                <w:color w:val="auto"/>
                <w:sz w:val="21"/>
                <w:szCs w:val="21"/>
                <w:highlight w:val="none"/>
                <w:lang w:val="en-US" w:eastAsia="zh-CN"/>
              </w:rPr>
              <w:t>一般</w:t>
            </w:r>
            <w:r>
              <w:rPr>
                <w:rFonts w:hint="eastAsia" w:ascii="宋体" w:hAnsi="宋体" w:eastAsia="宋体" w:cs="宋体"/>
                <w:color w:val="auto"/>
                <w:sz w:val="21"/>
                <w:szCs w:val="21"/>
                <w:highlight w:val="none"/>
                <w:lang w:val="zh-CN"/>
              </w:rPr>
              <w:t>，基本符合项目实施要求，得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方案完整性、可行性较差，未能有效促进项目实施的，得 1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eastAsia="宋体" w:cs="宋体"/>
                <w:color w:val="auto"/>
                <w:sz w:val="21"/>
                <w:szCs w:val="21"/>
                <w:highlight w:val="none"/>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7</w:t>
            </w:r>
          </w:p>
        </w:tc>
        <w:tc>
          <w:tcPr>
            <w:tcW w:w="1065" w:type="dxa"/>
            <w:tcBorders>
              <w:top w:val="single" w:color="auto" w:sz="4" w:space="0"/>
              <w:left w:val="single" w:color="auto" w:sz="4" w:space="0"/>
              <w:bottom w:val="single" w:color="auto" w:sz="4" w:space="0"/>
              <w:right w:val="single" w:color="auto" w:sz="4" w:space="0"/>
            </w:tcBorders>
            <w:vAlign w:val="center"/>
          </w:tcPr>
          <w:p>
            <w:pPr>
              <w:bidi w:val="0"/>
              <w:jc w:val="center"/>
              <w:rPr>
                <w:color w:val="auto"/>
                <w:highlight w:val="none"/>
              </w:rPr>
            </w:pPr>
            <w:r>
              <w:rPr>
                <w:rFonts w:hint="eastAsia"/>
                <w:color w:val="auto"/>
                <w:highlight w:val="none"/>
                <w:lang w:val="en-US" w:eastAsia="zh-CN"/>
              </w:rPr>
              <w:t>售后方案</w:t>
            </w:r>
          </w:p>
        </w:tc>
        <w:tc>
          <w:tcPr>
            <w:tcW w:w="614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根据投标人提供的售后服务方案进行综合评审：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方案完整合理，可行性强，</w:t>
            </w:r>
            <w:r>
              <w:rPr>
                <w:rFonts w:hint="eastAsia" w:ascii="宋体" w:hAnsi="宋体" w:cs="宋体"/>
                <w:color w:val="auto"/>
                <w:sz w:val="21"/>
                <w:szCs w:val="21"/>
                <w:highlight w:val="none"/>
                <w:lang w:val="en-US" w:eastAsia="zh-CN"/>
              </w:rPr>
              <w:t>完全</w:t>
            </w:r>
            <w:r>
              <w:rPr>
                <w:rFonts w:hint="eastAsia" w:ascii="宋体" w:hAnsi="宋体" w:eastAsia="宋体" w:cs="宋体"/>
                <w:color w:val="auto"/>
                <w:sz w:val="21"/>
                <w:szCs w:val="21"/>
                <w:highlight w:val="none"/>
                <w:lang w:val="zh-CN"/>
              </w:rPr>
              <w:t>符合项目实施要求，得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方案基本完整，可行性</w:t>
            </w:r>
            <w:r>
              <w:rPr>
                <w:rFonts w:hint="eastAsia" w:ascii="宋体" w:hAnsi="宋体" w:cs="宋体"/>
                <w:color w:val="auto"/>
                <w:sz w:val="21"/>
                <w:szCs w:val="21"/>
                <w:highlight w:val="none"/>
                <w:lang w:val="en-US" w:eastAsia="zh-CN"/>
              </w:rPr>
              <w:t>一般</w:t>
            </w:r>
            <w:r>
              <w:rPr>
                <w:rFonts w:hint="eastAsia" w:ascii="宋体" w:hAnsi="宋体" w:eastAsia="宋体" w:cs="宋体"/>
                <w:color w:val="auto"/>
                <w:sz w:val="21"/>
                <w:szCs w:val="21"/>
                <w:highlight w:val="none"/>
                <w:lang w:val="zh-CN"/>
              </w:rPr>
              <w:t>，基本符合项目实施要求，得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差：方案完整性、可行性较差，未能有效促进项目实施的，得 1 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eastAsia="宋体" w:cs="宋体"/>
                <w:color w:val="auto"/>
                <w:sz w:val="21"/>
                <w:szCs w:val="21"/>
                <w:highlight w:val="none"/>
                <w:lang w:val="en-US" w:eastAsia="zh-CN"/>
              </w:rPr>
              <w:t>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tc>
      </w:tr>
    </w:tbl>
    <w:p>
      <w:pPr>
        <w:rPr>
          <w:color w:val="auto"/>
          <w:highlight w:val="none"/>
        </w:rPr>
      </w:pPr>
    </w:p>
    <w:p>
      <w:pPr>
        <w:pStyle w:val="2"/>
        <w:rPr>
          <w:color w:val="auto"/>
          <w:highlight w:val="none"/>
        </w:rPr>
      </w:pPr>
    </w:p>
    <w:p>
      <w:pPr>
        <w:rPr>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30638"/>
      <w:bookmarkStart w:id="18" w:name="_Toc29685"/>
      <w:bookmarkStart w:id="19" w:name="_Toc2479"/>
      <w:bookmarkStart w:id="20" w:name="_Toc14146"/>
      <w:r>
        <w:rPr>
          <w:rFonts w:hint="eastAsia"/>
          <w:color w:val="auto"/>
          <w:sz w:val="28"/>
          <w:szCs w:val="28"/>
          <w:highlight w:val="none"/>
        </w:rPr>
        <w:t>第四部分 投标人须知</w:t>
      </w:r>
      <w:bookmarkEnd w:id="17"/>
      <w:bookmarkEnd w:id="18"/>
      <w:bookmarkEnd w:id="19"/>
    </w:p>
    <w:p>
      <w:pPr>
        <w:pStyle w:val="5"/>
        <w:spacing w:line="480" w:lineRule="auto"/>
        <w:jc w:val="center"/>
        <w:rPr>
          <w:rFonts w:ascii="宋体" w:hAnsi="宋体"/>
          <w:color w:val="auto"/>
          <w:highlight w:val="none"/>
        </w:rPr>
      </w:pPr>
      <w:bookmarkStart w:id="21" w:name="_Toc11105"/>
      <w:bookmarkStart w:id="22" w:name="_Toc3095"/>
      <w:bookmarkStart w:id="23" w:name="_Toc19746"/>
      <w:r>
        <w:rPr>
          <w:rFonts w:hint="eastAsia" w:ascii="宋体" w:hAnsi="宋体"/>
          <w:color w:val="auto"/>
          <w:highlight w:val="none"/>
        </w:rPr>
        <w:t>第一章说明</w:t>
      </w:r>
      <w:bookmarkEnd w:id="21"/>
      <w:bookmarkEnd w:id="22"/>
      <w:bookmarkEnd w:id="23"/>
    </w:p>
    <w:p>
      <w:pPr>
        <w:pStyle w:val="6"/>
        <w:widowControl w:val="0"/>
        <w:overflowPunct w:val="0"/>
        <w:spacing w:line="240" w:lineRule="auto"/>
        <w:rPr>
          <w:rFonts w:ascii="宋体" w:hAnsi="宋体"/>
          <w:color w:val="auto"/>
          <w:sz w:val="21"/>
          <w:szCs w:val="21"/>
          <w:highlight w:val="none"/>
        </w:rPr>
      </w:pPr>
      <w:bookmarkStart w:id="24" w:name="_Toc22847"/>
      <w:bookmarkStart w:id="25" w:name="_Toc18488"/>
      <w:bookmarkStart w:id="26" w:name="_Toc22803"/>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27" w:name="_Toc13400"/>
      <w:bookmarkStart w:id="28" w:name="_Toc16848"/>
      <w:bookmarkStart w:id="29" w:name="_Toc21002"/>
      <w:r>
        <w:rPr>
          <w:rFonts w:hint="eastAsia" w:ascii="宋体" w:hAnsi="宋体"/>
          <w:color w:val="auto"/>
          <w:sz w:val="21"/>
          <w:szCs w:val="21"/>
          <w:highlight w:val="none"/>
        </w:rPr>
        <w:t>2.</w:t>
      </w:r>
      <w:bookmarkStart w:id="30" w:name="_Toc303084246"/>
      <w:bookmarkStart w:id="31" w:name="_Toc298847174"/>
      <w:bookmarkStart w:id="32" w:name="_Toc1530"/>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4" w:name="_Toc3780"/>
      <w:bookmarkStart w:id="35" w:name="_Toc2996"/>
      <w:bookmarkStart w:id="36" w:name="_Toc9710"/>
      <w:r>
        <w:rPr>
          <w:rFonts w:hint="eastAsia" w:ascii="宋体" w:hAnsi="宋体"/>
          <w:color w:val="auto"/>
          <w:sz w:val="21"/>
          <w:szCs w:val="21"/>
          <w:highlight w:val="none"/>
        </w:rPr>
        <w:t>3.货物和服务</w:t>
      </w:r>
      <w:bookmarkEnd w:id="34"/>
      <w:bookmarkEnd w:id="35"/>
      <w:bookmarkEnd w:id="36"/>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7" w:name="_Toc12536"/>
      <w:bookmarkStart w:id="38" w:name="_Toc15945"/>
      <w:bookmarkStart w:id="39" w:name="_Toc13909"/>
      <w:r>
        <w:rPr>
          <w:rFonts w:hint="eastAsia" w:ascii="宋体" w:hAnsi="宋体"/>
          <w:color w:val="auto"/>
          <w:sz w:val="21"/>
          <w:szCs w:val="21"/>
          <w:highlight w:val="none"/>
        </w:rPr>
        <w:t>4.投标费用</w:t>
      </w:r>
      <w:bookmarkEnd w:id="37"/>
      <w:bookmarkEnd w:id="38"/>
      <w:bookmarkEnd w:id="39"/>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0" w:name="_Toc25040"/>
      <w:bookmarkStart w:id="41" w:name="_Toc19532"/>
      <w:bookmarkStart w:id="42" w:name="_Toc19094"/>
      <w:r>
        <w:rPr>
          <w:rFonts w:hint="eastAsia" w:ascii="宋体" w:hAnsi="宋体"/>
          <w:color w:val="auto"/>
          <w:sz w:val="21"/>
          <w:szCs w:val="21"/>
          <w:highlight w:val="none"/>
        </w:rPr>
        <w:t>5.知识产权</w:t>
      </w:r>
      <w:bookmarkEnd w:id="40"/>
      <w:bookmarkEnd w:id="41"/>
      <w:bookmarkEnd w:id="42"/>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3" w:name="_Toc31885"/>
      <w:bookmarkStart w:id="44" w:name="_Toc21930"/>
      <w:bookmarkStart w:id="45" w:name="_Toc8432"/>
      <w:r>
        <w:rPr>
          <w:rFonts w:hint="eastAsia" w:ascii="宋体" w:hAnsi="宋体"/>
          <w:color w:val="auto"/>
          <w:sz w:val="21"/>
          <w:szCs w:val="21"/>
          <w:highlight w:val="none"/>
        </w:rPr>
        <w:t>6.关于联合体投标</w:t>
      </w:r>
      <w:bookmarkEnd w:id="43"/>
      <w:bookmarkEnd w:id="44"/>
      <w:bookmarkEnd w:id="45"/>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6" w:name="_Toc16571"/>
      <w:bookmarkStart w:id="47" w:name="_Toc1381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6"/>
        <w:widowControl w:val="0"/>
        <w:overflowPunct w:val="0"/>
        <w:spacing w:line="240" w:lineRule="auto"/>
        <w:rPr>
          <w:rFonts w:ascii="宋体" w:hAnsi="宋体"/>
          <w:color w:val="auto"/>
          <w:sz w:val="21"/>
          <w:szCs w:val="21"/>
          <w:highlight w:val="none"/>
        </w:rPr>
      </w:pPr>
      <w:bookmarkStart w:id="53" w:name="_Toc21771"/>
      <w:bookmarkStart w:id="54" w:name="_Toc13494"/>
      <w:bookmarkStart w:id="55" w:name="_Toc1423"/>
      <w:r>
        <w:rPr>
          <w:rFonts w:hint="eastAsia" w:ascii="宋体" w:hAnsi="宋体"/>
          <w:color w:val="auto"/>
          <w:sz w:val="21"/>
          <w:szCs w:val="21"/>
          <w:highlight w:val="none"/>
        </w:rPr>
        <w:t>8.招标文件的组成</w:t>
      </w:r>
      <w:bookmarkEnd w:id="53"/>
      <w:bookmarkEnd w:id="54"/>
      <w:bookmarkEnd w:id="55"/>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6"/>
        <w:widowControl w:val="0"/>
        <w:overflowPunct w:val="0"/>
        <w:rPr>
          <w:rFonts w:ascii="宋体" w:hAnsi="宋体"/>
          <w:color w:val="auto"/>
          <w:sz w:val="21"/>
          <w:szCs w:val="21"/>
          <w:highlight w:val="none"/>
        </w:rPr>
      </w:pPr>
      <w:bookmarkStart w:id="56" w:name="_Toc14217"/>
      <w:bookmarkStart w:id="57" w:name="_Toc17274"/>
      <w:bookmarkStart w:id="58" w:name="_Toc7997"/>
      <w:r>
        <w:rPr>
          <w:rFonts w:hint="eastAsia" w:ascii="宋体" w:hAnsi="宋体"/>
          <w:color w:val="auto"/>
          <w:sz w:val="21"/>
          <w:szCs w:val="21"/>
          <w:highlight w:val="none"/>
        </w:rPr>
        <w:t>9.招标文件的澄清或修改</w:t>
      </w:r>
      <w:bookmarkEnd w:id="56"/>
      <w:bookmarkEnd w:id="57"/>
      <w:bookmarkEnd w:id="58"/>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5"/>
        <w:spacing w:line="480" w:lineRule="auto"/>
        <w:jc w:val="center"/>
        <w:rPr>
          <w:rFonts w:ascii="宋体" w:hAnsi="宋体"/>
          <w:color w:val="auto"/>
          <w:highlight w:val="none"/>
        </w:rPr>
      </w:pPr>
      <w:bookmarkStart w:id="59" w:name="_Toc4773"/>
      <w:bookmarkStart w:id="60" w:name="_Toc16712"/>
      <w:bookmarkStart w:id="61" w:name="_Toc23726"/>
      <w:r>
        <w:rPr>
          <w:rFonts w:hint="eastAsia" w:ascii="宋体" w:hAnsi="宋体"/>
          <w:color w:val="auto"/>
          <w:highlight w:val="none"/>
        </w:rPr>
        <w:t>第三章投标文件的编制</w:t>
      </w:r>
      <w:bookmarkEnd w:id="59"/>
      <w:bookmarkEnd w:id="60"/>
      <w:bookmarkEnd w:id="61"/>
    </w:p>
    <w:p>
      <w:pPr>
        <w:pStyle w:val="6"/>
        <w:widowControl w:val="0"/>
        <w:overflowPunct w:val="0"/>
        <w:rPr>
          <w:rFonts w:ascii="宋体" w:hAnsi="宋体"/>
          <w:color w:val="auto"/>
          <w:sz w:val="21"/>
          <w:szCs w:val="21"/>
          <w:highlight w:val="none"/>
        </w:rPr>
      </w:pPr>
      <w:bookmarkStart w:id="62" w:name="_Toc20623"/>
      <w:bookmarkStart w:id="63" w:name="_Toc28092"/>
      <w:bookmarkStart w:id="64" w:name="_Toc7434"/>
      <w:r>
        <w:rPr>
          <w:rFonts w:hint="eastAsia" w:ascii="宋体" w:hAnsi="宋体"/>
          <w:color w:val="auto"/>
          <w:sz w:val="21"/>
          <w:szCs w:val="21"/>
          <w:highlight w:val="none"/>
        </w:rPr>
        <w:t>10.投标文件的语言及度量衡单位</w:t>
      </w:r>
      <w:bookmarkEnd w:id="62"/>
      <w:bookmarkEnd w:id="63"/>
      <w:bookmarkEnd w:id="64"/>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65" w:name="_Toc28866"/>
      <w:bookmarkStart w:id="66" w:name="_Toc18999"/>
      <w:bookmarkStart w:id="67" w:name="_Toc307934854"/>
      <w:bookmarkStart w:id="68" w:name="_Toc382049103"/>
      <w:bookmarkStart w:id="69" w:name="_Toc7728"/>
      <w:bookmarkStart w:id="70" w:name="_Toc12145"/>
      <w:bookmarkStart w:id="71" w:name="_Toc303084256"/>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6"/>
        <w:widowControl w:val="0"/>
        <w:overflowPunct w:val="0"/>
        <w:rPr>
          <w:rFonts w:ascii="宋体" w:hAnsi="宋体"/>
          <w:color w:val="auto"/>
          <w:sz w:val="21"/>
          <w:szCs w:val="21"/>
          <w:highlight w:val="none"/>
        </w:rPr>
      </w:pPr>
      <w:bookmarkStart w:id="72" w:name="_Toc21747"/>
      <w:bookmarkStart w:id="73" w:name="_Toc30189"/>
      <w:bookmarkStart w:id="74" w:name="_Toc3882"/>
      <w:r>
        <w:rPr>
          <w:rFonts w:hint="eastAsia" w:ascii="宋体" w:hAnsi="宋体"/>
          <w:color w:val="auto"/>
          <w:sz w:val="21"/>
          <w:szCs w:val="21"/>
          <w:highlight w:val="none"/>
        </w:rPr>
        <w:t>12.投标文件编制</w:t>
      </w:r>
      <w:bookmarkEnd w:id="72"/>
      <w:bookmarkEnd w:id="73"/>
      <w:bookmarkEnd w:id="74"/>
    </w:p>
    <w:p>
      <w:pPr>
        <w:pStyle w:val="34"/>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4"/>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4"/>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6"/>
        <w:widowControl w:val="0"/>
        <w:overflowPunct w:val="0"/>
        <w:rPr>
          <w:rFonts w:ascii="宋体" w:hAnsi="宋体"/>
          <w:color w:val="auto"/>
          <w:sz w:val="21"/>
          <w:szCs w:val="21"/>
          <w:highlight w:val="none"/>
        </w:rPr>
      </w:pPr>
      <w:bookmarkStart w:id="76" w:name="_Toc7847"/>
      <w:bookmarkStart w:id="77" w:name="_Toc17188"/>
      <w:bookmarkStart w:id="78" w:name="_Toc259"/>
      <w:r>
        <w:rPr>
          <w:rFonts w:hint="eastAsia" w:ascii="宋体" w:hAnsi="宋体"/>
          <w:color w:val="auto"/>
          <w:sz w:val="21"/>
          <w:szCs w:val="21"/>
          <w:highlight w:val="none"/>
        </w:rPr>
        <w:t>13.投标报价说明</w:t>
      </w:r>
      <w:bookmarkEnd w:id="76"/>
      <w:bookmarkEnd w:id="77"/>
      <w:bookmarkEnd w:id="78"/>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6"/>
        <w:widowControl w:val="0"/>
        <w:overflowPunct w:val="0"/>
        <w:rPr>
          <w:rFonts w:ascii="宋体" w:hAnsi="宋体"/>
          <w:color w:val="auto"/>
          <w:sz w:val="21"/>
          <w:szCs w:val="21"/>
          <w:highlight w:val="none"/>
        </w:rPr>
      </w:pPr>
      <w:bookmarkStart w:id="79" w:name="_Toc27724"/>
      <w:bookmarkStart w:id="80" w:name="_Toc16535"/>
      <w:bookmarkStart w:id="81" w:name="_Toc18911"/>
      <w:r>
        <w:rPr>
          <w:rFonts w:hint="eastAsia" w:ascii="宋体" w:hAnsi="宋体"/>
          <w:color w:val="auto"/>
          <w:sz w:val="21"/>
          <w:szCs w:val="21"/>
          <w:highlight w:val="none"/>
        </w:rPr>
        <w:t>14.投标人所提供的服务或货物的证明文件</w:t>
      </w:r>
      <w:bookmarkEnd w:id="79"/>
      <w:bookmarkEnd w:id="80"/>
      <w:bookmarkEnd w:id="8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widowControl w:val="0"/>
        <w:adjustRightInd/>
        <w:snapToGrid/>
        <w:ind w:left="425" w:firstLine="0" w:firstLineChars="0"/>
        <w:jc w:val="both"/>
        <w:rPr>
          <w:color w:val="auto"/>
          <w:highlight w:val="none"/>
        </w:rPr>
      </w:pPr>
    </w:p>
    <w:p>
      <w:pPr>
        <w:pStyle w:val="6"/>
        <w:widowControl w:val="0"/>
        <w:overflowPunct w:val="0"/>
        <w:rPr>
          <w:rFonts w:ascii="宋体" w:hAnsi="宋体"/>
          <w:color w:val="auto"/>
          <w:sz w:val="21"/>
          <w:szCs w:val="21"/>
          <w:highlight w:val="none"/>
        </w:rPr>
      </w:pPr>
      <w:bookmarkStart w:id="84" w:name="_Toc19520"/>
      <w:bookmarkStart w:id="85" w:name="_Toc22169"/>
      <w:bookmarkStart w:id="86" w:name="_Toc30815"/>
      <w:r>
        <w:rPr>
          <w:rFonts w:hint="eastAsia" w:ascii="宋体" w:hAnsi="宋体"/>
          <w:color w:val="auto"/>
          <w:sz w:val="21"/>
          <w:szCs w:val="21"/>
          <w:highlight w:val="none"/>
        </w:rPr>
        <w:t>15.★投标有效期</w:t>
      </w:r>
      <w:bookmarkEnd w:id="84"/>
      <w:bookmarkEnd w:id="85"/>
      <w:bookmarkEnd w:id="86"/>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87" w:name="_Toc30257"/>
      <w:bookmarkStart w:id="88" w:name="_Toc25817"/>
      <w:bookmarkStart w:id="89" w:name="_Toc12456"/>
      <w:r>
        <w:rPr>
          <w:rFonts w:hint="eastAsia" w:ascii="宋体" w:hAnsi="宋体"/>
          <w:color w:val="auto"/>
          <w:sz w:val="21"/>
          <w:szCs w:val="21"/>
          <w:highlight w:val="none"/>
        </w:rPr>
        <w:t>16.★投标保证金</w:t>
      </w:r>
      <w:bookmarkEnd w:id="87"/>
      <w:bookmarkEnd w:id="88"/>
      <w:bookmarkEnd w:id="89"/>
    </w:p>
    <w:p>
      <w:pPr>
        <w:pStyle w:val="34"/>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5"/>
        <w:spacing w:line="480" w:lineRule="auto"/>
        <w:jc w:val="center"/>
        <w:rPr>
          <w:rFonts w:ascii="宋体" w:hAnsi="宋体"/>
          <w:color w:val="auto"/>
          <w:highlight w:val="none"/>
        </w:rPr>
      </w:pPr>
      <w:bookmarkStart w:id="91" w:name="_Toc3200"/>
      <w:bookmarkStart w:id="92" w:name="_Toc31124"/>
      <w:bookmarkStart w:id="93" w:name="_Toc24109"/>
      <w:r>
        <w:rPr>
          <w:rFonts w:hint="eastAsia" w:ascii="宋体" w:hAnsi="宋体"/>
          <w:color w:val="auto"/>
          <w:highlight w:val="none"/>
        </w:rPr>
        <w:t>第四章投标文件的递交</w:t>
      </w:r>
      <w:bookmarkEnd w:id="91"/>
      <w:bookmarkEnd w:id="92"/>
      <w:bookmarkEnd w:id="93"/>
    </w:p>
    <w:p>
      <w:pPr>
        <w:pStyle w:val="6"/>
        <w:widowControl w:val="0"/>
        <w:overflowPunct w:val="0"/>
        <w:rPr>
          <w:rFonts w:ascii="宋体" w:hAnsi="宋体"/>
          <w:color w:val="auto"/>
          <w:sz w:val="21"/>
          <w:szCs w:val="21"/>
          <w:highlight w:val="none"/>
        </w:rPr>
      </w:pPr>
      <w:bookmarkStart w:id="94" w:name="_Toc23678"/>
      <w:bookmarkStart w:id="95" w:name="_Toc382049111"/>
      <w:bookmarkStart w:id="96" w:name="_Toc29590"/>
      <w:bookmarkStart w:id="97" w:name="_Toc473"/>
      <w:bookmarkStart w:id="98" w:name="_Toc303084264"/>
      <w:bookmarkStart w:id="99" w:name="_Toc24997"/>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00" w:name="_Toc17417"/>
      <w:bookmarkStart w:id="101" w:name="_Toc7473"/>
      <w:bookmarkStart w:id="102" w:name="_Toc8628"/>
      <w:r>
        <w:rPr>
          <w:rFonts w:hint="eastAsia" w:ascii="宋体" w:hAnsi="宋体"/>
          <w:color w:val="auto"/>
          <w:sz w:val="21"/>
          <w:szCs w:val="21"/>
          <w:highlight w:val="none"/>
        </w:rPr>
        <w:t>18.迟交的投标文件</w:t>
      </w:r>
      <w:bookmarkEnd w:id="100"/>
      <w:bookmarkEnd w:id="101"/>
      <w:bookmarkEnd w:id="102"/>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6"/>
        <w:widowControl w:val="0"/>
        <w:overflowPunct w:val="0"/>
        <w:rPr>
          <w:rFonts w:ascii="宋体" w:hAnsi="宋体"/>
          <w:color w:val="auto"/>
          <w:sz w:val="21"/>
          <w:szCs w:val="21"/>
          <w:highlight w:val="none"/>
        </w:rPr>
      </w:pPr>
      <w:bookmarkStart w:id="103" w:name="_Toc19649"/>
      <w:bookmarkStart w:id="104" w:name="_Toc13212"/>
      <w:bookmarkStart w:id="105" w:name="_Toc8526"/>
      <w:r>
        <w:rPr>
          <w:rFonts w:hint="eastAsia" w:ascii="宋体" w:hAnsi="宋体"/>
          <w:color w:val="auto"/>
          <w:sz w:val="21"/>
          <w:szCs w:val="21"/>
          <w:highlight w:val="none"/>
        </w:rPr>
        <w:t>19.投标样品（如需提交）</w:t>
      </w:r>
      <w:bookmarkEnd w:id="103"/>
      <w:bookmarkEnd w:id="104"/>
      <w:bookmarkEnd w:id="105"/>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rPr>
          <w:rFonts w:ascii="宋体" w:hAnsi="宋体"/>
          <w:color w:val="auto"/>
          <w:sz w:val="21"/>
          <w:szCs w:val="21"/>
          <w:highlight w:val="none"/>
        </w:rPr>
      </w:pPr>
      <w:bookmarkStart w:id="106" w:name="_Toc382049112"/>
      <w:bookmarkStart w:id="107" w:name="_Toc9777"/>
      <w:bookmarkStart w:id="108" w:name="_Toc303084265"/>
      <w:bookmarkStart w:id="109" w:name="_Toc23477"/>
      <w:bookmarkStart w:id="110" w:name="_Toc7689"/>
      <w:bookmarkStart w:id="111" w:name="_Toc5900"/>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rPr>
          <w:rFonts w:ascii="宋体" w:hAnsi="宋体"/>
          <w:color w:val="auto"/>
          <w:sz w:val="21"/>
          <w:szCs w:val="21"/>
          <w:highlight w:val="none"/>
        </w:rPr>
      </w:pPr>
      <w:bookmarkStart w:id="112" w:name="_Toc11133"/>
      <w:bookmarkStart w:id="113" w:name="_Toc6003"/>
      <w:bookmarkStart w:id="114" w:name="_Toc15569"/>
      <w:r>
        <w:rPr>
          <w:rFonts w:hint="eastAsia" w:ascii="宋体" w:hAnsi="宋体"/>
          <w:color w:val="auto"/>
          <w:sz w:val="21"/>
          <w:szCs w:val="21"/>
          <w:highlight w:val="none"/>
        </w:rPr>
        <w:t>21.投标文件的补充、修改与撤回</w:t>
      </w:r>
      <w:bookmarkEnd w:id="112"/>
      <w:bookmarkEnd w:id="113"/>
      <w:bookmarkEnd w:id="114"/>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2"/>
        <w:rPr>
          <w:color w:val="auto"/>
          <w:highlight w:val="none"/>
        </w:rPr>
      </w:pPr>
    </w:p>
    <w:p>
      <w:pPr>
        <w:pStyle w:val="5"/>
        <w:spacing w:line="480" w:lineRule="auto"/>
        <w:jc w:val="center"/>
        <w:rPr>
          <w:rFonts w:ascii="宋体" w:hAnsi="宋体"/>
          <w:color w:val="auto"/>
          <w:highlight w:val="none"/>
        </w:rPr>
      </w:pPr>
      <w:bookmarkStart w:id="115" w:name="_Toc23466"/>
      <w:bookmarkStart w:id="116" w:name="_Toc29574"/>
      <w:bookmarkStart w:id="117" w:name="_Toc5049"/>
      <w:r>
        <w:rPr>
          <w:rFonts w:hint="eastAsia" w:ascii="宋体" w:hAnsi="宋体"/>
          <w:color w:val="auto"/>
          <w:highlight w:val="none"/>
        </w:rPr>
        <w:t>第五章开标与评标</w:t>
      </w:r>
      <w:bookmarkEnd w:id="115"/>
      <w:bookmarkEnd w:id="116"/>
      <w:bookmarkEnd w:id="117"/>
    </w:p>
    <w:p>
      <w:pPr>
        <w:pStyle w:val="6"/>
        <w:widowControl w:val="0"/>
        <w:overflowPunct w:val="0"/>
        <w:rPr>
          <w:rFonts w:ascii="宋体" w:hAnsi="宋体"/>
          <w:color w:val="auto"/>
          <w:sz w:val="21"/>
          <w:szCs w:val="21"/>
          <w:highlight w:val="none"/>
        </w:rPr>
      </w:pPr>
      <w:bookmarkStart w:id="118" w:name="_Toc24251"/>
      <w:bookmarkStart w:id="119" w:name="_Toc27700"/>
      <w:bookmarkStart w:id="120" w:name="_Toc28458"/>
      <w:r>
        <w:rPr>
          <w:rFonts w:hint="eastAsia" w:ascii="宋体" w:hAnsi="宋体"/>
          <w:color w:val="auto"/>
          <w:sz w:val="21"/>
          <w:szCs w:val="21"/>
          <w:highlight w:val="none"/>
        </w:rPr>
        <w:t>22.开标</w:t>
      </w:r>
      <w:bookmarkEnd w:id="118"/>
      <w:bookmarkEnd w:id="119"/>
      <w:bookmarkEnd w:id="120"/>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121" w:name="_Toc5974"/>
      <w:bookmarkStart w:id="122" w:name="_Toc5524"/>
      <w:bookmarkStart w:id="123" w:name="_Toc4921"/>
      <w:r>
        <w:rPr>
          <w:rFonts w:hint="eastAsia" w:ascii="宋体" w:hAnsi="宋体"/>
          <w:color w:val="auto"/>
          <w:sz w:val="21"/>
          <w:szCs w:val="21"/>
          <w:highlight w:val="none"/>
        </w:rPr>
        <w:t>23.评标委员会及评标方法</w:t>
      </w:r>
      <w:bookmarkEnd w:id="121"/>
      <w:bookmarkEnd w:id="122"/>
      <w:bookmarkEnd w:id="123"/>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24" w:name="_Toc32730"/>
      <w:bookmarkStart w:id="125" w:name="_Toc26402"/>
      <w:bookmarkStart w:id="126" w:name="_Toc15231"/>
      <w:r>
        <w:rPr>
          <w:rFonts w:hint="eastAsia" w:ascii="宋体" w:hAnsi="宋体"/>
          <w:color w:val="auto"/>
          <w:sz w:val="21"/>
          <w:szCs w:val="21"/>
          <w:highlight w:val="none"/>
        </w:rPr>
        <w:t>24.评审原则及评标过程的保密</w:t>
      </w:r>
      <w:bookmarkEnd w:id="124"/>
      <w:bookmarkEnd w:id="125"/>
      <w:bookmarkEnd w:id="126"/>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6"/>
        <w:widowControl w:val="0"/>
        <w:overflowPunct w:val="0"/>
        <w:rPr>
          <w:rFonts w:ascii="宋体" w:hAnsi="宋体"/>
          <w:color w:val="auto"/>
          <w:sz w:val="21"/>
          <w:szCs w:val="21"/>
          <w:highlight w:val="none"/>
        </w:rPr>
      </w:pPr>
      <w:bookmarkStart w:id="127" w:name="_Toc16745"/>
      <w:bookmarkStart w:id="128" w:name="_Toc3762"/>
      <w:bookmarkStart w:id="129" w:name="_Toc18436"/>
      <w:r>
        <w:rPr>
          <w:rFonts w:hint="eastAsia" w:ascii="宋体" w:hAnsi="宋体"/>
          <w:color w:val="auto"/>
          <w:sz w:val="21"/>
          <w:szCs w:val="21"/>
          <w:highlight w:val="none"/>
        </w:rPr>
        <w:t>25.投标文件的初审</w:t>
      </w:r>
      <w:bookmarkEnd w:id="127"/>
      <w:bookmarkEnd w:id="128"/>
      <w:bookmarkEnd w:id="129"/>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rPr>
          <w:rFonts w:ascii="宋体" w:hAnsi="宋体"/>
          <w:color w:val="auto"/>
          <w:sz w:val="21"/>
          <w:szCs w:val="21"/>
          <w:highlight w:val="none"/>
        </w:rPr>
      </w:pPr>
      <w:bookmarkStart w:id="130" w:name="_Toc27673"/>
      <w:bookmarkStart w:id="131" w:name="_Toc29184"/>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3" w:name="_Toc22192"/>
      <w:bookmarkStart w:id="134" w:name="_Toc17683"/>
      <w:bookmarkStart w:id="135" w:name="_Toc7593"/>
      <w:r>
        <w:rPr>
          <w:rFonts w:hint="eastAsia" w:ascii="宋体" w:hAnsi="宋体"/>
          <w:color w:val="auto"/>
          <w:sz w:val="21"/>
          <w:szCs w:val="21"/>
          <w:highlight w:val="none"/>
        </w:rPr>
        <w:t>27.优惠政策</w:t>
      </w:r>
      <w:bookmarkEnd w:id="133"/>
      <w:bookmarkEnd w:id="134"/>
      <w:bookmarkEnd w:id="135"/>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6" w:name="_Toc316375620"/>
      <w:bookmarkStart w:id="137" w:name="_Toc22591"/>
      <w:bookmarkStart w:id="138" w:name="_Toc31141"/>
      <w:bookmarkStart w:id="139" w:name="_Toc20328"/>
      <w:bookmarkStart w:id="140" w:name="_Toc382049120"/>
      <w:bookmarkStart w:id="141" w:name="_Toc12115"/>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spacing w:line="480" w:lineRule="auto"/>
        <w:jc w:val="center"/>
        <w:rPr>
          <w:rFonts w:ascii="宋体" w:hAnsi="宋体"/>
          <w:color w:val="auto"/>
          <w:highlight w:val="none"/>
        </w:rPr>
      </w:pPr>
      <w:bookmarkStart w:id="142" w:name="_Toc29310"/>
      <w:bookmarkStart w:id="143" w:name="_Toc5528"/>
      <w:bookmarkStart w:id="144" w:name="_Toc12251"/>
      <w:r>
        <w:rPr>
          <w:rFonts w:hint="eastAsia" w:ascii="宋体" w:hAnsi="宋体"/>
          <w:color w:val="auto"/>
          <w:highlight w:val="none"/>
        </w:rPr>
        <w:t>第六章授予合同</w:t>
      </w:r>
      <w:bookmarkEnd w:id="142"/>
      <w:bookmarkEnd w:id="143"/>
      <w:bookmarkEnd w:id="144"/>
    </w:p>
    <w:p>
      <w:pPr>
        <w:pStyle w:val="6"/>
        <w:widowControl w:val="0"/>
        <w:overflowPunct w:val="0"/>
        <w:rPr>
          <w:rFonts w:ascii="宋体" w:hAnsi="宋体"/>
          <w:color w:val="auto"/>
          <w:sz w:val="21"/>
          <w:szCs w:val="21"/>
          <w:highlight w:val="none"/>
        </w:rPr>
      </w:pPr>
      <w:bookmarkStart w:id="145" w:name="_Toc508284011"/>
      <w:bookmarkStart w:id="146" w:name="_Toc6696"/>
      <w:bookmarkStart w:id="147" w:name="_Toc27817"/>
      <w:bookmarkStart w:id="148" w:name="_Toc17778"/>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6"/>
        <w:widowControl w:val="0"/>
        <w:overflowPunct w:val="0"/>
        <w:rPr>
          <w:rFonts w:ascii="宋体" w:hAnsi="宋体"/>
          <w:color w:val="auto"/>
          <w:sz w:val="21"/>
          <w:szCs w:val="21"/>
          <w:highlight w:val="none"/>
        </w:rPr>
      </w:pPr>
      <w:bookmarkStart w:id="149" w:name="_Toc29283"/>
      <w:bookmarkStart w:id="150" w:name="_Toc12440"/>
      <w:bookmarkStart w:id="151" w:name="_Toc508284013"/>
      <w:bookmarkStart w:id="152" w:name="_Toc23136"/>
      <w:r>
        <w:rPr>
          <w:rFonts w:hint="eastAsia" w:ascii="宋体" w:hAnsi="宋体"/>
          <w:color w:val="auto"/>
          <w:sz w:val="21"/>
          <w:szCs w:val="21"/>
          <w:highlight w:val="none"/>
        </w:rPr>
        <w:t>30.发布采购结果</w:t>
      </w:r>
      <w:bookmarkEnd w:id="149"/>
      <w:bookmarkEnd w:id="150"/>
      <w:bookmarkEnd w:id="151"/>
      <w:bookmarkEnd w:id="152"/>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rPr>
          <w:rFonts w:ascii="宋体" w:hAnsi="宋体"/>
          <w:color w:val="auto"/>
          <w:sz w:val="21"/>
          <w:szCs w:val="21"/>
          <w:highlight w:val="none"/>
        </w:rPr>
      </w:pPr>
      <w:bookmarkStart w:id="153" w:name="_Toc22262"/>
      <w:bookmarkStart w:id="154" w:name="_Toc27279"/>
      <w:bookmarkStart w:id="155" w:name="_Toc22451"/>
      <w:r>
        <w:rPr>
          <w:rFonts w:hint="eastAsia" w:ascii="宋体" w:hAnsi="宋体"/>
          <w:color w:val="auto"/>
          <w:sz w:val="21"/>
          <w:szCs w:val="21"/>
          <w:highlight w:val="none"/>
        </w:rPr>
        <w:t>31.合同的签订与履行</w:t>
      </w:r>
      <w:bookmarkEnd w:id="153"/>
      <w:bookmarkEnd w:id="154"/>
      <w:bookmarkEnd w:id="155"/>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rPr>
          <w:rFonts w:ascii="宋体" w:hAnsi="宋体"/>
          <w:color w:val="auto"/>
          <w:sz w:val="21"/>
          <w:szCs w:val="21"/>
          <w:highlight w:val="none"/>
        </w:rPr>
      </w:pPr>
      <w:bookmarkStart w:id="156" w:name="_Toc29009"/>
      <w:bookmarkStart w:id="157" w:name="_Toc303084277"/>
      <w:bookmarkStart w:id="158" w:name="_Toc7405"/>
      <w:bookmarkStart w:id="159" w:name="_Toc25756"/>
      <w:bookmarkStart w:id="160" w:name="_Toc382049124"/>
      <w:bookmarkStart w:id="161" w:name="_Toc274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spacing w:line="480" w:lineRule="auto"/>
        <w:jc w:val="center"/>
        <w:rPr>
          <w:rFonts w:ascii="宋体" w:hAnsi="宋体"/>
          <w:color w:val="auto"/>
          <w:highlight w:val="none"/>
        </w:rPr>
      </w:pPr>
      <w:bookmarkStart w:id="162" w:name="_Toc7360"/>
      <w:bookmarkStart w:id="163" w:name="_Toc13694"/>
      <w:bookmarkStart w:id="164" w:name="_Toc20699"/>
      <w:r>
        <w:rPr>
          <w:rFonts w:hint="eastAsia" w:ascii="宋体" w:hAnsi="宋体"/>
          <w:color w:val="auto"/>
          <w:highlight w:val="none"/>
        </w:rPr>
        <w:t>第七章询问或质疑</w:t>
      </w:r>
      <w:bookmarkEnd w:id="162"/>
      <w:bookmarkEnd w:id="163"/>
      <w:bookmarkEnd w:id="164"/>
    </w:p>
    <w:p>
      <w:pPr>
        <w:pStyle w:val="6"/>
        <w:widowControl w:val="0"/>
        <w:overflowPunct w:val="0"/>
        <w:rPr>
          <w:rFonts w:ascii="宋体" w:hAnsi="宋体"/>
          <w:color w:val="auto"/>
          <w:sz w:val="21"/>
          <w:szCs w:val="21"/>
          <w:highlight w:val="none"/>
        </w:rPr>
      </w:pPr>
      <w:bookmarkStart w:id="165" w:name="_Toc17974"/>
      <w:bookmarkStart w:id="166" w:name="_Toc25498"/>
      <w:bookmarkStart w:id="167" w:name="_Toc22900"/>
      <w:r>
        <w:rPr>
          <w:rFonts w:hint="eastAsia" w:ascii="宋体" w:hAnsi="宋体"/>
          <w:color w:val="auto"/>
          <w:sz w:val="21"/>
          <w:szCs w:val="21"/>
          <w:highlight w:val="none"/>
        </w:rPr>
        <w:t>33.询问</w:t>
      </w:r>
      <w:bookmarkEnd w:id="165"/>
      <w:bookmarkEnd w:id="166"/>
      <w:bookmarkEnd w:id="167"/>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pPr>
        <w:pStyle w:val="6"/>
        <w:widowControl w:val="0"/>
        <w:overflowPunct w:val="0"/>
        <w:rPr>
          <w:rFonts w:ascii="宋体" w:hAnsi="宋体"/>
          <w:color w:val="auto"/>
          <w:sz w:val="21"/>
          <w:szCs w:val="21"/>
          <w:highlight w:val="none"/>
        </w:rPr>
      </w:pPr>
      <w:bookmarkStart w:id="168" w:name="_Toc2767"/>
      <w:bookmarkStart w:id="169" w:name="_Toc8234"/>
      <w:bookmarkStart w:id="170" w:name="_Toc11264"/>
      <w:r>
        <w:rPr>
          <w:rFonts w:hint="eastAsia" w:ascii="宋体" w:hAnsi="宋体"/>
          <w:color w:val="auto"/>
          <w:sz w:val="21"/>
          <w:szCs w:val="21"/>
          <w:highlight w:val="none"/>
        </w:rPr>
        <w:t>34.质疑</w:t>
      </w:r>
      <w:bookmarkEnd w:id="168"/>
      <w:bookmarkEnd w:id="169"/>
      <w:bookmarkEnd w:id="170"/>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numPr>
          <w:ilvl w:val="1"/>
          <w:numId w:val="3"/>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5"/>
        <w:spacing w:line="480" w:lineRule="auto"/>
        <w:jc w:val="center"/>
        <w:rPr>
          <w:rFonts w:ascii="宋体" w:hAnsi="宋体"/>
          <w:color w:val="auto"/>
          <w:highlight w:val="none"/>
        </w:rPr>
      </w:pPr>
      <w:bookmarkStart w:id="171" w:name="_Toc5690"/>
      <w:bookmarkStart w:id="172" w:name="_Toc24383"/>
      <w:bookmarkStart w:id="173" w:name="_Toc8919"/>
      <w:r>
        <w:rPr>
          <w:rFonts w:hint="eastAsia" w:ascii="宋体" w:hAnsi="宋体"/>
          <w:color w:val="auto"/>
          <w:highlight w:val="none"/>
        </w:rPr>
        <w:t>第八章其他</w:t>
      </w:r>
      <w:bookmarkEnd w:id="171"/>
      <w:bookmarkEnd w:id="172"/>
      <w:bookmarkEnd w:id="173"/>
    </w:p>
    <w:p>
      <w:pPr>
        <w:pStyle w:val="6"/>
        <w:widowControl w:val="0"/>
        <w:overflowPunct w:val="0"/>
        <w:rPr>
          <w:rFonts w:ascii="宋体" w:hAnsi="宋体"/>
          <w:color w:val="auto"/>
          <w:sz w:val="21"/>
          <w:szCs w:val="21"/>
          <w:highlight w:val="none"/>
        </w:rPr>
      </w:pPr>
      <w:bookmarkStart w:id="174" w:name="_Toc21187"/>
      <w:bookmarkStart w:id="175" w:name="_Toc10082"/>
      <w:bookmarkStart w:id="176" w:name="_Toc6548"/>
      <w:r>
        <w:rPr>
          <w:rFonts w:hint="eastAsia" w:ascii="宋体" w:hAnsi="宋体"/>
          <w:color w:val="auto"/>
          <w:sz w:val="21"/>
          <w:szCs w:val="21"/>
          <w:highlight w:val="none"/>
        </w:rPr>
        <w:t>35.招标文件的解释权</w:t>
      </w:r>
      <w:bookmarkEnd w:id="174"/>
      <w:bookmarkEnd w:id="175"/>
      <w:bookmarkEnd w:id="176"/>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color w:val="auto"/>
          <w:sz w:val="28"/>
          <w:szCs w:val="28"/>
          <w:highlight w:val="none"/>
        </w:rPr>
      </w:pPr>
      <w:bookmarkStart w:id="177" w:name="_Toc31854"/>
      <w:bookmarkStart w:id="178" w:name="_Toc7011"/>
      <w:bookmarkStart w:id="179" w:name="_Toc382"/>
      <w:r>
        <w:rPr>
          <w:rFonts w:hint="eastAsia"/>
          <w:color w:val="auto"/>
          <w:sz w:val="28"/>
          <w:szCs w:val="28"/>
          <w:highlight w:val="none"/>
        </w:rPr>
        <w:t>第五部分 用户需求书</w:t>
      </w:r>
      <w:bookmarkEnd w:id="177"/>
      <w:bookmarkEnd w:id="178"/>
      <w:bookmarkEnd w:id="179"/>
    </w:p>
    <w:p>
      <w:pPr>
        <w:pStyle w:val="5"/>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4"/>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pPr>
              <w:pStyle w:val="34"/>
              <w:ind w:left="210" w:leftChars="100" w:firstLine="210" w:firstLineChars="100"/>
              <w:rPr>
                <w:rFonts w:ascii="宋体" w:hAnsi="宋体" w:cs="宋体"/>
                <w:bCs/>
                <w:color w:val="auto"/>
                <w:kern w:val="44"/>
                <w:szCs w:val="21"/>
                <w:highlight w:val="none"/>
              </w:rPr>
            </w:pPr>
            <w:r>
              <w:rPr>
                <w:rFonts w:hint="eastAsia" w:ascii="宋体" w:hAnsi="宋体" w:cs="宋体"/>
                <w:color w:val="auto"/>
                <w:szCs w:val="21"/>
                <w:highlight w:val="none"/>
              </w:rPr>
              <w:t>详见“投标人资格要求”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设计效果图确认之日起40天内完成</w:t>
            </w:r>
            <w:r>
              <w:rPr>
                <w:rFonts w:hint="eastAsia" w:ascii="宋体" w:hAnsi="宋体" w:cs="宋体"/>
                <w:color w:val="auto"/>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ascii="宋体" w:hAnsi="宋体" w:cs="宋体"/>
                <w:color w:val="auto"/>
                <w:szCs w:val="21"/>
                <w:highlight w:val="none"/>
              </w:rPr>
            </w:pPr>
            <w:r>
              <w:rPr>
                <w:rFonts w:hint="eastAsia" w:ascii="宋体" w:hAnsi="宋体" w:eastAsia="宋体" w:cs="宋体"/>
                <w:color w:val="auto"/>
                <w:sz w:val="21"/>
                <w:szCs w:val="21"/>
                <w:highlight w:val="none"/>
                <w:lang w:eastAsia="zh-CN"/>
              </w:rPr>
              <w:t>项目实施完成经采购人验收合格后</w:t>
            </w:r>
            <w:r>
              <w:rPr>
                <w:rFonts w:hint="eastAsia" w:ascii="宋体" w:hAnsi="宋体" w:eastAsia="宋体" w:cs="宋体"/>
                <w:color w:val="auto"/>
                <w:sz w:val="21"/>
                <w:szCs w:val="21"/>
                <w:highlight w:val="none"/>
                <w:lang w:val="en-US" w:eastAsia="zh-CN"/>
              </w:rPr>
              <w:t>，采购方在30</w:t>
            </w:r>
            <w:r>
              <w:rPr>
                <w:rFonts w:hint="eastAsia" w:ascii="宋体" w:hAnsi="宋体" w:cs="宋体"/>
                <w:color w:val="auto"/>
                <w:sz w:val="21"/>
                <w:szCs w:val="21"/>
                <w:highlight w:val="none"/>
                <w:lang w:val="en-US" w:eastAsia="zh-CN"/>
              </w:rPr>
              <w:t>个工作日</w:t>
            </w:r>
            <w:r>
              <w:rPr>
                <w:rFonts w:hint="eastAsia" w:ascii="宋体" w:hAnsi="宋体" w:eastAsia="宋体" w:cs="宋体"/>
                <w:color w:val="auto"/>
                <w:sz w:val="21"/>
                <w:szCs w:val="21"/>
                <w:highlight w:val="none"/>
                <w:lang w:val="en-US" w:eastAsia="zh-CN"/>
              </w:rPr>
              <w:t>内支付</w:t>
            </w:r>
            <w:r>
              <w:rPr>
                <w:rFonts w:hint="eastAsia" w:ascii="宋体" w:hAnsi="宋体" w:cs="宋体"/>
                <w:color w:val="auto"/>
                <w:sz w:val="21"/>
                <w:szCs w:val="21"/>
                <w:highlight w:val="none"/>
                <w:lang w:val="en-US" w:eastAsia="zh-CN"/>
              </w:rPr>
              <w:t>至</w:t>
            </w:r>
            <w:r>
              <w:rPr>
                <w:rFonts w:hint="eastAsia" w:ascii="宋体" w:hAnsi="宋体" w:eastAsia="宋体" w:cs="宋体"/>
                <w:color w:val="auto"/>
                <w:sz w:val="21"/>
                <w:szCs w:val="21"/>
                <w:highlight w:val="none"/>
                <w:lang w:val="en-US" w:eastAsia="zh-CN"/>
              </w:rPr>
              <w:t>合同总额的</w:t>
            </w:r>
            <w:r>
              <w:rPr>
                <w:rFonts w:hint="eastAsia" w:ascii="宋体" w:hAnsi="宋体" w:cs="宋体"/>
                <w:color w:val="auto"/>
                <w:sz w:val="21"/>
                <w:szCs w:val="21"/>
                <w:highlight w:val="none"/>
                <w:lang w:val="en-US" w:eastAsia="zh-CN"/>
              </w:rPr>
              <w:t>100%</w:t>
            </w:r>
            <w:r>
              <w:rPr>
                <w:rFonts w:hint="eastAsia" w:ascii="宋体" w:hAnsi="宋体" w:eastAsia="宋体" w:cs="宋体"/>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东莞启智学校</w:t>
            </w:r>
            <w:r>
              <w:rPr>
                <w:rFonts w:hint="eastAsia" w:ascii="宋体" w:hAnsi="宋体" w:cs="宋体"/>
                <w:color w:val="auto"/>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cs="宋体"/>
                <w:color w:val="auto"/>
                <w:szCs w:val="21"/>
                <w:highlight w:val="none"/>
              </w:rPr>
            </w:pPr>
            <w:r>
              <w:rPr>
                <w:rFonts w:ascii="宋体" w:hAnsi="宋体" w:eastAsia="宋体"/>
                <w:color w:val="auto"/>
                <w:szCs w:val="21"/>
                <w:highlight w:val="none"/>
              </w:rPr>
              <w:t>其它要求</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ascii="宋体" w:hAnsi="宋体" w:cs="宋体"/>
                <w:color w:val="auto"/>
                <w:szCs w:val="21"/>
                <w:highlight w:val="none"/>
              </w:rPr>
            </w:pPr>
            <w:r>
              <w:rPr>
                <w:rFonts w:hint="eastAsia" w:ascii="宋体" w:hAnsi="宋体" w:eastAsia="宋体" w:cs="宋体"/>
                <w:color w:val="auto"/>
                <w:sz w:val="21"/>
                <w:szCs w:val="21"/>
                <w:highlight w:val="none"/>
                <w:lang w:val="en-US" w:eastAsia="zh-CN"/>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p>
    <w:p>
      <w:pPr>
        <w:pStyle w:val="2"/>
        <w:rPr>
          <w:color w:val="auto"/>
          <w:highlight w:val="none"/>
          <w:lang w:val="en-US"/>
        </w:rPr>
      </w:pPr>
    </w:p>
    <w:p>
      <w:pPr>
        <w:rPr>
          <w:color w:val="auto"/>
          <w:highlight w:val="none"/>
          <w:lang w:val="en-US"/>
        </w:rPr>
      </w:pPr>
    </w:p>
    <w:p>
      <w:pPr>
        <w:bidi w:val="0"/>
        <w:rPr>
          <w:color w:val="auto"/>
          <w:highlight w:val="none"/>
          <w:lang w:val="en-US"/>
        </w:rPr>
      </w:pPr>
    </w:p>
    <w:p>
      <w:pPr>
        <w:bidi w:val="0"/>
        <w:rPr>
          <w:color w:val="auto"/>
          <w:highlight w:val="none"/>
          <w:lang w:val="en-US"/>
        </w:rPr>
      </w:pPr>
    </w:p>
    <w:p>
      <w:pPr>
        <w:bidi w:val="0"/>
        <w:rPr>
          <w:color w:val="auto"/>
          <w:highlight w:val="none"/>
          <w:lang w:val="en-US"/>
        </w:rPr>
      </w:pPr>
    </w:p>
    <w:p>
      <w:pPr>
        <w:pStyle w:val="2"/>
        <w:rPr>
          <w:color w:val="auto"/>
          <w:highlight w:val="none"/>
          <w:lang w:val="en-US"/>
        </w:rPr>
      </w:pPr>
    </w:p>
    <w:p>
      <w:pPr>
        <w:rPr>
          <w:color w:val="auto"/>
          <w:highlight w:val="none"/>
        </w:rPr>
      </w:pPr>
    </w:p>
    <w:p>
      <w:pPr>
        <w:pStyle w:val="2"/>
        <w:rPr>
          <w:color w:val="auto"/>
          <w:highlight w:val="none"/>
        </w:rPr>
      </w:pPr>
    </w:p>
    <w:p>
      <w:pPr>
        <w:rPr>
          <w:color w:val="auto"/>
          <w:highlight w:val="none"/>
        </w:rPr>
      </w:pPr>
    </w:p>
    <w:p>
      <w:pPr>
        <w:pStyle w:val="5"/>
        <w:jc w:val="center"/>
        <w:rPr>
          <w:rFonts w:ascii="宋体" w:hAnsi="宋体"/>
          <w:color w:val="auto"/>
          <w:sz w:val="24"/>
          <w:highlight w:val="none"/>
        </w:rPr>
      </w:pPr>
      <w:bookmarkStart w:id="181" w:name="_Toc19316"/>
      <w:r>
        <w:rPr>
          <w:rFonts w:hint="eastAsia" w:ascii="宋体" w:hAnsi="宋体"/>
          <w:color w:val="auto"/>
          <w:highlight w:val="none"/>
        </w:rPr>
        <w:t>第二章 技术需求书</w:t>
      </w:r>
      <w:bookmarkEnd w:id="181"/>
    </w:p>
    <w:p>
      <w:pPr>
        <w:pStyle w:val="6"/>
        <w:rPr>
          <w:color w:val="auto"/>
          <w:highlight w:val="none"/>
        </w:rPr>
      </w:pPr>
      <w:bookmarkStart w:id="182" w:name="_Toc24679"/>
      <w:bookmarkStart w:id="183" w:name="_Toc13112"/>
      <w:bookmarkStart w:id="184" w:name="_Toc14462"/>
      <w:bookmarkStart w:id="185" w:name="_Toc31278"/>
      <w:r>
        <w:rPr>
          <w:rFonts w:hint="eastAsia"/>
          <w:color w:val="auto"/>
          <w:highlight w:val="none"/>
        </w:rPr>
        <w:t>一、项目背景</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1、区位:东莞启智学校创办于1995年，是东莞市唯一公办</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"https://baike.so.com/doc/5334734-5570172.html" \t "https://baike.so.com/doc/_blank"</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全日制</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"https://baike.so.com/doc/6016653-6229642.html" \t "https://baike.so.com/doc/_blank"</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特殊教育学校</w:t>
      </w:r>
      <w:r>
        <w:rPr>
          <w:rFonts w:hint="eastAsia" w:ascii="宋体" w:hAnsi="宋体" w:cs="宋体"/>
          <w:color w:val="auto"/>
          <w:szCs w:val="21"/>
          <w:highlight w:val="none"/>
        </w:rPr>
        <w:fldChar w:fldCharType="end"/>
      </w:r>
      <w:r>
        <w:rPr>
          <w:rFonts w:hint="eastAsia" w:ascii="宋体" w:hAnsi="宋体" w:cs="宋体"/>
          <w:color w:val="auto"/>
          <w:szCs w:val="21"/>
          <w:highlight w:val="none"/>
        </w:rPr>
        <w:t>，面向全市招</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"https://baike.so.com/doc/6777693-6993616.html" \t "https://baike.so.com/doc/_blank"</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听力</w:t>
      </w:r>
      <w:r>
        <w:rPr>
          <w:rFonts w:hint="eastAsia" w:ascii="宋体" w:hAnsi="宋体" w:cs="宋体"/>
          <w:color w:val="auto"/>
          <w:szCs w:val="21"/>
          <w:highlight w:val="none"/>
        </w:rPr>
        <w:fldChar w:fldCharType="end"/>
      </w:r>
      <w:r>
        <w:rPr>
          <w:rFonts w:hint="eastAsia" w:ascii="宋体" w:hAnsi="宋体" w:cs="宋体"/>
          <w:color w:val="auto"/>
          <w:szCs w:val="21"/>
          <w:highlight w:val="none"/>
        </w:rPr>
        <w:t>、</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"https://baike.so.com/doc/5335685-5571124.html" \t "https://baike.so.com/doc/_blank"</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智力</w:t>
      </w:r>
      <w:r>
        <w:rPr>
          <w:rFonts w:hint="eastAsia" w:ascii="宋体" w:hAnsi="宋体" w:cs="宋体"/>
          <w:color w:val="auto"/>
          <w:szCs w:val="21"/>
          <w:highlight w:val="none"/>
        </w:rPr>
        <w:fldChar w:fldCharType="end"/>
      </w:r>
      <w:r>
        <w:rPr>
          <w:rFonts w:hint="eastAsia" w:ascii="宋体" w:hAnsi="宋体" w:cs="宋体"/>
          <w:color w:val="auto"/>
          <w:szCs w:val="21"/>
          <w:highlight w:val="none"/>
        </w:rPr>
        <w:t>残疾儿童少年入学，实施九年义务教育。学校实行小学、初中和高中分校区办学，所有功能室的教学设施设备配备齐全，是一所一流校舍、一流设备的花园式的绿色学校。</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规模:学校始终把“为每一位特殊孩子的幸福人生奠基”作为办学宗旨，构建了康复训练、素质教育、职业技术教育互相补充，全面育人，育残成才的教育特色，以培养学生的生活能力和社会适应能力为重点，培养学生一技之长，成为适应社会发展要求的合格公民。学校目前正积极打造和谐的校园外部环境和内部校园文化，以期满足学生对更高品质教育的需求。</w:t>
      </w:r>
    </w:p>
    <w:p>
      <w:pPr>
        <w:pStyle w:val="6"/>
        <w:rPr>
          <w:color w:val="auto"/>
          <w:highlight w:val="none"/>
        </w:rPr>
      </w:pPr>
      <w:r>
        <w:rPr>
          <w:rFonts w:hint="eastAsia"/>
          <w:color w:val="auto"/>
          <w:highlight w:val="none"/>
        </w:rPr>
        <w:t>二、设计、制作原则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1、育人性原则：校园文化设计本着从学生的角度出发，体现互动性，可参与性的特点， 把空间设计和学生成长结合起来，让空间服务学生，让空间展示学生的成果，让空间成为学生校园生活的快乐港湾，使学生在参与过</w:t>
      </w:r>
      <w:bookmarkStart w:id="389" w:name="_GoBack"/>
      <w:bookmarkEnd w:id="389"/>
      <w:r>
        <w:rPr>
          <w:rFonts w:hint="eastAsia" w:ascii="宋体" w:hAnsi="宋体" w:cs="宋体"/>
          <w:color w:val="auto"/>
          <w:szCs w:val="21"/>
          <w:highlight w:val="none"/>
        </w:rPr>
        <w:t>程中，学习，正常，进步。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2、整体性原则：校园文化建设要形成统一的整体、合理布局，要符合党和国家的教育方针，围绕学校教育育人为本，教学做合一，贴近实际、贴近生活、贴近学生，体现时代精神。</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3、特色性原则：在设计中要根据区域主题特点设计，突出区域主题特色，让主题与校园文化融为一体，既有区域特点，又相互辉映。</w:t>
      </w:r>
    </w:p>
    <w:p>
      <w:pPr>
        <w:ind w:firstLine="420" w:firstLineChars="200"/>
        <w:rPr>
          <w:color w:val="auto"/>
          <w:highlight w:val="none"/>
        </w:rPr>
      </w:pPr>
      <w:r>
        <w:rPr>
          <w:rFonts w:hint="eastAsia" w:ascii="宋体" w:hAnsi="宋体" w:cs="宋体"/>
          <w:color w:val="auto"/>
          <w:szCs w:val="21"/>
          <w:highlight w:val="none"/>
        </w:rPr>
        <w:t>4、继承与发展原则：校园文化建设要坚持继承与发展的原则，主题鲜明、内容丰富、形式多样、特色明显，做到硬化、净化、美化、文化，各个场所布置个性鲜明，符合特点， 能使用规范字，体现浓厚的学校文化底蕴和办学特色。</w:t>
      </w:r>
    </w:p>
    <w:p>
      <w:pPr>
        <w:pStyle w:val="6"/>
        <w:rPr>
          <w:rFonts w:ascii="宋体" w:hAnsi="宋体" w:cs="宋体"/>
          <w:color w:val="auto"/>
          <w:sz w:val="21"/>
          <w:szCs w:val="21"/>
          <w:highlight w:val="none"/>
        </w:rPr>
      </w:pPr>
      <w:r>
        <w:rPr>
          <w:rFonts w:hint="eastAsia"/>
          <w:color w:val="auto"/>
          <w:highlight w:val="none"/>
        </w:rPr>
        <w:t>三、项目要求</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1、深化设计方案</w:t>
      </w:r>
      <w:r>
        <w:rPr>
          <w:rFonts w:hint="eastAsia" w:ascii="宋体" w:hAnsi="宋体" w:cs="宋体"/>
          <w:color w:val="auto"/>
          <w:szCs w:val="21"/>
          <w:highlight w:val="none"/>
          <w:lang w:val="en-US" w:eastAsia="zh-CN"/>
        </w:rPr>
        <w:t>及设计效果图</w:t>
      </w:r>
      <w:r>
        <w:rPr>
          <w:rFonts w:hint="eastAsia" w:ascii="宋体" w:hAnsi="宋体" w:cs="宋体"/>
          <w:color w:val="auto"/>
          <w:szCs w:val="21"/>
          <w:highlight w:val="none"/>
        </w:rPr>
        <w:t>经采购人确认后，方可实施。</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2、提供的制作校园文化产品的材料应为原装的、合格的、全新的材料，其技术性能应能满足国家和行业最新要求。</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3、投标人应根据本项目的作业要求，在投标文件中提供切实可行的总体规划设想、彩色效果图、实施方案、安全保障方案、服务质量保障及管理制度、售后方案等。</w:t>
      </w:r>
    </w:p>
    <w:p>
      <w:pPr>
        <w:spacing w:line="440" w:lineRule="exact"/>
        <w:rPr>
          <w:rFonts w:ascii="Cambria" w:hAnsi="Cambria"/>
          <w:b/>
          <w:bCs/>
          <w:color w:val="auto"/>
          <w:sz w:val="24"/>
          <w:szCs w:val="28"/>
          <w:highlight w:val="none"/>
        </w:rPr>
      </w:pPr>
      <w:r>
        <w:rPr>
          <w:rFonts w:hint="eastAsia" w:ascii="Cambria" w:hAnsi="Cambria"/>
          <w:b/>
          <w:bCs/>
          <w:color w:val="auto"/>
          <w:sz w:val="24"/>
          <w:szCs w:val="28"/>
          <w:highlight w:val="none"/>
        </w:rPr>
        <w:t>四、质量要求</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所有</w:t>
      </w:r>
      <w:r>
        <w:rPr>
          <w:rFonts w:hint="eastAsia" w:ascii="宋体" w:hAnsi="宋体" w:cs="宋体"/>
          <w:color w:val="auto"/>
          <w:szCs w:val="21"/>
          <w:highlight w:val="none"/>
          <w:lang w:val="en-US" w:eastAsia="zh-CN"/>
        </w:rPr>
        <w:t>材料</w:t>
      </w:r>
      <w:r>
        <w:rPr>
          <w:rFonts w:hint="eastAsia" w:ascii="宋体" w:hAnsi="宋体" w:cs="宋体"/>
          <w:color w:val="auto"/>
          <w:szCs w:val="21"/>
          <w:highlight w:val="none"/>
        </w:rPr>
        <w:t>各项技术指标完全符合国家有关质量检测，环保标准及产品出厂标准。包括但不低于以下标准：</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1、提供所用油漆符合GB/T 13493-1992的标准。</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2、油漆需提供符合RoHs2,0限用物质含量的测试有害物质含量符合国家标准规范；符合GB/T 13493-1992的标准。</w:t>
      </w:r>
    </w:p>
    <w:p>
      <w:pPr>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3、PVC板</w:t>
      </w:r>
      <w:r>
        <w:rPr>
          <w:rFonts w:hint="eastAsia" w:ascii="宋体" w:hAnsi="宋体" w:cs="宋体"/>
          <w:color w:val="auto"/>
          <w:szCs w:val="21"/>
          <w:highlight w:val="none"/>
          <w:lang w:val="en-US" w:eastAsia="zh-CN"/>
        </w:rPr>
        <w:t>材需</w:t>
      </w:r>
      <w:r>
        <w:rPr>
          <w:rFonts w:hint="eastAsia" w:ascii="宋体" w:hAnsi="宋体" w:cs="宋体"/>
          <w:color w:val="auto"/>
          <w:szCs w:val="21"/>
          <w:highlight w:val="none"/>
        </w:rPr>
        <w:t>符合GB6675.4-2014标准</w:t>
      </w:r>
      <w:r>
        <w:rPr>
          <w:rFonts w:hint="eastAsia" w:ascii="宋体" w:hAnsi="宋体" w:cs="宋体"/>
          <w:color w:val="auto"/>
          <w:szCs w:val="21"/>
          <w:highlight w:val="none"/>
          <w:lang w:eastAsia="zh-CN"/>
        </w:rPr>
        <w:t>。</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4、有机玻璃(亚克力板)需符合GB/T 7134-2008标准。</w:t>
      </w:r>
    </w:p>
    <w:p>
      <w:pPr>
        <w:ind w:firstLine="420" w:firstLineChars="200"/>
        <w:rPr>
          <w:color w:val="auto"/>
          <w:highlight w:val="none"/>
          <w:lang w:val="en-US"/>
        </w:rPr>
      </w:pPr>
      <w:r>
        <w:rPr>
          <w:rFonts w:hint="eastAsia" w:ascii="宋体" w:hAnsi="宋体" w:cs="宋体"/>
          <w:color w:val="auto"/>
          <w:szCs w:val="21"/>
          <w:highlight w:val="none"/>
          <w:lang w:val="en-US"/>
        </w:rPr>
        <w:t>5、墙面漆需符合GB18582-2008、GB/T 9756-2018标准。</w:t>
      </w:r>
    </w:p>
    <w:p>
      <w:pPr>
        <w:pStyle w:val="6"/>
        <w:numPr>
          <w:ilvl w:val="0"/>
          <w:numId w:val="9"/>
        </w:numPr>
        <w:rPr>
          <w:color w:val="auto"/>
          <w:highlight w:val="none"/>
        </w:rPr>
      </w:pPr>
      <w:r>
        <w:rPr>
          <w:rFonts w:hint="eastAsia"/>
          <w:color w:val="auto"/>
          <w:highlight w:val="none"/>
        </w:rPr>
        <w:t>服务清单</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8"/>
        <w:gridCol w:w="1034"/>
        <w:gridCol w:w="3840"/>
        <w:gridCol w:w="638"/>
        <w:gridCol w:w="1641"/>
        <w:gridCol w:w="6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尺寸MM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墙体标语字1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整体采用1.2MM不锈钢激光雕刻造型，焊接围边厚度，打磨、酸洗后做环氧底漆后面做设计色汽车油漆，吊机或人工下吊安装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5000*13400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墙体标语字2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整体采用1.2MM不锈钢激光雕刻造型，焊接围边厚度，打磨、酸洗后做环氧底漆后面做设计色汽车油漆，吊机或人工下吊安装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950*16500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墙体标语字3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整体采用1.2MM不锈钢激光雕刻造型，焊接围边厚度，打磨、酸洗后做环氧底漆后面做设计色汽车油漆。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1000*9000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大厅圆柱铭牌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底板采用1.2不锈钢折边做厚度，文字及图案UV平板喷涂。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300*1100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总平面图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底材户外黑底背胶，面贴5厘亚克力雕刻建筑外形，做设计色汽车油漆。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长廊宣传栏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绿植墙底板整体采用镀锌方通焊框架做立体厚度，面封底板，挂钢丝网封安装仿真绿植，侧边红色部分采用1.2304#不锈钢冲压成波浪板采用304#不锈钢折弯烤漆，打磨、酸洗后整体做设计色汽车油漆，文字采用15厘高硬度结皮PVC雕刻做设计色汽车油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3160*5160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楼梯处宣传栏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整体采用1.2不锈钢激光雕刻外形封面，刨槽折弯做立体厚度造型，打磨、酸洗后整做汽车油漆。文字为15厘高硬度结皮PVC字，中间采用10厘PVC打底贴户外背胶，面装亚克力透明盒子。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1450*2650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门卫室宣传栏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整体采用1.2不锈钢激光雕刻外形封面，刨槽折弯做立体厚度造型，打磨、酸洗后整做汽车油漆。文字为15厘高硬度结皮PVC字，中间采用10厘PVC打底贴户外背胶。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1450*5700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宣传栏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底板采用1.2不锈钢冲压成波浪打底，内容框采用1.2不锈钢板激光雕刻外形封面，刨槽折弯做立体厚度造型，打磨、酸洗后整做汽车油漆。文字为15厘高硬度结皮PVC雕刻，中间采用10厘PVC打底贴户外背胶，面装亚克力透明盒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3150*7080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通道宣传栏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外框采用1.2不锈钢激光雕刻外形封面，刨槽折弯做立体厚度造型，打磨、酸洗后整做汽车油漆。文字为15厘高硬度结皮PVC雕刻，中间采用10厘PVC打底贴户外背胶，面装亚克力透明盒子。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1770*5320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1.2不锈钢激光雕刻外形封面，刨槽折弯做立体厚度造型，打磨、酸洗后整做汽车油漆，PVC板打底贴户外背胶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2000*400~500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梯间文化1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整体采用10厘+15高硬度结皮PVC板雕刻形状，边缘去除毛刺后做设计色汽车油漆，图文采用UV平板喷涂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5100*1540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梯间文化2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整体采用10厘+15高硬度结皮PVC板雕刻形状，边缘去除毛刺后做设计色汽车油漆，图文采用UV平板喷涂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11000*2600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梯间文化3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整体采用10厘+15高硬度结皮PVC板雕刻形状，边缘去除毛刺后做设计色汽车油漆，图文采用UV平板喷涂，登子采用1.2不锈钢激光雕刻外形封面，刨槽折弯做立体厚度造型，整做汽车油漆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2600*5400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梯间文化4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外框采用1.2不锈钢激光雕刻外形封面，刨槽折弯做立体厚度造型，打磨、酸洗后整做汽车油漆，文化部分采用10厘+15高硬度结皮PVC板雕刻形状，边缘去除毛刺后做设计色汽车油漆，图文采用UV平板喷涂，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3600*6500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侧墙宣传栏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框采用1.2不锈钢激光雕刻外形封面，刨槽折弯做立体厚度造型，打磨、酸洗后整做汽车油漆，文化部分采用10厘+15高硬度结皮PVC板雕刻形状，边缘去除毛刺后做设计色汽车油漆，图文采用户外背胶,底部地脚采用钢结构焊接底座框架，外封黑金不锈钢或黑金沙大理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4370*11400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一楼大厅       （正面）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整体采用亲钢龙骨做骨架，厚度凸出40-50公分，面封9厘夹板，面贴设计色碳晶板，电箱及消防箱位置整体做隐形门设计，表面文化采用采用10厘+15高硬度结皮PVC板雕刻形状，边缘去除毛刺后做设计色汽车油漆。</w:t>
            </w:r>
          </w:p>
          <w:p>
            <w:pPr>
              <w:textAlignment w:val="center"/>
              <w:rPr>
                <w:rFonts w:hint="eastAsia" w:ascii="宋体" w:hAnsi="宋体" w:cs="宋体"/>
                <w:color w:val="auto"/>
                <w:szCs w:val="21"/>
                <w:highlight w:val="none"/>
                <w:lang w:bidi="ar"/>
              </w:rPr>
            </w:pPr>
            <w:r>
              <w:rPr>
                <w:rFonts w:ascii="Arial" w:hAnsi="Arial" w:cs="Arial"/>
                <w:color w:val="auto"/>
                <w:highlight w:val="none"/>
              </w:rPr>
              <w:t>▲</w:t>
            </w:r>
            <w:r>
              <w:rPr>
                <w:rFonts w:hint="eastAsia" w:ascii="宋体" w:hAnsi="宋体" w:cs="宋体"/>
                <w:color w:val="auto"/>
                <w:szCs w:val="21"/>
                <w:highlight w:val="none"/>
                <w:lang w:bidi="ar"/>
              </w:rPr>
              <w:t>1、油漆需提供符合RoHs2,0限用物质含量的测试.有害物质含量符合国家标准规范。（</w:t>
            </w:r>
            <w:r>
              <w:rPr>
                <w:rFonts w:hint="eastAsia" w:ascii="宋体" w:hAnsi="宋体" w:cs="宋体"/>
                <w:color w:val="auto"/>
                <w:szCs w:val="21"/>
                <w:highlight w:val="none"/>
                <w:lang w:val="en-US" w:eastAsia="zh-CN" w:bidi="ar"/>
              </w:rPr>
              <w:t>须</w:t>
            </w:r>
            <w:r>
              <w:rPr>
                <w:rFonts w:hint="eastAsia" w:ascii="宋体" w:hAnsi="宋体" w:cs="宋体"/>
                <w:color w:val="auto"/>
                <w:szCs w:val="21"/>
                <w:highlight w:val="none"/>
                <w:lang w:bidi="ar"/>
              </w:rPr>
              <w:t>提供第三方检测机构出具的检验报告复印件并加盖投标人公章）</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ascii="Arial" w:hAnsi="Arial" w:cs="Arial"/>
                <w:color w:val="auto"/>
                <w:highlight w:val="none"/>
              </w:rPr>
              <w:t>▲</w:t>
            </w:r>
            <w:r>
              <w:rPr>
                <w:rFonts w:hint="eastAsia" w:ascii="宋体" w:hAnsi="宋体" w:cs="宋体"/>
                <w:color w:val="auto"/>
                <w:szCs w:val="21"/>
                <w:highlight w:val="none"/>
                <w:lang w:bidi="ar"/>
              </w:rPr>
              <w:t>2</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提供符合GB6675.4-2014标准的PVC板材检验报告。（</w:t>
            </w:r>
            <w:r>
              <w:rPr>
                <w:rFonts w:hint="eastAsia" w:ascii="宋体" w:hAnsi="宋体" w:cs="宋体"/>
                <w:color w:val="auto"/>
                <w:szCs w:val="21"/>
                <w:highlight w:val="none"/>
                <w:lang w:val="en-US" w:eastAsia="zh-CN" w:bidi="ar"/>
              </w:rPr>
              <w:t>须</w:t>
            </w:r>
            <w:r>
              <w:rPr>
                <w:rFonts w:hint="eastAsia" w:ascii="宋体" w:hAnsi="宋体" w:cs="宋体"/>
                <w:color w:val="auto"/>
                <w:szCs w:val="21"/>
                <w:highlight w:val="none"/>
                <w:lang w:bidi="ar"/>
              </w:rPr>
              <w:t>提供第三方检测机构出具的检验报告复印件并加盖投标人公章）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9300*3750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18</w:t>
            </w:r>
          </w:p>
        </w:tc>
        <w:tc>
          <w:tcPr>
            <w:tcW w:w="0" w:type="auto"/>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一楼大厅       （左右推拉门）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定制推拉门含门套轨道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2100*1800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一楼大厅         （左右两侧墙面+踢脚线）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1.2不锈钢激光雕刻外形封面，刨槽折弯做立体厚度造型，打磨、酸洗后整做设计色汽车油漆，文化部分采用10厘+15高硬度结皮PVC板雕刻形状，边缘去除毛刺后做设计色汽车油漆，图文采用户外背胶，踢脚线为黑金不锈钢折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3230*2720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梯间文化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整体采用10厘+15高硬度结皮PVC板雕刻形状，边缘去除毛刺后做设计色汽车油漆，图文采用UV平板喷涂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11500*2600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洗手池宣传栏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外框采用1.2不锈钢激光雕刻外形封面，刨槽折弯做立体厚度造型，打磨、酸洗后整做汽车油漆，文化部分采用10厘+15高硬度结皮PVC板雕刻形状，边缘去除毛刺后做设计色汽车油漆，图文采用户外背胶.亚克力盒子。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1200*2200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洗手池文化墙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文化部分采用10厘+15高硬度结皮PVC板雕刻形状，边缘去除毛刺后做设计色汽车油漆，图文采用户外背胶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6000*1420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底面处理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面层采用固化剂均匀涂刷原墙面两遍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25000*3000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墙体彩绘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丙烯酸涂料人工彩绘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25000*1500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班级文化1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外框采用1.2厘304#不锈钢激光雕刻外形，焊接封面，刨槽折弯做立体厚度造型，整体做汽车油漆，字体采用15厘高硬度结皮PVC雕刻，图文UV，做设计色汽车油漆。磁吸。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2000*5500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班级文化2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外框采用1.2厘304#不锈钢激光雕刻外形，焊接封面，刨槽折弯做立体厚度造型，整体做汽车油漆，字体采用15厘高硬度结皮PVC雕刻，图文UV，做设计色汽车油漆。磁吸。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2000*5500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班级文化3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外框采用1.2厘304#不锈钢激光雕刻外形，焊接封面，刨槽折弯做立体厚度造型，整体做汽车油漆，字体采用15厘高硬度结皮PVC雕刻，图文UV，做设计色汽车油漆。磁吸。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1060*2070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运动场宣传栏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外框采用1.2不锈钢激光雕刻外形封面，刨槽折弯做立体厚度造型，打磨、酸洗后整做汽车油漆，文化部分采用10厘+15高硬度结皮PVC板雕刻形状，边缘去除毛刺后做设计色汽车油漆，图文采用户外背胶。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1500*2750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办公室墙体文化1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采用15+10厘高硬度结皮PVC雕刻做设计色汽车油漆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800*3300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办公室墙体文化2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采用15+10厘高硬度结皮PVC雕刻做设计色汽车油漆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800*3300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办公室墙体文化3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外框采用1.2镀锌板雕刻外形，焊接，打磨做环氧底漆，刨槽折弯做立体厚度造型，整做汽车油漆，文化部分采用10厘+15高硬度结皮PVC板雕刻形状，边缘去除毛刺后做设计色汽车油漆，图文采用户外背胶。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1200*4250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办公室墙体文化4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采用15+10厘高硬度结皮PVC雕刻做设计色汽车油漆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800*3300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办公室墙体文化5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采用15+10厘高硬度结皮PVC雕刻做设计色汽车油漆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800*3300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办公室墙体文化6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采用15+10厘高硬度结皮PVC雕刻做设计色汽车油漆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800*3300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照片墙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采用15+10厘高硬度结皮PVC雕刻做设计色汽车油漆,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4800*1500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办公室公告栏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外框采用1.2镀锌板雕刻外形，焊接，打磨做环氧底漆，面做设计色汽车油漆,底板采用10厘高硬度结皮板打底，面贴亚克力盒子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1050*1800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37</w:t>
            </w:r>
          </w:p>
        </w:tc>
        <w:tc>
          <w:tcPr>
            <w:tcW w:w="0" w:type="auto"/>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三楼大厅         （主题造型墙）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格栅+18生态板+墙面造型子及底部造型+仿真草绿植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color w:val="auto"/>
                <w:szCs w:val="21"/>
                <w:highlight w:val="none"/>
                <w:lang w:bidi="ar"/>
              </w:rPr>
              <w:t>8500*2750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38</w:t>
            </w:r>
          </w:p>
        </w:tc>
        <w:tc>
          <w:tcPr>
            <w:tcW w:w="0" w:type="auto"/>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三楼大厅         （隔墙造型）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整体采用亲钢龙骨做骨架，厚度凸出30-40公分，面封9厘夹板，贴设计色碳晶板，电箱及消防箱位置整体做隐形门设计，表面文化采用采用10厘+15高硬度结皮PVC板雕刻形状，边缘去除毛刺后做设计色汽车油漆。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color w:val="auto"/>
                <w:szCs w:val="21"/>
                <w:highlight w:val="none"/>
                <w:lang w:bidi="ar"/>
              </w:rPr>
              <w:t>9300*2750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尺寸MM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围墙文化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外框采用1.2不锈钢激光雕刻外形封面，刨槽折弯做立体厚度造型，打磨、酸洗后整做汽车油漆，文化底板部分采用10厘+15高硬度结皮PVC板雕刻形状，图文采用户外背胶，墙面做涂料。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2300*10700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立体标语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采用1.2不锈钢激光雕刻外形封面，刨槽折弯做立体厚度造型，打磨、酸洗后整做汽车油漆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700*700*9个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蜗牛雕塑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高分子材料翻模制造（采用泥模精雕，翻制硅胶模，再采用高分子复合材料塑形制作，表面做设计色分色汽车漆）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1200*1200*1     1100*1100*1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墙体标语字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整体采用1.2MM不锈钢激光雕刻造型，焊接围边厚度，打磨、酸洗后做环氧底漆后面做设计色汽车油漆，吊机或人工下吊安装。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16000*7070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不锈钢宣传栏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1.2不锈钢板激光雕刻外形封面，刨槽折弯做立体厚度造型，牌面活动门，安装5厘透明板。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1100*2200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墙体标语字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整体采用1.2MM不锈钢激光雕刻造型，焊接围边厚度，打磨、酸洗后做环氧底漆后面做设计色汽车油漆，吊机或人工下吊安装。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3000*14700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墙体宣传栏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外框采用1.2不锈钢激光雕刻外形封面，刨槽折弯做立体厚度造型，打磨、酸洗后整做汽车油漆，底板采用10厘高硬度结皮板，面贴户外背胶。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1430*2580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墙体造型文化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框架及造型采用1.2不锈钢激光雕刻外形封面，刨槽折弯做立体厚度造型，打磨、酸洗后整做汽车油漆，文化内容部分采用10厘+15高硬度结皮PVC板雕刻形状，边缘去除毛刺后做设计色汽车油漆，图文采用户外背胶，底部地脚采用钢结构焊接底座框架，外封黑金不锈钢或黑金大理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2700*7300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墙体宣传栏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外框采用1.2不锈钢激光雕刻外形封面，刨槽折弯做立体厚度造型，打磨、酸洗后整做汽车油漆，底板采用10厘高硬度结皮板，面贴户外背胶。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1430*2580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整体框架采用4*4方通焊接内部骨架，外封免漆板，花格及采用高硬度PVC雕刻贴于表面，做设计色汽车油漆。内容画面UV平板喷涂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2800*700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r>
    </w:tbl>
    <w:p>
      <w:pPr>
        <w:numPr>
          <w:ilvl w:val="0"/>
          <w:numId w:val="0"/>
        </w:numPr>
        <w:rPr>
          <w:rFonts w:hint="eastAsia"/>
          <w:color w:val="auto"/>
          <w:highlight w:val="none"/>
        </w:rPr>
      </w:pPr>
    </w:p>
    <w:p>
      <w:pPr>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pPr>
        <w:pStyle w:val="2"/>
        <w:ind w:left="0" w:leftChars="0" w:firstLine="0" w:firstLineChars="0"/>
        <w:rPr>
          <w:color w:val="auto"/>
          <w:highlight w:val="none"/>
        </w:rPr>
        <w:sectPr>
          <w:pgSz w:w="11906" w:h="16838"/>
          <w:pgMar w:top="1440" w:right="1800" w:bottom="1440" w:left="1800" w:header="851" w:footer="992" w:gutter="0"/>
          <w:pgNumType w:fmt="decimal"/>
          <w:cols w:space="720" w:num="1"/>
          <w:docGrid w:type="lines" w:linePitch="312" w:charSpace="0"/>
        </w:sectPr>
      </w:pPr>
    </w:p>
    <w:bookmarkEnd w:id="182"/>
    <w:bookmarkEnd w:id="183"/>
    <w:bookmarkEnd w:id="184"/>
    <w:bookmarkEnd w:id="185"/>
    <w:p>
      <w:pPr>
        <w:pStyle w:val="4"/>
        <w:spacing w:before="0" w:after="0" w:line="240" w:lineRule="auto"/>
        <w:rPr>
          <w:color w:val="auto"/>
          <w:sz w:val="28"/>
          <w:szCs w:val="28"/>
          <w:highlight w:val="none"/>
        </w:rPr>
      </w:pPr>
      <w:bookmarkStart w:id="186" w:name="_Toc12485"/>
      <w:bookmarkStart w:id="187" w:name="_Toc12014"/>
      <w:bookmarkStart w:id="188" w:name="_Toc21448"/>
      <w:r>
        <w:rPr>
          <w:rFonts w:hint="eastAsia"/>
          <w:color w:val="auto"/>
          <w:sz w:val="28"/>
          <w:szCs w:val="28"/>
          <w:highlight w:val="none"/>
        </w:rPr>
        <w:t>第六部分 合同格式（仅供参考）</w:t>
      </w:r>
      <w:bookmarkEnd w:id="186"/>
      <w:bookmarkEnd w:id="187"/>
      <w:bookmarkEnd w:id="188"/>
      <w:bookmarkStart w:id="189" w:name="_Toc1534"/>
      <w:bookmarkStart w:id="190" w:name="_Toc13430"/>
      <w:bookmarkStart w:id="191" w:name="_Toc21155"/>
    </w:p>
    <w:p>
      <w:pPr>
        <w:pStyle w:val="5"/>
        <w:spacing w:line="240" w:lineRule="auto"/>
        <w:jc w:val="center"/>
        <w:rPr>
          <w:rFonts w:ascii="宋体" w:hAnsi="宋体" w:cs="宋体"/>
          <w:color w:val="auto"/>
          <w:highlight w:val="none"/>
        </w:rPr>
      </w:pPr>
      <w:bookmarkStart w:id="192" w:name="_Toc19575"/>
      <w:bookmarkStart w:id="193" w:name="_Toc16730"/>
      <w:bookmarkStart w:id="194" w:name="_Toc888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2"/>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2"/>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2"/>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2"/>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2"/>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2"/>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2"/>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2"/>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pStyle w:val="2"/>
        <w:rPr>
          <w:rFonts w:cstheme="minorBidi"/>
          <w:color w:val="auto"/>
          <w:sz w:val="21"/>
          <w:szCs w:val="21"/>
          <w:highlight w:val="none"/>
          <w:lang w:val="en-US" w:bidi="ar-SA"/>
        </w:rPr>
      </w:pPr>
      <w:r>
        <w:rPr>
          <w:rFonts w:hint="eastAsia" w:cstheme="minorBidi"/>
          <w:color w:val="auto"/>
          <w:sz w:val="21"/>
          <w:szCs w:val="21"/>
          <w:highlight w:val="none"/>
          <w:lang w:val="en-US" w:bidi="ar-SA"/>
        </w:rPr>
        <w:t>以下无正文</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hint="eastAsia" w:ascii="宋体" w:hAnsi="宋体" w:eastAsia="宋体"/>
          <w:b/>
          <w:color w:val="auto"/>
          <w:szCs w:val="21"/>
          <w:highlight w:val="none"/>
          <w:lang w:eastAsia="zh-CN"/>
        </w:rPr>
      </w:pPr>
      <w:r>
        <w:rPr>
          <w:rFonts w:hint="eastAsia" w:ascii="宋体" w:hAnsi="宋体"/>
          <w:b/>
          <w:color w:val="auto"/>
          <w:szCs w:val="21"/>
          <w:highlight w:val="none"/>
        </w:rPr>
        <w:t>此仅为合同书样本，中标人需根据实际情况和甲方签订相应的合同</w:t>
      </w:r>
      <w:r>
        <w:rPr>
          <w:rFonts w:hint="eastAsia" w:ascii="宋体" w:hAnsi="宋体"/>
          <w:b/>
          <w:color w:val="auto"/>
          <w:szCs w:val="21"/>
          <w:highlight w:val="none"/>
          <w:lang w:eastAsia="zh-CN"/>
        </w:rPr>
        <w:t>。</w:t>
      </w:r>
    </w:p>
    <w:p>
      <w:pPr>
        <w:rPr>
          <w:rFonts w:ascii="宋体" w:hAnsi="宋体"/>
          <w:b/>
          <w:color w:val="auto"/>
          <w:szCs w:val="21"/>
          <w:highlight w:val="none"/>
        </w:rPr>
      </w:pPr>
      <w:r>
        <w:rPr>
          <w:rFonts w:hint="eastAsia" w:ascii="宋体" w:hAnsi="宋体"/>
          <w:b/>
          <w:color w:val="auto"/>
          <w:szCs w:val="21"/>
          <w:highlight w:val="none"/>
        </w:rPr>
        <w:br w:type="page"/>
      </w:r>
    </w:p>
    <w:p>
      <w:pPr>
        <w:pStyle w:val="4"/>
        <w:spacing w:before="0" w:after="0" w:line="240" w:lineRule="auto"/>
        <w:rPr>
          <w:color w:val="auto"/>
          <w:sz w:val="28"/>
          <w:szCs w:val="28"/>
          <w:highlight w:val="none"/>
        </w:rPr>
      </w:pPr>
      <w:bookmarkStart w:id="198" w:name="_Toc23749"/>
      <w:bookmarkStart w:id="199" w:name="_Toc1478"/>
      <w:bookmarkStart w:id="200" w:name="_Toc31587"/>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5"/>
        <w:rPr>
          <w:color w:val="auto"/>
          <w:highlight w:val="none"/>
        </w:rPr>
      </w:pPr>
      <w:bookmarkStart w:id="201" w:name="_Toc5794"/>
      <w:bookmarkStart w:id="202" w:name="_Toc26830"/>
      <w:bookmarkStart w:id="203" w:name="_Toc679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rPr>
          <w:color w:val="auto"/>
          <w:highlight w:val="none"/>
        </w:rPr>
      </w:pPr>
      <w:bookmarkStart w:id="204" w:name="_Toc25502"/>
      <w:bookmarkStart w:id="205" w:name="_Toc18893"/>
      <w:bookmarkStart w:id="206" w:name="_Toc5670"/>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31"/>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7"/>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pPr>
        <w:pStyle w:val="5"/>
        <w:jc w:val="center"/>
        <w:rPr>
          <w:color w:val="auto"/>
          <w:highlight w:val="none"/>
        </w:rPr>
      </w:pPr>
      <w:bookmarkStart w:id="210" w:name="_Toc19750"/>
      <w:bookmarkStart w:id="211" w:name="_Toc4168"/>
      <w:r>
        <w:rPr>
          <w:rFonts w:hint="eastAsia"/>
          <w:color w:val="auto"/>
          <w:highlight w:val="none"/>
        </w:rPr>
        <w:t>一、唱标一览表</w:t>
      </w:r>
      <w:bookmarkEnd w:id="210"/>
      <w:bookmarkEnd w:id="211"/>
    </w:p>
    <w:p>
      <w:pPr>
        <w:rPr>
          <w:color w:val="auto"/>
          <w:highlight w:val="none"/>
        </w:rPr>
      </w:pPr>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spacing w:after="0" w:line="360" w:lineRule="auto"/>
        <w:ind w:left="357" w:leftChars="170" w:firstLine="359" w:firstLineChars="171"/>
        <w:rPr>
          <w:rFonts w:ascii="宋体" w:hAnsi="宋体" w:eastAsia="宋体"/>
          <w:color w:val="auto"/>
          <w:sz w:val="21"/>
          <w:szCs w:val="21"/>
          <w:highlight w:val="none"/>
        </w:rPr>
      </w:pPr>
    </w:p>
    <w:p>
      <w:pPr>
        <w:ind w:left="357" w:leftChars="170" w:firstLine="359" w:firstLineChars="171"/>
        <w:rPr>
          <w:rFonts w:ascii="宋体" w:hAnsi="宋体"/>
          <w:color w:val="auto"/>
          <w:szCs w:val="21"/>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5"/>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pPr>
        <w:pStyle w:val="31"/>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1"/>
        <w:rPr>
          <w:rFonts w:ascii="黑体" w:eastAsia="黑体"/>
          <w:color w:val="auto"/>
          <w:sz w:val="32"/>
          <w:szCs w:val="32"/>
          <w:highlight w:val="none"/>
        </w:rPr>
      </w:pPr>
    </w:p>
    <w:p>
      <w:pPr>
        <w:pStyle w:val="31"/>
        <w:rPr>
          <w:rFonts w:ascii="黑体" w:eastAsia="黑体"/>
          <w:color w:val="auto"/>
          <w:sz w:val="32"/>
          <w:szCs w:val="32"/>
          <w:highlight w:val="none"/>
        </w:rPr>
      </w:pPr>
    </w:p>
    <w:p>
      <w:pPr>
        <w:pStyle w:val="5"/>
        <w:jc w:val="center"/>
        <w:rPr>
          <w:color w:val="auto"/>
          <w:highlight w:val="none"/>
        </w:rPr>
      </w:pPr>
      <w:bookmarkStart w:id="214" w:name="_Toc23355"/>
      <w:bookmarkStart w:id="215" w:name="_Toc20974"/>
      <w:r>
        <w:rPr>
          <w:rFonts w:hint="eastAsia"/>
          <w:color w:val="auto"/>
          <w:highlight w:val="none"/>
        </w:rPr>
        <w:t>三、小型或微型企业（货物/服务/承担的工程）明细表</w:t>
      </w:r>
      <w:bookmarkEnd w:id="214"/>
      <w:bookmarkEnd w:id="215"/>
    </w:p>
    <w:tbl>
      <w:tblPr>
        <w:tblStyle w:val="24"/>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4"/>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ind w:firstLine="422" w:firstLineChars="200"/>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4"/>
          <w:rFonts w:hint="eastAsia" w:ascii="宋体" w:hAnsi="宋体" w:eastAsia="宋体" w:cs="宋体"/>
          <w:b/>
          <w:color w:val="auto"/>
          <w:sz w:val="21"/>
          <w:szCs w:val="21"/>
          <w:highlight w:val="none"/>
        </w:rPr>
        <w:t>；</w:t>
      </w:r>
    </w:p>
    <w:p>
      <w:pPr>
        <w:pStyle w:val="34"/>
        <w:ind w:firstLine="422"/>
        <w:rPr>
          <w:rFonts w:ascii="黑体" w:eastAsia="黑体"/>
          <w:color w:val="auto"/>
          <w:sz w:val="32"/>
          <w:szCs w:val="32"/>
          <w:highlight w:val="none"/>
        </w:rPr>
      </w:pPr>
      <w:r>
        <w:rPr>
          <w:rStyle w:val="44"/>
          <w:rFonts w:hint="eastAsia" w:ascii="宋体" w:hAnsi="宋体" w:eastAsia="宋体" w:cs="宋体"/>
          <w:b/>
          <w:color w:val="auto"/>
          <w:sz w:val="21"/>
          <w:szCs w:val="21"/>
          <w:highlight w:val="none"/>
        </w:rPr>
        <w:t>2、投标人应该如实填写，如投标人所投产品中无小型或微型企业产品的，请留空或删除此表</w:t>
      </w:r>
      <w:r>
        <w:rPr>
          <w:rStyle w:val="44"/>
          <w:rFonts w:hint="eastAsia" w:ascii="宋体" w:hAnsi="宋体" w:cs="宋体"/>
          <w:b/>
          <w:color w:val="auto"/>
          <w:sz w:val="21"/>
          <w:szCs w:val="21"/>
          <w:highlight w:val="none"/>
          <w:lang w:eastAsia="zh-CN"/>
        </w:rPr>
        <w:t>。</w:t>
      </w:r>
      <w:r>
        <w:rPr>
          <w:rFonts w:hint="eastAsia" w:ascii="宋体" w:hAnsi="宋体"/>
          <w:color w:val="auto"/>
          <w:szCs w:val="21"/>
          <w:highlight w:val="none"/>
        </w:rPr>
        <w:br w:type="page"/>
      </w:r>
    </w:p>
    <w:p>
      <w:pPr>
        <w:pStyle w:val="5"/>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1"/>
        <w:rPr>
          <w:color w:val="auto"/>
          <w:highlight w:val="none"/>
        </w:rPr>
      </w:pPr>
    </w:p>
    <w:p>
      <w:pPr>
        <w:tabs>
          <w:tab w:val="left" w:pos="284"/>
        </w:tabs>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tabs>
          <w:tab w:val="left" w:pos="284"/>
        </w:tabs>
        <w:ind w:firstLine="422" w:firstLineChars="200"/>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hint="eastAsia" w:ascii="微软雅黑" w:hAnsi="微软雅黑" w:eastAsia="宋体" w:cs="微软雅黑"/>
          <w:b/>
          <w:color w:val="auto"/>
          <w:sz w:val="28"/>
          <w:szCs w:val="28"/>
          <w:highlight w:val="none"/>
          <w:lang w:eastAsia="zh-CN"/>
        </w:rPr>
      </w:pPr>
      <w:r>
        <w:rPr>
          <w:rStyle w:val="44"/>
          <w:rFonts w:hint="eastAsia" w:ascii="宋体" w:hAnsi="宋体" w:eastAsia="宋体" w:cs="宋体"/>
          <w:b/>
          <w:color w:val="auto"/>
          <w:sz w:val="21"/>
          <w:szCs w:val="21"/>
          <w:highlight w:val="none"/>
        </w:rPr>
        <w:t>2、投标人应该如实填写，如投标人所投产品中无节能或环保产品的，请留空或删除此表</w:t>
      </w:r>
      <w:r>
        <w:rPr>
          <w:rStyle w:val="44"/>
          <w:rFonts w:hint="eastAsia" w:ascii="宋体" w:hAnsi="宋体" w:cs="宋体"/>
          <w:b/>
          <w:color w:val="auto"/>
          <w:sz w:val="21"/>
          <w:szCs w:val="21"/>
          <w:highlight w:val="none"/>
          <w:lang w:eastAsia="zh-CN"/>
        </w:rPr>
        <w:t>。</w:t>
      </w:r>
    </w:p>
    <w:p>
      <w:pPr>
        <w:pStyle w:val="5"/>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highlight w:val="none"/>
          <w:lang w:val="en-US"/>
        </w:rPr>
      </w:pP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highlight w:val="none"/>
          <w:lang w:val="en-US"/>
        </w:rPr>
      </w:pP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20" w:name="_Toc8560"/>
      <w:bookmarkStart w:id="221" w:name="_Toc7959"/>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单位名称（盖章）：</w:t>
      </w:r>
      <w:bookmarkStart w:id="222" w:name="_Toc20910"/>
      <w:bookmarkStart w:id="223" w:name="_Toc30247"/>
      <w:bookmarkStart w:id="224" w:name="_Toc509479530"/>
      <w:bookmarkStart w:id="225" w:name="_Toc508898066"/>
      <w:bookmarkStart w:id="226" w:name="_Toc508960153"/>
      <w:bookmarkStart w:id="227" w:name="_Toc508958703"/>
      <w:bookmarkStart w:id="228" w:name="_Toc509927455"/>
      <w:bookmarkStart w:id="229" w:name="_Toc510171693"/>
      <w:bookmarkStart w:id="230" w:name="_Toc509844825"/>
      <w:bookmarkStart w:id="231" w:name="_Toc17761"/>
      <w:bookmarkStart w:id="232" w:name="_Toc22970"/>
      <w:bookmarkStart w:id="233" w:name="_Toc30277"/>
    </w:p>
    <w:p>
      <w:pPr>
        <w:jc w:val="center"/>
        <w:rPr>
          <w:rFonts w:ascii="宋体" w:hAnsi="宋体"/>
          <w:color w:val="auto"/>
          <w:szCs w:val="21"/>
          <w:highlight w:val="none"/>
        </w:rPr>
      </w:pPr>
      <w:r>
        <w:rPr>
          <w:rFonts w:hint="eastAsia" w:ascii="宋体" w:hAnsi="宋体"/>
          <w:color w:val="auto"/>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2"/>
        <w:rPr>
          <w:color w:val="auto"/>
          <w:highlight w:val="none"/>
        </w:rPr>
      </w:pPr>
    </w:p>
    <w:p>
      <w:pPr>
        <w:ind w:firstLine="420" w:firstLineChars="200"/>
        <w:rPr>
          <w:rFonts w:ascii="宋体" w:hAnsi="宋体"/>
          <w:color w:val="auto"/>
          <w:szCs w:val="21"/>
          <w:highlight w:val="none"/>
        </w:rPr>
      </w:pPr>
      <w:bookmarkStart w:id="234" w:name="_Toc510171694"/>
      <w:bookmarkStart w:id="235" w:name="_Toc508960154"/>
      <w:bookmarkStart w:id="236" w:name="_Toc509844826"/>
      <w:bookmarkStart w:id="237" w:name="_Toc21053"/>
      <w:bookmarkStart w:id="238" w:name="_Toc508958704"/>
      <w:bookmarkStart w:id="239" w:name="_Toc508898067"/>
      <w:bookmarkStart w:id="240" w:name="_Toc26216"/>
      <w:bookmarkStart w:id="241" w:name="_Toc509927456"/>
      <w:bookmarkStart w:id="242" w:name="_Toc31520"/>
      <w:bookmarkStart w:id="243" w:name="_Toc28527"/>
      <w:bookmarkStart w:id="244" w:name="_Toc5447"/>
      <w:bookmarkStart w:id="245" w:name="_Toc509479531"/>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508958705"/>
      <w:bookmarkStart w:id="247" w:name="_Toc9148"/>
      <w:bookmarkStart w:id="248" w:name="_Toc28626"/>
      <w:bookmarkStart w:id="249" w:name="_Toc510171695"/>
      <w:bookmarkStart w:id="250" w:name="_Toc14653"/>
      <w:bookmarkStart w:id="251" w:name="_Toc28126"/>
      <w:bookmarkStart w:id="252" w:name="_Toc509479532"/>
      <w:bookmarkStart w:id="253" w:name="_Toc509927457"/>
      <w:bookmarkStart w:id="254" w:name="_Toc508960155"/>
      <w:bookmarkStart w:id="255" w:name="_Toc24848"/>
      <w:bookmarkStart w:id="256" w:name="_Toc509844827"/>
      <w:bookmarkStart w:id="257" w:name="_Toc508898068"/>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510171696"/>
      <w:bookmarkStart w:id="259" w:name="_Toc509479533"/>
      <w:bookmarkStart w:id="260" w:name="_Toc509927458"/>
      <w:bookmarkStart w:id="261" w:name="_Toc28686"/>
      <w:bookmarkStart w:id="262" w:name="_Toc508958706"/>
      <w:bookmarkStart w:id="263" w:name="_Toc509844828"/>
      <w:bookmarkStart w:id="264" w:name="_Toc9837"/>
      <w:bookmarkStart w:id="265" w:name="_Toc7858"/>
      <w:bookmarkStart w:id="266" w:name="_Toc22981"/>
      <w:bookmarkStart w:id="267" w:name="_Toc28044"/>
      <w:bookmarkStart w:id="268" w:name="_Toc508960156"/>
      <w:bookmarkStart w:id="269" w:name="_Toc508898069"/>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09479534"/>
      <w:bookmarkStart w:id="271" w:name="_Toc5289"/>
      <w:bookmarkStart w:id="272" w:name="_Toc18843"/>
      <w:bookmarkStart w:id="273" w:name="_Toc510171697"/>
      <w:bookmarkStart w:id="274" w:name="_Toc508958707"/>
      <w:bookmarkStart w:id="275" w:name="_Toc509927459"/>
      <w:bookmarkStart w:id="276" w:name="_Toc509844829"/>
      <w:bookmarkStart w:id="277" w:name="_Toc508960157"/>
      <w:bookmarkStart w:id="278" w:name="_Toc508898070"/>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5"/>
        <w:jc w:val="center"/>
        <w:rPr>
          <w:color w:val="auto"/>
          <w:highlight w:val="none"/>
        </w:rPr>
      </w:pPr>
      <w:bookmarkStart w:id="279" w:name="_Toc23948"/>
      <w:bookmarkStart w:id="280" w:name="_Toc6471"/>
      <w:r>
        <w:rPr>
          <w:rFonts w:hint="eastAsia"/>
          <w:color w:val="auto"/>
          <w:highlight w:val="none"/>
        </w:rPr>
        <w:t>第二章商务文件</w:t>
      </w:r>
      <w:bookmarkEnd w:id="279"/>
      <w:bookmarkEnd w:id="280"/>
    </w:p>
    <w:bookmarkEnd w:id="209"/>
    <w:p>
      <w:pPr>
        <w:pStyle w:val="5"/>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5"/>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7"/>
        <w:spacing w:line="500" w:lineRule="atLeast"/>
        <w:ind w:firstLine="3517" w:firstLineChars="1675"/>
        <w:rPr>
          <w:rFonts w:ascii="宋体" w:eastAsia="宋体"/>
          <w:color w:val="auto"/>
          <w:sz w:val="21"/>
          <w:szCs w:val="21"/>
          <w:highlight w:val="none"/>
        </w:rPr>
      </w:pP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highlight w:val="none"/>
        </w:rPr>
      </w:pPr>
    </w:p>
    <w:p>
      <w:pPr>
        <w:rPr>
          <w:color w:val="auto"/>
          <w:highlight w:val="none"/>
        </w:rPr>
      </w:pPr>
      <w:bookmarkStart w:id="285" w:name="_Toc16412"/>
    </w:p>
    <w:p>
      <w:pPr>
        <w:pStyle w:val="5"/>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Cs w:val="21"/>
          <w:highlight w:val="none"/>
          <w:lang w:eastAsia="zh-CN"/>
        </w:rPr>
        <w:t>税收违法黑名单</w:t>
      </w:r>
      <w:r>
        <w:rPr>
          <w:rFonts w:hint="eastAsia" w:ascii="宋体" w:hAnsi="宋体" w:cs="宋体"/>
          <w:color w:val="auto"/>
          <w:szCs w:val="21"/>
          <w:highlight w:val="none"/>
        </w:rPr>
        <w:t>、政府采购严重违法失信行为记录名单。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5"/>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7"/>
        <w:spacing w:line="420" w:lineRule="atLeast"/>
        <w:ind w:firstLine="433"/>
        <w:rPr>
          <w:rFonts w:ascii="宋体" w:eastAsia="宋体"/>
          <w:color w:val="auto"/>
          <w:sz w:val="21"/>
          <w:szCs w:val="21"/>
          <w:highlight w:val="none"/>
        </w:rPr>
      </w:pPr>
    </w:p>
    <w:p>
      <w:pPr>
        <w:pStyle w:val="37"/>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7"/>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7"/>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5"/>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2"/>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5"/>
        <w:jc w:val="center"/>
        <w:rPr>
          <w:color w:val="auto"/>
          <w:highlight w:val="none"/>
        </w:rPr>
      </w:pPr>
      <w:bookmarkStart w:id="295" w:name="_Toc17470"/>
      <w:bookmarkStart w:id="296" w:name="_Toc1511"/>
      <w:bookmarkStart w:id="297" w:name="_Toc5919"/>
      <w:bookmarkStart w:id="298" w:name="_Toc24210"/>
      <w:bookmarkStart w:id="299" w:name="_Toc4926"/>
      <w:bookmarkStart w:id="300" w:name="_Toc28067"/>
      <w:bookmarkStart w:id="301" w:name="_Toc29995"/>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5"/>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pStyle w:val="5"/>
        <w:jc w:val="center"/>
        <w:rPr>
          <w:color w:val="auto"/>
          <w:highlight w:val="none"/>
        </w:rPr>
      </w:pPr>
      <w:bookmarkStart w:id="304" w:name="_Toc14263"/>
      <w:bookmarkStart w:id="305" w:name="_Toc23341"/>
      <w:r>
        <w:rPr>
          <w:rFonts w:hint="eastAsia"/>
          <w:color w:val="auto"/>
          <w:highlight w:val="none"/>
        </w:rPr>
        <w:t>九、承诺书</w:t>
      </w:r>
      <w:bookmarkEnd w:id="304"/>
      <w:bookmarkEnd w:id="305"/>
    </w:p>
    <w:p>
      <w:pPr>
        <w:pStyle w:val="3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7"/>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37"/>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5"/>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pPr>
        <w:pStyle w:val="3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0"/>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5"/>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bl>
    <w:p>
      <w:pPr>
        <w:pStyle w:val="34"/>
        <w:rPr>
          <w:rFonts w:ascii="宋体" w:hAnsi="宋体"/>
          <w:color w:val="auto"/>
          <w:szCs w:val="21"/>
          <w:highlight w:val="none"/>
        </w:rPr>
      </w:pPr>
    </w:p>
    <w:p>
      <w:pPr>
        <w:pStyle w:val="34"/>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ind w:left="0"/>
        <w:rPr>
          <w:color w:val="auto"/>
          <w:highlight w:val="none"/>
        </w:rPr>
      </w:pPr>
    </w:p>
    <w:p>
      <w:pPr>
        <w:pStyle w:val="5"/>
        <w:jc w:val="center"/>
        <w:rPr>
          <w:rFonts w:ascii="黑体" w:eastAsia="黑体"/>
          <w:color w:val="auto"/>
          <w:szCs w:val="28"/>
          <w:highlight w:val="none"/>
        </w:rPr>
      </w:pPr>
      <w:bookmarkStart w:id="314" w:name="_Toc14688"/>
      <w:bookmarkStart w:id="315" w:name="_Toc20520"/>
      <w:r>
        <w:rPr>
          <w:rFonts w:hint="eastAsia"/>
          <w:color w:val="auto"/>
          <w:highlight w:val="none"/>
        </w:rPr>
        <w:t>第三章技术文件</w:t>
      </w:r>
      <w:bookmarkEnd w:id="311"/>
      <w:bookmarkEnd w:id="314"/>
      <w:bookmarkEnd w:id="315"/>
    </w:p>
    <w:p>
      <w:pPr>
        <w:pStyle w:val="5"/>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1274"/>
      <w:bookmarkStart w:id="320" w:name="_Toc26078"/>
      <w:bookmarkStart w:id="321" w:name="_Toc6080"/>
      <w:bookmarkStart w:id="322" w:name="_Toc4464"/>
      <w:bookmarkStart w:id="323" w:name="_Toc4827"/>
      <w:bookmarkStart w:id="324" w:name="_Toc18668"/>
    </w:p>
    <w:p>
      <w:pPr>
        <w:pStyle w:val="5"/>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27" w:name="_Toc27079"/>
            <w:bookmarkStart w:id="328" w:name="_Toc29560"/>
            <w:bookmarkStart w:id="329" w:name="_Toc29642"/>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30" w:name="_Toc21739"/>
            <w:bookmarkStart w:id="331" w:name="_Toc1016"/>
            <w:bookmarkStart w:id="332" w:name="_Toc15903"/>
            <w:bookmarkStart w:id="333" w:name="_Toc27090"/>
            <w:bookmarkStart w:id="334" w:name="_Toc12049"/>
            <w:bookmarkStart w:id="335" w:name="_Toc22448"/>
            <w:bookmarkStart w:id="336" w:name="_Toc2700"/>
            <w:bookmarkStart w:id="337" w:name="_Toc16872"/>
            <w:bookmarkStart w:id="338" w:name="_Toc15368"/>
            <w:bookmarkStart w:id="339" w:name="_Toc4304"/>
            <w:bookmarkStart w:id="340" w:name="_Toc10045"/>
            <w:bookmarkStart w:id="341" w:name="_Toc14815"/>
            <w:bookmarkStart w:id="342" w:name="_Toc26124"/>
            <w:bookmarkStart w:id="343" w:name="_Toc22917"/>
            <w:bookmarkStart w:id="344" w:name="_Toc19251"/>
            <w:bookmarkStart w:id="345" w:name="_Toc8312"/>
            <w:bookmarkStart w:id="346" w:name="_Toc7333"/>
            <w:bookmarkStart w:id="347" w:name="_Toc8490"/>
            <w:bookmarkStart w:id="348" w:name="_Toc22879"/>
            <w:bookmarkStart w:id="349" w:name="_Toc32531"/>
            <w:bookmarkStart w:id="350" w:name="_Toc21809"/>
            <w:bookmarkStart w:id="351" w:name="_Toc27442"/>
            <w:bookmarkStart w:id="352" w:name="_Toc24662"/>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3" w:name="_Toc22153"/>
            <w:bookmarkStart w:id="354" w:name="_Toc10122"/>
            <w:bookmarkStart w:id="355" w:name="_Toc2408"/>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6" w:name="_Toc27285"/>
            <w:bookmarkStart w:id="357" w:name="_Toc16003"/>
            <w:bookmarkStart w:id="358" w:name="_Toc29838"/>
            <w:bookmarkStart w:id="359" w:name="_Toc20139"/>
            <w:bookmarkStart w:id="360" w:name="_Toc5992"/>
            <w:bookmarkStart w:id="361" w:name="_Toc27185"/>
            <w:bookmarkStart w:id="362" w:name="_Toc5563"/>
            <w:bookmarkStart w:id="363" w:name="_Toc17296"/>
            <w:bookmarkStart w:id="364" w:name="_Toc1330"/>
            <w:bookmarkStart w:id="365" w:name="_Toc20820"/>
            <w:bookmarkStart w:id="366" w:name="_Toc3701"/>
            <w:bookmarkStart w:id="367" w:name="_Toc17642"/>
            <w:bookmarkStart w:id="368" w:name="_Toc1912"/>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69" w:name="_Toc3520"/>
            <w:bookmarkStart w:id="370" w:name="_Toc857"/>
            <w:bookmarkStart w:id="371" w:name="_Toc19105"/>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4"/>
        <w:rPr>
          <w:rFonts w:ascii="宋体" w:hAnsi="宋体"/>
          <w:color w:val="auto"/>
          <w:szCs w:val="21"/>
          <w:highlight w:val="none"/>
        </w:rPr>
      </w:pPr>
    </w:p>
    <w:p>
      <w:pPr>
        <w:pStyle w:val="34"/>
        <w:rPr>
          <w:rFonts w:ascii="宋体" w:hAnsi="宋体"/>
          <w:color w:val="auto"/>
          <w:szCs w:val="21"/>
          <w:highlight w:val="none"/>
        </w:rPr>
      </w:pPr>
      <w:r>
        <w:rPr>
          <w:rFonts w:hint="eastAsia" w:ascii="宋体" w:hAnsi="宋体"/>
          <w:color w:val="auto"/>
          <w:szCs w:val="21"/>
          <w:highlight w:val="none"/>
        </w:rPr>
        <w:t>注：</w:t>
      </w:r>
    </w:p>
    <w:p>
      <w:pPr>
        <w:pStyle w:val="34"/>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4"/>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4"/>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4"/>
        <w:rPr>
          <w:rFonts w:ascii="宋体" w:hAnsi="宋体"/>
          <w:color w:val="auto"/>
          <w:szCs w:val="21"/>
          <w:highlight w:val="none"/>
        </w:rPr>
      </w:pPr>
    </w:p>
    <w:p>
      <w:pPr>
        <w:pStyle w:val="34"/>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5"/>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5"/>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5"/>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2"/>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77" w:name="_Toc26980"/>
      <w:bookmarkStart w:id="378" w:name="_Toc15431"/>
      <w:r>
        <w:rPr>
          <w:rFonts w:hint="eastAsia"/>
          <w:color w:val="auto"/>
          <w:highlight w:val="none"/>
        </w:rPr>
        <w:t>六、投标货物明细一览表</w:t>
      </w:r>
      <w:bookmarkEnd w:id="377"/>
      <w:bookmarkEnd w:id="378"/>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5"/>
        <w:jc w:val="center"/>
        <w:rPr>
          <w:color w:val="auto"/>
          <w:highlight w:val="none"/>
        </w:rPr>
      </w:pPr>
      <w:bookmarkStart w:id="379" w:name="_Toc21541"/>
      <w:bookmarkStart w:id="380" w:name="_Toc16710"/>
      <w:r>
        <w:rPr>
          <w:rFonts w:hint="eastAsia"/>
          <w:color w:val="auto"/>
          <w:highlight w:val="none"/>
        </w:rPr>
        <w:t>七、投标保证金汇入情况说明</w:t>
      </w:r>
      <w:bookmarkEnd w:id="379"/>
      <w:bookmarkEnd w:id="380"/>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4"/>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81" w:name="_Toc26855"/>
      <w:bookmarkStart w:id="382" w:name="_Toc24545"/>
      <w:r>
        <w:rPr>
          <w:rFonts w:hint="eastAsia"/>
          <w:color w:val="auto"/>
          <w:highlight w:val="none"/>
        </w:rPr>
        <w:t>八、政府采购投标担保函</w:t>
      </w:r>
      <w:bookmarkEnd w:id="381"/>
      <w:bookmarkEnd w:id="382"/>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5"/>
        <w:jc w:val="center"/>
        <w:rPr>
          <w:color w:val="auto"/>
          <w:highlight w:val="none"/>
        </w:rPr>
      </w:pPr>
      <w:bookmarkStart w:id="383" w:name="_Toc6961"/>
      <w:r>
        <w:rPr>
          <w:rFonts w:hint="eastAsia"/>
          <w:color w:val="auto"/>
          <w:highlight w:val="none"/>
        </w:rPr>
        <w:t>九、政府采购履约担保函</w:t>
      </w:r>
      <w:bookmarkEnd w:id="383"/>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2"/>
        <w:rPr>
          <w:color w:val="auto"/>
          <w:highlight w:val="none"/>
        </w:rPr>
      </w:pPr>
    </w:p>
    <w:p>
      <w:pPr>
        <w:rPr>
          <w:color w:val="auto"/>
          <w:highlight w:val="none"/>
        </w:rPr>
      </w:pPr>
      <w:r>
        <w:rPr>
          <w:color w:val="auto"/>
          <w:highlight w:val="none"/>
        </w:rPr>
        <w:br w:type="page"/>
      </w:r>
    </w:p>
    <w:p>
      <w:pPr>
        <w:pStyle w:val="5"/>
        <w:jc w:val="center"/>
        <w:rPr>
          <w:color w:val="auto"/>
          <w:highlight w:val="none"/>
        </w:rPr>
      </w:pPr>
      <w:bookmarkStart w:id="384" w:name="_Toc26772"/>
      <w:bookmarkStart w:id="385" w:name="_Toc26782"/>
      <w:r>
        <w:rPr>
          <w:rFonts w:hint="eastAsia"/>
          <w:color w:val="auto"/>
          <w:highlight w:val="none"/>
        </w:rPr>
        <w:t>第四章唱标信封（单独封装）</w:t>
      </w:r>
      <w:bookmarkEnd w:id="384"/>
      <w:bookmarkEnd w:id="385"/>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6"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5"/>
        <w:jc w:val="center"/>
        <w:rPr>
          <w:color w:val="auto"/>
          <w:highlight w:val="none"/>
        </w:rPr>
      </w:pPr>
      <w:bookmarkStart w:id="387" w:name="_Toc2710"/>
      <w:bookmarkStart w:id="388" w:name="_Toc22736"/>
      <w:r>
        <w:rPr>
          <w:rFonts w:hint="eastAsia"/>
          <w:color w:val="auto"/>
          <w:highlight w:val="none"/>
        </w:rPr>
        <w:t>第五章联合体共同投标协议书（如有需要）</w:t>
      </w:r>
      <w:bookmarkEnd w:id="387"/>
      <w:bookmarkEnd w:id="388"/>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六、本协议书一式份，随响应文件装订份，联合体成员各份。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6"/>
    <w:p>
      <w:pPr>
        <w:pStyle w:val="2"/>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联系人：联系电话：</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p>
    <w:p>
      <w:pPr>
        <w:rPr>
          <w:rFonts w:ascii="宋体" w:hAnsi="宋体" w:cs="宋体"/>
          <w:color w:val="auto"/>
          <w:szCs w:val="21"/>
          <w:highlight w:val="non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 邮编：</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pPr>
        <w:rPr>
          <w:rFonts w:ascii="宋体" w:hAnsi="宋体" w:cs="宋体"/>
          <w:color w:val="auto"/>
          <w:szCs w:val="21"/>
          <w:highlight w:val="non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p>
    <w:p>
      <w:pPr>
        <w:rPr>
          <w:rFonts w:ascii="宋体" w:hAnsi="宋体" w:cs="宋体"/>
          <w:color w:val="auto"/>
          <w:szCs w:val="21"/>
          <w:highlight w:val="none"/>
        </w:rPr>
      </w:pPr>
      <w:r>
        <w:rPr>
          <w:rFonts w:hint="eastAsia" w:ascii="宋体" w:hAnsi="宋体" w:cs="宋体"/>
          <w:color w:val="auto"/>
          <w:szCs w:val="21"/>
          <w:highlight w:val="none"/>
        </w:rPr>
        <w:t>采购文件获取日期：</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p>
    <w:p>
      <w:pPr>
        <w:rPr>
          <w:rFonts w:ascii="宋体" w:hAnsi="宋体" w:cs="宋体"/>
          <w:color w:val="auto"/>
          <w:szCs w:val="21"/>
          <w:highlight w:val="none"/>
        </w:rPr>
      </w:pPr>
    </w:p>
    <w:p>
      <w:pPr>
        <w:rPr>
          <w:rFonts w:ascii="宋体" w:hAnsi="宋体" w:cs="宋体"/>
          <w:color w:val="auto"/>
          <w:szCs w:val="21"/>
          <w:highlight w:val="none"/>
          <w:u w:val="dotted"/>
        </w:rPr>
      </w:pPr>
      <w:r>
        <w:rPr>
          <w:rFonts w:hint="eastAsia" w:ascii="宋体" w:hAnsi="宋体" w:cs="宋体"/>
          <w:color w:val="auto"/>
          <w:szCs w:val="21"/>
          <w:highlight w:val="none"/>
        </w:rPr>
        <w:t>法律依据：</w:t>
      </w:r>
    </w:p>
    <w:p>
      <w:pPr>
        <w:rPr>
          <w:rFonts w:ascii="宋体" w:hAnsi="宋体" w:cs="宋体"/>
          <w:color w:val="auto"/>
          <w:szCs w:val="21"/>
          <w:highlight w:val="none"/>
          <w:u w:val="dotted"/>
        </w:rPr>
      </w:pP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rPr>
          <w:color w:val="auto"/>
          <w:highlight w:val="none"/>
        </w:rPr>
      </w:pPr>
    </w:p>
    <w:p>
      <w:pPr>
        <w:pStyle w:val="2"/>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pStyle w:val="23"/>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4"/>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1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w:t>
            </w:r>
            <w:r>
              <w:rPr>
                <w:rFonts w:hint="eastAsia" w:ascii="宋体" w:hAnsi="宋体" w:cs="宋体"/>
                <w:color w:val="auto"/>
                <w:sz w:val="28"/>
                <w:szCs w:val="28"/>
                <w:highlight w:val="none"/>
                <w:lang w:val="en-US" w:eastAsia="zh-CN"/>
              </w:rPr>
              <w:t>300</w:t>
            </w:r>
            <w:r>
              <w:rPr>
                <w:rFonts w:hint="eastAsia" w:ascii="宋体" w:hAnsi="宋体" w:cs="宋体"/>
                <w:color w:val="auto"/>
                <w:sz w:val="28"/>
                <w:szCs w:val="28"/>
                <w:highlight w:val="none"/>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pPr>
        <w:pStyle w:val="23"/>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0"/>
        <w:rPr>
          <w:rFonts w:eastAsia="微软雅黑"/>
        </w:rPr>
      </w:pPr>
      <w:r>
        <w:rPr>
          <w:rStyle w:val="30"/>
        </w:rPr>
        <w:footnoteRef/>
      </w:r>
      <w:r>
        <w:rPr>
          <w:rFonts w:hint="eastAsia"/>
        </w:rPr>
        <w:t>从业人员、营业人员、资产总额填报上一年度数据，无上一年度数据的新成立企业可不填报。</w:t>
      </w:r>
    </w:p>
  </w:footnote>
  <w:footnote w:id="1">
    <w:p>
      <w:pPr>
        <w:pStyle w:val="20"/>
      </w:pPr>
      <w:r>
        <w:rPr>
          <w:rStyle w:val="30"/>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1AE7A9C"/>
    <w:multiLevelType w:val="singleLevel"/>
    <w:tmpl w:val="01AE7A9C"/>
    <w:lvl w:ilvl="0" w:tentative="0">
      <w:start w:val="5"/>
      <w:numFmt w:val="chineseCounting"/>
      <w:suff w:val="nothing"/>
      <w:lvlText w:val="%1、"/>
      <w:lvlJc w:val="left"/>
      <w:rPr>
        <w:rFonts w:hint="eastAsia"/>
      </w:rPr>
    </w:lvl>
  </w:abstractNum>
  <w:abstractNum w:abstractNumId="7">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206CABF7"/>
    <w:multiLevelType w:val="singleLevel"/>
    <w:tmpl w:val="206CABF7"/>
    <w:lvl w:ilvl="0" w:tentative="0">
      <w:start w:val="1"/>
      <w:numFmt w:val="decimal"/>
      <w:suff w:val="nothing"/>
      <w:lvlText w:val="（%1）"/>
      <w:lvlJc w:val="left"/>
    </w:lvl>
  </w:abstractNum>
  <w:abstractNum w:abstractNumId="9">
    <w:nsid w:val="316010E5"/>
    <w:multiLevelType w:val="singleLevel"/>
    <w:tmpl w:val="316010E5"/>
    <w:lvl w:ilvl="0" w:tentative="0">
      <w:start w:val="1"/>
      <w:numFmt w:val="decimal"/>
      <w:suff w:val="nothing"/>
      <w:lvlText w:val="%1．"/>
      <w:lvlJc w:val="left"/>
    </w:lvl>
  </w:abstractNum>
  <w:abstractNum w:abstractNumId="10">
    <w:nsid w:val="3B1B8417"/>
    <w:multiLevelType w:val="singleLevel"/>
    <w:tmpl w:val="3B1B8417"/>
    <w:lvl w:ilvl="0" w:tentative="0">
      <w:start w:val="1"/>
      <w:numFmt w:val="decimal"/>
      <w:suff w:val="nothing"/>
      <w:lvlText w:val="%1、"/>
      <w:lvlJc w:val="left"/>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10"/>
  </w:num>
  <w:num w:numId="3">
    <w:abstractNumId w:val="7"/>
  </w:num>
  <w:num w:numId="4">
    <w:abstractNumId w:val="11"/>
  </w:num>
  <w:num w:numId="5">
    <w:abstractNumId w:val="8"/>
  </w:num>
  <w:num w:numId="6">
    <w:abstractNumId w:val="3"/>
  </w:num>
  <w:num w:numId="7">
    <w:abstractNumId w:val="4"/>
  </w:num>
  <w:num w:numId="8">
    <w:abstractNumId w:val="1"/>
  </w:num>
  <w:num w:numId="9">
    <w:abstractNumId w:val="6"/>
  </w:num>
  <w:num w:numId="10">
    <w:abstractNumId w:val="2"/>
  </w:num>
  <w:num w:numId="11">
    <w:abstractNumId w:val="5"/>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601c17f3-00bd-4cba-ba64-8aa7f80c76a8"/>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08F7"/>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3D89"/>
    <w:rsid w:val="01E74B6E"/>
    <w:rsid w:val="02126CDB"/>
    <w:rsid w:val="021832B7"/>
    <w:rsid w:val="024E2E49"/>
    <w:rsid w:val="02A741FD"/>
    <w:rsid w:val="02C16E5D"/>
    <w:rsid w:val="02D964CF"/>
    <w:rsid w:val="032D0464"/>
    <w:rsid w:val="0340787C"/>
    <w:rsid w:val="03707410"/>
    <w:rsid w:val="037F03E3"/>
    <w:rsid w:val="03A0770F"/>
    <w:rsid w:val="03A27BF9"/>
    <w:rsid w:val="03A448B8"/>
    <w:rsid w:val="03A4578A"/>
    <w:rsid w:val="03AD071E"/>
    <w:rsid w:val="03B67E12"/>
    <w:rsid w:val="03D10969"/>
    <w:rsid w:val="03EC464C"/>
    <w:rsid w:val="04DF1036"/>
    <w:rsid w:val="050F6021"/>
    <w:rsid w:val="055214B8"/>
    <w:rsid w:val="05A97DEC"/>
    <w:rsid w:val="05C81981"/>
    <w:rsid w:val="05C935B6"/>
    <w:rsid w:val="065A32ED"/>
    <w:rsid w:val="06BC41F2"/>
    <w:rsid w:val="06DF3DBD"/>
    <w:rsid w:val="06FA1908"/>
    <w:rsid w:val="07197D08"/>
    <w:rsid w:val="071C2CFD"/>
    <w:rsid w:val="071E5C55"/>
    <w:rsid w:val="07391925"/>
    <w:rsid w:val="073A47CB"/>
    <w:rsid w:val="073F7319"/>
    <w:rsid w:val="07536A42"/>
    <w:rsid w:val="07595F41"/>
    <w:rsid w:val="07615EC0"/>
    <w:rsid w:val="076E24F4"/>
    <w:rsid w:val="077005AB"/>
    <w:rsid w:val="078F4581"/>
    <w:rsid w:val="07995C5E"/>
    <w:rsid w:val="07B34F45"/>
    <w:rsid w:val="07BE179A"/>
    <w:rsid w:val="07BF027F"/>
    <w:rsid w:val="08031A31"/>
    <w:rsid w:val="081A5CC7"/>
    <w:rsid w:val="087400C9"/>
    <w:rsid w:val="08A276E5"/>
    <w:rsid w:val="08C47D4D"/>
    <w:rsid w:val="09061A75"/>
    <w:rsid w:val="09182241"/>
    <w:rsid w:val="09242E62"/>
    <w:rsid w:val="093C069F"/>
    <w:rsid w:val="09417888"/>
    <w:rsid w:val="096F0208"/>
    <w:rsid w:val="09855177"/>
    <w:rsid w:val="09870F93"/>
    <w:rsid w:val="09D658E4"/>
    <w:rsid w:val="09F1637C"/>
    <w:rsid w:val="0A25628F"/>
    <w:rsid w:val="0AA534D5"/>
    <w:rsid w:val="0AA650EB"/>
    <w:rsid w:val="0AB8066A"/>
    <w:rsid w:val="0AF47339"/>
    <w:rsid w:val="0B22594B"/>
    <w:rsid w:val="0B797387"/>
    <w:rsid w:val="0B8B2381"/>
    <w:rsid w:val="0BC044BE"/>
    <w:rsid w:val="0BD25EAF"/>
    <w:rsid w:val="0BDF26F7"/>
    <w:rsid w:val="0BE31BA4"/>
    <w:rsid w:val="0C264099"/>
    <w:rsid w:val="0C2B4952"/>
    <w:rsid w:val="0C7B2220"/>
    <w:rsid w:val="0CC538D1"/>
    <w:rsid w:val="0D890E47"/>
    <w:rsid w:val="0DC64A00"/>
    <w:rsid w:val="0DFC60BA"/>
    <w:rsid w:val="0E4249F1"/>
    <w:rsid w:val="0E6A5091"/>
    <w:rsid w:val="0F2955F4"/>
    <w:rsid w:val="0F6C5A53"/>
    <w:rsid w:val="0F7C5FF6"/>
    <w:rsid w:val="0FC63FBD"/>
    <w:rsid w:val="10382D43"/>
    <w:rsid w:val="106C564D"/>
    <w:rsid w:val="107224BA"/>
    <w:rsid w:val="107B7B8F"/>
    <w:rsid w:val="107C67CE"/>
    <w:rsid w:val="1080523F"/>
    <w:rsid w:val="108F06C9"/>
    <w:rsid w:val="108F51C0"/>
    <w:rsid w:val="109D68CB"/>
    <w:rsid w:val="10A949B8"/>
    <w:rsid w:val="10C54639"/>
    <w:rsid w:val="11200D07"/>
    <w:rsid w:val="11DA73AF"/>
    <w:rsid w:val="12C60D80"/>
    <w:rsid w:val="131867D4"/>
    <w:rsid w:val="131F7A3A"/>
    <w:rsid w:val="132645D0"/>
    <w:rsid w:val="13455ABC"/>
    <w:rsid w:val="1370322B"/>
    <w:rsid w:val="138C240A"/>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B76003"/>
    <w:rsid w:val="17E62B67"/>
    <w:rsid w:val="17EC0D37"/>
    <w:rsid w:val="180C0192"/>
    <w:rsid w:val="180F4499"/>
    <w:rsid w:val="18221ECE"/>
    <w:rsid w:val="184A6EA2"/>
    <w:rsid w:val="18DD0A66"/>
    <w:rsid w:val="190B7894"/>
    <w:rsid w:val="19A2789F"/>
    <w:rsid w:val="19B7100D"/>
    <w:rsid w:val="1A460CF5"/>
    <w:rsid w:val="1A515546"/>
    <w:rsid w:val="1A7F297D"/>
    <w:rsid w:val="1AB16AC1"/>
    <w:rsid w:val="1B034A52"/>
    <w:rsid w:val="1B1F34AD"/>
    <w:rsid w:val="1B5A51FC"/>
    <w:rsid w:val="1B8D5DC6"/>
    <w:rsid w:val="1BFE1D3B"/>
    <w:rsid w:val="1C1F2B38"/>
    <w:rsid w:val="1C2775EC"/>
    <w:rsid w:val="1C750ECE"/>
    <w:rsid w:val="1CA22168"/>
    <w:rsid w:val="1D0836D7"/>
    <w:rsid w:val="1D196139"/>
    <w:rsid w:val="1DB85900"/>
    <w:rsid w:val="1DF051AF"/>
    <w:rsid w:val="1E010AF7"/>
    <w:rsid w:val="1E0178EB"/>
    <w:rsid w:val="1E301173"/>
    <w:rsid w:val="1E38333E"/>
    <w:rsid w:val="1E5C7612"/>
    <w:rsid w:val="1E636E30"/>
    <w:rsid w:val="1EA40BB4"/>
    <w:rsid w:val="1F43381C"/>
    <w:rsid w:val="1F8B5D2C"/>
    <w:rsid w:val="1FA4148D"/>
    <w:rsid w:val="20121621"/>
    <w:rsid w:val="201A421D"/>
    <w:rsid w:val="20341172"/>
    <w:rsid w:val="204E554F"/>
    <w:rsid w:val="20590035"/>
    <w:rsid w:val="209A0C32"/>
    <w:rsid w:val="20C35213"/>
    <w:rsid w:val="20FC799E"/>
    <w:rsid w:val="21072664"/>
    <w:rsid w:val="21693C0A"/>
    <w:rsid w:val="219604F3"/>
    <w:rsid w:val="22154DDD"/>
    <w:rsid w:val="22213E42"/>
    <w:rsid w:val="22336873"/>
    <w:rsid w:val="225C57F7"/>
    <w:rsid w:val="23175889"/>
    <w:rsid w:val="232C5C75"/>
    <w:rsid w:val="236E6394"/>
    <w:rsid w:val="238C2182"/>
    <w:rsid w:val="239015D1"/>
    <w:rsid w:val="23B02530"/>
    <w:rsid w:val="23BB4E7D"/>
    <w:rsid w:val="23C172D6"/>
    <w:rsid w:val="23C72D74"/>
    <w:rsid w:val="23F04F64"/>
    <w:rsid w:val="24814CBE"/>
    <w:rsid w:val="248642B7"/>
    <w:rsid w:val="24AC168B"/>
    <w:rsid w:val="25857F75"/>
    <w:rsid w:val="258C3BEC"/>
    <w:rsid w:val="25E576CC"/>
    <w:rsid w:val="260E3862"/>
    <w:rsid w:val="262569FC"/>
    <w:rsid w:val="26344C98"/>
    <w:rsid w:val="264B6870"/>
    <w:rsid w:val="26F56CE2"/>
    <w:rsid w:val="272D1F94"/>
    <w:rsid w:val="27435D49"/>
    <w:rsid w:val="27A34F71"/>
    <w:rsid w:val="27B36A67"/>
    <w:rsid w:val="27EB0D9B"/>
    <w:rsid w:val="28180606"/>
    <w:rsid w:val="286602C8"/>
    <w:rsid w:val="28665C95"/>
    <w:rsid w:val="28A64522"/>
    <w:rsid w:val="28CC5B40"/>
    <w:rsid w:val="28F525D1"/>
    <w:rsid w:val="290B3EB9"/>
    <w:rsid w:val="291418C2"/>
    <w:rsid w:val="2950768C"/>
    <w:rsid w:val="29794227"/>
    <w:rsid w:val="297A5FC4"/>
    <w:rsid w:val="2A1113BC"/>
    <w:rsid w:val="2A8D4F8F"/>
    <w:rsid w:val="2A911082"/>
    <w:rsid w:val="2A917B34"/>
    <w:rsid w:val="2AA33C87"/>
    <w:rsid w:val="2AE3766F"/>
    <w:rsid w:val="2B4B680F"/>
    <w:rsid w:val="2B7E4054"/>
    <w:rsid w:val="2BC92502"/>
    <w:rsid w:val="2BF22742"/>
    <w:rsid w:val="2C987C56"/>
    <w:rsid w:val="2CBD45CF"/>
    <w:rsid w:val="2CEB5F6D"/>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0BE8"/>
    <w:rsid w:val="2FF37AB3"/>
    <w:rsid w:val="307350B9"/>
    <w:rsid w:val="308C7755"/>
    <w:rsid w:val="30914729"/>
    <w:rsid w:val="30FF27D2"/>
    <w:rsid w:val="31170995"/>
    <w:rsid w:val="31264A30"/>
    <w:rsid w:val="31884E67"/>
    <w:rsid w:val="31A0275E"/>
    <w:rsid w:val="31B060CA"/>
    <w:rsid w:val="31B2560F"/>
    <w:rsid w:val="31B7357A"/>
    <w:rsid w:val="31ED6B08"/>
    <w:rsid w:val="31F915C9"/>
    <w:rsid w:val="32310A09"/>
    <w:rsid w:val="32610CE6"/>
    <w:rsid w:val="32631A32"/>
    <w:rsid w:val="328464CE"/>
    <w:rsid w:val="32AB70C5"/>
    <w:rsid w:val="32BF28C0"/>
    <w:rsid w:val="32DC33E0"/>
    <w:rsid w:val="3309322B"/>
    <w:rsid w:val="335D0AF5"/>
    <w:rsid w:val="3370088C"/>
    <w:rsid w:val="33A3154A"/>
    <w:rsid w:val="33DC2F78"/>
    <w:rsid w:val="3428227C"/>
    <w:rsid w:val="350D6342"/>
    <w:rsid w:val="35260F83"/>
    <w:rsid w:val="35602226"/>
    <w:rsid w:val="356B72E7"/>
    <w:rsid w:val="3572424F"/>
    <w:rsid w:val="35FC3844"/>
    <w:rsid w:val="366061FD"/>
    <w:rsid w:val="36794DEF"/>
    <w:rsid w:val="36AD519D"/>
    <w:rsid w:val="36B57705"/>
    <w:rsid w:val="36F7249E"/>
    <w:rsid w:val="374F1A0B"/>
    <w:rsid w:val="37A103ED"/>
    <w:rsid w:val="37EA5E6E"/>
    <w:rsid w:val="37FF016F"/>
    <w:rsid w:val="38427C0B"/>
    <w:rsid w:val="387C5ABE"/>
    <w:rsid w:val="389B3A1E"/>
    <w:rsid w:val="38EB6119"/>
    <w:rsid w:val="395D40BA"/>
    <w:rsid w:val="39DE33DA"/>
    <w:rsid w:val="39FA5B4A"/>
    <w:rsid w:val="39FE0BE9"/>
    <w:rsid w:val="3A3C1AAF"/>
    <w:rsid w:val="3A424C25"/>
    <w:rsid w:val="3A4B7CC1"/>
    <w:rsid w:val="3A51228C"/>
    <w:rsid w:val="3A552E60"/>
    <w:rsid w:val="3A5D642F"/>
    <w:rsid w:val="3AB210FC"/>
    <w:rsid w:val="3ACE216B"/>
    <w:rsid w:val="3AD95C13"/>
    <w:rsid w:val="3B0E42D3"/>
    <w:rsid w:val="3B1E260C"/>
    <w:rsid w:val="3B261E51"/>
    <w:rsid w:val="3B973F88"/>
    <w:rsid w:val="3BCD72F7"/>
    <w:rsid w:val="3C414142"/>
    <w:rsid w:val="3CE114D9"/>
    <w:rsid w:val="3CF737A2"/>
    <w:rsid w:val="3CF7509A"/>
    <w:rsid w:val="3D10295A"/>
    <w:rsid w:val="3D116008"/>
    <w:rsid w:val="3D282C74"/>
    <w:rsid w:val="3E0572FD"/>
    <w:rsid w:val="3E1A5292"/>
    <w:rsid w:val="3E5A7FE7"/>
    <w:rsid w:val="3EC8179E"/>
    <w:rsid w:val="3EF66B2E"/>
    <w:rsid w:val="3F217914"/>
    <w:rsid w:val="3F942B76"/>
    <w:rsid w:val="3FAB5A5B"/>
    <w:rsid w:val="3FD70BB0"/>
    <w:rsid w:val="3FFB55AC"/>
    <w:rsid w:val="401C5F9D"/>
    <w:rsid w:val="401C690C"/>
    <w:rsid w:val="401D7195"/>
    <w:rsid w:val="405F1BE4"/>
    <w:rsid w:val="40A51286"/>
    <w:rsid w:val="40CE3DC0"/>
    <w:rsid w:val="40D7455A"/>
    <w:rsid w:val="40E743E5"/>
    <w:rsid w:val="40F35EEC"/>
    <w:rsid w:val="4110038E"/>
    <w:rsid w:val="41734CBA"/>
    <w:rsid w:val="41C01B53"/>
    <w:rsid w:val="41DD7057"/>
    <w:rsid w:val="420F7A65"/>
    <w:rsid w:val="4216611A"/>
    <w:rsid w:val="423E300F"/>
    <w:rsid w:val="425656C8"/>
    <w:rsid w:val="4257273C"/>
    <w:rsid w:val="425D7213"/>
    <w:rsid w:val="42677B61"/>
    <w:rsid w:val="42756DB0"/>
    <w:rsid w:val="42B21AD2"/>
    <w:rsid w:val="42D208E8"/>
    <w:rsid w:val="42FD694D"/>
    <w:rsid w:val="434A6D8F"/>
    <w:rsid w:val="438D0BA2"/>
    <w:rsid w:val="43FA5777"/>
    <w:rsid w:val="44044D92"/>
    <w:rsid w:val="441C1611"/>
    <w:rsid w:val="443C440B"/>
    <w:rsid w:val="443F7DBF"/>
    <w:rsid w:val="44514F52"/>
    <w:rsid w:val="446B348A"/>
    <w:rsid w:val="448965CB"/>
    <w:rsid w:val="44AB0273"/>
    <w:rsid w:val="44C5497E"/>
    <w:rsid w:val="44FA2D53"/>
    <w:rsid w:val="452D698A"/>
    <w:rsid w:val="4571374F"/>
    <w:rsid w:val="458B1BB0"/>
    <w:rsid w:val="4611075B"/>
    <w:rsid w:val="461A2EB2"/>
    <w:rsid w:val="46214818"/>
    <w:rsid w:val="46534369"/>
    <w:rsid w:val="467A0297"/>
    <w:rsid w:val="468B7125"/>
    <w:rsid w:val="46C4691F"/>
    <w:rsid w:val="47841568"/>
    <w:rsid w:val="479D1D34"/>
    <w:rsid w:val="47B609C0"/>
    <w:rsid w:val="47CF543E"/>
    <w:rsid w:val="482D31EA"/>
    <w:rsid w:val="485970A0"/>
    <w:rsid w:val="48847961"/>
    <w:rsid w:val="48946B91"/>
    <w:rsid w:val="48A41906"/>
    <w:rsid w:val="48B65C71"/>
    <w:rsid w:val="48F303D7"/>
    <w:rsid w:val="492837FF"/>
    <w:rsid w:val="492E6A57"/>
    <w:rsid w:val="49475155"/>
    <w:rsid w:val="49B86103"/>
    <w:rsid w:val="4A0030EE"/>
    <w:rsid w:val="4AC36065"/>
    <w:rsid w:val="4B560086"/>
    <w:rsid w:val="4B7501F5"/>
    <w:rsid w:val="4B8C2DEB"/>
    <w:rsid w:val="4BFA3C9F"/>
    <w:rsid w:val="4BFB5208"/>
    <w:rsid w:val="4C0E3379"/>
    <w:rsid w:val="4C107F48"/>
    <w:rsid w:val="4C3277BC"/>
    <w:rsid w:val="4C686851"/>
    <w:rsid w:val="4CB25875"/>
    <w:rsid w:val="4CC353EB"/>
    <w:rsid w:val="4CF36F3C"/>
    <w:rsid w:val="4D3739CE"/>
    <w:rsid w:val="4D4F67BA"/>
    <w:rsid w:val="4D603399"/>
    <w:rsid w:val="4D867EE1"/>
    <w:rsid w:val="4DBC4C65"/>
    <w:rsid w:val="4DD731F1"/>
    <w:rsid w:val="4DF6568D"/>
    <w:rsid w:val="4E2E1A80"/>
    <w:rsid w:val="4E550010"/>
    <w:rsid w:val="4E5F14CB"/>
    <w:rsid w:val="4ED81ECB"/>
    <w:rsid w:val="4F2D3AEF"/>
    <w:rsid w:val="4F3705F8"/>
    <w:rsid w:val="4F651D09"/>
    <w:rsid w:val="4FAC3540"/>
    <w:rsid w:val="4FBB12F4"/>
    <w:rsid w:val="4FCF1583"/>
    <w:rsid w:val="4FFA7625"/>
    <w:rsid w:val="501B0BF9"/>
    <w:rsid w:val="506F29A5"/>
    <w:rsid w:val="507D2599"/>
    <w:rsid w:val="5096229D"/>
    <w:rsid w:val="50A96BAF"/>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9A6BFA"/>
    <w:rsid w:val="54C61423"/>
    <w:rsid w:val="54E72921"/>
    <w:rsid w:val="55647A95"/>
    <w:rsid w:val="55806F07"/>
    <w:rsid w:val="558F3CE2"/>
    <w:rsid w:val="55F3454C"/>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03AA4"/>
    <w:rsid w:val="59996DA8"/>
    <w:rsid w:val="59AC3CE9"/>
    <w:rsid w:val="59C30F1B"/>
    <w:rsid w:val="5A0D5854"/>
    <w:rsid w:val="5A20156F"/>
    <w:rsid w:val="5A250E62"/>
    <w:rsid w:val="5A8E5D27"/>
    <w:rsid w:val="5A9847F3"/>
    <w:rsid w:val="5AC7121C"/>
    <w:rsid w:val="5AD90B8D"/>
    <w:rsid w:val="5AE07AA2"/>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B843E0"/>
    <w:rsid w:val="5CBB0F9F"/>
    <w:rsid w:val="5CF55792"/>
    <w:rsid w:val="5CFD533A"/>
    <w:rsid w:val="5D893B14"/>
    <w:rsid w:val="5D947139"/>
    <w:rsid w:val="5D9F3D30"/>
    <w:rsid w:val="5E2810D5"/>
    <w:rsid w:val="5E2B7D62"/>
    <w:rsid w:val="5E2F31A6"/>
    <w:rsid w:val="5E704EA1"/>
    <w:rsid w:val="5E71411E"/>
    <w:rsid w:val="5EA06921"/>
    <w:rsid w:val="5ED5006A"/>
    <w:rsid w:val="5F576E4B"/>
    <w:rsid w:val="5F5D4EDE"/>
    <w:rsid w:val="5F7A2C30"/>
    <w:rsid w:val="5FBE370A"/>
    <w:rsid w:val="60292845"/>
    <w:rsid w:val="60963707"/>
    <w:rsid w:val="61027308"/>
    <w:rsid w:val="612E1A5D"/>
    <w:rsid w:val="61816046"/>
    <w:rsid w:val="61881DE7"/>
    <w:rsid w:val="62182687"/>
    <w:rsid w:val="62391564"/>
    <w:rsid w:val="623E50A4"/>
    <w:rsid w:val="62816669"/>
    <w:rsid w:val="62BA0953"/>
    <w:rsid w:val="62D03A7C"/>
    <w:rsid w:val="62F16BCB"/>
    <w:rsid w:val="62F648FE"/>
    <w:rsid w:val="630A30D8"/>
    <w:rsid w:val="63341DB1"/>
    <w:rsid w:val="63447612"/>
    <w:rsid w:val="63907004"/>
    <w:rsid w:val="63A10995"/>
    <w:rsid w:val="63B7664D"/>
    <w:rsid w:val="63C23EFA"/>
    <w:rsid w:val="63C41644"/>
    <w:rsid w:val="643A070A"/>
    <w:rsid w:val="644C573D"/>
    <w:rsid w:val="647F1ACC"/>
    <w:rsid w:val="648667A7"/>
    <w:rsid w:val="64DB383A"/>
    <w:rsid w:val="65032F85"/>
    <w:rsid w:val="65136B50"/>
    <w:rsid w:val="653B0C50"/>
    <w:rsid w:val="657E2A35"/>
    <w:rsid w:val="65A94E9D"/>
    <w:rsid w:val="65AA5B01"/>
    <w:rsid w:val="65C60A92"/>
    <w:rsid w:val="662203DD"/>
    <w:rsid w:val="66615FB2"/>
    <w:rsid w:val="666B723B"/>
    <w:rsid w:val="6678045A"/>
    <w:rsid w:val="66DD6702"/>
    <w:rsid w:val="66E84F59"/>
    <w:rsid w:val="679406CB"/>
    <w:rsid w:val="67AB52F1"/>
    <w:rsid w:val="67C35C0B"/>
    <w:rsid w:val="681233D2"/>
    <w:rsid w:val="681D5EE5"/>
    <w:rsid w:val="681E3671"/>
    <w:rsid w:val="68652AB3"/>
    <w:rsid w:val="6895578E"/>
    <w:rsid w:val="689F1926"/>
    <w:rsid w:val="68AD17BB"/>
    <w:rsid w:val="68D94D22"/>
    <w:rsid w:val="692B2E4A"/>
    <w:rsid w:val="692E7663"/>
    <w:rsid w:val="694303FB"/>
    <w:rsid w:val="696A0B34"/>
    <w:rsid w:val="698D6A17"/>
    <w:rsid w:val="69A233E7"/>
    <w:rsid w:val="69DA61FF"/>
    <w:rsid w:val="69EE3535"/>
    <w:rsid w:val="69F954C1"/>
    <w:rsid w:val="6A2031B6"/>
    <w:rsid w:val="6A440C53"/>
    <w:rsid w:val="6A507D0C"/>
    <w:rsid w:val="6AC61F6F"/>
    <w:rsid w:val="6ADE74F0"/>
    <w:rsid w:val="6B1002C0"/>
    <w:rsid w:val="6B1F5CFA"/>
    <w:rsid w:val="6B723594"/>
    <w:rsid w:val="6B805156"/>
    <w:rsid w:val="6BD50977"/>
    <w:rsid w:val="6BEA2A9B"/>
    <w:rsid w:val="6BEE7B02"/>
    <w:rsid w:val="6C9C0875"/>
    <w:rsid w:val="6C9D1F03"/>
    <w:rsid w:val="6CAA3931"/>
    <w:rsid w:val="6CF31086"/>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322C59"/>
    <w:rsid w:val="714556B4"/>
    <w:rsid w:val="715B60E9"/>
    <w:rsid w:val="71860FA0"/>
    <w:rsid w:val="71E96309"/>
    <w:rsid w:val="71EA1FED"/>
    <w:rsid w:val="72284A0C"/>
    <w:rsid w:val="728409C4"/>
    <w:rsid w:val="72C16204"/>
    <w:rsid w:val="730313F6"/>
    <w:rsid w:val="731E1007"/>
    <w:rsid w:val="73370D24"/>
    <w:rsid w:val="7359268C"/>
    <w:rsid w:val="739503EB"/>
    <w:rsid w:val="73A05B28"/>
    <w:rsid w:val="73BE7013"/>
    <w:rsid w:val="73C07D69"/>
    <w:rsid w:val="749E2255"/>
    <w:rsid w:val="74B42AE4"/>
    <w:rsid w:val="750A429D"/>
    <w:rsid w:val="75167F59"/>
    <w:rsid w:val="754D77D2"/>
    <w:rsid w:val="755D38A7"/>
    <w:rsid w:val="755F5A0F"/>
    <w:rsid w:val="75614792"/>
    <w:rsid w:val="756672DA"/>
    <w:rsid w:val="756E5849"/>
    <w:rsid w:val="75784473"/>
    <w:rsid w:val="757E044C"/>
    <w:rsid w:val="75977BC3"/>
    <w:rsid w:val="75AF41B1"/>
    <w:rsid w:val="75B161B3"/>
    <w:rsid w:val="75E470E3"/>
    <w:rsid w:val="761F4290"/>
    <w:rsid w:val="76736B32"/>
    <w:rsid w:val="76E3765E"/>
    <w:rsid w:val="76FC2AFA"/>
    <w:rsid w:val="772F0236"/>
    <w:rsid w:val="773F0836"/>
    <w:rsid w:val="77653671"/>
    <w:rsid w:val="778546CC"/>
    <w:rsid w:val="77B56730"/>
    <w:rsid w:val="77B911F9"/>
    <w:rsid w:val="77C04A8B"/>
    <w:rsid w:val="77D85DB3"/>
    <w:rsid w:val="780252A0"/>
    <w:rsid w:val="78027772"/>
    <w:rsid w:val="78671E95"/>
    <w:rsid w:val="78A50513"/>
    <w:rsid w:val="78B92B9D"/>
    <w:rsid w:val="78CC45F8"/>
    <w:rsid w:val="79385FFF"/>
    <w:rsid w:val="793B7339"/>
    <w:rsid w:val="796518DD"/>
    <w:rsid w:val="796E0C55"/>
    <w:rsid w:val="79AA0532"/>
    <w:rsid w:val="79B82D71"/>
    <w:rsid w:val="79F70999"/>
    <w:rsid w:val="79FE1DDD"/>
    <w:rsid w:val="7A075767"/>
    <w:rsid w:val="7A212062"/>
    <w:rsid w:val="7A282A11"/>
    <w:rsid w:val="7A8535A3"/>
    <w:rsid w:val="7AB90FF6"/>
    <w:rsid w:val="7AC21562"/>
    <w:rsid w:val="7AD474A4"/>
    <w:rsid w:val="7ADC7B92"/>
    <w:rsid w:val="7B115232"/>
    <w:rsid w:val="7B3E6396"/>
    <w:rsid w:val="7B416BDC"/>
    <w:rsid w:val="7B5350AD"/>
    <w:rsid w:val="7B6867EB"/>
    <w:rsid w:val="7B697C89"/>
    <w:rsid w:val="7B8D34C3"/>
    <w:rsid w:val="7B971D84"/>
    <w:rsid w:val="7BEB6E6E"/>
    <w:rsid w:val="7BF32F03"/>
    <w:rsid w:val="7C0D3AAC"/>
    <w:rsid w:val="7C1724A5"/>
    <w:rsid w:val="7C8E3CCF"/>
    <w:rsid w:val="7CA54112"/>
    <w:rsid w:val="7CBC5262"/>
    <w:rsid w:val="7CE50CE4"/>
    <w:rsid w:val="7D2177E3"/>
    <w:rsid w:val="7D2E5ABF"/>
    <w:rsid w:val="7DBD6AEE"/>
    <w:rsid w:val="7E2142A2"/>
    <w:rsid w:val="7E424172"/>
    <w:rsid w:val="7E4F5384"/>
    <w:rsid w:val="7E5A6DFA"/>
    <w:rsid w:val="7E730D4D"/>
    <w:rsid w:val="7E7B0BF2"/>
    <w:rsid w:val="7E7C7A78"/>
    <w:rsid w:val="7E8D75B6"/>
    <w:rsid w:val="7EB2417D"/>
    <w:rsid w:val="7EF760EE"/>
    <w:rsid w:val="7F2A21E7"/>
    <w:rsid w:val="7F763FE8"/>
    <w:rsid w:val="7F8048A8"/>
    <w:rsid w:val="7FAE1D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outlineLvl w:val="2"/>
    </w:pPr>
    <w:rPr>
      <w:b/>
      <w:bCs/>
      <w:sz w:val="28"/>
      <w:szCs w:val="32"/>
    </w:rPr>
  </w:style>
  <w:style w:type="paragraph" w:styleId="6">
    <w:name w:val="heading 4"/>
    <w:basedOn w:val="1"/>
    <w:next w:val="1"/>
    <w:link w:val="35"/>
    <w:unhideWhenUsed/>
    <w:qFormat/>
    <w:uiPriority w:val="9"/>
    <w:pPr>
      <w:keepNext/>
      <w:keepLines/>
      <w:outlineLvl w:val="3"/>
    </w:pPr>
    <w:rPr>
      <w:rFonts w:asciiTheme="majorHAnsi" w:hAnsiTheme="majorHAnsi" w:cstheme="majorBidi"/>
      <w:b/>
      <w:bCs/>
      <w:sz w:val="24"/>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7">
    <w:name w:val="annotation text"/>
    <w:basedOn w:val="1"/>
    <w:semiHidden/>
    <w:unhideWhenUsed/>
    <w:qFormat/>
    <w:uiPriority w:val="99"/>
  </w:style>
  <w:style w:type="paragraph" w:styleId="8">
    <w:name w:val="Body Text Indent"/>
    <w:basedOn w:val="1"/>
    <w:qFormat/>
    <w:uiPriority w:val="0"/>
    <w:pPr>
      <w:ind w:left="540"/>
    </w:pPr>
    <w:rPr>
      <w:rFonts w:ascii="Times New Roman" w:hAnsi="Times New Roman" w:eastAsia="宋体" w:cs="Times New Roman"/>
      <w:szCs w:val="20"/>
    </w:rPr>
  </w:style>
  <w:style w:type="paragraph" w:styleId="9">
    <w:name w:val="toc 3"/>
    <w:basedOn w:val="1"/>
    <w:next w:val="1"/>
    <w:unhideWhenUsed/>
    <w:qFormat/>
    <w:uiPriority w:val="39"/>
    <w:pPr>
      <w:tabs>
        <w:tab w:val="right" w:leader="dot" w:pos="8296"/>
      </w:tabs>
      <w:ind w:left="838" w:leftChars="381"/>
    </w:pPr>
    <w:rPr>
      <w:szCs w:val="21"/>
    </w:rPr>
  </w:style>
  <w:style w:type="paragraph" w:styleId="10">
    <w:name w:val="Plain Text"/>
    <w:basedOn w:val="1"/>
    <w:link w:val="46"/>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9"/>
    <w:semiHidden/>
    <w:unhideWhenUsed/>
    <w:qFormat/>
    <w:uiPriority w:val="99"/>
    <w:rPr>
      <w:sz w:val="18"/>
      <w:szCs w:val="18"/>
    </w:rPr>
  </w:style>
  <w:style w:type="paragraph" w:styleId="13">
    <w:name w:val="footer"/>
    <w:basedOn w:val="1"/>
    <w:link w:val="48"/>
    <w:unhideWhenUsed/>
    <w:qFormat/>
    <w:uiPriority w:val="99"/>
    <w:pPr>
      <w:tabs>
        <w:tab w:val="center" w:pos="4153"/>
        <w:tab w:val="right" w:pos="8306"/>
      </w:tabs>
    </w:pPr>
    <w:rPr>
      <w:sz w:val="18"/>
      <w:szCs w:val="18"/>
    </w:rPr>
  </w:style>
  <w:style w:type="paragraph" w:styleId="14">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0">
    <w:name w:val="footnote text"/>
    <w:basedOn w:val="1"/>
    <w:semiHidden/>
    <w:unhideWhenUsed/>
    <w:qFormat/>
    <w:uiPriority w:val="99"/>
    <w:rPr>
      <w:sz w:val="18"/>
    </w:rPr>
  </w:style>
  <w:style w:type="paragraph" w:styleId="21">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2">
    <w:name w:val="Normal (Web)"/>
    <w:basedOn w:val="1"/>
    <w:link w:val="51"/>
    <w:qFormat/>
    <w:uiPriority w:val="0"/>
    <w:pPr>
      <w:widowControl w:val="0"/>
      <w:adjustRightInd/>
      <w:snapToGrid/>
      <w:jc w:val="both"/>
    </w:pPr>
    <w:rPr>
      <w:rFonts w:asciiTheme="minorHAnsi" w:hAnsiTheme="minorHAnsi"/>
      <w:kern w:val="2"/>
      <w:sz w:val="24"/>
      <w:szCs w:val="24"/>
    </w:rPr>
  </w:style>
  <w:style w:type="paragraph" w:styleId="23">
    <w:name w:val="Body Text First Indent"/>
    <w:basedOn w:val="2"/>
    <w:unhideWhenUsed/>
    <w:qFormat/>
    <w:uiPriority w:val="99"/>
    <w:pPr>
      <w:ind w:firstLine="420" w:firstLineChars="100"/>
    </w:pPr>
    <w:rPr>
      <w:rFonts w:ascii="Times New Roman" w:hAnsi="Times New Roman" w:cs="Times New Roman"/>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adjustRightInd/>
      <w:spacing w:before="25" w:after="25"/>
    </w:pPr>
    <w:rPr>
      <w:rFonts w:ascii="Times New Roman"/>
      <w:bCs/>
      <w:spacing w:val="10"/>
      <w:szCs w:val="20"/>
    </w:rPr>
  </w:style>
  <w:style w:type="character" w:customStyle="1" w:styleId="32">
    <w:name w:val="标题 2 Char"/>
    <w:basedOn w:val="26"/>
    <w:link w:val="4"/>
    <w:qFormat/>
    <w:uiPriority w:val="9"/>
    <w:rPr>
      <w:rFonts w:asciiTheme="majorHAnsi" w:hAnsiTheme="majorHAnsi" w:eastAsiaTheme="majorEastAsia" w:cstheme="majorBidi"/>
      <w:b/>
      <w:bCs/>
      <w:sz w:val="32"/>
      <w:szCs w:val="32"/>
    </w:rPr>
  </w:style>
  <w:style w:type="character" w:customStyle="1" w:styleId="33">
    <w:name w:val="标题 3 Char"/>
    <w:basedOn w:val="26"/>
    <w:link w:val="5"/>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Char"/>
    <w:basedOn w:val="26"/>
    <w:link w:val="6"/>
    <w:qFormat/>
    <w:uiPriority w:val="9"/>
    <w:rPr>
      <w:rFonts w:eastAsia="宋体" w:asciiTheme="majorHAnsi" w:hAnsiTheme="majorHAns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next w:val="1"/>
    <w:link w:val="36"/>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5"/>
    <w:link w:val="4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Char1"/>
    <w:basedOn w:val="26"/>
    <w:link w:val="10"/>
    <w:semiHidden/>
    <w:qFormat/>
    <w:uiPriority w:val="99"/>
    <w:rPr>
      <w:rFonts w:ascii="宋体" w:hAnsi="Courier New" w:eastAsia="宋体" w:cs="Courier New"/>
      <w:sz w:val="21"/>
      <w:szCs w:val="21"/>
    </w:rPr>
  </w:style>
  <w:style w:type="character" w:customStyle="1" w:styleId="47">
    <w:name w:val="页眉 Char"/>
    <w:basedOn w:val="26"/>
    <w:link w:val="14"/>
    <w:qFormat/>
    <w:uiPriority w:val="99"/>
    <w:rPr>
      <w:rFonts w:ascii="Tahoma" w:hAnsi="Tahoma"/>
      <w:sz w:val="18"/>
      <w:szCs w:val="18"/>
    </w:rPr>
  </w:style>
  <w:style w:type="character" w:customStyle="1" w:styleId="48">
    <w:name w:val="页脚 Char"/>
    <w:basedOn w:val="26"/>
    <w:link w:val="13"/>
    <w:qFormat/>
    <w:uiPriority w:val="99"/>
    <w:rPr>
      <w:rFonts w:ascii="Tahoma" w:hAnsi="Tahoma"/>
      <w:sz w:val="18"/>
      <w:szCs w:val="18"/>
    </w:rPr>
  </w:style>
  <w:style w:type="character" w:customStyle="1" w:styleId="49">
    <w:name w:val="批注框文本 Char"/>
    <w:basedOn w:val="26"/>
    <w:link w:val="12"/>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1">
    <w:name w:val="普通(网站) Char"/>
    <w:link w:val="22"/>
    <w:qFormat/>
    <w:uiPriority w:val="0"/>
    <w:rPr>
      <w:rFonts w:eastAsia="宋体"/>
      <w:kern w:val="2"/>
      <w:sz w:val="24"/>
      <w:szCs w:val="24"/>
    </w:rPr>
  </w:style>
  <w:style w:type="paragraph" w:customStyle="1" w:styleId="5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9">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0">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1">
    <w:name w:val="font131"/>
    <w:basedOn w:val="26"/>
    <w:qFormat/>
    <w:uiPriority w:val="0"/>
    <w:rPr>
      <w:rFonts w:hint="eastAsia" w:ascii="宋体" w:hAnsi="宋体" w:eastAsia="宋体" w:cs="宋体"/>
      <w:color w:val="000000"/>
      <w:sz w:val="18"/>
      <w:szCs w:val="18"/>
      <w:u w:val="none"/>
    </w:rPr>
  </w:style>
  <w:style w:type="paragraph" w:customStyle="1" w:styleId="62">
    <w:name w:val="Table Paragraph"/>
    <w:basedOn w:val="1"/>
    <w:qFormat/>
    <w:uiPriority w:val="1"/>
    <w:rPr>
      <w:rFonts w:ascii="宋体" w:hAnsi="宋体" w:eastAsia="宋体" w:cs="宋体"/>
      <w:lang w:val="zh-CN" w:eastAsia="zh-CN" w:bidi="zh-CN"/>
    </w:rPr>
  </w:style>
  <w:style w:type="character" w:customStyle="1" w:styleId="63">
    <w:name w:val="font31"/>
    <w:basedOn w:val="26"/>
    <w:qFormat/>
    <w:uiPriority w:val="0"/>
    <w:rPr>
      <w:rFonts w:hint="eastAsia" w:ascii="宋体" w:hAnsi="宋体" w:eastAsia="宋体" w:cs="宋体"/>
      <w:color w:val="000000"/>
      <w:sz w:val="21"/>
      <w:szCs w:val="21"/>
      <w:u w:val="none"/>
    </w:rPr>
  </w:style>
  <w:style w:type="character" w:customStyle="1" w:styleId="64">
    <w:name w:val="font21"/>
    <w:basedOn w:val="26"/>
    <w:qFormat/>
    <w:uiPriority w:val="0"/>
    <w:rPr>
      <w:rFonts w:hint="default"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85</Pages>
  <Words>35403</Words>
  <Characters>36961</Characters>
  <Lines>349</Lines>
  <Paragraphs>98</Paragraphs>
  <TotalTime>10</TotalTime>
  <ScaleCrop>false</ScaleCrop>
  <LinksUpToDate>false</LinksUpToDate>
  <CharactersWithSpaces>38386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2024-06-11T07:28:32Z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7AC2E1494D4A405787A41421E960A646_13</vt:lpwstr>
  </property>
</Properties>
</file>